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336CF955" w:rsidR="00B27088" w:rsidRDefault="7D29A2DF" w:rsidP="00F376CB">
      <w:pPr>
        <w:spacing w:line="360" w:lineRule="auto"/>
        <w:rPr>
          <w:rFonts w:ascii="Arial" w:eastAsia="Arial" w:hAnsi="Arial" w:cs="Arial"/>
          <w:sz w:val="24"/>
          <w:szCs w:val="24"/>
          <w:u w:val="single"/>
        </w:rPr>
      </w:pPr>
      <w:r w:rsidRPr="7D29A2DF">
        <w:rPr>
          <w:rFonts w:ascii="Arial" w:eastAsia="Arial" w:hAnsi="Arial" w:cs="Arial"/>
          <w:sz w:val="24"/>
          <w:szCs w:val="24"/>
          <w:u w:val="single"/>
        </w:rPr>
        <w:t>ECAD6012 Essay</w:t>
      </w:r>
    </w:p>
    <w:p w14:paraId="481C0283" w14:textId="4C7EB0C4" w:rsidR="16B87120" w:rsidRDefault="7D29A2DF" w:rsidP="00F376CB">
      <w:pPr>
        <w:spacing w:line="360" w:lineRule="auto"/>
        <w:rPr>
          <w:rFonts w:ascii="Arial" w:eastAsia="Arial" w:hAnsi="Arial" w:cs="Arial"/>
          <w:sz w:val="24"/>
          <w:szCs w:val="24"/>
          <w:u w:val="single"/>
        </w:rPr>
      </w:pPr>
      <w:r w:rsidRPr="7D29A2DF">
        <w:rPr>
          <w:rFonts w:ascii="Arial" w:eastAsia="Arial" w:hAnsi="Arial" w:cs="Arial"/>
          <w:sz w:val="24"/>
          <w:szCs w:val="24"/>
        </w:rPr>
        <w:t>In Donaldson's (2015) Review of the Cur</w:t>
      </w:r>
      <w:r w:rsidR="006C52C3">
        <w:rPr>
          <w:rFonts w:ascii="Arial" w:eastAsia="Arial" w:hAnsi="Arial" w:cs="Arial"/>
          <w:sz w:val="24"/>
          <w:szCs w:val="24"/>
        </w:rPr>
        <w:t>riculum and Assessment in Wales, h</w:t>
      </w:r>
      <w:r w:rsidRPr="7D29A2DF">
        <w:rPr>
          <w:rFonts w:ascii="Arial" w:eastAsia="Arial" w:hAnsi="Arial" w:cs="Arial"/>
          <w:sz w:val="24"/>
          <w:szCs w:val="24"/>
        </w:rPr>
        <w:t xml:space="preserve">e recommends that, </w:t>
      </w:r>
    </w:p>
    <w:p w14:paraId="7B07F70E" w14:textId="7C847E59" w:rsidR="16B87120" w:rsidRDefault="00B40C54" w:rsidP="00F376CB">
      <w:pPr>
        <w:spacing w:line="360" w:lineRule="auto"/>
        <w:ind w:left="720"/>
        <w:rPr>
          <w:rFonts w:ascii="Arial" w:eastAsia="Arial" w:hAnsi="Arial" w:cs="Arial"/>
          <w:sz w:val="24"/>
          <w:szCs w:val="24"/>
          <w:u w:val="single"/>
        </w:rPr>
      </w:pPr>
      <w:r>
        <w:rPr>
          <w:rFonts w:ascii="Arial" w:eastAsia="Arial" w:hAnsi="Arial" w:cs="Arial"/>
          <w:sz w:val="24"/>
          <w:szCs w:val="24"/>
        </w:rPr>
        <w:t>L</w:t>
      </w:r>
      <w:r w:rsidR="7D29A2DF" w:rsidRPr="7D29A2DF">
        <w:rPr>
          <w:rFonts w:ascii="Arial" w:eastAsia="Arial" w:hAnsi="Arial" w:cs="Arial"/>
          <w:sz w:val="24"/>
          <w:szCs w:val="24"/>
        </w:rPr>
        <w:t>iteracy, numeracy and digital competence should be Cross-curriculum Responsibilities for all teachers and people who work with children and young people. The curriculum structure needs to ensure that children and young people develop high levels of competence in these aspects and have frequent opportunities to develop, extend and apply them across the curriculum. (Donaldson, 2015: 40)</w:t>
      </w:r>
    </w:p>
    <w:p w14:paraId="111620A8" w14:textId="637FCD5B" w:rsidR="056D8E07" w:rsidRDefault="056D8E07" w:rsidP="00F376CB">
      <w:pPr>
        <w:spacing w:line="360" w:lineRule="auto"/>
        <w:rPr>
          <w:rFonts w:ascii="Arial" w:eastAsia="Arial" w:hAnsi="Arial" w:cs="Arial"/>
          <w:sz w:val="24"/>
          <w:szCs w:val="24"/>
        </w:rPr>
      </w:pPr>
      <w:r w:rsidRPr="056D8E07">
        <w:rPr>
          <w:rFonts w:ascii="Arial" w:eastAsia="Arial" w:hAnsi="Arial" w:cs="Arial"/>
          <w:sz w:val="24"/>
          <w:szCs w:val="24"/>
        </w:rPr>
        <w:t>From this review, the Welsh Assembly Government (WAG) has taken this recommendation and used it to support the new curriculum. In which; literacy, numeracy and digital competency will be implemented, using a cross-curricular approach and will be used throughout Wales by 2022 (WAG, 2017). Research suggests the purpose of this implementation is to improve the standards of these areas (Donaldson, 2015). These standards have become important to Welsh education due to Wales having the worst Pisa results in the UK (Hume</w:t>
      </w:r>
      <w:r w:rsidR="00B40C54" w:rsidRPr="056D8E07">
        <w:rPr>
          <w:rFonts w:ascii="Arial" w:eastAsia="Arial" w:hAnsi="Arial" w:cs="Arial"/>
          <w:sz w:val="24"/>
          <w:szCs w:val="24"/>
        </w:rPr>
        <w:t>, 2016</w:t>
      </w:r>
      <w:r w:rsidRPr="056D8E07">
        <w:rPr>
          <w:rFonts w:ascii="Arial" w:eastAsia="Arial" w:hAnsi="Arial" w:cs="Arial"/>
          <w:sz w:val="24"/>
          <w:szCs w:val="24"/>
        </w:rPr>
        <w:t>). Also, the importance of digital competence has become apparent in the last few years, with figures showing that by “2020, 90% of jobs will require that the person who performs them have digital skills” (CRISS, 2018:1). Therefore, these facts and figures show the importance of these skills to improve standards and prepare Welsh pupils for the</w:t>
      </w:r>
      <w:r w:rsidR="00B40C54">
        <w:rPr>
          <w:rFonts w:ascii="Arial" w:eastAsia="Arial" w:hAnsi="Arial" w:cs="Arial"/>
          <w:sz w:val="24"/>
          <w:szCs w:val="24"/>
        </w:rPr>
        <w:t>ir</w:t>
      </w:r>
      <w:r w:rsidRPr="056D8E07">
        <w:rPr>
          <w:rFonts w:ascii="Arial" w:eastAsia="Arial" w:hAnsi="Arial" w:cs="Arial"/>
          <w:sz w:val="24"/>
          <w:szCs w:val="24"/>
        </w:rPr>
        <w:t xml:space="preserve"> future.</w:t>
      </w:r>
    </w:p>
    <w:p w14:paraId="3EB64F16" w14:textId="69769F3C" w:rsidR="16B87120" w:rsidRDefault="7D29A2DF" w:rsidP="00F376CB">
      <w:pPr>
        <w:spacing w:line="360" w:lineRule="auto"/>
        <w:rPr>
          <w:rFonts w:ascii="Arial" w:eastAsia="Arial" w:hAnsi="Arial" w:cs="Arial"/>
          <w:sz w:val="24"/>
          <w:szCs w:val="24"/>
        </w:rPr>
      </w:pPr>
      <w:r w:rsidRPr="7D29A2DF">
        <w:rPr>
          <w:rFonts w:ascii="Arial" w:eastAsia="Arial" w:hAnsi="Arial" w:cs="Arial"/>
          <w:sz w:val="24"/>
          <w:szCs w:val="24"/>
        </w:rPr>
        <w:t>Implementing subjects using a cross-curricular approach has been supported by Barnes (2015) who argues that, cross-curricular learning can energise, motivate and allo</w:t>
      </w:r>
      <w:r w:rsidR="00B40C54">
        <w:rPr>
          <w:rFonts w:ascii="Arial" w:eastAsia="Arial" w:hAnsi="Arial" w:cs="Arial"/>
          <w:sz w:val="24"/>
          <w:szCs w:val="24"/>
        </w:rPr>
        <w:t>w a higher standard of learning. W</w:t>
      </w:r>
      <w:r w:rsidRPr="7D29A2DF">
        <w:rPr>
          <w:rFonts w:ascii="Arial" w:eastAsia="Arial" w:hAnsi="Arial" w:cs="Arial"/>
          <w:sz w:val="24"/>
          <w:szCs w:val="24"/>
        </w:rPr>
        <w:t>hile also allowing children to discover a wide range of subjects a</w:t>
      </w:r>
      <w:r w:rsidR="00B40C54">
        <w:rPr>
          <w:rFonts w:ascii="Arial" w:eastAsia="Arial" w:hAnsi="Arial" w:cs="Arial"/>
          <w:sz w:val="24"/>
          <w:szCs w:val="24"/>
        </w:rPr>
        <w:t>t one time. He also states that</w:t>
      </w:r>
      <w:r w:rsidRPr="7D29A2DF">
        <w:rPr>
          <w:rFonts w:ascii="Arial" w:eastAsia="Arial" w:hAnsi="Arial" w:cs="Arial"/>
          <w:sz w:val="24"/>
          <w:szCs w:val="24"/>
        </w:rPr>
        <w:t xml:space="preserve"> this type of learning can be made easily accessible, which consequently engages the pupils in their education.</w:t>
      </w:r>
    </w:p>
    <w:p w14:paraId="63E841A9" w14:textId="33502047" w:rsidR="16B87120" w:rsidRDefault="056D8E07" w:rsidP="00F376CB">
      <w:pPr>
        <w:spacing w:line="360" w:lineRule="auto"/>
        <w:rPr>
          <w:rFonts w:ascii="Arial" w:eastAsia="Arial" w:hAnsi="Arial" w:cs="Arial"/>
          <w:sz w:val="24"/>
          <w:szCs w:val="24"/>
        </w:rPr>
      </w:pPr>
      <w:r w:rsidRPr="056D8E07">
        <w:rPr>
          <w:rFonts w:ascii="Arial" w:eastAsia="Arial" w:hAnsi="Arial" w:cs="Arial"/>
          <w:sz w:val="24"/>
          <w:szCs w:val="24"/>
        </w:rPr>
        <w:t>However, some other theorists contradict this view.</w:t>
      </w:r>
      <w:r w:rsidR="00B40C54">
        <w:rPr>
          <w:rFonts w:ascii="Arial" w:eastAsia="Arial" w:hAnsi="Arial" w:cs="Arial"/>
          <w:sz w:val="24"/>
          <w:szCs w:val="24"/>
        </w:rPr>
        <w:t xml:space="preserve"> Savage and Barnett (2015) take</w:t>
      </w:r>
      <w:r w:rsidRPr="056D8E07">
        <w:rPr>
          <w:rFonts w:ascii="Arial" w:eastAsia="Arial" w:hAnsi="Arial" w:cs="Arial"/>
          <w:sz w:val="24"/>
          <w:szCs w:val="24"/>
        </w:rPr>
        <w:t xml:space="preserve"> the view that not all subjects should be taught using a cross-curricular approach. They believe that some subjects need to be taught as a single-subject</w:t>
      </w:r>
      <w:r w:rsidR="00B40C54">
        <w:rPr>
          <w:rFonts w:ascii="Arial" w:eastAsia="Arial" w:hAnsi="Arial" w:cs="Arial"/>
          <w:sz w:val="24"/>
          <w:szCs w:val="24"/>
        </w:rPr>
        <w:t>,</w:t>
      </w:r>
      <w:r w:rsidRPr="056D8E07">
        <w:rPr>
          <w:rFonts w:ascii="Arial" w:eastAsia="Arial" w:hAnsi="Arial" w:cs="Arial"/>
          <w:sz w:val="24"/>
          <w:szCs w:val="24"/>
        </w:rPr>
        <w:t xml:space="preserve"> for there to be a beneficial understanding of </w:t>
      </w:r>
      <w:r w:rsidR="00B40C54" w:rsidRPr="056D8E07">
        <w:rPr>
          <w:rFonts w:ascii="Arial" w:eastAsia="Arial" w:hAnsi="Arial" w:cs="Arial"/>
          <w:sz w:val="24"/>
          <w:szCs w:val="24"/>
        </w:rPr>
        <w:t xml:space="preserve">that </w:t>
      </w:r>
      <w:r w:rsidRPr="056D8E07">
        <w:rPr>
          <w:rFonts w:ascii="Arial" w:eastAsia="Arial" w:hAnsi="Arial" w:cs="Arial"/>
          <w:sz w:val="24"/>
          <w:szCs w:val="24"/>
        </w:rPr>
        <w:t xml:space="preserve">unit of work. Barnes and Shirley (2007) also have the view that using a cross-curricular approach can sometimes hinder the </w:t>
      </w:r>
      <w:r w:rsidRPr="056D8E07">
        <w:rPr>
          <w:rFonts w:ascii="Arial" w:eastAsia="Arial" w:hAnsi="Arial" w:cs="Arial"/>
          <w:sz w:val="24"/>
          <w:szCs w:val="24"/>
        </w:rPr>
        <w:lastRenderedPageBreak/>
        <w:t>pupils learning because some teachers have limited experiences or training to enhance the pupils learning.</w:t>
      </w:r>
    </w:p>
    <w:p w14:paraId="107FEE05" w14:textId="7BBB5125" w:rsidR="16B87120" w:rsidRDefault="7D29A2DF" w:rsidP="00F376CB">
      <w:pPr>
        <w:spacing w:line="360" w:lineRule="auto"/>
        <w:rPr>
          <w:rFonts w:ascii="Arial" w:eastAsia="Arial" w:hAnsi="Arial" w:cs="Arial"/>
          <w:sz w:val="24"/>
          <w:szCs w:val="24"/>
        </w:rPr>
      </w:pPr>
      <w:r w:rsidRPr="7D29A2DF">
        <w:rPr>
          <w:rFonts w:ascii="Arial" w:eastAsia="Arial" w:hAnsi="Arial" w:cs="Arial"/>
          <w:sz w:val="24"/>
          <w:szCs w:val="24"/>
        </w:rPr>
        <w:t xml:space="preserve">From these readings it is hard to see if the WAG plan to make literacy, numeracy and digital competency cross-curricular responsibilities is going to benefit or restrict the pupil's learning. Therefore, throughout this essay, there will be a critical analysis of this WAG expectation. This will be achieved by reflecting </w:t>
      </w:r>
      <w:r w:rsidR="00B40C54">
        <w:rPr>
          <w:rFonts w:ascii="Arial" w:eastAsia="Arial" w:hAnsi="Arial" w:cs="Arial"/>
          <w:sz w:val="24"/>
          <w:szCs w:val="24"/>
        </w:rPr>
        <w:t xml:space="preserve">upon and summarising reading. While also </w:t>
      </w:r>
      <w:r w:rsidRPr="7D29A2DF">
        <w:rPr>
          <w:rFonts w:ascii="Arial" w:eastAsia="Arial" w:hAnsi="Arial" w:cs="Arial"/>
          <w:sz w:val="24"/>
          <w:szCs w:val="24"/>
        </w:rPr>
        <w:t>using the readers own experiences on Professional Teaching Experiences (PTE) to provide a critical and justified response.</w:t>
      </w:r>
    </w:p>
    <w:p w14:paraId="16F300C8" w14:textId="2726B55D" w:rsidR="7D29A2DF" w:rsidRDefault="7D29A2DF" w:rsidP="00F376CB">
      <w:pPr>
        <w:spacing w:line="360" w:lineRule="auto"/>
        <w:rPr>
          <w:rFonts w:ascii="Arial" w:eastAsia="Arial" w:hAnsi="Arial" w:cs="Arial"/>
          <w:sz w:val="24"/>
          <w:szCs w:val="24"/>
        </w:rPr>
      </w:pPr>
      <w:r w:rsidRPr="7D29A2DF">
        <w:rPr>
          <w:rFonts w:ascii="Arial" w:eastAsia="Arial" w:hAnsi="Arial" w:cs="Arial"/>
          <w:sz w:val="24"/>
          <w:szCs w:val="24"/>
        </w:rPr>
        <w:t>Some theorists for example, Barnes (2015), would agree that a cross-curricular approach, would benefit the pupils learn</w:t>
      </w:r>
      <w:r w:rsidR="00B40C54">
        <w:rPr>
          <w:rFonts w:ascii="Arial" w:eastAsia="Arial" w:hAnsi="Arial" w:cs="Arial"/>
          <w:sz w:val="24"/>
          <w:szCs w:val="24"/>
        </w:rPr>
        <w:t>ing. Barnes has recognised seven</w:t>
      </w:r>
      <w:r w:rsidRPr="7D29A2DF">
        <w:rPr>
          <w:rFonts w:ascii="Arial" w:eastAsia="Arial" w:hAnsi="Arial" w:cs="Arial"/>
          <w:sz w:val="24"/>
          <w:szCs w:val="24"/>
        </w:rPr>
        <w:t xml:space="preserve"> different cross-curricular approaches that can be undertaken to support cross-curricular teaching. These approaches can sometimes overlap, and some projects can involve more than one type of approach. In some of the approaches, Barnes (2015) allows the pupils to have a voice in what they want to learn. This is supported by </w:t>
      </w:r>
      <w:proofErr w:type="spellStart"/>
      <w:r w:rsidRPr="7D29A2DF">
        <w:rPr>
          <w:rFonts w:ascii="Arial" w:eastAsia="Arial" w:hAnsi="Arial" w:cs="Arial"/>
          <w:sz w:val="24"/>
          <w:szCs w:val="24"/>
        </w:rPr>
        <w:t>Rudduck</w:t>
      </w:r>
      <w:proofErr w:type="spellEnd"/>
      <w:r w:rsidRPr="7D29A2DF">
        <w:rPr>
          <w:rFonts w:ascii="Arial" w:eastAsia="Arial" w:hAnsi="Arial" w:cs="Arial"/>
          <w:sz w:val="24"/>
          <w:szCs w:val="24"/>
        </w:rPr>
        <w:t xml:space="preserve"> and Flutter (2004), as they suggest that ‘pupil voice’ is fundamental in lesson planning and can help shape lessons and sometimes help the teacher see things that they normally wouldn’t pay attention to. It is also suggested that when using these approaches involving the children, learning becomes “memorable, deep, transferable and transformative” for some pupils (Barnes, 2015: 92). Therefore, this shows the benefit of cross-curricular teaching and how it can be taken further by introducing ‘pupil voice’ in</w:t>
      </w:r>
      <w:r w:rsidR="00B40C54">
        <w:rPr>
          <w:rFonts w:ascii="Arial" w:eastAsia="Arial" w:hAnsi="Arial" w:cs="Arial"/>
          <w:sz w:val="24"/>
          <w:szCs w:val="24"/>
        </w:rPr>
        <w:t>to the WAG expectations</w:t>
      </w:r>
      <w:r w:rsidRPr="7D29A2DF">
        <w:rPr>
          <w:rFonts w:ascii="Arial" w:eastAsia="Arial" w:hAnsi="Arial" w:cs="Arial"/>
          <w:sz w:val="24"/>
          <w:szCs w:val="24"/>
        </w:rPr>
        <w:t>.</w:t>
      </w:r>
    </w:p>
    <w:p w14:paraId="239CA602" w14:textId="56B58847" w:rsidR="7D29A2DF" w:rsidRDefault="7D29A2DF" w:rsidP="00F376CB">
      <w:pPr>
        <w:spacing w:line="360" w:lineRule="auto"/>
        <w:rPr>
          <w:rFonts w:ascii="Arial" w:eastAsia="Arial" w:hAnsi="Arial" w:cs="Arial"/>
          <w:sz w:val="24"/>
          <w:szCs w:val="24"/>
        </w:rPr>
      </w:pPr>
      <w:r w:rsidRPr="7D29A2DF">
        <w:rPr>
          <w:rFonts w:ascii="Arial" w:eastAsia="Arial" w:hAnsi="Arial" w:cs="Arial"/>
          <w:sz w:val="24"/>
          <w:szCs w:val="24"/>
        </w:rPr>
        <w:t xml:space="preserve">However, there are risks to these approaches that involve ‘pupil voice’. Flutter and </w:t>
      </w:r>
      <w:proofErr w:type="spellStart"/>
      <w:r w:rsidRPr="7D29A2DF">
        <w:rPr>
          <w:rFonts w:ascii="Arial" w:eastAsia="Arial" w:hAnsi="Arial" w:cs="Arial"/>
          <w:sz w:val="24"/>
          <w:szCs w:val="24"/>
        </w:rPr>
        <w:t>Rudduck</w:t>
      </w:r>
      <w:proofErr w:type="spellEnd"/>
      <w:r w:rsidRPr="7D29A2DF">
        <w:rPr>
          <w:rFonts w:ascii="Arial" w:eastAsia="Arial" w:hAnsi="Arial" w:cs="Arial"/>
          <w:sz w:val="24"/>
          <w:szCs w:val="24"/>
        </w:rPr>
        <w:t xml:space="preserve"> (2006) suggest that pupil consultation can sometimes arise learning topics that are not easy to address or teach</w:t>
      </w:r>
      <w:r w:rsidR="00FE6CA5">
        <w:rPr>
          <w:rFonts w:ascii="Arial" w:eastAsia="Arial" w:hAnsi="Arial" w:cs="Arial"/>
          <w:sz w:val="24"/>
          <w:szCs w:val="24"/>
        </w:rPr>
        <w:t>;</w:t>
      </w:r>
      <w:r w:rsidRPr="7D29A2DF">
        <w:rPr>
          <w:rFonts w:ascii="Arial" w:eastAsia="Arial" w:hAnsi="Arial" w:cs="Arial"/>
          <w:sz w:val="24"/>
          <w:szCs w:val="24"/>
        </w:rPr>
        <w:t xml:space="preserve"> </w:t>
      </w:r>
      <w:r w:rsidR="00FE6CA5">
        <w:rPr>
          <w:rFonts w:ascii="Arial" w:eastAsia="Arial" w:hAnsi="Arial" w:cs="Arial"/>
          <w:sz w:val="24"/>
          <w:szCs w:val="24"/>
        </w:rPr>
        <w:t>w</w:t>
      </w:r>
      <w:r w:rsidRPr="7D29A2DF">
        <w:rPr>
          <w:rFonts w:ascii="Arial" w:eastAsia="Arial" w:hAnsi="Arial" w:cs="Arial"/>
          <w:sz w:val="24"/>
          <w:szCs w:val="24"/>
        </w:rPr>
        <w:t>hich can sometimes make a lesson less beneficial because the learning that takes place has very little impact on the pupil's education. This could occur, for example, in Barnes’ (2015) ‘Opportunistic approach’</w:t>
      </w:r>
      <w:r w:rsidR="00FE6CA5">
        <w:rPr>
          <w:rFonts w:ascii="Arial" w:eastAsia="Arial" w:hAnsi="Arial" w:cs="Arial"/>
          <w:sz w:val="24"/>
          <w:szCs w:val="24"/>
        </w:rPr>
        <w:t>;</w:t>
      </w:r>
      <w:r w:rsidRPr="7D29A2DF">
        <w:rPr>
          <w:rFonts w:ascii="Arial" w:eastAsia="Arial" w:hAnsi="Arial" w:cs="Arial"/>
          <w:sz w:val="24"/>
          <w:szCs w:val="24"/>
        </w:rPr>
        <w:t xml:space="preserve"> </w:t>
      </w:r>
      <w:proofErr w:type="gramStart"/>
      <w:r w:rsidR="00FE6CA5">
        <w:rPr>
          <w:rFonts w:ascii="Arial" w:eastAsia="Arial" w:hAnsi="Arial" w:cs="Arial"/>
          <w:sz w:val="24"/>
          <w:szCs w:val="24"/>
        </w:rPr>
        <w:t>w</w:t>
      </w:r>
      <w:r w:rsidRPr="7D29A2DF">
        <w:rPr>
          <w:rFonts w:ascii="Arial" w:eastAsia="Arial" w:hAnsi="Arial" w:cs="Arial"/>
          <w:sz w:val="24"/>
          <w:szCs w:val="24"/>
        </w:rPr>
        <w:t>hich</w:t>
      </w:r>
      <w:proofErr w:type="gramEnd"/>
      <w:r w:rsidRPr="7D29A2DF">
        <w:rPr>
          <w:rFonts w:ascii="Arial" w:eastAsia="Arial" w:hAnsi="Arial" w:cs="Arial"/>
          <w:sz w:val="24"/>
          <w:szCs w:val="24"/>
        </w:rPr>
        <w:t xml:space="preserve"> allows p</w:t>
      </w:r>
      <w:r w:rsidR="00B40C54">
        <w:rPr>
          <w:rFonts w:ascii="Arial" w:eastAsia="Arial" w:hAnsi="Arial" w:cs="Arial"/>
          <w:sz w:val="24"/>
          <w:szCs w:val="24"/>
        </w:rPr>
        <w:t>upils to dictate the learning</w:t>
      </w:r>
      <w:r w:rsidRPr="7D29A2DF">
        <w:rPr>
          <w:rFonts w:ascii="Arial" w:eastAsia="Arial" w:hAnsi="Arial" w:cs="Arial"/>
          <w:sz w:val="24"/>
          <w:szCs w:val="24"/>
        </w:rPr>
        <w:t xml:space="preserve"> from a shared theme or experience. In some circumstances, the pupils could choose a theme that might be hard to integrate literacy, numeracy and digital competency. This could therefore mean the lesson would not be meeting the WAG expectations, or as some educators suggest, the lesson could be almost forced to be cross-curricular making the learning less meaningful for the pupils (Taylor, 2014). </w:t>
      </w:r>
    </w:p>
    <w:p w14:paraId="5D60760F" w14:textId="0D39FFB6" w:rsidR="7D29A2DF" w:rsidRDefault="7D29A2DF" w:rsidP="00F376CB">
      <w:pPr>
        <w:spacing w:line="360" w:lineRule="auto"/>
        <w:rPr>
          <w:rFonts w:ascii="Arial" w:eastAsia="Arial" w:hAnsi="Arial" w:cs="Arial"/>
          <w:sz w:val="24"/>
          <w:szCs w:val="24"/>
        </w:rPr>
      </w:pPr>
      <w:r w:rsidRPr="7D29A2DF">
        <w:rPr>
          <w:rFonts w:ascii="Arial" w:eastAsia="Arial" w:hAnsi="Arial" w:cs="Arial"/>
          <w:sz w:val="24"/>
          <w:szCs w:val="24"/>
        </w:rPr>
        <w:lastRenderedPageBreak/>
        <w:t>Although the points made above are valid, the new curriculum will recommend that ‘pupil voice’ is apparent when attempting to teach in a cross-curricular manner. This is shown in Donaldson (2015: 69) where he suggests that “Learners need to become involved in planning their own learning”. This shows that pupils need to have control of what they want to learn and how they intend to lea</w:t>
      </w:r>
      <w:r w:rsidR="00FE6CA5">
        <w:rPr>
          <w:rFonts w:ascii="Arial" w:eastAsia="Arial" w:hAnsi="Arial" w:cs="Arial"/>
          <w:sz w:val="24"/>
          <w:szCs w:val="24"/>
        </w:rPr>
        <w:t>r</w:t>
      </w:r>
      <w:r w:rsidRPr="7D29A2DF">
        <w:rPr>
          <w:rFonts w:ascii="Arial" w:eastAsia="Arial" w:hAnsi="Arial" w:cs="Arial"/>
          <w:sz w:val="24"/>
          <w:szCs w:val="24"/>
        </w:rPr>
        <w:t xml:space="preserve">n it. The reader recommends this can be </w:t>
      </w:r>
      <w:r w:rsidR="00B40C54">
        <w:rPr>
          <w:rFonts w:ascii="Arial" w:eastAsia="Arial" w:hAnsi="Arial" w:cs="Arial"/>
          <w:sz w:val="24"/>
          <w:szCs w:val="24"/>
        </w:rPr>
        <w:t xml:space="preserve">achieved by using </w:t>
      </w:r>
      <w:r w:rsidRPr="7D29A2DF">
        <w:rPr>
          <w:rFonts w:ascii="Arial" w:eastAsia="Arial" w:hAnsi="Arial" w:cs="Arial"/>
          <w:sz w:val="24"/>
          <w:szCs w:val="24"/>
        </w:rPr>
        <w:t>Barnes’ (2015) cross-curricular approaches. By involving the pupils in their learning and their voice can help the teacher benefit the lesson further and help make the cross-curricular links</w:t>
      </w:r>
      <w:r w:rsidR="00A504AA">
        <w:rPr>
          <w:rFonts w:ascii="Arial" w:eastAsia="Arial" w:hAnsi="Arial" w:cs="Arial"/>
          <w:sz w:val="24"/>
          <w:szCs w:val="24"/>
        </w:rPr>
        <w:t xml:space="preserve"> to the WAG expectations</w:t>
      </w:r>
      <w:r w:rsidRPr="7D29A2DF">
        <w:rPr>
          <w:rFonts w:ascii="Arial" w:eastAsia="Arial" w:hAnsi="Arial" w:cs="Arial"/>
          <w:sz w:val="24"/>
          <w:szCs w:val="24"/>
        </w:rPr>
        <w:t>.</w:t>
      </w:r>
    </w:p>
    <w:p w14:paraId="7069F804" w14:textId="6FE1BA5D" w:rsidR="7D29A2DF" w:rsidRDefault="7D29A2DF" w:rsidP="00F376CB">
      <w:pPr>
        <w:spacing w:line="360" w:lineRule="auto"/>
        <w:rPr>
          <w:rFonts w:ascii="Arial" w:eastAsia="Arial" w:hAnsi="Arial" w:cs="Arial"/>
          <w:sz w:val="24"/>
          <w:szCs w:val="24"/>
        </w:rPr>
      </w:pPr>
      <w:r w:rsidRPr="7D29A2DF">
        <w:rPr>
          <w:rFonts w:ascii="Arial" w:eastAsia="Arial" w:hAnsi="Arial" w:cs="Arial"/>
          <w:sz w:val="24"/>
          <w:szCs w:val="24"/>
        </w:rPr>
        <w:t>A theorist who would be able to see the benefits</w:t>
      </w:r>
      <w:r w:rsidR="00FE6CA5">
        <w:rPr>
          <w:rFonts w:ascii="Arial" w:eastAsia="Arial" w:hAnsi="Arial" w:cs="Arial"/>
          <w:sz w:val="24"/>
          <w:szCs w:val="24"/>
        </w:rPr>
        <w:t>,</w:t>
      </w:r>
      <w:r w:rsidRPr="7D29A2DF">
        <w:rPr>
          <w:rFonts w:ascii="Arial" w:eastAsia="Arial" w:hAnsi="Arial" w:cs="Arial"/>
          <w:sz w:val="24"/>
          <w:szCs w:val="24"/>
        </w:rPr>
        <w:t xml:space="preserve"> but also the limitations of this cross- curricular approach would be Hayes (2010). He suggests that using a cross-curricular approach allows the pupils to view learning as more holistic. “Whereas if teachers emphasise the separation and discreteness of subjects it can establish artificial barriers in the minds of younger children” (Hayes, 2010: 383). This suggests they will then fail to make connections with another subject /subjects. This point can show the importance of cross-curricular teaching because it can allow pupils to link what they have learnt in one subject to another. Howard Gardner (see Fogarty, 2007), would also agree with this statement as he argues that the skills the learner uses in one subject</w:t>
      </w:r>
      <w:r w:rsidR="00A504AA">
        <w:rPr>
          <w:rFonts w:ascii="Arial" w:eastAsia="Arial" w:hAnsi="Arial" w:cs="Arial"/>
          <w:sz w:val="24"/>
          <w:szCs w:val="24"/>
        </w:rPr>
        <w:t>,</w:t>
      </w:r>
      <w:r w:rsidRPr="7D29A2DF">
        <w:rPr>
          <w:rFonts w:ascii="Arial" w:eastAsia="Arial" w:hAnsi="Arial" w:cs="Arial"/>
          <w:sz w:val="24"/>
          <w:szCs w:val="24"/>
        </w:rPr>
        <w:t xml:space="preserve"> can reinforce their understanding and learning in other subjects. Some scientific educators suggest this approach works because they have seen scientific enquiries located in history, geography</w:t>
      </w:r>
      <w:r w:rsidR="00FE6CA5">
        <w:rPr>
          <w:rFonts w:ascii="Arial" w:eastAsia="Arial" w:hAnsi="Arial" w:cs="Arial"/>
          <w:sz w:val="24"/>
          <w:szCs w:val="24"/>
        </w:rPr>
        <w:t>,</w:t>
      </w:r>
      <w:r w:rsidRPr="7D29A2DF">
        <w:rPr>
          <w:rFonts w:ascii="Arial" w:eastAsia="Arial" w:hAnsi="Arial" w:cs="Arial"/>
          <w:sz w:val="24"/>
          <w:szCs w:val="24"/>
        </w:rPr>
        <w:t xml:space="preserve"> maths and literacy using a cross-curricular approach (Wallace, Cave and Berry, 2009).</w:t>
      </w:r>
    </w:p>
    <w:p w14:paraId="089EB4FC" w14:textId="274F89A9" w:rsidR="7D29A2DF" w:rsidRDefault="7D29A2DF" w:rsidP="00F376CB">
      <w:pPr>
        <w:spacing w:line="360" w:lineRule="auto"/>
        <w:rPr>
          <w:rFonts w:ascii="Arial" w:eastAsia="Arial" w:hAnsi="Arial" w:cs="Arial"/>
          <w:sz w:val="24"/>
          <w:szCs w:val="24"/>
        </w:rPr>
      </w:pPr>
      <w:r w:rsidRPr="7D29A2DF">
        <w:rPr>
          <w:rFonts w:ascii="Arial" w:eastAsia="Arial" w:hAnsi="Arial" w:cs="Arial"/>
          <w:sz w:val="24"/>
          <w:szCs w:val="24"/>
        </w:rPr>
        <w:t>However, the reader needs to be careful in taking this view as a fact because Hayes (2010) and others identify concerns about using a cross- curricular approach. Hayes (2010) suggests that some believe that single-subject teaching can have a greater effect on the pupils learning. However, cross-curricular supporters such as Rose (2009) argues that there is a place for this kind of approach in subjects and some subjects do need to be taught in their entirety, but this should be done sparsely in education. This therefore shows</w:t>
      </w:r>
      <w:r w:rsidR="00A504AA">
        <w:rPr>
          <w:rFonts w:ascii="Arial" w:eastAsia="Arial" w:hAnsi="Arial" w:cs="Arial"/>
          <w:sz w:val="24"/>
          <w:szCs w:val="24"/>
        </w:rPr>
        <w:t>,</w:t>
      </w:r>
      <w:r w:rsidRPr="7D29A2DF">
        <w:rPr>
          <w:rFonts w:ascii="Arial" w:eastAsia="Arial" w:hAnsi="Arial" w:cs="Arial"/>
          <w:sz w:val="24"/>
          <w:szCs w:val="24"/>
        </w:rPr>
        <w:t xml:space="preserve"> there is a place for single-subject teaching, but in the new WAG curriculum it expects it to be implemented throughout. There has also been an argument that using a cross-curricular approach will slowly go back into the familiar subject structure because of the demands and pressures that are put on teachers (Hayes, 2010).</w:t>
      </w:r>
    </w:p>
    <w:p w14:paraId="63C0012B" w14:textId="41B7776C" w:rsidR="7D29A2DF" w:rsidRDefault="08930F61" w:rsidP="00F376CB">
      <w:pPr>
        <w:spacing w:line="360" w:lineRule="auto"/>
        <w:rPr>
          <w:rFonts w:ascii="Arial" w:eastAsia="Arial" w:hAnsi="Arial" w:cs="Arial"/>
          <w:sz w:val="24"/>
          <w:szCs w:val="24"/>
        </w:rPr>
      </w:pPr>
      <w:r w:rsidRPr="08930F61">
        <w:rPr>
          <w:rFonts w:ascii="Arial" w:eastAsia="Arial" w:hAnsi="Arial" w:cs="Arial"/>
          <w:sz w:val="24"/>
          <w:szCs w:val="24"/>
        </w:rPr>
        <w:lastRenderedPageBreak/>
        <w:t>To look at Hayes’ (2010) work it</w:t>
      </w:r>
      <w:r w:rsidR="00A504AA">
        <w:rPr>
          <w:rFonts w:ascii="Arial" w:eastAsia="Arial" w:hAnsi="Arial" w:cs="Arial"/>
          <w:sz w:val="24"/>
          <w:szCs w:val="24"/>
        </w:rPr>
        <w:t xml:space="preserve"> is clear to see that there are </w:t>
      </w:r>
      <w:r w:rsidRPr="08930F61">
        <w:rPr>
          <w:rFonts w:ascii="Arial" w:eastAsia="Arial" w:hAnsi="Arial" w:cs="Arial"/>
          <w:sz w:val="24"/>
          <w:szCs w:val="24"/>
        </w:rPr>
        <w:t>numerous benefits to a cross-curricular approach because it allows pupils to make links between other subjects. However, he believes there is a place for a subject to be taught separately. The WAG expectation is that literacy, numeracy and digital competence should be implemented within every lesson. The reader would recommend that Rose (2009) and Barnes (2010) res</w:t>
      </w:r>
      <w:r w:rsidR="00A504AA">
        <w:rPr>
          <w:rFonts w:ascii="Arial" w:eastAsia="Arial" w:hAnsi="Arial" w:cs="Arial"/>
          <w:sz w:val="24"/>
          <w:szCs w:val="24"/>
        </w:rPr>
        <w:t>ponse could</w:t>
      </w:r>
      <w:r w:rsidRPr="08930F61">
        <w:rPr>
          <w:rFonts w:ascii="Arial" w:eastAsia="Arial" w:hAnsi="Arial" w:cs="Arial"/>
          <w:sz w:val="24"/>
          <w:szCs w:val="24"/>
        </w:rPr>
        <w:t xml:space="preserve"> be the best way forward because they see the benefit of cross-curricular teaching and not putting ‘barriers’ up between subjects. However, they do see the benefit of teaching a subject on its own, at times</w:t>
      </w:r>
      <w:r w:rsidR="00A504AA" w:rsidRPr="08930F61">
        <w:rPr>
          <w:rFonts w:ascii="Arial" w:eastAsia="Arial" w:hAnsi="Arial" w:cs="Arial"/>
          <w:sz w:val="24"/>
          <w:szCs w:val="24"/>
        </w:rPr>
        <w:t>, because</w:t>
      </w:r>
      <w:r w:rsidRPr="08930F61">
        <w:rPr>
          <w:rFonts w:ascii="Arial" w:eastAsia="Arial" w:hAnsi="Arial" w:cs="Arial"/>
          <w:sz w:val="24"/>
          <w:szCs w:val="24"/>
        </w:rPr>
        <w:t xml:space="preserve"> it can benefit the learners more than it would using a cross-curricular approach.</w:t>
      </w:r>
    </w:p>
    <w:p w14:paraId="74572E09" w14:textId="1B2BFA11" w:rsidR="08930F61" w:rsidRDefault="08930F61" w:rsidP="00F376CB">
      <w:pPr>
        <w:spacing w:line="360" w:lineRule="auto"/>
        <w:rPr>
          <w:rFonts w:ascii="Arial" w:eastAsia="Arial" w:hAnsi="Arial" w:cs="Arial"/>
          <w:sz w:val="24"/>
          <w:szCs w:val="24"/>
        </w:rPr>
      </w:pPr>
      <w:r w:rsidRPr="08930F61">
        <w:rPr>
          <w:rFonts w:ascii="Arial" w:eastAsia="Arial" w:hAnsi="Arial" w:cs="Arial"/>
          <w:sz w:val="24"/>
          <w:szCs w:val="24"/>
        </w:rPr>
        <w:t>Through my own experiences on PTE, I have observed and taken part in numerous cross-curricular activities. In some of these lessons I have been able to see the benefit, but also the limitations of including literacy,</w:t>
      </w:r>
      <w:r w:rsidR="00A504AA">
        <w:rPr>
          <w:rFonts w:ascii="Arial" w:eastAsia="Arial" w:hAnsi="Arial" w:cs="Arial"/>
          <w:sz w:val="24"/>
          <w:szCs w:val="24"/>
        </w:rPr>
        <w:t xml:space="preserve"> numeracy and digital competency</w:t>
      </w:r>
      <w:r w:rsidRPr="08930F61">
        <w:rPr>
          <w:rFonts w:ascii="Arial" w:eastAsia="Arial" w:hAnsi="Arial" w:cs="Arial"/>
          <w:sz w:val="24"/>
          <w:szCs w:val="24"/>
        </w:rPr>
        <w:t xml:space="preserve"> to the lesson. A poor activity that comes to mind is where the lesson became ‘Tokenistic’ in its cross-curricular approach. The lesson was meant to be a ‘Thematic’ approach around Space. However, the tasks set meant the lesson only increased the learning of skills in numeracy. This was due to the activities being set around the classroom only involving numeracy skills from the Literacy and Numeracy Framework (LNF) (WAG, 2015). The children had a numeracy and a literacy task which involved </w:t>
      </w:r>
      <w:r w:rsidR="00A504AA" w:rsidRPr="08930F61">
        <w:rPr>
          <w:rFonts w:ascii="Arial" w:eastAsia="Arial" w:hAnsi="Arial" w:cs="Arial"/>
          <w:sz w:val="24"/>
          <w:szCs w:val="24"/>
        </w:rPr>
        <w:t>those</w:t>
      </w:r>
      <w:r w:rsidR="00FE6CA5">
        <w:rPr>
          <w:rFonts w:ascii="Arial" w:eastAsia="Arial" w:hAnsi="Arial" w:cs="Arial"/>
          <w:sz w:val="24"/>
          <w:szCs w:val="24"/>
        </w:rPr>
        <w:t xml:space="preserve"> participating,</w:t>
      </w:r>
      <w:r w:rsidRPr="08930F61">
        <w:rPr>
          <w:rFonts w:ascii="Arial" w:eastAsia="Arial" w:hAnsi="Arial" w:cs="Arial"/>
          <w:sz w:val="24"/>
          <w:szCs w:val="24"/>
        </w:rPr>
        <w:t xml:space="preserve"> using counting skills. Then an extension activity which involved the</w:t>
      </w:r>
      <w:r w:rsidR="00A504AA">
        <w:rPr>
          <w:rFonts w:ascii="Arial" w:eastAsia="Arial" w:hAnsi="Arial" w:cs="Arial"/>
          <w:sz w:val="24"/>
          <w:szCs w:val="24"/>
        </w:rPr>
        <w:t>m supposedly using the Digital C</w:t>
      </w:r>
      <w:r w:rsidRPr="08930F61">
        <w:rPr>
          <w:rFonts w:ascii="Arial" w:eastAsia="Arial" w:hAnsi="Arial" w:cs="Arial"/>
          <w:sz w:val="24"/>
          <w:szCs w:val="24"/>
        </w:rPr>
        <w:t>ompetency Framework (DCF) to use a game which again involved counting. Barnes (2015: 66) would suggest this is a ‘Tokenistic’ because there is “no particular aim for the second subject and learning is only increased in the main subject.” This approach was clearly not cross-curricular and did not benefit anything other than numeracy.</w:t>
      </w:r>
    </w:p>
    <w:p w14:paraId="3487A059" w14:textId="35690DB7" w:rsidR="08930F61" w:rsidRDefault="0DD0EF13" w:rsidP="00F376CB">
      <w:pPr>
        <w:spacing w:line="360" w:lineRule="auto"/>
        <w:rPr>
          <w:rFonts w:ascii="Arial" w:eastAsia="Arial" w:hAnsi="Arial" w:cs="Arial"/>
          <w:sz w:val="24"/>
          <w:szCs w:val="24"/>
          <w:highlight w:val="yellow"/>
        </w:rPr>
      </w:pPr>
      <w:r w:rsidRPr="0DD0EF13">
        <w:rPr>
          <w:rFonts w:ascii="Arial" w:eastAsia="Arial" w:hAnsi="Arial" w:cs="Arial"/>
          <w:sz w:val="24"/>
          <w:szCs w:val="24"/>
        </w:rPr>
        <w:t>However, during my PTE I have also seen cross-curricular lessons that have had a positive impact on the pupils learning of the WAG expectations. This was achieved by using the theme of ‘Lego’ in the foundation phase classroom. The children were told this was their unit of work for the term. Burnette (2009) suggests that choosing a theme that, engages and excites the learners is vital for a theme based cross- curricular approach. The teacher then asked the children what they wanted to do and learn with</w:t>
      </w:r>
      <w:r w:rsidR="00A504AA">
        <w:rPr>
          <w:rFonts w:ascii="Arial" w:eastAsia="Arial" w:hAnsi="Arial" w:cs="Arial"/>
          <w:sz w:val="24"/>
          <w:szCs w:val="24"/>
        </w:rPr>
        <w:t>in</w:t>
      </w:r>
      <w:r w:rsidRPr="0DD0EF13">
        <w:rPr>
          <w:rFonts w:ascii="Arial" w:eastAsia="Arial" w:hAnsi="Arial" w:cs="Arial"/>
          <w:sz w:val="24"/>
          <w:szCs w:val="24"/>
        </w:rPr>
        <w:t xml:space="preserve"> this topic. This therefore incorporates ‘pupil voice’</w:t>
      </w:r>
      <w:r w:rsidR="00A504AA">
        <w:rPr>
          <w:rFonts w:ascii="Arial" w:eastAsia="Arial" w:hAnsi="Arial" w:cs="Arial"/>
          <w:sz w:val="24"/>
          <w:szCs w:val="24"/>
        </w:rPr>
        <w:t>,</w:t>
      </w:r>
      <w:r w:rsidRPr="0DD0EF13">
        <w:rPr>
          <w:rFonts w:ascii="Arial" w:eastAsia="Arial" w:hAnsi="Arial" w:cs="Arial"/>
          <w:sz w:val="24"/>
          <w:szCs w:val="24"/>
        </w:rPr>
        <w:t xml:space="preserve"> which as mentioned above is what Donaldson (2015) wants to see in the new curriculum and the new way of teaching. The responses given by the pupils then helped shape the </w:t>
      </w:r>
      <w:r w:rsidRPr="0DD0EF13">
        <w:rPr>
          <w:rFonts w:ascii="Arial" w:eastAsia="Arial" w:hAnsi="Arial" w:cs="Arial"/>
          <w:sz w:val="24"/>
          <w:szCs w:val="24"/>
        </w:rPr>
        <w:lastRenderedPageBreak/>
        <w:t>forthcoming lessons using a cross-curricular approach</w:t>
      </w:r>
      <w:r w:rsidR="007C4192">
        <w:rPr>
          <w:rFonts w:ascii="Arial" w:eastAsia="Arial" w:hAnsi="Arial" w:cs="Arial"/>
          <w:sz w:val="24"/>
          <w:szCs w:val="24"/>
        </w:rPr>
        <w:t>,</w:t>
      </w:r>
      <w:r w:rsidR="00A504AA">
        <w:rPr>
          <w:rFonts w:ascii="Arial" w:eastAsia="Arial" w:hAnsi="Arial" w:cs="Arial"/>
          <w:sz w:val="24"/>
          <w:szCs w:val="24"/>
        </w:rPr>
        <w:t xml:space="preserve"> </w:t>
      </w:r>
      <w:r w:rsidR="007C4192">
        <w:rPr>
          <w:rFonts w:ascii="Arial" w:eastAsia="Arial" w:hAnsi="Arial" w:cs="Arial"/>
          <w:sz w:val="24"/>
          <w:szCs w:val="24"/>
        </w:rPr>
        <w:t>w</w:t>
      </w:r>
      <w:r w:rsidRPr="0DD0EF13">
        <w:rPr>
          <w:rFonts w:ascii="Arial" w:eastAsia="Arial" w:hAnsi="Arial" w:cs="Arial"/>
          <w:sz w:val="24"/>
          <w:szCs w:val="24"/>
        </w:rPr>
        <w:t xml:space="preserve">ith them using DCF skills and literacy skills to make a ‘Lego Movie’ of their choice. They also used the ‘Lego’ to help with their numeracy skills by using it as you would with ‘Numicon’. In the following term when the theme had finished, it was then interesting to observe a pupil connect this way of using numeracy and ‘Lego’ to an enhanced provision to </w:t>
      </w:r>
      <w:r w:rsidR="00A504AA">
        <w:rPr>
          <w:rFonts w:ascii="Arial" w:eastAsia="Arial" w:hAnsi="Arial" w:cs="Arial"/>
          <w:sz w:val="24"/>
          <w:szCs w:val="24"/>
        </w:rPr>
        <w:t>solve a problem. This is what the new curriculum</w:t>
      </w:r>
      <w:r w:rsidRPr="0DD0EF13">
        <w:rPr>
          <w:rFonts w:ascii="Arial" w:eastAsia="Arial" w:hAnsi="Arial" w:cs="Arial"/>
          <w:sz w:val="24"/>
          <w:szCs w:val="24"/>
        </w:rPr>
        <w:t xml:space="preserve"> aim</w:t>
      </w:r>
      <w:r w:rsidR="00A504AA">
        <w:rPr>
          <w:rFonts w:ascii="Arial" w:eastAsia="Arial" w:hAnsi="Arial" w:cs="Arial"/>
          <w:sz w:val="24"/>
          <w:szCs w:val="24"/>
        </w:rPr>
        <w:t>s</w:t>
      </w:r>
      <w:r w:rsidRPr="0DD0EF13">
        <w:rPr>
          <w:rFonts w:ascii="Arial" w:eastAsia="Arial" w:hAnsi="Arial" w:cs="Arial"/>
          <w:sz w:val="24"/>
          <w:szCs w:val="24"/>
        </w:rPr>
        <w:t xml:space="preserve"> to achieve, when teaching w</w:t>
      </w:r>
      <w:r w:rsidR="00A504AA">
        <w:rPr>
          <w:rFonts w:ascii="Arial" w:eastAsia="Arial" w:hAnsi="Arial" w:cs="Arial"/>
          <w:sz w:val="24"/>
          <w:szCs w:val="24"/>
        </w:rPr>
        <w:t xml:space="preserve">ith a cross-curricular approach </w:t>
      </w:r>
      <w:r w:rsidR="007C4192">
        <w:rPr>
          <w:rFonts w:ascii="Arial" w:eastAsia="Arial" w:hAnsi="Arial" w:cs="Arial"/>
          <w:sz w:val="24"/>
          <w:szCs w:val="24"/>
        </w:rPr>
        <w:t>w</w:t>
      </w:r>
      <w:r w:rsidRPr="0DD0EF13">
        <w:rPr>
          <w:rFonts w:ascii="Arial" w:eastAsia="Arial" w:hAnsi="Arial" w:cs="Arial"/>
          <w:sz w:val="24"/>
          <w:szCs w:val="24"/>
        </w:rPr>
        <w:t>ith learners being able to make connections and use them in other scenarios or areas of learning (</w:t>
      </w:r>
      <w:proofErr w:type="spellStart"/>
      <w:r w:rsidRPr="0DD0EF13">
        <w:rPr>
          <w:rFonts w:ascii="Arial" w:eastAsia="Arial" w:hAnsi="Arial" w:cs="Arial"/>
          <w:sz w:val="24"/>
          <w:szCs w:val="24"/>
        </w:rPr>
        <w:t>Pimley</w:t>
      </w:r>
      <w:proofErr w:type="spellEnd"/>
      <w:r w:rsidRPr="0DD0EF13">
        <w:rPr>
          <w:rFonts w:ascii="Arial" w:eastAsia="Arial" w:hAnsi="Arial" w:cs="Arial"/>
          <w:sz w:val="24"/>
          <w:szCs w:val="24"/>
        </w:rPr>
        <w:t>, 2011).</w:t>
      </w:r>
    </w:p>
    <w:p w14:paraId="57CB95AB" w14:textId="5256075E" w:rsidR="0DD0EF13" w:rsidRDefault="0DD0EF13" w:rsidP="00F376CB">
      <w:pPr>
        <w:spacing w:line="360" w:lineRule="auto"/>
        <w:rPr>
          <w:rFonts w:ascii="Arial" w:eastAsia="Arial" w:hAnsi="Arial" w:cs="Arial"/>
          <w:sz w:val="24"/>
          <w:szCs w:val="24"/>
        </w:rPr>
      </w:pPr>
      <w:r w:rsidRPr="0DD0EF13">
        <w:rPr>
          <w:rFonts w:ascii="Arial" w:eastAsia="Arial" w:hAnsi="Arial" w:cs="Arial"/>
          <w:sz w:val="24"/>
          <w:szCs w:val="24"/>
        </w:rPr>
        <w:t>From my own experiences I have clearly seen the limitations and benefits to using a cross</w:t>
      </w:r>
      <w:r w:rsidR="00A504AA">
        <w:rPr>
          <w:rFonts w:ascii="Arial" w:eastAsia="Arial" w:hAnsi="Arial" w:cs="Arial"/>
          <w:sz w:val="24"/>
          <w:szCs w:val="24"/>
        </w:rPr>
        <w:t>-curricular approach in achieving</w:t>
      </w:r>
      <w:r w:rsidRPr="0DD0EF13">
        <w:rPr>
          <w:rFonts w:ascii="Arial" w:eastAsia="Arial" w:hAnsi="Arial" w:cs="Arial"/>
          <w:sz w:val="24"/>
          <w:szCs w:val="24"/>
        </w:rPr>
        <w:t xml:space="preserve"> the WAG expectations. With the poor lesson I observed it</w:t>
      </w:r>
      <w:r w:rsidR="007C4192">
        <w:rPr>
          <w:rFonts w:ascii="Arial" w:eastAsia="Arial" w:hAnsi="Arial" w:cs="Arial"/>
          <w:sz w:val="24"/>
          <w:szCs w:val="24"/>
        </w:rPr>
        <w:t>s’</w:t>
      </w:r>
      <w:r w:rsidRPr="0DD0EF13">
        <w:rPr>
          <w:rFonts w:ascii="Arial" w:eastAsia="Arial" w:hAnsi="Arial" w:cs="Arial"/>
          <w:sz w:val="24"/>
          <w:szCs w:val="24"/>
        </w:rPr>
        <w:t xml:space="preserve"> focus was on numeracy and did not benefit the pupils in any other area of </w:t>
      </w:r>
      <w:r w:rsidR="00A504AA">
        <w:rPr>
          <w:rFonts w:ascii="Arial" w:eastAsia="Arial" w:hAnsi="Arial" w:cs="Arial"/>
          <w:sz w:val="24"/>
          <w:szCs w:val="24"/>
        </w:rPr>
        <w:t>learning. However, in the other</w:t>
      </w:r>
      <w:r w:rsidRPr="0DD0EF13">
        <w:rPr>
          <w:rFonts w:ascii="Arial" w:eastAsia="Arial" w:hAnsi="Arial" w:cs="Arial"/>
          <w:sz w:val="24"/>
          <w:szCs w:val="24"/>
        </w:rPr>
        <w:t xml:space="preserve"> lesson I saw a way in which a cross-curricular approach can really help the pupils learning. This was achieved by including ‘pupil voice’ and choosing a theme that the pupils could engage with, to create lessons which covered numerous areas of the curriculum. </w:t>
      </w:r>
    </w:p>
    <w:p w14:paraId="37F06C0B" w14:textId="03831F2A" w:rsidR="00A504AA" w:rsidRDefault="0DD0EF13" w:rsidP="00F376CB">
      <w:pPr>
        <w:spacing w:line="360" w:lineRule="auto"/>
        <w:rPr>
          <w:rFonts w:ascii="Arial" w:eastAsia="Arial" w:hAnsi="Arial" w:cs="Arial"/>
          <w:sz w:val="24"/>
          <w:szCs w:val="24"/>
        </w:rPr>
      </w:pPr>
      <w:r w:rsidRPr="0DD0EF13">
        <w:rPr>
          <w:rFonts w:ascii="Arial" w:eastAsia="Arial" w:hAnsi="Arial" w:cs="Arial"/>
          <w:sz w:val="24"/>
          <w:szCs w:val="24"/>
        </w:rPr>
        <w:t xml:space="preserve">To </w:t>
      </w:r>
      <w:r w:rsidR="007C4192">
        <w:rPr>
          <w:rFonts w:ascii="Arial" w:eastAsia="Arial" w:hAnsi="Arial" w:cs="Arial"/>
          <w:sz w:val="24"/>
          <w:szCs w:val="24"/>
        </w:rPr>
        <w:t>offer a full analysis of</w:t>
      </w:r>
      <w:r w:rsidRPr="0DD0EF13">
        <w:rPr>
          <w:rFonts w:ascii="Arial" w:eastAsia="Arial" w:hAnsi="Arial" w:cs="Arial"/>
          <w:sz w:val="24"/>
          <w:szCs w:val="24"/>
        </w:rPr>
        <w:t xml:space="preserve"> the WAG expectation that literacy, numeracy and digital competence should be cross-curricular responsibilities</w:t>
      </w:r>
      <w:r w:rsidR="007C4192">
        <w:rPr>
          <w:rFonts w:ascii="Arial" w:eastAsia="Arial" w:hAnsi="Arial" w:cs="Arial"/>
          <w:sz w:val="24"/>
          <w:szCs w:val="24"/>
        </w:rPr>
        <w:t>, t</w:t>
      </w:r>
      <w:r w:rsidRPr="0DD0EF13">
        <w:rPr>
          <w:rFonts w:ascii="Arial" w:eastAsia="Arial" w:hAnsi="Arial" w:cs="Arial"/>
          <w:sz w:val="24"/>
          <w:szCs w:val="24"/>
        </w:rPr>
        <w:t>he writer will critique each element individually on how this expectation can be achieved.</w:t>
      </w:r>
    </w:p>
    <w:p w14:paraId="42E0BD11" w14:textId="54C0F231" w:rsidR="0DD0EF13" w:rsidRDefault="0DD0EF13" w:rsidP="00F376CB">
      <w:pPr>
        <w:spacing w:line="360" w:lineRule="auto"/>
        <w:rPr>
          <w:rFonts w:ascii="Arial" w:eastAsia="Arial" w:hAnsi="Arial" w:cs="Arial"/>
          <w:sz w:val="24"/>
          <w:szCs w:val="24"/>
        </w:rPr>
      </w:pPr>
      <w:r w:rsidRPr="0DD0EF13">
        <w:rPr>
          <w:rFonts w:ascii="Arial" w:eastAsia="Arial" w:hAnsi="Arial" w:cs="Arial"/>
          <w:sz w:val="24"/>
          <w:szCs w:val="24"/>
        </w:rPr>
        <w:t>Firstly, the writer wishes to discuss the element of literacy being taught</w:t>
      </w:r>
      <w:r w:rsidR="00A504AA">
        <w:rPr>
          <w:rFonts w:ascii="Arial" w:eastAsia="Arial" w:hAnsi="Arial" w:cs="Arial"/>
          <w:sz w:val="24"/>
          <w:szCs w:val="24"/>
        </w:rPr>
        <w:t xml:space="preserve"> using a</w:t>
      </w:r>
      <w:r w:rsidRPr="0DD0EF13">
        <w:rPr>
          <w:rFonts w:ascii="Arial" w:eastAsia="Arial" w:hAnsi="Arial" w:cs="Arial"/>
          <w:sz w:val="24"/>
          <w:szCs w:val="24"/>
        </w:rPr>
        <w:t xml:space="preserve"> cross-curricular approach. In </w:t>
      </w:r>
      <w:proofErr w:type="spellStart"/>
      <w:r w:rsidRPr="0DD0EF13">
        <w:rPr>
          <w:rFonts w:ascii="Arial" w:eastAsia="Arial" w:hAnsi="Arial" w:cs="Arial"/>
          <w:sz w:val="24"/>
          <w:szCs w:val="24"/>
        </w:rPr>
        <w:t>Didau</w:t>
      </w:r>
      <w:proofErr w:type="spellEnd"/>
      <w:r w:rsidRPr="0DD0EF13">
        <w:rPr>
          <w:rFonts w:ascii="Arial" w:eastAsia="Arial" w:hAnsi="Arial" w:cs="Arial"/>
          <w:sz w:val="24"/>
          <w:szCs w:val="24"/>
        </w:rPr>
        <w:t xml:space="preserve"> (2014: 17), he states what most teachers would say “You really can’t ‘do’ the science then ‘do’ the literacy; they’re inseparable.” </w:t>
      </w:r>
      <w:r w:rsidR="00A504AA">
        <w:rPr>
          <w:rFonts w:ascii="Arial" w:eastAsia="Arial" w:hAnsi="Arial" w:cs="Arial"/>
          <w:sz w:val="24"/>
          <w:szCs w:val="24"/>
        </w:rPr>
        <w:t>This suggests</w:t>
      </w:r>
      <w:r w:rsidRPr="0DD0EF13">
        <w:rPr>
          <w:rFonts w:ascii="Arial" w:eastAsia="Arial" w:hAnsi="Arial" w:cs="Arial"/>
          <w:sz w:val="24"/>
          <w:szCs w:val="24"/>
        </w:rPr>
        <w:t xml:space="preserve"> that literacy is not a separate part of a subject but needs to be found within the subject naturally. This therefore suggests that literacy should not be forced into the subject that is being taught but rather imbedded in naturally. </w:t>
      </w:r>
      <w:proofErr w:type="spellStart"/>
      <w:r w:rsidRPr="0DD0EF13">
        <w:rPr>
          <w:rFonts w:ascii="Arial" w:eastAsia="Arial" w:hAnsi="Arial" w:cs="Arial"/>
          <w:sz w:val="24"/>
          <w:szCs w:val="24"/>
        </w:rPr>
        <w:t>Cremin</w:t>
      </w:r>
      <w:proofErr w:type="spellEnd"/>
      <w:r w:rsidRPr="0DD0EF13">
        <w:rPr>
          <w:rFonts w:ascii="Arial" w:eastAsia="Arial" w:hAnsi="Arial" w:cs="Arial"/>
          <w:sz w:val="24"/>
          <w:szCs w:val="24"/>
        </w:rPr>
        <w:t xml:space="preserve"> (2009) suggests that literacy can be </w:t>
      </w:r>
      <w:r w:rsidR="005E5506">
        <w:rPr>
          <w:rFonts w:ascii="Arial" w:eastAsia="Arial" w:hAnsi="Arial" w:cs="Arial"/>
          <w:sz w:val="24"/>
          <w:szCs w:val="24"/>
        </w:rPr>
        <w:t xml:space="preserve">taught using a </w:t>
      </w:r>
      <w:r w:rsidRPr="0DD0EF13">
        <w:rPr>
          <w:rFonts w:ascii="Arial" w:eastAsia="Arial" w:hAnsi="Arial" w:cs="Arial"/>
          <w:sz w:val="24"/>
          <w:szCs w:val="24"/>
        </w:rPr>
        <w:t>cross-curricular</w:t>
      </w:r>
      <w:r w:rsidR="005E5506">
        <w:rPr>
          <w:rFonts w:ascii="Arial" w:eastAsia="Arial" w:hAnsi="Arial" w:cs="Arial"/>
          <w:sz w:val="24"/>
          <w:szCs w:val="24"/>
        </w:rPr>
        <w:t xml:space="preserve"> approach</w:t>
      </w:r>
      <w:r w:rsidRPr="0DD0EF13">
        <w:rPr>
          <w:rFonts w:ascii="Arial" w:eastAsia="Arial" w:hAnsi="Arial" w:cs="Arial"/>
          <w:sz w:val="24"/>
          <w:szCs w:val="24"/>
        </w:rPr>
        <w:t xml:space="preserve"> in a creative way. Jeffrey and Woods (2009) argue this should be achieved with the pupils having ownership and control over the way in which they learn literacy, in the curriculum. This therefore shows the importance of pupils having a say in their learning and the ways in which they wish to learn literacy</w:t>
      </w:r>
      <w:r w:rsidR="007C4192">
        <w:rPr>
          <w:rFonts w:ascii="Arial" w:eastAsia="Arial" w:hAnsi="Arial" w:cs="Arial"/>
          <w:sz w:val="24"/>
          <w:szCs w:val="24"/>
        </w:rPr>
        <w:t>,</w:t>
      </w:r>
      <w:r w:rsidRPr="0DD0EF13">
        <w:rPr>
          <w:rFonts w:ascii="Arial" w:eastAsia="Arial" w:hAnsi="Arial" w:cs="Arial"/>
          <w:sz w:val="24"/>
          <w:szCs w:val="24"/>
        </w:rPr>
        <w:t xml:space="preserve"> </w:t>
      </w:r>
      <w:r w:rsidR="007C4192">
        <w:rPr>
          <w:rFonts w:ascii="Arial" w:eastAsia="Arial" w:hAnsi="Arial" w:cs="Arial"/>
          <w:sz w:val="24"/>
          <w:szCs w:val="24"/>
        </w:rPr>
        <w:t>w</w:t>
      </w:r>
      <w:r w:rsidRPr="0DD0EF13">
        <w:rPr>
          <w:rFonts w:ascii="Arial" w:eastAsia="Arial" w:hAnsi="Arial" w:cs="Arial"/>
          <w:sz w:val="24"/>
          <w:szCs w:val="24"/>
        </w:rPr>
        <w:t>hich could be done using a cross-curricular approach.</w:t>
      </w:r>
    </w:p>
    <w:p w14:paraId="193B4840" w14:textId="4D38E962" w:rsidR="0DD0EF13" w:rsidRDefault="0DD0EF13" w:rsidP="00F376CB">
      <w:pPr>
        <w:spacing w:line="360" w:lineRule="auto"/>
        <w:rPr>
          <w:rFonts w:ascii="Arial" w:eastAsia="Arial" w:hAnsi="Arial" w:cs="Arial"/>
          <w:sz w:val="24"/>
          <w:szCs w:val="24"/>
        </w:rPr>
      </w:pPr>
      <w:r w:rsidRPr="0DD0EF13">
        <w:rPr>
          <w:rFonts w:ascii="Arial" w:eastAsia="Arial" w:hAnsi="Arial" w:cs="Arial"/>
          <w:sz w:val="24"/>
          <w:szCs w:val="24"/>
        </w:rPr>
        <w:t xml:space="preserve">From Pound and Lee’s (2015) research of Rose Review (Rose, 2009) and the Cambridge Primary Review (Alexander, 2010) they concluded that pupils learn </w:t>
      </w:r>
      <w:r w:rsidRPr="0DD0EF13">
        <w:rPr>
          <w:rFonts w:ascii="Arial" w:eastAsia="Arial" w:hAnsi="Arial" w:cs="Arial"/>
          <w:sz w:val="24"/>
          <w:szCs w:val="24"/>
        </w:rPr>
        <w:lastRenderedPageBreak/>
        <w:t>numeracy skills “best at the time when they need to use them in meaningful, relevant and real contexts.” (Pound and Lee, 2015:96). Cross-curricular teaching allows this to happen because Barnes (2015) suggest</w:t>
      </w:r>
      <w:r w:rsidR="007C4192">
        <w:rPr>
          <w:rFonts w:ascii="Arial" w:eastAsia="Arial" w:hAnsi="Arial" w:cs="Arial"/>
          <w:sz w:val="24"/>
          <w:szCs w:val="24"/>
        </w:rPr>
        <w:t>s</w:t>
      </w:r>
      <w:r w:rsidRPr="0DD0EF13">
        <w:rPr>
          <w:rFonts w:ascii="Arial" w:eastAsia="Arial" w:hAnsi="Arial" w:cs="Arial"/>
          <w:sz w:val="24"/>
          <w:szCs w:val="24"/>
        </w:rPr>
        <w:t xml:space="preserve"> that the overarching theme chosen for the cross curricular approach should be relevant and meaningful to the pupils. Askew (2012) also partially supports numeracy being taught using a cross-curricular approach. He suggests this approach allows pupils to acquire </w:t>
      </w:r>
      <w:r w:rsidR="005E5506">
        <w:rPr>
          <w:rFonts w:ascii="Arial" w:eastAsia="Arial" w:hAnsi="Arial" w:cs="Arial"/>
          <w:sz w:val="24"/>
          <w:szCs w:val="24"/>
        </w:rPr>
        <w:t xml:space="preserve">the </w:t>
      </w:r>
      <w:r w:rsidRPr="0DD0EF13">
        <w:rPr>
          <w:rFonts w:ascii="Arial" w:eastAsia="Arial" w:hAnsi="Arial" w:cs="Arial"/>
          <w:sz w:val="24"/>
          <w:szCs w:val="24"/>
        </w:rPr>
        <w:t xml:space="preserve">learning </w:t>
      </w:r>
      <w:r w:rsidR="005E5506">
        <w:rPr>
          <w:rFonts w:ascii="Arial" w:eastAsia="Arial" w:hAnsi="Arial" w:cs="Arial"/>
          <w:sz w:val="24"/>
          <w:szCs w:val="24"/>
        </w:rPr>
        <w:t xml:space="preserve">of </w:t>
      </w:r>
      <w:r w:rsidRPr="0DD0EF13">
        <w:rPr>
          <w:rFonts w:ascii="Arial" w:eastAsia="Arial" w:hAnsi="Arial" w:cs="Arial"/>
          <w:sz w:val="24"/>
          <w:szCs w:val="24"/>
        </w:rPr>
        <w:t>numeracy unintentionally because they are lea</w:t>
      </w:r>
      <w:r w:rsidR="004E7A83">
        <w:rPr>
          <w:rFonts w:ascii="Arial" w:eastAsia="Arial" w:hAnsi="Arial" w:cs="Arial"/>
          <w:sz w:val="24"/>
          <w:szCs w:val="24"/>
        </w:rPr>
        <w:t>r</w:t>
      </w:r>
      <w:r w:rsidRPr="0DD0EF13">
        <w:rPr>
          <w:rFonts w:ascii="Arial" w:eastAsia="Arial" w:hAnsi="Arial" w:cs="Arial"/>
          <w:sz w:val="24"/>
          <w:szCs w:val="24"/>
        </w:rPr>
        <w:t>ning it through the means of a topic or theme</w:t>
      </w:r>
      <w:r w:rsidR="004E7A83">
        <w:rPr>
          <w:rFonts w:ascii="Arial" w:eastAsia="Arial" w:hAnsi="Arial" w:cs="Arial"/>
          <w:sz w:val="24"/>
          <w:szCs w:val="24"/>
        </w:rPr>
        <w:t>, w</w:t>
      </w:r>
      <w:r w:rsidRPr="0DD0EF13">
        <w:rPr>
          <w:rFonts w:ascii="Arial" w:eastAsia="Arial" w:hAnsi="Arial" w:cs="Arial"/>
          <w:sz w:val="24"/>
          <w:szCs w:val="24"/>
        </w:rPr>
        <w:t>hich they can take and apply to other contexts.</w:t>
      </w:r>
    </w:p>
    <w:p w14:paraId="6D50FC42" w14:textId="47057AF4" w:rsidR="0DD0EF13" w:rsidRDefault="0DD0EF13" w:rsidP="00F376CB">
      <w:pPr>
        <w:spacing w:line="360" w:lineRule="auto"/>
        <w:rPr>
          <w:rFonts w:ascii="Arial" w:eastAsia="Arial" w:hAnsi="Arial" w:cs="Arial"/>
          <w:sz w:val="24"/>
          <w:szCs w:val="24"/>
        </w:rPr>
      </w:pPr>
      <w:r w:rsidRPr="0DD0EF13">
        <w:rPr>
          <w:rFonts w:ascii="Arial" w:eastAsia="Arial" w:hAnsi="Arial" w:cs="Arial"/>
          <w:sz w:val="24"/>
          <w:szCs w:val="24"/>
        </w:rPr>
        <w:t>However, he does realise teaching using a cross-curricular approach has some implications. Askew (2012: 22) suggests that although</w:t>
      </w:r>
      <w:r w:rsidR="005E5506">
        <w:rPr>
          <w:rFonts w:ascii="Arial" w:eastAsia="Arial" w:hAnsi="Arial" w:cs="Arial"/>
          <w:sz w:val="24"/>
          <w:szCs w:val="24"/>
        </w:rPr>
        <w:t xml:space="preserve"> the</w:t>
      </w:r>
      <w:r w:rsidRPr="0DD0EF13">
        <w:rPr>
          <w:rFonts w:ascii="Arial" w:eastAsia="Arial" w:hAnsi="Arial" w:cs="Arial"/>
          <w:sz w:val="24"/>
          <w:szCs w:val="24"/>
        </w:rPr>
        <w:t xml:space="preserve"> numeracy curriculum might have been taught this way, pupils may have “gained little sense of what </w:t>
      </w:r>
      <w:r w:rsidRPr="0DD0EF13">
        <w:rPr>
          <w:rFonts w:ascii="Arial" w:eastAsia="Arial" w:hAnsi="Arial" w:cs="Arial"/>
          <w:i/>
          <w:iCs/>
          <w:sz w:val="24"/>
          <w:szCs w:val="24"/>
        </w:rPr>
        <w:t xml:space="preserve">numeracy </w:t>
      </w:r>
      <w:r w:rsidRPr="0DD0EF13">
        <w:rPr>
          <w:rFonts w:ascii="Arial" w:eastAsia="Arial" w:hAnsi="Arial" w:cs="Arial"/>
          <w:sz w:val="24"/>
          <w:szCs w:val="24"/>
        </w:rPr>
        <w:t xml:space="preserve">as a unified whole is.” He suggests there should be a balance between single-subject teaching of numeracy and using a cross-curricular approach. There have also been criticisms of cross-curricular work in numeracy by </w:t>
      </w:r>
      <w:proofErr w:type="spellStart"/>
      <w:r w:rsidRPr="0DD0EF13">
        <w:rPr>
          <w:rFonts w:ascii="Arial" w:eastAsia="Arial" w:hAnsi="Arial" w:cs="Arial"/>
          <w:sz w:val="24"/>
          <w:szCs w:val="24"/>
        </w:rPr>
        <w:t>Upitis</w:t>
      </w:r>
      <w:proofErr w:type="spellEnd"/>
      <w:r w:rsidRPr="0DD0EF13">
        <w:rPr>
          <w:rFonts w:ascii="Arial" w:eastAsia="Arial" w:hAnsi="Arial" w:cs="Arial"/>
          <w:sz w:val="24"/>
          <w:szCs w:val="24"/>
        </w:rPr>
        <w:t xml:space="preserve"> et al. (1997). He reminds us that it involves much more than “doing sums on pumpkin shaped paper because </w:t>
      </w:r>
      <w:r w:rsidR="005E5506" w:rsidRPr="0DD0EF13">
        <w:rPr>
          <w:rFonts w:ascii="Arial" w:eastAsia="Arial" w:hAnsi="Arial" w:cs="Arial"/>
          <w:sz w:val="24"/>
          <w:szCs w:val="24"/>
        </w:rPr>
        <w:t>it’s</w:t>
      </w:r>
      <w:r w:rsidRPr="0DD0EF13">
        <w:rPr>
          <w:rFonts w:ascii="Arial" w:eastAsia="Arial" w:hAnsi="Arial" w:cs="Arial"/>
          <w:sz w:val="24"/>
          <w:szCs w:val="24"/>
        </w:rPr>
        <w:t xml:space="preserve"> Halloween” (Askew, 2012: 112). This only lessens the learning of both numeracy and art. This suggests that teaching of cross-curricular lesson needs to be taught with caution and a real knowledge of what cross-curricular teaching should be.</w:t>
      </w:r>
    </w:p>
    <w:p w14:paraId="10C80F00" w14:textId="5D732937" w:rsidR="0DD0EF13" w:rsidRDefault="0DD0EF13" w:rsidP="00F376CB">
      <w:pPr>
        <w:spacing w:line="360" w:lineRule="auto"/>
        <w:rPr>
          <w:rFonts w:ascii="Arial" w:eastAsia="Arial" w:hAnsi="Arial" w:cs="Arial"/>
          <w:sz w:val="24"/>
          <w:szCs w:val="24"/>
        </w:rPr>
      </w:pPr>
      <w:r w:rsidRPr="0DD0EF13">
        <w:rPr>
          <w:rFonts w:ascii="Arial" w:eastAsia="Arial" w:hAnsi="Arial" w:cs="Arial"/>
          <w:sz w:val="24"/>
          <w:szCs w:val="24"/>
        </w:rPr>
        <w:t>With the new curriculum coming into place, it is clear to see that digital competence has become important</w:t>
      </w:r>
      <w:r w:rsidR="005E5506">
        <w:rPr>
          <w:rFonts w:ascii="Arial" w:eastAsia="Arial" w:hAnsi="Arial" w:cs="Arial"/>
          <w:sz w:val="24"/>
          <w:szCs w:val="24"/>
        </w:rPr>
        <w:t>,</w:t>
      </w:r>
      <w:r w:rsidRPr="0DD0EF13">
        <w:rPr>
          <w:rFonts w:ascii="Arial" w:eastAsia="Arial" w:hAnsi="Arial" w:cs="Arial"/>
          <w:sz w:val="24"/>
          <w:szCs w:val="24"/>
        </w:rPr>
        <w:t xml:space="preserve"> when teaching a cross-curricular approach. From Payton and Hague (2010) research, it is clear to see the importance of digital competence and how it can help develop understanding of other subjects using a cross-curricular approach. </w:t>
      </w:r>
      <w:proofErr w:type="spellStart"/>
      <w:r w:rsidRPr="0DD0EF13">
        <w:rPr>
          <w:rFonts w:ascii="Arial" w:eastAsia="Arial" w:hAnsi="Arial" w:cs="Arial"/>
          <w:sz w:val="24"/>
          <w:szCs w:val="24"/>
        </w:rPr>
        <w:t>Younie</w:t>
      </w:r>
      <w:proofErr w:type="spellEnd"/>
      <w:r w:rsidRPr="0DD0EF13">
        <w:rPr>
          <w:rFonts w:ascii="Arial" w:eastAsia="Arial" w:hAnsi="Arial" w:cs="Arial"/>
          <w:sz w:val="24"/>
          <w:szCs w:val="24"/>
        </w:rPr>
        <w:t>, Leask and Burden (2015) also agree that digital competence is a great asset, especially in research projects. For example, in history or geography where they might need to find information or an alternative view, which sometimes a book might not be able to offer. However, from parts of the writer</w:t>
      </w:r>
      <w:r w:rsidR="004E7A83">
        <w:rPr>
          <w:rFonts w:ascii="Arial" w:eastAsia="Arial" w:hAnsi="Arial" w:cs="Arial"/>
          <w:sz w:val="24"/>
          <w:szCs w:val="24"/>
        </w:rPr>
        <w:t>’</w:t>
      </w:r>
      <w:r w:rsidRPr="0DD0EF13">
        <w:rPr>
          <w:rFonts w:ascii="Arial" w:eastAsia="Arial" w:hAnsi="Arial" w:cs="Arial"/>
          <w:sz w:val="24"/>
          <w:szCs w:val="24"/>
        </w:rPr>
        <w:t>s PTE experiences the digital competency aspect of the lesson has been several laptops in the corner of the room used as an extension task, not contributing to the pupils learning. Therefore, it is important that the teaching and learning of digital competence is relevant and has purpose to that lesson.</w:t>
      </w:r>
    </w:p>
    <w:p w14:paraId="507645F8" w14:textId="239CBE87" w:rsidR="0DD0EF13" w:rsidRDefault="0DD0EF13" w:rsidP="00F376CB">
      <w:pPr>
        <w:spacing w:line="360" w:lineRule="auto"/>
        <w:rPr>
          <w:rFonts w:ascii="Arial" w:eastAsia="Arial" w:hAnsi="Arial" w:cs="Arial"/>
          <w:sz w:val="24"/>
          <w:szCs w:val="24"/>
        </w:rPr>
      </w:pPr>
      <w:r w:rsidRPr="0DD0EF13">
        <w:rPr>
          <w:rFonts w:ascii="Arial" w:eastAsia="Arial" w:hAnsi="Arial" w:cs="Arial"/>
          <w:sz w:val="24"/>
          <w:szCs w:val="24"/>
        </w:rPr>
        <w:lastRenderedPageBreak/>
        <w:t xml:space="preserve">To conclude, it is clear to see the importance of the WAG expectation that literacy, numeracy and digital competence should be taught using a cross-curricular approach is vital to the new curriculum in Wales. There is a large support for cross-curricular teaching with works from theorists such as Barnes (2015) and Donaldson (2015) </w:t>
      </w:r>
      <w:r w:rsidR="004E7A83">
        <w:rPr>
          <w:rFonts w:ascii="Arial" w:eastAsia="Arial" w:hAnsi="Arial" w:cs="Arial"/>
          <w:sz w:val="24"/>
          <w:szCs w:val="24"/>
        </w:rPr>
        <w:t>w</w:t>
      </w:r>
      <w:r w:rsidRPr="0DD0EF13">
        <w:rPr>
          <w:rFonts w:ascii="Arial" w:eastAsia="Arial" w:hAnsi="Arial" w:cs="Arial"/>
          <w:sz w:val="24"/>
          <w:szCs w:val="24"/>
        </w:rPr>
        <w:t>ith them showing the benefits that this approach can have on pupils learning. However, there</w:t>
      </w:r>
      <w:r w:rsidR="00F376CB">
        <w:rPr>
          <w:rFonts w:ascii="Arial" w:eastAsia="Arial" w:hAnsi="Arial" w:cs="Arial"/>
          <w:sz w:val="24"/>
          <w:szCs w:val="24"/>
        </w:rPr>
        <w:t xml:space="preserve"> is some criticism of using a cross-curricular</w:t>
      </w:r>
      <w:r w:rsidRPr="0DD0EF13">
        <w:rPr>
          <w:rFonts w:ascii="Arial" w:eastAsia="Arial" w:hAnsi="Arial" w:cs="Arial"/>
          <w:sz w:val="24"/>
          <w:szCs w:val="24"/>
        </w:rPr>
        <w:t xml:space="preserve"> approach</w:t>
      </w:r>
      <w:r w:rsidR="005E5506">
        <w:rPr>
          <w:rFonts w:ascii="Arial" w:eastAsia="Arial" w:hAnsi="Arial" w:cs="Arial"/>
          <w:sz w:val="24"/>
          <w:szCs w:val="24"/>
        </w:rPr>
        <w:t>,</w:t>
      </w:r>
      <w:r w:rsidR="00F376CB">
        <w:rPr>
          <w:rFonts w:ascii="Arial" w:eastAsia="Arial" w:hAnsi="Arial" w:cs="Arial"/>
          <w:sz w:val="24"/>
          <w:szCs w:val="24"/>
        </w:rPr>
        <w:t xml:space="preserve"> </w:t>
      </w:r>
      <w:r w:rsidR="00F376CB" w:rsidRPr="00F376CB">
        <w:rPr>
          <w:rFonts w:ascii="Arial" w:eastAsia="Arial" w:hAnsi="Arial" w:cs="Arial"/>
          <w:sz w:val="24"/>
          <w:szCs w:val="24"/>
        </w:rPr>
        <w:t>from</w:t>
      </w:r>
      <w:r w:rsidRPr="00F376CB">
        <w:rPr>
          <w:rFonts w:ascii="Arial" w:eastAsia="Arial" w:hAnsi="Arial" w:cs="Arial"/>
          <w:sz w:val="24"/>
          <w:szCs w:val="24"/>
        </w:rPr>
        <w:t xml:space="preserve"> Hayes</w:t>
      </w:r>
      <w:r w:rsidRPr="004E7A83">
        <w:rPr>
          <w:rFonts w:ascii="Arial" w:eastAsia="Arial" w:hAnsi="Arial" w:cs="Arial"/>
          <w:sz w:val="24"/>
          <w:szCs w:val="24"/>
          <w:u w:val="single"/>
        </w:rPr>
        <w:t xml:space="preserve"> </w:t>
      </w:r>
      <w:r w:rsidRPr="0DD0EF13">
        <w:rPr>
          <w:rFonts w:ascii="Arial" w:eastAsia="Arial" w:hAnsi="Arial" w:cs="Arial"/>
          <w:sz w:val="24"/>
          <w:szCs w:val="24"/>
        </w:rPr>
        <w:t>(2010)</w:t>
      </w:r>
      <w:r w:rsidR="005E5506">
        <w:rPr>
          <w:rFonts w:ascii="Arial" w:eastAsia="Arial" w:hAnsi="Arial" w:cs="Arial"/>
          <w:sz w:val="24"/>
          <w:szCs w:val="24"/>
        </w:rPr>
        <w:t>. He shows</w:t>
      </w:r>
      <w:r w:rsidRPr="0DD0EF13">
        <w:rPr>
          <w:rFonts w:ascii="Arial" w:eastAsia="Arial" w:hAnsi="Arial" w:cs="Arial"/>
          <w:sz w:val="24"/>
          <w:szCs w:val="24"/>
        </w:rPr>
        <w:t xml:space="preserve"> so</w:t>
      </w:r>
      <w:r w:rsidR="005E5506">
        <w:rPr>
          <w:rFonts w:ascii="Arial" w:eastAsia="Arial" w:hAnsi="Arial" w:cs="Arial"/>
          <w:sz w:val="24"/>
          <w:szCs w:val="24"/>
        </w:rPr>
        <w:t>me concerns over the approach because</w:t>
      </w:r>
      <w:r w:rsidR="00F376CB">
        <w:rPr>
          <w:rFonts w:ascii="Arial" w:eastAsia="Arial" w:hAnsi="Arial" w:cs="Arial"/>
          <w:sz w:val="24"/>
          <w:szCs w:val="24"/>
        </w:rPr>
        <w:t xml:space="preserve"> </w:t>
      </w:r>
      <w:proofErr w:type="spellStart"/>
      <w:r w:rsidR="00F376CB">
        <w:rPr>
          <w:rFonts w:ascii="Arial" w:eastAsia="Arial" w:hAnsi="Arial" w:cs="Arial"/>
          <w:sz w:val="24"/>
          <w:szCs w:val="24"/>
        </w:rPr>
        <w:t>be</w:t>
      </w:r>
      <w:proofErr w:type="spellEnd"/>
      <w:r w:rsidR="00F376CB">
        <w:rPr>
          <w:rFonts w:ascii="Arial" w:eastAsia="Arial" w:hAnsi="Arial" w:cs="Arial"/>
          <w:sz w:val="24"/>
          <w:szCs w:val="24"/>
        </w:rPr>
        <w:t xml:space="preserve"> suggests</w:t>
      </w:r>
      <w:r w:rsidRPr="0DD0EF13">
        <w:rPr>
          <w:rFonts w:ascii="Arial" w:eastAsia="Arial" w:hAnsi="Arial" w:cs="Arial"/>
          <w:sz w:val="24"/>
          <w:szCs w:val="24"/>
        </w:rPr>
        <w:t xml:space="preserve"> single-subject teaching </w:t>
      </w:r>
      <w:r w:rsidR="00F376CB">
        <w:rPr>
          <w:rFonts w:ascii="Arial" w:eastAsia="Arial" w:hAnsi="Arial" w:cs="Arial"/>
          <w:sz w:val="24"/>
          <w:szCs w:val="24"/>
        </w:rPr>
        <w:t>can sometimes have</w:t>
      </w:r>
      <w:r w:rsidRPr="0DD0EF13">
        <w:rPr>
          <w:rFonts w:ascii="Arial" w:eastAsia="Arial" w:hAnsi="Arial" w:cs="Arial"/>
          <w:sz w:val="24"/>
          <w:szCs w:val="24"/>
        </w:rPr>
        <w:t xml:space="preserve"> a greater impact on the pupils. There are also some researchers who have found a medium ground with a mix of using a cross-curricular approach and single-subject teaching to clarify some learning (Rose, 2009).</w:t>
      </w:r>
    </w:p>
    <w:p w14:paraId="35DB32E0" w14:textId="65B26F2F" w:rsidR="0DD0EF13" w:rsidRDefault="0DD0EF13" w:rsidP="00F376CB">
      <w:pPr>
        <w:spacing w:line="360" w:lineRule="auto"/>
        <w:rPr>
          <w:rFonts w:ascii="Arial" w:eastAsia="Arial" w:hAnsi="Arial" w:cs="Arial"/>
          <w:sz w:val="24"/>
          <w:szCs w:val="24"/>
        </w:rPr>
      </w:pPr>
      <w:r w:rsidRPr="0DD0EF13">
        <w:rPr>
          <w:rFonts w:ascii="Arial" w:eastAsia="Arial" w:hAnsi="Arial" w:cs="Arial"/>
          <w:sz w:val="24"/>
          <w:szCs w:val="24"/>
        </w:rPr>
        <w:t>Th</w:t>
      </w:r>
      <w:r w:rsidR="004E7A83">
        <w:rPr>
          <w:rFonts w:ascii="Arial" w:eastAsia="Arial" w:hAnsi="Arial" w:cs="Arial"/>
          <w:sz w:val="24"/>
          <w:szCs w:val="24"/>
        </w:rPr>
        <w:t>r</w:t>
      </w:r>
      <w:r w:rsidRPr="0DD0EF13">
        <w:rPr>
          <w:rFonts w:ascii="Arial" w:eastAsia="Arial" w:hAnsi="Arial" w:cs="Arial"/>
          <w:sz w:val="24"/>
          <w:szCs w:val="24"/>
        </w:rPr>
        <w:t>ough the writer</w:t>
      </w:r>
      <w:r w:rsidR="004E7A83">
        <w:rPr>
          <w:rFonts w:ascii="Arial" w:eastAsia="Arial" w:hAnsi="Arial" w:cs="Arial"/>
          <w:sz w:val="24"/>
          <w:szCs w:val="24"/>
        </w:rPr>
        <w:t>’</w:t>
      </w:r>
      <w:r w:rsidRPr="0DD0EF13">
        <w:rPr>
          <w:rFonts w:ascii="Arial" w:eastAsia="Arial" w:hAnsi="Arial" w:cs="Arial"/>
          <w:sz w:val="24"/>
          <w:szCs w:val="24"/>
        </w:rPr>
        <w:t>s own PTE, he has seen the benefit of learning using a cross-curricular approach</w:t>
      </w:r>
      <w:r w:rsidR="004E7A83">
        <w:rPr>
          <w:rFonts w:ascii="Arial" w:eastAsia="Arial" w:hAnsi="Arial" w:cs="Arial"/>
          <w:sz w:val="24"/>
          <w:szCs w:val="24"/>
        </w:rPr>
        <w:t>,</w:t>
      </w:r>
      <w:r w:rsidRPr="0DD0EF13">
        <w:rPr>
          <w:rFonts w:ascii="Arial" w:eastAsia="Arial" w:hAnsi="Arial" w:cs="Arial"/>
          <w:sz w:val="24"/>
          <w:szCs w:val="24"/>
        </w:rPr>
        <w:t xml:space="preserve"> can have in schools. Therefore, from this research and PTE the writer will aim in the future to teach these three expectations in every lesson in a way that will benefit the learning and is relevant and has a purpose to the task.</w:t>
      </w:r>
    </w:p>
    <w:p w14:paraId="4784B818" w14:textId="2B3E44D0" w:rsidR="0DD0EF13" w:rsidRDefault="0DD0EF13" w:rsidP="00F376CB">
      <w:pPr>
        <w:spacing w:line="360" w:lineRule="auto"/>
        <w:rPr>
          <w:rFonts w:ascii="Arial" w:eastAsia="Arial" w:hAnsi="Arial" w:cs="Arial"/>
          <w:sz w:val="24"/>
          <w:szCs w:val="24"/>
        </w:rPr>
      </w:pPr>
      <w:r w:rsidRPr="0DD0EF13">
        <w:rPr>
          <w:rFonts w:ascii="Arial" w:eastAsia="Arial" w:hAnsi="Arial" w:cs="Arial"/>
          <w:sz w:val="24"/>
          <w:szCs w:val="24"/>
        </w:rPr>
        <w:t>Finally, the writer would recommend that the WAG expectation that literacy,</w:t>
      </w:r>
      <w:r w:rsidR="005E5506">
        <w:rPr>
          <w:rFonts w:ascii="Arial" w:eastAsia="Arial" w:hAnsi="Arial" w:cs="Arial"/>
          <w:sz w:val="24"/>
          <w:szCs w:val="24"/>
        </w:rPr>
        <w:t xml:space="preserve"> numeracy and digital competency</w:t>
      </w:r>
      <w:r w:rsidRPr="0DD0EF13">
        <w:rPr>
          <w:rFonts w:ascii="Arial" w:eastAsia="Arial" w:hAnsi="Arial" w:cs="Arial"/>
          <w:sz w:val="24"/>
          <w:szCs w:val="24"/>
        </w:rPr>
        <w:t xml:space="preserve"> be</w:t>
      </w:r>
      <w:r w:rsidR="005E5506">
        <w:rPr>
          <w:rFonts w:ascii="Arial" w:eastAsia="Arial" w:hAnsi="Arial" w:cs="Arial"/>
          <w:sz w:val="24"/>
          <w:szCs w:val="24"/>
        </w:rPr>
        <w:t>ing</w:t>
      </w:r>
      <w:r w:rsidRPr="0DD0EF13">
        <w:rPr>
          <w:rFonts w:ascii="Arial" w:eastAsia="Arial" w:hAnsi="Arial" w:cs="Arial"/>
          <w:sz w:val="24"/>
          <w:szCs w:val="24"/>
        </w:rPr>
        <w:t xml:space="preserve"> taught throughout the curriculum will benefit the teaching and learning. However, for this to be even more successful</w:t>
      </w:r>
      <w:r w:rsidR="004E7A83">
        <w:rPr>
          <w:rFonts w:ascii="Arial" w:eastAsia="Arial" w:hAnsi="Arial" w:cs="Arial"/>
          <w:sz w:val="24"/>
          <w:szCs w:val="24"/>
        </w:rPr>
        <w:t xml:space="preserve"> t</w:t>
      </w:r>
      <w:r w:rsidRPr="0DD0EF13">
        <w:rPr>
          <w:rFonts w:ascii="Arial" w:eastAsia="Arial" w:hAnsi="Arial" w:cs="Arial"/>
          <w:sz w:val="24"/>
          <w:szCs w:val="24"/>
        </w:rPr>
        <w:t>he writer recommends that there are annual reviews by each school of how they are finding the new curriculum and if any changes are necessary. The WAG should then take this on board to review and alter the curriculum to improve that standards further in Wales.</w:t>
      </w:r>
    </w:p>
    <w:p w14:paraId="27A73A5E" w14:textId="2E1D5D0B" w:rsidR="7D29A2DF" w:rsidRDefault="7D29A2DF" w:rsidP="00F376CB">
      <w:pPr>
        <w:spacing w:line="360" w:lineRule="auto"/>
        <w:rPr>
          <w:rFonts w:ascii="Arial" w:eastAsia="Arial" w:hAnsi="Arial" w:cs="Arial"/>
          <w:sz w:val="24"/>
          <w:szCs w:val="24"/>
        </w:rPr>
      </w:pPr>
    </w:p>
    <w:p w14:paraId="620C69FF" w14:textId="187968B9" w:rsidR="7D29A2DF" w:rsidRDefault="7D29A2DF" w:rsidP="00F376CB">
      <w:pPr>
        <w:spacing w:line="360" w:lineRule="auto"/>
        <w:rPr>
          <w:rFonts w:ascii="Arial" w:eastAsia="Arial" w:hAnsi="Arial" w:cs="Arial"/>
          <w:sz w:val="24"/>
          <w:szCs w:val="24"/>
        </w:rPr>
      </w:pPr>
    </w:p>
    <w:p w14:paraId="2FCD92FA" w14:textId="77777777" w:rsidR="00F663DA" w:rsidRDefault="00F663DA" w:rsidP="00F376CB">
      <w:pPr>
        <w:spacing w:line="360" w:lineRule="auto"/>
        <w:rPr>
          <w:rFonts w:ascii="Arial" w:eastAsia="Arial" w:hAnsi="Arial" w:cs="Arial"/>
          <w:sz w:val="24"/>
          <w:szCs w:val="24"/>
        </w:rPr>
      </w:pPr>
    </w:p>
    <w:p w14:paraId="7C8C5E54" w14:textId="77777777" w:rsidR="00F663DA" w:rsidRDefault="00F663DA" w:rsidP="00F376CB">
      <w:pPr>
        <w:spacing w:line="360" w:lineRule="auto"/>
        <w:rPr>
          <w:rFonts w:ascii="Arial" w:eastAsia="Arial" w:hAnsi="Arial" w:cs="Arial"/>
          <w:sz w:val="24"/>
          <w:szCs w:val="24"/>
        </w:rPr>
      </w:pPr>
    </w:p>
    <w:p w14:paraId="300BBC3B" w14:textId="77777777" w:rsidR="00F663DA" w:rsidRDefault="00F663DA" w:rsidP="00F376CB">
      <w:pPr>
        <w:spacing w:line="360" w:lineRule="auto"/>
        <w:rPr>
          <w:rFonts w:ascii="Arial" w:eastAsia="Arial" w:hAnsi="Arial" w:cs="Arial"/>
          <w:sz w:val="24"/>
          <w:szCs w:val="24"/>
        </w:rPr>
      </w:pPr>
    </w:p>
    <w:p w14:paraId="4D410178" w14:textId="77777777" w:rsidR="00F663DA" w:rsidRDefault="00F663DA" w:rsidP="00F376CB">
      <w:pPr>
        <w:spacing w:line="360" w:lineRule="auto"/>
        <w:rPr>
          <w:rFonts w:ascii="Arial" w:eastAsia="Arial" w:hAnsi="Arial" w:cs="Arial"/>
          <w:sz w:val="24"/>
          <w:szCs w:val="24"/>
        </w:rPr>
      </w:pPr>
    </w:p>
    <w:p w14:paraId="51E230DC" w14:textId="77777777" w:rsidR="00F663DA" w:rsidRDefault="00F663DA" w:rsidP="00F376CB">
      <w:pPr>
        <w:spacing w:line="360" w:lineRule="auto"/>
        <w:rPr>
          <w:rFonts w:ascii="Arial" w:eastAsia="Arial" w:hAnsi="Arial" w:cs="Arial"/>
          <w:sz w:val="24"/>
          <w:szCs w:val="24"/>
        </w:rPr>
      </w:pPr>
    </w:p>
    <w:p w14:paraId="5FB46952" w14:textId="77777777" w:rsidR="00F663DA" w:rsidRDefault="00F663DA" w:rsidP="00F376CB">
      <w:pPr>
        <w:spacing w:line="360" w:lineRule="auto"/>
        <w:rPr>
          <w:rFonts w:ascii="Arial" w:eastAsia="Arial" w:hAnsi="Arial" w:cs="Arial"/>
          <w:sz w:val="24"/>
          <w:szCs w:val="24"/>
        </w:rPr>
      </w:pPr>
    </w:p>
    <w:p w14:paraId="5E787992" w14:textId="77777777" w:rsidR="00F663DA" w:rsidRPr="00291407" w:rsidRDefault="00F663DA" w:rsidP="00F663DA">
      <w:pPr>
        <w:rPr>
          <w:rFonts w:ascii="Arial" w:eastAsia="Arial" w:hAnsi="Arial" w:cs="Arial"/>
          <w:sz w:val="24"/>
          <w:szCs w:val="24"/>
        </w:rPr>
      </w:pPr>
      <w:r w:rsidRPr="00801A25">
        <w:rPr>
          <w:rFonts w:ascii="Arial" w:eastAsia="Arial" w:hAnsi="Arial" w:cs="Arial"/>
          <w:sz w:val="24"/>
          <w:szCs w:val="24"/>
          <w:u w:val="single"/>
        </w:rPr>
        <w:lastRenderedPageBreak/>
        <w:t xml:space="preserve">ECAD6012 Essay </w:t>
      </w:r>
      <w:r>
        <w:rPr>
          <w:rFonts w:ascii="Arial" w:eastAsia="Arial" w:hAnsi="Arial" w:cs="Arial"/>
          <w:sz w:val="24"/>
          <w:szCs w:val="24"/>
          <w:u w:val="single"/>
        </w:rPr>
        <w:t>Reference List</w:t>
      </w:r>
    </w:p>
    <w:p w14:paraId="4EDCACBB" w14:textId="77777777" w:rsidR="00F663DA" w:rsidRPr="00801A25" w:rsidRDefault="00F663DA" w:rsidP="00F663DA">
      <w:pPr>
        <w:rPr>
          <w:rFonts w:ascii="Arial" w:eastAsia="Arial" w:hAnsi="Arial" w:cs="Arial"/>
          <w:sz w:val="24"/>
          <w:szCs w:val="24"/>
        </w:rPr>
      </w:pPr>
    </w:p>
    <w:p w14:paraId="02DB61D9" w14:textId="77777777" w:rsidR="00F663DA" w:rsidRDefault="00F663DA" w:rsidP="00F663DA">
      <w:pPr>
        <w:rPr>
          <w:rFonts w:ascii="Arial" w:hAnsi="Arial" w:cs="Arial"/>
          <w:sz w:val="24"/>
          <w:szCs w:val="24"/>
        </w:rPr>
      </w:pPr>
      <w:r>
        <w:rPr>
          <w:rFonts w:ascii="Arial" w:hAnsi="Arial" w:cs="Arial"/>
          <w:sz w:val="24"/>
          <w:szCs w:val="24"/>
        </w:rPr>
        <w:t xml:space="preserve">Alexander (2010) </w:t>
      </w:r>
      <w:r>
        <w:rPr>
          <w:rFonts w:ascii="Arial" w:hAnsi="Arial" w:cs="Arial"/>
          <w:i/>
          <w:sz w:val="24"/>
          <w:szCs w:val="24"/>
        </w:rPr>
        <w:t xml:space="preserve">Children, Their world, Their Education. </w:t>
      </w:r>
      <w:r>
        <w:rPr>
          <w:rFonts w:ascii="Arial" w:hAnsi="Arial" w:cs="Arial"/>
          <w:sz w:val="24"/>
          <w:szCs w:val="24"/>
        </w:rPr>
        <w:t>London: Routledge.</w:t>
      </w:r>
    </w:p>
    <w:p w14:paraId="35456221" w14:textId="77777777" w:rsidR="00F663DA" w:rsidRDefault="00F663DA" w:rsidP="00F663DA">
      <w:pPr>
        <w:rPr>
          <w:rFonts w:ascii="Arial" w:hAnsi="Arial" w:cs="Arial"/>
          <w:sz w:val="24"/>
          <w:szCs w:val="24"/>
        </w:rPr>
      </w:pPr>
      <w:r w:rsidRPr="00291407">
        <w:rPr>
          <w:rFonts w:ascii="Arial" w:hAnsi="Arial" w:cs="Arial"/>
          <w:sz w:val="24"/>
          <w:szCs w:val="24"/>
        </w:rPr>
        <w:t>Askew, M. (2012). </w:t>
      </w:r>
      <w:r w:rsidRPr="00291407">
        <w:rPr>
          <w:rFonts w:ascii="Arial" w:hAnsi="Arial" w:cs="Arial"/>
          <w:i/>
          <w:iCs/>
          <w:sz w:val="24"/>
          <w:szCs w:val="24"/>
        </w:rPr>
        <w:t>Transforming primary mathematics</w:t>
      </w:r>
      <w:r w:rsidRPr="00291407">
        <w:rPr>
          <w:rFonts w:ascii="Arial" w:hAnsi="Arial" w:cs="Arial"/>
          <w:sz w:val="24"/>
          <w:szCs w:val="24"/>
        </w:rPr>
        <w:t>. London: Routledge.</w:t>
      </w:r>
    </w:p>
    <w:p w14:paraId="41D24A7B" w14:textId="77777777" w:rsidR="00F663DA" w:rsidRPr="00801A25" w:rsidRDefault="00F663DA" w:rsidP="00F663DA">
      <w:pPr>
        <w:rPr>
          <w:rFonts w:ascii="Arial" w:hAnsi="Arial" w:cs="Arial"/>
          <w:sz w:val="24"/>
          <w:szCs w:val="24"/>
        </w:rPr>
      </w:pPr>
      <w:r w:rsidRPr="00801A25">
        <w:rPr>
          <w:rFonts w:ascii="Arial" w:eastAsia="Arial" w:hAnsi="Arial" w:cs="Arial"/>
          <w:sz w:val="24"/>
          <w:szCs w:val="24"/>
        </w:rPr>
        <w:t xml:space="preserve">Assessment for learning and the National Literacy and Numeracy Framework (2014) Wales Government, Cardiff </w:t>
      </w:r>
      <w:hyperlink r:id="rId4">
        <w:r w:rsidRPr="00801A25">
          <w:rPr>
            <w:rStyle w:val="Hyperlink"/>
            <w:rFonts w:ascii="Arial" w:eastAsia="Arial" w:hAnsi="Arial" w:cs="Arial"/>
            <w:color w:val="0563C1"/>
            <w:sz w:val="24"/>
            <w:szCs w:val="24"/>
          </w:rPr>
          <w:t>http://learning.wales.gov.uk/docs/learningwales/pub</w:t>
        </w:r>
      </w:hyperlink>
      <w:r w:rsidRPr="00801A25">
        <w:rPr>
          <w:rFonts w:ascii="Arial" w:eastAsia="Arial" w:hAnsi="Arial" w:cs="Arial"/>
          <w:color w:val="0563C1"/>
          <w:sz w:val="24"/>
          <w:szCs w:val="24"/>
          <w:u w:val="single"/>
        </w:rPr>
        <w:t xml:space="preserve"> </w:t>
      </w:r>
      <w:proofErr w:type="spellStart"/>
      <w:r w:rsidRPr="00801A25">
        <w:rPr>
          <w:rFonts w:ascii="Arial" w:eastAsia="Arial" w:hAnsi="Arial" w:cs="Arial"/>
          <w:sz w:val="24"/>
          <w:szCs w:val="24"/>
        </w:rPr>
        <w:t>lications</w:t>
      </w:r>
      <w:proofErr w:type="spellEnd"/>
      <w:r w:rsidRPr="00801A25">
        <w:rPr>
          <w:rFonts w:ascii="Arial" w:eastAsia="Arial" w:hAnsi="Arial" w:cs="Arial"/>
          <w:sz w:val="24"/>
          <w:szCs w:val="24"/>
        </w:rPr>
        <w:t xml:space="preserve">/131104 -assessment-for-learning- and-thenlnf-en.pdf </w:t>
      </w:r>
    </w:p>
    <w:p w14:paraId="3B802DE5" w14:textId="77777777" w:rsidR="00F663DA" w:rsidRPr="00801A25" w:rsidRDefault="00F663DA" w:rsidP="00F663DA">
      <w:pPr>
        <w:rPr>
          <w:rFonts w:ascii="Arial" w:eastAsia="Arial" w:hAnsi="Arial" w:cs="Arial"/>
          <w:sz w:val="24"/>
          <w:szCs w:val="24"/>
        </w:rPr>
      </w:pPr>
      <w:r w:rsidRPr="00801A25">
        <w:rPr>
          <w:rFonts w:ascii="Arial" w:eastAsia="Arial" w:hAnsi="Arial" w:cs="Arial"/>
          <w:sz w:val="24"/>
          <w:szCs w:val="24"/>
        </w:rPr>
        <w:t xml:space="preserve">Barnes, J. (2015) Cross-curricular learning 3-14 (3rd edition) London: SAGE </w:t>
      </w:r>
    </w:p>
    <w:p w14:paraId="3F6D8288" w14:textId="77777777" w:rsidR="00F663DA" w:rsidRDefault="00F663DA" w:rsidP="00F663DA">
      <w:pPr>
        <w:rPr>
          <w:rFonts w:ascii="Arial" w:eastAsia="Arial" w:hAnsi="Arial" w:cs="Arial"/>
          <w:sz w:val="24"/>
          <w:szCs w:val="24"/>
        </w:rPr>
      </w:pPr>
      <w:r w:rsidRPr="00801A25">
        <w:rPr>
          <w:rFonts w:ascii="Arial" w:eastAsia="Arial" w:hAnsi="Arial" w:cs="Arial"/>
          <w:sz w:val="24"/>
          <w:szCs w:val="24"/>
        </w:rPr>
        <w:t xml:space="preserve">Burnette, C. (2009). </w:t>
      </w:r>
      <w:r w:rsidRPr="00801A25">
        <w:rPr>
          <w:rFonts w:ascii="Arial" w:eastAsia="Arial" w:hAnsi="Arial" w:cs="Arial"/>
          <w:i/>
          <w:iCs/>
          <w:sz w:val="24"/>
          <w:szCs w:val="24"/>
        </w:rPr>
        <w:t>Following Children's Interests - Understanding Emergent Curriculum</w:t>
      </w:r>
      <w:r w:rsidRPr="00801A25">
        <w:rPr>
          <w:rFonts w:ascii="Arial" w:eastAsia="Arial" w:hAnsi="Arial" w:cs="Arial"/>
          <w:sz w:val="24"/>
          <w:szCs w:val="24"/>
        </w:rPr>
        <w:t>. [</w:t>
      </w:r>
      <w:proofErr w:type="gramStart"/>
      <w:r w:rsidRPr="00801A25">
        <w:rPr>
          <w:rFonts w:ascii="Arial" w:eastAsia="Arial" w:hAnsi="Arial" w:cs="Arial"/>
          <w:sz w:val="24"/>
          <w:szCs w:val="24"/>
        </w:rPr>
        <w:t>online</w:t>
      </w:r>
      <w:proofErr w:type="gramEnd"/>
      <w:r w:rsidRPr="00801A25">
        <w:rPr>
          <w:rFonts w:ascii="Arial" w:eastAsia="Arial" w:hAnsi="Arial" w:cs="Arial"/>
          <w:sz w:val="24"/>
          <w:szCs w:val="24"/>
        </w:rPr>
        <w:t xml:space="preserve">] Childhood101. Available at: https://childhood101.com/emergent-curriculum-following-childrens-interests/ [Accessed 13 Dec. 2018]. </w:t>
      </w:r>
    </w:p>
    <w:p w14:paraId="67357B2A" w14:textId="77777777" w:rsidR="00F663DA" w:rsidRDefault="00F663DA" w:rsidP="00F663DA">
      <w:pPr>
        <w:rPr>
          <w:rFonts w:ascii="Arial" w:hAnsi="Arial" w:cs="Arial"/>
          <w:sz w:val="24"/>
          <w:szCs w:val="24"/>
        </w:rPr>
      </w:pPr>
      <w:proofErr w:type="spellStart"/>
      <w:r w:rsidRPr="00CF36B8">
        <w:rPr>
          <w:rFonts w:ascii="Arial" w:hAnsi="Arial" w:cs="Arial"/>
          <w:sz w:val="24"/>
          <w:szCs w:val="24"/>
        </w:rPr>
        <w:t>Cremin</w:t>
      </w:r>
      <w:proofErr w:type="spellEnd"/>
      <w:r w:rsidRPr="00CF36B8">
        <w:rPr>
          <w:rFonts w:ascii="Arial" w:hAnsi="Arial" w:cs="Arial"/>
          <w:sz w:val="24"/>
          <w:szCs w:val="24"/>
        </w:rPr>
        <w:t>, T. (2009). </w:t>
      </w:r>
      <w:r w:rsidRPr="00CF36B8">
        <w:rPr>
          <w:rFonts w:ascii="Arial" w:hAnsi="Arial" w:cs="Arial"/>
          <w:i/>
          <w:iCs/>
          <w:sz w:val="24"/>
          <w:szCs w:val="24"/>
        </w:rPr>
        <w:t>Teaching English creatively</w:t>
      </w:r>
      <w:r w:rsidRPr="00CF36B8">
        <w:rPr>
          <w:rFonts w:ascii="Arial" w:hAnsi="Arial" w:cs="Arial"/>
          <w:sz w:val="24"/>
          <w:szCs w:val="24"/>
        </w:rPr>
        <w:t>. London: Routledge.</w:t>
      </w:r>
    </w:p>
    <w:p w14:paraId="09C2D958" w14:textId="77777777" w:rsidR="00F663DA" w:rsidRDefault="00F663DA" w:rsidP="00F663DA">
      <w:pPr>
        <w:rPr>
          <w:rFonts w:ascii="Arial" w:hAnsi="Arial" w:cs="Arial"/>
          <w:sz w:val="24"/>
          <w:szCs w:val="24"/>
        </w:rPr>
      </w:pPr>
      <w:proofErr w:type="spellStart"/>
      <w:r w:rsidRPr="00CF36B8">
        <w:rPr>
          <w:rFonts w:ascii="Arial" w:hAnsi="Arial" w:cs="Arial"/>
          <w:sz w:val="24"/>
          <w:szCs w:val="24"/>
        </w:rPr>
        <w:t>Didau</w:t>
      </w:r>
      <w:proofErr w:type="spellEnd"/>
      <w:r w:rsidRPr="00CF36B8">
        <w:rPr>
          <w:rFonts w:ascii="Arial" w:hAnsi="Arial" w:cs="Arial"/>
          <w:sz w:val="24"/>
          <w:szCs w:val="24"/>
        </w:rPr>
        <w:t>, D. (2014). </w:t>
      </w:r>
      <w:r w:rsidRPr="00CF36B8">
        <w:rPr>
          <w:rFonts w:ascii="Arial" w:hAnsi="Arial" w:cs="Arial"/>
          <w:i/>
          <w:iCs/>
          <w:sz w:val="24"/>
          <w:szCs w:val="24"/>
        </w:rPr>
        <w:t>The Secret of Literacy</w:t>
      </w:r>
      <w:r w:rsidRPr="00CF36B8">
        <w:rPr>
          <w:rFonts w:ascii="Arial" w:hAnsi="Arial" w:cs="Arial"/>
          <w:sz w:val="24"/>
          <w:szCs w:val="24"/>
        </w:rPr>
        <w:t>. Carmarthen: Crown House Publishing Ltd.</w:t>
      </w:r>
    </w:p>
    <w:p w14:paraId="1318CBB4" w14:textId="77777777" w:rsidR="00F663DA" w:rsidRPr="00801A25" w:rsidRDefault="00F663DA" w:rsidP="00F663DA">
      <w:pPr>
        <w:rPr>
          <w:rFonts w:ascii="Arial" w:eastAsia="Arial" w:hAnsi="Arial" w:cs="Arial"/>
          <w:sz w:val="24"/>
          <w:szCs w:val="24"/>
        </w:rPr>
      </w:pPr>
      <w:r w:rsidRPr="00801A25">
        <w:rPr>
          <w:rFonts w:ascii="Arial" w:eastAsia="Arial" w:hAnsi="Arial" w:cs="Arial"/>
          <w:sz w:val="24"/>
          <w:szCs w:val="24"/>
        </w:rPr>
        <w:t xml:space="preserve">Digital Competence Framework (2016) Wales Government, Cardiff </w:t>
      </w:r>
      <w:hyperlink r:id="rId5">
        <w:r w:rsidRPr="00801A25">
          <w:rPr>
            <w:rStyle w:val="Hyperlink"/>
            <w:rFonts w:ascii="Arial" w:eastAsia="Arial" w:hAnsi="Arial" w:cs="Arial"/>
            <w:color w:val="0563C1"/>
            <w:sz w:val="24"/>
            <w:szCs w:val="24"/>
          </w:rPr>
          <w:t>http://learning.gov.wales/docs/learningwales/publica</w:t>
        </w:r>
      </w:hyperlink>
      <w:r w:rsidRPr="00801A25">
        <w:rPr>
          <w:rFonts w:ascii="Arial" w:eastAsia="Arial" w:hAnsi="Arial" w:cs="Arial"/>
          <w:color w:val="0563C1"/>
          <w:sz w:val="24"/>
          <w:szCs w:val="24"/>
          <w:u w:val="single"/>
        </w:rPr>
        <w:t xml:space="preserve"> </w:t>
      </w:r>
      <w:proofErr w:type="spellStart"/>
      <w:r w:rsidRPr="00801A25">
        <w:rPr>
          <w:rFonts w:ascii="Arial" w:eastAsia="Arial" w:hAnsi="Arial" w:cs="Arial"/>
          <w:sz w:val="24"/>
          <w:szCs w:val="24"/>
        </w:rPr>
        <w:t>tions</w:t>
      </w:r>
      <w:proofErr w:type="spellEnd"/>
      <w:r w:rsidRPr="00801A25">
        <w:rPr>
          <w:rFonts w:ascii="Arial" w:eastAsia="Arial" w:hAnsi="Arial" w:cs="Arial"/>
          <w:sz w:val="24"/>
          <w:szCs w:val="24"/>
        </w:rPr>
        <w:t xml:space="preserve">/160901-dcf-excel-en.xlsx </w:t>
      </w:r>
    </w:p>
    <w:p w14:paraId="394B7DDA" w14:textId="77777777" w:rsidR="00F663DA" w:rsidRPr="00801A25" w:rsidRDefault="00F663DA" w:rsidP="00F663DA">
      <w:pPr>
        <w:rPr>
          <w:rFonts w:ascii="Arial" w:eastAsia="Arial" w:hAnsi="Arial" w:cs="Arial"/>
          <w:sz w:val="24"/>
          <w:szCs w:val="24"/>
        </w:rPr>
      </w:pPr>
      <w:r w:rsidRPr="00801A25">
        <w:rPr>
          <w:rFonts w:ascii="Arial" w:eastAsia="Arial" w:hAnsi="Arial" w:cs="Arial"/>
          <w:sz w:val="24"/>
          <w:szCs w:val="24"/>
        </w:rPr>
        <w:t>Donaldson, G (2015) Successful Futures. Cardiff. WAG</w:t>
      </w:r>
    </w:p>
    <w:p w14:paraId="2027D649" w14:textId="77777777" w:rsidR="00F663DA" w:rsidRPr="00801A25" w:rsidRDefault="00F663DA" w:rsidP="00F663DA">
      <w:pPr>
        <w:rPr>
          <w:rFonts w:ascii="Arial" w:eastAsia="Arial" w:hAnsi="Arial" w:cs="Arial"/>
          <w:sz w:val="24"/>
          <w:szCs w:val="24"/>
        </w:rPr>
      </w:pPr>
      <w:r w:rsidRPr="00801A25">
        <w:rPr>
          <w:rFonts w:ascii="Arial" w:eastAsia="Arial" w:hAnsi="Arial" w:cs="Arial"/>
          <w:sz w:val="24"/>
          <w:szCs w:val="24"/>
        </w:rPr>
        <w:t xml:space="preserve">Flutter, J. and </w:t>
      </w:r>
      <w:proofErr w:type="spellStart"/>
      <w:r w:rsidRPr="00801A25">
        <w:rPr>
          <w:rFonts w:ascii="Arial" w:eastAsia="Arial" w:hAnsi="Arial" w:cs="Arial"/>
          <w:sz w:val="24"/>
          <w:szCs w:val="24"/>
        </w:rPr>
        <w:t>Rudduck</w:t>
      </w:r>
      <w:proofErr w:type="spellEnd"/>
      <w:r w:rsidRPr="00801A25">
        <w:rPr>
          <w:rFonts w:ascii="Arial" w:eastAsia="Arial" w:hAnsi="Arial" w:cs="Arial"/>
          <w:sz w:val="24"/>
          <w:szCs w:val="24"/>
        </w:rPr>
        <w:t xml:space="preserve">, J. (2006). </w:t>
      </w:r>
      <w:r w:rsidRPr="00801A25">
        <w:rPr>
          <w:rFonts w:ascii="Arial" w:eastAsia="Arial" w:hAnsi="Arial" w:cs="Arial"/>
          <w:i/>
          <w:iCs/>
          <w:sz w:val="24"/>
          <w:szCs w:val="24"/>
        </w:rPr>
        <w:t xml:space="preserve">Consulting pupils. </w:t>
      </w:r>
      <w:r w:rsidRPr="00801A25">
        <w:rPr>
          <w:rFonts w:ascii="Arial" w:eastAsia="Arial" w:hAnsi="Arial" w:cs="Arial"/>
          <w:sz w:val="24"/>
          <w:szCs w:val="24"/>
        </w:rPr>
        <w:t xml:space="preserve">London: Routledge </w:t>
      </w:r>
    </w:p>
    <w:p w14:paraId="335469F0" w14:textId="77777777" w:rsidR="00F663DA" w:rsidRPr="00801A25" w:rsidRDefault="00F663DA" w:rsidP="00F663DA">
      <w:pPr>
        <w:rPr>
          <w:rFonts w:ascii="Arial" w:eastAsia="Arial" w:hAnsi="Arial" w:cs="Arial"/>
          <w:sz w:val="24"/>
          <w:szCs w:val="24"/>
        </w:rPr>
      </w:pPr>
      <w:r w:rsidRPr="00801A25">
        <w:rPr>
          <w:rFonts w:ascii="Arial" w:eastAsia="Arial" w:hAnsi="Arial" w:cs="Arial"/>
          <w:sz w:val="24"/>
          <w:szCs w:val="24"/>
        </w:rPr>
        <w:t>Fogarty, R.J. 2007. Integrating curricula with multiple intelligences: Teams, themes, and threads. Thousand Oaks, CA: Corwin Press.</w:t>
      </w:r>
    </w:p>
    <w:p w14:paraId="4870F79A" w14:textId="77777777" w:rsidR="00F663DA" w:rsidRPr="00801A25" w:rsidRDefault="00F663DA" w:rsidP="00F663DA">
      <w:pPr>
        <w:rPr>
          <w:rFonts w:ascii="Arial" w:hAnsi="Arial" w:cs="Arial"/>
          <w:sz w:val="24"/>
          <w:szCs w:val="24"/>
        </w:rPr>
      </w:pPr>
      <w:r w:rsidRPr="00801A25">
        <w:rPr>
          <w:rFonts w:ascii="Arial" w:eastAsia="Arial" w:hAnsi="Arial" w:cs="Arial"/>
          <w:sz w:val="24"/>
          <w:szCs w:val="24"/>
        </w:rPr>
        <w:t xml:space="preserve">Hume, C. (2016). Pisa: Wales still worst in UK in world education tests. [Blog] </w:t>
      </w:r>
      <w:r w:rsidRPr="00801A25">
        <w:rPr>
          <w:rFonts w:ascii="Arial" w:eastAsia="Arial" w:hAnsi="Arial" w:cs="Arial"/>
          <w:i/>
          <w:iCs/>
          <w:sz w:val="24"/>
          <w:szCs w:val="24"/>
        </w:rPr>
        <w:t>BBC News</w:t>
      </w:r>
      <w:r w:rsidRPr="00801A25">
        <w:rPr>
          <w:rFonts w:ascii="Arial" w:eastAsia="Arial" w:hAnsi="Arial" w:cs="Arial"/>
          <w:sz w:val="24"/>
          <w:szCs w:val="24"/>
        </w:rPr>
        <w:t>. Available at: https://www.bbc.co.uk/news/uk-wales-38208738 [Accessed 12 Dec. 2018].</w:t>
      </w:r>
    </w:p>
    <w:p w14:paraId="30D79980" w14:textId="77777777" w:rsidR="00F663DA" w:rsidRDefault="00F663DA" w:rsidP="00F663DA">
      <w:pPr>
        <w:rPr>
          <w:rFonts w:ascii="Arial" w:hAnsi="Arial" w:cs="Arial"/>
          <w:sz w:val="24"/>
          <w:szCs w:val="24"/>
        </w:rPr>
      </w:pPr>
      <w:r>
        <w:rPr>
          <w:rFonts w:ascii="Arial" w:hAnsi="Arial" w:cs="Arial"/>
          <w:sz w:val="24"/>
          <w:szCs w:val="24"/>
        </w:rPr>
        <w:t xml:space="preserve">Jeffrey, B. and Woods, P. (2009) </w:t>
      </w:r>
      <w:r>
        <w:rPr>
          <w:rFonts w:ascii="Arial" w:hAnsi="Arial" w:cs="Arial"/>
          <w:i/>
          <w:sz w:val="24"/>
          <w:szCs w:val="24"/>
        </w:rPr>
        <w:t xml:space="preserve">Creative Learning in the Primary School, </w:t>
      </w:r>
      <w:r>
        <w:rPr>
          <w:rFonts w:ascii="Arial" w:hAnsi="Arial" w:cs="Arial"/>
          <w:sz w:val="24"/>
          <w:szCs w:val="24"/>
        </w:rPr>
        <w:t xml:space="preserve">Oxford: Routledge. </w:t>
      </w:r>
    </w:p>
    <w:p w14:paraId="5A289313" w14:textId="77777777" w:rsidR="00F663DA" w:rsidRDefault="00F663DA" w:rsidP="00F663DA">
      <w:pPr>
        <w:rPr>
          <w:rFonts w:ascii="Arial" w:eastAsia="Arial" w:hAnsi="Arial" w:cs="Arial"/>
          <w:sz w:val="24"/>
          <w:szCs w:val="24"/>
        </w:rPr>
      </w:pPr>
      <w:r w:rsidRPr="00FF023D">
        <w:rPr>
          <w:rFonts w:ascii="Arial" w:eastAsia="Arial" w:hAnsi="Arial" w:cs="Arial"/>
          <w:sz w:val="24"/>
          <w:szCs w:val="24"/>
        </w:rPr>
        <w:t xml:space="preserve">Payton, S. and Hague, C. (2010). Digital literacy across the curriculum Bristol: </w:t>
      </w:r>
      <w:proofErr w:type="spellStart"/>
      <w:r w:rsidRPr="00FF023D">
        <w:rPr>
          <w:rFonts w:ascii="Arial" w:eastAsia="Arial" w:hAnsi="Arial" w:cs="Arial"/>
          <w:sz w:val="24"/>
          <w:szCs w:val="24"/>
        </w:rPr>
        <w:t>Futurelab</w:t>
      </w:r>
      <w:proofErr w:type="spellEnd"/>
      <w:r w:rsidRPr="00FF023D">
        <w:rPr>
          <w:rFonts w:ascii="Arial" w:eastAsia="Arial" w:hAnsi="Arial" w:cs="Arial"/>
          <w:sz w:val="24"/>
          <w:szCs w:val="24"/>
        </w:rPr>
        <w:t>.</w:t>
      </w:r>
    </w:p>
    <w:p w14:paraId="619F15FE" w14:textId="77777777" w:rsidR="00F663DA" w:rsidRDefault="00F663DA" w:rsidP="00F663DA">
      <w:pPr>
        <w:rPr>
          <w:rFonts w:ascii="Arial" w:hAnsi="Arial" w:cs="Arial"/>
          <w:sz w:val="24"/>
          <w:szCs w:val="24"/>
        </w:rPr>
      </w:pPr>
      <w:proofErr w:type="spellStart"/>
      <w:r w:rsidRPr="00801A25">
        <w:rPr>
          <w:rFonts w:ascii="Arial" w:hAnsi="Arial" w:cs="Arial"/>
          <w:sz w:val="24"/>
          <w:szCs w:val="24"/>
        </w:rPr>
        <w:t>Pimley</w:t>
      </w:r>
      <w:proofErr w:type="spellEnd"/>
      <w:r w:rsidRPr="00801A25">
        <w:rPr>
          <w:rFonts w:ascii="Arial" w:hAnsi="Arial" w:cs="Arial"/>
          <w:sz w:val="24"/>
          <w:szCs w:val="24"/>
        </w:rPr>
        <w:t>, G. (2011). Making cross curricular links. [Blog] </w:t>
      </w:r>
      <w:r w:rsidRPr="00801A25">
        <w:rPr>
          <w:rFonts w:ascii="Arial" w:hAnsi="Arial" w:cs="Arial"/>
          <w:i/>
          <w:iCs/>
          <w:sz w:val="24"/>
          <w:szCs w:val="24"/>
        </w:rPr>
        <w:t>Teach Primary</w:t>
      </w:r>
      <w:r w:rsidRPr="00801A25">
        <w:rPr>
          <w:rFonts w:ascii="Arial" w:hAnsi="Arial" w:cs="Arial"/>
          <w:sz w:val="24"/>
          <w:szCs w:val="24"/>
        </w:rPr>
        <w:t>. Available at: https://www.teachprimary.com/learning_resources/view/making-cross-curricular-links [Accessed 13 Dec. 2018].</w:t>
      </w:r>
    </w:p>
    <w:p w14:paraId="2F1BA62A" w14:textId="77777777" w:rsidR="00F663DA" w:rsidRPr="00E21FDA" w:rsidRDefault="00F663DA" w:rsidP="00F663DA">
      <w:pPr>
        <w:rPr>
          <w:rFonts w:ascii="Arial" w:hAnsi="Arial" w:cs="Arial"/>
          <w:sz w:val="24"/>
          <w:szCs w:val="24"/>
        </w:rPr>
      </w:pPr>
      <w:r w:rsidRPr="00E21FDA">
        <w:rPr>
          <w:rFonts w:ascii="Arial" w:hAnsi="Arial" w:cs="Arial"/>
          <w:sz w:val="24"/>
          <w:szCs w:val="24"/>
        </w:rPr>
        <w:t>Pound, L. and Lee, T. (2015). </w:t>
      </w:r>
      <w:r w:rsidRPr="00E21FDA">
        <w:rPr>
          <w:rFonts w:ascii="Arial" w:hAnsi="Arial" w:cs="Arial"/>
          <w:i/>
          <w:iCs/>
          <w:sz w:val="24"/>
          <w:szCs w:val="24"/>
        </w:rPr>
        <w:t>Teaching mathematics creatively</w:t>
      </w:r>
      <w:r w:rsidRPr="00E21FDA">
        <w:rPr>
          <w:rFonts w:ascii="Arial" w:hAnsi="Arial" w:cs="Arial"/>
          <w:sz w:val="24"/>
          <w:szCs w:val="24"/>
        </w:rPr>
        <w:t>. London: Routledge.</w:t>
      </w:r>
    </w:p>
    <w:p w14:paraId="52C25A85" w14:textId="77777777" w:rsidR="00F663DA" w:rsidRPr="00801A25" w:rsidRDefault="00F663DA" w:rsidP="00F663DA">
      <w:pPr>
        <w:rPr>
          <w:rFonts w:ascii="Arial" w:eastAsia="Arial" w:hAnsi="Arial" w:cs="Arial"/>
          <w:sz w:val="24"/>
          <w:szCs w:val="24"/>
        </w:rPr>
      </w:pPr>
      <w:r w:rsidRPr="00801A25">
        <w:rPr>
          <w:rFonts w:ascii="Arial" w:eastAsia="Arial" w:hAnsi="Arial" w:cs="Arial"/>
          <w:sz w:val="24"/>
          <w:szCs w:val="24"/>
        </w:rPr>
        <w:t>Rose, J. 2009. Independent review of the primary curriculum: Final report. London: DCSF Publications.</w:t>
      </w:r>
    </w:p>
    <w:p w14:paraId="0517822D" w14:textId="77777777" w:rsidR="00F663DA" w:rsidRPr="00801A25" w:rsidRDefault="00F663DA" w:rsidP="00F663DA">
      <w:pPr>
        <w:rPr>
          <w:rFonts w:ascii="Arial" w:eastAsia="Arial" w:hAnsi="Arial" w:cs="Arial"/>
          <w:sz w:val="24"/>
          <w:szCs w:val="24"/>
        </w:rPr>
      </w:pPr>
      <w:proofErr w:type="spellStart"/>
      <w:r w:rsidRPr="00801A25">
        <w:rPr>
          <w:rFonts w:ascii="Arial" w:eastAsia="Arial" w:hAnsi="Arial" w:cs="Arial"/>
          <w:sz w:val="24"/>
          <w:szCs w:val="24"/>
        </w:rPr>
        <w:t>Rudduck</w:t>
      </w:r>
      <w:proofErr w:type="spellEnd"/>
      <w:r w:rsidRPr="00801A25">
        <w:rPr>
          <w:rFonts w:ascii="Arial" w:eastAsia="Arial" w:hAnsi="Arial" w:cs="Arial"/>
          <w:sz w:val="24"/>
          <w:szCs w:val="24"/>
        </w:rPr>
        <w:t xml:space="preserve">, J. and Flutter, J. (2004). How to improve your school. London: Continuum. </w:t>
      </w:r>
    </w:p>
    <w:p w14:paraId="71E9B45D" w14:textId="77777777" w:rsidR="00F663DA" w:rsidRPr="00801A25" w:rsidRDefault="00F663DA" w:rsidP="00F663DA">
      <w:pPr>
        <w:rPr>
          <w:rFonts w:ascii="Arial" w:eastAsia="Arial" w:hAnsi="Arial" w:cs="Arial"/>
          <w:sz w:val="24"/>
          <w:szCs w:val="24"/>
        </w:rPr>
      </w:pPr>
      <w:r w:rsidRPr="00801A25">
        <w:rPr>
          <w:rFonts w:ascii="Arial" w:eastAsia="Arial" w:hAnsi="Arial" w:cs="Arial"/>
          <w:sz w:val="24"/>
          <w:szCs w:val="24"/>
        </w:rPr>
        <w:t>Savage, M. and Barnett, A. (2015) Digital literacy for primary teachers. United Kingdom: Critical Publishing</w:t>
      </w:r>
    </w:p>
    <w:p w14:paraId="2DB94095" w14:textId="77777777" w:rsidR="00F663DA" w:rsidRPr="00801A25" w:rsidRDefault="00F663DA" w:rsidP="00F663DA">
      <w:pPr>
        <w:rPr>
          <w:rFonts w:ascii="Arial" w:eastAsia="Arial" w:hAnsi="Arial" w:cs="Arial"/>
          <w:sz w:val="24"/>
          <w:szCs w:val="24"/>
        </w:rPr>
      </w:pPr>
      <w:r w:rsidRPr="00801A25">
        <w:rPr>
          <w:rFonts w:ascii="Arial" w:eastAsia="Arial" w:hAnsi="Arial" w:cs="Arial"/>
          <w:sz w:val="24"/>
          <w:szCs w:val="24"/>
        </w:rPr>
        <w:lastRenderedPageBreak/>
        <w:t xml:space="preserve">Taylor, T. (2014). Problems with Topic Planning. [Blog] </w:t>
      </w:r>
      <w:r w:rsidRPr="00801A25">
        <w:rPr>
          <w:rFonts w:ascii="Arial" w:eastAsia="Arial" w:hAnsi="Arial" w:cs="Arial"/>
          <w:i/>
          <w:iCs/>
          <w:sz w:val="24"/>
          <w:szCs w:val="24"/>
        </w:rPr>
        <w:t>Imaginative Inquiry</w:t>
      </w:r>
      <w:r w:rsidRPr="00801A25">
        <w:rPr>
          <w:rFonts w:ascii="Arial" w:eastAsia="Arial" w:hAnsi="Arial" w:cs="Arial"/>
          <w:sz w:val="24"/>
          <w:szCs w:val="24"/>
        </w:rPr>
        <w:t>. Available at: http://www.imaginative-inquiry.co.uk/2014/02/some-problems-with-topic-planning/ [Accessed 11 Dec. 2018].</w:t>
      </w:r>
    </w:p>
    <w:p w14:paraId="36EF6414" w14:textId="77777777" w:rsidR="00F663DA" w:rsidRDefault="00F663DA" w:rsidP="00F663DA">
      <w:pPr>
        <w:rPr>
          <w:rFonts w:ascii="Arial" w:eastAsia="Arial" w:hAnsi="Arial" w:cs="Arial"/>
          <w:sz w:val="24"/>
          <w:szCs w:val="24"/>
        </w:rPr>
      </w:pPr>
      <w:proofErr w:type="spellStart"/>
      <w:r>
        <w:rPr>
          <w:rFonts w:ascii="Arial" w:eastAsia="Arial" w:hAnsi="Arial" w:cs="Arial"/>
          <w:sz w:val="24"/>
          <w:szCs w:val="24"/>
        </w:rPr>
        <w:t>Upitis</w:t>
      </w:r>
      <w:proofErr w:type="spellEnd"/>
      <w:r>
        <w:rPr>
          <w:rFonts w:ascii="Arial" w:eastAsia="Arial" w:hAnsi="Arial" w:cs="Arial"/>
          <w:sz w:val="24"/>
          <w:szCs w:val="24"/>
        </w:rPr>
        <w:t xml:space="preserve">, R. et al. (1997) </w:t>
      </w:r>
      <w:r>
        <w:rPr>
          <w:rFonts w:ascii="Arial" w:eastAsia="Arial" w:hAnsi="Arial" w:cs="Arial"/>
          <w:i/>
          <w:sz w:val="24"/>
          <w:szCs w:val="24"/>
        </w:rPr>
        <w:t xml:space="preserve">Creative Mathematics. </w:t>
      </w:r>
      <w:r>
        <w:rPr>
          <w:rFonts w:ascii="Arial" w:eastAsia="Arial" w:hAnsi="Arial" w:cs="Arial"/>
          <w:sz w:val="24"/>
          <w:szCs w:val="24"/>
        </w:rPr>
        <w:t>London: Routledge.</w:t>
      </w:r>
    </w:p>
    <w:p w14:paraId="18DF25D7" w14:textId="77777777" w:rsidR="00F663DA" w:rsidRPr="00801A25" w:rsidRDefault="00F663DA" w:rsidP="00F663DA">
      <w:pPr>
        <w:rPr>
          <w:rFonts w:ascii="Arial" w:eastAsia="Arial" w:hAnsi="Arial" w:cs="Arial"/>
          <w:sz w:val="24"/>
          <w:szCs w:val="24"/>
        </w:rPr>
      </w:pPr>
      <w:r w:rsidRPr="00801A25">
        <w:rPr>
          <w:rFonts w:ascii="Arial" w:eastAsia="Arial" w:hAnsi="Arial" w:cs="Arial"/>
          <w:sz w:val="24"/>
          <w:szCs w:val="24"/>
        </w:rPr>
        <w:t>Wallace, B., D. Cave, and A. Berry. 2009. Teaching problem-solving and thinking skills through science. London: David Fulton.</w:t>
      </w:r>
    </w:p>
    <w:p w14:paraId="43BB6306" w14:textId="77777777" w:rsidR="00F663DA" w:rsidRDefault="00F663DA" w:rsidP="00F663DA">
      <w:pPr>
        <w:rPr>
          <w:rFonts w:ascii="Arial" w:eastAsia="Arial" w:hAnsi="Arial" w:cs="Arial"/>
          <w:sz w:val="24"/>
          <w:szCs w:val="24"/>
        </w:rPr>
      </w:pPr>
      <w:r w:rsidRPr="00801A25">
        <w:rPr>
          <w:rFonts w:ascii="Arial" w:eastAsia="Arial" w:hAnsi="Arial" w:cs="Arial"/>
          <w:sz w:val="24"/>
          <w:szCs w:val="24"/>
        </w:rPr>
        <w:t xml:space="preserve">Welsh Assembly Government. (2017). </w:t>
      </w:r>
      <w:proofErr w:type="gramStart"/>
      <w:r w:rsidRPr="00801A25">
        <w:rPr>
          <w:rFonts w:ascii="Arial" w:eastAsia="Arial" w:hAnsi="Arial" w:cs="Arial"/>
          <w:i/>
          <w:iCs/>
          <w:sz w:val="24"/>
          <w:szCs w:val="24"/>
        </w:rPr>
        <w:t>New</w:t>
      </w:r>
      <w:proofErr w:type="gramEnd"/>
      <w:r w:rsidRPr="00801A25">
        <w:rPr>
          <w:rFonts w:ascii="Arial" w:eastAsia="Arial" w:hAnsi="Arial" w:cs="Arial"/>
          <w:i/>
          <w:iCs/>
          <w:sz w:val="24"/>
          <w:szCs w:val="24"/>
        </w:rPr>
        <w:t xml:space="preserve"> school curriculum: overview</w:t>
      </w:r>
      <w:r w:rsidRPr="00801A25">
        <w:rPr>
          <w:rFonts w:ascii="Arial" w:eastAsia="Arial" w:hAnsi="Arial" w:cs="Arial"/>
          <w:sz w:val="24"/>
          <w:szCs w:val="24"/>
        </w:rPr>
        <w:t>. [</w:t>
      </w:r>
      <w:proofErr w:type="gramStart"/>
      <w:r w:rsidRPr="00801A25">
        <w:rPr>
          <w:rFonts w:ascii="Arial" w:eastAsia="Arial" w:hAnsi="Arial" w:cs="Arial"/>
          <w:sz w:val="24"/>
          <w:szCs w:val="24"/>
        </w:rPr>
        <w:t>online</w:t>
      </w:r>
      <w:proofErr w:type="gramEnd"/>
      <w:r w:rsidRPr="00801A25">
        <w:rPr>
          <w:rFonts w:ascii="Arial" w:eastAsia="Arial" w:hAnsi="Arial" w:cs="Arial"/>
          <w:sz w:val="24"/>
          <w:szCs w:val="24"/>
        </w:rPr>
        <w:t>] Available at: https://beta.gov.wales/new-school-curriculum-overview [Accessed 10 Dec. 2018].</w:t>
      </w:r>
    </w:p>
    <w:p w14:paraId="06D2C6AF" w14:textId="77777777" w:rsidR="00F663DA" w:rsidRDefault="00F663DA" w:rsidP="00F663DA">
      <w:pPr>
        <w:rPr>
          <w:rFonts w:ascii="Arial" w:eastAsia="Arial" w:hAnsi="Arial" w:cs="Arial"/>
          <w:sz w:val="24"/>
          <w:szCs w:val="24"/>
        </w:rPr>
      </w:pPr>
      <w:proofErr w:type="spellStart"/>
      <w:r w:rsidRPr="00FF023D">
        <w:rPr>
          <w:rFonts w:ascii="Arial" w:eastAsia="Arial" w:hAnsi="Arial" w:cs="Arial"/>
          <w:sz w:val="24"/>
          <w:szCs w:val="24"/>
        </w:rPr>
        <w:t>Younie</w:t>
      </w:r>
      <w:proofErr w:type="spellEnd"/>
      <w:r w:rsidRPr="00FF023D">
        <w:rPr>
          <w:rFonts w:ascii="Arial" w:eastAsia="Arial" w:hAnsi="Arial" w:cs="Arial"/>
          <w:sz w:val="24"/>
          <w:szCs w:val="24"/>
        </w:rPr>
        <w:t>, S., Leask, M. and Burden, K. (2015). </w:t>
      </w:r>
      <w:r w:rsidRPr="00FF023D">
        <w:rPr>
          <w:rFonts w:ascii="Arial" w:eastAsia="Arial" w:hAnsi="Arial" w:cs="Arial"/>
          <w:i/>
          <w:iCs/>
          <w:sz w:val="24"/>
          <w:szCs w:val="24"/>
        </w:rPr>
        <w:t>Teaching and Learning with ICT in the Primary School</w:t>
      </w:r>
      <w:r w:rsidRPr="00FF023D">
        <w:rPr>
          <w:rFonts w:ascii="Arial" w:eastAsia="Arial" w:hAnsi="Arial" w:cs="Arial"/>
          <w:sz w:val="24"/>
          <w:szCs w:val="24"/>
        </w:rPr>
        <w:t>. 2nd ed. Oxon: Routledge.</w:t>
      </w:r>
    </w:p>
    <w:p w14:paraId="27395B83" w14:textId="77777777" w:rsidR="00F663DA" w:rsidRDefault="00F663DA" w:rsidP="00F376CB">
      <w:pPr>
        <w:spacing w:line="360" w:lineRule="auto"/>
        <w:rPr>
          <w:rFonts w:ascii="Arial" w:eastAsia="Arial" w:hAnsi="Arial" w:cs="Arial"/>
          <w:sz w:val="24"/>
          <w:szCs w:val="24"/>
        </w:rPr>
      </w:pPr>
      <w:bookmarkStart w:id="0" w:name="_GoBack"/>
      <w:bookmarkEnd w:id="0"/>
    </w:p>
    <w:p w14:paraId="482D2757" w14:textId="0C856B1B" w:rsidR="16B87120" w:rsidRDefault="16B87120" w:rsidP="00F376CB">
      <w:pPr>
        <w:spacing w:line="360" w:lineRule="auto"/>
        <w:rPr>
          <w:rFonts w:ascii="Arial" w:eastAsia="Arial" w:hAnsi="Arial" w:cs="Arial"/>
          <w:sz w:val="24"/>
          <w:szCs w:val="24"/>
        </w:rPr>
      </w:pPr>
    </w:p>
    <w:p w14:paraId="7DF15160" w14:textId="389E3F3C" w:rsidR="16B87120" w:rsidRDefault="16B87120" w:rsidP="00F376CB">
      <w:pPr>
        <w:spacing w:line="360" w:lineRule="auto"/>
        <w:rPr>
          <w:rFonts w:ascii="Arial" w:eastAsia="Arial" w:hAnsi="Arial" w:cs="Arial"/>
          <w:sz w:val="24"/>
          <w:szCs w:val="24"/>
        </w:rPr>
      </w:pPr>
    </w:p>
    <w:sectPr w:rsidR="16B8712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271C3C"/>
    <w:rsid w:val="000F5827"/>
    <w:rsid w:val="001A425A"/>
    <w:rsid w:val="001B48E5"/>
    <w:rsid w:val="001D3845"/>
    <w:rsid w:val="002B1D6D"/>
    <w:rsid w:val="0033557F"/>
    <w:rsid w:val="004E7A83"/>
    <w:rsid w:val="0056496A"/>
    <w:rsid w:val="005E5506"/>
    <w:rsid w:val="005F637D"/>
    <w:rsid w:val="006220E5"/>
    <w:rsid w:val="00695CBC"/>
    <w:rsid w:val="006C52C3"/>
    <w:rsid w:val="007B42CB"/>
    <w:rsid w:val="007C4192"/>
    <w:rsid w:val="007F77C7"/>
    <w:rsid w:val="008176BD"/>
    <w:rsid w:val="00830291"/>
    <w:rsid w:val="008A68C8"/>
    <w:rsid w:val="008F72B9"/>
    <w:rsid w:val="009376C2"/>
    <w:rsid w:val="00975036"/>
    <w:rsid w:val="00A504AA"/>
    <w:rsid w:val="00A97005"/>
    <w:rsid w:val="00B27088"/>
    <w:rsid w:val="00B40C54"/>
    <w:rsid w:val="00BE6EF4"/>
    <w:rsid w:val="00C01A6C"/>
    <w:rsid w:val="00C776E0"/>
    <w:rsid w:val="00E51CC0"/>
    <w:rsid w:val="00E56D88"/>
    <w:rsid w:val="00F21FA2"/>
    <w:rsid w:val="00F26A5C"/>
    <w:rsid w:val="00F376CB"/>
    <w:rsid w:val="00F663DA"/>
    <w:rsid w:val="00FE6CA5"/>
    <w:rsid w:val="056D8E07"/>
    <w:rsid w:val="08930F61"/>
    <w:rsid w:val="0DD0EF13"/>
    <w:rsid w:val="16B87120"/>
    <w:rsid w:val="3A271C3C"/>
    <w:rsid w:val="740A4C93"/>
    <w:rsid w:val="7D29A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71C3C"/>
  <w15:chartTrackingRefBased/>
  <w15:docId w15:val="{15BF86D5-3498-45A5-9719-DA415BE57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63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learning.gov.wales/docs/learningwales/publica" TargetMode="External"/><Relationship Id="rId4" Type="http://schemas.openxmlformats.org/officeDocument/2006/relationships/hyperlink" Target="http://learning.wales.gov.uk/docs/learningwales/p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2910</Words>
  <Characters>16593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Murphy (1600450)</dc:creator>
  <cp:keywords/>
  <dc:description/>
  <cp:lastModifiedBy>Ethan Murphy (1600450)</cp:lastModifiedBy>
  <cp:revision>2</cp:revision>
  <dcterms:created xsi:type="dcterms:W3CDTF">2018-12-13T17:49:00Z</dcterms:created>
  <dcterms:modified xsi:type="dcterms:W3CDTF">2018-12-13T17:49:00Z</dcterms:modified>
</cp:coreProperties>
</file>