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61910" w:rsidRDefault="00A61910" w14:paraId="05EA80FB" w14:textId="77777777"/>
    <w:p w:rsidR="00A61910" w:rsidRDefault="00A61910" w14:paraId="1062DA2E" w14:textId="77777777"/>
    <w:p w:rsidR="00A61910" w:rsidRDefault="00F3647D" w14:paraId="3B58C4A5" w14:textId="77777777">
      <w:r>
        <w:rPr>
          <w:noProof/>
        </w:rPr>
        <mc:AlternateContent>
          <mc:Choice Requires="wpg">
            <w:drawing>
              <wp:inline distT="0" distB="0" distL="0" distR="0" wp14:anchorId="2F7E6EE0" wp14:editId="207057DA">
                <wp:extent cx="5731510" cy="3011170"/>
                <wp:effectExtent l="0" t="0" r="2540" b="0"/>
                <wp:docPr id="1" name="Picture 1" descr="Coming Soon Childhood, Education and Society, BA (Hon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ing Soon Childhood, Education and Society, BA (Hons) | University of Wales Trinity Saint David"/>
                        <pic:cNvPicPr>
                          <a:picLocks noChangeAspect="1"/>
                        </pic:cNvPicPr>
                      </pic:nvPicPr>
                      <pic:blipFill>
                        <a:blip r:embed="rId8"/>
                        <a:stretch/>
                      </pic:blipFill>
                      <pic:spPr bwMode="auto">
                        <a:xfrm>
                          <a:off x="0" y="0"/>
                          <a:ext cx="5731510" cy="3011170"/>
                        </a:xfrm>
                        <a:prstGeom prst="rect">
                          <a:avLst/>
                        </a:prstGeom>
                        <a:noFill/>
                        <a:ln>
                          <a:noFill/>
                        </a:ln>
                      </pic:spPr>
                    </pic:pic>
                  </a:graphicData>
                </a:graphic>
              </wp:inline>
            </w:drawing>
          </mc:Choice>
          <mc:Fallback xmlns:a="http://schemas.openxmlformats.org/drawingml/2006/main">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0" style="width:451.30pt;height:237.10pt;mso-wrap-distance-left:0.00pt;mso-wrap-distance-top:0.00pt;mso-wrap-distance-right:0.00pt;mso-wrap-distance-bottom:0.00pt;z-index:1;" o:spid="_x0000_s0" stroked="f" type="#_x0000_t75">
                <v:imagedata o:title="" r:id="rId10"/>
                <o:lock v:ext="edit" rotation="t"/>
              </v:shape>
            </w:pict>
          </mc:Fallback>
        </mc:AlternateContent>
      </w:r>
    </w:p>
    <w:p w:rsidR="00A61910" w:rsidRDefault="00A61910" w14:paraId="577CAEAE" w14:textId="77777777"/>
    <w:p w:rsidR="00A61910" w:rsidRDefault="00F3647D" w14:paraId="654620A6" w14:textId="77777777">
      <w:pPr>
        <w:jc w:val="center"/>
        <w:rPr>
          <w:sz w:val="32"/>
          <w:szCs w:val="32"/>
        </w:rPr>
      </w:pPr>
      <w:r>
        <w:rPr>
          <w:sz w:val="32"/>
          <w:szCs w:val="32"/>
        </w:rPr>
        <w:t>BA (Hons) Leadership and Management Skills for the Workplace</w:t>
      </w:r>
    </w:p>
    <w:p w:rsidR="00A61910" w:rsidRDefault="00F3647D" w14:paraId="4E5F7F88" w14:textId="6A038E7B">
      <w:pPr>
        <w:jc w:val="center"/>
      </w:pPr>
      <w:r w:rsidRPr="70C6338A" w:rsidR="51638914">
        <w:rPr>
          <w:sz w:val="32"/>
          <w:szCs w:val="32"/>
        </w:rPr>
        <w:t>Leading and Implementing LCLM6003</w:t>
      </w:r>
    </w:p>
    <w:p w:rsidR="00A61910" w:rsidRDefault="00F3647D" w14:paraId="40AC6E94" w14:textId="630E023D">
      <w:pPr>
        <w:jc w:val="center"/>
      </w:pPr>
      <w:r w:rsidRPr="70C6338A" w:rsidR="00F3647D">
        <w:rPr>
          <w:sz w:val="32"/>
          <w:szCs w:val="32"/>
        </w:rPr>
        <w:t>Assignment Title:</w:t>
      </w:r>
      <w:r w:rsidRPr="70C6338A" w:rsidR="66BE184A">
        <w:rPr>
          <w:sz w:val="32"/>
          <w:szCs w:val="32"/>
        </w:rPr>
        <w:t xml:space="preserve"> Leading and Implementing</w:t>
      </w:r>
      <w:r w:rsidRPr="70C6338A" w:rsidR="00F3647D">
        <w:rPr>
          <w:sz w:val="32"/>
          <w:szCs w:val="32"/>
        </w:rPr>
        <w:t xml:space="preserve"> </w:t>
      </w:r>
    </w:p>
    <w:p w:rsidR="00A61910" w:rsidRDefault="00F3647D" w14:paraId="321B0C5E" w14:textId="65C2180A">
      <w:pPr>
        <w:jc w:val="center"/>
      </w:pPr>
      <w:r w:rsidR="00F3647D">
        <w:rPr/>
        <w:t>Student Name:</w:t>
      </w:r>
      <w:r w:rsidR="05751345">
        <w:rPr/>
        <w:t xml:space="preserve"> Florina Adriana Soare</w:t>
      </w:r>
    </w:p>
    <w:p w:rsidR="00A61910" w:rsidRDefault="00F3647D" w14:paraId="52B63B81" w14:textId="225CA299">
      <w:pPr>
        <w:jc w:val="center"/>
      </w:pPr>
      <w:r w:rsidR="00F3647D">
        <w:rPr/>
        <w:t>Student ID Number:</w:t>
      </w:r>
      <w:r w:rsidR="1C925621">
        <w:rPr/>
        <w:t xml:space="preserve"> 2312474</w:t>
      </w:r>
    </w:p>
    <w:p w:rsidR="00A61910" w:rsidRDefault="00F3647D" w14:paraId="34159709" w14:textId="7A19638E">
      <w:pPr>
        <w:jc w:val="center"/>
      </w:pPr>
      <w:r w:rsidR="249A7A48">
        <w:rPr/>
        <w:t xml:space="preserve">Lecturer: </w:t>
      </w:r>
      <w:r w:rsidR="5C1B89EB">
        <w:rPr/>
        <w:t>Mustakkima Afrin</w:t>
      </w:r>
    </w:p>
    <w:p w:rsidR="00A61910" w:rsidP="199EF9AE" w:rsidRDefault="00F3647D" w14:paraId="3B4FFF93" w14:textId="4773B977">
      <w:pPr>
        <w:pStyle w:val="Normal"/>
        <w:jc w:val="center"/>
      </w:pPr>
      <w:r w:rsidR="249A7A48">
        <w:rPr/>
        <w:t xml:space="preserve">Submission Date: </w:t>
      </w:r>
      <w:r w:rsidR="76ADA4CD">
        <w:rPr/>
        <w:t>21/08/2026</w:t>
      </w:r>
    </w:p>
    <w:p w:rsidR="70C6338A" w:rsidP="70C6338A" w:rsidRDefault="70C6338A" w14:paraId="4E23270D" w14:textId="3251EEB0">
      <w:pPr>
        <w:jc w:val="center"/>
      </w:pPr>
    </w:p>
    <w:p w:rsidR="00A61910" w:rsidRDefault="00A61910" w14:paraId="070C72F0" w14:textId="77777777">
      <w:pPr>
        <w:jc w:val="center"/>
      </w:pPr>
    </w:p>
    <w:p w:rsidR="00A61910" w:rsidRDefault="00A61910" w14:paraId="03A20E13" w14:textId="77777777">
      <w:pPr>
        <w:jc w:val="center"/>
      </w:pPr>
    </w:p>
    <w:p w:rsidR="199EF9AE" w:rsidP="199EF9AE" w:rsidRDefault="199EF9AE" w14:paraId="12C182FE" w14:textId="22A6EAB5">
      <w:pPr>
        <w:jc w:val="center"/>
      </w:pPr>
    </w:p>
    <w:p w:rsidR="199EF9AE" w:rsidP="199EF9AE" w:rsidRDefault="199EF9AE" w14:paraId="2F00E3AB" w14:textId="4311651B">
      <w:pPr>
        <w:jc w:val="center"/>
      </w:pPr>
    </w:p>
    <w:p w:rsidR="199EF9AE" w:rsidP="199EF9AE" w:rsidRDefault="199EF9AE" w14:paraId="10D1DB20" w14:textId="4C211641">
      <w:pPr>
        <w:pStyle w:val="Normal"/>
        <w:jc w:val="center"/>
        <w:rPr>
          <w:rFonts w:ascii="Arial" w:hAnsi="Arial" w:eastAsia="Arial" w:cs="Arial"/>
          <w:sz w:val="22"/>
          <w:szCs w:val="22"/>
        </w:rPr>
      </w:pPr>
    </w:p>
    <w:p w:rsidR="199EF9AE" w:rsidP="199EF9AE" w:rsidRDefault="199EF9AE" w14:paraId="337A7097" w14:textId="35AB8642">
      <w:pPr>
        <w:pStyle w:val="Normal"/>
        <w:jc w:val="center"/>
        <w:rPr>
          <w:rFonts w:ascii="Arial" w:hAnsi="Arial" w:eastAsia="Arial" w:cs="Arial"/>
          <w:sz w:val="22"/>
          <w:szCs w:val="22"/>
        </w:rPr>
      </w:pPr>
    </w:p>
    <w:p w:rsidR="2D97E310" w:rsidP="199EF9AE" w:rsidRDefault="2D97E310" w14:paraId="485BB58D" w14:textId="3D4E25F1">
      <w:pPr>
        <w:pStyle w:val="NoSpacing"/>
        <w:spacing w:after="0" w:line="240" w:lineRule="auto"/>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Executive Summary</w:t>
      </w:r>
    </w:p>
    <w:p w:rsidR="199EF9AE" w:rsidP="199EF9AE" w:rsidRDefault="199EF9AE" w14:paraId="17D57D43" w14:textId="17B4A978">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2D97E310" w:rsidP="199EF9AE" w:rsidRDefault="2D97E310" w14:paraId="4CCA8CE1" w14:textId="5C7B0D72">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Table of Contents</w:t>
      </w:r>
    </w:p>
    <w:p w:rsidR="199EF9AE" w:rsidP="199EF9AE" w:rsidRDefault="199EF9AE" w14:paraId="536B79E3" w14:textId="57E677A8">
      <w:pPr>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2D97E310" w:rsidP="199EF9AE" w:rsidRDefault="2D97E310" w14:paraId="38A6E8DB" w14:textId="77844DD5">
      <w:pPr>
        <w:pStyle w:val="NoSpacing"/>
        <w:spacing w:after="0" w:line="240" w:lineRule="auto"/>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1. Introduction </w:t>
      </w:r>
    </w:p>
    <w:p w:rsidR="2D97E310" w:rsidP="199EF9AE" w:rsidRDefault="2D97E310" w14:paraId="7413DF8F" w14:textId="3F20E37C">
      <w:pPr>
        <w:pStyle w:val="NoSpacing"/>
        <w:spacing w:after="0" w:line="240" w:lineRule="auto"/>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1.1 Overview of Jaguar Land Rover</w:t>
      </w:r>
    </w:p>
    <w:p w:rsidR="2D97E310" w:rsidP="199EF9AE" w:rsidRDefault="2D97E310" w14:paraId="5DF06438" w14:textId="27BA96A6">
      <w:pPr>
        <w:pStyle w:val="NoSpacing"/>
        <w:spacing w:after="0" w:line="240" w:lineRule="auto"/>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1.2 Purpose of the Report</w:t>
      </w:r>
    </w:p>
    <w:p w:rsidR="2D97E310" w:rsidP="199EF9AE" w:rsidRDefault="2D97E310" w14:paraId="4D08B656" w14:textId="671EFCF1">
      <w:pPr>
        <w:pStyle w:val="NoSpacing"/>
        <w:spacing w:after="0" w:line="240" w:lineRule="auto"/>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1.3 Role of the Senior Strategic Manager</w:t>
      </w:r>
    </w:p>
    <w:p w:rsidR="199EF9AE" w:rsidP="199EF9AE" w:rsidRDefault="199EF9AE" w14:paraId="5688AF06" w14:textId="52C6ACE5">
      <w:pPr>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ro-RO"/>
        </w:rPr>
      </w:pPr>
    </w:p>
    <w:p w:rsidR="2D97E310" w:rsidP="199EF9AE" w:rsidRDefault="2D97E310" w14:paraId="18C396F9" w14:textId="17EC2911">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2.Internal and External Factors Affecting </w:t>
      </w:r>
      <w:r w:rsidRPr="199EF9AE" w:rsidR="36002582">
        <w:rPr>
          <w:rFonts w:ascii="Aptos" w:hAnsi="Aptos" w:eastAsia="Aptos" w:cs="Aptos"/>
          <w:b w:val="0"/>
          <w:bCs w:val="0"/>
          <w:i w:val="0"/>
          <w:iCs w:val="0"/>
          <w:caps w:val="0"/>
          <w:smallCaps w:val="0"/>
          <w:noProof w:val="0"/>
          <w:color w:val="000000" w:themeColor="text1" w:themeTint="FF" w:themeShade="FF"/>
          <w:sz w:val="24"/>
          <w:szCs w:val="24"/>
          <w:lang w:val="en-GB"/>
        </w:rPr>
        <w:t>Jaguar and Land Rover</w:t>
      </w:r>
    </w:p>
    <w:p w:rsidR="2D97E310" w:rsidP="199EF9AE" w:rsidRDefault="2D97E310" w14:paraId="7860F714" w14:textId="510ED810">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2.1 </w:t>
      </w:r>
      <w:r w:rsidRPr="199EF9AE" w:rsidR="3E1935B4">
        <w:rPr>
          <w:rFonts w:ascii="Aptos" w:hAnsi="Aptos" w:eastAsia="Aptos" w:cs="Aptos"/>
          <w:b w:val="0"/>
          <w:bCs w:val="0"/>
          <w:i w:val="0"/>
          <w:iCs w:val="0"/>
          <w:caps w:val="0"/>
          <w:smallCaps w:val="0"/>
          <w:noProof w:val="0"/>
          <w:color w:val="000000" w:themeColor="text1" w:themeTint="FF" w:themeShade="FF"/>
          <w:sz w:val="24"/>
          <w:szCs w:val="24"/>
          <w:lang w:val="en-GB"/>
        </w:rPr>
        <w:t>PESTLE Analysis</w:t>
      </w:r>
    </w:p>
    <w:p w:rsidR="2D97E310" w:rsidP="199EF9AE" w:rsidRDefault="2D97E310" w14:paraId="565910CA" w14:textId="431AD4C8">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2.2 </w:t>
      </w:r>
      <w:r w:rsidRPr="199EF9AE" w:rsidR="104C7A9F">
        <w:rPr>
          <w:rFonts w:ascii="Aptos" w:hAnsi="Aptos" w:eastAsia="Aptos" w:cs="Aptos"/>
          <w:b w:val="0"/>
          <w:bCs w:val="0"/>
          <w:i w:val="0"/>
          <w:iCs w:val="0"/>
          <w:caps w:val="0"/>
          <w:smallCaps w:val="0"/>
          <w:noProof w:val="0"/>
          <w:color w:val="000000" w:themeColor="text1" w:themeTint="FF" w:themeShade="FF"/>
          <w:sz w:val="24"/>
          <w:szCs w:val="24"/>
          <w:lang w:val="en-GB"/>
        </w:rPr>
        <w:t>Impact of COVID-19 on Jaguar Land Rover</w:t>
      </w:r>
    </w:p>
    <w:p w:rsidR="2D97E310" w:rsidP="199EF9AE" w:rsidRDefault="2D97E310" w14:paraId="36474D27" w14:textId="681FDE12">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2.3 S</w:t>
      </w:r>
      <w:r w:rsidRPr="199EF9AE" w:rsidR="0692074A">
        <w:rPr>
          <w:rFonts w:ascii="Aptos" w:hAnsi="Aptos" w:eastAsia="Aptos" w:cs="Aptos"/>
          <w:b w:val="0"/>
          <w:bCs w:val="0"/>
          <w:i w:val="0"/>
          <w:iCs w:val="0"/>
          <w:caps w:val="0"/>
          <w:smallCaps w:val="0"/>
          <w:noProof w:val="0"/>
          <w:color w:val="000000" w:themeColor="text1" w:themeTint="FF" w:themeShade="FF"/>
          <w:sz w:val="24"/>
          <w:szCs w:val="24"/>
          <w:lang w:val="en-GB"/>
        </w:rPr>
        <w:t>wot Analysis</w:t>
      </w:r>
    </w:p>
    <w:p w:rsidR="2D97E310" w:rsidP="199EF9AE" w:rsidRDefault="2D97E310" w14:paraId="26A79AB8" w14:textId="53E3CE0C">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2.4 </w:t>
      </w:r>
      <w:r w:rsidRPr="199EF9AE" w:rsidR="43911DF1">
        <w:rPr>
          <w:rFonts w:ascii="Aptos" w:hAnsi="Aptos" w:eastAsia="Aptos" w:cs="Aptos"/>
          <w:b w:val="0"/>
          <w:bCs w:val="0"/>
          <w:i w:val="0"/>
          <w:iCs w:val="0"/>
          <w:caps w:val="0"/>
          <w:smallCaps w:val="0"/>
          <w:noProof w:val="0"/>
          <w:color w:val="000000" w:themeColor="text1" w:themeTint="FF" w:themeShade="FF"/>
          <w:sz w:val="24"/>
          <w:szCs w:val="24"/>
          <w:lang w:val="en-GB"/>
        </w:rPr>
        <w:t>Stakeholder Analysis</w:t>
      </w:r>
    </w:p>
    <w:p w:rsidR="2D97E310" w:rsidP="199EF9AE" w:rsidRDefault="2D97E310" w14:paraId="41F3EA51" w14:textId="2A3D3072">
      <w:pPr>
        <w:pStyle w:val="NoSpacing"/>
        <w:spacing w:after="0" w:line="240" w:lineRule="auto"/>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2.5 </w:t>
      </w:r>
      <w:r w:rsidRPr="199EF9AE" w:rsidR="10D1ABA9">
        <w:rPr>
          <w:rFonts w:ascii="Aptos" w:hAnsi="Aptos" w:eastAsia="Aptos" w:cs="Aptos"/>
          <w:b w:val="0"/>
          <w:bCs w:val="0"/>
          <w:i w:val="0"/>
          <w:iCs w:val="0"/>
          <w:caps w:val="0"/>
          <w:smallCaps w:val="0"/>
          <w:noProof w:val="0"/>
          <w:color w:val="000000" w:themeColor="text1" w:themeTint="FF" w:themeShade="FF"/>
          <w:sz w:val="24"/>
          <w:szCs w:val="24"/>
          <w:lang w:val="en-GB"/>
        </w:rPr>
        <w:t>Mendelow's Matrix</w:t>
      </w:r>
    </w:p>
    <w:p w:rsidR="10D1ABA9" w:rsidP="199EF9AE" w:rsidRDefault="10D1ABA9" w14:paraId="17B54FF8" w14:textId="578E2232">
      <w:pPr>
        <w:pStyle w:val="NoSpacing"/>
        <w:spacing w:after="0" w:line="240" w:lineRule="auto"/>
      </w:pPr>
      <w:r w:rsidRPr="199EF9AE" w:rsidR="10D1ABA9">
        <w:rPr>
          <w:rFonts w:ascii="Aptos" w:hAnsi="Aptos" w:eastAsia="Aptos" w:cs="Aptos"/>
          <w:b w:val="0"/>
          <w:bCs w:val="0"/>
          <w:i w:val="0"/>
          <w:iCs w:val="0"/>
          <w:caps w:val="0"/>
          <w:smallCaps w:val="0"/>
          <w:noProof w:val="0"/>
          <w:color w:val="000000" w:themeColor="text1" w:themeTint="FF" w:themeShade="FF"/>
          <w:sz w:val="24"/>
          <w:szCs w:val="24"/>
          <w:lang w:val="en-GB"/>
        </w:rPr>
        <w:t xml:space="preserve">   2.6 Supporting Graphs </w:t>
      </w:r>
      <w:r w:rsidRPr="199EF9AE" w:rsidR="10D1ABA9">
        <w:rPr>
          <w:rFonts w:ascii="Aptos" w:hAnsi="Aptos" w:eastAsia="Aptos" w:cs="Aptos"/>
          <w:b w:val="0"/>
          <w:bCs w:val="0"/>
          <w:i w:val="0"/>
          <w:iCs w:val="0"/>
          <w:caps w:val="0"/>
          <w:smallCaps w:val="0"/>
          <w:noProof w:val="0"/>
          <w:color w:val="000000" w:themeColor="text1" w:themeTint="FF" w:themeShade="FF"/>
          <w:sz w:val="24"/>
          <w:szCs w:val="24"/>
          <w:lang w:val="en-GB"/>
        </w:rPr>
        <w:t>and</w:t>
      </w:r>
      <w:r w:rsidRPr="199EF9AE" w:rsidR="10D1ABA9">
        <w:rPr>
          <w:rFonts w:ascii="Aptos" w:hAnsi="Aptos" w:eastAsia="Aptos" w:cs="Aptos"/>
          <w:b w:val="0"/>
          <w:bCs w:val="0"/>
          <w:i w:val="0"/>
          <w:iCs w:val="0"/>
          <w:caps w:val="0"/>
          <w:smallCaps w:val="0"/>
          <w:noProof w:val="0"/>
          <w:color w:val="000000" w:themeColor="text1" w:themeTint="FF" w:themeShade="FF"/>
          <w:sz w:val="24"/>
          <w:szCs w:val="24"/>
          <w:lang w:val="en-GB"/>
        </w:rPr>
        <w:t xml:space="preserve"> Charts</w:t>
      </w:r>
    </w:p>
    <w:p w:rsidR="199EF9AE" w:rsidP="199EF9AE" w:rsidRDefault="199EF9AE" w14:paraId="26D5764D" w14:textId="3AED0305">
      <w:pPr>
        <w:pStyle w:val="Normal"/>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2D97E310" w:rsidP="199EF9AE" w:rsidRDefault="2D97E310" w14:paraId="3B376F4E" w14:textId="0D77F8B2">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3</w:t>
      </w:r>
      <w:r w:rsidRPr="199EF9AE" w:rsidR="48970064">
        <w:rPr>
          <w:rFonts w:ascii="Aptos" w:hAnsi="Aptos" w:eastAsia="Aptos" w:cs="Aptos"/>
          <w:b w:val="0"/>
          <w:bCs w:val="0"/>
          <w:i w:val="0"/>
          <w:iCs w:val="0"/>
          <w:caps w:val="0"/>
          <w:smallCaps w:val="0"/>
          <w:noProof w:val="0"/>
          <w:color w:val="000000" w:themeColor="text1" w:themeTint="FF" w:themeShade="FF"/>
          <w:sz w:val="24"/>
          <w:szCs w:val="24"/>
          <w:lang w:val="en-GB"/>
        </w:rPr>
        <w:t>.Change Management Models</w:t>
      </w:r>
    </w:p>
    <w:p w:rsidR="2D97E310" w:rsidP="199EF9AE" w:rsidRDefault="2D97E310" w14:paraId="72942E3B" w14:textId="74FA7FEF">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3.1 </w:t>
      </w:r>
      <w:r w:rsidRPr="199EF9AE" w:rsidR="2EE43D39">
        <w:rPr>
          <w:rFonts w:ascii="Aptos" w:hAnsi="Aptos" w:eastAsia="Aptos" w:cs="Aptos"/>
          <w:b w:val="0"/>
          <w:bCs w:val="0"/>
          <w:i w:val="0"/>
          <w:iCs w:val="0"/>
          <w:caps w:val="0"/>
          <w:smallCaps w:val="0"/>
          <w:noProof w:val="0"/>
          <w:color w:val="000000" w:themeColor="text1" w:themeTint="FF" w:themeShade="FF"/>
          <w:sz w:val="24"/>
          <w:szCs w:val="24"/>
          <w:lang w:val="en-GB"/>
        </w:rPr>
        <w:t>Lewin's Three-Step Change Model</w:t>
      </w:r>
    </w:p>
    <w:p w:rsidR="2D97E310" w:rsidP="199EF9AE" w:rsidRDefault="2D97E310" w14:paraId="3D06539C" w14:textId="037C147C">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3.2 </w:t>
      </w:r>
      <w:r w:rsidRPr="199EF9AE" w:rsidR="0B58D0EB">
        <w:rPr>
          <w:rFonts w:ascii="Aptos" w:hAnsi="Aptos" w:eastAsia="Aptos" w:cs="Aptos"/>
          <w:b w:val="0"/>
          <w:bCs w:val="0"/>
          <w:i w:val="0"/>
          <w:iCs w:val="0"/>
          <w:caps w:val="0"/>
          <w:smallCaps w:val="0"/>
          <w:noProof w:val="0"/>
          <w:color w:val="000000" w:themeColor="text1" w:themeTint="FF" w:themeShade="FF"/>
          <w:sz w:val="24"/>
          <w:szCs w:val="24"/>
          <w:lang w:val="en-GB"/>
        </w:rPr>
        <w:t>Kotter's Eight-</w:t>
      </w:r>
      <w:r w:rsidRPr="199EF9AE" w:rsidR="0B58D0EB">
        <w:rPr>
          <w:rFonts w:ascii="Aptos" w:hAnsi="Aptos" w:eastAsia="Aptos" w:cs="Aptos"/>
          <w:b w:val="0"/>
          <w:bCs w:val="0"/>
          <w:i w:val="0"/>
          <w:iCs w:val="0"/>
          <w:caps w:val="0"/>
          <w:smallCaps w:val="0"/>
          <w:noProof w:val="0"/>
          <w:color w:val="000000" w:themeColor="text1" w:themeTint="FF" w:themeShade="FF"/>
          <w:sz w:val="24"/>
          <w:szCs w:val="24"/>
          <w:lang w:val="en-GB"/>
        </w:rPr>
        <w:t>Step Change</w:t>
      </w:r>
      <w:r w:rsidRPr="199EF9AE" w:rsidR="0B58D0EB">
        <w:rPr>
          <w:rFonts w:ascii="Aptos" w:hAnsi="Aptos" w:eastAsia="Aptos" w:cs="Aptos"/>
          <w:b w:val="0"/>
          <w:bCs w:val="0"/>
          <w:i w:val="0"/>
          <w:iCs w:val="0"/>
          <w:caps w:val="0"/>
          <w:smallCaps w:val="0"/>
          <w:noProof w:val="0"/>
          <w:color w:val="000000" w:themeColor="text1" w:themeTint="FF" w:themeShade="FF"/>
          <w:sz w:val="24"/>
          <w:szCs w:val="24"/>
          <w:lang w:val="en-GB"/>
        </w:rPr>
        <w:t xml:space="preserve"> Model</w:t>
      </w:r>
    </w:p>
    <w:p w:rsidR="2D97E310" w:rsidP="199EF9AE" w:rsidRDefault="2D97E310" w14:paraId="0F587890" w14:textId="41FEE1A6">
      <w:pPr>
        <w:pStyle w:val="NoSpacing"/>
        <w:spacing w:after="0" w:line="240" w:lineRule="auto"/>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3.3 </w:t>
      </w:r>
      <w:r w:rsidRPr="199EF9AE" w:rsidR="77CC3D7F">
        <w:rPr>
          <w:rFonts w:ascii="Aptos" w:hAnsi="Aptos" w:eastAsia="Aptos" w:cs="Aptos"/>
          <w:b w:val="0"/>
          <w:bCs w:val="0"/>
          <w:i w:val="0"/>
          <w:iCs w:val="0"/>
          <w:caps w:val="0"/>
          <w:smallCaps w:val="0"/>
          <w:noProof w:val="0"/>
          <w:color w:val="000000" w:themeColor="text1" w:themeTint="FF" w:themeShade="FF"/>
          <w:sz w:val="24"/>
          <w:szCs w:val="24"/>
          <w:lang w:val="en-GB"/>
        </w:rPr>
        <w:t>Pettigrew's Model of Strategic Change</w:t>
      </w:r>
    </w:p>
    <w:p w:rsidR="77CC3D7F" w:rsidP="199EF9AE" w:rsidRDefault="77CC3D7F" w14:paraId="71C2B022" w14:textId="4CB6B96A">
      <w:pPr>
        <w:pStyle w:val="NoSpacing"/>
        <w:spacing w:after="0" w:line="240" w:lineRule="auto"/>
      </w:pPr>
      <w:r w:rsidRPr="199EF9AE" w:rsidR="77CC3D7F">
        <w:rPr>
          <w:rFonts w:ascii="Aptos" w:hAnsi="Aptos" w:eastAsia="Aptos" w:cs="Aptos"/>
          <w:b w:val="0"/>
          <w:bCs w:val="0"/>
          <w:i w:val="0"/>
          <w:iCs w:val="0"/>
          <w:caps w:val="0"/>
          <w:smallCaps w:val="0"/>
          <w:noProof w:val="0"/>
          <w:color w:val="000000" w:themeColor="text1" w:themeTint="FF" w:themeShade="FF"/>
          <w:sz w:val="24"/>
          <w:szCs w:val="24"/>
          <w:lang w:val="en-GB"/>
        </w:rPr>
        <w:t xml:space="preserve">   3.4 Comparison of the Change Models</w:t>
      </w:r>
    </w:p>
    <w:p w:rsidR="77CC3D7F" w:rsidP="199EF9AE" w:rsidRDefault="77CC3D7F" w14:paraId="4D3CDD3D" w14:textId="3FA5EF87">
      <w:pPr>
        <w:pStyle w:val="NoSpacing"/>
        <w:spacing w:after="0" w:line="240" w:lineRule="auto"/>
      </w:pPr>
      <w:r w:rsidRPr="199EF9AE" w:rsidR="77CC3D7F">
        <w:rPr>
          <w:rFonts w:ascii="Aptos" w:hAnsi="Aptos" w:eastAsia="Aptos" w:cs="Aptos"/>
          <w:b w:val="0"/>
          <w:bCs w:val="0"/>
          <w:i w:val="0"/>
          <w:iCs w:val="0"/>
          <w:caps w:val="0"/>
          <w:smallCaps w:val="0"/>
          <w:noProof w:val="0"/>
          <w:color w:val="000000" w:themeColor="text1" w:themeTint="FF" w:themeShade="FF"/>
          <w:sz w:val="24"/>
          <w:szCs w:val="24"/>
          <w:lang w:val="en-GB"/>
        </w:rPr>
        <w:t xml:space="preserve">   3.5 Selection of the Most Suitable Model for Jaguar Land Rover</w:t>
      </w:r>
    </w:p>
    <w:p w:rsidR="199EF9AE" w:rsidP="199EF9AE" w:rsidRDefault="199EF9AE" w14:paraId="0AD1ACFB" w14:textId="77AADB85">
      <w:pPr>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ro-RO"/>
        </w:rPr>
      </w:pPr>
    </w:p>
    <w:p w:rsidR="2D97E310" w:rsidP="199EF9AE" w:rsidRDefault="2D97E310" w14:paraId="25C9DEDA" w14:textId="2FD24F05">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4. </w:t>
      </w:r>
      <w:r w:rsidRPr="199EF9AE" w:rsidR="1D563F6E">
        <w:rPr>
          <w:rFonts w:ascii="Aptos" w:hAnsi="Aptos" w:eastAsia="Aptos" w:cs="Aptos"/>
          <w:b w:val="0"/>
          <w:bCs w:val="0"/>
          <w:i w:val="0"/>
          <w:iCs w:val="0"/>
          <w:caps w:val="0"/>
          <w:smallCaps w:val="0"/>
          <w:noProof w:val="0"/>
          <w:color w:val="000000" w:themeColor="text1" w:themeTint="FF" w:themeShade="FF"/>
          <w:sz w:val="24"/>
          <w:szCs w:val="24"/>
          <w:lang w:val="en-GB"/>
        </w:rPr>
        <w:t>Implementing Change at Jaguar and Land Rover</w:t>
      </w:r>
    </w:p>
    <w:p w:rsidR="2D97E310" w:rsidP="199EF9AE" w:rsidRDefault="2D97E310" w14:paraId="43CCFE4C" w14:textId="6B37043A">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4.1 </w:t>
      </w:r>
      <w:r w:rsidRPr="199EF9AE" w:rsidR="12AD3226">
        <w:rPr>
          <w:rFonts w:ascii="Aptos" w:hAnsi="Aptos" w:eastAsia="Aptos" w:cs="Aptos"/>
          <w:b w:val="0"/>
          <w:bCs w:val="0"/>
          <w:i w:val="0"/>
          <w:iCs w:val="0"/>
          <w:caps w:val="0"/>
          <w:smallCaps w:val="0"/>
          <w:noProof w:val="0"/>
          <w:color w:val="000000" w:themeColor="text1" w:themeTint="FF" w:themeShade="FF"/>
          <w:sz w:val="24"/>
          <w:szCs w:val="24"/>
          <w:lang w:val="en-GB"/>
        </w:rPr>
        <w:t>Proposed Strategic Change</w:t>
      </w:r>
    </w:p>
    <w:p w:rsidR="2D97E310" w:rsidP="199EF9AE" w:rsidRDefault="2D97E310" w14:paraId="60C4CBDF" w14:textId="25B292FD">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4.2 </w:t>
      </w:r>
      <w:r w:rsidRPr="199EF9AE" w:rsidR="74DB65CA">
        <w:rPr>
          <w:rFonts w:ascii="Aptos" w:hAnsi="Aptos" w:eastAsia="Aptos" w:cs="Aptos"/>
          <w:b w:val="0"/>
          <w:bCs w:val="0"/>
          <w:i w:val="0"/>
          <w:iCs w:val="0"/>
          <w:caps w:val="0"/>
          <w:smallCaps w:val="0"/>
          <w:noProof w:val="0"/>
          <w:color w:val="000000" w:themeColor="text1" w:themeTint="FF" w:themeShade="FF"/>
          <w:sz w:val="24"/>
          <w:szCs w:val="24"/>
          <w:lang w:val="en-GB"/>
        </w:rPr>
        <w:t>Implementation Process</w:t>
      </w:r>
    </w:p>
    <w:p w:rsidR="2D97E310" w:rsidP="199EF9AE" w:rsidRDefault="2D97E310" w14:paraId="56CA3A52" w14:textId="63E27DF5">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4.3 </w:t>
      </w:r>
      <w:r w:rsidRPr="199EF9AE" w:rsidR="27071846">
        <w:rPr>
          <w:rFonts w:ascii="Aptos" w:hAnsi="Aptos" w:eastAsia="Aptos" w:cs="Aptos"/>
          <w:b w:val="0"/>
          <w:bCs w:val="0"/>
          <w:i w:val="0"/>
          <w:iCs w:val="0"/>
          <w:caps w:val="0"/>
          <w:smallCaps w:val="0"/>
          <w:noProof w:val="0"/>
          <w:color w:val="000000" w:themeColor="text1" w:themeTint="FF" w:themeShade="FF"/>
          <w:sz w:val="24"/>
          <w:szCs w:val="24"/>
          <w:lang w:val="en-GB"/>
        </w:rPr>
        <w:t xml:space="preserve">Role of Leadership </w:t>
      </w:r>
    </w:p>
    <w:p w:rsidR="2D97E310" w:rsidP="199EF9AE" w:rsidRDefault="2D97E310" w14:paraId="3382818A" w14:textId="03E881AD">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4.4 </w:t>
      </w:r>
      <w:r w:rsidRPr="199EF9AE" w:rsidR="38AF1BBF">
        <w:rPr>
          <w:rFonts w:ascii="Aptos" w:hAnsi="Aptos" w:eastAsia="Aptos" w:cs="Aptos"/>
          <w:b w:val="0"/>
          <w:bCs w:val="0"/>
          <w:i w:val="0"/>
          <w:iCs w:val="0"/>
          <w:caps w:val="0"/>
          <w:smallCaps w:val="0"/>
          <w:noProof w:val="0"/>
          <w:color w:val="000000" w:themeColor="text1" w:themeTint="FF" w:themeShade="FF"/>
          <w:sz w:val="24"/>
          <w:szCs w:val="24"/>
          <w:lang w:val="en-GB"/>
        </w:rPr>
        <w:t xml:space="preserve">Employee Involvement and </w:t>
      </w:r>
      <w:r w:rsidRPr="199EF9AE" w:rsidR="38AF1BBF">
        <w:rPr>
          <w:rFonts w:ascii="Aptos" w:hAnsi="Aptos" w:eastAsia="Aptos" w:cs="Aptos"/>
          <w:b w:val="0"/>
          <w:bCs w:val="0"/>
          <w:i w:val="0"/>
          <w:iCs w:val="0"/>
          <w:caps w:val="0"/>
          <w:smallCaps w:val="0"/>
          <w:noProof w:val="0"/>
          <w:color w:val="000000" w:themeColor="text1" w:themeTint="FF" w:themeShade="FF"/>
          <w:sz w:val="24"/>
          <w:szCs w:val="24"/>
          <w:lang w:val="en-GB"/>
        </w:rPr>
        <w:t>Resistance to</w:t>
      </w:r>
      <w:r w:rsidRPr="199EF9AE" w:rsidR="38AF1BBF">
        <w:rPr>
          <w:rFonts w:ascii="Aptos" w:hAnsi="Aptos" w:eastAsia="Aptos" w:cs="Aptos"/>
          <w:b w:val="0"/>
          <w:bCs w:val="0"/>
          <w:i w:val="0"/>
          <w:iCs w:val="0"/>
          <w:caps w:val="0"/>
          <w:smallCaps w:val="0"/>
          <w:noProof w:val="0"/>
          <w:color w:val="000000" w:themeColor="text1" w:themeTint="FF" w:themeShade="FF"/>
          <w:sz w:val="24"/>
          <w:szCs w:val="24"/>
          <w:lang w:val="en-GB"/>
        </w:rPr>
        <w:t xml:space="preserve"> Change</w:t>
      </w:r>
    </w:p>
    <w:p w:rsidR="2D97E310" w:rsidP="199EF9AE" w:rsidRDefault="2D97E310" w14:paraId="486201D1" w14:textId="20B2174D">
      <w:pPr>
        <w:pStyle w:val="NoSpacing"/>
        <w:spacing w:after="0" w:line="240" w:lineRule="auto"/>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4.5 </w:t>
      </w:r>
      <w:r w:rsidRPr="199EF9AE" w:rsidR="5661772E">
        <w:rPr>
          <w:rFonts w:ascii="Aptos" w:hAnsi="Aptos" w:eastAsia="Aptos" w:cs="Aptos"/>
          <w:b w:val="0"/>
          <w:bCs w:val="0"/>
          <w:i w:val="0"/>
          <w:iCs w:val="0"/>
          <w:caps w:val="0"/>
          <w:smallCaps w:val="0"/>
          <w:noProof w:val="0"/>
          <w:color w:val="000000" w:themeColor="text1" w:themeTint="FF" w:themeShade="FF"/>
          <w:sz w:val="24"/>
          <w:szCs w:val="24"/>
          <w:lang w:val="en-GB"/>
        </w:rPr>
        <w:t>Impact of Organisational Culture</w:t>
      </w:r>
    </w:p>
    <w:p w:rsidR="199EF9AE" w:rsidP="199EF9AE" w:rsidRDefault="199EF9AE" w14:paraId="1ADF949C" w14:textId="08C0C961">
      <w:pPr>
        <w:spacing w:after="0" w:line="240" w:lineRule="auto"/>
        <w:ind w:left="0"/>
        <w:rPr>
          <w:rFonts w:ascii="Aptos" w:hAnsi="Aptos" w:eastAsia="Aptos" w:cs="Aptos"/>
          <w:b w:val="0"/>
          <w:bCs w:val="0"/>
          <w:i w:val="0"/>
          <w:iCs w:val="0"/>
          <w:caps w:val="0"/>
          <w:smallCaps w:val="0"/>
          <w:noProof w:val="0"/>
          <w:color w:val="000000" w:themeColor="text1" w:themeTint="FF" w:themeShade="FF"/>
          <w:sz w:val="24"/>
          <w:szCs w:val="24"/>
          <w:lang w:val="ro-RO"/>
        </w:rPr>
      </w:pPr>
    </w:p>
    <w:p w:rsidR="2D97E310" w:rsidP="199EF9AE" w:rsidRDefault="2D97E310" w14:paraId="7187D97D" w14:textId="71EC8D22">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5. </w:t>
      </w:r>
      <w:r w:rsidRPr="199EF9AE" w:rsidR="27E35554">
        <w:rPr>
          <w:rFonts w:ascii="Aptos" w:hAnsi="Aptos" w:eastAsia="Aptos" w:cs="Aptos"/>
          <w:b w:val="0"/>
          <w:bCs w:val="0"/>
          <w:i w:val="0"/>
          <w:iCs w:val="0"/>
          <w:caps w:val="0"/>
          <w:smallCaps w:val="0"/>
          <w:noProof w:val="0"/>
          <w:color w:val="000000" w:themeColor="text1" w:themeTint="FF" w:themeShade="FF"/>
          <w:sz w:val="24"/>
          <w:szCs w:val="24"/>
          <w:lang w:val="en-GB"/>
        </w:rPr>
        <w:t>Strategic Change Management Plan</w:t>
      </w:r>
    </w:p>
    <w:p w:rsidR="2D97E310" w:rsidP="199EF9AE" w:rsidRDefault="2D97E310" w14:paraId="4156FE87" w14:textId="2D5FB96A">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5.1 </w:t>
      </w:r>
      <w:r w:rsidRPr="199EF9AE" w:rsidR="5543BA4B">
        <w:rPr>
          <w:rFonts w:ascii="Aptos" w:hAnsi="Aptos" w:eastAsia="Aptos" w:cs="Aptos"/>
          <w:b w:val="0"/>
          <w:bCs w:val="0"/>
          <w:i w:val="0"/>
          <w:iCs w:val="0"/>
          <w:caps w:val="0"/>
          <w:smallCaps w:val="0"/>
          <w:noProof w:val="0"/>
          <w:color w:val="000000" w:themeColor="text1" w:themeTint="FF" w:themeShade="FF"/>
          <w:sz w:val="24"/>
          <w:szCs w:val="24"/>
          <w:lang w:val="en-GB"/>
        </w:rPr>
        <w:t>Strategic Objectives</w:t>
      </w:r>
    </w:p>
    <w:p w:rsidR="03A864C8" w:rsidP="199EF9AE" w:rsidRDefault="03A864C8" w14:paraId="7AFFC5D0" w14:textId="5461ECC3">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03A864C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5.</w:t>
      </w:r>
      <w:r w:rsidRPr="199EF9AE" w:rsidR="7FEBAAB2">
        <w:rPr>
          <w:rFonts w:ascii="Aptos" w:hAnsi="Aptos" w:eastAsia="Aptos" w:cs="Aptos"/>
          <w:b w:val="0"/>
          <w:bCs w:val="0"/>
          <w:i w:val="0"/>
          <w:iCs w:val="0"/>
          <w:caps w:val="0"/>
          <w:smallCaps w:val="0"/>
          <w:noProof w:val="0"/>
          <w:color w:val="000000" w:themeColor="text1" w:themeTint="FF" w:themeShade="FF"/>
          <w:sz w:val="24"/>
          <w:szCs w:val="24"/>
          <w:lang w:val="en-GB"/>
        </w:rPr>
        <w:t>2</w:t>
      </w:r>
      <w:r w:rsidRPr="199EF9AE" w:rsidR="60EC2B1C">
        <w:rPr>
          <w:rFonts w:ascii="Aptos" w:hAnsi="Aptos" w:eastAsia="Aptos" w:cs="Aptos"/>
          <w:b w:val="0"/>
          <w:bCs w:val="0"/>
          <w:i w:val="0"/>
          <w:iCs w:val="0"/>
          <w:caps w:val="0"/>
          <w:smallCaps w:val="0"/>
          <w:noProof w:val="0"/>
          <w:color w:val="000000" w:themeColor="text1" w:themeTint="FF" w:themeShade="FF"/>
          <w:sz w:val="24"/>
          <w:szCs w:val="24"/>
          <w:lang w:val="en-GB"/>
        </w:rPr>
        <w:t xml:space="preserve"> Financial Plan </w:t>
      </w:r>
    </w:p>
    <w:p w:rsidR="2D97E310" w:rsidP="199EF9AE" w:rsidRDefault="2D97E310" w14:paraId="2B1FA8DF" w14:textId="3F375E79">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5.</w:t>
      </w:r>
      <w:r w:rsidRPr="199EF9AE" w:rsidR="7CFBCAB4">
        <w:rPr>
          <w:rFonts w:ascii="Aptos" w:hAnsi="Aptos" w:eastAsia="Aptos" w:cs="Aptos"/>
          <w:b w:val="0"/>
          <w:bCs w:val="0"/>
          <w:i w:val="0"/>
          <w:iCs w:val="0"/>
          <w:caps w:val="0"/>
          <w:smallCaps w:val="0"/>
          <w:noProof w:val="0"/>
          <w:color w:val="000000" w:themeColor="text1" w:themeTint="FF" w:themeShade="FF"/>
          <w:sz w:val="24"/>
          <w:szCs w:val="24"/>
          <w:lang w:val="en-GB"/>
        </w:rPr>
        <w:t>3</w:t>
      </w: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99EF9AE" w:rsidR="63D79D24">
        <w:rPr>
          <w:rFonts w:ascii="Aptos" w:hAnsi="Aptos" w:eastAsia="Aptos" w:cs="Aptos"/>
          <w:b w:val="0"/>
          <w:bCs w:val="0"/>
          <w:i w:val="0"/>
          <w:iCs w:val="0"/>
          <w:caps w:val="0"/>
          <w:smallCaps w:val="0"/>
          <w:noProof w:val="0"/>
          <w:color w:val="000000" w:themeColor="text1" w:themeTint="FF" w:themeShade="FF"/>
          <w:sz w:val="24"/>
          <w:szCs w:val="24"/>
          <w:lang w:val="en-GB"/>
        </w:rPr>
        <w:t>Communication Plan</w:t>
      </w:r>
    </w:p>
    <w:p w:rsidR="2D97E310" w:rsidP="199EF9AE" w:rsidRDefault="2D97E310" w14:paraId="6BB8BD35" w14:textId="4E991F12">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5.</w:t>
      </w:r>
      <w:r w:rsidRPr="199EF9AE" w:rsidR="60C0CE20">
        <w:rPr>
          <w:rFonts w:ascii="Aptos" w:hAnsi="Aptos" w:eastAsia="Aptos" w:cs="Aptos"/>
          <w:b w:val="0"/>
          <w:bCs w:val="0"/>
          <w:i w:val="0"/>
          <w:iCs w:val="0"/>
          <w:caps w:val="0"/>
          <w:smallCaps w:val="0"/>
          <w:noProof w:val="0"/>
          <w:color w:val="000000" w:themeColor="text1" w:themeTint="FF" w:themeShade="FF"/>
          <w:sz w:val="24"/>
          <w:szCs w:val="24"/>
          <w:lang w:val="en-GB"/>
        </w:rPr>
        <w:t>4</w:t>
      </w: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99EF9AE" w:rsidR="57F3EEBD">
        <w:rPr>
          <w:rFonts w:ascii="Aptos" w:hAnsi="Aptos" w:eastAsia="Aptos" w:cs="Aptos"/>
          <w:b w:val="0"/>
          <w:bCs w:val="0"/>
          <w:i w:val="0"/>
          <w:iCs w:val="0"/>
          <w:caps w:val="0"/>
          <w:smallCaps w:val="0"/>
          <w:noProof w:val="0"/>
          <w:color w:val="000000" w:themeColor="text1" w:themeTint="FF" w:themeShade="FF"/>
          <w:sz w:val="24"/>
          <w:szCs w:val="24"/>
          <w:lang w:val="en-GB"/>
        </w:rPr>
        <w:t>Implementation Plan</w:t>
      </w:r>
    </w:p>
    <w:p w:rsidR="2D97E310" w:rsidP="199EF9AE" w:rsidRDefault="2D97E310" w14:paraId="05470653" w14:textId="05E5FE99">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5.</w:t>
      </w:r>
      <w:r w:rsidRPr="199EF9AE" w:rsidR="4CA6011F">
        <w:rPr>
          <w:rFonts w:ascii="Aptos" w:hAnsi="Aptos" w:eastAsia="Aptos" w:cs="Aptos"/>
          <w:b w:val="0"/>
          <w:bCs w:val="0"/>
          <w:i w:val="0"/>
          <w:iCs w:val="0"/>
          <w:caps w:val="0"/>
          <w:smallCaps w:val="0"/>
          <w:noProof w:val="0"/>
          <w:color w:val="000000" w:themeColor="text1" w:themeTint="FF" w:themeShade="FF"/>
          <w:sz w:val="24"/>
          <w:szCs w:val="24"/>
          <w:lang w:val="en-GB"/>
        </w:rPr>
        <w:t>5</w:t>
      </w: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99EF9AE" w:rsidR="356CEDB4">
        <w:rPr>
          <w:rFonts w:ascii="Aptos" w:hAnsi="Aptos" w:eastAsia="Aptos" w:cs="Aptos"/>
          <w:b w:val="0"/>
          <w:bCs w:val="0"/>
          <w:i w:val="0"/>
          <w:iCs w:val="0"/>
          <w:caps w:val="0"/>
          <w:smallCaps w:val="0"/>
          <w:noProof w:val="0"/>
          <w:color w:val="000000" w:themeColor="text1" w:themeTint="FF" w:themeShade="FF"/>
          <w:sz w:val="24"/>
          <w:szCs w:val="24"/>
          <w:lang w:val="en-GB"/>
        </w:rPr>
        <w:t>Evaluation</w:t>
      </w:r>
      <w:r w:rsidRPr="199EF9AE" w:rsidR="356CEDB4">
        <w:rPr>
          <w:rFonts w:ascii="Aptos" w:hAnsi="Aptos" w:eastAsia="Aptos" w:cs="Aptos"/>
          <w:b w:val="0"/>
          <w:bCs w:val="0"/>
          <w:i w:val="0"/>
          <w:iCs w:val="0"/>
          <w:caps w:val="0"/>
          <w:smallCaps w:val="0"/>
          <w:noProof w:val="0"/>
          <w:color w:val="000000" w:themeColor="text1" w:themeTint="FF" w:themeShade="FF"/>
          <w:sz w:val="24"/>
          <w:szCs w:val="24"/>
          <w:lang w:val="en-GB"/>
        </w:rPr>
        <w:t xml:space="preserve"> Plan</w:t>
      </w:r>
    </w:p>
    <w:p w:rsidR="2D97E310" w:rsidP="199EF9AE" w:rsidRDefault="2D97E310" w14:paraId="4C720912" w14:textId="428449E5">
      <w:pPr>
        <w:pStyle w:val="NoSpacing"/>
        <w:spacing w:after="0" w:line="240" w:lineRule="auto"/>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2D97E310" w:rsidP="199EF9AE" w:rsidRDefault="2D97E310" w14:paraId="39707B55" w14:textId="14034F9B">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99EF9AE" w:rsidR="2D97E310">
        <w:rPr>
          <w:rFonts w:ascii="Aptos" w:hAnsi="Aptos" w:eastAsia="Aptos" w:cs="Aptos"/>
          <w:b w:val="0"/>
          <w:bCs w:val="0"/>
          <w:i w:val="0"/>
          <w:iCs w:val="0"/>
          <w:caps w:val="0"/>
          <w:smallCaps w:val="0"/>
          <w:noProof w:val="0"/>
          <w:color w:val="000000" w:themeColor="text1" w:themeTint="FF" w:themeShade="FF"/>
          <w:sz w:val="24"/>
          <w:szCs w:val="24"/>
          <w:lang w:val="en-GB"/>
        </w:rPr>
        <w:t>6.</w:t>
      </w:r>
      <w:r w:rsidRPr="199EF9AE" w:rsidR="5EBE1926">
        <w:rPr>
          <w:rFonts w:ascii="Aptos" w:hAnsi="Aptos" w:eastAsia="Aptos" w:cs="Aptos"/>
          <w:b w:val="0"/>
          <w:bCs w:val="0"/>
          <w:i w:val="0"/>
          <w:iCs w:val="0"/>
          <w:caps w:val="0"/>
          <w:smallCaps w:val="0"/>
          <w:noProof w:val="0"/>
          <w:color w:val="000000" w:themeColor="text1" w:themeTint="FF" w:themeShade="FF"/>
          <w:sz w:val="24"/>
          <w:szCs w:val="24"/>
          <w:lang w:val="en-GB"/>
        </w:rPr>
        <w:t>Conclusion</w:t>
      </w:r>
    </w:p>
    <w:p w:rsidR="5EEA4FE0" w:rsidP="199EF9AE" w:rsidRDefault="5EEA4FE0" w14:paraId="41B05B92" w14:textId="3312A4B7">
      <w:pPr>
        <w:pStyle w:val="NoSpacing"/>
        <w:spacing w:after="0" w:line="240" w:lineRule="auto"/>
      </w:pPr>
      <w:r w:rsidRPr="199EF9AE" w:rsidR="5EEA4FE0">
        <w:rPr>
          <w:rFonts w:ascii="Aptos" w:hAnsi="Aptos" w:eastAsia="Aptos" w:cs="Aptos"/>
          <w:b w:val="0"/>
          <w:bCs w:val="0"/>
          <w:i w:val="0"/>
          <w:iCs w:val="0"/>
          <w:caps w:val="0"/>
          <w:smallCaps w:val="0"/>
          <w:noProof w:val="0"/>
          <w:color w:val="000000" w:themeColor="text1" w:themeTint="FF" w:themeShade="FF"/>
          <w:sz w:val="24"/>
          <w:szCs w:val="24"/>
          <w:lang w:val="en-GB"/>
        </w:rPr>
        <w:t>7.References</w:t>
      </w:r>
    </w:p>
    <w:p w:rsidR="199EF9AE" w:rsidP="199EF9AE" w:rsidRDefault="199EF9AE" w14:paraId="512A0175" w14:textId="4FC14A70">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99EF9AE" w:rsidP="199EF9AE" w:rsidRDefault="199EF9AE" w14:paraId="62615682" w14:textId="0E269E4F">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99EF9AE" w:rsidP="199EF9AE" w:rsidRDefault="199EF9AE" w14:paraId="5644BD51" w14:textId="1641C28F">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99EF9AE" w:rsidP="199EF9AE" w:rsidRDefault="199EF9AE" w14:paraId="6CECEA48" w14:textId="3BED00EE">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99EF9AE" w:rsidP="199EF9AE" w:rsidRDefault="199EF9AE" w14:paraId="40878F00" w14:textId="6DD77128">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99EF9AE" w:rsidP="199EF9AE" w:rsidRDefault="199EF9AE" w14:paraId="0340B3A4" w14:textId="52F9EA6F">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99EF9AE" w:rsidP="199EF9AE" w:rsidRDefault="199EF9AE" w14:paraId="64816400" w14:textId="30314369">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DEC8BCA" w:rsidP="199EF9AE" w:rsidRDefault="1DEC8BCA" w14:paraId="4559C400" w14:textId="56895298">
      <w:pPr>
        <w:spacing w:before="240" w:beforeAutospacing="off" w:after="240" w:afterAutospacing="off"/>
        <w:rPr>
          <w:rFonts w:ascii="Arial" w:hAnsi="Arial" w:eastAsia="Arial" w:cs="Arial"/>
          <w:noProof w:val="0"/>
          <w:sz w:val="22"/>
          <w:szCs w:val="22"/>
          <w:lang w:val="en-GB"/>
        </w:rPr>
      </w:pPr>
      <w:r w:rsidRPr="199EF9AE" w:rsidR="1DEC8BCA">
        <w:rPr>
          <w:rFonts w:ascii="Arial" w:hAnsi="Arial" w:eastAsia="Arial" w:cs="Arial"/>
          <w:noProof w:val="0"/>
          <w:sz w:val="22"/>
          <w:szCs w:val="22"/>
          <w:lang w:val="en-GB"/>
        </w:rPr>
        <w:t>Executive Summary</w:t>
      </w:r>
    </w:p>
    <w:p w:rsidR="199EF9AE" w:rsidP="199EF9AE" w:rsidRDefault="199EF9AE" w14:paraId="73C9A12D" w14:textId="183C7A7A">
      <w:pPr>
        <w:spacing w:before="240" w:beforeAutospacing="off" w:after="240" w:afterAutospacing="off"/>
        <w:rPr>
          <w:rFonts w:ascii="Arial" w:hAnsi="Arial" w:eastAsia="Arial" w:cs="Arial"/>
          <w:noProof w:val="0"/>
          <w:sz w:val="22"/>
          <w:szCs w:val="22"/>
          <w:lang w:val="en-GB"/>
        </w:rPr>
      </w:pPr>
    </w:p>
    <w:p w:rsidR="1DEC8BCA" w:rsidP="199EF9AE" w:rsidRDefault="1DEC8BCA" w14:paraId="5ACD77F0" w14:textId="23FD0758">
      <w:pPr>
        <w:spacing w:before="240" w:beforeAutospacing="off" w:after="240" w:afterAutospacing="off"/>
        <w:rPr>
          <w:rFonts w:ascii="Arial" w:hAnsi="Arial" w:eastAsia="Arial" w:cs="Arial"/>
          <w:noProof w:val="0"/>
          <w:sz w:val="22"/>
          <w:szCs w:val="22"/>
          <w:lang w:val="en-GB"/>
        </w:rPr>
      </w:pPr>
      <w:r w:rsidRPr="199EF9AE" w:rsidR="1DEC8BCA">
        <w:rPr>
          <w:rFonts w:ascii="Arial" w:hAnsi="Arial" w:eastAsia="Arial" w:cs="Arial"/>
          <w:noProof w:val="0"/>
          <w:sz w:val="22"/>
          <w:szCs w:val="22"/>
          <w:lang w:val="en-GB"/>
        </w:rPr>
        <w:t>Jaguar Land Rover (JLR) is one of the world’s leading luxury automotive manufacturers, recognised for producing premium vehicles under the Jaguar and Land Rover brands. The company operates in a highly competitive global market and is currently undergoing a significant transformation towards electrification, digital innovation, and sustainable manufacturing. To achieve its long-term strategic objectives, effective leadership is essential in managing organisational change, improving operational performance, and maintaining employee engagement.</w:t>
      </w:r>
    </w:p>
    <w:p w:rsidR="1DEC8BCA" w:rsidP="199EF9AE" w:rsidRDefault="1DEC8BCA" w14:paraId="23A3F6A6" w14:textId="7E79771B">
      <w:pPr>
        <w:spacing w:before="240" w:beforeAutospacing="off" w:after="240" w:afterAutospacing="off"/>
        <w:rPr>
          <w:rFonts w:ascii="Arial" w:hAnsi="Arial" w:eastAsia="Arial" w:cs="Arial"/>
          <w:noProof w:val="0"/>
          <w:sz w:val="22"/>
          <w:szCs w:val="22"/>
          <w:lang w:val="en-GB"/>
        </w:rPr>
      </w:pPr>
      <w:r w:rsidRPr="199EF9AE" w:rsidR="1DEC8BCA">
        <w:rPr>
          <w:rFonts w:ascii="Arial" w:hAnsi="Arial" w:eastAsia="Arial" w:cs="Arial"/>
          <w:noProof w:val="0"/>
          <w:sz w:val="22"/>
          <w:szCs w:val="22"/>
          <w:lang w:val="en-GB"/>
        </w:rPr>
        <w:t xml:space="preserve"> </w:t>
      </w:r>
    </w:p>
    <w:p w:rsidR="1DEC8BCA" w:rsidP="199EF9AE" w:rsidRDefault="1DEC8BCA" w14:paraId="4FFA2BD0" w14:textId="104850D5">
      <w:pPr>
        <w:spacing w:before="240" w:beforeAutospacing="off" w:after="240" w:afterAutospacing="off"/>
        <w:rPr>
          <w:rFonts w:ascii="Arial" w:hAnsi="Arial" w:eastAsia="Arial" w:cs="Arial"/>
          <w:noProof w:val="0"/>
          <w:sz w:val="22"/>
          <w:szCs w:val="22"/>
          <w:lang w:val="en-GB"/>
        </w:rPr>
      </w:pPr>
      <w:r w:rsidRPr="199EF9AE" w:rsidR="1DEC8BCA">
        <w:rPr>
          <w:rFonts w:ascii="Arial" w:hAnsi="Arial" w:eastAsia="Arial" w:cs="Arial"/>
          <w:noProof w:val="0"/>
          <w:sz w:val="22"/>
          <w:szCs w:val="22"/>
          <w:lang w:val="en-GB"/>
        </w:rPr>
        <w:t>This report analyses four different leadership situations within Jaguar Land Rover, including the introduction of new working practices, corporate rebranding, changes to the production system, and the management of health and safety challenges. Each scenario examines the most appropriate leadership style and explains how different approaches can influence employee motivation, organisational performance, and business success.</w:t>
      </w:r>
    </w:p>
    <w:p w:rsidR="1DEC8BCA" w:rsidP="199EF9AE" w:rsidRDefault="1DEC8BCA" w14:paraId="2B601594" w14:textId="122A65C5">
      <w:pPr>
        <w:spacing w:before="240" w:beforeAutospacing="off" w:after="240" w:afterAutospacing="off"/>
        <w:rPr>
          <w:rFonts w:ascii="Arial" w:hAnsi="Arial" w:eastAsia="Arial" w:cs="Arial"/>
          <w:noProof w:val="0"/>
          <w:sz w:val="22"/>
          <w:szCs w:val="22"/>
          <w:lang w:val="en-GB"/>
        </w:rPr>
      </w:pPr>
      <w:r w:rsidRPr="199EF9AE" w:rsidR="1DEC8BCA">
        <w:rPr>
          <w:rFonts w:ascii="Arial" w:hAnsi="Arial" w:eastAsia="Arial" w:cs="Arial"/>
          <w:noProof w:val="0"/>
          <w:sz w:val="22"/>
          <w:szCs w:val="22"/>
          <w:lang w:val="en-GB"/>
        </w:rPr>
        <w:t xml:space="preserve"> </w:t>
      </w:r>
    </w:p>
    <w:p w:rsidR="1DEC8BCA" w:rsidP="199EF9AE" w:rsidRDefault="1DEC8BCA" w14:paraId="04CE795A" w14:textId="44EBC911">
      <w:pPr>
        <w:pStyle w:val="NoSpacing"/>
        <w:spacing w:after="0" w:line="240" w:lineRule="auto"/>
        <w:rPr>
          <w:rFonts w:ascii="Arial" w:hAnsi="Arial" w:eastAsia="Arial" w:cs="Arial"/>
          <w:noProof w:val="0"/>
          <w:sz w:val="22"/>
          <w:szCs w:val="22"/>
          <w:lang w:val="en-GB"/>
        </w:rPr>
      </w:pPr>
      <w:r w:rsidRPr="199EF9AE" w:rsidR="1DEC8BCA">
        <w:rPr>
          <w:rFonts w:ascii="Arial" w:hAnsi="Arial" w:eastAsia="Arial" w:cs="Arial"/>
          <w:noProof w:val="0"/>
          <w:sz w:val="22"/>
          <w:szCs w:val="22"/>
          <w:lang w:val="en-GB"/>
        </w:rPr>
        <w:t>The report concludes that no single leadership style is suitable for every situation. Transformational, participative, democratic, and autocratic leadership styles each have an important role depending on the nature of the challenge. By applying the appropriate leadership approach, Jaguar Land Rover can successfully manage change, encourage innovation, improve operational efficiency, and maintain its competitive position within the global automotive industry.</w:t>
      </w:r>
    </w:p>
    <w:p w:rsidR="199EF9AE" w:rsidP="199EF9AE" w:rsidRDefault="199EF9AE" w14:paraId="57412715" w14:textId="4B9A0CC2">
      <w:pPr>
        <w:pStyle w:val="NoSpacing"/>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99EF9AE" w:rsidP="199EF9AE" w:rsidRDefault="199EF9AE" w14:paraId="27F2A2EB" w14:textId="48E964F0">
      <w:pPr>
        <w:pStyle w:val="Normal"/>
        <w:spacing w:after="0" w:line="240" w:lineRule="auto"/>
        <w:rPr>
          <w:rFonts w:ascii="Arial" w:hAnsi="Arial" w:eastAsia="Arial" w:cs="Arial"/>
          <w:noProof w:val="0"/>
          <w:sz w:val="22"/>
          <w:szCs w:val="22"/>
          <w:lang w:val="en-GB"/>
        </w:rPr>
      </w:pPr>
    </w:p>
    <w:p w:rsidR="199EF9AE" w:rsidP="199EF9AE" w:rsidRDefault="199EF9AE" w14:paraId="2A596B39" w14:textId="43944AE7">
      <w:pPr>
        <w:pStyle w:val="Normal"/>
        <w:spacing w:after="0" w:line="240" w:lineRule="auto"/>
        <w:rPr>
          <w:rFonts w:ascii="Arial" w:hAnsi="Arial" w:eastAsia="Arial" w:cs="Arial"/>
          <w:noProof w:val="0"/>
          <w:sz w:val="22"/>
          <w:szCs w:val="22"/>
          <w:lang w:val="en-GB"/>
        </w:rPr>
      </w:pPr>
    </w:p>
    <w:p w:rsidR="4C179BF9" w:rsidP="4C179BF9" w:rsidRDefault="4C179BF9" w14:paraId="1475F0F1" w14:textId="3613F760">
      <w:pPr>
        <w:pStyle w:val="Normal"/>
        <w:spacing w:after="0" w:line="240" w:lineRule="auto"/>
        <w:rPr>
          <w:rFonts w:ascii="Arial" w:hAnsi="Arial" w:eastAsia="Arial" w:cs="Arial"/>
          <w:noProof w:val="0"/>
          <w:sz w:val="22"/>
          <w:szCs w:val="22"/>
          <w:lang w:val="en-GB"/>
        </w:rPr>
      </w:pPr>
    </w:p>
    <w:p w:rsidR="4C179BF9" w:rsidP="4C179BF9" w:rsidRDefault="4C179BF9" w14:paraId="07C88197" w14:textId="03907BFA">
      <w:pPr>
        <w:pStyle w:val="Normal"/>
        <w:spacing w:after="0" w:line="240" w:lineRule="auto"/>
        <w:rPr>
          <w:rFonts w:ascii="Arial" w:hAnsi="Arial" w:eastAsia="Arial" w:cs="Arial"/>
          <w:noProof w:val="0"/>
          <w:sz w:val="22"/>
          <w:szCs w:val="22"/>
          <w:lang w:val="en-GB"/>
        </w:rPr>
      </w:pPr>
    </w:p>
    <w:p w:rsidR="4C179BF9" w:rsidP="4C179BF9" w:rsidRDefault="4C179BF9" w14:paraId="7B0323C5" w14:textId="21DB2D4F">
      <w:pPr>
        <w:pStyle w:val="Normal"/>
        <w:spacing w:after="0" w:line="240" w:lineRule="auto"/>
        <w:rPr>
          <w:rFonts w:ascii="Arial" w:hAnsi="Arial" w:eastAsia="Arial" w:cs="Arial"/>
          <w:noProof w:val="0"/>
          <w:sz w:val="22"/>
          <w:szCs w:val="22"/>
          <w:lang w:val="en-GB"/>
        </w:rPr>
      </w:pPr>
    </w:p>
    <w:p w:rsidR="4C179BF9" w:rsidP="4C179BF9" w:rsidRDefault="4C179BF9" w14:paraId="461CB96B" w14:textId="26B60DC9">
      <w:pPr>
        <w:pStyle w:val="Normal"/>
        <w:spacing w:after="0" w:line="240" w:lineRule="auto"/>
        <w:rPr>
          <w:rFonts w:ascii="Arial" w:hAnsi="Arial" w:eastAsia="Arial" w:cs="Arial"/>
          <w:noProof w:val="0"/>
          <w:sz w:val="22"/>
          <w:szCs w:val="22"/>
          <w:lang w:val="en-GB"/>
        </w:rPr>
      </w:pPr>
    </w:p>
    <w:p w:rsidR="4C179BF9" w:rsidP="4C179BF9" w:rsidRDefault="4C179BF9" w14:paraId="649A52DB" w14:textId="23BF6505">
      <w:pPr>
        <w:pStyle w:val="Normal"/>
        <w:spacing w:after="0" w:line="240" w:lineRule="auto"/>
        <w:rPr>
          <w:rFonts w:ascii="Arial" w:hAnsi="Arial" w:eastAsia="Arial" w:cs="Arial"/>
          <w:noProof w:val="0"/>
          <w:sz w:val="22"/>
          <w:szCs w:val="22"/>
          <w:lang w:val="en-GB"/>
        </w:rPr>
      </w:pPr>
    </w:p>
    <w:p w:rsidR="4C179BF9" w:rsidP="4C179BF9" w:rsidRDefault="4C179BF9" w14:paraId="3EE121FC" w14:textId="085EBFCE">
      <w:pPr>
        <w:pStyle w:val="Normal"/>
        <w:spacing w:after="0" w:line="240" w:lineRule="auto"/>
        <w:rPr>
          <w:rFonts w:ascii="Arial" w:hAnsi="Arial" w:eastAsia="Arial" w:cs="Arial"/>
          <w:noProof w:val="0"/>
          <w:sz w:val="22"/>
          <w:szCs w:val="22"/>
          <w:lang w:val="en-GB"/>
        </w:rPr>
      </w:pPr>
    </w:p>
    <w:p w:rsidR="4C179BF9" w:rsidP="4C179BF9" w:rsidRDefault="4C179BF9" w14:paraId="4F37BCF5" w14:textId="6A09A9AA">
      <w:pPr>
        <w:pStyle w:val="Normal"/>
        <w:spacing w:after="0" w:line="240" w:lineRule="auto"/>
        <w:rPr>
          <w:rFonts w:ascii="Arial" w:hAnsi="Arial" w:eastAsia="Arial" w:cs="Arial"/>
          <w:noProof w:val="0"/>
          <w:sz w:val="22"/>
          <w:szCs w:val="22"/>
          <w:lang w:val="en-GB"/>
        </w:rPr>
      </w:pPr>
    </w:p>
    <w:p w:rsidR="4C179BF9" w:rsidP="4C179BF9" w:rsidRDefault="4C179BF9" w14:paraId="7DB69B97" w14:textId="6074D906">
      <w:pPr>
        <w:pStyle w:val="Normal"/>
        <w:spacing w:after="0" w:line="240" w:lineRule="auto"/>
        <w:rPr>
          <w:rFonts w:ascii="Arial" w:hAnsi="Arial" w:eastAsia="Arial" w:cs="Arial"/>
          <w:noProof w:val="0"/>
          <w:sz w:val="22"/>
          <w:szCs w:val="22"/>
          <w:lang w:val="en-GB"/>
        </w:rPr>
      </w:pPr>
    </w:p>
    <w:p w:rsidR="4C179BF9" w:rsidP="4C179BF9" w:rsidRDefault="4C179BF9" w14:paraId="526E94E7" w14:textId="1F67129D">
      <w:pPr>
        <w:pStyle w:val="Normal"/>
        <w:spacing w:after="0" w:line="240" w:lineRule="auto"/>
        <w:rPr>
          <w:rFonts w:ascii="Arial" w:hAnsi="Arial" w:eastAsia="Arial" w:cs="Arial"/>
          <w:noProof w:val="0"/>
          <w:sz w:val="22"/>
          <w:szCs w:val="22"/>
          <w:lang w:val="en-GB"/>
        </w:rPr>
      </w:pPr>
    </w:p>
    <w:p w:rsidR="4C179BF9" w:rsidP="4C179BF9" w:rsidRDefault="4C179BF9" w14:paraId="25EBC032" w14:textId="6A1398E1">
      <w:pPr>
        <w:pStyle w:val="Normal"/>
        <w:spacing w:after="0" w:line="240" w:lineRule="auto"/>
        <w:rPr>
          <w:rFonts w:ascii="Arial" w:hAnsi="Arial" w:eastAsia="Arial" w:cs="Arial"/>
          <w:noProof w:val="0"/>
          <w:sz w:val="22"/>
          <w:szCs w:val="22"/>
          <w:lang w:val="en-GB"/>
        </w:rPr>
      </w:pPr>
    </w:p>
    <w:p w:rsidR="4C179BF9" w:rsidP="4C179BF9" w:rsidRDefault="4C179BF9" w14:paraId="459AD32C" w14:textId="094A0096">
      <w:pPr>
        <w:pStyle w:val="Normal"/>
        <w:spacing w:after="0" w:line="240" w:lineRule="auto"/>
        <w:rPr>
          <w:rFonts w:ascii="Arial" w:hAnsi="Arial" w:eastAsia="Arial" w:cs="Arial"/>
          <w:noProof w:val="0"/>
          <w:sz w:val="22"/>
          <w:szCs w:val="22"/>
          <w:lang w:val="en-GB"/>
        </w:rPr>
      </w:pPr>
    </w:p>
    <w:p w:rsidR="4C179BF9" w:rsidP="4C179BF9" w:rsidRDefault="4C179BF9" w14:paraId="50FFF887" w14:textId="1BB0796D">
      <w:pPr>
        <w:pStyle w:val="Normal"/>
        <w:spacing w:after="0" w:line="240" w:lineRule="auto"/>
        <w:rPr>
          <w:rFonts w:ascii="Arial" w:hAnsi="Arial" w:eastAsia="Arial" w:cs="Arial"/>
          <w:noProof w:val="0"/>
          <w:sz w:val="22"/>
          <w:szCs w:val="22"/>
          <w:lang w:val="en-GB"/>
        </w:rPr>
      </w:pPr>
    </w:p>
    <w:p w:rsidR="4C179BF9" w:rsidP="4C179BF9" w:rsidRDefault="4C179BF9" w14:paraId="352908D1" w14:textId="0A0BE9FD">
      <w:pPr>
        <w:pStyle w:val="Normal"/>
        <w:spacing w:after="0" w:line="240" w:lineRule="auto"/>
        <w:rPr>
          <w:rFonts w:ascii="Arial" w:hAnsi="Arial" w:eastAsia="Arial" w:cs="Arial"/>
          <w:noProof w:val="0"/>
          <w:sz w:val="22"/>
          <w:szCs w:val="22"/>
          <w:lang w:val="en-GB"/>
        </w:rPr>
      </w:pPr>
    </w:p>
    <w:p w:rsidR="4C179BF9" w:rsidP="4C179BF9" w:rsidRDefault="4C179BF9" w14:paraId="2C535E9F" w14:textId="61A38D47">
      <w:pPr>
        <w:pStyle w:val="Normal"/>
        <w:spacing w:after="0" w:line="240" w:lineRule="auto"/>
        <w:rPr>
          <w:rFonts w:ascii="Arial" w:hAnsi="Arial" w:eastAsia="Arial" w:cs="Arial"/>
          <w:noProof w:val="0"/>
          <w:sz w:val="22"/>
          <w:szCs w:val="22"/>
          <w:lang w:val="en-GB"/>
        </w:rPr>
      </w:pPr>
    </w:p>
    <w:p w:rsidR="4C179BF9" w:rsidP="4C179BF9" w:rsidRDefault="4C179BF9" w14:paraId="7267BAB9" w14:textId="159C0663">
      <w:pPr>
        <w:pStyle w:val="Normal"/>
        <w:spacing w:after="0" w:line="240" w:lineRule="auto"/>
        <w:rPr>
          <w:rFonts w:ascii="Arial" w:hAnsi="Arial" w:eastAsia="Arial" w:cs="Arial"/>
          <w:noProof w:val="0"/>
          <w:sz w:val="22"/>
          <w:szCs w:val="22"/>
          <w:lang w:val="en-GB"/>
        </w:rPr>
      </w:pPr>
    </w:p>
    <w:p w:rsidR="4C179BF9" w:rsidP="4C179BF9" w:rsidRDefault="4C179BF9" w14:paraId="7916C81E" w14:textId="41857C26">
      <w:pPr>
        <w:pStyle w:val="Normal"/>
        <w:spacing w:after="0" w:line="240" w:lineRule="auto"/>
        <w:rPr>
          <w:rFonts w:ascii="Arial" w:hAnsi="Arial" w:eastAsia="Arial" w:cs="Arial"/>
          <w:noProof w:val="0"/>
          <w:sz w:val="22"/>
          <w:szCs w:val="22"/>
          <w:lang w:val="en-GB"/>
        </w:rPr>
      </w:pPr>
    </w:p>
    <w:p w:rsidR="4C179BF9" w:rsidP="4C179BF9" w:rsidRDefault="4C179BF9" w14:paraId="0F29EBDA" w14:textId="09995D54">
      <w:pPr>
        <w:pStyle w:val="Normal"/>
        <w:spacing w:after="0" w:line="240" w:lineRule="auto"/>
        <w:rPr>
          <w:rFonts w:ascii="Arial" w:hAnsi="Arial" w:eastAsia="Arial" w:cs="Arial"/>
          <w:noProof w:val="0"/>
          <w:sz w:val="22"/>
          <w:szCs w:val="22"/>
          <w:lang w:val="en-GB"/>
        </w:rPr>
      </w:pPr>
    </w:p>
    <w:p w:rsidR="4C179BF9" w:rsidP="4C179BF9" w:rsidRDefault="4C179BF9" w14:paraId="11B1F954" w14:textId="33F62A6F">
      <w:pPr>
        <w:pStyle w:val="Normal"/>
        <w:spacing w:after="0" w:line="240" w:lineRule="auto"/>
        <w:rPr>
          <w:rFonts w:ascii="Arial" w:hAnsi="Arial" w:eastAsia="Arial" w:cs="Arial"/>
          <w:noProof w:val="0"/>
          <w:sz w:val="22"/>
          <w:szCs w:val="22"/>
          <w:lang w:val="en-GB"/>
        </w:rPr>
      </w:pPr>
    </w:p>
    <w:p w:rsidR="4C179BF9" w:rsidP="4C179BF9" w:rsidRDefault="4C179BF9" w14:paraId="11499343" w14:textId="2B9EE84D">
      <w:pPr>
        <w:pStyle w:val="Normal"/>
        <w:spacing w:after="0" w:line="240" w:lineRule="auto"/>
        <w:rPr>
          <w:rFonts w:ascii="Arial" w:hAnsi="Arial" w:eastAsia="Arial" w:cs="Arial"/>
          <w:noProof w:val="0"/>
          <w:sz w:val="22"/>
          <w:szCs w:val="22"/>
          <w:lang w:val="en-GB"/>
        </w:rPr>
      </w:pPr>
    </w:p>
    <w:p w:rsidR="4C179BF9" w:rsidP="4C179BF9" w:rsidRDefault="4C179BF9" w14:paraId="3F66F9D7" w14:textId="18B6BE00">
      <w:pPr>
        <w:pStyle w:val="Normal"/>
        <w:spacing w:after="0" w:line="240" w:lineRule="auto"/>
        <w:rPr>
          <w:rFonts w:ascii="Arial" w:hAnsi="Arial" w:eastAsia="Arial" w:cs="Arial"/>
          <w:noProof w:val="0"/>
          <w:sz w:val="22"/>
          <w:szCs w:val="22"/>
          <w:lang w:val="en-GB"/>
        </w:rPr>
      </w:pPr>
    </w:p>
    <w:p w:rsidR="4C179BF9" w:rsidP="4C179BF9" w:rsidRDefault="4C179BF9" w14:paraId="492DFA49" w14:textId="71425D6E">
      <w:pPr>
        <w:pStyle w:val="Normal"/>
        <w:spacing w:after="0" w:line="240" w:lineRule="auto"/>
        <w:rPr>
          <w:rFonts w:ascii="Arial" w:hAnsi="Arial" w:eastAsia="Arial" w:cs="Arial"/>
          <w:noProof w:val="0"/>
          <w:sz w:val="22"/>
          <w:szCs w:val="22"/>
          <w:lang w:val="en-GB"/>
        </w:rPr>
      </w:pPr>
    </w:p>
    <w:p w:rsidR="50E355B2" w:rsidP="199EF9AE" w:rsidRDefault="50E355B2" w14:paraId="3CA5D963" w14:textId="49AAA74E">
      <w:pPr>
        <w:pStyle w:val="Normal"/>
        <w:spacing w:after="0" w:line="240" w:lineRule="auto"/>
      </w:pPr>
      <w:r w:rsidRPr="4C179BF9" w:rsidR="50E355B2">
        <w:rPr>
          <w:rFonts w:ascii="Arial" w:hAnsi="Arial" w:eastAsia="Arial" w:cs="Arial"/>
          <w:noProof w:val="0"/>
          <w:sz w:val="22"/>
          <w:szCs w:val="22"/>
          <w:lang w:val="en-GB"/>
        </w:rPr>
        <w:t xml:space="preserve">1.Introduction </w:t>
      </w:r>
    </w:p>
    <w:p w:rsidR="4C179BF9" w:rsidP="4C179BF9" w:rsidRDefault="4C179BF9" w14:paraId="21D7BC43" w14:textId="46FE65DD">
      <w:pPr>
        <w:pStyle w:val="Normal"/>
        <w:spacing w:after="0" w:line="240" w:lineRule="auto"/>
        <w:rPr>
          <w:rFonts w:ascii="Arial" w:hAnsi="Arial" w:eastAsia="Arial" w:cs="Arial"/>
          <w:noProof w:val="0"/>
          <w:sz w:val="22"/>
          <w:szCs w:val="22"/>
          <w:lang w:val="en-GB"/>
        </w:rPr>
      </w:pPr>
    </w:p>
    <w:p w:rsidR="0D5740FD" w:rsidP="4C179BF9" w:rsidRDefault="0D5740FD" w14:paraId="590D0EB6" w14:textId="70A97C7B">
      <w:pPr>
        <w:spacing w:before="240" w:beforeAutospacing="off" w:after="240" w:afterAutospacing="off"/>
      </w:pPr>
      <w:r w:rsidRPr="4C179BF9" w:rsidR="0D5740FD">
        <w:rPr>
          <w:rFonts w:ascii="Arial" w:hAnsi="Arial" w:eastAsia="Arial" w:cs="Arial"/>
          <w:noProof w:val="0"/>
          <w:sz w:val="22"/>
          <w:szCs w:val="22"/>
          <w:lang w:val="en-GB"/>
        </w:rPr>
        <w:t>The automotive industry is undergoing significant transformation as a result of technological development, environmental pressures, changing customer expectations and increasing global competition. Organisations operating within this industry must continuously adapt their strategies and operations to remain competitive. Strategic change management is therefore important because it enables organisations to respond effectively to internal and external challenges while maintaining their long-term objectives.</w:t>
      </w:r>
    </w:p>
    <w:p w:rsidR="0D5740FD" w:rsidP="4C179BF9" w:rsidRDefault="0D5740FD" w14:paraId="2AD5D160" w14:textId="2E7AB0D5">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06F27345" w14:textId="7173B7EA">
      <w:pPr>
        <w:spacing w:before="240" w:beforeAutospacing="off" w:after="240" w:afterAutospacing="off"/>
      </w:pPr>
      <w:r w:rsidRPr="4C179BF9" w:rsidR="0D5740FD">
        <w:rPr>
          <w:rFonts w:ascii="Arial" w:hAnsi="Arial" w:eastAsia="Arial" w:cs="Arial"/>
          <w:noProof w:val="0"/>
          <w:sz w:val="22"/>
          <w:szCs w:val="22"/>
          <w:lang w:val="en-GB"/>
        </w:rPr>
        <w:t xml:space="preserve">Jaguar Land Rover (JLR) is a major British automotive manufacturer </w:t>
      </w:r>
      <w:r w:rsidRPr="4C179BF9" w:rsidR="0D5740FD">
        <w:rPr>
          <w:rFonts w:ascii="Arial" w:hAnsi="Arial" w:eastAsia="Arial" w:cs="Arial"/>
          <w:noProof w:val="0"/>
          <w:sz w:val="22"/>
          <w:szCs w:val="22"/>
          <w:lang w:val="en-GB"/>
        </w:rPr>
        <w:t>operating</w:t>
      </w:r>
      <w:r w:rsidRPr="4C179BF9" w:rsidR="0D5740FD">
        <w:rPr>
          <w:rFonts w:ascii="Arial" w:hAnsi="Arial" w:eastAsia="Arial" w:cs="Arial"/>
          <w:noProof w:val="0"/>
          <w:sz w:val="22"/>
          <w:szCs w:val="22"/>
          <w:lang w:val="en-GB"/>
        </w:rPr>
        <w:t xml:space="preserve"> within the global premium and luxury vehicle market. The organisation has experienced significant changes within its competitive environment, including the impact of COVID-19, technological developments, increasing environmental requirements and the transition towards electric vehicles. These factors have increased the need for effective strategic management, </w:t>
      </w:r>
      <w:r w:rsidRPr="4C179BF9" w:rsidR="0D5740FD">
        <w:rPr>
          <w:rFonts w:ascii="Arial" w:hAnsi="Arial" w:eastAsia="Arial" w:cs="Arial"/>
          <w:noProof w:val="0"/>
          <w:sz w:val="22"/>
          <w:szCs w:val="22"/>
          <w:lang w:val="en-GB"/>
        </w:rPr>
        <w:t>leadership</w:t>
      </w:r>
      <w:r w:rsidRPr="4C179BF9" w:rsidR="0D5740FD">
        <w:rPr>
          <w:rFonts w:ascii="Arial" w:hAnsi="Arial" w:eastAsia="Arial" w:cs="Arial"/>
          <w:noProof w:val="0"/>
          <w:sz w:val="22"/>
          <w:szCs w:val="22"/>
          <w:lang w:val="en-GB"/>
        </w:rPr>
        <w:t xml:space="preserve"> and organisational change.</w:t>
      </w:r>
    </w:p>
    <w:p w:rsidR="0D5740FD" w:rsidP="4C179BF9" w:rsidRDefault="0D5740FD" w14:paraId="7CF753DE" w14:textId="4A2AFB9C">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35C0BF78" w14:textId="57EF81FD">
      <w:pPr>
        <w:spacing w:before="240" w:beforeAutospacing="off" w:after="240" w:afterAutospacing="off"/>
      </w:pPr>
      <w:r w:rsidRPr="4C179BF9" w:rsidR="0D5740FD">
        <w:rPr>
          <w:rFonts w:ascii="Arial" w:hAnsi="Arial" w:eastAsia="Arial" w:cs="Arial"/>
          <w:noProof w:val="0"/>
          <w:sz w:val="22"/>
          <w:szCs w:val="22"/>
          <w:lang w:val="en-GB"/>
        </w:rPr>
        <w:t>This report evaluates the factors affecting Jaguar Land Rover and examines how strategic change can be effectively managed within the organisation. PESTLE and SWOT analyses are used to assess the external and internal business environment, while stakeholder analysis and Mendelow’s Matrix are applied to evaluate the influence and interests of key stakeholders. The report also critically considers Lewin’s Three-Step Change Model, Kotter’s Eight-Step Change Model and Pettigrew’s Model of Strategic Change before identifying the most appropriate approach for Jaguar Land Rover.</w:t>
      </w:r>
    </w:p>
    <w:p w:rsidR="0D5740FD" w:rsidP="4C179BF9" w:rsidRDefault="0D5740FD" w14:paraId="0BCA5485" w14:textId="25712BD9">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72B22D63" w14:textId="797E6B61">
      <w:pPr>
        <w:spacing w:before="240" w:beforeAutospacing="off" w:after="240" w:afterAutospacing="off"/>
      </w:pPr>
      <w:r w:rsidRPr="4C179BF9" w:rsidR="0D5740FD">
        <w:rPr>
          <w:rFonts w:ascii="Arial" w:hAnsi="Arial" w:eastAsia="Arial" w:cs="Arial"/>
          <w:noProof w:val="0"/>
          <w:sz w:val="22"/>
          <w:szCs w:val="22"/>
          <w:lang w:val="en-GB"/>
        </w:rPr>
        <w:t>1.1 Overview of Jaguar Land Rover</w:t>
      </w:r>
    </w:p>
    <w:p w:rsidR="0D5740FD" w:rsidP="4C179BF9" w:rsidRDefault="0D5740FD" w14:paraId="1BFDE0D5" w14:textId="17B99D4C">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343566B5" w14:textId="14C90A37">
      <w:pPr>
        <w:spacing w:before="240" w:beforeAutospacing="off" w:after="240" w:afterAutospacing="off"/>
      </w:pPr>
      <w:r w:rsidRPr="4C179BF9" w:rsidR="0D5740FD">
        <w:rPr>
          <w:rFonts w:ascii="Arial" w:hAnsi="Arial" w:eastAsia="Arial" w:cs="Arial"/>
          <w:noProof w:val="0"/>
          <w:sz w:val="22"/>
          <w:szCs w:val="22"/>
          <w:lang w:val="en-GB"/>
        </w:rPr>
        <w:t>Jaguar Land Rover is a British automotive organisation specialising in premium and luxury vehicles. Its portfolio includes the Jaguar brand and well-established Land Rover marques such as Range Rover, Defender and Discovery. The organisation operates internationally and serves customers across numerous global markets, making its performance dependent on economic conditions, technological innovation, consumer preferences and international regulatory requirements.</w:t>
      </w:r>
    </w:p>
    <w:p w:rsidR="0D5740FD" w:rsidP="4C179BF9" w:rsidRDefault="0D5740FD" w14:paraId="56FFFFB8" w14:textId="79ED8679">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7EAA7874" w14:textId="6DF00053">
      <w:pPr>
        <w:spacing w:before="240" w:beforeAutospacing="off" w:after="240" w:afterAutospacing="off"/>
      </w:pPr>
      <w:r w:rsidRPr="4C179BF9" w:rsidR="0D5740FD">
        <w:rPr>
          <w:rFonts w:ascii="Arial" w:hAnsi="Arial" w:eastAsia="Arial" w:cs="Arial"/>
          <w:noProof w:val="0"/>
          <w:sz w:val="22"/>
          <w:szCs w:val="22"/>
          <w:lang w:val="en-GB"/>
        </w:rPr>
        <w:t>Innovation and technological development are particularly important to Jaguar Land Rover’s competitive position. The automotive sector is moving towards electrification, digital technologies and more sustainable forms of mobility. Consequently, Jaguar Land Rover must balance its traditional reputation for luxury, performance and distinctive vehicle design with the need to respond to emerging technologies and environmental expectations.</w:t>
      </w:r>
    </w:p>
    <w:p w:rsidR="0D5740FD" w:rsidP="4C179BF9" w:rsidRDefault="0D5740FD" w14:paraId="4ED9B9A9" w14:textId="2BB7B4C5">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1B38535B" w14:textId="2F153A22">
      <w:pPr>
        <w:spacing w:before="240" w:beforeAutospacing="off" w:after="240" w:afterAutospacing="off"/>
      </w:pPr>
      <w:r w:rsidRPr="4C179BF9" w:rsidR="0D5740FD">
        <w:rPr>
          <w:rFonts w:ascii="Arial" w:hAnsi="Arial" w:eastAsia="Arial" w:cs="Arial"/>
          <w:noProof w:val="0"/>
          <w:sz w:val="22"/>
          <w:szCs w:val="22"/>
          <w:lang w:val="en-GB"/>
        </w:rPr>
        <w:t>The organisation has also faced major external challenges, including disruption caused by the COVID-19 pandemic, supply-chain difficulties and changing market conditions. These challenges demonstrate why strategic change is necessary for Jaguar Land Rover to strengthen organisational resilience, improve operational performance and maintain its position within the global luxury automotive market.</w:t>
      </w:r>
    </w:p>
    <w:p w:rsidR="0D5740FD" w:rsidP="4C179BF9" w:rsidRDefault="0D5740FD" w14:paraId="13A76C39" w14:textId="1E1C7F2D">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0E596CAD" w14:textId="67C527F6">
      <w:pPr>
        <w:spacing w:before="240" w:beforeAutospacing="off" w:after="240" w:afterAutospacing="off"/>
      </w:pPr>
      <w:r w:rsidRPr="4C179BF9" w:rsidR="0D5740FD">
        <w:rPr>
          <w:rFonts w:ascii="Arial" w:hAnsi="Arial" w:eastAsia="Arial" w:cs="Arial"/>
          <w:noProof w:val="0"/>
          <w:sz w:val="22"/>
          <w:szCs w:val="22"/>
          <w:lang w:val="en-GB"/>
        </w:rPr>
        <w:t>1.2 Purpose of the Report</w:t>
      </w:r>
    </w:p>
    <w:p w:rsidR="0D5740FD" w:rsidP="4C179BF9" w:rsidRDefault="0D5740FD" w14:paraId="2AA51AF9" w14:textId="764F75F9">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0B4DD5E6" w14:textId="68545405">
      <w:pPr>
        <w:spacing w:before="240" w:beforeAutospacing="off" w:after="240" w:afterAutospacing="off"/>
      </w:pPr>
      <w:r w:rsidRPr="4C179BF9" w:rsidR="0D5740FD">
        <w:rPr>
          <w:rFonts w:ascii="Arial" w:hAnsi="Arial" w:eastAsia="Arial" w:cs="Arial"/>
          <w:noProof w:val="0"/>
          <w:sz w:val="22"/>
          <w:szCs w:val="22"/>
          <w:lang w:val="en-GB"/>
        </w:rPr>
        <w:t>The purpose of this report is to critically examine strategic change management within Jaguar Land Rover from the perspective of a Senior Strategic Manager. The report aims to identify the main internal and external factors influencing the organisation and evaluate how these factors can create both opportunities and challenges for future business performance.</w:t>
      </w:r>
    </w:p>
    <w:p w:rsidR="0D5740FD" w:rsidP="4C179BF9" w:rsidRDefault="0D5740FD" w14:paraId="577594FA" w14:textId="63520EDF">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314F207E" w14:textId="2E86A737">
      <w:pPr>
        <w:spacing w:before="240" w:beforeAutospacing="off" w:after="240" w:afterAutospacing="off"/>
      </w:pPr>
      <w:r w:rsidRPr="4C179BF9" w:rsidR="0D5740FD">
        <w:rPr>
          <w:rFonts w:ascii="Arial" w:hAnsi="Arial" w:eastAsia="Arial" w:cs="Arial"/>
          <w:noProof w:val="0"/>
          <w:sz w:val="22"/>
          <w:szCs w:val="22"/>
          <w:lang w:val="en-GB"/>
        </w:rPr>
        <w:t>PESTLE analysis will be used to investigate political, economic, social, technological, legal and environmental influences, while SWOT analysis will identify Jaguar Land Rover’s key strengths, weaknesses, opportunities and threats. Particular consideration will also be given to the impact of COVID-19 on the organisation. Stakeholder analysis and Mendelow’s Matrix will subsequently identify key stakeholders and assess their levels of power and interest.</w:t>
      </w:r>
    </w:p>
    <w:p w:rsidR="0D5740FD" w:rsidP="4C179BF9" w:rsidRDefault="0D5740FD" w14:paraId="75A32256" w14:textId="741E201A">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2376F35D" w14:textId="125B0227">
      <w:pPr>
        <w:spacing w:before="240" w:beforeAutospacing="off" w:after="240" w:afterAutospacing="off"/>
      </w:pPr>
      <w:r w:rsidRPr="4C179BF9" w:rsidR="0D5740FD">
        <w:rPr>
          <w:rFonts w:ascii="Arial" w:hAnsi="Arial" w:eastAsia="Arial" w:cs="Arial"/>
          <w:noProof w:val="0"/>
          <w:sz w:val="22"/>
          <w:szCs w:val="22"/>
          <w:lang w:val="en-GB"/>
        </w:rPr>
        <w:t>Furthermore, the report will compare Lewin’s, Kotter’s and Pettigrew’s change management models and determine which model provides the most appropriate framework for Jaguar Land Rover. Based on this evaluation, a strategic change management plan will be developed covering strategic objectives, financial considerations, communication, implementation and evaluation.</w:t>
      </w:r>
    </w:p>
    <w:p w:rsidR="0D5740FD" w:rsidP="4C179BF9" w:rsidRDefault="0D5740FD" w14:paraId="026161B3" w14:textId="665385BA">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5A4C92F7" w14:textId="746AFD07">
      <w:pPr>
        <w:spacing w:before="240" w:beforeAutospacing="off" w:after="240" w:afterAutospacing="off"/>
      </w:pPr>
      <w:r w:rsidRPr="4C179BF9" w:rsidR="0D5740FD">
        <w:rPr>
          <w:rFonts w:ascii="Arial" w:hAnsi="Arial" w:eastAsia="Arial" w:cs="Arial"/>
          <w:noProof w:val="0"/>
          <w:sz w:val="22"/>
          <w:szCs w:val="22"/>
          <w:lang w:val="en-GB"/>
        </w:rPr>
        <w:t>1.3 Role of the Senior Strategic Manager</w:t>
      </w:r>
    </w:p>
    <w:p w:rsidR="0D5740FD" w:rsidP="4C179BF9" w:rsidRDefault="0D5740FD" w14:paraId="7BA8713B" w14:textId="2D725FF5">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41DDB97B" w14:textId="7D133F5C">
      <w:pPr>
        <w:spacing w:before="240" w:beforeAutospacing="off" w:after="240" w:afterAutospacing="off"/>
      </w:pPr>
      <w:r w:rsidRPr="4C179BF9" w:rsidR="0D5740FD">
        <w:rPr>
          <w:rFonts w:ascii="Arial" w:hAnsi="Arial" w:eastAsia="Arial" w:cs="Arial"/>
          <w:noProof w:val="0"/>
          <w:sz w:val="22"/>
          <w:szCs w:val="22"/>
          <w:lang w:val="en-GB"/>
        </w:rPr>
        <w:t>As a Senior Strategic Manager at Jaguar Land Rover, my role would be to provide strategic direction and ensure that organisational change supports the company’s long-term objectives. This involves analysing the internal and external business environment, identifying areas requiring change and making strategic decisions that contribute to Jaguar Land Rover’s competitiveness and sustainable development.</w:t>
      </w:r>
    </w:p>
    <w:p w:rsidR="0D5740FD" w:rsidP="4C179BF9" w:rsidRDefault="0D5740FD" w14:paraId="2306D8C1" w14:textId="73AAC73C">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5145C715" w14:textId="0376B532">
      <w:pPr>
        <w:spacing w:before="240" w:beforeAutospacing="off" w:after="240" w:afterAutospacing="off"/>
      </w:pPr>
      <w:r w:rsidRPr="4C179BF9" w:rsidR="0D5740FD">
        <w:rPr>
          <w:rFonts w:ascii="Arial" w:hAnsi="Arial" w:eastAsia="Arial" w:cs="Arial"/>
          <w:noProof w:val="0"/>
          <w:sz w:val="22"/>
          <w:szCs w:val="22"/>
          <w:lang w:val="en-GB"/>
        </w:rPr>
        <w:t>An important responsibility would be managing relationships with key stakeholders, including employees, customers, senior management, shareholders, suppliers and regulatory authorities. Effective communication would be essential to explain the reasons for change, communicate expected outcomes and encourage stakeholders to support the organisation’s strategic direction.</w:t>
      </w:r>
    </w:p>
    <w:p w:rsidR="0D5740FD" w:rsidP="4C179BF9" w:rsidRDefault="0D5740FD" w14:paraId="6DC6E55C" w14:textId="76587572">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2DE4258B" w14:textId="67F27F29">
      <w:pPr>
        <w:spacing w:before="240" w:beforeAutospacing="off" w:after="240" w:afterAutospacing="off"/>
      </w:pPr>
      <w:r w:rsidRPr="4C179BF9" w:rsidR="0D5740FD">
        <w:rPr>
          <w:rFonts w:ascii="Arial" w:hAnsi="Arial" w:eastAsia="Arial" w:cs="Arial"/>
          <w:noProof w:val="0"/>
          <w:sz w:val="22"/>
          <w:szCs w:val="22"/>
          <w:lang w:val="en-GB"/>
        </w:rPr>
        <w:t>Leadership would also play an important role in managing employee resistance and maintaining motivation throughout the change process. I would encourage employee participation where appropriate, provide clear communication and ensure that employees understand how their contribution supports Jaguar Land Rover’s wider strategic objectives.</w:t>
      </w:r>
    </w:p>
    <w:p w:rsidR="0D5740FD" w:rsidP="4C179BF9" w:rsidRDefault="0D5740FD" w14:paraId="3D22AF00" w14:textId="3D738BB2">
      <w:pPr>
        <w:spacing w:before="240" w:beforeAutospacing="off" w:after="240" w:afterAutospacing="off"/>
      </w:pPr>
      <w:r w:rsidRPr="4C179BF9" w:rsidR="0D5740FD">
        <w:rPr>
          <w:rFonts w:ascii="Arial" w:hAnsi="Arial" w:eastAsia="Arial" w:cs="Arial"/>
          <w:noProof w:val="0"/>
          <w:sz w:val="22"/>
          <w:szCs w:val="22"/>
          <w:lang w:val="en-GB"/>
        </w:rPr>
        <w:t xml:space="preserve"> </w:t>
      </w:r>
    </w:p>
    <w:p w:rsidR="0D5740FD" w:rsidP="4C179BF9" w:rsidRDefault="0D5740FD" w14:paraId="706EE6F4" w14:textId="16E2D3E1">
      <w:pPr>
        <w:pStyle w:val="Normal"/>
        <w:spacing w:after="0" w:line="240" w:lineRule="auto"/>
      </w:pPr>
      <w:r w:rsidRPr="4C179BF9" w:rsidR="0D5740FD">
        <w:rPr>
          <w:rFonts w:ascii="Arial" w:hAnsi="Arial" w:eastAsia="Arial" w:cs="Arial"/>
          <w:noProof w:val="0"/>
          <w:sz w:val="22"/>
          <w:szCs w:val="22"/>
          <w:lang w:val="en-GB"/>
        </w:rPr>
        <w:t>Finally, as Senior Strategic Manager, I would monitor the implementation of strategic change using appropriate performance indicators. Progress would be evaluated against financial, operational, employee and customer-related objectives. Where results differ from expectations, corrective action would be taken to ensure that the strategic change continues to support Jaguar Land Rover’s long-term performance and competitive position.</w:t>
      </w:r>
    </w:p>
    <w:p w:rsidR="199EF9AE" w:rsidP="199EF9AE" w:rsidRDefault="199EF9AE" w14:paraId="2328C5C1" w14:textId="1D2E1B61">
      <w:pPr>
        <w:pStyle w:val="Normal"/>
        <w:spacing w:after="0" w:line="240" w:lineRule="auto"/>
        <w:rPr>
          <w:rFonts w:ascii="Arial" w:hAnsi="Arial" w:eastAsia="Arial" w:cs="Arial"/>
          <w:noProof w:val="0"/>
          <w:sz w:val="22"/>
          <w:szCs w:val="22"/>
          <w:lang w:val="en-GB"/>
        </w:rPr>
      </w:pPr>
    </w:p>
    <w:p w:rsidR="199EF9AE" w:rsidP="199EF9AE" w:rsidRDefault="199EF9AE" w14:paraId="18835D7C" w14:textId="7182AF39">
      <w:pPr>
        <w:pStyle w:val="Normal"/>
        <w:spacing w:after="0" w:line="240" w:lineRule="auto"/>
        <w:rPr>
          <w:rFonts w:ascii="Arial" w:hAnsi="Arial" w:eastAsia="Arial" w:cs="Arial"/>
          <w:noProof w:val="0"/>
          <w:sz w:val="22"/>
          <w:szCs w:val="22"/>
          <w:lang w:val="en-GB"/>
        </w:rPr>
      </w:pPr>
    </w:p>
    <w:p w:rsidR="00A61910" w:rsidRDefault="00A61910" w14:paraId="69BEE07C" w14:textId="77777777"/>
    <w:p w:rsidR="00A61910" w:rsidP="4C179BF9" w:rsidRDefault="00A61910" w14:paraId="0F40A48C" w14:textId="69D26EEB">
      <w:pPr>
        <w:pStyle w:val="ListParagraph"/>
        <w:numPr>
          <w:ilvl w:val="0"/>
          <w:numId w:val="6"/>
        </w:numPr>
        <w:spacing w:before="0" w:beforeAutospacing="off" w:after="0" w:afterAutospacing="off"/>
        <w:rPr>
          <w:rFonts w:ascii="Aptos" w:hAnsi="Aptos" w:eastAsia="Aptos" w:cs="Aptos"/>
          <w:noProof w:val="0"/>
          <w:sz w:val="24"/>
          <w:szCs w:val="24"/>
          <w:lang w:val="en-GB"/>
        </w:rPr>
      </w:pPr>
      <w:r w:rsidRPr="4C179BF9" w:rsidR="42E54204">
        <w:rPr>
          <w:rFonts w:ascii="Aptos" w:hAnsi="Aptos" w:eastAsia="Aptos" w:cs="Aptos"/>
          <w:noProof w:val="0"/>
          <w:sz w:val="24"/>
          <w:szCs w:val="24"/>
          <w:lang w:val="en-GB"/>
        </w:rPr>
        <w:t>Internal and External Factors Affecting Jaguar Land Rover</w:t>
      </w:r>
    </w:p>
    <w:p w:rsidR="00A61910" w:rsidP="4C179BF9" w:rsidRDefault="00A61910" w14:paraId="326EB1E7" w14:textId="2D4C8CE6">
      <w:pPr>
        <w:spacing w:before="240" w:beforeAutospacing="off" w:after="240" w:afterAutospacing="off"/>
      </w:pPr>
      <w:r w:rsidRPr="4C179BF9" w:rsidR="42E54204">
        <w:rPr>
          <w:rFonts w:ascii="Aptos" w:hAnsi="Aptos" w:eastAsia="Aptos" w:cs="Aptos"/>
          <w:noProof w:val="0"/>
          <w:sz w:val="24"/>
          <w:szCs w:val="24"/>
          <w:lang w:val="en-GB"/>
        </w:rPr>
        <w:t>Jaguar Land Rover (JLR) operates within a complex and rapidly changing global automotive environment. Its strategic decisions are influenced by external factors such as government policies, economic conditions, technological innovation, environmental regulations and changing customer expectations, as well as internal factors including financial resources, employees, organisational culture and technological capabilities. Understanding these influences is essential for determining the strategic changes required to maintain JLR’s competitiveness.</w:t>
      </w:r>
    </w:p>
    <w:p w:rsidR="00A61910" w:rsidP="4C179BF9" w:rsidRDefault="00A61910" w14:paraId="57F6A73B" w14:textId="7D1BED59">
      <w:pPr>
        <w:spacing w:before="240" w:beforeAutospacing="off" w:after="240" w:afterAutospacing="off"/>
      </w:pPr>
      <w:r w:rsidRPr="4C179BF9" w:rsidR="42E54204">
        <w:rPr>
          <w:rFonts w:ascii="Aptos" w:hAnsi="Aptos" w:eastAsia="Aptos" w:cs="Aptos"/>
          <w:noProof w:val="0"/>
          <w:sz w:val="24"/>
          <w:szCs w:val="24"/>
          <w:lang w:val="en-GB"/>
        </w:rPr>
        <w:t>2.1 PESTLE Analysis</w:t>
      </w:r>
    </w:p>
    <w:p w:rsidR="00A61910" w:rsidP="4C179BF9" w:rsidRDefault="00A61910" w14:paraId="7DF6FFAB" w14:textId="6E7AA568">
      <w:pPr>
        <w:spacing w:before="240" w:beforeAutospacing="off" w:after="240" w:afterAutospacing="off"/>
      </w:pPr>
      <w:r w:rsidRPr="4C179BF9" w:rsidR="42E54204">
        <w:rPr>
          <w:rFonts w:ascii="Aptos" w:hAnsi="Aptos" w:eastAsia="Aptos" w:cs="Aptos"/>
          <w:noProof w:val="0"/>
          <w:sz w:val="24"/>
          <w:szCs w:val="24"/>
          <w:lang w:val="en-GB"/>
        </w:rPr>
        <w:t>A PESTLE analysis provides a structured approach for examining the political, economic, social, technological, legal and environmental factors affecting Jaguar Land Rover.</w:t>
      </w:r>
    </w:p>
    <w:p w:rsidR="00A61910" w:rsidP="4C179BF9" w:rsidRDefault="00A61910" w14:paraId="2B929E77" w14:textId="3B24F54F">
      <w:pPr>
        <w:spacing w:before="240" w:beforeAutospacing="off" w:after="240" w:afterAutospacing="off"/>
      </w:pPr>
      <w:r w:rsidRPr="4C179BF9" w:rsidR="42E54204">
        <w:rPr>
          <w:rFonts w:ascii="Aptos" w:hAnsi="Aptos" w:eastAsia="Aptos" w:cs="Aptos"/>
          <w:noProof w:val="0"/>
          <w:sz w:val="24"/>
          <w:szCs w:val="24"/>
          <w:lang w:val="en-GB"/>
        </w:rPr>
        <w:t>Political Factors: Government policies relating to vehicle emissions, international trade and the transition towards low-emission transport have a significant influence on JLR. As a British manufacturer operating internationally, changes in tariffs, trade relationships and government policies can affect manufacturing costs and access to international markets. JLR must therefore maintain flexibility within its international operations and supply chain.</w:t>
      </w:r>
    </w:p>
    <w:p w:rsidR="00A61910" w:rsidP="4C179BF9" w:rsidRDefault="00A61910" w14:paraId="4870FDBE" w14:textId="24AB5B4C">
      <w:pPr>
        <w:spacing w:before="240" w:beforeAutospacing="off" w:after="240" w:afterAutospacing="off"/>
      </w:pPr>
      <w:r w:rsidRPr="4C179BF9" w:rsidR="42E54204">
        <w:rPr>
          <w:rFonts w:ascii="Aptos" w:hAnsi="Aptos" w:eastAsia="Aptos" w:cs="Aptos"/>
          <w:noProof w:val="0"/>
          <w:sz w:val="24"/>
          <w:szCs w:val="24"/>
          <w:lang w:val="en-GB"/>
        </w:rPr>
        <w:t>Economic Factors: Inflation, interest rates, exchange-rate movements and changes in disposable income can influence demand for premium vehicles. Luxury vehicles generally require significant consumer expenditure, making JLR vulnerable to periods of economic uncertainty. Nevertheless, JLR demonstrated strong financial performance in FY2024/25, reporting revenue of approximately £29 billion and profit before tax and exceptional items of £2.5 billion (JLR, 2025). (Jaguar Land Rover)</w:t>
      </w:r>
    </w:p>
    <w:p w:rsidR="00A61910" w:rsidP="4C179BF9" w:rsidRDefault="00A61910" w14:paraId="3B88EA51" w14:textId="05380FA5">
      <w:pPr>
        <w:spacing w:before="240" w:beforeAutospacing="off" w:after="240" w:afterAutospacing="off"/>
      </w:pPr>
      <w:r w:rsidRPr="4C179BF9" w:rsidR="42E54204">
        <w:rPr>
          <w:rFonts w:ascii="Aptos" w:hAnsi="Aptos" w:eastAsia="Aptos" w:cs="Aptos"/>
          <w:noProof w:val="0"/>
          <w:sz w:val="24"/>
          <w:szCs w:val="24"/>
          <w:lang w:val="en-GB"/>
        </w:rPr>
        <w:t>Social Factors: Consumer expectations are changing as customers increasingly consider sustainability, technology, connectivity and personalisation when purchasing vehicles. JLR must respond to these expectations while maintaining the luxury image associated with Jaguar, Range Rover, Defender and Discovery. Changing attitudes towards environmental responsibility also create pressure for manufacturers to provide more sustainable mobility options.</w:t>
      </w:r>
    </w:p>
    <w:p w:rsidR="00A61910" w:rsidP="4C179BF9" w:rsidRDefault="00A61910" w14:paraId="299521BF" w14:textId="1A9554D1">
      <w:pPr>
        <w:spacing w:before="240" w:beforeAutospacing="off" w:after="240" w:afterAutospacing="off"/>
      </w:pPr>
      <w:r w:rsidRPr="4C179BF9" w:rsidR="42E54204">
        <w:rPr>
          <w:rFonts w:ascii="Aptos" w:hAnsi="Aptos" w:eastAsia="Aptos" w:cs="Aptos"/>
          <w:noProof w:val="0"/>
          <w:sz w:val="24"/>
          <w:szCs w:val="24"/>
          <w:lang w:val="en-GB"/>
        </w:rPr>
        <w:t>Technological Factors: Technology is one of the most significant drivers of change within the automotive industry. Electric vehicles, battery technology, artificial intelligence, autonomous driving and connected vehicle technologies are transforming competition. Electrification is central to JLR’s Reimagine strategy, and the organisation is developing a portfolio that includes battery-electric vehicles alongside hybrid technologies during the global transition towards electric mobility (JLR, 2026). (Jaguar Land Rover)</w:t>
      </w:r>
    </w:p>
    <w:p w:rsidR="00A61910" w:rsidP="4C179BF9" w:rsidRDefault="00A61910" w14:paraId="01C53FB2" w14:textId="4C95AA4A">
      <w:pPr>
        <w:spacing w:before="240" w:beforeAutospacing="off" w:after="240" w:afterAutospacing="off"/>
      </w:pPr>
      <w:r w:rsidRPr="4C179BF9" w:rsidR="42E54204">
        <w:rPr>
          <w:rFonts w:ascii="Aptos" w:hAnsi="Aptos" w:eastAsia="Aptos" w:cs="Aptos"/>
          <w:noProof w:val="0"/>
          <w:sz w:val="24"/>
          <w:szCs w:val="24"/>
          <w:lang w:val="en-GB"/>
        </w:rPr>
        <w:t>Legal Factors: Jaguar Land Rover must comply with extensive legislation concerning vehicle safety, employee protection, environmental standards, data protection and consumer rights across the countries where it operates. Failure to comply could lead to financial penalties, reputational damage and operational disruption. Therefore, legal compliance must be incorporated into strategic decision-making and change implementation.</w:t>
      </w:r>
    </w:p>
    <w:p w:rsidR="00A61910" w:rsidP="4C179BF9" w:rsidRDefault="00A61910" w14:paraId="7032B006" w14:textId="040B907B">
      <w:pPr>
        <w:spacing w:before="240" w:beforeAutospacing="off" w:after="240" w:afterAutospacing="off"/>
      </w:pPr>
      <w:r w:rsidRPr="4C179BF9" w:rsidR="42E54204">
        <w:rPr>
          <w:rFonts w:ascii="Aptos" w:hAnsi="Aptos" w:eastAsia="Aptos" w:cs="Aptos"/>
          <w:noProof w:val="0"/>
          <w:sz w:val="24"/>
          <w:szCs w:val="24"/>
          <w:lang w:val="en-GB"/>
        </w:rPr>
        <w:t>Environmental Factors: Climate change and the requirement to reduce carbon emissions have become major strategic considerations for JLR. The organisation aims to achieve net-zero carbon emissions across its supply chain, products and operations by 2039. It has also established science-based targets to reduce greenhouse-gas emissions across its own operations and wider value chain (JLR, 2022). (Jaguar Land Rover) These environmental commitments create both challenges and opportunities because substantial investment is required, but sustainability can also strengthen JLR’s long-term competitive position.</w:t>
      </w:r>
    </w:p>
    <w:p w:rsidR="00A61910" w:rsidP="4C179BF9" w:rsidRDefault="00A61910" w14:paraId="49D7A58F" w14:textId="7F3233E8">
      <w:pPr>
        <w:spacing w:before="240" w:beforeAutospacing="off" w:after="240" w:afterAutospacing="off"/>
      </w:pPr>
      <w:r w:rsidRPr="4C179BF9" w:rsidR="42E54204">
        <w:rPr>
          <w:rFonts w:ascii="Aptos" w:hAnsi="Aptos" w:eastAsia="Aptos" w:cs="Aptos"/>
          <w:noProof w:val="0"/>
          <w:sz w:val="24"/>
          <w:szCs w:val="24"/>
          <w:lang w:val="en-GB"/>
        </w:rPr>
        <w:t>Overall, the PESTLE analysis demonstrates that technological and environmental factors are particularly important to Jaguar Land Rover. These pressures reinforce the need for strategic change towards electrification, sustainable manufacturing and technological innovation.</w:t>
      </w:r>
    </w:p>
    <w:p w:rsidR="00A61910" w:rsidP="4C179BF9" w:rsidRDefault="00A61910" w14:paraId="2C473B50" w14:textId="318361CE">
      <w:pPr>
        <w:spacing w:before="240" w:beforeAutospacing="off" w:after="240" w:afterAutospacing="off"/>
      </w:pPr>
      <w:r w:rsidRPr="4C179BF9" w:rsidR="42E54204">
        <w:rPr>
          <w:rFonts w:ascii="Aptos" w:hAnsi="Aptos" w:eastAsia="Aptos" w:cs="Aptos"/>
          <w:noProof w:val="0"/>
          <w:sz w:val="24"/>
          <w:szCs w:val="24"/>
          <w:lang w:val="en-GB"/>
        </w:rPr>
        <w:t>2.2 Impact of COVID-19 on Jaguar Land Rover</w:t>
      </w:r>
    </w:p>
    <w:p w:rsidR="00A61910" w:rsidP="4C179BF9" w:rsidRDefault="00A61910" w14:paraId="58F37E1E" w14:textId="0D12467B">
      <w:pPr>
        <w:spacing w:before="240" w:beforeAutospacing="off" w:after="240" w:afterAutospacing="off"/>
      </w:pPr>
      <w:r w:rsidRPr="4C179BF9" w:rsidR="42E54204">
        <w:rPr>
          <w:rFonts w:ascii="Aptos" w:hAnsi="Aptos" w:eastAsia="Aptos" w:cs="Aptos"/>
          <w:noProof w:val="0"/>
          <w:sz w:val="24"/>
          <w:szCs w:val="24"/>
          <w:lang w:val="en-GB"/>
        </w:rPr>
        <w:t>The COVID-19 pandemic had a significant impact on Jaguar Land Rover’s operations, sales, workforce and supply chain. Government restrictions and lockdown measures resulted in temporary closures of manufacturing plants and retailers, disrupting vehicle production and reducing customer demand.</w:t>
      </w:r>
    </w:p>
    <w:p w:rsidR="00A61910" w:rsidP="4C179BF9" w:rsidRDefault="00A61910" w14:paraId="76775B21" w14:textId="76E9A447">
      <w:pPr>
        <w:spacing w:before="240" w:beforeAutospacing="off" w:after="240" w:afterAutospacing="off"/>
      </w:pPr>
      <w:r w:rsidRPr="4C179BF9" w:rsidR="42E54204">
        <w:rPr>
          <w:rFonts w:ascii="Aptos" w:hAnsi="Aptos" w:eastAsia="Aptos" w:cs="Aptos"/>
          <w:noProof w:val="0"/>
          <w:sz w:val="24"/>
          <w:szCs w:val="24"/>
          <w:lang w:val="en-GB"/>
        </w:rPr>
        <w:t>During the first quarter of fiscal year 2020/21, JLR reported retail sales of 74,067 vehicles, representing a 42.4% year-on-year decline. Revenue fell to approximately £2.9 billion, while the company recorded a pre-tax loss of £413 million. Temporary retailer and manufacturing plant shutdowns were identified as major contributors to this performance (Jaguar Land Rover, 2020). (Jaguar Land Rover)</w:t>
      </w:r>
    </w:p>
    <w:p w:rsidR="00A61910" w:rsidP="4C179BF9" w:rsidRDefault="00A61910" w14:paraId="49866D5E" w14:textId="4B24416E">
      <w:pPr>
        <w:spacing w:before="240" w:beforeAutospacing="off" w:after="240" w:afterAutospacing="off"/>
      </w:pPr>
      <w:r w:rsidRPr="4C179BF9" w:rsidR="42E54204">
        <w:rPr>
          <w:rFonts w:ascii="Aptos" w:hAnsi="Aptos" w:eastAsia="Aptos" w:cs="Aptos"/>
          <w:noProof w:val="0"/>
          <w:sz w:val="24"/>
          <w:szCs w:val="24"/>
          <w:lang w:val="en-GB"/>
        </w:rPr>
        <w:t>The effects continued across the financial year. Global retail sales for FY2020/21 reached 439,588 vehicles, representing a 13.6% reduction compared with the previous year because of the pandemic. However, recovery became visible during the final quarter, particularly in China and North America (Jaguar Land Rover, 2021). (Jaguar Land Rover)</w:t>
      </w:r>
    </w:p>
    <w:p w:rsidR="00A61910" w:rsidP="4C179BF9" w:rsidRDefault="00A61910" w14:paraId="06E4AB1D" w14:textId="749AB499">
      <w:pPr>
        <w:spacing w:before="240" w:beforeAutospacing="off" w:after="240" w:afterAutospacing="off"/>
      </w:pPr>
      <w:r w:rsidRPr="4C179BF9" w:rsidR="42E54204">
        <w:rPr>
          <w:rFonts w:ascii="Aptos" w:hAnsi="Aptos" w:eastAsia="Aptos" w:cs="Aptos"/>
          <w:noProof w:val="0"/>
          <w:sz w:val="24"/>
          <w:szCs w:val="24"/>
          <w:lang w:val="en-GB"/>
        </w:rPr>
        <w:t>COVID-19 also highlighted the importance of supply-chain resilience and organisational flexibility. The disruption demonstrated that JLR needed to respond rapidly to unexpected external events, control costs and strengthen its ability to operate under uncertain market conditions.</w:t>
      </w:r>
    </w:p>
    <w:p w:rsidR="00A61910" w:rsidP="4C179BF9" w:rsidRDefault="00A61910" w14:paraId="7B7DD006" w14:textId="568602FC">
      <w:pPr>
        <w:spacing w:before="240" w:beforeAutospacing="off" w:after="240" w:afterAutospacing="off"/>
      </w:pPr>
      <w:r w:rsidRPr="4C179BF9" w:rsidR="42E54204">
        <w:rPr>
          <w:rFonts w:ascii="Aptos" w:hAnsi="Aptos" w:eastAsia="Aptos" w:cs="Aptos"/>
          <w:noProof w:val="0"/>
          <w:sz w:val="24"/>
          <w:szCs w:val="24"/>
          <w:lang w:val="en-GB"/>
        </w:rPr>
        <w:t>From a strategic management perspective, the pandemic reinforced the importance of effective leadership and change management. Managers needed to communicate with employees, protect workforce safety, maintain business continuity and make difficult financial and operational decisions. The experience provides an important example of why organisations such as Jaguar Land Rover require adaptable strategies rather than relying solely on stable market conditions.</w:t>
      </w:r>
    </w:p>
    <w:p w:rsidR="00A61910" w:rsidP="4C179BF9" w:rsidRDefault="00A61910" w14:paraId="33F728C1" w14:textId="06593645">
      <w:pPr>
        <w:spacing w:before="240" w:beforeAutospacing="off" w:after="240" w:afterAutospacing="off"/>
      </w:pPr>
      <w:r w:rsidRPr="4C179BF9" w:rsidR="42E54204">
        <w:rPr>
          <w:rFonts w:ascii="Aptos" w:hAnsi="Aptos" w:eastAsia="Aptos" w:cs="Aptos"/>
          <w:noProof w:val="0"/>
          <w:sz w:val="24"/>
          <w:szCs w:val="24"/>
          <w:lang w:val="en-GB"/>
        </w:rPr>
        <w:t>2.3 SWOT Analysis</w:t>
      </w:r>
    </w:p>
    <w:p w:rsidR="00A61910" w:rsidP="4C179BF9" w:rsidRDefault="00A61910" w14:paraId="1B2079ED" w14:textId="6BB2BAA2">
      <w:pPr>
        <w:spacing w:before="240" w:beforeAutospacing="off" w:after="240" w:afterAutospacing="off"/>
      </w:pPr>
      <w:r w:rsidRPr="4C179BF9" w:rsidR="42E54204">
        <w:rPr>
          <w:rFonts w:ascii="Aptos" w:hAnsi="Aptos" w:eastAsia="Aptos" w:cs="Aptos"/>
          <w:noProof w:val="0"/>
          <w:sz w:val="24"/>
          <w:szCs w:val="24"/>
          <w:lang w:val="en-GB"/>
        </w:rPr>
        <w:t>A SWOT analysis identifies Jaguar Land Rover’s internal strengths and weaknesses alongside external opportunities and threats.</w:t>
      </w:r>
    </w:p>
    <w:p w:rsidR="00A61910" w:rsidP="4C179BF9" w:rsidRDefault="00A61910" w14:paraId="20BF3CB9" w14:textId="633A40D6">
      <w:pPr>
        <w:spacing w:before="240" w:beforeAutospacing="off" w:after="240" w:afterAutospacing="off"/>
      </w:pPr>
      <w:r w:rsidRPr="4C179BF9" w:rsidR="42E54204">
        <w:rPr>
          <w:rFonts w:ascii="Aptos" w:hAnsi="Aptos" w:eastAsia="Aptos" w:cs="Aptos"/>
          <w:noProof w:val="0"/>
          <w:sz w:val="24"/>
          <w:szCs w:val="24"/>
          <w:lang w:val="en-GB"/>
        </w:rPr>
        <w:t>Strengths: JLR possesses globally recognised luxury automotive brands, including Range Rover, Defender, Discovery and Jaguar. The organisation has strong capabilities in vehicle design, engineering and luxury manufacturing. Another important strength is its financial recovery demonstrated by its FY2024/25 results, when JLR achieved £29 billion in revenue and its highest full-year profit in a decade (JLR, 2025). (Jaguar Land Rover)</w:t>
      </w:r>
    </w:p>
    <w:p w:rsidR="00A61910" w:rsidP="4C179BF9" w:rsidRDefault="00A61910" w14:paraId="5DC435A1" w14:textId="6C1FF5BA">
      <w:pPr>
        <w:spacing w:before="240" w:beforeAutospacing="off" w:after="240" w:afterAutospacing="off"/>
      </w:pPr>
      <w:r w:rsidRPr="4C179BF9" w:rsidR="42E54204">
        <w:rPr>
          <w:rFonts w:ascii="Aptos" w:hAnsi="Aptos" w:eastAsia="Aptos" w:cs="Aptos"/>
          <w:noProof w:val="0"/>
          <w:sz w:val="24"/>
          <w:szCs w:val="24"/>
          <w:lang w:val="en-GB"/>
        </w:rPr>
        <w:t>Weaknesses: JLR operates within the premium automotive market, which can make demand more sensitive to economic uncertainty. Developing new electric platforms, battery technologies and manufacturing capabilities also requires substantial financial investment. The organisation’s international operations and complex supply network can additionally expose it to supply disruptions and global economic changes.</w:t>
      </w:r>
    </w:p>
    <w:p w:rsidR="00A61910" w:rsidP="4C179BF9" w:rsidRDefault="00A61910" w14:paraId="79F822E9" w14:textId="76F6F9A3">
      <w:pPr>
        <w:spacing w:before="240" w:beforeAutospacing="off" w:after="240" w:afterAutospacing="off"/>
      </w:pPr>
      <w:r w:rsidRPr="4C179BF9" w:rsidR="42E54204">
        <w:rPr>
          <w:rFonts w:ascii="Aptos" w:hAnsi="Aptos" w:eastAsia="Aptos" w:cs="Aptos"/>
          <w:noProof w:val="0"/>
          <w:sz w:val="24"/>
          <w:szCs w:val="24"/>
          <w:lang w:val="en-GB"/>
        </w:rPr>
        <w:t>Opportunities: The transition towards electric vehicles represents a major opportunity. JLR’s Reimagine strategy places electrification at the centre of its future direction, with Jaguar planned as an electric brand and electric models being introduced across its other brands. JLR is also targeting further growth through its luxury brands and increased attention to markets including North America (JLR, 2026). (Jaguar Land Rover) Digitalisation, connected services and sustainable manufacturing provide additional opportunities to differentiate JLR from competitors.</w:t>
      </w:r>
    </w:p>
    <w:p w:rsidR="00A61910" w:rsidP="4C179BF9" w:rsidRDefault="00A61910" w14:paraId="3EF259D2" w14:textId="32546E77">
      <w:pPr>
        <w:spacing w:before="240" w:beforeAutospacing="off" w:after="240" w:afterAutospacing="off"/>
      </w:pPr>
      <w:r w:rsidRPr="4C179BF9" w:rsidR="42E54204">
        <w:rPr>
          <w:rFonts w:ascii="Aptos" w:hAnsi="Aptos" w:eastAsia="Aptos" w:cs="Aptos"/>
          <w:noProof w:val="0"/>
          <w:sz w:val="24"/>
          <w:szCs w:val="24"/>
          <w:lang w:val="en-GB"/>
        </w:rPr>
        <w:t>Threats: JLR faces intense competition from established premium manufacturers and newer electric vehicle companies. Other threats include economic uncertainty, changing trade conditions, supply-chain disruption, rapidly developing technology and increasingly demanding environmental regulations. Consumer preferences may also change faster than anticipated, creating uncertainty regarding the speed of the transition between internal combustion, hybrid and fully electric vehicles.</w:t>
      </w:r>
    </w:p>
    <w:p w:rsidR="00A61910" w:rsidP="4C179BF9" w:rsidRDefault="00A61910" w14:paraId="02B6265A" w14:textId="32A61134">
      <w:pPr>
        <w:spacing w:before="240" w:beforeAutospacing="off" w:after="240" w:afterAutospacing="off"/>
      </w:pPr>
      <w:r w:rsidRPr="4C179BF9" w:rsidR="42E54204">
        <w:rPr>
          <w:rFonts w:ascii="Aptos" w:hAnsi="Aptos" w:eastAsia="Aptos" w:cs="Aptos"/>
          <w:noProof w:val="0"/>
          <w:sz w:val="24"/>
          <w:szCs w:val="24"/>
          <w:lang w:val="en-GB"/>
        </w:rPr>
        <w:t>The SWOT analysis indicates that JLR possesses strong brands, engineering capabilities and opportunities associated with electrification. However, successful strategic change is necessary to address technological competition, economic uncertainty and the substantial investment required for transformation.</w:t>
      </w:r>
    </w:p>
    <w:p w:rsidR="00A61910" w:rsidP="4C179BF9" w:rsidRDefault="00A61910" w14:paraId="2FA3D719" w14:textId="4B97A934">
      <w:pPr>
        <w:spacing w:before="240" w:beforeAutospacing="off" w:after="240" w:afterAutospacing="off"/>
      </w:pPr>
      <w:r w:rsidRPr="4C179BF9" w:rsidR="42E54204">
        <w:rPr>
          <w:rFonts w:ascii="Aptos" w:hAnsi="Aptos" w:eastAsia="Aptos" w:cs="Aptos"/>
          <w:noProof w:val="0"/>
          <w:sz w:val="24"/>
          <w:szCs w:val="24"/>
          <w:lang w:val="en-GB"/>
        </w:rPr>
        <w:t>2.4 Stakeholder Analysis</w:t>
      </w:r>
    </w:p>
    <w:p w:rsidR="00A61910" w:rsidP="4C179BF9" w:rsidRDefault="00A61910" w14:paraId="32994BD9" w14:textId="5394A2FB">
      <w:pPr>
        <w:spacing w:before="240" w:beforeAutospacing="off" w:after="240" w:afterAutospacing="off"/>
      </w:pPr>
      <w:r w:rsidRPr="4C179BF9" w:rsidR="42E54204">
        <w:rPr>
          <w:rFonts w:ascii="Aptos" w:hAnsi="Aptos" w:eastAsia="Aptos" w:cs="Aptos"/>
          <w:noProof w:val="0"/>
          <w:sz w:val="24"/>
          <w:szCs w:val="24"/>
          <w:lang w:val="en-GB"/>
        </w:rPr>
        <w:t>Stakeholders can significantly influence the success or failure of strategic change at Jaguar Land Rover. The organisation must therefore identify its key internal and external stakeholders and understand their expectations.</w:t>
      </w:r>
    </w:p>
    <w:p w:rsidR="00A61910" w:rsidP="4C179BF9" w:rsidRDefault="00A61910" w14:paraId="41453A87" w14:textId="09617DCC">
      <w:pPr>
        <w:spacing w:before="240" w:beforeAutospacing="off" w:after="240" w:afterAutospacing="off"/>
      </w:pPr>
      <w:r w:rsidRPr="4C179BF9" w:rsidR="42E54204">
        <w:rPr>
          <w:rFonts w:ascii="Aptos" w:hAnsi="Aptos" w:eastAsia="Aptos" w:cs="Aptos"/>
          <w:noProof w:val="0"/>
          <w:sz w:val="24"/>
          <w:szCs w:val="24"/>
          <w:lang w:val="en-GB"/>
        </w:rPr>
        <w:t>Internal stakeholders include senior management, employees and shareholders/owners. Senior management has high influence because it establishes strategic priorities and allocates organisational resources. Employees are essential because they manufacture vehicles, develop technologies and implement organisational changes. Their engagement, skills and motivation can directly influence the success of transformation.</w:t>
      </w:r>
    </w:p>
    <w:p w:rsidR="00A61910" w:rsidP="4C179BF9" w:rsidRDefault="00A61910" w14:paraId="224CD632" w14:textId="7D57E3B1">
      <w:pPr>
        <w:spacing w:before="240" w:beforeAutospacing="off" w:after="240" w:afterAutospacing="off"/>
      </w:pPr>
      <w:r w:rsidRPr="4C179BF9" w:rsidR="42E54204">
        <w:rPr>
          <w:rFonts w:ascii="Aptos" w:hAnsi="Aptos" w:eastAsia="Aptos" w:cs="Aptos"/>
          <w:noProof w:val="0"/>
          <w:sz w:val="24"/>
          <w:szCs w:val="24"/>
          <w:lang w:val="en-GB"/>
        </w:rPr>
        <w:t>External stakeholders include customers, suppliers, governments, regulatory authorities, local communities and business partners. Customers expect quality, safety, technological innovation and value from JLR products. Suppliers are particularly important because vehicle production depends upon reliable access to components, batteries, semiconductors and other technologies. Governments and regulators have substantial influence through environmental, safety, employment and trade legislation.</w:t>
      </w:r>
    </w:p>
    <w:p w:rsidR="00A61910" w:rsidP="4C179BF9" w:rsidRDefault="00A61910" w14:paraId="028D494B" w14:textId="4E02712B">
      <w:pPr>
        <w:spacing w:before="240" w:beforeAutospacing="off" w:after="240" w:afterAutospacing="off"/>
      </w:pPr>
      <w:r w:rsidRPr="4C179BF9" w:rsidR="42E54204">
        <w:rPr>
          <w:rFonts w:ascii="Aptos" w:hAnsi="Aptos" w:eastAsia="Aptos" w:cs="Aptos"/>
          <w:noProof w:val="0"/>
          <w:sz w:val="24"/>
          <w:szCs w:val="24"/>
          <w:lang w:val="en-GB"/>
        </w:rPr>
        <w:t>Effective stakeholder management therefore requires JLR to understand both stakeholder power and stakeholder interest. Communication should also be adapted according to the importance and influence of each stakeholder group.</w:t>
      </w:r>
    </w:p>
    <w:p w:rsidR="00A61910" w:rsidP="4C179BF9" w:rsidRDefault="00A61910" w14:paraId="78584265" w14:textId="3E61AB29">
      <w:pPr>
        <w:spacing w:before="240" w:beforeAutospacing="off" w:after="240" w:afterAutospacing="off"/>
      </w:pPr>
      <w:r w:rsidRPr="4C179BF9" w:rsidR="42E54204">
        <w:rPr>
          <w:rFonts w:ascii="Aptos" w:hAnsi="Aptos" w:eastAsia="Aptos" w:cs="Aptos"/>
          <w:noProof w:val="0"/>
          <w:sz w:val="24"/>
          <w:szCs w:val="24"/>
          <w:lang w:val="en-GB"/>
        </w:rPr>
        <w:t>2.5 Mendelow’s Matrix</w:t>
      </w:r>
    </w:p>
    <w:p w:rsidR="00A61910" w:rsidP="4C179BF9" w:rsidRDefault="00A61910" w14:paraId="0860AF82" w14:textId="3ADD7ACC">
      <w:pPr>
        <w:spacing w:before="240" w:beforeAutospacing="off" w:after="240" w:afterAutospacing="off"/>
      </w:pPr>
      <w:r w:rsidRPr="4C179BF9" w:rsidR="42E54204">
        <w:rPr>
          <w:rFonts w:ascii="Aptos" w:hAnsi="Aptos" w:eastAsia="Aptos" w:cs="Aptos"/>
          <w:noProof w:val="0"/>
          <w:sz w:val="24"/>
          <w:szCs w:val="24"/>
          <w:lang w:val="en-GB"/>
        </w:rPr>
        <w:t>Mendelow’s Matrix can be used to categorise Jaguar Land Rover’s stakeholders according to their level of power and interest.</w:t>
      </w:r>
    </w:p>
    <w:p w:rsidR="00A61910" w:rsidP="4C179BF9" w:rsidRDefault="00A61910" w14:paraId="1A4BA942" w14:textId="2D415B29">
      <w:pPr>
        <w:spacing w:before="240" w:beforeAutospacing="off" w:after="240" w:afterAutospacing="off"/>
      </w:pPr>
      <w:r w:rsidRPr="4C179BF9" w:rsidR="42E54204">
        <w:rPr>
          <w:rFonts w:ascii="Aptos" w:hAnsi="Aptos" w:eastAsia="Aptos" w:cs="Aptos"/>
          <w:noProof w:val="0"/>
          <w:sz w:val="24"/>
          <w:szCs w:val="24"/>
          <w:lang w:val="en-GB"/>
        </w:rPr>
        <w:t>High Power – High Interest: Manage Closely Senior management, owners/shareholders and major strategic investors should be managed closely because they have significant influence over strategic decisions and a strong interest in JLR’s financial and strategic performance.</w:t>
      </w:r>
    </w:p>
    <w:p w:rsidR="00A61910" w:rsidP="4C179BF9" w:rsidRDefault="00A61910" w14:paraId="5CA89866" w14:textId="39AED9EE">
      <w:pPr>
        <w:spacing w:before="240" w:beforeAutospacing="off" w:after="240" w:afterAutospacing="off"/>
      </w:pPr>
      <w:r w:rsidRPr="4C179BF9" w:rsidR="42E54204">
        <w:rPr>
          <w:rFonts w:ascii="Aptos" w:hAnsi="Aptos" w:eastAsia="Aptos" w:cs="Aptos"/>
          <w:noProof w:val="0"/>
          <w:sz w:val="24"/>
          <w:szCs w:val="24"/>
          <w:lang w:val="en-GB"/>
        </w:rPr>
        <w:t>High Power – Low Interest: Keep Satisfied Government authorities and certain regulatory organisations may have high power because they establish legislation and industry requirements. JLR should ensure compliance and maintain constructive relationships with these stakeholders.</w:t>
      </w:r>
    </w:p>
    <w:p w:rsidR="00A61910" w:rsidP="4C179BF9" w:rsidRDefault="00A61910" w14:paraId="5306288C" w14:textId="723AC021">
      <w:pPr>
        <w:spacing w:before="240" w:beforeAutospacing="off" w:after="240" w:afterAutospacing="off"/>
      </w:pPr>
      <w:r w:rsidRPr="4C179BF9" w:rsidR="42E54204">
        <w:rPr>
          <w:rFonts w:ascii="Aptos" w:hAnsi="Aptos" w:eastAsia="Aptos" w:cs="Aptos"/>
          <w:noProof w:val="0"/>
          <w:sz w:val="24"/>
          <w:szCs w:val="24"/>
          <w:lang w:val="en-GB"/>
        </w:rPr>
        <w:t>Low Power – High Interest: Keep Informed Employees, customers and local communities can have strong interest in JLR’s activities. Employees should receive regular communication regarding organisational changes, while customers should be informed about products, technology and sustainability initiatives.</w:t>
      </w:r>
    </w:p>
    <w:p w:rsidR="00A61910" w:rsidP="4C179BF9" w:rsidRDefault="00A61910" w14:paraId="1F124F61" w14:textId="5BAA8D3B">
      <w:pPr>
        <w:spacing w:before="240" w:beforeAutospacing="off" w:after="240" w:afterAutospacing="off"/>
      </w:pPr>
      <w:r w:rsidRPr="4C179BF9" w:rsidR="42E54204">
        <w:rPr>
          <w:rFonts w:ascii="Aptos" w:hAnsi="Aptos" w:eastAsia="Aptos" w:cs="Aptos"/>
          <w:noProof w:val="0"/>
          <w:sz w:val="24"/>
          <w:szCs w:val="24"/>
          <w:lang w:val="en-GB"/>
        </w:rPr>
        <w:t>Low Power – Low Interest: Monitor Stakeholders with limited direct involvement in JLR’s operations require less intensive communication but should still be monitored because their level of influence or interest may change over time.</w:t>
      </w:r>
    </w:p>
    <w:p w:rsidR="00A61910" w:rsidP="4C179BF9" w:rsidRDefault="00A61910" w14:paraId="6EF53335" w14:textId="716C2909">
      <w:pPr>
        <w:spacing w:before="240" w:beforeAutospacing="off" w:after="240" w:afterAutospacing="off"/>
      </w:pPr>
      <w:r w:rsidRPr="4C179BF9" w:rsidR="42E54204">
        <w:rPr>
          <w:rFonts w:ascii="Aptos" w:hAnsi="Aptos" w:eastAsia="Aptos" w:cs="Aptos"/>
          <w:noProof w:val="0"/>
          <w:sz w:val="24"/>
          <w:szCs w:val="24"/>
          <w:lang w:val="en-GB"/>
        </w:rPr>
        <w:t>Mendelow’s Matrix demonstrates that stakeholder communication should not follow a single approach. Stakeholders with both high power and high interest require greater engagement, while other groups can be managed through targeted communication appropriate to their influence.</w:t>
      </w:r>
    </w:p>
    <w:p w:rsidR="00A61910" w:rsidP="4C179BF9" w:rsidRDefault="00A61910" w14:paraId="6C198006" w14:textId="53212BED">
      <w:pPr>
        <w:spacing w:before="240" w:beforeAutospacing="off" w:after="240" w:afterAutospacing="off"/>
      </w:pPr>
      <w:r w:rsidRPr="4C179BF9" w:rsidR="42E54204">
        <w:rPr>
          <w:rFonts w:ascii="Aptos" w:hAnsi="Aptos" w:eastAsia="Aptos" w:cs="Aptos"/>
          <w:noProof w:val="0"/>
          <w:sz w:val="24"/>
          <w:szCs w:val="24"/>
          <w:lang w:val="en-GB"/>
        </w:rPr>
        <w:t>2.6 Supporting Graphs and Charts</w:t>
      </w:r>
    </w:p>
    <w:p w:rsidR="00A61910" w:rsidP="4C179BF9" w:rsidRDefault="00A61910" w14:paraId="4C1D0900" w14:textId="7F044F63">
      <w:pPr>
        <w:spacing w:before="240" w:beforeAutospacing="off" w:after="240" w:afterAutospacing="off"/>
      </w:pPr>
      <w:r w:rsidRPr="4C179BF9" w:rsidR="42E54204">
        <w:rPr>
          <w:rFonts w:ascii="Aptos" w:hAnsi="Aptos" w:eastAsia="Aptos" w:cs="Aptos"/>
          <w:noProof w:val="0"/>
          <w:sz w:val="24"/>
          <w:szCs w:val="24"/>
          <w:lang w:val="en-GB"/>
        </w:rPr>
        <w:t>Graphs and charts can provide quantitative evidence to support the strategic analysis of Jaguar Land Rover. One useful indicator is the company’s recent financial performance. JLR reported revenue of approximately £29.0 billion in FY2024/25, compared with £22.9 billion in FY2025/26. The company also reported wholesales of 400,898 units in FY2024/25 compared with 307,915 units in FY2025/26 (JLR, 2025; JLR, 2026). (Jaguar Land Rover)</w:t>
      </w:r>
    </w:p>
    <w:p w:rsidR="00A61910" w:rsidP="4C179BF9" w:rsidRDefault="00A61910" w14:paraId="6150CA1D" w14:textId="76DEE4E5">
      <w:pPr>
        <w:spacing w:before="240" w:beforeAutospacing="off" w:after="240" w:afterAutospacing="off"/>
      </w:pPr>
      <w:r w:rsidRPr="4C179BF9" w:rsidR="42E54204">
        <w:rPr>
          <w:rFonts w:ascii="Aptos" w:hAnsi="Aptos" w:eastAsia="Aptos" w:cs="Aptos"/>
          <w:noProof w:val="0"/>
          <w:sz w:val="24"/>
          <w:szCs w:val="24"/>
          <w:lang w:val="en-GB"/>
        </w:rPr>
        <w:t>A second useful graph can demonstrate the impact of COVID-19. JLR’s global retail sales for FY2020/21 were 439,588 vehicles, 13.6% lower than the previous financial year, demonstrating the significant disruption created by the pandemic (Jaguar Land Rover, 2021). (Jaguar Land Rover)</w:t>
      </w:r>
    </w:p>
    <w:p w:rsidR="00A61910" w:rsidP="4C179BF9" w:rsidRDefault="00A61910" w14:paraId="742BEC22" w14:textId="79FE2833">
      <w:pPr>
        <w:spacing w:before="240" w:beforeAutospacing="off" w:after="240" w:afterAutospacing="off"/>
      </w:pPr>
      <w:r w:rsidRPr="4C179BF9" w:rsidR="42E54204">
        <w:rPr>
          <w:rFonts w:ascii="Aptos" w:hAnsi="Aptos" w:eastAsia="Aptos" w:cs="Aptos"/>
          <w:noProof w:val="0"/>
          <w:sz w:val="24"/>
          <w:szCs w:val="24"/>
          <w:lang w:val="en-GB"/>
        </w:rPr>
        <w:t>These figures can be presented visually through bar charts to demonstrate changes in revenue, vehicle sales and organisational performance. Such evidence strengthens the analysis by connecting strategic change with measurable business outcomes.</w:t>
      </w:r>
    </w:p>
    <w:p w:rsidR="00A61910" w:rsidRDefault="00A61910" w14:paraId="5AB6D22E" w14:textId="42BF9D61"/>
    <w:p w:rsidR="00A61910" w:rsidRDefault="00A61910" w14:paraId="32AA2673" w14:textId="77777777"/>
    <w:p w:rsidR="00A61910" w:rsidRDefault="00A61910" w14:paraId="4491C74B" w14:textId="77777777"/>
    <w:p w:rsidR="00A61910" w:rsidRDefault="00A61910" w14:paraId="279766F5" w14:textId="77777777"/>
    <w:p w:rsidR="00A61910" w:rsidRDefault="00A61910" w14:paraId="76558F41" w14:textId="5EF5D166">
      <w:r w:rsidR="1C23DFD9">
        <w:drawing>
          <wp:inline wp14:editId="25825490" wp14:anchorId="60BE812F">
            <wp:extent cx="5724525" cy="3524250"/>
            <wp:effectExtent l="0" t="0" r="0" b="0"/>
            <wp:docPr id="20857160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5716097" name="Picture 2085716097"/>
                    <pic:cNvPicPr/>
                  </pic:nvPicPr>
                  <pic:blipFill>
                    <a:blip xmlns:r="http://schemas.openxmlformats.org/officeDocument/2006/relationships" r:embed="rId119742766">
                      <a:extLst>
                        <a:ext uri="{28A0092B-C50C-407E-A947-70E740481C1C}">
                          <a14:useLocalDpi xmlns:a14="http://schemas.microsoft.com/office/drawing/2010/main"/>
                        </a:ext>
                      </a:extLst>
                    </a:blip>
                    <a:stretch>
                      <a:fillRect/>
                    </a:stretch>
                  </pic:blipFill>
                  <pic:spPr>
                    <a:xfrm>
                      <a:off x="0" y="0"/>
                      <a:ext cx="5724525" cy="3524250"/>
                    </a:xfrm>
                    <a:prstGeom prst="rect">
                      <a:avLst/>
                    </a:prstGeom>
                  </pic:spPr>
                </pic:pic>
              </a:graphicData>
            </a:graphic>
          </wp:inline>
        </w:drawing>
      </w:r>
    </w:p>
    <w:p w:rsidR="00A61910" w:rsidRDefault="00A61910" w14:paraId="4B65B10A" w14:textId="77777777"/>
    <w:p w:rsidR="00A61910" w:rsidRDefault="00A61910" w14:paraId="1745B35D" w14:textId="77777777"/>
    <w:p w:rsidR="00A61910" w:rsidRDefault="00A61910" w14:paraId="67FEAB62" w14:textId="77777777"/>
    <w:p w:rsidR="00A61910" w:rsidRDefault="00A61910" w14:paraId="3001BC13" w14:textId="77777777"/>
    <w:p w:rsidR="00A61910" w:rsidRDefault="00A61910" w14:paraId="4D98E6D7" w14:textId="6A2C4EE1">
      <w:r w:rsidR="1C23DFD9">
        <w:drawing>
          <wp:inline wp14:editId="1D027C0D" wp14:anchorId="250FEE34">
            <wp:extent cx="5724525" cy="3524250"/>
            <wp:effectExtent l="0" t="0" r="0" b="0"/>
            <wp:docPr id="20117423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1742382" name="Picture 2011742382"/>
                    <pic:cNvPicPr/>
                  </pic:nvPicPr>
                  <pic:blipFill>
                    <a:blip xmlns:r="http://schemas.openxmlformats.org/officeDocument/2006/relationships" r:embed="rId1527005971">
                      <a:extLst>
                        <a:ext uri="{28A0092B-C50C-407E-A947-70E740481C1C}">
                          <a14:useLocalDpi xmlns:a14="http://schemas.microsoft.com/office/drawing/2010/main"/>
                        </a:ext>
                      </a:extLst>
                    </a:blip>
                    <a:stretch>
                      <a:fillRect/>
                    </a:stretch>
                  </pic:blipFill>
                  <pic:spPr>
                    <a:xfrm>
                      <a:off x="0" y="0"/>
                      <a:ext cx="5724525" cy="3524250"/>
                    </a:xfrm>
                    <a:prstGeom prst="rect">
                      <a:avLst/>
                    </a:prstGeom>
                  </pic:spPr>
                </pic:pic>
              </a:graphicData>
            </a:graphic>
          </wp:inline>
        </w:drawing>
      </w:r>
    </w:p>
    <w:p w:rsidR="00A61910" w:rsidRDefault="00A61910" w14:paraId="7DDC99F2" w14:textId="77777777"/>
    <w:p w:rsidR="00A61910" w:rsidRDefault="00A61910" w14:paraId="130AE2EF" w14:textId="77777777"/>
    <w:p w:rsidR="00A61910" w:rsidRDefault="00A61910" w14:paraId="23B0B4C8" w14:textId="77777777"/>
    <w:p w:rsidR="00A61910" w:rsidRDefault="00A61910" w14:paraId="4D141AD9" w14:textId="77777777"/>
    <w:p w:rsidR="00A61910" w:rsidRDefault="00A61910" w14:paraId="1756C788" w14:textId="77777777"/>
    <w:p w:rsidR="00A61910" w:rsidRDefault="00A61910" w14:paraId="773177EE" w14:textId="77777777"/>
    <w:p w:rsidR="00A61910" w:rsidRDefault="00A61910" w14:paraId="3FD2E943" w14:textId="77777777"/>
    <w:p w:rsidR="00A61910" w:rsidRDefault="00A61910" w14:paraId="194B764D" w14:textId="77777777"/>
    <w:p w:rsidR="00A61910" w:rsidRDefault="00A61910" w14:paraId="245602CC" w14:textId="77777777">
      <w:pPr>
        <w:pStyle w:val="ListParagraph"/>
        <w:rPr>
          <w:highlight w:val="white"/>
        </w:rPr>
      </w:pPr>
    </w:p>
    <w:p w:rsidR="00A61910" w:rsidRDefault="00A61910" w14:paraId="12B62281" w14:textId="77777777">
      <w:pPr>
        <w:pStyle w:val="ListParagraph"/>
      </w:pPr>
    </w:p>
    <w:p w:rsidR="00A61910" w:rsidRDefault="00A61910" w14:paraId="705672E5" w14:textId="77777777">
      <w:pPr>
        <w:pStyle w:val="ListParagraph"/>
      </w:pPr>
    </w:p>
    <w:p w:rsidR="009F5E22" w:rsidRDefault="009F5E22" w14:paraId="6C4A6CEC" w14:textId="21566AE6">
      <w:pPr>
        <w:pStyle w:val="ListParagraph"/>
      </w:pPr>
      <w:r w:rsidR="1C23DFD9">
        <w:drawing>
          <wp:inline wp14:editId="5BC72BA2" wp14:anchorId="01ACA004">
            <wp:extent cx="5724525" cy="4286250"/>
            <wp:effectExtent l="0" t="0" r="0" b="0"/>
            <wp:docPr id="9341913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4191315" name="Picture 934191315"/>
                    <pic:cNvPicPr/>
                  </pic:nvPicPr>
                  <pic:blipFill>
                    <a:blip xmlns:r="http://schemas.openxmlformats.org/officeDocument/2006/relationships" r:embed="rId919471321">
                      <a:extLst>
                        <a:ext uri="{28A0092B-C50C-407E-A947-70E740481C1C}">
                          <a14:useLocalDpi xmlns:a14="http://schemas.microsoft.com/office/drawing/2010/main"/>
                        </a:ext>
                      </a:extLst>
                    </a:blip>
                    <a:stretch>
                      <a:fillRect/>
                    </a:stretch>
                  </pic:blipFill>
                  <pic:spPr>
                    <a:xfrm>
                      <a:off x="0" y="0"/>
                      <a:ext cx="5724525" cy="4286250"/>
                    </a:xfrm>
                    <a:prstGeom prst="rect">
                      <a:avLst/>
                    </a:prstGeom>
                  </pic:spPr>
                </pic:pic>
              </a:graphicData>
            </a:graphic>
          </wp:inline>
        </w:drawing>
      </w:r>
    </w:p>
    <w:p w:rsidR="009F5E22" w:rsidRDefault="009F5E22" w14:paraId="31A22D37" w14:textId="77777777">
      <w:pPr>
        <w:pStyle w:val="ListParagraph"/>
      </w:pPr>
    </w:p>
    <w:p w:rsidR="009F5E22" w:rsidRDefault="009F5E22" w14:paraId="36FE30B9" w14:textId="77777777">
      <w:pPr>
        <w:pStyle w:val="ListParagraph"/>
      </w:pPr>
    </w:p>
    <w:p w:rsidR="009F5E22" w:rsidRDefault="009F5E22" w14:paraId="7F3176E1" w14:textId="77777777">
      <w:pPr>
        <w:pStyle w:val="ListParagraph"/>
      </w:pPr>
    </w:p>
    <w:p w:rsidR="009F5E22" w:rsidRDefault="009F5E22" w14:paraId="6E4808F3" w14:textId="77777777">
      <w:pPr>
        <w:pStyle w:val="ListParagraph"/>
      </w:pPr>
    </w:p>
    <w:p w:rsidR="009F5E22" w:rsidRDefault="009F5E22" w14:paraId="6D40D466" w14:textId="77777777">
      <w:pPr>
        <w:pStyle w:val="ListParagraph"/>
      </w:pPr>
    </w:p>
    <w:p w:rsidR="009F5E22" w:rsidRDefault="009F5E22" w14:paraId="42EA2BA4" w14:textId="77777777">
      <w:pPr>
        <w:pStyle w:val="ListParagraph"/>
      </w:pPr>
    </w:p>
    <w:p w:rsidR="009F5E22" w:rsidRDefault="009F5E22" w14:paraId="4F19C5F8" w14:textId="77777777">
      <w:pPr>
        <w:pStyle w:val="ListParagraph"/>
      </w:pPr>
    </w:p>
    <w:p w:rsidR="009F5E22" w:rsidRDefault="009F5E22" w14:paraId="42BD6BC5" w14:textId="77777777">
      <w:pPr>
        <w:pStyle w:val="ListParagraph"/>
      </w:pPr>
    </w:p>
    <w:p w:rsidR="009F5E22" w:rsidRDefault="009F5E22" w14:paraId="61964076" w14:textId="77777777">
      <w:pPr>
        <w:pStyle w:val="ListParagraph"/>
      </w:pPr>
    </w:p>
    <w:p w:rsidR="009F5E22" w:rsidRDefault="009F5E22" w14:paraId="27A063FA" w14:textId="77777777">
      <w:pPr>
        <w:pStyle w:val="ListParagraph"/>
      </w:pPr>
    </w:p>
    <w:p w:rsidR="009F5E22" w:rsidRDefault="009F5E22" w14:paraId="5EF38299" w14:textId="77777777">
      <w:pPr>
        <w:pStyle w:val="ListParagraph"/>
      </w:pPr>
    </w:p>
    <w:p w:rsidR="009F5E22" w:rsidRDefault="009F5E22" w14:paraId="5C2CAB11" w14:textId="77777777">
      <w:pPr>
        <w:pStyle w:val="ListParagraph"/>
      </w:pPr>
    </w:p>
    <w:p w:rsidR="009F5E22" w:rsidRDefault="009F5E22" w14:paraId="4BD39678" w14:textId="77777777">
      <w:pPr>
        <w:pStyle w:val="ListParagraph"/>
      </w:pPr>
    </w:p>
    <w:p w:rsidR="009F5E22" w:rsidRDefault="009F5E22" w14:paraId="39D98D1D" w14:textId="77777777">
      <w:pPr>
        <w:pStyle w:val="ListParagraph"/>
      </w:pPr>
    </w:p>
    <w:p w:rsidR="009F5E22" w:rsidRDefault="009F5E22" w14:paraId="405E56F6" w14:textId="77777777">
      <w:pPr>
        <w:pStyle w:val="ListParagraph"/>
      </w:pPr>
    </w:p>
    <w:p w:rsidR="009F5E22" w:rsidRDefault="009F5E22" w14:paraId="03B2CE25" w14:textId="77777777">
      <w:pPr>
        <w:pStyle w:val="ListParagraph"/>
      </w:pPr>
    </w:p>
    <w:p w:rsidR="009F5E22" w:rsidRDefault="009F5E22" w14:paraId="2B87B2F4" w14:textId="77777777">
      <w:pPr>
        <w:pStyle w:val="ListParagraph"/>
      </w:pPr>
    </w:p>
    <w:p w:rsidR="009F5E22" w:rsidRDefault="009F5E22" w14:paraId="1D49F384" w14:textId="77777777">
      <w:pPr>
        <w:pStyle w:val="ListParagraph"/>
      </w:pPr>
    </w:p>
    <w:p w:rsidR="009F5E22" w:rsidRDefault="009F5E22" w14:paraId="5F6C3670" w14:textId="77777777">
      <w:pPr>
        <w:pStyle w:val="ListParagraph"/>
      </w:pPr>
    </w:p>
    <w:p w:rsidR="009F5E22" w:rsidP="4C179BF9" w:rsidRDefault="009F5E22" w14:paraId="42F4DFB8" w14:textId="23B03368">
      <w:pPr>
        <w:pStyle w:val="ListParagraph"/>
        <w:numPr>
          <w:ilvl w:val="0"/>
          <w:numId w:val="7"/>
        </w:numPr>
        <w:spacing w:before="0" w:beforeAutospacing="off" w:after="0" w:afterAutospacing="off"/>
        <w:rPr>
          <w:noProof w:val="0"/>
          <w:lang w:val="en-GB"/>
        </w:rPr>
      </w:pPr>
      <w:r w:rsidRPr="4C179BF9" w:rsidR="2F578332">
        <w:rPr>
          <w:noProof w:val="0"/>
          <w:lang w:val="en-GB"/>
        </w:rPr>
        <w:t>Change Management Models</w:t>
      </w:r>
    </w:p>
    <w:p w:rsidR="009F5E22" w:rsidP="4C179BF9" w:rsidRDefault="009F5E22" w14:paraId="27F9C5C3" w14:textId="4D2094C6">
      <w:pPr>
        <w:spacing w:before="240" w:beforeAutospacing="off" w:after="240" w:afterAutospacing="off"/>
      </w:pPr>
      <w:r w:rsidRPr="4C179BF9" w:rsidR="2F578332">
        <w:rPr>
          <w:noProof w:val="0"/>
          <w:lang w:val="en-GB"/>
        </w:rPr>
        <w:t>Change management models provide organisations with structured approaches for planning, implementing and sustaining organisational transformation. This is particularly relevant to Jaguar Land Rover (JLR), as the organisation is undergoing substantial strategic transformation through its Reimagine strategy. Electrification, sustainable manufacturing, technological innovation and the transformation of Jaguar into an electric luxury brand require changes not only to products but also to manufacturing processes, employee capabilities and organisational culture (JLR, 2025).</w:t>
      </w:r>
    </w:p>
    <w:p w:rsidR="009F5E22" w:rsidP="4C179BF9" w:rsidRDefault="009F5E22" w14:paraId="6F77CDA1" w14:textId="67382227">
      <w:pPr>
        <w:spacing w:before="240" w:beforeAutospacing="off" w:after="240" w:afterAutospacing="off"/>
      </w:pPr>
      <w:r w:rsidRPr="4C179BF9" w:rsidR="2F578332">
        <w:rPr>
          <w:noProof w:val="0"/>
          <w:lang w:val="en-GB"/>
        </w:rPr>
        <w:t>3.1 Lewin’s Three-Step Change Model</w:t>
      </w:r>
    </w:p>
    <w:p w:rsidR="009F5E22" w:rsidP="4C179BF9" w:rsidRDefault="009F5E22" w14:paraId="1E962B95" w14:textId="0E5AFE40">
      <w:pPr>
        <w:spacing w:before="240" w:beforeAutospacing="off" w:after="240" w:afterAutospacing="off"/>
      </w:pPr>
      <w:r w:rsidRPr="4C179BF9" w:rsidR="2F578332">
        <w:rPr>
          <w:noProof w:val="0"/>
          <w:lang w:val="en-GB"/>
        </w:rPr>
        <w:t>Lewin’s Three-Step Change Model is one of the earliest and most recognised approaches to organisational change. Lewin (1951) divides the change process into three stages: Unfreezing, Changing and Refreezing.</w:t>
      </w:r>
    </w:p>
    <w:p w:rsidR="009F5E22" w:rsidP="4C179BF9" w:rsidRDefault="009F5E22" w14:paraId="0F0E6871" w14:textId="353AED86">
      <w:pPr>
        <w:spacing w:before="240" w:beforeAutospacing="off" w:after="240" w:afterAutospacing="off"/>
      </w:pPr>
      <w:r w:rsidRPr="4C179BF9" w:rsidR="2F578332">
        <w:rPr>
          <w:noProof w:val="0"/>
          <w:lang w:val="en-GB"/>
        </w:rPr>
        <w:t>Unfreezing</w:t>
      </w:r>
    </w:p>
    <w:p w:rsidR="009F5E22" w:rsidP="4C179BF9" w:rsidRDefault="009F5E22" w14:paraId="2FC46BF5" w14:textId="5CC1831F">
      <w:pPr>
        <w:spacing w:before="240" w:beforeAutospacing="off" w:after="240" w:afterAutospacing="off"/>
      </w:pPr>
      <w:r w:rsidRPr="4C179BF9" w:rsidR="2F578332">
        <w:rPr>
          <w:noProof w:val="0"/>
          <w:lang w:val="en-GB"/>
        </w:rPr>
        <w:t>The first stage involves preparing an organisation and its employees for change. Existing practices, behaviours and assumptions must be challenged before new ways of working can be successfully introduced.</w:t>
      </w:r>
    </w:p>
    <w:p w:rsidR="009F5E22" w:rsidP="4C179BF9" w:rsidRDefault="009F5E22" w14:paraId="579C6ECA" w14:textId="427919BA">
      <w:pPr>
        <w:spacing w:before="240" w:beforeAutospacing="off" w:after="240" w:afterAutospacing="off"/>
      </w:pPr>
      <w:r w:rsidRPr="4C179BF9" w:rsidR="2F578332">
        <w:rPr>
          <w:noProof w:val="0"/>
          <w:lang w:val="en-GB"/>
        </w:rPr>
        <w:t>At Jaguar Land Rover, the unfreezing stage would involve explaining why transformation towards electrification and sustainable luxury is necessary. Senior managers should communicate competitive pressures, changing customer expectations, environmental requirements and technological developments to employees. This would help employees understand why maintaining existing practices may not be sufficient for JLR’s future competitiveness.</w:t>
      </w:r>
    </w:p>
    <w:p w:rsidR="009F5E22" w:rsidP="4C179BF9" w:rsidRDefault="009F5E22" w14:paraId="08C5852D" w14:textId="56D54178">
      <w:pPr>
        <w:spacing w:before="240" w:beforeAutospacing="off" w:after="240" w:afterAutospacing="off"/>
      </w:pPr>
      <w:r w:rsidRPr="4C179BF9" w:rsidR="2F578332">
        <w:rPr>
          <w:noProof w:val="0"/>
          <w:lang w:val="en-GB"/>
        </w:rPr>
        <w:t>Changing</w:t>
      </w:r>
    </w:p>
    <w:p w:rsidR="009F5E22" w:rsidP="4C179BF9" w:rsidRDefault="009F5E22" w14:paraId="4095A5A6" w14:textId="43E9B3EC">
      <w:pPr>
        <w:spacing w:before="240" w:beforeAutospacing="off" w:after="240" w:afterAutospacing="off"/>
      </w:pPr>
      <w:r w:rsidRPr="4C179BF9" w:rsidR="2F578332">
        <w:rPr>
          <w:noProof w:val="0"/>
          <w:lang w:val="en-GB"/>
        </w:rPr>
        <w:t>The second stage occurs when the organisation begins implementing new processes, behaviours and working practices. Employees may require additional communication, training and leadership support during this period.</w:t>
      </w:r>
    </w:p>
    <w:p w:rsidR="009F5E22" w:rsidP="4C179BF9" w:rsidRDefault="009F5E22" w14:paraId="07E8CF09" w14:textId="25F3E7AA">
      <w:pPr>
        <w:spacing w:before="240" w:beforeAutospacing="off" w:after="240" w:afterAutospacing="off"/>
      </w:pPr>
      <w:r w:rsidRPr="4C179BF9" w:rsidR="2F578332">
        <w:rPr>
          <w:noProof w:val="0"/>
          <w:lang w:val="en-GB"/>
        </w:rPr>
        <w:t>For Jaguar Land Rover, this stage can include adapting manufacturing facilities for electric vehicles, introducing new technologies and developing employees’ skills in areas such as battery technology, electric propulsion and digital manufacturing. JLR has already invested substantially in transforming facilities such as Halewood for electric vehicle production (JLR, 2025). Employees should be actively supported throughout this transition because their knowledge and commitment are essential to successful implementation.</w:t>
      </w:r>
    </w:p>
    <w:p w:rsidR="009F5E22" w:rsidP="4C179BF9" w:rsidRDefault="009F5E22" w14:paraId="693184DB" w14:textId="443702C0">
      <w:pPr>
        <w:spacing w:before="240" w:beforeAutospacing="off" w:after="240" w:afterAutospacing="off"/>
      </w:pPr>
      <w:r w:rsidRPr="4C179BF9" w:rsidR="2F578332">
        <w:rPr>
          <w:noProof w:val="0"/>
          <w:lang w:val="en-GB"/>
        </w:rPr>
        <w:t>Refreezing</w:t>
      </w:r>
    </w:p>
    <w:p w:rsidR="009F5E22" w:rsidP="4C179BF9" w:rsidRDefault="009F5E22" w14:paraId="1C5B22A3" w14:textId="56D0695E">
      <w:pPr>
        <w:spacing w:before="240" w:beforeAutospacing="off" w:after="240" w:afterAutospacing="off"/>
      </w:pPr>
      <w:r w:rsidRPr="4C179BF9" w:rsidR="2F578332">
        <w:rPr>
          <w:noProof w:val="0"/>
          <w:lang w:val="en-GB"/>
        </w:rPr>
        <w:t>The final stage involves embedding the new practices into the organisation so that they become part of normal operations and organisational culture. At Jaguar Land Rover, this would involve integrating electric vehicle production, sustainability objectives and new technological capabilities into everyday business practices. Performance monitoring, employee development and recognition could reinforce these new behaviours.</w:t>
      </w:r>
    </w:p>
    <w:p w:rsidR="009F5E22" w:rsidP="4C179BF9" w:rsidRDefault="009F5E22" w14:paraId="4193C9D9" w14:textId="33A1BEBE">
      <w:pPr>
        <w:spacing w:before="240" w:beforeAutospacing="off" w:after="240" w:afterAutospacing="off"/>
      </w:pPr>
      <w:r w:rsidRPr="4C179BF9" w:rsidR="2F578332">
        <w:rPr>
          <w:noProof w:val="0"/>
          <w:lang w:val="en-GB"/>
        </w:rPr>
        <w:t>Lewin’s model has the advantage of being simple, logical and easy for managers and employees to understand. However, its relatively linear structure may be a limitation for Jaguar Land Rover because the automotive industry changes continuously. Technologies, regulations and customer expectations can evolve rapidly, meaning JLR may need to adapt repeatedly rather than reach a permanent ‘refrozen’ state.</w:t>
      </w:r>
    </w:p>
    <w:p w:rsidR="009F5E22" w:rsidP="4C179BF9" w:rsidRDefault="009F5E22" w14:paraId="0030D75D" w14:textId="75118010">
      <w:pPr>
        <w:spacing w:before="240" w:beforeAutospacing="off" w:after="240" w:afterAutospacing="off"/>
      </w:pPr>
      <w:r w:rsidRPr="4C179BF9" w:rsidR="2F578332">
        <w:rPr>
          <w:noProof w:val="0"/>
          <w:lang w:val="en-GB"/>
        </w:rPr>
        <w:t>Therefore, although Lewin’s model provides a useful foundation for understanding organisational change, a more detailed and flexible model may be required to manage the scale and complexity of Jaguar Land Rover’s long-term strategic transformation</w:t>
      </w:r>
    </w:p>
    <w:p w:rsidR="009F5E22" w:rsidRDefault="009F5E22" w14:paraId="50E20626" w14:textId="5B55F9B9">
      <w:pPr>
        <w:pStyle w:val="ListParagraph"/>
      </w:pPr>
    </w:p>
    <w:p w:rsidR="009F5E22" w:rsidRDefault="009F5E22" w14:paraId="1BF1EE2E" w14:textId="77777777">
      <w:pPr>
        <w:pStyle w:val="ListParagraph"/>
      </w:pPr>
    </w:p>
    <w:p w:rsidR="009F5E22" w:rsidRDefault="009F5E22" w14:paraId="21D1BBE0" w14:textId="77777777">
      <w:pPr>
        <w:pStyle w:val="ListParagraph"/>
      </w:pPr>
    </w:p>
    <w:p w:rsidR="009F5E22" w:rsidP="4C179BF9" w:rsidRDefault="009F5E22" w14:paraId="2CF25DFE" w14:textId="5463D60D">
      <w:pPr>
        <w:spacing w:before="240" w:beforeAutospacing="off" w:after="240" w:afterAutospacing="off"/>
      </w:pPr>
      <w:r w:rsidRPr="4C179BF9" w:rsidR="6C375B4F">
        <w:rPr>
          <w:noProof w:val="0"/>
          <w:lang w:val="en-GB"/>
        </w:rPr>
        <w:t>3.2 Kotter’s Eight-Step Change Model</w:t>
      </w:r>
    </w:p>
    <w:p w:rsidR="009F5E22" w:rsidP="4C179BF9" w:rsidRDefault="009F5E22" w14:paraId="7D1F9E53" w14:textId="08AB525C">
      <w:pPr>
        <w:spacing w:before="240" w:beforeAutospacing="off" w:after="240" w:afterAutospacing="off"/>
      </w:pPr>
      <w:r w:rsidRPr="4C179BF9" w:rsidR="6C375B4F">
        <w:rPr>
          <w:noProof w:val="0"/>
          <w:lang w:val="en-GB"/>
        </w:rPr>
        <w:t>Kotter’s Eight-Step Change Model provides a structured approach for implementing significant organisational change. Kotter (1996) argues that successful transformation requires organisations to establish urgency, develop strong leadership support, communicate a clear vision and embed change within organisational culture. The eight stages are particularly relevant to Jaguar Land Rover (JLR) because its Reimagine strategy requires substantial transformation across products, technology, manufacturing, employees and organisational practices.</w:t>
      </w:r>
    </w:p>
    <w:p w:rsidR="009F5E22" w:rsidP="4C179BF9" w:rsidRDefault="009F5E22" w14:paraId="5584532A" w14:textId="02F0E759">
      <w:pPr>
        <w:pStyle w:val="ListParagraph"/>
        <w:numPr>
          <w:ilvl w:val="0"/>
          <w:numId w:val="8"/>
        </w:numPr>
        <w:spacing w:before="0" w:beforeAutospacing="off" w:after="0" w:afterAutospacing="off"/>
        <w:rPr>
          <w:noProof w:val="0"/>
          <w:lang w:val="en-GB"/>
        </w:rPr>
      </w:pPr>
      <w:r w:rsidRPr="4C179BF9" w:rsidR="6C375B4F">
        <w:rPr>
          <w:noProof w:val="0"/>
          <w:lang w:val="en-GB"/>
        </w:rPr>
        <w:t>Create a Sense of Urgency</w:t>
      </w:r>
    </w:p>
    <w:p w:rsidR="009F5E22" w:rsidP="4C179BF9" w:rsidRDefault="009F5E22" w14:paraId="09C6080A" w14:textId="472A1813">
      <w:pPr>
        <w:spacing w:before="240" w:beforeAutospacing="off" w:after="240" w:afterAutospacing="off"/>
      </w:pPr>
      <w:r w:rsidRPr="4C179BF9" w:rsidR="6C375B4F">
        <w:rPr>
          <w:noProof w:val="0"/>
          <w:lang w:val="en-GB"/>
        </w:rPr>
        <w:t>The first stage involves demonstrating why change is necessary. At Jaguar Land Rover, urgency is created by increasing environmental requirements, technological developments, changing customer expectations and competition within the global automotive industry. The transition towards electric vehicles represents a particularly important strategic challenge. Management should clearly communicate these pressures to employees so that they understand why JLR must transform rather than continue relying on traditional automotive technologies.</w:t>
      </w:r>
    </w:p>
    <w:p w:rsidR="009F5E22" w:rsidP="4C179BF9" w:rsidRDefault="009F5E22" w14:paraId="5011013F" w14:textId="303CE1F8">
      <w:pPr>
        <w:pStyle w:val="ListParagraph"/>
        <w:numPr>
          <w:ilvl w:val="0"/>
          <w:numId w:val="9"/>
        </w:numPr>
        <w:spacing w:before="0" w:beforeAutospacing="off" w:after="0" w:afterAutospacing="off"/>
        <w:rPr>
          <w:noProof w:val="0"/>
          <w:lang w:val="en-GB"/>
        </w:rPr>
      </w:pPr>
      <w:r w:rsidRPr="4C179BF9" w:rsidR="6C375B4F">
        <w:rPr>
          <w:noProof w:val="0"/>
          <w:lang w:val="en-GB"/>
        </w:rPr>
        <w:t>Build a Guiding Coalition</w:t>
      </w:r>
    </w:p>
    <w:p w:rsidR="009F5E22" w:rsidP="4C179BF9" w:rsidRDefault="009F5E22" w14:paraId="17E4F090" w14:textId="74E74DA4">
      <w:pPr>
        <w:spacing w:before="240" w:beforeAutospacing="off" w:after="240" w:afterAutospacing="off"/>
      </w:pPr>
      <w:r w:rsidRPr="4C179BF9" w:rsidR="6C375B4F">
        <w:rPr>
          <w:noProof w:val="0"/>
          <w:lang w:val="en-GB"/>
        </w:rPr>
        <w:t>The second stage requires a strong group of individuals to lead the transformation. At JLR, this coalition should include senior executives, strategic managers, engineering leaders, manufacturing managers, HR specialists and employees with relevant technical expertise. Collaboration with Tata Motors and important technology and supply-chain partners would also support the transformation. A strong coalition would provide direction and ensure that different areas of the organisation work towards common strategic objectives.</w:t>
      </w:r>
    </w:p>
    <w:p w:rsidR="009F5E22" w:rsidP="4C179BF9" w:rsidRDefault="009F5E22" w14:paraId="460FB278" w14:textId="29ADE635">
      <w:pPr>
        <w:pStyle w:val="ListParagraph"/>
        <w:numPr>
          <w:ilvl w:val="0"/>
          <w:numId w:val="10"/>
        </w:numPr>
        <w:spacing w:before="0" w:beforeAutospacing="off" w:after="0" w:afterAutospacing="off"/>
        <w:rPr>
          <w:noProof w:val="0"/>
          <w:lang w:val="en-GB"/>
        </w:rPr>
      </w:pPr>
      <w:r w:rsidRPr="4C179BF9" w:rsidR="6C375B4F">
        <w:rPr>
          <w:noProof w:val="0"/>
          <w:lang w:val="en-GB"/>
        </w:rPr>
        <w:t>Form a Strategic Vision and Initiatives</w:t>
      </w:r>
    </w:p>
    <w:p w:rsidR="009F5E22" w:rsidP="4C179BF9" w:rsidRDefault="009F5E22" w14:paraId="142B401A" w14:textId="04E166E3">
      <w:pPr>
        <w:spacing w:before="240" w:beforeAutospacing="off" w:after="240" w:afterAutospacing="off"/>
      </w:pPr>
      <w:r w:rsidRPr="4C179BF9" w:rsidR="6C375B4F">
        <w:rPr>
          <w:noProof w:val="0"/>
          <w:lang w:val="en-GB"/>
        </w:rPr>
        <w:t>JLR requires a clear vision that explains what the organisation intends to achieve through change. Its Reimagine strategy provides this strategic direction by focusing on modern luxury, sustainability, electrification and technological innovation. The organisation aims to achieve net-zero carbon emissions across its supply chain, products and operations by 2039. A clear vision helps employees understand how individual projects and responsibilities contribute to JLR’s long-term transformation.</w:t>
      </w:r>
    </w:p>
    <w:p w:rsidR="009F5E22" w:rsidP="4C179BF9" w:rsidRDefault="009F5E22" w14:paraId="4015824C" w14:textId="4A87732C">
      <w:pPr>
        <w:pStyle w:val="ListParagraph"/>
        <w:numPr>
          <w:ilvl w:val="0"/>
          <w:numId w:val="11"/>
        </w:numPr>
        <w:spacing w:before="0" w:beforeAutospacing="off" w:after="0" w:afterAutospacing="off"/>
        <w:rPr>
          <w:noProof w:val="0"/>
          <w:lang w:val="en-GB"/>
        </w:rPr>
      </w:pPr>
      <w:r w:rsidRPr="4C179BF9" w:rsidR="6C375B4F">
        <w:rPr>
          <w:noProof w:val="0"/>
          <w:lang w:val="en-GB"/>
        </w:rPr>
        <w:t>Enlist People to Support the Change</w:t>
      </w:r>
    </w:p>
    <w:p w:rsidR="009F5E22" w:rsidP="4C179BF9" w:rsidRDefault="009F5E22" w14:paraId="5031B050" w14:textId="2DB029AF">
      <w:pPr>
        <w:spacing w:before="240" w:beforeAutospacing="off" w:after="240" w:afterAutospacing="off"/>
      </w:pPr>
      <w:r w:rsidRPr="4C179BF9" w:rsidR="6C375B4F">
        <w:rPr>
          <w:noProof w:val="0"/>
          <w:lang w:val="en-GB"/>
        </w:rPr>
        <w:t>Successful organisational change cannot be achieved by senior management alone. Employees throughout Jaguar Land Rover should understand and support the strategic vision. Management should communicate through meetings, internal digital platforms, training sessions and employee engagement programmes. Employees should also have opportunities to ask questions and provide feedback. Effective communication can reduce uncertainty and encourage employees to actively participate in the transformation.</w:t>
      </w:r>
    </w:p>
    <w:p w:rsidR="009F5E22" w:rsidP="4C179BF9" w:rsidRDefault="009F5E22" w14:paraId="746CE2F3" w14:textId="27D3F277">
      <w:pPr>
        <w:pStyle w:val="ListParagraph"/>
        <w:numPr>
          <w:ilvl w:val="0"/>
          <w:numId w:val="12"/>
        </w:numPr>
        <w:spacing w:before="0" w:beforeAutospacing="off" w:after="0" w:afterAutospacing="off"/>
        <w:rPr>
          <w:noProof w:val="0"/>
          <w:lang w:val="en-GB"/>
        </w:rPr>
      </w:pPr>
      <w:r w:rsidRPr="4C179BF9" w:rsidR="6C375B4F">
        <w:rPr>
          <w:noProof w:val="0"/>
          <w:lang w:val="en-GB"/>
        </w:rPr>
        <w:t>Enable Action by Removing Barriers</w:t>
      </w:r>
    </w:p>
    <w:p w:rsidR="009F5E22" w:rsidP="4C179BF9" w:rsidRDefault="009F5E22" w14:paraId="473E981A" w14:textId="7FF3071E">
      <w:pPr>
        <w:spacing w:before="240" w:beforeAutospacing="off" w:after="240" w:afterAutospacing="off"/>
      </w:pPr>
      <w:r w:rsidRPr="4C179BF9" w:rsidR="6C375B4F">
        <w:rPr>
          <w:noProof w:val="0"/>
          <w:lang w:val="en-GB"/>
        </w:rPr>
        <w:t>Barriers to change may include employee resistance, skills shortages, outdated manufacturing processes, financial limitations and technological challenges. JLR should identify these barriers and provide appropriate solutions. Training is particularly important because employees require new capabilities to work with electric propulsion, batteries, digital technologies and advanced manufacturing systems. Removing organisational barriers allows employees to contribute more effectively to strategic change.</w:t>
      </w:r>
    </w:p>
    <w:p w:rsidR="009F5E22" w:rsidP="4C179BF9" w:rsidRDefault="009F5E22" w14:paraId="22B092A1" w14:textId="0D7F5CC7">
      <w:pPr>
        <w:pStyle w:val="ListParagraph"/>
        <w:numPr>
          <w:ilvl w:val="0"/>
          <w:numId w:val="13"/>
        </w:numPr>
        <w:spacing w:before="0" w:beforeAutospacing="off" w:after="0" w:afterAutospacing="off"/>
        <w:rPr>
          <w:noProof w:val="0"/>
          <w:lang w:val="en-GB"/>
        </w:rPr>
      </w:pPr>
      <w:r w:rsidRPr="4C179BF9" w:rsidR="6C375B4F">
        <w:rPr>
          <w:noProof w:val="0"/>
          <w:lang w:val="en-GB"/>
        </w:rPr>
        <w:t>Generate Short-Term Wins</w:t>
      </w:r>
    </w:p>
    <w:p w:rsidR="009F5E22" w:rsidP="4C179BF9" w:rsidRDefault="009F5E22" w14:paraId="186CDE5A" w14:textId="5AC79B18">
      <w:pPr>
        <w:spacing w:before="240" w:beforeAutospacing="off" w:after="240" w:afterAutospacing="off"/>
      </w:pPr>
      <w:r w:rsidRPr="4C179BF9" w:rsidR="6C375B4F">
        <w:rPr>
          <w:noProof w:val="0"/>
          <w:lang w:val="en-GB"/>
        </w:rPr>
        <w:t>Short-term achievements demonstrate that the transformation is producing results and can maintain employee motivation. At JLR, examples may include successfully preparing manufacturing facilities for electric vehicle production, completing employee training programmes or achieving specific sustainability targets. These achievements should be communicated and recognised throughout the organisation to maintain confidence in the wider transformation.</w:t>
      </w:r>
    </w:p>
    <w:p w:rsidR="009F5E22" w:rsidP="4C179BF9" w:rsidRDefault="009F5E22" w14:paraId="0BDE82E6" w14:textId="005000B4">
      <w:pPr>
        <w:pStyle w:val="ListParagraph"/>
        <w:numPr>
          <w:ilvl w:val="0"/>
          <w:numId w:val="14"/>
        </w:numPr>
        <w:spacing w:before="0" w:beforeAutospacing="off" w:after="0" w:afterAutospacing="off"/>
        <w:rPr>
          <w:noProof w:val="0"/>
          <w:lang w:val="en-GB"/>
        </w:rPr>
      </w:pPr>
      <w:r w:rsidRPr="4C179BF9" w:rsidR="6C375B4F">
        <w:rPr>
          <w:noProof w:val="0"/>
          <w:lang w:val="en-GB"/>
        </w:rPr>
        <w:t>Sustain Acceleration</w:t>
      </w:r>
    </w:p>
    <w:p w:rsidR="009F5E22" w:rsidP="4C179BF9" w:rsidRDefault="009F5E22" w14:paraId="737C97F7" w14:textId="131D9065">
      <w:pPr>
        <w:spacing w:before="240" w:beforeAutospacing="off" w:after="240" w:afterAutospacing="off"/>
      </w:pPr>
      <w:r w:rsidRPr="4C179BF9" w:rsidR="6C375B4F">
        <w:rPr>
          <w:noProof w:val="0"/>
          <w:lang w:val="en-GB"/>
        </w:rPr>
        <w:t>After achieving initial successes, Jaguar Land Rover should continue implementing change rather than assuming that the transformation is complete. Further investment in electric vehicles, digital technology, employee capabilities and sustainable manufacturing will be necessary. Management should continuously evaluate progress, respond to changes in global demand and identify additional opportunities for improvement.</w:t>
      </w:r>
    </w:p>
    <w:p w:rsidR="009F5E22" w:rsidP="4C179BF9" w:rsidRDefault="009F5E22" w14:paraId="17BFBEA7" w14:textId="49EFE62D">
      <w:pPr>
        <w:pStyle w:val="ListParagraph"/>
        <w:numPr>
          <w:ilvl w:val="0"/>
          <w:numId w:val="15"/>
        </w:numPr>
        <w:spacing w:before="0" w:beforeAutospacing="off" w:after="0" w:afterAutospacing="off"/>
        <w:rPr>
          <w:noProof w:val="0"/>
          <w:lang w:val="en-GB"/>
        </w:rPr>
      </w:pPr>
      <w:r w:rsidRPr="4C179BF9" w:rsidR="6C375B4F">
        <w:rPr>
          <w:noProof w:val="0"/>
          <w:lang w:val="en-GB"/>
        </w:rPr>
        <w:t>Institute Change</w:t>
      </w:r>
    </w:p>
    <w:p w:rsidR="009F5E22" w:rsidP="4C179BF9" w:rsidRDefault="009F5E22" w14:paraId="4EDBE22F" w14:textId="5DCF523D">
      <w:pPr>
        <w:spacing w:before="240" w:beforeAutospacing="off" w:after="240" w:afterAutospacing="off"/>
      </w:pPr>
      <w:r w:rsidRPr="4C179BF9" w:rsidR="6C375B4F">
        <w:rPr>
          <w:noProof w:val="0"/>
          <w:lang w:val="en-GB"/>
        </w:rPr>
        <w:t>The final stage requires new behaviours and practices to become embedded within Jaguar Land Rover’s organisational culture. Electrification, sustainability, innovation and customer-focused modern luxury should become fundamental elements of everyday decision-making rather than temporary initiatives. Recruitment, employee development, performance management and leadership practices should reinforce these strategic priorities.</w:t>
      </w:r>
    </w:p>
    <w:p w:rsidR="009F5E22" w:rsidP="4C179BF9" w:rsidRDefault="009F5E22" w14:paraId="1756373F" w14:textId="52CC2695">
      <w:pPr>
        <w:spacing w:before="240" w:beforeAutospacing="off" w:after="240" w:afterAutospacing="off"/>
      </w:pPr>
      <w:r w:rsidRPr="4C179BF9" w:rsidR="6C375B4F">
        <w:rPr>
          <w:noProof w:val="0"/>
          <w:lang w:val="en-GB"/>
        </w:rPr>
        <w:t>Kotter’s model offers several advantages for Jaguar Land Rover. Its eight stages provide greater detail than Lewin’s Three-Step Model and place considerable emphasis on leadership, communication, employee involvement and maintaining momentum. These elements are particularly important because JLR’s transformation is complex and affects multiple areas of the organisation.</w:t>
      </w:r>
    </w:p>
    <w:p w:rsidR="009F5E22" w:rsidP="4C179BF9" w:rsidRDefault="009F5E22" w14:paraId="2DF57DC8" w14:textId="1D2C1E47">
      <w:pPr>
        <w:spacing w:before="240" w:beforeAutospacing="off" w:after="240" w:afterAutospacing="off"/>
      </w:pPr>
      <w:r w:rsidRPr="4C179BF9" w:rsidR="6C375B4F">
        <w:rPr>
          <w:noProof w:val="0"/>
          <w:lang w:val="en-GB"/>
        </w:rPr>
        <w:t>However, the model also has limitations. Following eight stages can require significant time and managerial resources, and rapid developments in the automotive industry may require JLR to adapt its strategy before every stage has been completed. Nevertheless, the structured and people-focused nature of Kotter’s model makes it highly relevant to Jaguar Land Rover’s long-term strategic transformation</w:t>
      </w:r>
    </w:p>
    <w:p w:rsidR="009F5E22" w:rsidRDefault="009F5E22" w14:paraId="0E4DC3C2" w14:textId="589604E3">
      <w:pPr>
        <w:pStyle w:val="ListParagraph"/>
      </w:pPr>
    </w:p>
    <w:p w:rsidR="009F5E22" w:rsidRDefault="009F5E22" w14:paraId="79C10ADF" w14:textId="68800236">
      <w:pPr>
        <w:pStyle w:val="ListParagraph"/>
      </w:pPr>
    </w:p>
    <w:p w:rsidR="009F5E22" w:rsidRDefault="009F5E22" w14:paraId="3C4D2A1F" w14:textId="685D8543">
      <w:pPr>
        <w:pStyle w:val="ListParagraph"/>
      </w:pPr>
    </w:p>
    <w:p w:rsidR="009F5E22" w:rsidRDefault="009F5E22" w14:paraId="24BDC3F2" w14:textId="74AE5755">
      <w:pPr>
        <w:pStyle w:val="ListParagraph"/>
      </w:pPr>
    </w:p>
    <w:p w:rsidR="009F5E22" w:rsidRDefault="009F5E22" w14:paraId="2729BB89" w14:textId="3819675F">
      <w:pPr>
        <w:pStyle w:val="ListParagraph"/>
      </w:pPr>
    </w:p>
    <w:p w:rsidR="009F5E22" w:rsidRDefault="009F5E22" w14:paraId="55B825BE" w14:textId="085E4FFD">
      <w:pPr>
        <w:pStyle w:val="ListParagraph"/>
      </w:pPr>
    </w:p>
    <w:p w:rsidR="009F5E22" w:rsidRDefault="009F5E22" w14:paraId="056E3AA3" w14:textId="677DEB5D">
      <w:pPr>
        <w:pStyle w:val="ListParagraph"/>
      </w:pPr>
    </w:p>
    <w:p w:rsidR="009F5E22" w:rsidRDefault="009F5E22" w14:paraId="2CBAE69A" w14:textId="095DBECA">
      <w:pPr>
        <w:pStyle w:val="ListParagraph"/>
      </w:pPr>
    </w:p>
    <w:p w:rsidR="009F5E22" w:rsidRDefault="009F5E22" w14:paraId="00649ECE" w14:textId="01632B7E">
      <w:pPr>
        <w:pStyle w:val="ListParagraph"/>
      </w:pPr>
    </w:p>
    <w:p w:rsidR="009F5E22" w:rsidP="4C179BF9" w:rsidRDefault="009F5E22" w14:paraId="46E1DE57" w14:textId="0686FEB7">
      <w:pPr>
        <w:spacing w:before="240" w:beforeAutospacing="off" w:after="240" w:afterAutospacing="off"/>
      </w:pPr>
      <w:r w:rsidRPr="4C179BF9" w:rsidR="5BFE941C">
        <w:rPr>
          <w:noProof w:val="0"/>
          <w:lang w:val="en-GB"/>
        </w:rPr>
        <w:t>3.3 Pettigrew’s Model of Strategic Change</w:t>
      </w:r>
    </w:p>
    <w:p w:rsidR="009F5E22" w:rsidP="4C179BF9" w:rsidRDefault="009F5E22" w14:paraId="75D2D058" w14:textId="21497B7D">
      <w:pPr>
        <w:spacing w:before="240" w:beforeAutospacing="off" w:after="240" w:afterAutospacing="off"/>
      </w:pPr>
      <w:r w:rsidRPr="4C179BF9" w:rsidR="5BFE941C">
        <w:rPr>
          <w:noProof w:val="0"/>
          <w:lang w:val="en-GB"/>
        </w:rPr>
        <w:t>Pettigrew’s Model of Strategic Change provides a different perspective from the more sequential approaches developed by Lewin and Kotter. Pettigrew argues that organisational change should be understood through the interaction of three dimensions: context, content and process. This approach recognises that strategic change is influenced by both the internal characteristics of an organisation and the external environment in which it operates (Pettigrew, 1987; Pettigrew and Whipp, 1991).</w:t>
      </w:r>
    </w:p>
    <w:p w:rsidR="009F5E22" w:rsidP="4C179BF9" w:rsidRDefault="009F5E22" w14:paraId="78D7CB10" w14:textId="78189C87">
      <w:pPr>
        <w:spacing w:before="240" w:beforeAutospacing="off" w:after="240" w:afterAutospacing="off"/>
      </w:pPr>
      <w:r w:rsidRPr="4C179BF9" w:rsidR="5BFE941C">
        <w:rPr>
          <w:noProof w:val="0"/>
          <w:lang w:val="en-GB"/>
        </w:rPr>
        <w:t>Context – Why is change necessary?</w:t>
      </w:r>
    </w:p>
    <w:p w:rsidR="009F5E22" w:rsidP="4C179BF9" w:rsidRDefault="009F5E22" w14:paraId="0B601BA5" w14:textId="01383E08">
      <w:pPr>
        <w:spacing w:before="240" w:beforeAutospacing="off" w:after="240" w:afterAutospacing="off"/>
      </w:pPr>
      <w:r w:rsidRPr="4C179BF9" w:rsidR="5BFE941C">
        <w:rPr>
          <w:noProof w:val="0"/>
          <w:lang w:val="en-GB"/>
        </w:rPr>
        <w:t>Context considers the internal and external circumstances that create the need for organisational change. For Jaguar Land Rover, the external context includes increasing competition within the global automotive industry, environmental regulations, technological development, changing customer expectations and the transition towards electric vehicles. Economic uncertainty and changes within international markets can also influence JLR’s strategic decisions.</w:t>
      </w:r>
    </w:p>
    <w:p w:rsidR="009F5E22" w:rsidP="4C179BF9" w:rsidRDefault="009F5E22" w14:paraId="20A1B8BE" w14:textId="33876C6E">
      <w:pPr>
        <w:spacing w:before="240" w:beforeAutospacing="off" w:after="240" w:afterAutospacing="off"/>
      </w:pPr>
      <w:r w:rsidRPr="4C179BF9" w:rsidR="5BFE941C">
        <w:rPr>
          <w:noProof w:val="0"/>
          <w:lang w:val="en-GB"/>
        </w:rPr>
        <w:t>The internal context includes Jaguar Land Rover’s organisational culture, employees, financial resources, manufacturing capabilities, leadership and technological expertise. JLR must therefore consider whether its existing resources and capabilities are sufficient to achieve its future strategic objectives.</w:t>
      </w:r>
    </w:p>
    <w:p w:rsidR="009F5E22" w:rsidP="4C179BF9" w:rsidRDefault="009F5E22" w14:paraId="59AFF044" w14:textId="18C87D11">
      <w:pPr>
        <w:spacing w:before="240" w:beforeAutospacing="off" w:after="240" w:afterAutospacing="off"/>
      </w:pPr>
      <w:r w:rsidRPr="4C179BF9" w:rsidR="5BFE941C">
        <w:rPr>
          <w:noProof w:val="0"/>
          <w:lang w:val="en-GB"/>
        </w:rPr>
        <w:t>Content – What needs to change?</w:t>
      </w:r>
    </w:p>
    <w:p w:rsidR="009F5E22" w:rsidP="4C179BF9" w:rsidRDefault="009F5E22" w14:paraId="53326281" w14:textId="2C49C8A0">
      <w:pPr>
        <w:spacing w:before="240" w:beforeAutospacing="off" w:after="240" w:afterAutospacing="off"/>
      </w:pPr>
      <w:r w:rsidRPr="4C179BF9" w:rsidR="5BFE941C">
        <w:rPr>
          <w:noProof w:val="0"/>
          <w:lang w:val="en-GB"/>
        </w:rPr>
        <w:t>Content refers to the specific areas of the organisation that require transformation. At Jaguar Land Rover, the content of strategic change is strongly connected to the Reimagine strategy. This includes electrification, sustainable manufacturing, technological innovation and the repositioning of Jaguar as a distinctive luxury electric brand.</w:t>
      </w:r>
    </w:p>
    <w:p w:rsidR="009F5E22" w:rsidP="4C179BF9" w:rsidRDefault="009F5E22" w14:paraId="54F18F79" w14:textId="0D90A079">
      <w:pPr>
        <w:spacing w:before="240" w:beforeAutospacing="off" w:after="240" w:afterAutospacing="off"/>
      </w:pPr>
      <w:r w:rsidRPr="4C179BF9" w:rsidR="5BFE941C">
        <w:rPr>
          <w:noProof w:val="0"/>
          <w:lang w:val="en-GB"/>
        </w:rPr>
        <w:t>The transformation also involves JLR’s manufacturing infrastructure. The organisation has invested in preparing facilities for electric vehicle production, including significant investment at Halewood. Therefore, change affects not only JLR’s vehicles but also its manufacturing processes, technologies, employee capabilities and brand positioning.</w:t>
      </w:r>
    </w:p>
    <w:p w:rsidR="009F5E22" w:rsidP="4C179BF9" w:rsidRDefault="009F5E22" w14:paraId="35DAE830" w14:textId="0FA0BD7B">
      <w:pPr>
        <w:spacing w:before="240" w:beforeAutospacing="off" w:after="240" w:afterAutospacing="off"/>
      </w:pPr>
      <w:r w:rsidRPr="4C179BF9" w:rsidR="5BFE941C">
        <w:rPr>
          <w:noProof w:val="0"/>
          <w:lang w:val="en-GB"/>
        </w:rPr>
        <w:t>Process – How will the change be implemented?</w:t>
      </w:r>
    </w:p>
    <w:p w:rsidR="009F5E22" w:rsidP="4C179BF9" w:rsidRDefault="009F5E22" w14:paraId="28510BE0" w14:textId="642482E2">
      <w:pPr>
        <w:spacing w:before="240" w:beforeAutospacing="off" w:after="240" w:afterAutospacing="off"/>
      </w:pPr>
      <w:r w:rsidRPr="4C179BF9" w:rsidR="5BFE941C">
        <w:rPr>
          <w:noProof w:val="0"/>
          <w:lang w:val="en-GB"/>
        </w:rPr>
        <w:t>Process refers to how organisational change is introduced and managed over time. At Jaguar Land Rover, successful implementation requires effective leadership, stakeholder communication, employee involvement, investment, training and continuous performance monitoring.</w:t>
      </w:r>
    </w:p>
    <w:p w:rsidR="009F5E22" w:rsidP="4C179BF9" w:rsidRDefault="009F5E22" w14:paraId="0CD39271" w14:textId="0A8A6ABA">
      <w:pPr>
        <w:spacing w:before="240" w:beforeAutospacing="off" w:after="240" w:afterAutospacing="off"/>
      </w:pPr>
      <w:r w:rsidRPr="4C179BF9" w:rsidR="5BFE941C">
        <w:rPr>
          <w:noProof w:val="0"/>
          <w:lang w:val="en-GB"/>
        </w:rPr>
        <w:t>Senior managers should communicate the strategic vision clearly and explain how individual employees contribute to JLR’s transformation. Training and development are particularly important because employees require new skills to support electric vehicle production and advanced technologies. Progress should also be regularly evaluated so that management can respond to emerging challenges.</w:t>
      </w:r>
    </w:p>
    <w:p w:rsidR="009F5E22" w:rsidP="4C179BF9" w:rsidRDefault="009F5E22" w14:paraId="39738B8D" w14:textId="2241508E">
      <w:pPr>
        <w:spacing w:before="240" w:beforeAutospacing="off" w:after="240" w:afterAutospacing="off"/>
      </w:pPr>
      <w:r w:rsidRPr="4C179BF9" w:rsidR="5BFE941C">
        <w:rPr>
          <w:noProof w:val="0"/>
          <w:lang w:val="en-GB"/>
        </w:rPr>
        <w:t>Pettigrew’s model is useful for Jaguar Land Rover because it recognises that organisational transformation cannot be separated from the environment in which the company operates. It encourages management to consider the relationship between external pressures, internal organisational conditions and the implementation process.</w:t>
      </w:r>
    </w:p>
    <w:p w:rsidR="009F5E22" w:rsidP="4C179BF9" w:rsidRDefault="009F5E22" w14:paraId="16E0DFC3" w14:textId="7D4D33C5">
      <w:pPr>
        <w:spacing w:before="240" w:beforeAutospacing="off" w:after="240" w:afterAutospacing="off"/>
      </w:pPr>
      <w:r w:rsidRPr="4C179BF9" w:rsidR="5BFE941C">
        <w:rPr>
          <w:noProof w:val="0"/>
          <w:lang w:val="en-GB"/>
        </w:rPr>
        <w:t>However, the model is primarily an analytical framework rather than a detailed step-by-step implementation process. Consequently, while it provides a strong understanding of why, what and how change occurs, it provides managers with less specific guidance regarding the sequence of actions required to implement change. For a large-scale transformation such as JLR’s Reimagine strategy, this represents an important limitation.</w:t>
      </w:r>
    </w:p>
    <w:p w:rsidR="009F5E22" w:rsidP="4C179BF9" w:rsidRDefault="009F5E22" w14:paraId="7C3005A6" w14:textId="261969E8">
      <w:pPr>
        <w:spacing w:before="240" w:beforeAutospacing="off" w:after="240" w:afterAutospacing="off"/>
      </w:pPr>
      <w:r w:rsidRPr="4C179BF9" w:rsidR="5BFE941C">
        <w:rPr>
          <w:noProof w:val="0"/>
          <w:lang w:val="en-GB"/>
        </w:rPr>
        <w:t>3.4 Comparison of the Change Models</w:t>
      </w:r>
    </w:p>
    <w:p w:rsidR="009F5E22" w:rsidP="4C179BF9" w:rsidRDefault="009F5E22" w14:paraId="3A2B13D5" w14:textId="1D020EC9">
      <w:pPr>
        <w:spacing w:before="240" w:beforeAutospacing="off" w:after="240" w:afterAutospacing="off"/>
      </w:pPr>
      <w:r w:rsidRPr="4C179BF9" w:rsidR="5BFE941C">
        <w:rPr>
          <w:noProof w:val="0"/>
          <w:lang w:val="en-GB"/>
        </w:rPr>
        <w:t>Lewin’s, Kotter’s and Pettigrew’s models provide different approaches to understanding and managing strategic change.</w:t>
      </w:r>
    </w:p>
    <w:p w:rsidR="009F5E22" w:rsidP="4C179BF9" w:rsidRDefault="009F5E22" w14:paraId="36DB3925" w14:textId="161BB50A">
      <w:pPr>
        <w:spacing w:before="240" w:beforeAutospacing="off" w:after="240" w:afterAutospacing="off"/>
      </w:pPr>
      <w:r w:rsidRPr="4C179BF9" w:rsidR="5BFE941C">
        <w:rPr>
          <w:noProof w:val="0"/>
          <w:lang w:val="en-GB"/>
        </w:rPr>
        <w:t>Lewin’s Three-Step Model provides the simplest framework through the stages of unfreezing, changing and refreezing. Its main advantage is its clarity, making it relatively easy for managers and employees to understand. However, its simplicity can also be a disadvantage for Jaguar Land Rover because the company’s transformation is complex and continuous. The automotive environment is constantly changing, which makes the concept of permanently “refreezing” the organisation potentially difficult to achieve.</w:t>
      </w:r>
    </w:p>
    <w:p w:rsidR="009F5E22" w:rsidP="4C179BF9" w:rsidRDefault="009F5E22" w14:paraId="70F91B0B" w14:textId="0F953AC4">
      <w:pPr>
        <w:spacing w:before="240" w:beforeAutospacing="off" w:after="240" w:afterAutospacing="off"/>
      </w:pPr>
      <w:r w:rsidRPr="4C179BF9" w:rsidR="5BFE941C">
        <w:rPr>
          <w:noProof w:val="0"/>
          <w:lang w:val="en-GB"/>
        </w:rPr>
        <w:t>Kotter’s Eight-Step Model provides a more detailed implementation framework. It emphasises urgency, leadership, strategic vision, employee involvement, communication, short-term achievements and the integration of change into organisational culture. These factors are highly relevant to Jaguar Land Rover because its transformation requires cooperation across different departments, manufacturing facilities and stakeholder groups. A disadvantage is that eight stages can make the process time-consuming and potentially less flexible when rapid strategic decisions are required.</w:t>
      </w:r>
    </w:p>
    <w:p w:rsidR="009F5E22" w:rsidP="4C179BF9" w:rsidRDefault="009F5E22" w14:paraId="61A43302" w14:textId="007CCB4C">
      <w:pPr>
        <w:spacing w:before="240" w:beforeAutospacing="off" w:after="240" w:afterAutospacing="off"/>
      </w:pPr>
      <w:r w:rsidRPr="4C179BF9" w:rsidR="5BFE941C">
        <w:rPr>
          <w:noProof w:val="0"/>
          <w:lang w:val="en-GB"/>
        </w:rPr>
        <w:t>Pettigrew’s Model examines change through context, content and process. Its main strength is its recognition that organisational change is influenced by internal and external conditions and develops over time. This makes the model particularly valuable for understanding the complexity of Jaguar Land Rover’s transformation. However, Pettigrew provides less detailed practical guidance regarding the individual steps managers should follow when implementing change.</w:t>
      </w:r>
    </w:p>
    <w:p w:rsidR="009F5E22" w:rsidP="4C179BF9" w:rsidRDefault="009F5E22" w14:paraId="5D186429" w14:textId="3E2D1894">
      <w:pPr>
        <w:spacing w:before="240" w:beforeAutospacing="off" w:after="240" w:afterAutospacing="off"/>
      </w:pPr>
      <w:r w:rsidRPr="4C179BF9" w:rsidR="5BFE941C">
        <w:rPr>
          <w:noProof w:val="0"/>
          <w:lang w:val="en-GB"/>
        </w:rPr>
        <w:t>Overall, Lewin provides simplicity, Pettigrew provides contextual understanding, while Kotter provides a more comprehensive implementation framework. Considering the scale of transformation at Jaguar Land Rover, an approach that combines strategic direction, leadership, communication and employee engagement is particularly important.</w:t>
      </w:r>
    </w:p>
    <w:p w:rsidR="009F5E22" w:rsidP="4C179BF9" w:rsidRDefault="009F5E22" w14:paraId="7196B02D" w14:textId="17453BBB">
      <w:pPr>
        <w:spacing w:before="240" w:beforeAutospacing="off" w:after="240" w:afterAutospacing="off"/>
      </w:pPr>
      <w:r w:rsidRPr="4C179BF9" w:rsidR="5BFE941C">
        <w:rPr>
          <w:noProof w:val="0"/>
          <w:lang w:val="en-GB"/>
        </w:rPr>
        <w:t>3.5 Selection of the Most Suitable Model for Jaguar Land Rover</w:t>
      </w:r>
    </w:p>
    <w:p w:rsidR="009F5E22" w:rsidP="4C179BF9" w:rsidRDefault="009F5E22" w14:paraId="481A140B" w14:textId="7A5B1F12">
      <w:pPr>
        <w:spacing w:before="240" w:beforeAutospacing="off" w:after="240" w:afterAutospacing="off"/>
      </w:pPr>
      <w:r w:rsidRPr="4C179BF9" w:rsidR="5BFE941C">
        <w:rPr>
          <w:noProof w:val="0"/>
          <w:lang w:val="en-GB"/>
        </w:rPr>
        <w:t>Following the comparison of the three models, Kotter’s Eight-Step Change Model is considered the most suitable approach for Jaguar Land Rover.</w:t>
      </w:r>
    </w:p>
    <w:p w:rsidR="009F5E22" w:rsidP="4C179BF9" w:rsidRDefault="009F5E22" w14:paraId="5F6CFA3A" w14:textId="6E059DF2">
      <w:pPr>
        <w:spacing w:before="240" w:beforeAutospacing="off" w:after="240" w:afterAutospacing="off"/>
      </w:pPr>
      <w:r w:rsidRPr="4C179BF9" w:rsidR="5BFE941C">
        <w:rPr>
          <w:noProof w:val="0"/>
          <w:lang w:val="en-GB"/>
        </w:rPr>
        <w:t>JLR’s strategic transformation is extensive and involves changes to its products, manufacturing facilities, technologies, employee capabilities and organisational priorities. Under its Reimagine strategy, the company is transforming its UK manufacturing facilities for electric vehicle production and intends to offer electric versions across its brands by the end of the decade. JLR also has a long-term objective of achieving carbon net zero by 2039.</w:t>
      </w:r>
    </w:p>
    <w:p w:rsidR="009F5E22" w:rsidP="4C179BF9" w:rsidRDefault="009F5E22" w14:paraId="22AF5AD6" w14:textId="44B09489">
      <w:pPr>
        <w:spacing w:before="240" w:beforeAutospacing="off" w:after="240" w:afterAutospacing="off"/>
      </w:pPr>
      <w:r w:rsidRPr="4C179BF9" w:rsidR="5BFE941C">
        <w:rPr>
          <w:noProof w:val="0"/>
          <w:lang w:val="en-GB"/>
        </w:rPr>
        <w:t>Kotter’s model is particularly appropriate because it recognises that successful transformation requires more than technological investment. Jaguar Land Rover must create a sense of urgency, establish strong leadership, communicate a clear strategic vision and involve employees throughout the change process. These elements are essential when thousands of employees are required to develop new capabilities and adapt to new manufacturing technologies.</w:t>
      </w:r>
    </w:p>
    <w:p w:rsidR="009F5E22" w:rsidP="4C179BF9" w:rsidRDefault="009F5E22" w14:paraId="6D594057" w14:textId="50125CD1">
      <w:pPr>
        <w:spacing w:before="240" w:beforeAutospacing="off" w:after="240" w:afterAutospacing="off"/>
      </w:pPr>
      <w:r w:rsidRPr="4C179BF9" w:rsidR="5BFE941C">
        <w:rPr>
          <w:noProof w:val="0"/>
          <w:lang w:val="en-GB"/>
        </w:rPr>
        <w:t>Another important advantage is Kotter’s focus on generating short-term wins. Jaguar Land Rover’s transformation will take several years; therefore, recognising intermediate achievements can demonstrate progress and maintain employee and stakeholder confidence. Examples include the transformation of manufacturing facilities, development of electric vehicle capabilities and achievement of financial or sustainability objectives.</w:t>
      </w:r>
    </w:p>
    <w:p w:rsidR="009F5E22" w:rsidP="4C179BF9" w:rsidRDefault="009F5E22" w14:paraId="693E0881" w14:textId="12E6A7ED">
      <w:pPr>
        <w:spacing w:before="240" w:beforeAutospacing="off" w:after="240" w:afterAutospacing="off"/>
      </w:pPr>
      <w:r w:rsidRPr="4C179BF9" w:rsidR="5BFE941C">
        <w:rPr>
          <w:noProof w:val="0"/>
          <w:lang w:val="en-GB"/>
        </w:rPr>
        <w:t>Furthermore, the final stage of Kotter’s model focuses on embedding change within organisational culture. This is particularly relevant because electrification, innovation and sustainability need to become long-term characteristics of Jaguar Land Rover rather than temporary strategic projects.</w:t>
      </w:r>
    </w:p>
    <w:p w:rsidR="009F5E22" w:rsidP="4C179BF9" w:rsidRDefault="009F5E22" w14:paraId="4D8BC0D3" w14:textId="7E7EA2BE">
      <w:pPr>
        <w:spacing w:before="240" w:beforeAutospacing="off" w:after="240" w:afterAutospacing="off"/>
      </w:pPr>
      <w:r w:rsidRPr="4C179BF9" w:rsidR="5BFE941C">
        <w:rPr>
          <w:noProof w:val="0"/>
          <w:lang w:val="en-GB"/>
        </w:rPr>
        <w:t>Lewin’s model remains useful for explaining the broad stages of organisational transition, while Pettigrew’s model provides valuable understanding of the internal and external context surrounding JLR’s transformation. Nevertheless, Kotter provides the strongest practical framework for implementation because it combines leadership, employee engagement, communication, strategic vision and performance achievements.</w:t>
      </w:r>
    </w:p>
    <w:p w:rsidR="009F5E22" w:rsidP="4C179BF9" w:rsidRDefault="009F5E22" w14:paraId="7D8549CD" w14:textId="76869AA7">
      <w:pPr>
        <w:spacing w:before="240" w:beforeAutospacing="off" w:after="240" w:afterAutospacing="off"/>
      </w:pPr>
      <w:r w:rsidRPr="4C179BF9" w:rsidR="5BFE941C">
        <w:rPr>
          <w:noProof w:val="0"/>
          <w:lang w:val="en-GB"/>
        </w:rPr>
        <w:t>Therefore, as a Senior Strategic Manager at Jaguar Land Rover, I would adopt Kotter’s Eight-Step Change Model as the primary framework for managing the proposed strategic change. The model would provide a structured process for implementing transformation while maintaining employee engagement, stakeholder support and alignment with Jaguar Land Rover’s long-term Reimagine strategy</w:t>
      </w:r>
    </w:p>
    <w:p w:rsidR="009F5E22" w:rsidRDefault="009F5E22" w14:paraId="474BA838" w14:textId="3F3CFEFD">
      <w:pPr>
        <w:pStyle w:val="ListParagraph"/>
      </w:pPr>
    </w:p>
    <w:p w:rsidR="009F5E22" w:rsidRDefault="009F5E22" w14:paraId="3521F9D3" w14:textId="6C3EA699">
      <w:pPr>
        <w:pStyle w:val="ListParagraph"/>
      </w:pPr>
    </w:p>
    <w:p w:rsidR="009F5E22" w:rsidP="4C179BF9" w:rsidRDefault="009F5E22" w14:paraId="64BED1FF" w14:textId="03EB3197">
      <w:pPr>
        <w:pStyle w:val="ListParagraph"/>
        <w:numPr>
          <w:ilvl w:val="0"/>
          <w:numId w:val="16"/>
        </w:numPr>
        <w:spacing w:before="0" w:beforeAutospacing="off" w:after="0" w:afterAutospacing="off"/>
        <w:rPr>
          <w:noProof w:val="0"/>
          <w:lang w:val="en-GB"/>
        </w:rPr>
      </w:pPr>
      <w:r w:rsidRPr="4C179BF9" w:rsidR="5445A9F5">
        <w:rPr>
          <w:noProof w:val="0"/>
          <w:lang w:val="en-GB"/>
        </w:rPr>
        <w:t>Implementing Change at Jaguar Land Rover</w:t>
      </w:r>
    </w:p>
    <w:p w:rsidR="009F5E22" w:rsidP="4C179BF9" w:rsidRDefault="009F5E22" w14:paraId="70BBF90C" w14:textId="58FB3446">
      <w:pPr>
        <w:spacing w:before="240" w:beforeAutospacing="off" w:after="240" w:afterAutospacing="off"/>
      </w:pPr>
      <w:r w:rsidRPr="4C179BF9" w:rsidR="5445A9F5">
        <w:rPr>
          <w:noProof w:val="0"/>
          <w:lang w:val="en-GB"/>
        </w:rPr>
        <w:t>Successful strategic change requires more than identifying the need for transformation. Jaguar Land Rover (JLR) must convert its strategic objectives into practical actions while maintaining employee engagement, stakeholder support and operational performance. The proposed change focuses on accelerating electrification and transforming manufacturing capabilities in support of JLR’s Reimagine strategy.</w:t>
      </w:r>
    </w:p>
    <w:p w:rsidR="009F5E22" w:rsidP="4C179BF9" w:rsidRDefault="009F5E22" w14:paraId="0828F90C" w14:textId="204788FB">
      <w:pPr>
        <w:spacing w:before="240" w:beforeAutospacing="off" w:after="240" w:afterAutospacing="off"/>
      </w:pPr>
      <w:r w:rsidRPr="4C179BF9" w:rsidR="5445A9F5">
        <w:rPr>
          <w:noProof w:val="0"/>
          <w:lang w:val="en-GB"/>
        </w:rPr>
        <w:t>Kotter’s Eight-Step Change Model will provide the primary framework for implementation because it offers a structured approach that incorporates leadership, communication, employee involvement and the long-term integration of change into organisational culture.</w:t>
      </w:r>
    </w:p>
    <w:p w:rsidR="009F5E22" w:rsidP="4C179BF9" w:rsidRDefault="009F5E22" w14:paraId="2712CA13" w14:textId="07EDC966">
      <w:pPr>
        <w:spacing w:before="240" w:beforeAutospacing="off" w:after="240" w:afterAutospacing="off"/>
      </w:pPr>
      <w:r w:rsidRPr="4C179BF9" w:rsidR="5445A9F5">
        <w:rPr>
          <w:noProof w:val="0"/>
          <w:lang w:val="en-GB"/>
        </w:rPr>
        <w:t>4.1 Proposed Strategic Change</w:t>
      </w:r>
    </w:p>
    <w:p w:rsidR="009F5E22" w:rsidP="4C179BF9" w:rsidRDefault="009F5E22" w14:paraId="5144DE55" w14:textId="0C063146">
      <w:pPr>
        <w:spacing w:before="240" w:beforeAutospacing="off" w:after="240" w:afterAutospacing="off"/>
      </w:pPr>
      <w:r w:rsidRPr="4C179BF9" w:rsidR="5445A9F5">
        <w:rPr>
          <w:noProof w:val="0"/>
          <w:lang w:val="en-GB"/>
        </w:rPr>
        <w:t>The proposed strategic change is the continued transition towards electrified vehicles and the transformation of Jaguar Land Rover’s manufacturing operations and workforce capabilities.</w:t>
      </w:r>
    </w:p>
    <w:p w:rsidR="009F5E22" w:rsidP="4C179BF9" w:rsidRDefault="009F5E22" w14:paraId="13643D7B" w14:textId="0393ECE0">
      <w:pPr>
        <w:spacing w:before="240" w:beforeAutospacing="off" w:after="240" w:afterAutospacing="off"/>
      </w:pPr>
      <w:r w:rsidRPr="4C179BF9" w:rsidR="5445A9F5">
        <w:rPr>
          <w:noProof w:val="0"/>
          <w:lang w:val="en-GB"/>
        </w:rPr>
        <w:t>Electrification represents a major organisational transformation because it affects vehicle development, manufacturing processes, supply chains, technology, employee skills, investment decisions and customer expectations. JLR’s Reimagine strategy places electrification at the centre of its transformation while also focusing on modern luxury, sustainability and technological innovation (JLR, 2025).</w:t>
      </w:r>
    </w:p>
    <w:p w:rsidR="009F5E22" w:rsidP="4C179BF9" w:rsidRDefault="009F5E22" w14:paraId="733707EA" w14:textId="7FFC2880">
      <w:pPr>
        <w:spacing w:before="240" w:beforeAutospacing="off" w:after="240" w:afterAutospacing="off"/>
      </w:pPr>
      <w:r w:rsidRPr="4C179BF9" w:rsidR="5445A9F5">
        <w:rPr>
          <w:noProof w:val="0"/>
          <w:lang w:val="en-GB"/>
        </w:rPr>
        <w:t>An important example is JLR’s Halewood manufacturing facility. The company announced a £500 million investment to transform the plant for the production of electric vehicles alongside existing combustion and hybrid models. The transformation includes new production lines, digital technologies, autonomous robots and infrastructure required for next-generation electric vehicles (JLR, 2024).</w:t>
      </w:r>
    </w:p>
    <w:p w:rsidR="009F5E22" w:rsidP="4C179BF9" w:rsidRDefault="009F5E22" w14:paraId="1C059BF3" w14:textId="6D693D5C">
      <w:pPr>
        <w:spacing w:before="240" w:beforeAutospacing="off" w:after="240" w:afterAutospacing="off"/>
      </w:pPr>
      <w:r w:rsidRPr="4C179BF9" w:rsidR="5445A9F5">
        <w:rPr>
          <w:noProof w:val="0"/>
          <w:lang w:val="en-GB"/>
        </w:rPr>
        <w:t>The strategic change should therefore extend beyond simply introducing new electric vehicles. Jaguar Land Rover must develop the necessary employee capabilities, technological infrastructure and organisational culture to support long-term transformation.</w:t>
      </w:r>
    </w:p>
    <w:p w:rsidR="009F5E22" w:rsidP="4C179BF9" w:rsidRDefault="009F5E22" w14:paraId="1126D47A" w14:textId="48310C32">
      <w:pPr>
        <w:spacing w:before="240" w:beforeAutospacing="off" w:after="240" w:afterAutospacing="off"/>
      </w:pPr>
      <w:r w:rsidRPr="4C179BF9" w:rsidR="5445A9F5">
        <w:rPr>
          <w:noProof w:val="0"/>
          <w:lang w:val="en-GB"/>
        </w:rPr>
        <w:t>From the perspective of a Senior Strategic Manager, the overall objective would be to ensure that electrification strengthens JLR’s competitiveness while maintaining its reputation for quality and modern luxury. The transformation should also contribute towards JLR’s long-term environmental ambitions and its objective of achieving carbon net zero across its supply chain, products and operations by 2039.</w:t>
      </w:r>
    </w:p>
    <w:p w:rsidR="009F5E22" w:rsidP="4C179BF9" w:rsidRDefault="009F5E22" w14:paraId="1F135530" w14:textId="537529CE">
      <w:pPr>
        <w:spacing w:before="240" w:beforeAutospacing="off" w:after="240" w:afterAutospacing="off"/>
      </w:pPr>
      <w:r w:rsidRPr="4C179BF9" w:rsidR="5445A9F5">
        <w:rPr>
          <w:noProof w:val="0"/>
          <w:lang w:val="en-GB"/>
        </w:rPr>
        <w:t>4.2 Implementation Process</w:t>
      </w:r>
    </w:p>
    <w:p w:rsidR="009F5E22" w:rsidP="4C179BF9" w:rsidRDefault="009F5E22" w14:paraId="71D0C578" w14:textId="04B0A9D0">
      <w:pPr>
        <w:spacing w:before="240" w:beforeAutospacing="off" w:after="240" w:afterAutospacing="off"/>
      </w:pPr>
      <w:r w:rsidRPr="4C179BF9" w:rsidR="5445A9F5">
        <w:rPr>
          <w:noProof w:val="0"/>
          <w:lang w:val="en-GB"/>
        </w:rPr>
        <w:t>The implementation process would follow the principles of Kotter’s Eight-Step Change Model.</w:t>
      </w:r>
    </w:p>
    <w:p w:rsidR="009F5E22" w:rsidP="4C179BF9" w:rsidRDefault="009F5E22" w14:paraId="0E9D7061" w14:textId="5F52391B">
      <w:pPr>
        <w:spacing w:before="240" w:beforeAutospacing="off" w:after="240" w:afterAutospacing="off"/>
      </w:pPr>
      <w:r w:rsidRPr="4C179BF9" w:rsidR="5445A9F5">
        <w:rPr>
          <w:noProof w:val="0"/>
          <w:lang w:val="en-GB"/>
        </w:rPr>
        <w:t>Initially, senior management should establish a clear sense of urgency by communicating the technological, environmental and competitive pressures influencing the automotive industry. Employees should understand that electrification is not simply a short-term project but a fundamental change affecting the future direction of Jaguar Land Rover.</w:t>
      </w:r>
    </w:p>
    <w:p w:rsidR="009F5E22" w:rsidP="4C179BF9" w:rsidRDefault="009F5E22" w14:paraId="70E25342" w14:textId="4DF1DA32">
      <w:pPr>
        <w:spacing w:before="240" w:beforeAutospacing="off" w:after="240" w:afterAutospacing="off"/>
      </w:pPr>
      <w:r w:rsidRPr="4C179BF9" w:rsidR="5445A9F5">
        <w:rPr>
          <w:noProof w:val="0"/>
          <w:lang w:val="en-GB"/>
        </w:rPr>
        <w:t>A guiding coalition should then be established involving senior managers, engineering specialists, manufacturing managers, HR representatives and employees with relevant expertise. This group would be responsible for coordinating implementation and ensuring that different departments remain aligned with JLR’s strategic objectives.</w:t>
      </w:r>
    </w:p>
    <w:p w:rsidR="009F5E22" w:rsidP="4C179BF9" w:rsidRDefault="009F5E22" w14:paraId="739EA6B7" w14:textId="0B5264FD">
      <w:pPr>
        <w:spacing w:before="240" w:beforeAutospacing="off" w:after="240" w:afterAutospacing="off"/>
      </w:pPr>
      <w:r w:rsidRPr="4C179BF9" w:rsidR="5445A9F5">
        <w:rPr>
          <w:noProof w:val="0"/>
          <w:lang w:val="en-GB"/>
        </w:rPr>
        <w:t>A clear strategic vision should be communicated across the organisation. Employees should understand how electrification, manufacturing transformation and sustainability contribute to the Reimagine strategy.</w:t>
      </w:r>
    </w:p>
    <w:p w:rsidR="009F5E22" w:rsidP="4C179BF9" w:rsidRDefault="009F5E22" w14:paraId="07519CFB" w14:textId="31652851">
      <w:pPr>
        <w:spacing w:before="240" w:beforeAutospacing="off" w:after="240" w:afterAutospacing="off"/>
      </w:pPr>
      <w:r w:rsidRPr="4C179BF9" w:rsidR="5445A9F5">
        <w:rPr>
          <w:noProof w:val="0"/>
          <w:lang w:val="en-GB"/>
        </w:rPr>
        <w:t>Implementation should then focus on practical changes, including upgrading manufacturing facilities, introducing new technologies and developing employee capabilities. JLR’s Future Skills Programme demonstrates the importance of workforce development. The programme was established to train thousands of employees in areas including electrification, digital technologies and autonomous vehicles (JLR, 2022).</w:t>
      </w:r>
    </w:p>
    <w:p w:rsidR="009F5E22" w:rsidP="4C179BF9" w:rsidRDefault="009F5E22" w14:paraId="349F8C6C" w14:textId="39270D6C">
      <w:pPr>
        <w:spacing w:before="240" w:beforeAutospacing="off" w:after="240" w:afterAutospacing="off"/>
      </w:pPr>
      <w:r w:rsidRPr="4C179BF9" w:rsidR="5445A9F5">
        <w:rPr>
          <w:noProof w:val="0"/>
          <w:lang w:val="en-GB"/>
        </w:rPr>
        <w:t>Progress should be monitored through measurable milestones such as employee training completion, manufacturing readiness, product development targets, quality performance and sustainability indicators. Successful milestones should be communicated throughout the organisation as short-term achievements to maintain motivation and confidence.</w:t>
      </w:r>
    </w:p>
    <w:p w:rsidR="009F5E22" w:rsidP="4C179BF9" w:rsidRDefault="009F5E22" w14:paraId="6A86F8C3" w14:textId="3B29BB6F">
      <w:pPr>
        <w:spacing w:before="240" w:beforeAutospacing="off" w:after="240" w:afterAutospacing="off"/>
      </w:pPr>
      <w:r w:rsidRPr="4C179BF9" w:rsidR="5445A9F5">
        <w:rPr>
          <w:noProof w:val="0"/>
          <w:lang w:val="en-GB"/>
        </w:rPr>
        <w:t>Finally, new technologies, capabilities and sustainable working practices should become embedded within normal JLR operations. Continuous monitoring would allow management to identify problems and make adjustments as market conditions and technologies evolve.</w:t>
      </w:r>
    </w:p>
    <w:p w:rsidR="009F5E22" w:rsidP="4C179BF9" w:rsidRDefault="009F5E22" w14:paraId="52DAF5CC" w14:textId="1727B51F">
      <w:pPr>
        <w:spacing w:before="240" w:beforeAutospacing="off" w:after="240" w:afterAutospacing="off"/>
      </w:pPr>
      <w:r w:rsidRPr="4C179BF9" w:rsidR="5445A9F5">
        <w:rPr>
          <w:noProof w:val="0"/>
          <w:lang w:val="en-GB"/>
        </w:rPr>
        <w:t>4.3 Role of Leadership</w:t>
      </w:r>
    </w:p>
    <w:p w:rsidR="009F5E22" w:rsidP="4C179BF9" w:rsidRDefault="009F5E22" w14:paraId="7C100798" w14:textId="75356A1A">
      <w:pPr>
        <w:spacing w:before="240" w:beforeAutospacing="off" w:after="240" w:afterAutospacing="off"/>
      </w:pPr>
      <w:r w:rsidRPr="4C179BF9" w:rsidR="5445A9F5">
        <w:rPr>
          <w:noProof w:val="0"/>
          <w:lang w:val="en-GB"/>
        </w:rPr>
        <w:t>Leadership is essential to the successful implementation of strategic change at Jaguar Land Rover. Senior managers must provide direction while ensuring that employees understand and support the transformation.</w:t>
      </w:r>
    </w:p>
    <w:p w:rsidR="009F5E22" w:rsidP="4C179BF9" w:rsidRDefault="009F5E22" w14:paraId="457B7022" w14:textId="6AAB44B3">
      <w:pPr>
        <w:spacing w:before="240" w:beforeAutospacing="off" w:after="240" w:afterAutospacing="off"/>
      </w:pPr>
      <w:r w:rsidRPr="4C179BF9" w:rsidR="5445A9F5">
        <w:rPr>
          <w:noProof w:val="0"/>
          <w:lang w:val="en-GB"/>
        </w:rPr>
        <w:t>A transformational leadership style would be particularly appropriate. Transformational leaders communicate a compelling vision, encourage innovation and motivate employees to contribute towards organisational objectives. At JLR, leaders should explain how electrification contributes to the company’s long-term competitiveness and sustainability.</w:t>
      </w:r>
    </w:p>
    <w:p w:rsidR="009F5E22" w:rsidP="4C179BF9" w:rsidRDefault="009F5E22" w14:paraId="25CE02FA" w14:textId="4ED91A5E">
      <w:pPr>
        <w:spacing w:before="240" w:beforeAutospacing="off" w:after="240" w:afterAutospacing="off"/>
      </w:pPr>
      <w:r w:rsidRPr="4C179BF9" w:rsidR="5445A9F5">
        <w:rPr>
          <w:noProof w:val="0"/>
          <w:lang w:val="en-GB"/>
        </w:rPr>
        <w:t>However, leadership should also incorporate participative elements. Employees working within engineering, manufacturing and other operational areas possess valuable knowledge that can contribute to successful implementation. Providing opportunities for employees to communicate concerns and suggest improvements can strengthen engagement and reduce resistance.</w:t>
      </w:r>
    </w:p>
    <w:p w:rsidR="009F5E22" w:rsidP="4C179BF9" w:rsidRDefault="009F5E22" w14:paraId="4E6BE6B0" w14:textId="64B50714">
      <w:pPr>
        <w:spacing w:before="240" w:beforeAutospacing="off" w:after="240" w:afterAutospacing="off"/>
      </w:pPr>
      <w:r w:rsidRPr="4C179BF9" w:rsidR="5445A9F5">
        <w:rPr>
          <w:noProof w:val="0"/>
          <w:lang w:val="en-GB"/>
        </w:rPr>
        <w:t>Leadership should therefore combine clear strategic direction with employee participation. Managers must also demonstrate commitment to the transformation through their own decisions and behaviours. This would strengthen trust and reinforce the importance of the change throughout Jaguar Land Rover.</w:t>
      </w:r>
    </w:p>
    <w:p w:rsidR="009F5E22" w:rsidP="4C179BF9" w:rsidRDefault="009F5E22" w14:paraId="0FF8FDD4" w14:textId="183EE8E3">
      <w:pPr>
        <w:spacing w:before="240" w:beforeAutospacing="off" w:after="240" w:afterAutospacing="off"/>
      </w:pPr>
      <w:r w:rsidRPr="4C179BF9" w:rsidR="5445A9F5">
        <w:rPr>
          <w:noProof w:val="0"/>
          <w:lang w:val="en-GB"/>
        </w:rPr>
        <w:t>4.4 Communication with Stakeholders</w:t>
      </w:r>
    </w:p>
    <w:p w:rsidR="009F5E22" w:rsidP="4C179BF9" w:rsidRDefault="009F5E22" w14:paraId="061B461A" w14:textId="5F533B8F">
      <w:pPr>
        <w:spacing w:before="240" w:beforeAutospacing="off" w:after="240" w:afterAutospacing="off"/>
      </w:pPr>
      <w:r w:rsidRPr="4C179BF9" w:rsidR="5445A9F5">
        <w:rPr>
          <w:noProof w:val="0"/>
          <w:lang w:val="en-GB"/>
        </w:rPr>
        <w:t>Effective communication is necessary because strategic transformation affects numerous internal and external stakeholders.</w:t>
      </w:r>
    </w:p>
    <w:p w:rsidR="009F5E22" w:rsidP="4C179BF9" w:rsidRDefault="009F5E22" w14:paraId="3121952F" w14:textId="33790EC8">
      <w:pPr>
        <w:spacing w:before="240" w:beforeAutospacing="off" w:after="240" w:afterAutospacing="off"/>
      </w:pPr>
      <w:r w:rsidRPr="4C179BF9" w:rsidR="5445A9F5">
        <w:rPr>
          <w:noProof w:val="0"/>
          <w:lang w:val="en-GB"/>
        </w:rPr>
        <w:t>Employees should receive regular information regarding the reasons for change, implementation progress, training opportunities and how their individual roles may be affected. Communication can take place through management meetings, team briefings, internal digital platforms, training sessions and employee feedback mechanisms.</w:t>
      </w:r>
    </w:p>
    <w:p w:rsidR="009F5E22" w:rsidP="4C179BF9" w:rsidRDefault="009F5E22" w14:paraId="19014195" w14:textId="456FD684">
      <w:pPr>
        <w:spacing w:before="240" w:beforeAutospacing="off" w:after="240" w:afterAutospacing="off"/>
      </w:pPr>
      <w:r w:rsidRPr="4C179BF9" w:rsidR="5445A9F5">
        <w:rPr>
          <w:noProof w:val="0"/>
          <w:lang w:val="en-GB"/>
        </w:rPr>
        <w:t>Senior management and JLR’s owners require detailed information regarding financial performance, investment requirements, implementation progress and strategic risks. Suppliers should receive appropriate information regarding future technology and production requirements because the transition towards electrification creates new requirements for batteries, electronic components and other technologies.</w:t>
      </w:r>
    </w:p>
    <w:p w:rsidR="009F5E22" w:rsidP="4C179BF9" w:rsidRDefault="009F5E22" w14:paraId="4F7F78A6" w14:textId="0B87E2FF">
      <w:pPr>
        <w:spacing w:before="240" w:beforeAutospacing="off" w:after="240" w:afterAutospacing="off"/>
      </w:pPr>
      <w:r w:rsidRPr="4C179BF9" w:rsidR="5445A9F5">
        <w:rPr>
          <w:noProof w:val="0"/>
          <w:lang w:val="en-GB"/>
        </w:rPr>
        <w:t>Customers should be informed about new vehicles, technological developments and the benefits of JLR’s electrification strategy through appropriate marketing and customer communication channels. Government bodies and regulators should also be engaged where necessary to demonstrate compliance with environmental, safety and manufacturing requirements.</w:t>
      </w:r>
    </w:p>
    <w:p w:rsidR="009F5E22" w:rsidP="4C179BF9" w:rsidRDefault="009F5E22" w14:paraId="5A57ED68" w14:textId="277B8A8A">
      <w:pPr>
        <w:spacing w:before="240" w:beforeAutospacing="off" w:after="240" w:afterAutospacing="off"/>
      </w:pPr>
      <w:r w:rsidRPr="4C179BF9" w:rsidR="5445A9F5">
        <w:rPr>
          <w:noProof w:val="0"/>
          <w:lang w:val="en-GB"/>
        </w:rPr>
        <w:t>Communication should therefore be tailored according to stakeholder power, interest and information requirements, consistent with the stakeholder analysis and Mendelow’s Matrix presented earlier in this report.</w:t>
      </w:r>
    </w:p>
    <w:p w:rsidR="009F5E22" w:rsidP="4C179BF9" w:rsidRDefault="009F5E22" w14:paraId="35AB8909" w14:textId="51E8E6D8">
      <w:pPr>
        <w:spacing w:before="240" w:beforeAutospacing="off" w:after="240" w:afterAutospacing="off"/>
      </w:pPr>
      <w:r w:rsidRPr="4C179BF9" w:rsidR="5445A9F5">
        <w:rPr>
          <w:noProof w:val="0"/>
          <w:lang w:val="en-GB"/>
        </w:rPr>
        <w:t>4.5 Employee Involvement and Resistance to Change</w:t>
      </w:r>
    </w:p>
    <w:p w:rsidR="009F5E22" w:rsidP="4C179BF9" w:rsidRDefault="009F5E22" w14:paraId="7046BFCE" w14:textId="0911F1CF">
      <w:pPr>
        <w:spacing w:before="240" w:beforeAutospacing="off" w:after="240" w:afterAutospacing="off"/>
      </w:pPr>
      <w:r w:rsidRPr="4C179BF9" w:rsidR="5445A9F5">
        <w:rPr>
          <w:noProof w:val="0"/>
          <w:lang w:val="en-GB"/>
        </w:rPr>
        <w:t>Employee resistance represents a potential challenge during strategic transformation. Employees may be concerned about job security, unfamiliar technologies, changing responsibilities or whether they possess the skills required for future roles.</w:t>
      </w:r>
    </w:p>
    <w:p w:rsidR="009F5E22" w:rsidP="4C179BF9" w:rsidRDefault="009F5E22" w14:paraId="2614390B" w14:textId="1391F5F5">
      <w:pPr>
        <w:spacing w:before="240" w:beforeAutospacing="off" w:after="240" w:afterAutospacing="off"/>
      </w:pPr>
      <w:r w:rsidRPr="4C179BF9" w:rsidR="5445A9F5">
        <w:rPr>
          <w:noProof w:val="0"/>
          <w:lang w:val="en-GB"/>
        </w:rPr>
        <w:t>Jaguar Land Rover should manage resistance through early communication, employee involvement and comprehensive training. Employees should understand why change is required and what opportunities the transformation may provide for their professional development.</w:t>
      </w:r>
    </w:p>
    <w:p w:rsidR="009F5E22" w:rsidP="4C179BF9" w:rsidRDefault="009F5E22" w14:paraId="2FF06266" w14:textId="56280893">
      <w:pPr>
        <w:spacing w:before="240" w:beforeAutospacing="off" w:after="240" w:afterAutospacing="off"/>
      </w:pPr>
      <w:r w:rsidRPr="4C179BF9" w:rsidR="5445A9F5">
        <w:rPr>
          <w:noProof w:val="0"/>
          <w:lang w:val="en-GB"/>
        </w:rPr>
        <w:t>Training is particularly important. JLR launched its Future Skills Programme with the intention of training 29,000 people in skills associated with electrification, digital technologies and autonomous vehicles (JLR, 2022). Such investment can reduce skills-related resistance because employees are provided with opportunities to develop capabilities relevant to the future automotive industry.</w:t>
      </w:r>
    </w:p>
    <w:p w:rsidR="009F5E22" w:rsidP="4C179BF9" w:rsidRDefault="009F5E22" w14:paraId="71306254" w14:textId="42E82E6D">
      <w:pPr>
        <w:spacing w:before="240" w:beforeAutospacing="off" w:after="240" w:afterAutospacing="off"/>
      </w:pPr>
      <w:r w:rsidRPr="4C179BF9" w:rsidR="5445A9F5">
        <w:rPr>
          <w:noProof w:val="0"/>
          <w:lang w:val="en-GB"/>
        </w:rPr>
        <w:t>Employees should also be encouraged to contribute ideas regarding new working practices and manufacturing processes. Participation can create a sense of ownership and demonstrate that employees are active contributors to the transformation rather than simply recipients of management decisions.</w:t>
      </w:r>
    </w:p>
    <w:p w:rsidR="009F5E22" w:rsidP="4C179BF9" w:rsidRDefault="009F5E22" w14:paraId="509B7458" w14:textId="463F875F">
      <w:pPr>
        <w:spacing w:before="240" w:beforeAutospacing="off" w:after="240" w:afterAutospacing="off"/>
      </w:pPr>
      <w:r w:rsidRPr="4C179BF9" w:rsidR="5445A9F5">
        <w:rPr>
          <w:noProof w:val="0"/>
          <w:lang w:val="en-GB"/>
        </w:rPr>
        <w:t>Managers should monitor employee feedback, motivation, absenteeism, training completion and retention throughout implementation. These indicators can help identify areas where additional support may be necessary.</w:t>
      </w:r>
    </w:p>
    <w:p w:rsidR="009F5E22" w:rsidP="4C179BF9" w:rsidRDefault="009F5E22" w14:paraId="423F3808" w14:textId="53100E27">
      <w:pPr>
        <w:spacing w:before="240" w:beforeAutospacing="off" w:after="240" w:afterAutospacing="off"/>
      </w:pPr>
      <w:r w:rsidRPr="4C179BF9" w:rsidR="5445A9F5">
        <w:rPr>
          <w:noProof w:val="0"/>
          <w:lang w:val="en-GB"/>
        </w:rPr>
        <w:t>4.6 Impact of Organisational Culture</w:t>
      </w:r>
    </w:p>
    <w:p w:rsidR="009F5E22" w:rsidP="4C179BF9" w:rsidRDefault="009F5E22" w14:paraId="6F412564" w14:textId="59EC7342">
      <w:pPr>
        <w:spacing w:before="240" w:beforeAutospacing="off" w:after="240" w:afterAutospacing="off"/>
      </w:pPr>
      <w:r w:rsidRPr="4C179BF9" w:rsidR="5445A9F5">
        <w:rPr>
          <w:noProof w:val="0"/>
          <w:lang w:val="en-GB"/>
        </w:rPr>
        <w:t>Organisational culture can significantly influence whether strategic change becomes successfully embedded within Jaguar Land Rover. A culture that encourages innovation, learning, collaboration and adaptability would support the transition towards electrification and digital manufacturing.</w:t>
      </w:r>
    </w:p>
    <w:p w:rsidR="009F5E22" w:rsidP="4C179BF9" w:rsidRDefault="009F5E22" w14:paraId="6064C19C" w14:textId="6752383A">
      <w:pPr>
        <w:spacing w:before="240" w:beforeAutospacing="off" w:after="240" w:afterAutospacing="off"/>
      </w:pPr>
      <w:r w:rsidRPr="4C179BF9" w:rsidR="5445A9F5">
        <w:rPr>
          <w:noProof w:val="0"/>
          <w:lang w:val="en-GB"/>
        </w:rPr>
        <w:t>However, transformation from established automotive technologies towards new electric and digital systems may challenge existing working practices and professional identities. Management must therefore create an environment in which employees are willing to learn new skills, experiment with technologies and collaborate across organisational functions.</w:t>
      </w:r>
    </w:p>
    <w:p w:rsidR="009F5E22" w:rsidP="4C179BF9" w:rsidRDefault="009F5E22" w14:paraId="2CA600A4" w14:textId="2E16A06A">
      <w:pPr>
        <w:spacing w:before="240" w:beforeAutospacing="off" w:after="240" w:afterAutospacing="off"/>
      </w:pPr>
      <w:r w:rsidRPr="4C179BF9" w:rsidR="5445A9F5">
        <w:rPr>
          <w:noProof w:val="0"/>
          <w:lang w:val="en-GB"/>
        </w:rPr>
        <w:t>Leadership behaviour is particularly important in shaping this culture. Senior managers should demonstrate openness to innovation, recognise employee contributions and encourage continuous learning. Recruitment, training, performance management and reward systems should also support the behaviours required by the new strategic direction.</w:t>
      </w:r>
    </w:p>
    <w:p w:rsidR="009F5E22" w:rsidP="4C179BF9" w:rsidRDefault="009F5E22" w14:paraId="52EFF2A1" w14:textId="30749616">
      <w:pPr>
        <w:spacing w:before="240" w:beforeAutospacing="off" w:after="240" w:afterAutospacing="off"/>
      </w:pPr>
      <w:r w:rsidRPr="4C179BF9" w:rsidR="5445A9F5">
        <w:rPr>
          <w:noProof w:val="0"/>
          <w:lang w:val="en-GB"/>
        </w:rPr>
        <w:t>JLR itself recognises that its electrification transformation extends beyond vehicles and includes cultural change and continuous training. Therefore, creating an adaptable organisational culture will be essential for sustaining strategic transformation over the long term.</w:t>
      </w:r>
    </w:p>
    <w:p w:rsidR="009F5E22" w:rsidP="4C179BF9" w:rsidRDefault="009F5E22" w14:paraId="4043D400" w14:textId="1011A347">
      <w:pPr>
        <w:spacing w:before="240" w:beforeAutospacing="off" w:after="240" w:afterAutospacing="off"/>
      </w:pPr>
      <w:r w:rsidRPr="4C179BF9" w:rsidR="5445A9F5">
        <w:rPr>
          <w:noProof w:val="0"/>
          <w:lang w:val="en-GB"/>
        </w:rPr>
        <w:t>Ultimately, Jaguar Land Rover should develop a culture in which innovation, sustainability, technological development and continuous improvement are embedded within everyday organisational behaviour. This would support the final stage of Kotter’s model by ensuring that strategic change becomes an established part of the organisation rather than a temporary initiative.</w:t>
      </w:r>
    </w:p>
    <w:p w:rsidR="009F5E22" w:rsidRDefault="009F5E22" w14:paraId="420D6EBC" w14:textId="7E400B60">
      <w:pPr>
        <w:pStyle w:val="ListParagraph"/>
      </w:pPr>
    </w:p>
    <w:p w:rsidR="45F0E220" w:rsidP="4C179BF9" w:rsidRDefault="45F0E220" w14:paraId="2A497A19" w14:textId="680DB7E0">
      <w:pPr>
        <w:pStyle w:val="ListParagraph"/>
        <w:numPr>
          <w:ilvl w:val="0"/>
          <w:numId w:val="17"/>
        </w:numPr>
        <w:spacing w:before="0" w:beforeAutospacing="off" w:after="0" w:afterAutospacing="off"/>
        <w:rPr>
          <w:noProof w:val="0"/>
          <w:lang w:val="en-GB"/>
        </w:rPr>
      </w:pPr>
      <w:r w:rsidRPr="4C179BF9" w:rsidR="45F0E220">
        <w:rPr>
          <w:noProof w:val="0"/>
          <w:lang w:val="en-GB"/>
        </w:rPr>
        <w:t>Strategic Change Management Plan</w:t>
      </w:r>
    </w:p>
    <w:p w:rsidR="45F0E220" w:rsidP="4C179BF9" w:rsidRDefault="45F0E220" w14:paraId="3B59C330" w14:textId="20EB31EC">
      <w:pPr>
        <w:spacing w:before="240" w:beforeAutospacing="off" w:after="240" w:afterAutospacing="off"/>
      </w:pPr>
      <w:r w:rsidRPr="4C179BF9" w:rsidR="45F0E220">
        <w:rPr>
          <w:noProof w:val="0"/>
          <w:lang w:val="en-GB"/>
        </w:rPr>
        <w:t>A Strategic Change Management Plan is required to translate Jaguar Land Rover’s (JLR) strategic vision into measurable actions. The proposed plan supports the organisation’s transition towards electrification, advanced manufacturing and sustainable operations while ensuring that employees and other key stakeholders remain engaged throughout the transformation.</w:t>
      </w:r>
    </w:p>
    <w:p w:rsidR="45F0E220" w:rsidP="4C179BF9" w:rsidRDefault="45F0E220" w14:paraId="0B54365E" w14:textId="1DD42879">
      <w:pPr>
        <w:spacing w:before="240" w:beforeAutospacing="off" w:after="240" w:afterAutospacing="off"/>
      </w:pPr>
      <w:r w:rsidRPr="4C179BF9" w:rsidR="45F0E220">
        <w:rPr>
          <w:noProof w:val="0"/>
          <w:lang w:val="en-GB"/>
        </w:rPr>
        <w:t>The plan incorporates strategic objectives, financial requirements, communication, implementation activities and evaluation mechanisms. Kotter’s Eight-Step Change Model provides the main framework because it emphasises leadership, employee engagement, communication and the long-term integration of change.</w:t>
      </w:r>
    </w:p>
    <w:p w:rsidR="45F0E220" w:rsidP="4C179BF9" w:rsidRDefault="45F0E220" w14:paraId="07AF2599" w14:textId="4B1722E4">
      <w:pPr>
        <w:spacing w:before="240" w:beforeAutospacing="off" w:after="240" w:afterAutospacing="off"/>
      </w:pPr>
      <w:r w:rsidRPr="4C179BF9" w:rsidR="45F0E220">
        <w:rPr>
          <w:noProof w:val="0"/>
          <w:lang w:val="en-GB"/>
        </w:rPr>
        <w:t>5.1 Strategic Objectives</w:t>
      </w:r>
    </w:p>
    <w:p w:rsidR="45F0E220" w:rsidP="4C179BF9" w:rsidRDefault="45F0E220" w14:paraId="37BF17F5" w14:textId="09751068">
      <w:pPr>
        <w:spacing w:before="240" w:beforeAutospacing="off" w:after="240" w:afterAutospacing="off"/>
      </w:pPr>
      <w:r w:rsidRPr="4C179BF9" w:rsidR="45F0E220">
        <w:rPr>
          <w:noProof w:val="0"/>
          <w:lang w:val="en-GB"/>
        </w:rPr>
        <w:t>The strategic objectives should be aligned with Jaguar Land Rover’s wider Reimagine strategy and provide measurable outcomes against which the transformation can be evaluated.</w:t>
      </w:r>
    </w:p>
    <w:p w:rsidR="45F0E220" w:rsidP="4C179BF9" w:rsidRDefault="45F0E220" w14:paraId="088E1473" w14:textId="00D3E363">
      <w:pPr>
        <w:spacing w:before="240" w:beforeAutospacing="off" w:after="240" w:afterAutospacing="off"/>
      </w:pPr>
      <w:r w:rsidRPr="4C179BF9" w:rsidR="45F0E220">
        <w:rPr>
          <w:noProof w:val="0"/>
          <w:lang w:val="en-GB"/>
        </w:rPr>
        <w:t>The first objective is to strengthen JLR’s electrification capabilities by continuing to develop electrified vehicles, manufacturing infrastructure and supporting technologies. This would enable the organisation to respond to technological developments, environmental requirements and changing customer preferences.</w:t>
      </w:r>
    </w:p>
    <w:p w:rsidR="45F0E220" w:rsidP="4C179BF9" w:rsidRDefault="45F0E220" w14:paraId="5A2C4939" w14:textId="269F7179">
      <w:pPr>
        <w:spacing w:before="240" w:beforeAutospacing="off" w:after="240" w:afterAutospacing="off"/>
      </w:pPr>
      <w:r w:rsidRPr="4C179BF9" w:rsidR="45F0E220">
        <w:rPr>
          <w:noProof w:val="0"/>
          <w:lang w:val="en-GB"/>
        </w:rPr>
        <w:t>The second objective is to develop workforce capabilities. Employees should receive appropriate training in electrification, digital technologies and advanced manufacturing. Developing these capabilities would reduce skills gaps and support employee confidence during the transition.</w:t>
      </w:r>
    </w:p>
    <w:p w:rsidR="45F0E220" w:rsidP="4C179BF9" w:rsidRDefault="45F0E220" w14:paraId="56EE99BA" w14:textId="6FD51A4B">
      <w:pPr>
        <w:spacing w:before="240" w:beforeAutospacing="off" w:after="240" w:afterAutospacing="off"/>
      </w:pPr>
      <w:r w:rsidRPr="4C179BF9" w:rsidR="45F0E220">
        <w:rPr>
          <w:noProof w:val="0"/>
          <w:lang w:val="en-GB"/>
        </w:rPr>
        <w:t>The third objective is to improve sustainable manufacturing and reduce environmental impact. This objective supports JLR’s long-term ambition to achieve carbon net zero across its supply chain, products and operations by 2039.</w:t>
      </w:r>
    </w:p>
    <w:p w:rsidR="45F0E220" w:rsidP="4C179BF9" w:rsidRDefault="45F0E220" w14:paraId="4071393B" w14:textId="31DD6DCD">
      <w:pPr>
        <w:spacing w:before="240" w:beforeAutospacing="off" w:after="240" w:afterAutospacing="off"/>
      </w:pPr>
      <w:r w:rsidRPr="4C179BF9" w:rsidR="45F0E220">
        <w:rPr>
          <w:noProof w:val="0"/>
          <w:lang w:val="en-GB"/>
        </w:rPr>
        <w:t>The fourth objective is to maintain product quality and customer satisfaction throughout the transformation. Strategic change should not compromise the premium quality and customer experience associated with JLR’s luxury brands.</w:t>
      </w:r>
    </w:p>
    <w:p w:rsidR="45F0E220" w:rsidP="4C179BF9" w:rsidRDefault="45F0E220" w14:paraId="33F7AF3C" w14:textId="10EA8394">
      <w:pPr>
        <w:spacing w:before="240" w:beforeAutospacing="off" w:after="240" w:afterAutospacing="off"/>
      </w:pPr>
      <w:r w:rsidRPr="4C179BF9" w:rsidR="45F0E220">
        <w:rPr>
          <w:noProof w:val="0"/>
          <w:lang w:val="en-GB"/>
        </w:rPr>
        <w:t>Finally, JLR should maintain financial sustainability throughout implementation. Investment in technology and manufacturing transformation must generate long-term strategic value without placing unnecessary pressure on organisational resources.</w:t>
      </w:r>
    </w:p>
    <w:p w:rsidR="45F0E220" w:rsidP="4C179BF9" w:rsidRDefault="45F0E220" w14:paraId="11C6DFC6" w14:textId="53E604C9">
      <w:pPr>
        <w:spacing w:before="240" w:beforeAutospacing="off" w:after="240" w:afterAutospacing="off"/>
      </w:pPr>
      <w:r w:rsidRPr="4C179BF9" w:rsidR="45F0E220">
        <w:rPr>
          <w:noProof w:val="0"/>
          <w:lang w:val="en-GB"/>
        </w:rPr>
        <w:t>Strategic Objectives and KPIs</w:t>
      </w:r>
    </w:p>
    <w:p w:rsidR="45F0E220" w:rsidP="4C179BF9" w:rsidRDefault="45F0E220" w14:paraId="2D617225" w14:textId="38FACBAF">
      <w:pPr>
        <w:spacing w:before="240" w:beforeAutospacing="off" w:after="240" w:afterAutospacing="off"/>
      </w:pPr>
      <w:r w:rsidRPr="4C179BF9" w:rsidR="45F0E220">
        <w:rPr>
          <w:noProof w:val="0"/>
          <w:lang w:val="en-GB"/>
        </w:rPr>
        <w:t>Strategic Objective Proposed Action Key Performance Indicator (KPI) Responsibility Timeframe Strengthen electrification Invest in electrified products, technology and manufacturing capability EV programme and manufacturing milestones achieved Senior Management &amp; Engineering 1–5 years Develop workforce skills Provide electrification and digital training Training completion rates and skills assessments HR &amp; Department Managers 1–3 years Improve sustainability Reduce operational emissions and improve resource efficiency Carbon emissions and energy-use indicators Sustainability &amp; Operations Teams Ongoing to 2039 Maintain product quality Monitor quality throughout manufacturing transformation Defect rates, warranty data and customer satisfaction Quality Management Continuous Maintain financial sustainability Monitor investment and transformation costs Budget variance, cash flow and return on investment Finance &amp; Senior Management Continuous</w:t>
      </w:r>
    </w:p>
    <w:p w:rsidR="45F0E220" w:rsidP="4C179BF9" w:rsidRDefault="45F0E220" w14:paraId="60CDD235" w14:textId="256DCC4D">
      <w:pPr>
        <w:spacing w:before="240" w:beforeAutospacing="off" w:after="240" w:afterAutospacing="off"/>
      </w:pPr>
      <w:r w:rsidRPr="4C179BF9" w:rsidR="45F0E220">
        <w:rPr>
          <w:noProof w:val="0"/>
          <w:lang w:val="en-GB"/>
        </w:rPr>
        <w:t>5.2 Financial Plan</w:t>
      </w:r>
    </w:p>
    <w:p w:rsidR="45F0E220" w:rsidP="4C179BF9" w:rsidRDefault="45F0E220" w14:paraId="25A3DAE0" w14:textId="2EF07F2A">
      <w:pPr>
        <w:spacing w:before="240" w:beforeAutospacing="off" w:after="240" w:afterAutospacing="off"/>
      </w:pPr>
      <w:r w:rsidRPr="4C179BF9" w:rsidR="45F0E220">
        <w:rPr>
          <w:noProof w:val="0"/>
          <w:lang w:val="en-GB"/>
        </w:rPr>
        <w:t>Financial planning is essential because Jaguar Land Rover’s transformation requires substantial investment in manufacturing facilities, technology, research and development, employee training and supply-chain capabilities.</w:t>
      </w:r>
    </w:p>
    <w:p w:rsidR="45F0E220" w:rsidP="4C179BF9" w:rsidRDefault="45F0E220" w14:paraId="44072916" w14:textId="0787390A">
      <w:pPr>
        <w:spacing w:before="240" w:beforeAutospacing="off" w:after="240" w:afterAutospacing="off"/>
      </w:pPr>
      <w:r w:rsidRPr="4C179BF9" w:rsidR="45F0E220">
        <w:rPr>
          <w:noProof w:val="0"/>
          <w:lang w:val="en-GB"/>
        </w:rPr>
        <w:t>Investment should be prioritised according to strategic importance and expected long-term benefits. Manufacturing transformation represents a significant area of expenditure. For example, JLR announced a £500 million investment in its Halewood facility to support the production of electric vehicles alongside existing vehicle technologies.</w:t>
      </w:r>
    </w:p>
    <w:p w:rsidR="45F0E220" w:rsidP="4C179BF9" w:rsidRDefault="45F0E220" w14:paraId="1C50E096" w14:textId="62B63AD7">
      <w:pPr>
        <w:spacing w:before="240" w:beforeAutospacing="off" w:after="240" w:afterAutospacing="off"/>
      </w:pPr>
      <w:r w:rsidRPr="4C179BF9" w:rsidR="45F0E220">
        <w:rPr>
          <w:noProof w:val="0"/>
          <w:lang w:val="en-GB"/>
        </w:rPr>
        <w:t>The financial plan should allocate resources across several major areas:</w:t>
      </w:r>
    </w:p>
    <w:p w:rsidR="45F0E220" w:rsidP="4C179BF9" w:rsidRDefault="45F0E220" w14:paraId="5812CFDF" w14:textId="3E26FBD0">
      <w:pPr>
        <w:pStyle w:val="ListParagraph"/>
        <w:numPr>
          <w:ilvl w:val="0"/>
          <w:numId w:val="18"/>
        </w:numPr>
        <w:spacing w:before="0" w:beforeAutospacing="off" w:after="0" w:afterAutospacing="off"/>
        <w:rPr>
          <w:noProof w:val="0"/>
          <w:lang w:val="en-GB"/>
        </w:rPr>
      </w:pPr>
      <w:r w:rsidRPr="4C179BF9" w:rsidR="45F0E220">
        <w:rPr>
          <w:noProof w:val="0"/>
          <w:lang w:val="en-GB"/>
        </w:rPr>
        <w:t>manufacturing facilities and equipment;</w:t>
      </w:r>
    </w:p>
    <w:p w:rsidR="45F0E220" w:rsidP="4C179BF9" w:rsidRDefault="45F0E220" w14:paraId="72337B47" w14:textId="55373767">
      <w:pPr>
        <w:pStyle w:val="ListParagraph"/>
        <w:numPr>
          <w:ilvl w:val="0"/>
          <w:numId w:val="18"/>
        </w:numPr>
        <w:spacing w:before="0" w:beforeAutospacing="off" w:after="0" w:afterAutospacing="off"/>
        <w:rPr>
          <w:noProof w:val="0"/>
          <w:lang w:val="en-GB"/>
        </w:rPr>
      </w:pPr>
      <w:r w:rsidRPr="4C179BF9" w:rsidR="45F0E220">
        <w:rPr>
          <w:noProof w:val="0"/>
          <w:lang w:val="en-GB"/>
        </w:rPr>
        <w:t>research and development;</w:t>
      </w:r>
    </w:p>
    <w:p w:rsidR="45F0E220" w:rsidP="4C179BF9" w:rsidRDefault="45F0E220" w14:paraId="28A38AD7" w14:textId="0F65FE01">
      <w:pPr>
        <w:pStyle w:val="ListParagraph"/>
        <w:numPr>
          <w:ilvl w:val="0"/>
          <w:numId w:val="18"/>
        </w:numPr>
        <w:spacing w:before="0" w:beforeAutospacing="off" w:after="0" w:afterAutospacing="off"/>
        <w:rPr>
          <w:noProof w:val="0"/>
          <w:lang w:val="en-GB"/>
        </w:rPr>
      </w:pPr>
      <w:r w:rsidRPr="4C179BF9" w:rsidR="45F0E220">
        <w:rPr>
          <w:noProof w:val="0"/>
          <w:lang w:val="en-GB"/>
        </w:rPr>
        <w:t>electric vehicle and battery technology;</w:t>
      </w:r>
    </w:p>
    <w:p w:rsidR="45F0E220" w:rsidP="4C179BF9" w:rsidRDefault="45F0E220" w14:paraId="6CED53C6" w14:textId="56A7B212">
      <w:pPr>
        <w:pStyle w:val="ListParagraph"/>
        <w:numPr>
          <w:ilvl w:val="0"/>
          <w:numId w:val="18"/>
        </w:numPr>
        <w:spacing w:before="0" w:beforeAutospacing="off" w:after="0" w:afterAutospacing="off"/>
        <w:rPr>
          <w:noProof w:val="0"/>
          <w:lang w:val="en-GB"/>
        </w:rPr>
      </w:pPr>
      <w:r w:rsidRPr="4C179BF9" w:rsidR="45F0E220">
        <w:rPr>
          <w:noProof w:val="0"/>
          <w:lang w:val="en-GB"/>
        </w:rPr>
        <w:t>digital manufacturing systems;</w:t>
      </w:r>
    </w:p>
    <w:p w:rsidR="45F0E220" w:rsidP="4C179BF9" w:rsidRDefault="45F0E220" w14:paraId="7DEBFFF4" w14:textId="1DC67122">
      <w:pPr>
        <w:pStyle w:val="ListParagraph"/>
        <w:numPr>
          <w:ilvl w:val="0"/>
          <w:numId w:val="18"/>
        </w:numPr>
        <w:spacing w:before="0" w:beforeAutospacing="off" w:after="0" w:afterAutospacing="off"/>
        <w:rPr>
          <w:noProof w:val="0"/>
          <w:lang w:val="en-GB"/>
        </w:rPr>
      </w:pPr>
      <w:r w:rsidRPr="4C179BF9" w:rsidR="45F0E220">
        <w:rPr>
          <w:noProof w:val="0"/>
          <w:lang w:val="en-GB"/>
        </w:rPr>
        <w:t>employee training and development;</w:t>
      </w:r>
    </w:p>
    <w:p w:rsidR="45F0E220" w:rsidP="4C179BF9" w:rsidRDefault="45F0E220" w14:paraId="510BE412" w14:textId="317C3E38">
      <w:pPr>
        <w:pStyle w:val="ListParagraph"/>
        <w:numPr>
          <w:ilvl w:val="0"/>
          <w:numId w:val="18"/>
        </w:numPr>
        <w:spacing w:before="0" w:beforeAutospacing="off" w:after="0" w:afterAutospacing="off"/>
        <w:rPr>
          <w:noProof w:val="0"/>
          <w:lang w:val="en-GB"/>
        </w:rPr>
      </w:pPr>
      <w:r w:rsidRPr="4C179BF9" w:rsidR="45F0E220">
        <w:rPr>
          <w:noProof w:val="0"/>
          <w:lang w:val="en-GB"/>
        </w:rPr>
        <w:t>sustainability initiatives; and</w:t>
      </w:r>
    </w:p>
    <w:p w:rsidR="45F0E220" w:rsidP="4C179BF9" w:rsidRDefault="45F0E220" w14:paraId="21A76DE7" w14:textId="53548D5F">
      <w:pPr>
        <w:pStyle w:val="ListParagraph"/>
        <w:numPr>
          <w:ilvl w:val="0"/>
          <w:numId w:val="18"/>
        </w:numPr>
        <w:spacing w:before="0" w:beforeAutospacing="off" w:after="0" w:afterAutospacing="off"/>
        <w:rPr>
          <w:noProof w:val="0"/>
          <w:lang w:val="en-GB"/>
        </w:rPr>
      </w:pPr>
      <w:r w:rsidRPr="4C179BF9" w:rsidR="45F0E220">
        <w:rPr>
          <w:noProof w:val="0"/>
          <w:lang w:val="en-GB"/>
        </w:rPr>
        <w:t>stakeholder communication and change-management activities.</w:t>
      </w:r>
    </w:p>
    <w:p w:rsidR="45F0E220" w:rsidP="4C179BF9" w:rsidRDefault="45F0E220" w14:paraId="2B44C596" w14:textId="07B6C54E">
      <w:pPr>
        <w:spacing w:before="240" w:beforeAutospacing="off" w:after="240" w:afterAutospacing="off"/>
      </w:pPr>
      <w:r w:rsidRPr="4C179BF9" w:rsidR="45F0E220">
        <w:rPr>
          <w:noProof w:val="0"/>
          <w:lang w:val="en-GB"/>
        </w:rPr>
        <w:t>As Senior Strategic Manager, I would work closely with the finance department to establish budgets for individual stages of implementation. Actual expenditure should then be compared against planned expenditure through regular financial reviews.</w:t>
      </w:r>
    </w:p>
    <w:p w:rsidR="45F0E220" w:rsidP="4C179BF9" w:rsidRDefault="45F0E220" w14:paraId="237171B4" w14:textId="09DAB2C8">
      <w:pPr>
        <w:spacing w:before="240" w:beforeAutospacing="off" w:after="240" w:afterAutospacing="off"/>
      </w:pPr>
      <w:r w:rsidRPr="4C179BF9" w:rsidR="45F0E220">
        <w:rPr>
          <w:noProof w:val="0"/>
          <w:lang w:val="en-GB"/>
        </w:rPr>
        <w:t>Financial performance should be monitored using indicators such as budget variance, operating costs, cash flow, profitability and return on investment (ROI). Where costs exceed forecasts, management should identify the cause and determine whether corrective action or resource reallocation is required.</w:t>
      </w:r>
    </w:p>
    <w:p w:rsidR="45F0E220" w:rsidP="4C179BF9" w:rsidRDefault="45F0E220" w14:paraId="554716D2" w14:textId="05F1238D">
      <w:pPr>
        <w:spacing w:before="240" w:beforeAutospacing="off" w:after="240" w:afterAutospacing="off"/>
      </w:pPr>
      <w:r w:rsidRPr="4C179BF9" w:rsidR="45F0E220">
        <w:rPr>
          <w:noProof w:val="0"/>
          <w:lang w:val="en-GB"/>
        </w:rPr>
        <w:t>A contingency budget should also be maintained because technological development, supply-chain disruption or changes in market conditions may create unexpected costs.</w:t>
      </w:r>
    </w:p>
    <w:p w:rsidR="45F0E220" w:rsidP="4C179BF9" w:rsidRDefault="45F0E220" w14:paraId="7C8D03C9" w14:textId="438435D5">
      <w:pPr>
        <w:spacing w:before="240" w:beforeAutospacing="off" w:after="240" w:afterAutospacing="off"/>
      </w:pPr>
      <w:r w:rsidRPr="4C179BF9" w:rsidR="45F0E220">
        <w:rPr>
          <w:noProof w:val="0"/>
          <w:lang w:val="en-GB"/>
        </w:rPr>
        <w:t>5.3 Communication Plan</w:t>
      </w:r>
    </w:p>
    <w:p w:rsidR="45F0E220" w:rsidP="4C179BF9" w:rsidRDefault="45F0E220" w14:paraId="06371696" w14:textId="03FD1E7D">
      <w:pPr>
        <w:spacing w:before="240" w:beforeAutospacing="off" w:after="240" w:afterAutospacing="off"/>
      </w:pPr>
      <w:r w:rsidRPr="4C179BF9" w:rsidR="45F0E220">
        <w:rPr>
          <w:noProof w:val="0"/>
          <w:lang w:val="en-GB"/>
        </w:rPr>
        <w:t>Communication is critical to successful change because different stakeholders have different levels of power, interest and information requirements. The communication plan should therefore reflect the stakeholder analysis and Mendelow’s Matrix presented earlier in this report.</w:t>
      </w:r>
    </w:p>
    <w:p w:rsidR="45F0E220" w:rsidP="4C179BF9" w:rsidRDefault="45F0E220" w14:paraId="24BEA762" w14:textId="7F9E1AD0">
      <w:pPr>
        <w:spacing w:before="240" w:beforeAutospacing="off" w:after="240" w:afterAutospacing="off"/>
      </w:pPr>
      <w:r w:rsidRPr="4C179BF9" w:rsidR="45F0E220">
        <w:rPr>
          <w:noProof w:val="0"/>
          <w:lang w:val="en-GB"/>
        </w:rPr>
        <w:t>Employees should receive regular updates through team meetings, management briefings, training sessions and internal digital communication. Information should explain why the change is necessary, how implementation is progressing and how individual roles may be affected.</w:t>
      </w:r>
    </w:p>
    <w:p w:rsidR="45F0E220" w:rsidP="4C179BF9" w:rsidRDefault="45F0E220" w14:paraId="7C8744D0" w14:textId="4EF0CBF9">
      <w:pPr>
        <w:spacing w:before="240" w:beforeAutospacing="off" w:after="240" w:afterAutospacing="off"/>
      </w:pPr>
      <w:r w:rsidRPr="4C179BF9" w:rsidR="45F0E220">
        <w:rPr>
          <w:noProof w:val="0"/>
          <w:lang w:val="en-GB"/>
        </w:rPr>
        <w:t>Senior management and owners should receive detailed strategic and financial reports covering progress, risks, investment and performance against objectives.</w:t>
      </w:r>
    </w:p>
    <w:p w:rsidR="45F0E220" w:rsidP="4C179BF9" w:rsidRDefault="45F0E220" w14:paraId="43420586" w14:textId="1A83F19A">
      <w:pPr>
        <w:spacing w:before="240" w:beforeAutospacing="off" w:after="240" w:afterAutospacing="off"/>
      </w:pPr>
      <w:r w:rsidRPr="4C179BF9" w:rsidR="45F0E220">
        <w:rPr>
          <w:noProof w:val="0"/>
          <w:lang w:val="en-GB"/>
        </w:rPr>
        <w:t>Suppliers should be informed about future production requirements, technological standards and expected delivery requirements. This is particularly important as electrification creates changing requirements for batteries, electronic systems and specialist components.</w:t>
      </w:r>
    </w:p>
    <w:p w:rsidR="45F0E220" w:rsidP="4C179BF9" w:rsidRDefault="45F0E220" w14:paraId="457F9C35" w14:textId="15B4D324">
      <w:pPr>
        <w:spacing w:before="240" w:beforeAutospacing="off" w:after="240" w:afterAutospacing="off"/>
      </w:pPr>
      <w:r w:rsidRPr="4C179BF9" w:rsidR="45F0E220">
        <w:rPr>
          <w:noProof w:val="0"/>
          <w:lang w:val="en-GB"/>
        </w:rPr>
        <w:t>Customers should receive clear information about new products, technology, sustainability and the benefits of JLR’s changing product portfolio through marketing, digital platforms and customer-facing communications.</w:t>
      </w:r>
    </w:p>
    <w:p w:rsidR="45F0E220" w:rsidP="4C179BF9" w:rsidRDefault="45F0E220" w14:paraId="026FDF89" w14:textId="5A3EC459">
      <w:pPr>
        <w:spacing w:before="240" w:beforeAutospacing="off" w:after="240" w:afterAutospacing="off"/>
      </w:pPr>
      <w:r w:rsidRPr="4C179BF9" w:rsidR="45F0E220">
        <w:rPr>
          <w:noProof w:val="0"/>
          <w:lang w:val="en-GB"/>
        </w:rPr>
        <w:t>Government and regulatory stakeholders should receive appropriate compliance and sustainability information where required.</w:t>
      </w:r>
    </w:p>
    <w:p w:rsidR="45F0E220" w:rsidP="4C179BF9" w:rsidRDefault="45F0E220" w14:paraId="6A596C78" w14:textId="1D267660">
      <w:pPr>
        <w:spacing w:before="240" w:beforeAutospacing="off" w:after="240" w:afterAutospacing="off"/>
      </w:pPr>
      <w:r w:rsidRPr="4C179BF9" w:rsidR="45F0E220">
        <w:rPr>
          <w:noProof w:val="0"/>
          <w:lang w:val="en-GB"/>
        </w:rPr>
        <w:t>Stakeholder Information Required Communication Method Frequency Responsibility Employees Change progress, training and job implications Meetings, training, internal platforms Monthly / ongoing HR &amp; Managers Senior Management Performance, finance, risks and KPIs Strategic reports and meetings Monthly / quarterly Senior Strategic Manager Owners/Investors Financial and strategic performance Formal reports and presentations Quarterly / annually Executive Leadership Suppliers Technology and production requirements Supplier meetings and digital communication Monthly / as required Procurement Customers Products, technology and sustainability Website, marketing and dealerships Continuous Marketing Regulators Compliance and environmental performance Formal reports and consultation As required Legal &amp; Compliance</w:t>
      </w:r>
    </w:p>
    <w:p w:rsidR="45F0E220" w:rsidP="4C179BF9" w:rsidRDefault="45F0E220" w14:paraId="43C1BF1E" w14:textId="37842586">
      <w:pPr>
        <w:spacing w:before="240" w:beforeAutospacing="off" w:after="240" w:afterAutospacing="off"/>
      </w:pPr>
      <w:r w:rsidRPr="4C179BF9" w:rsidR="45F0E220">
        <w:rPr>
          <w:noProof w:val="0"/>
          <w:lang w:val="en-GB"/>
        </w:rPr>
        <w:t>Two-way communication should be encouraged, particularly with employees. Feedback mechanisms would allow management to identify concerns early and respond before they develop into significant resistance.</w:t>
      </w:r>
    </w:p>
    <w:p w:rsidR="45F0E220" w:rsidP="4C179BF9" w:rsidRDefault="45F0E220" w14:paraId="36E8DBC2" w14:textId="61E86B6E">
      <w:pPr>
        <w:spacing w:before="240" w:beforeAutospacing="off" w:after="240" w:afterAutospacing="off"/>
      </w:pPr>
      <w:r w:rsidRPr="4C179BF9" w:rsidR="45F0E220">
        <w:rPr>
          <w:noProof w:val="0"/>
          <w:lang w:val="en-GB"/>
        </w:rPr>
        <w:t>5.4 Implementation Plan</w:t>
      </w:r>
    </w:p>
    <w:p w:rsidR="45F0E220" w:rsidP="4C179BF9" w:rsidRDefault="45F0E220" w14:paraId="3A2214AA" w14:textId="6A4BA455">
      <w:pPr>
        <w:spacing w:before="240" w:beforeAutospacing="off" w:after="240" w:afterAutospacing="off"/>
      </w:pPr>
      <w:r w:rsidRPr="4C179BF9" w:rsidR="45F0E220">
        <w:rPr>
          <w:noProof w:val="0"/>
          <w:lang w:val="en-GB"/>
        </w:rPr>
        <w:t>Implementation should be completed through a phased approach consistent with Kotter’s Eight-Step Change Model.</w:t>
      </w:r>
    </w:p>
    <w:p w:rsidR="45F0E220" w:rsidP="4C179BF9" w:rsidRDefault="45F0E220" w14:paraId="1BD7688D" w14:textId="0B9DF19A">
      <w:pPr>
        <w:spacing w:before="240" w:beforeAutospacing="off" w:after="240" w:afterAutospacing="off"/>
      </w:pPr>
      <w:r w:rsidRPr="4C179BF9" w:rsidR="45F0E220">
        <w:rPr>
          <w:noProof w:val="0"/>
          <w:lang w:val="en-GB"/>
        </w:rPr>
        <w:t>Phase 1 – Preparation and Strategic Alignment: Senior management should communicate the urgency for transformation and establish a guiding coalition. Strategic objectives, financial resources and responsibilities should be clearly defined.</w:t>
      </w:r>
    </w:p>
    <w:p w:rsidR="45F0E220" w:rsidP="4C179BF9" w:rsidRDefault="45F0E220" w14:paraId="2EF9401F" w14:textId="37B05ACE">
      <w:pPr>
        <w:spacing w:before="240" w:beforeAutospacing="off" w:after="240" w:afterAutospacing="off"/>
      </w:pPr>
      <w:r w:rsidRPr="4C179BF9" w:rsidR="45F0E220">
        <w:rPr>
          <w:noProof w:val="0"/>
          <w:lang w:val="en-GB"/>
        </w:rPr>
        <w:t>Phase 2 – Stakeholder Engagement and Workforce Preparation: JLR should communicate the strategic vision to employees and other stakeholders. Training needs should be identified, and workforce development programmes should prepare employees for new technologies and working practices.</w:t>
      </w:r>
    </w:p>
    <w:p w:rsidR="45F0E220" w:rsidP="4C179BF9" w:rsidRDefault="45F0E220" w14:paraId="4FD46269" w14:textId="18EE0647">
      <w:pPr>
        <w:spacing w:before="240" w:beforeAutospacing="off" w:after="240" w:afterAutospacing="off"/>
      </w:pPr>
      <w:r w:rsidRPr="4C179BF9" w:rsidR="45F0E220">
        <w:rPr>
          <w:noProof w:val="0"/>
          <w:lang w:val="en-GB"/>
        </w:rPr>
        <w:t>Phase 3 – Technology and Manufacturing Transformation: Investment should be directed towards manufacturing facilities, digital technologies, electrification capabilities and supporting infrastructure. Implementation should occur in stages to minimise unnecessary disruption to existing operations.</w:t>
      </w:r>
    </w:p>
    <w:p w:rsidR="45F0E220" w:rsidP="4C179BF9" w:rsidRDefault="45F0E220" w14:paraId="32534CC5" w14:textId="1B096CDA">
      <w:pPr>
        <w:spacing w:before="240" w:beforeAutospacing="off" w:after="240" w:afterAutospacing="off"/>
      </w:pPr>
      <w:r w:rsidRPr="4C179BF9" w:rsidR="45F0E220">
        <w:rPr>
          <w:noProof w:val="0"/>
          <w:lang w:val="en-GB"/>
        </w:rPr>
        <w:t>Phase 4 – Monitoring and Short-Term Wins: Management should identify measurable achievements, including successful employee training, completion of manufacturing milestones and improvements in sustainability performance. These achievements should be communicated to maintain motivation and stakeholder confidence.</w:t>
      </w:r>
    </w:p>
    <w:p w:rsidR="45F0E220" w:rsidP="4C179BF9" w:rsidRDefault="45F0E220" w14:paraId="0F96B371" w14:textId="6D627F81">
      <w:pPr>
        <w:spacing w:before="240" w:beforeAutospacing="off" w:after="240" w:afterAutospacing="off"/>
      </w:pPr>
      <w:r w:rsidRPr="4C179BF9" w:rsidR="45F0E220">
        <w:rPr>
          <w:noProof w:val="0"/>
          <w:lang w:val="en-GB"/>
        </w:rPr>
        <w:t>Phase 5 – Integration and Continuous Improvement: New technologies, employee capabilities and sustainable practices should become integrated into everyday operations. Management should continue monitoring the external environment and adjust the strategy when required.</w:t>
      </w:r>
    </w:p>
    <w:p w:rsidR="45F0E220" w:rsidP="4C179BF9" w:rsidRDefault="45F0E220" w14:paraId="181F2716" w14:textId="026BF6FF">
      <w:pPr>
        <w:spacing w:before="240" w:beforeAutospacing="off" w:after="240" w:afterAutospacing="off"/>
      </w:pPr>
      <w:r w:rsidRPr="4C179BF9" w:rsidR="45F0E220">
        <w:rPr>
          <w:noProof w:val="0"/>
          <w:lang w:val="en-GB"/>
        </w:rPr>
        <w:t>Implementation Schedule</w:t>
      </w:r>
    </w:p>
    <w:p w:rsidR="45F0E220" w:rsidP="4C179BF9" w:rsidRDefault="45F0E220" w14:paraId="43FC54EB" w14:textId="6B25A86B">
      <w:pPr>
        <w:spacing w:before="240" w:beforeAutospacing="off" w:after="240" w:afterAutospacing="off"/>
      </w:pPr>
      <w:r w:rsidRPr="4C179BF9" w:rsidR="45F0E220">
        <w:rPr>
          <w:noProof w:val="0"/>
          <w:lang w:val="en-GB"/>
        </w:rPr>
        <w:t>Phase Main Activities Responsibility Indicative Timeframe Expected Outcome</w:t>
      </w:r>
    </w:p>
    <w:p w:rsidR="45F0E220" w:rsidP="4C179BF9" w:rsidRDefault="45F0E220" w14:paraId="520B0876" w14:textId="1CA85D37">
      <w:pPr>
        <w:pStyle w:val="ListParagraph"/>
        <w:numPr>
          <w:ilvl w:val="0"/>
          <w:numId w:val="19"/>
        </w:numPr>
        <w:spacing w:before="0" w:beforeAutospacing="off" w:after="0" w:afterAutospacing="off"/>
        <w:rPr>
          <w:noProof w:val="0"/>
          <w:lang w:val="en-GB"/>
        </w:rPr>
      </w:pPr>
      <w:r w:rsidRPr="4C179BF9" w:rsidR="45F0E220">
        <w:rPr>
          <w:noProof w:val="0"/>
          <w:lang w:val="en-GB"/>
        </w:rPr>
        <w:t>Preparation Vision, objectives, leadership coalition and budget Executive Leadership Months 1–3 Clear strategic direction</w:t>
      </w:r>
    </w:p>
    <w:p w:rsidR="45F0E220" w:rsidP="4C179BF9" w:rsidRDefault="45F0E220" w14:paraId="7808B94E" w14:textId="79899235">
      <w:pPr>
        <w:pStyle w:val="ListParagraph"/>
        <w:numPr>
          <w:ilvl w:val="0"/>
          <w:numId w:val="19"/>
        </w:numPr>
        <w:spacing w:before="0" w:beforeAutospacing="off" w:after="0" w:afterAutospacing="off"/>
        <w:rPr>
          <w:noProof w:val="0"/>
          <w:lang w:val="en-GB"/>
        </w:rPr>
      </w:pPr>
      <w:r w:rsidRPr="4C179BF9" w:rsidR="45F0E220">
        <w:rPr>
          <w:noProof w:val="0"/>
          <w:lang w:val="en-GB"/>
        </w:rPr>
        <w:t>Workforce Preparation Communication, consultation and training HR &amp; Managers Months 2–12 Skilled and engaged workforce</w:t>
      </w:r>
    </w:p>
    <w:p w:rsidR="45F0E220" w:rsidP="4C179BF9" w:rsidRDefault="45F0E220" w14:paraId="4A5A0D2A" w14:textId="7B7426E9">
      <w:pPr>
        <w:pStyle w:val="ListParagraph"/>
        <w:numPr>
          <w:ilvl w:val="0"/>
          <w:numId w:val="19"/>
        </w:numPr>
        <w:spacing w:before="0" w:beforeAutospacing="off" w:after="0" w:afterAutospacing="off"/>
        <w:rPr>
          <w:noProof w:val="0"/>
          <w:lang w:val="en-GB"/>
        </w:rPr>
      </w:pPr>
      <w:r w:rsidRPr="4C179BF9" w:rsidR="45F0E220">
        <w:rPr>
          <w:noProof w:val="0"/>
          <w:lang w:val="en-GB"/>
        </w:rPr>
        <w:t>Transformation Technology and manufacturing implementation Engineering &amp; Operations Years 1–3 Increased electrification capability</w:t>
      </w:r>
    </w:p>
    <w:p w:rsidR="45F0E220" w:rsidP="4C179BF9" w:rsidRDefault="45F0E220" w14:paraId="7974C530" w14:textId="0B1E0615">
      <w:pPr>
        <w:pStyle w:val="ListParagraph"/>
        <w:numPr>
          <w:ilvl w:val="0"/>
          <w:numId w:val="19"/>
        </w:numPr>
        <w:spacing w:before="0" w:beforeAutospacing="off" w:after="0" w:afterAutospacing="off"/>
        <w:rPr>
          <w:noProof w:val="0"/>
          <w:lang w:val="en-GB"/>
        </w:rPr>
      </w:pPr>
      <w:r w:rsidRPr="4C179BF9" w:rsidR="45F0E220">
        <w:rPr>
          <w:noProof w:val="0"/>
          <w:lang w:val="en-GB"/>
        </w:rPr>
        <w:t>Monitoring Review KPIs and recognise short-term wins Senior Management Quarterly Problems identified and progress maintained</w:t>
      </w:r>
    </w:p>
    <w:p w:rsidR="45F0E220" w:rsidP="4C179BF9" w:rsidRDefault="45F0E220" w14:paraId="78F580C8" w14:textId="26845347">
      <w:pPr>
        <w:pStyle w:val="ListParagraph"/>
        <w:numPr>
          <w:ilvl w:val="0"/>
          <w:numId w:val="19"/>
        </w:numPr>
        <w:spacing w:before="0" w:beforeAutospacing="off" w:after="0" w:afterAutospacing="off"/>
        <w:rPr>
          <w:noProof w:val="0"/>
          <w:lang w:val="en-GB"/>
        </w:rPr>
      </w:pPr>
      <w:r w:rsidRPr="4C179BF9" w:rsidR="45F0E220">
        <w:rPr>
          <w:noProof w:val="0"/>
          <w:lang w:val="en-GB"/>
        </w:rPr>
        <w:t>Integration Embed new practices and continuous improvement All Departments Years 2–5 and ongoing Sustainable organisational change</w:t>
      </w:r>
    </w:p>
    <w:p w:rsidR="45F0E220" w:rsidP="4C179BF9" w:rsidRDefault="45F0E220" w14:paraId="23FFC0C7" w14:textId="26B9F992">
      <w:pPr>
        <w:spacing w:before="240" w:beforeAutospacing="off" w:after="240" w:afterAutospacing="off"/>
      </w:pPr>
      <w:r w:rsidRPr="4C179BF9" w:rsidR="45F0E220">
        <w:rPr>
          <w:noProof w:val="0"/>
          <w:lang w:val="en-GB"/>
        </w:rPr>
        <w:t>5.5 Evaluation Plan</w:t>
      </w:r>
    </w:p>
    <w:p w:rsidR="45F0E220" w:rsidP="4C179BF9" w:rsidRDefault="45F0E220" w14:paraId="1C7BAF1A" w14:textId="38F37F07">
      <w:pPr>
        <w:spacing w:before="240" w:beforeAutospacing="off" w:after="240" w:afterAutospacing="off"/>
      </w:pPr>
      <w:r w:rsidRPr="4C179BF9" w:rsidR="45F0E220">
        <w:rPr>
          <w:noProof w:val="0"/>
          <w:lang w:val="en-GB"/>
        </w:rPr>
        <w:t>Evaluation is essential to determine whether the strategic change has achieved its intended objectives. Jaguar Land Rover should use a combination of financial and non-financial performance indicators.</w:t>
      </w:r>
    </w:p>
    <w:p w:rsidR="45F0E220" w:rsidP="4C179BF9" w:rsidRDefault="45F0E220" w14:paraId="740A7322" w14:textId="6D52E494">
      <w:pPr>
        <w:spacing w:before="240" w:beforeAutospacing="off" w:after="240" w:afterAutospacing="off"/>
      </w:pPr>
      <w:r w:rsidRPr="4C179BF9" w:rsidR="45F0E220">
        <w:rPr>
          <w:noProof w:val="0"/>
          <w:lang w:val="en-GB"/>
        </w:rPr>
        <w:t>Financial indicators should include operating costs, profitability, cash flow, budget variance and return on investment. These measures would indicate whether the transformation remains financially sustainable.</w:t>
      </w:r>
    </w:p>
    <w:p w:rsidR="45F0E220" w:rsidP="4C179BF9" w:rsidRDefault="45F0E220" w14:paraId="52B4CF46" w14:textId="19C2050A">
      <w:pPr>
        <w:spacing w:before="240" w:beforeAutospacing="off" w:after="240" w:afterAutospacing="off"/>
      </w:pPr>
      <w:r w:rsidRPr="4C179BF9" w:rsidR="45F0E220">
        <w:rPr>
          <w:noProof w:val="0"/>
          <w:lang w:val="en-GB"/>
        </w:rPr>
        <w:t>Operational indicators should include manufacturing efficiency, production quality, delivery performance and progress against electrification milestones.</w:t>
      </w:r>
    </w:p>
    <w:p w:rsidR="45F0E220" w:rsidP="4C179BF9" w:rsidRDefault="45F0E220" w14:paraId="277C669A" w14:textId="6343D83F">
      <w:pPr>
        <w:spacing w:before="240" w:beforeAutospacing="off" w:after="240" w:afterAutospacing="off"/>
      </w:pPr>
      <w:r w:rsidRPr="4C179BF9" w:rsidR="45F0E220">
        <w:rPr>
          <w:noProof w:val="0"/>
          <w:lang w:val="en-GB"/>
        </w:rPr>
        <w:t>Employee indicators should include training completion, employee engagement, absenteeism, retention and feedback. These measures are particularly important because employee capabilities and commitment are central to successful implementation.</w:t>
      </w:r>
    </w:p>
    <w:p w:rsidR="45F0E220" w:rsidP="4C179BF9" w:rsidRDefault="45F0E220" w14:paraId="16C52113" w14:textId="5E1B9F8B">
      <w:pPr>
        <w:spacing w:before="240" w:beforeAutospacing="off" w:after="240" w:afterAutospacing="off"/>
      </w:pPr>
      <w:r w:rsidRPr="4C179BF9" w:rsidR="45F0E220">
        <w:rPr>
          <w:noProof w:val="0"/>
          <w:lang w:val="en-GB"/>
        </w:rPr>
        <w:t>Customer indicators should include customer satisfaction, complaints, product quality and demand for new products.</w:t>
      </w:r>
    </w:p>
    <w:p w:rsidR="45F0E220" w:rsidP="4C179BF9" w:rsidRDefault="45F0E220" w14:paraId="405F90C5" w14:textId="41B9C615">
      <w:pPr>
        <w:spacing w:before="240" w:beforeAutospacing="off" w:after="240" w:afterAutospacing="off"/>
      </w:pPr>
      <w:r w:rsidRPr="4C179BF9" w:rsidR="45F0E220">
        <w:rPr>
          <w:noProof w:val="0"/>
          <w:lang w:val="en-GB"/>
        </w:rPr>
        <w:t>Environmental indicators should include carbon emissions, energy consumption and progress towards JLR’s sustainability targets and 2039 carbon net-zero ambition.</w:t>
      </w:r>
    </w:p>
    <w:p w:rsidR="45F0E220" w:rsidP="4C179BF9" w:rsidRDefault="45F0E220" w14:paraId="643E4A3A" w14:textId="76717639">
      <w:pPr>
        <w:spacing w:before="240" w:beforeAutospacing="off" w:after="240" w:afterAutospacing="off"/>
      </w:pPr>
      <w:r w:rsidRPr="4C179BF9" w:rsidR="45F0E220">
        <w:rPr>
          <w:noProof w:val="0"/>
          <w:lang w:val="en-GB"/>
        </w:rPr>
        <w:t>Performance should be reviewed monthly at operational level and quarterly at strategic management level. Significant differences between expected and actual performance should result in corrective action.</w:t>
      </w:r>
    </w:p>
    <w:p w:rsidR="45F0E220" w:rsidP="4C179BF9" w:rsidRDefault="45F0E220" w14:paraId="1D3E804A" w14:textId="3335CA9B">
      <w:pPr>
        <w:spacing w:before="240" w:beforeAutospacing="off" w:after="240" w:afterAutospacing="off"/>
      </w:pPr>
      <w:r w:rsidRPr="4C179BF9" w:rsidR="45F0E220">
        <w:rPr>
          <w:noProof w:val="0"/>
          <w:lang w:val="en-GB"/>
        </w:rPr>
        <w:t>Evaluation should not be viewed as the final stage of the transformation. Instead, it should form part of a continuous improvement process. Feedback from employees, customers, suppliers and performance data should be used to modify implementation where necessary.</w:t>
      </w:r>
    </w:p>
    <w:p w:rsidR="45F0E220" w:rsidP="4C179BF9" w:rsidRDefault="45F0E220" w14:paraId="13AE3A6A" w14:textId="2B81B28B">
      <w:pPr>
        <w:spacing w:before="240" w:beforeAutospacing="off" w:after="240" w:afterAutospacing="off"/>
      </w:pPr>
      <w:r w:rsidRPr="4C179BF9" w:rsidR="45F0E220">
        <w:rPr>
          <w:noProof w:val="0"/>
          <w:lang w:val="en-GB"/>
        </w:rPr>
        <w:t>Overall, the Strategic Change Management Plan provides Jaguar Land Rover with a structured approach for translating its strategic objectives into measurable actions. By combining clear objectives, appropriate financial management, stakeholder communication, structured implementation and continuous evaluation, JLR can reduce the risks associated with organisational change and strengthen the long-term success of its transformation.</w:t>
      </w:r>
    </w:p>
    <w:p w:rsidR="4C179BF9" w:rsidP="4C179BF9" w:rsidRDefault="4C179BF9" w14:paraId="57436B0F" w14:textId="0F76D4F3">
      <w:pPr>
        <w:pStyle w:val="ListParagraph"/>
      </w:pPr>
    </w:p>
    <w:p w:rsidR="00A61910" w:rsidP="4C179BF9" w:rsidRDefault="00F3647D" w14:paraId="6522A6AD" w14:textId="4A59310E">
      <w:pPr>
        <w:pStyle w:val="Normal"/>
        <w:ind w:left="0"/>
        <w:rPr>
          <w:rFonts w:ascii="Aptos" w:hAnsi="Aptos" w:eastAsia="Aptos" w:cs="Aptos"/>
          <w:noProof w:val="0"/>
          <w:sz w:val="24"/>
          <w:szCs w:val="24"/>
          <w:lang w:val="en-GB"/>
        </w:rPr>
      </w:pPr>
      <w:r w:rsidR="249A7A48">
        <w:rPr/>
        <w:t xml:space="preserve"> </w:t>
      </w:r>
      <w:r w:rsidRPr="4C179BF9" w:rsidR="0517EFCC">
        <w:rPr>
          <w:rFonts w:ascii="Aptos" w:hAnsi="Aptos" w:eastAsia="Aptos" w:cs="Aptos"/>
          <w:noProof w:val="0"/>
          <w:sz w:val="24"/>
          <w:szCs w:val="24"/>
          <w:lang w:val="en-GB"/>
        </w:rPr>
        <w:t>Conclusion</w:t>
      </w:r>
    </w:p>
    <w:p w:rsidR="00A61910" w:rsidP="4C179BF9" w:rsidRDefault="00F3647D" w14:paraId="10F689FE" w14:textId="70EBF377">
      <w:pPr>
        <w:pStyle w:val="Normal"/>
        <w:spacing w:before="240" w:beforeAutospacing="off" w:after="240" w:afterAutospacing="off"/>
        <w:ind w:left="0"/>
        <w:rPr>
          <w:rFonts w:ascii="Aptos" w:hAnsi="Aptos" w:eastAsia="Aptos" w:cs="Aptos"/>
          <w:noProof w:val="0"/>
          <w:sz w:val="24"/>
          <w:szCs w:val="24"/>
          <w:lang w:val="en-GB"/>
        </w:rPr>
      </w:pPr>
      <w:r w:rsidRPr="4C179BF9" w:rsidR="0517EFCC">
        <w:rPr>
          <w:rFonts w:ascii="Aptos" w:hAnsi="Aptos" w:eastAsia="Aptos" w:cs="Aptos"/>
          <w:noProof w:val="0"/>
          <w:sz w:val="24"/>
          <w:szCs w:val="24"/>
          <w:lang w:val="en-GB"/>
        </w:rPr>
        <w:t xml:space="preserve">This report has critically examined the internal and external factors influencing strategic change at Jaguar Land Rover (JLR) and evaluated how the organisation can successfully manage its continuing transformation. The analysis </w:t>
      </w:r>
      <w:r w:rsidRPr="4C179BF9" w:rsidR="0517EFCC">
        <w:rPr>
          <w:rFonts w:ascii="Aptos" w:hAnsi="Aptos" w:eastAsia="Aptos" w:cs="Aptos"/>
          <w:noProof w:val="0"/>
          <w:sz w:val="24"/>
          <w:szCs w:val="24"/>
          <w:lang w:val="en-GB"/>
        </w:rPr>
        <w:t>demonstrates</w:t>
      </w:r>
      <w:r w:rsidRPr="4C179BF9" w:rsidR="0517EFCC">
        <w:rPr>
          <w:rFonts w:ascii="Aptos" w:hAnsi="Aptos" w:eastAsia="Aptos" w:cs="Aptos"/>
          <w:noProof w:val="0"/>
          <w:sz w:val="24"/>
          <w:szCs w:val="24"/>
          <w:lang w:val="en-GB"/>
        </w:rPr>
        <w:t xml:space="preserve"> that JLR operates within a highly dynamic automotive environment characterised by technological innovation, economic uncertainty, changing customer expectations, environmental pressures and increasing global competition.</w:t>
      </w:r>
    </w:p>
    <w:p w:rsidR="00A61910" w:rsidP="4C179BF9" w:rsidRDefault="00F3647D" w14:paraId="6D0D91D4" w14:textId="069B1A6D">
      <w:pPr>
        <w:pStyle w:val="Normal"/>
        <w:spacing w:before="240" w:beforeAutospacing="off" w:after="240" w:afterAutospacing="off"/>
        <w:ind w:left="0"/>
        <w:rPr>
          <w:rFonts w:ascii="Aptos" w:hAnsi="Aptos" w:eastAsia="Aptos" w:cs="Aptos"/>
          <w:noProof w:val="0"/>
          <w:sz w:val="24"/>
          <w:szCs w:val="24"/>
          <w:lang w:val="en-GB"/>
        </w:rPr>
      </w:pPr>
      <w:r w:rsidRPr="4C179BF9" w:rsidR="0517EFCC">
        <w:rPr>
          <w:rFonts w:ascii="Aptos" w:hAnsi="Aptos" w:eastAsia="Aptos" w:cs="Aptos"/>
          <w:noProof w:val="0"/>
          <w:sz w:val="24"/>
          <w:szCs w:val="24"/>
          <w:lang w:val="en-GB"/>
        </w:rPr>
        <w:t>The PESTLE and SWOT analyses identified electrification, sustainability and technological development as major influences on JLR’s future strategic direction. At the same time, the impact of COVID-19 demonstrated the organisation’s vulnerability to unexpected external disruption, particularly in relation to vehicle sales, manufacturing operations and global supply chains. Stakeholder analysis further demonstrated that successful strategic change requires JLR to effectively manage the expectations of employees, customers, senior management, owners, suppliers and regulatory authorities.</w:t>
      </w:r>
    </w:p>
    <w:p w:rsidR="00A61910" w:rsidP="4C179BF9" w:rsidRDefault="00F3647D" w14:paraId="22632E1B" w14:textId="398BAC9A">
      <w:pPr>
        <w:pStyle w:val="Normal"/>
        <w:spacing w:before="240" w:beforeAutospacing="off" w:after="240" w:afterAutospacing="off"/>
        <w:ind w:left="0"/>
        <w:rPr>
          <w:rFonts w:ascii="Aptos" w:hAnsi="Aptos" w:eastAsia="Aptos" w:cs="Aptos"/>
          <w:noProof w:val="0"/>
          <w:sz w:val="24"/>
          <w:szCs w:val="24"/>
          <w:lang w:val="en-GB"/>
        </w:rPr>
      </w:pPr>
      <w:r w:rsidRPr="4C179BF9" w:rsidR="0517EFCC">
        <w:rPr>
          <w:rFonts w:ascii="Aptos" w:hAnsi="Aptos" w:eastAsia="Aptos" w:cs="Aptos"/>
          <w:noProof w:val="0"/>
          <w:sz w:val="24"/>
          <w:szCs w:val="24"/>
          <w:lang w:val="en-GB"/>
        </w:rPr>
        <w:t>Three change management approaches were evaluated: Lewin’s Three-Step Change Model, Kotter’s Eight-Step Change Model and Pettigrew’s Model of Strategic Change. Although Lewin provides a clear framework for understanding the broad stages of change and Pettigrew provides valuable analysis of context, content and process, Kotter’s model was identified as the most suitable framework for Jaguar Land Rover. Its emphasis on urgency, leadership, strategic vision, employee engagement, communication, short-term achievements and organisational culture provides a comprehensive approach for managing a complex transformation.</w:t>
      </w:r>
    </w:p>
    <w:p w:rsidR="00A61910" w:rsidP="4C179BF9" w:rsidRDefault="00F3647D" w14:paraId="745573D8" w14:textId="12C2D28F">
      <w:pPr>
        <w:pStyle w:val="Normal"/>
        <w:spacing w:before="240" w:beforeAutospacing="off" w:after="240" w:afterAutospacing="off"/>
        <w:ind w:left="0"/>
        <w:rPr>
          <w:rFonts w:ascii="Aptos" w:hAnsi="Aptos" w:eastAsia="Aptos" w:cs="Aptos"/>
          <w:noProof w:val="0"/>
          <w:sz w:val="24"/>
          <w:szCs w:val="24"/>
          <w:lang w:val="en-GB"/>
        </w:rPr>
      </w:pPr>
      <w:r w:rsidRPr="4C179BF9" w:rsidR="0517EFCC">
        <w:rPr>
          <w:rFonts w:ascii="Aptos" w:hAnsi="Aptos" w:eastAsia="Aptos" w:cs="Aptos"/>
          <w:noProof w:val="0"/>
          <w:sz w:val="24"/>
          <w:szCs w:val="24"/>
          <w:lang w:val="en-GB"/>
        </w:rPr>
        <w:t>The proposed strategic change focuses on JLR’s continuing transition towards electrification and the transformation of its manufacturing operations and workforce capabilities. Successful implementation requires substantial investment in technology, manufacturing infrastructure and employee development alongside effective financial management and stakeholder communication.</w:t>
      </w:r>
    </w:p>
    <w:p w:rsidR="00A61910" w:rsidP="4C179BF9" w:rsidRDefault="00F3647D" w14:paraId="4122C1D3" w14:textId="75D7B391">
      <w:pPr>
        <w:pStyle w:val="Normal"/>
        <w:spacing w:before="240" w:beforeAutospacing="off" w:after="240" w:afterAutospacing="off"/>
        <w:ind w:left="0"/>
        <w:rPr>
          <w:rFonts w:ascii="Aptos" w:hAnsi="Aptos" w:eastAsia="Aptos" w:cs="Aptos"/>
          <w:noProof w:val="0"/>
          <w:sz w:val="24"/>
          <w:szCs w:val="24"/>
          <w:lang w:val="en-GB"/>
        </w:rPr>
      </w:pPr>
      <w:r w:rsidRPr="4C179BF9" w:rsidR="0517EFCC">
        <w:rPr>
          <w:rFonts w:ascii="Aptos" w:hAnsi="Aptos" w:eastAsia="Aptos" w:cs="Aptos"/>
          <w:noProof w:val="0"/>
          <w:sz w:val="24"/>
          <w:szCs w:val="24"/>
          <w:lang w:val="en-GB"/>
        </w:rPr>
        <w:t>From the perspective of a Senior Strategic Manager, effective leadership will be essential throughout this process. Employees should be provided with appropriate training, opportunities for participation and clear communication regarding the purpose and benefits of change. Performance should also be continuously evaluated through financial, operational, employee, customer and environmental indicators.</w:t>
      </w:r>
    </w:p>
    <w:p w:rsidR="00A61910" w:rsidP="4C179BF9" w:rsidRDefault="00F3647D" w14:paraId="15DA57F7" w14:textId="3AA1AB4C">
      <w:pPr>
        <w:pStyle w:val="Normal"/>
        <w:spacing w:before="240" w:beforeAutospacing="off" w:after="240" w:afterAutospacing="off"/>
        <w:ind w:left="0"/>
        <w:rPr>
          <w:rFonts w:ascii="Aptos" w:hAnsi="Aptos" w:eastAsia="Aptos" w:cs="Aptos"/>
          <w:noProof w:val="0"/>
          <w:sz w:val="24"/>
          <w:szCs w:val="24"/>
          <w:lang w:val="en-GB"/>
        </w:rPr>
      </w:pPr>
      <w:r w:rsidRPr="4C179BF9" w:rsidR="0517EFCC">
        <w:rPr>
          <w:rFonts w:ascii="Aptos" w:hAnsi="Aptos" w:eastAsia="Aptos" w:cs="Aptos"/>
          <w:noProof w:val="0"/>
          <w:sz w:val="24"/>
          <w:szCs w:val="24"/>
          <w:lang w:val="en-GB"/>
        </w:rPr>
        <w:t>Overall, Jaguar Land Rover’s ability to successfully manage strategic change will significantly influence its long-term competitiveness. By applying Kotter’s Eight-Step Change Model alongside effective leadership, stakeholder engagement and continuous evaluation, JLR can strengthen its organisational capabilities, support the objectives of its Reimagine strategy and continue its transformation within the global luxury automotive industry</w:t>
      </w:r>
    </w:p>
    <w:p w:rsidR="00A61910" w:rsidP="199EF9AE" w:rsidRDefault="00F3647D" w14:paraId="14F46819" w14:textId="38EDE2DA">
      <w:pPr>
        <w:pStyle w:val="Normal"/>
        <w:ind w:left="0"/>
      </w:pPr>
    </w:p>
    <w:p w:rsidR="00A61910" w:rsidRDefault="00A61910" w14:paraId="7F4A3BFA" w14:textId="77777777">
      <w:pPr>
        <w:pStyle w:val="ListParagraph"/>
      </w:pPr>
    </w:p>
    <w:p w:rsidR="00A61910" w:rsidRDefault="00A61910" w14:paraId="5DEBEF2A" w14:textId="77777777">
      <w:pPr>
        <w:pStyle w:val="ListParagraph"/>
      </w:pPr>
    </w:p>
    <w:p w:rsidR="00A61910" w:rsidRDefault="00A61910" w14:paraId="3F42F626" w14:textId="77777777">
      <w:pPr>
        <w:pStyle w:val="ListParagraph"/>
      </w:pPr>
    </w:p>
    <w:p w:rsidR="00A61910" w:rsidRDefault="00A61910" w14:paraId="06E9EC1F" w14:textId="77777777">
      <w:pPr>
        <w:pStyle w:val="ListParagraph"/>
      </w:pPr>
    </w:p>
    <w:p w:rsidR="00A61910" w:rsidRDefault="00A61910" w14:paraId="57140C58" w14:textId="77777777">
      <w:pPr>
        <w:pStyle w:val="ListParagraph"/>
      </w:pPr>
    </w:p>
    <w:p w:rsidR="00A61910" w:rsidRDefault="00A61910" w14:paraId="372A76D1" w14:textId="77777777">
      <w:pPr>
        <w:pStyle w:val="ListParagraph"/>
      </w:pPr>
    </w:p>
    <w:p w:rsidR="00A61910" w:rsidRDefault="00A61910" w14:paraId="731D0A83" w14:textId="77777777">
      <w:pPr>
        <w:pStyle w:val="ListParagraph"/>
      </w:pPr>
    </w:p>
    <w:p w:rsidR="00A61910" w:rsidRDefault="00A61910" w14:paraId="3C293495" w14:textId="77777777">
      <w:pPr>
        <w:pStyle w:val="ListParagraph"/>
      </w:pPr>
    </w:p>
    <w:p w:rsidR="00A61910" w:rsidRDefault="00A61910" w14:paraId="13D30EAD" w14:textId="77777777">
      <w:pPr>
        <w:pStyle w:val="ListParagraph"/>
      </w:pPr>
    </w:p>
    <w:p w:rsidR="00A61910" w:rsidRDefault="00A61910" w14:paraId="22E6AE75" w14:textId="77777777">
      <w:pPr>
        <w:pStyle w:val="ListParagraph"/>
      </w:pPr>
    </w:p>
    <w:p w:rsidR="00A61910" w:rsidRDefault="00A61910" w14:paraId="06BF8D68" w14:textId="77777777">
      <w:pPr>
        <w:pStyle w:val="ListParagraph"/>
      </w:pPr>
    </w:p>
    <w:p w:rsidR="00A61910" w:rsidRDefault="00A61910" w14:paraId="7DA08C85" w14:textId="77777777">
      <w:pPr>
        <w:pStyle w:val="ListParagraph"/>
      </w:pPr>
    </w:p>
    <w:p w:rsidR="00A61910" w:rsidP="4C179BF9" w:rsidRDefault="00A61910" w14:paraId="3E10F7D6" w14:textId="2E688FE1">
      <w:pPr>
        <w:spacing w:before="240" w:beforeAutospacing="off" w:after="240" w:afterAutospacing="off"/>
      </w:pPr>
      <w:r w:rsidRPr="4C179BF9" w:rsidR="0517EFCC">
        <w:rPr>
          <w:noProof w:val="0"/>
          <w:lang w:val="en-GB"/>
        </w:rPr>
        <w:t>References</w:t>
      </w:r>
    </w:p>
    <w:p w:rsidR="00A61910" w:rsidP="4C179BF9" w:rsidRDefault="00A61910" w14:paraId="0B04F74E" w14:textId="6E6B3C51">
      <w:pPr>
        <w:spacing w:before="240" w:beforeAutospacing="off" w:after="240" w:afterAutospacing="off"/>
      </w:pPr>
      <w:r w:rsidRPr="4C179BF9" w:rsidR="0517EFCC">
        <w:rPr>
          <w:noProof w:val="0"/>
          <w:lang w:val="en-GB"/>
        </w:rPr>
        <w:t xml:space="preserve"> </w:t>
      </w:r>
    </w:p>
    <w:p w:rsidR="00A61910" w:rsidP="4C179BF9" w:rsidRDefault="00A61910" w14:paraId="44BF3510" w14:textId="39CB9E11">
      <w:pPr>
        <w:spacing w:before="240" w:beforeAutospacing="off" w:after="240" w:afterAutospacing="off"/>
      </w:pPr>
      <w:r w:rsidRPr="4C179BF9" w:rsidR="0517EFCC">
        <w:rPr>
          <w:noProof w:val="0"/>
          <w:lang w:val="en-GB"/>
        </w:rPr>
        <w:t>Burnes, B. (2004) ‘Kurt Lewin and the planned approach to change: A re-appraisal’, Journal of Management Studies, 41(6), pp. 977–1002.</w:t>
      </w:r>
    </w:p>
    <w:p w:rsidR="00A61910" w:rsidP="4C179BF9" w:rsidRDefault="00A61910" w14:paraId="6FA93DE0" w14:textId="215D1405">
      <w:pPr>
        <w:spacing w:before="240" w:beforeAutospacing="off" w:after="240" w:afterAutospacing="off"/>
      </w:pPr>
      <w:r w:rsidRPr="4C179BF9" w:rsidR="0517EFCC">
        <w:rPr>
          <w:noProof w:val="0"/>
          <w:lang w:val="en-GB"/>
        </w:rPr>
        <w:t xml:space="preserve"> </w:t>
      </w:r>
    </w:p>
    <w:p w:rsidR="00A61910" w:rsidP="4C179BF9" w:rsidRDefault="00A61910" w14:paraId="293582BD" w14:textId="6590197B">
      <w:pPr>
        <w:spacing w:before="240" w:beforeAutospacing="off" w:after="240" w:afterAutospacing="off"/>
      </w:pPr>
      <w:r w:rsidRPr="4C179BF9" w:rsidR="0517EFCC">
        <w:rPr>
          <w:noProof w:val="0"/>
          <w:lang w:val="en-GB"/>
        </w:rPr>
        <w:t>Freeman, R.E. (1984) Strategic Management: A Stakeholder Approach. Boston: Pitman.</w:t>
      </w:r>
    </w:p>
    <w:p w:rsidR="00A61910" w:rsidP="4C179BF9" w:rsidRDefault="00A61910" w14:paraId="6D829380" w14:textId="3ABA1219">
      <w:pPr>
        <w:spacing w:before="240" w:beforeAutospacing="off" w:after="240" w:afterAutospacing="off"/>
      </w:pPr>
      <w:r w:rsidRPr="4C179BF9" w:rsidR="0517EFCC">
        <w:rPr>
          <w:noProof w:val="0"/>
          <w:lang w:val="en-GB"/>
        </w:rPr>
        <w:t xml:space="preserve"> </w:t>
      </w:r>
    </w:p>
    <w:p w:rsidR="00A61910" w:rsidP="4C179BF9" w:rsidRDefault="00A61910" w14:paraId="626E88F0" w14:textId="15208628">
      <w:pPr>
        <w:spacing w:before="240" w:beforeAutospacing="off" w:after="240" w:afterAutospacing="off"/>
      </w:pPr>
      <w:r w:rsidRPr="4C179BF9" w:rsidR="0517EFCC">
        <w:rPr>
          <w:noProof w:val="0"/>
          <w:lang w:val="en-GB"/>
        </w:rPr>
        <w:t>Johnson, G., Scholes, K. and Whittington, R. (2008) Exploring Corporate Strategy. 8th edn. Harlow: Pearson Education.</w:t>
      </w:r>
    </w:p>
    <w:p w:rsidR="00A61910" w:rsidP="4C179BF9" w:rsidRDefault="00A61910" w14:paraId="6AD0B7DA" w14:textId="60FD7764">
      <w:pPr>
        <w:spacing w:before="240" w:beforeAutospacing="off" w:after="240" w:afterAutospacing="off"/>
      </w:pPr>
      <w:r w:rsidRPr="4C179BF9" w:rsidR="0517EFCC">
        <w:rPr>
          <w:noProof w:val="0"/>
          <w:lang w:val="en-GB"/>
        </w:rPr>
        <w:t xml:space="preserve"> </w:t>
      </w:r>
    </w:p>
    <w:p w:rsidR="00A61910" w:rsidP="4C179BF9" w:rsidRDefault="00A61910" w14:paraId="3FCD1B31" w14:textId="190C0E48">
      <w:pPr>
        <w:spacing w:before="240" w:beforeAutospacing="off" w:after="240" w:afterAutospacing="off"/>
      </w:pPr>
      <w:r w:rsidRPr="4C179BF9" w:rsidR="0517EFCC">
        <w:rPr>
          <w:noProof w:val="0"/>
          <w:lang w:val="en-GB"/>
        </w:rPr>
        <w:t>Jaguar Land Rover (2021) ‘Jaguar Land Rover retail sales up 12.4% in Q4 Fiscal 2020/21, continuing recovery from COVID-19 impact’. Available at: JLR Corporate Website (Accessed: 19 August 2026).</w:t>
      </w:r>
    </w:p>
    <w:p w:rsidR="00A61910" w:rsidP="4C179BF9" w:rsidRDefault="00A61910" w14:paraId="7FD02264" w14:textId="3C5AAB9E">
      <w:pPr>
        <w:spacing w:before="240" w:beforeAutospacing="off" w:after="240" w:afterAutospacing="off"/>
      </w:pPr>
      <w:r w:rsidRPr="4C179BF9" w:rsidR="0517EFCC">
        <w:rPr>
          <w:noProof w:val="0"/>
          <w:lang w:val="en-GB"/>
        </w:rPr>
        <w:t xml:space="preserve"> </w:t>
      </w:r>
    </w:p>
    <w:p w:rsidR="00A61910" w:rsidP="4C179BF9" w:rsidRDefault="00A61910" w14:paraId="1604FA84" w14:textId="43A0B4BA">
      <w:pPr>
        <w:spacing w:before="240" w:beforeAutospacing="off" w:after="240" w:afterAutospacing="off"/>
      </w:pPr>
      <w:r w:rsidRPr="4C179BF9" w:rsidR="0517EFCC">
        <w:rPr>
          <w:noProof w:val="0"/>
          <w:lang w:val="en-GB"/>
        </w:rPr>
        <w:t>Jaguar Land Rover (2022) ‘Jaguar Land Rover unveils Future Skills Programme to train 29,000 for modern luxury, all-electric future’. Available at: JLR Corporate Website (Accessed: 19 August 2026).</w:t>
      </w:r>
    </w:p>
    <w:p w:rsidR="00A61910" w:rsidP="4C179BF9" w:rsidRDefault="00A61910" w14:paraId="5BB3727F" w14:textId="2FA48C80">
      <w:pPr>
        <w:spacing w:before="240" w:beforeAutospacing="off" w:after="240" w:afterAutospacing="off"/>
      </w:pPr>
      <w:r w:rsidRPr="4C179BF9" w:rsidR="0517EFCC">
        <w:rPr>
          <w:noProof w:val="0"/>
          <w:lang w:val="en-GB"/>
        </w:rPr>
        <w:t xml:space="preserve"> </w:t>
      </w:r>
    </w:p>
    <w:p w:rsidR="00A61910" w:rsidP="4C179BF9" w:rsidRDefault="00A61910" w14:paraId="06E3F86B" w14:textId="24731968">
      <w:pPr>
        <w:spacing w:before="240" w:beforeAutospacing="off" w:after="240" w:afterAutospacing="off"/>
      </w:pPr>
      <w:r w:rsidRPr="4C179BF9" w:rsidR="0517EFCC">
        <w:rPr>
          <w:noProof w:val="0"/>
          <w:lang w:val="en-GB"/>
        </w:rPr>
        <w:t>Jaguar Land Rover (2023) Annual Report 2023. Coventry: Jaguar Land Rover Automotive plc.</w:t>
      </w:r>
    </w:p>
    <w:p w:rsidR="00A61910" w:rsidP="4C179BF9" w:rsidRDefault="00A61910" w14:paraId="30016018" w14:textId="20399B5E">
      <w:pPr>
        <w:spacing w:before="240" w:beforeAutospacing="off" w:after="240" w:afterAutospacing="off"/>
      </w:pPr>
      <w:r w:rsidRPr="4C179BF9" w:rsidR="0517EFCC">
        <w:rPr>
          <w:noProof w:val="0"/>
          <w:lang w:val="en-GB"/>
        </w:rPr>
        <w:t xml:space="preserve"> </w:t>
      </w:r>
    </w:p>
    <w:p w:rsidR="00A61910" w:rsidP="4C179BF9" w:rsidRDefault="00A61910" w14:paraId="07078047" w14:textId="51DBD4CF">
      <w:pPr>
        <w:spacing w:before="240" w:beforeAutospacing="off" w:after="240" w:afterAutospacing="off"/>
      </w:pPr>
      <w:r w:rsidRPr="4C179BF9" w:rsidR="0517EFCC">
        <w:rPr>
          <w:noProof w:val="0"/>
          <w:lang w:val="en-GB"/>
        </w:rPr>
        <w:t>Jaguar Land Rover (2024) ‘JLR invests £500 million into creating EV factory of the future in Merseyside’. Available at: JLR Corporate Website (Accessed: 19 August 2026).</w:t>
      </w:r>
    </w:p>
    <w:p w:rsidR="00A61910" w:rsidP="4C179BF9" w:rsidRDefault="00A61910" w14:paraId="0187E8AC" w14:textId="461946E8">
      <w:pPr>
        <w:spacing w:before="240" w:beforeAutospacing="off" w:after="240" w:afterAutospacing="off"/>
      </w:pPr>
      <w:r w:rsidRPr="4C179BF9" w:rsidR="0517EFCC">
        <w:rPr>
          <w:noProof w:val="0"/>
          <w:lang w:val="en-GB"/>
        </w:rPr>
        <w:t xml:space="preserve"> </w:t>
      </w:r>
    </w:p>
    <w:p w:rsidR="00A61910" w:rsidP="4C179BF9" w:rsidRDefault="00A61910" w14:paraId="33150077" w14:textId="5D014D19">
      <w:pPr>
        <w:spacing w:before="240" w:beforeAutospacing="off" w:after="240" w:afterAutospacing="off"/>
      </w:pPr>
      <w:r w:rsidRPr="4C179BF9" w:rsidR="0517EFCC">
        <w:rPr>
          <w:noProof w:val="0"/>
          <w:lang w:val="en-GB"/>
        </w:rPr>
        <w:t>Jaguar Land Rover (2025) Annual Report 2025. Coventry: Jaguar Land Rover Automotive plc.</w:t>
      </w:r>
    </w:p>
    <w:p w:rsidR="00A61910" w:rsidP="4C179BF9" w:rsidRDefault="00A61910" w14:paraId="582421BA" w14:textId="36F444E9">
      <w:pPr>
        <w:spacing w:before="240" w:beforeAutospacing="off" w:after="240" w:afterAutospacing="off"/>
      </w:pPr>
      <w:r w:rsidRPr="4C179BF9" w:rsidR="0517EFCC">
        <w:rPr>
          <w:noProof w:val="0"/>
          <w:lang w:val="en-GB"/>
        </w:rPr>
        <w:t xml:space="preserve"> </w:t>
      </w:r>
    </w:p>
    <w:p w:rsidR="00A61910" w:rsidP="4C179BF9" w:rsidRDefault="00A61910" w14:paraId="55B24878" w14:textId="11FBB703">
      <w:pPr>
        <w:spacing w:before="240" w:beforeAutospacing="off" w:after="240" w:afterAutospacing="off"/>
      </w:pPr>
      <w:r w:rsidRPr="4C179BF9" w:rsidR="0517EFCC">
        <w:rPr>
          <w:noProof w:val="0"/>
          <w:lang w:val="en-GB"/>
        </w:rPr>
        <w:t>Kotter, J.P. (1995) ‘Leading change: Why transformation efforts fail’, Harvard Business Review, 73(2), pp. 59–67.</w:t>
      </w:r>
    </w:p>
    <w:p w:rsidR="00A61910" w:rsidP="4C179BF9" w:rsidRDefault="00A61910" w14:paraId="1F81521C" w14:textId="0523D1A8">
      <w:pPr>
        <w:spacing w:before="240" w:beforeAutospacing="off" w:after="240" w:afterAutospacing="off"/>
      </w:pPr>
      <w:r w:rsidRPr="4C179BF9" w:rsidR="0517EFCC">
        <w:rPr>
          <w:noProof w:val="0"/>
          <w:lang w:val="en-GB"/>
        </w:rPr>
        <w:t xml:space="preserve"> </w:t>
      </w:r>
    </w:p>
    <w:p w:rsidR="00A61910" w:rsidP="4C179BF9" w:rsidRDefault="00A61910" w14:paraId="4E277DC2" w14:textId="6DCA8D73">
      <w:pPr>
        <w:spacing w:before="240" w:beforeAutospacing="off" w:after="240" w:afterAutospacing="off"/>
      </w:pPr>
      <w:r w:rsidRPr="4C179BF9" w:rsidR="0517EFCC">
        <w:rPr>
          <w:noProof w:val="0"/>
          <w:lang w:val="en-GB"/>
        </w:rPr>
        <w:t>Kotter, J.P. (1996) Leading Change. Boston, MA: Harvard Business School Press.</w:t>
      </w:r>
    </w:p>
    <w:p w:rsidR="00A61910" w:rsidP="4C179BF9" w:rsidRDefault="00A61910" w14:paraId="0EFA05B3" w14:textId="43FDD11F">
      <w:pPr>
        <w:spacing w:before="240" w:beforeAutospacing="off" w:after="240" w:afterAutospacing="off"/>
      </w:pPr>
      <w:r w:rsidRPr="4C179BF9" w:rsidR="0517EFCC">
        <w:rPr>
          <w:noProof w:val="0"/>
          <w:lang w:val="en-GB"/>
        </w:rPr>
        <w:t xml:space="preserve"> </w:t>
      </w:r>
    </w:p>
    <w:p w:rsidR="00A61910" w:rsidP="4C179BF9" w:rsidRDefault="00A61910" w14:paraId="596147F1" w14:textId="2F8C725C">
      <w:pPr>
        <w:spacing w:before="240" w:beforeAutospacing="off" w:after="240" w:afterAutospacing="off"/>
      </w:pPr>
      <w:r w:rsidRPr="4C179BF9" w:rsidR="0517EFCC">
        <w:rPr>
          <w:noProof w:val="0"/>
          <w:lang w:val="en-GB"/>
        </w:rPr>
        <w:t>Lewin, K. (1947) ‘Frontiers in group dynamics’, Human Relations, 1(1), pp. 5–41.</w:t>
      </w:r>
    </w:p>
    <w:p w:rsidR="00A61910" w:rsidP="4C179BF9" w:rsidRDefault="00A61910" w14:paraId="22F2ADA6" w14:textId="71C3AFE8">
      <w:pPr>
        <w:spacing w:before="240" w:beforeAutospacing="off" w:after="240" w:afterAutospacing="off"/>
      </w:pPr>
      <w:r w:rsidRPr="4C179BF9" w:rsidR="0517EFCC">
        <w:rPr>
          <w:noProof w:val="0"/>
          <w:lang w:val="en-GB"/>
        </w:rPr>
        <w:t xml:space="preserve"> </w:t>
      </w:r>
    </w:p>
    <w:p w:rsidR="00A61910" w:rsidP="4C179BF9" w:rsidRDefault="00A61910" w14:paraId="75E9E7AB" w14:textId="42DABB68">
      <w:pPr>
        <w:spacing w:before="240" w:beforeAutospacing="off" w:after="240" w:afterAutospacing="off"/>
      </w:pPr>
      <w:r w:rsidRPr="4C179BF9" w:rsidR="0517EFCC">
        <w:rPr>
          <w:noProof w:val="0"/>
          <w:lang w:val="en-GB"/>
        </w:rPr>
        <w:t>Lewin, K. (1951) Field Theory in Social Science: Selected Theoretical Papers. New York: Harper &amp; Row.</w:t>
      </w:r>
    </w:p>
    <w:p w:rsidR="00A61910" w:rsidP="4C179BF9" w:rsidRDefault="00A61910" w14:paraId="20CDD7A8" w14:textId="311C8C9E">
      <w:pPr>
        <w:spacing w:before="240" w:beforeAutospacing="off" w:after="240" w:afterAutospacing="off"/>
      </w:pPr>
      <w:r w:rsidRPr="4C179BF9" w:rsidR="0517EFCC">
        <w:rPr>
          <w:noProof w:val="0"/>
          <w:lang w:val="en-GB"/>
        </w:rPr>
        <w:t xml:space="preserve"> </w:t>
      </w:r>
    </w:p>
    <w:p w:rsidR="00A61910" w:rsidP="4C179BF9" w:rsidRDefault="00A61910" w14:paraId="1EF33F5A" w14:textId="33E697B9">
      <w:pPr>
        <w:spacing w:before="240" w:beforeAutospacing="off" w:after="240" w:afterAutospacing="off"/>
      </w:pPr>
      <w:r w:rsidRPr="4C179BF9" w:rsidR="0517EFCC">
        <w:rPr>
          <w:noProof w:val="0"/>
          <w:lang w:val="en-GB"/>
        </w:rPr>
        <w:t>Mendelow, A.L. (1981) ‘Environmental scanning: The impact of the stakeholder concept’, Proceedings of the Second International Conference on Information Systems, Cambridge, MA.</w:t>
      </w:r>
    </w:p>
    <w:p w:rsidR="00A61910" w:rsidP="4C179BF9" w:rsidRDefault="00A61910" w14:paraId="37A3FAEF" w14:textId="2829C127">
      <w:pPr>
        <w:spacing w:before="240" w:beforeAutospacing="off" w:after="240" w:afterAutospacing="off"/>
      </w:pPr>
      <w:r w:rsidRPr="4C179BF9" w:rsidR="0517EFCC">
        <w:rPr>
          <w:noProof w:val="0"/>
          <w:lang w:val="en-GB"/>
        </w:rPr>
        <w:t xml:space="preserve"> </w:t>
      </w:r>
    </w:p>
    <w:p w:rsidR="00A61910" w:rsidP="4C179BF9" w:rsidRDefault="00A61910" w14:paraId="298B43BC" w14:textId="0BB7BC6D">
      <w:pPr>
        <w:spacing w:before="240" w:beforeAutospacing="off" w:after="240" w:afterAutospacing="off"/>
      </w:pPr>
      <w:r w:rsidRPr="4C179BF9" w:rsidR="0517EFCC">
        <w:rPr>
          <w:noProof w:val="0"/>
          <w:lang w:val="en-GB"/>
        </w:rPr>
        <w:t>Pettigrew, A.M. (1987) ‘Context and action in the transformation of the firm’, Journal of Management Studies, 24(6), pp. 649–670.</w:t>
      </w:r>
    </w:p>
    <w:p w:rsidR="00A61910" w:rsidP="4C179BF9" w:rsidRDefault="00A61910" w14:paraId="53623128" w14:textId="57BA5D5D">
      <w:pPr>
        <w:spacing w:before="240" w:beforeAutospacing="off" w:after="240" w:afterAutospacing="off"/>
      </w:pPr>
      <w:r w:rsidRPr="4C179BF9" w:rsidR="0517EFCC">
        <w:rPr>
          <w:noProof w:val="0"/>
          <w:lang w:val="en-GB"/>
        </w:rPr>
        <w:t xml:space="preserve"> </w:t>
      </w:r>
    </w:p>
    <w:p w:rsidR="00A61910" w:rsidP="4C179BF9" w:rsidRDefault="00A61910" w14:paraId="2663693F" w14:textId="3396832F">
      <w:pPr>
        <w:spacing w:before="240" w:beforeAutospacing="off" w:after="240" w:afterAutospacing="off"/>
      </w:pPr>
      <w:r w:rsidRPr="4C179BF9" w:rsidR="0517EFCC">
        <w:rPr>
          <w:noProof w:val="0"/>
          <w:lang w:val="en-GB"/>
        </w:rPr>
        <w:t>Pettigrew, A.M. and Whipp, R. (1991) Managing Change for Competitive Success. Oxford: Blackwell.</w:t>
      </w:r>
    </w:p>
    <w:p w:rsidR="00A61910" w:rsidP="4C179BF9" w:rsidRDefault="00A61910" w14:paraId="58F4913C" w14:textId="188B141B">
      <w:pPr>
        <w:spacing w:before="240" w:beforeAutospacing="off" w:after="240" w:afterAutospacing="off"/>
      </w:pPr>
      <w:r w:rsidRPr="4C179BF9" w:rsidR="0517EFCC">
        <w:rPr>
          <w:noProof w:val="0"/>
          <w:lang w:val="en-GB"/>
        </w:rPr>
        <w:t xml:space="preserve"> </w:t>
      </w:r>
    </w:p>
    <w:p w:rsidR="00A61910" w:rsidP="4C179BF9" w:rsidRDefault="00A61910" w14:paraId="60394D1B" w14:textId="2A1BD850">
      <w:pPr>
        <w:spacing w:before="240" w:beforeAutospacing="off" w:after="240" w:afterAutospacing="off"/>
      </w:pPr>
      <w:r w:rsidRPr="4C179BF9" w:rsidR="0517EFCC">
        <w:rPr>
          <w:noProof w:val="0"/>
          <w:lang w:val="en-GB"/>
        </w:rPr>
        <w:t>Porter, M.E. (1985) Competitive Advantage: Creating and Sustaining Superior Performance. New York: Free Press.</w:t>
      </w:r>
    </w:p>
    <w:p w:rsidR="00A61910" w:rsidP="4C179BF9" w:rsidRDefault="00A61910" w14:paraId="05D923E0" w14:textId="71897003">
      <w:pPr>
        <w:spacing w:before="240" w:beforeAutospacing="off" w:after="240" w:afterAutospacing="off"/>
      </w:pPr>
      <w:r w:rsidRPr="4C179BF9" w:rsidR="0517EFCC">
        <w:rPr>
          <w:noProof w:val="0"/>
          <w:lang w:val="en-GB"/>
        </w:rPr>
        <w:t xml:space="preserve"> </w:t>
      </w:r>
    </w:p>
    <w:p w:rsidR="00A61910" w:rsidRDefault="00A61910" w14:paraId="133BBDEF" w14:textId="20826D35">
      <w:pPr>
        <w:pStyle w:val="ListParagraph"/>
      </w:pPr>
      <w:r w:rsidRPr="4C179BF9" w:rsidR="0517EFCC">
        <w:rPr>
          <w:noProof w:val="0"/>
          <w:lang w:val="en-GB"/>
        </w:rPr>
        <w:t>Tata Motors (2025) Annual Report 2024–25. Mumbai: Tata Motors Limited.</w:t>
      </w:r>
    </w:p>
    <w:p w:rsidR="00A61910" w:rsidRDefault="00A61910" w14:paraId="75F237C9" w14:textId="77777777">
      <w:pPr>
        <w:pStyle w:val="ListParagraph"/>
      </w:pPr>
    </w:p>
    <w:p w:rsidR="00A61910" w:rsidRDefault="00A61910" w14:paraId="68532289" w14:textId="77777777">
      <w:pPr>
        <w:pStyle w:val="ListParagraph"/>
      </w:pPr>
    </w:p>
    <w:p w:rsidR="00A61910" w:rsidRDefault="00A61910" w14:paraId="5860E02C" w14:textId="77777777">
      <w:pPr>
        <w:pStyle w:val="ListParagraph"/>
      </w:pPr>
    </w:p>
    <w:p w:rsidR="00A61910" w:rsidRDefault="00A61910" w14:paraId="1784E23C" w14:textId="77777777">
      <w:pPr>
        <w:pStyle w:val="ListParagraph"/>
      </w:pPr>
    </w:p>
    <w:p w:rsidR="00A61910" w:rsidRDefault="00A61910" w14:paraId="5FE7E100" w14:textId="77777777">
      <w:pPr>
        <w:pStyle w:val="ListParagraph"/>
      </w:pPr>
    </w:p>
    <w:p w:rsidR="00A61910" w:rsidRDefault="00A61910" w14:paraId="5DAFA898" w14:textId="77777777">
      <w:pPr>
        <w:pStyle w:val="ListParagraph"/>
      </w:pPr>
    </w:p>
    <w:p w:rsidR="00A61910" w:rsidRDefault="00A61910" w14:paraId="36E3C921" w14:textId="77777777">
      <w:pPr>
        <w:pStyle w:val="ListParagraph"/>
      </w:pPr>
    </w:p>
    <w:p w:rsidR="00A61910" w:rsidRDefault="00A61910" w14:paraId="5BA7BEC5" w14:textId="77777777">
      <w:pPr>
        <w:jc w:val="center"/>
      </w:pPr>
    </w:p>
    <w:p w:rsidR="00A61910" w:rsidRDefault="00A61910" w14:paraId="4D4E65DB" w14:textId="77777777">
      <w:pPr>
        <w:jc w:val="center"/>
      </w:pPr>
    </w:p>
    <w:p w:rsidR="00A61910" w:rsidRDefault="00A61910" w14:paraId="53A657AD" w14:textId="77777777">
      <w:pPr>
        <w:jc w:val="center"/>
      </w:pPr>
    </w:p>
    <w:sectPr w:rsidR="00A61910">
      <w:pgSz w:w="11906" w:h="16838" w:orient="portrait"/>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647D" w:rsidRDefault="00F3647D" w14:paraId="5C3CA4FB" w14:textId="77777777">
      <w:pPr>
        <w:spacing w:after="0" w:line="240" w:lineRule="auto"/>
      </w:pPr>
      <w:r>
        <w:separator/>
      </w:r>
    </w:p>
  </w:endnote>
  <w:endnote w:type="continuationSeparator" w:id="0">
    <w:p w:rsidR="00F3647D" w:rsidRDefault="00F3647D" w14:paraId="08C8DF5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647D" w:rsidRDefault="00F3647D" w14:paraId="51D72C7A" w14:textId="77777777">
      <w:pPr>
        <w:spacing w:after="0" w:line="240" w:lineRule="auto"/>
      </w:pPr>
      <w:r>
        <w:separator/>
      </w:r>
    </w:p>
  </w:footnote>
  <w:footnote w:type="continuationSeparator" w:id="0">
    <w:p w:rsidR="00F3647D" w:rsidRDefault="00F3647D" w14:paraId="0837816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0">
    <w:nsid w:val="69ca3b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5286d878"/>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ef3ad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e1439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3ee40e2"/>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6985f90"/>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0e8c422"/>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69e7751"/>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9f4ae5a"/>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17ed45d"/>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458777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81a81a9"/>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d528c4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87fd8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8674e70"/>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eb6df5b"/>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5cd0a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0A658DD"/>
    <w:multiLevelType w:val="multilevel"/>
    <w:tmpl w:val="69601BB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B376DE"/>
    <w:multiLevelType w:val="multilevel"/>
    <w:tmpl w:val="0E76450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F2044A0"/>
    <w:multiLevelType w:val="multilevel"/>
    <w:tmpl w:val="C534F7CC"/>
    <w:lvl w:ilvl="0">
      <w:start w:val="1"/>
      <w:numFmt w:val="bullet"/>
      <w:lvlText w:val="·"/>
      <w:lvlJc w:val="left"/>
      <w:pPr>
        <w:ind w:left="1429" w:hanging="360"/>
      </w:pPr>
      <w:rPr>
        <w:rFonts w:hint="default" w:ascii="Symbol" w:hAnsi="Symbol" w:eastAsia="Symbol" w:cs="Symbol"/>
      </w:rPr>
    </w:lvl>
    <w:lvl w:ilvl="1">
      <w:start w:val="1"/>
      <w:numFmt w:val="bullet"/>
      <w:lvlText w:val="o"/>
      <w:lvlJc w:val="left"/>
      <w:pPr>
        <w:ind w:left="2149" w:hanging="360"/>
      </w:pPr>
      <w:rPr>
        <w:rFonts w:hint="default" w:ascii="Courier New" w:hAnsi="Courier New" w:eastAsia="Courier New" w:cs="Courier New"/>
      </w:rPr>
    </w:lvl>
    <w:lvl w:ilvl="2">
      <w:start w:val="1"/>
      <w:numFmt w:val="bullet"/>
      <w:lvlText w:val="§"/>
      <w:lvlJc w:val="left"/>
      <w:pPr>
        <w:ind w:left="2869" w:hanging="360"/>
      </w:pPr>
      <w:rPr>
        <w:rFonts w:hint="default" w:ascii="Wingdings" w:hAnsi="Wingdings" w:eastAsia="Wingdings" w:cs="Wingdings"/>
      </w:rPr>
    </w:lvl>
    <w:lvl w:ilvl="3">
      <w:start w:val="1"/>
      <w:numFmt w:val="bullet"/>
      <w:lvlText w:val="·"/>
      <w:lvlJc w:val="left"/>
      <w:pPr>
        <w:ind w:left="3589" w:hanging="360"/>
      </w:pPr>
      <w:rPr>
        <w:rFonts w:hint="default" w:ascii="Symbol" w:hAnsi="Symbol" w:eastAsia="Symbol" w:cs="Symbol"/>
      </w:rPr>
    </w:lvl>
    <w:lvl w:ilvl="4">
      <w:start w:val="1"/>
      <w:numFmt w:val="bullet"/>
      <w:lvlText w:val="o"/>
      <w:lvlJc w:val="left"/>
      <w:pPr>
        <w:ind w:left="4309" w:hanging="360"/>
      </w:pPr>
      <w:rPr>
        <w:rFonts w:hint="default" w:ascii="Courier New" w:hAnsi="Courier New" w:eastAsia="Courier New" w:cs="Courier New"/>
      </w:rPr>
    </w:lvl>
    <w:lvl w:ilvl="5">
      <w:start w:val="1"/>
      <w:numFmt w:val="bullet"/>
      <w:lvlText w:val="§"/>
      <w:lvlJc w:val="left"/>
      <w:pPr>
        <w:ind w:left="5029" w:hanging="360"/>
      </w:pPr>
      <w:rPr>
        <w:rFonts w:hint="default" w:ascii="Wingdings" w:hAnsi="Wingdings" w:eastAsia="Wingdings" w:cs="Wingdings"/>
      </w:rPr>
    </w:lvl>
    <w:lvl w:ilvl="6">
      <w:start w:val="1"/>
      <w:numFmt w:val="bullet"/>
      <w:lvlText w:val="·"/>
      <w:lvlJc w:val="left"/>
      <w:pPr>
        <w:ind w:left="5749" w:hanging="360"/>
      </w:pPr>
      <w:rPr>
        <w:rFonts w:hint="default" w:ascii="Symbol" w:hAnsi="Symbol" w:eastAsia="Symbol" w:cs="Symbol"/>
      </w:rPr>
    </w:lvl>
    <w:lvl w:ilvl="7">
      <w:start w:val="1"/>
      <w:numFmt w:val="bullet"/>
      <w:lvlText w:val="o"/>
      <w:lvlJc w:val="left"/>
      <w:pPr>
        <w:ind w:left="6469" w:hanging="360"/>
      </w:pPr>
      <w:rPr>
        <w:rFonts w:hint="default" w:ascii="Courier New" w:hAnsi="Courier New" w:eastAsia="Courier New" w:cs="Courier New"/>
      </w:rPr>
    </w:lvl>
    <w:lvl w:ilvl="8">
      <w:start w:val="1"/>
      <w:numFmt w:val="bullet"/>
      <w:lvlText w:val="§"/>
      <w:lvlJc w:val="left"/>
      <w:pPr>
        <w:ind w:left="7189" w:hanging="360"/>
      </w:pPr>
      <w:rPr>
        <w:rFonts w:hint="default" w:ascii="Wingdings" w:hAnsi="Wingdings" w:eastAsia="Wingdings" w:cs="Wingdings"/>
      </w:rPr>
    </w:lvl>
  </w:abstractNum>
  <w:abstractNum w:abstractNumId="3" w15:restartNumberingAfterBreak="0">
    <w:nsid w:val="4221220D"/>
    <w:multiLevelType w:val="multilevel"/>
    <w:tmpl w:val="302205F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733382573">
    <w:abstractNumId w:val="0"/>
  </w:num>
  <w:num w:numId="2" w16cid:durableId="1434590335">
    <w:abstractNumId w:val="1"/>
  </w:num>
  <w:num w:numId="3" w16cid:durableId="1520310946">
    <w:abstractNumId w:val="2"/>
  </w:num>
  <w:num w:numId="4" w16cid:durableId="999967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910"/>
    <w:rsid w:val="002838C5"/>
    <w:rsid w:val="005B543B"/>
    <w:rsid w:val="009F5E22"/>
    <w:rsid w:val="00A61910"/>
    <w:rsid w:val="00C83036"/>
    <w:rsid w:val="00E072DC"/>
    <w:rsid w:val="00F3647D"/>
    <w:rsid w:val="03125018"/>
    <w:rsid w:val="03A864C8"/>
    <w:rsid w:val="0517EFCC"/>
    <w:rsid w:val="05748BFF"/>
    <w:rsid w:val="05751345"/>
    <w:rsid w:val="05DEFF94"/>
    <w:rsid w:val="0692074A"/>
    <w:rsid w:val="06DA40CE"/>
    <w:rsid w:val="08D343C8"/>
    <w:rsid w:val="0B58D0EB"/>
    <w:rsid w:val="0C634950"/>
    <w:rsid w:val="0D5740FD"/>
    <w:rsid w:val="0E2B60CC"/>
    <w:rsid w:val="104C7A9F"/>
    <w:rsid w:val="10D09156"/>
    <w:rsid w:val="10D1ABA9"/>
    <w:rsid w:val="10F9F39F"/>
    <w:rsid w:val="12AD3226"/>
    <w:rsid w:val="1395419D"/>
    <w:rsid w:val="13C1C884"/>
    <w:rsid w:val="16679F76"/>
    <w:rsid w:val="1819C8A0"/>
    <w:rsid w:val="199EF9AE"/>
    <w:rsid w:val="1A13FD6F"/>
    <w:rsid w:val="1A92460C"/>
    <w:rsid w:val="1C23DFD9"/>
    <w:rsid w:val="1C925621"/>
    <w:rsid w:val="1D563F6E"/>
    <w:rsid w:val="1DEC8BCA"/>
    <w:rsid w:val="1E714C92"/>
    <w:rsid w:val="1FB33D36"/>
    <w:rsid w:val="2209639C"/>
    <w:rsid w:val="249A7A48"/>
    <w:rsid w:val="25895438"/>
    <w:rsid w:val="25CE0A56"/>
    <w:rsid w:val="26DD9783"/>
    <w:rsid w:val="27071846"/>
    <w:rsid w:val="27E35554"/>
    <w:rsid w:val="27F0B1F5"/>
    <w:rsid w:val="2AE501DD"/>
    <w:rsid w:val="2D52844D"/>
    <w:rsid w:val="2D5F911C"/>
    <w:rsid w:val="2D97E310"/>
    <w:rsid w:val="2EE43D39"/>
    <w:rsid w:val="2F578332"/>
    <w:rsid w:val="2F7E3BC8"/>
    <w:rsid w:val="30A9EEA3"/>
    <w:rsid w:val="3156AC43"/>
    <w:rsid w:val="34E23B21"/>
    <w:rsid w:val="356CEDB4"/>
    <w:rsid w:val="36002582"/>
    <w:rsid w:val="378FBA29"/>
    <w:rsid w:val="38AF1BBF"/>
    <w:rsid w:val="3A062333"/>
    <w:rsid w:val="3D153C4E"/>
    <w:rsid w:val="3D5AE771"/>
    <w:rsid w:val="3D83F9A3"/>
    <w:rsid w:val="3E1935B4"/>
    <w:rsid w:val="428FC71E"/>
    <w:rsid w:val="42E54204"/>
    <w:rsid w:val="43911DF1"/>
    <w:rsid w:val="45F0E220"/>
    <w:rsid w:val="46621F8E"/>
    <w:rsid w:val="48970064"/>
    <w:rsid w:val="4B23F308"/>
    <w:rsid w:val="4C179BF9"/>
    <w:rsid w:val="4CA6011F"/>
    <w:rsid w:val="4EF30B87"/>
    <w:rsid w:val="4F2C0920"/>
    <w:rsid w:val="50E355B2"/>
    <w:rsid w:val="51638914"/>
    <w:rsid w:val="521DBDF7"/>
    <w:rsid w:val="52882BED"/>
    <w:rsid w:val="52EB1743"/>
    <w:rsid w:val="5445A9F5"/>
    <w:rsid w:val="5543BA4B"/>
    <w:rsid w:val="55F0D27A"/>
    <w:rsid w:val="5661772E"/>
    <w:rsid w:val="56FF37FD"/>
    <w:rsid w:val="57F3EEBD"/>
    <w:rsid w:val="580519B7"/>
    <w:rsid w:val="58A77544"/>
    <w:rsid w:val="58C2CBB9"/>
    <w:rsid w:val="5B2BA526"/>
    <w:rsid w:val="5BFE941C"/>
    <w:rsid w:val="5C1B89EB"/>
    <w:rsid w:val="5C77F04F"/>
    <w:rsid w:val="5D9BC643"/>
    <w:rsid w:val="5E31699D"/>
    <w:rsid w:val="5E6DC1FA"/>
    <w:rsid w:val="5EBE1926"/>
    <w:rsid w:val="5EEA4FE0"/>
    <w:rsid w:val="5F399C88"/>
    <w:rsid w:val="6045C2D9"/>
    <w:rsid w:val="60C0CE20"/>
    <w:rsid w:val="60EC2B1C"/>
    <w:rsid w:val="62674B36"/>
    <w:rsid w:val="63C0F9AB"/>
    <w:rsid w:val="63D79D24"/>
    <w:rsid w:val="66491437"/>
    <w:rsid w:val="66BE184A"/>
    <w:rsid w:val="6820776B"/>
    <w:rsid w:val="6938E7E2"/>
    <w:rsid w:val="698A1995"/>
    <w:rsid w:val="6C375B4F"/>
    <w:rsid w:val="6DDCB7E4"/>
    <w:rsid w:val="70C6338A"/>
    <w:rsid w:val="72162CCD"/>
    <w:rsid w:val="7460AE63"/>
    <w:rsid w:val="74DB65CA"/>
    <w:rsid w:val="76ADA4CD"/>
    <w:rsid w:val="76C4F95E"/>
    <w:rsid w:val="77CC3D7F"/>
    <w:rsid w:val="785D8A2B"/>
    <w:rsid w:val="786E0A9D"/>
    <w:rsid w:val="799B92C8"/>
    <w:rsid w:val="7A8BCBC7"/>
    <w:rsid w:val="7A9CFB1D"/>
    <w:rsid w:val="7B65483A"/>
    <w:rsid w:val="7CFBCAB4"/>
    <w:rsid w:val="7D7BC0D8"/>
    <w:rsid w:val="7E002742"/>
    <w:rsid w:val="7E4E1E8C"/>
    <w:rsid w:val="7E638C83"/>
    <w:rsid w:val="7F1EB166"/>
    <w:rsid w:val="7FCE6EC2"/>
    <w:rsid w:val="7FEBAA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5EEC3"/>
  <w15:docId w15:val="{76A03AFA-3E9F-4C75-8D08-316D047E5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eGridLight">
    <w:name w:val="Grid Table Light"/>
    <w:basedOn w:val="TableNormal"/>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PlainTable1">
    <w:name w:val="Plain Table 1"/>
    <w:basedOn w:val="TableNormal"/>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color="000000" w:sz="4" w:space="0"/>
          <w:bottom w:val="single" w:color="404040" w:sz="4" w:space="0"/>
          <w:right w:val="none" w:color="000000" w:sz="4" w:space="0"/>
        </w:tcBorders>
        <w:shd w:val="clear" w:color="FFFFFF" w:fill="auto"/>
      </w:tcPr>
    </w:tblStylePr>
    <w:tblStylePr w:type="lastRow">
      <w:rPr>
        <w:i/>
        <w:color w:val="404040"/>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color w:val="404040"/>
      </w:rPr>
      <w:tbl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firstRow">
      <w:rPr>
        <w:b/>
        <w:color w:val="404040"/>
      </w:rPr>
      <w:tblPr/>
      <w:tcPr>
        <w:tcBorders>
          <w:bottom w:val="single" w:color="4AB2E1"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firstRow">
      <w:rPr>
        <w:b/>
        <w:color w:val="404040"/>
      </w:rPr>
      <w:tblPr/>
      <w:tcPr>
        <w:tcBorders>
          <w:bottom w:val="single" w:color="F2AB87"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firstRow">
      <w:rPr>
        <w:b/>
        <w:color w:val="404040"/>
      </w:rPr>
      <w:tblPr/>
      <w:tcPr>
        <w:tcBorders>
          <w:bottom w:val="single" w:color="4BD55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firstRow">
      <w:rPr>
        <w:b/>
        <w:color w:val="404040"/>
      </w:rPr>
      <w:tblPr/>
      <w:tcPr>
        <w:tcBorders>
          <w:bottom w:val="single" w:color="64CCF4"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firstRow">
      <w:rPr>
        <w:b/>
        <w:color w:val="404040"/>
      </w:rPr>
      <w:tblPr/>
      <w:tcPr>
        <w:tcBorders>
          <w:bottom w:val="single" w:color="D971C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firstRow">
      <w:rPr>
        <w:b/>
        <w:color w:val="404040"/>
      </w:rPr>
      <w:tblPr/>
      <w:tcPr>
        <w:tcBorders>
          <w:bottom w:val="single" w:color="90D976"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bl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firstRow">
      <w:rPr>
        <w:b/>
        <w:color w:val="404040"/>
      </w:rPr>
      <w:tblPr/>
      <w:tcPr>
        <w:tcBorders>
          <w:top w:val="none" w:color="000000" w:sz="4" w:space="0"/>
          <w:left w:val="none" w:color="000000" w:sz="4" w:space="0"/>
          <w:bottom w:val="single" w:color="19729B" w:themeColor="accent1" w:themeTint="EA" w:sz="12" w:space="0"/>
          <w:right w:val="none" w:color="000000" w:sz="4" w:space="0"/>
        </w:tcBorders>
        <w:shd w:val="clear" w:color="FFFFFF" w:fill="auto"/>
      </w:tcPr>
    </w:tblStylePr>
    <w:tblStylePr w:type="lastRow">
      <w:rPr>
        <w:b/>
        <w:color w:val="404040"/>
      </w:rPr>
      <w:tblPr/>
      <w:tcPr>
        <w:tcBorders>
          <w:top w:val="single" w:color="19729B"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firstRow">
      <w:rPr>
        <w:b/>
        <w:color w:val="404040"/>
      </w:rPr>
      <w:tblPr/>
      <w:tcPr>
        <w:tcBorders>
          <w:top w:val="none" w:color="000000" w:sz="4" w:space="0"/>
          <w:left w:val="none" w:color="000000" w:sz="4" w:space="0"/>
          <w:bottom w:val="single" w:color="F2AA85" w:themeColor="accent2" w:themeTint="97" w:sz="12" w:space="0"/>
          <w:right w:val="none" w:color="000000" w:sz="4" w:space="0"/>
        </w:tcBorders>
        <w:shd w:val="clear" w:color="FFFFFF" w:fill="auto"/>
      </w:tcPr>
    </w:tblStylePr>
    <w:tblStylePr w:type="lastRow">
      <w:rPr>
        <w:b/>
        <w:color w:val="404040"/>
      </w:rPr>
      <w:tblPr/>
      <w:tcPr>
        <w:tcBorders>
          <w:top w:val="single" w:color="F2AA85"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404040"/>
      </w:rPr>
      <w:tblPr/>
      <w:tcPr>
        <w:tcBorders>
          <w:top w:val="none" w:color="000000" w:sz="4" w:space="0"/>
          <w:left w:val="none" w:color="000000" w:sz="4" w:space="0"/>
          <w:bottom w:val="single" w:color="196C24" w:themeColor="accent3" w:themeTint="FE" w:sz="12" w:space="0"/>
          <w:right w:val="none" w:color="000000" w:sz="4" w:space="0"/>
        </w:tcBorders>
        <w:shd w:val="clear" w:color="FFFFFF" w:fill="auto"/>
      </w:tcPr>
    </w:tblStylePr>
    <w:tblStylePr w:type="lastRow">
      <w:rPr>
        <w:b/>
        <w:color w:val="404040"/>
      </w:rPr>
      <w:tblPr/>
      <w:tcPr>
        <w:tcBorders>
          <w:top w:val="single" w:color="196C24"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404040"/>
      </w:rPr>
      <w:tblPr/>
      <w:tcPr>
        <w:tcBorders>
          <w:top w:val="none" w:color="000000" w:sz="4" w:space="0"/>
          <w:left w:val="none" w:color="000000" w:sz="4" w:space="0"/>
          <w:bottom w:val="single" w:color="5FCAF3" w:themeColor="accent4" w:themeTint="9A" w:sz="12" w:space="0"/>
          <w:right w:val="none" w:color="000000" w:sz="4" w:space="0"/>
        </w:tcBorders>
        <w:shd w:val="clear" w:color="FFFFFF" w:fill="auto"/>
      </w:tcPr>
    </w:tblStylePr>
    <w:tblStylePr w:type="lastRow">
      <w:rPr>
        <w:b/>
        <w:color w:val="404040"/>
      </w:rPr>
      <w:tblPr/>
      <w:tcPr>
        <w:tcBorders>
          <w:top w:val="single" w:color="5FCAF3"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color="A02B93" w:themeColor="accent5" w:sz="4" w:space="0"/>
        <w:insideH w:val="single" w:color="A02B93" w:themeColor="accent5" w:sz="4" w:space="0"/>
        <w:insideV w:val="single" w:color="A02B93" w:themeColor="accent5" w:sz="4" w:space="0"/>
      </w:tblBorders>
    </w:tblPr>
    <w:tblStylePr w:type="firstRow">
      <w:rPr>
        <w:b/>
        <w:color w:val="404040"/>
      </w:rPr>
      <w:tblPr/>
      <w:tcPr>
        <w:tcBorders>
          <w:top w:val="none" w:color="000000" w:sz="4" w:space="0"/>
          <w:left w:val="none" w:color="000000" w:sz="4" w:space="0"/>
          <w:bottom w:val="single" w:color="A02B93" w:themeColor="accent5" w:sz="12" w:space="0"/>
          <w:right w:val="none" w:color="000000" w:sz="4" w:space="0"/>
        </w:tcBorders>
        <w:shd w:val="clear" w:color="FFFFFF" w:fill="auto"/>
      </w:tcPr>
    </w:tblStylePr>
    <w:tblStylePr w:type="lastRow">
      <w:rPr>
        <w:b/>
        <w:color w:val="404040"/>
      </w:rPr>
      <w:tblPr/>
      <w:tcPr>
        <w:tcBorders>
          <w:top w:val="single" w:color="A02B93"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color="4EA72E" w:themeColor="accent6" w:sz="4" w:space="0"/>
        <w:insideH w:val="single" w:color="4EA72E" w:themeColor="accent6" w:sz="4" w:space="0"/>
        <w:insideV w:val="single" w:color="4EA72E" w:themeColor="accent6" w:sz="4" w:space="0"/>
      </w:tblBorders>
    </w:tblPr>
    <w:tblStylePr w:type="firstRow">
      <w:rPr>
        <w:b/>
        <w:color w:val="404040"/>
      </w:rPr>
      <w:tblPr/>
      <w:tcPr>
        <w:tcBorders>
          <w:top w:val="none" w:color="000000" w:sz="4" w:space="0"/>
          <w:left w:val="none" w:color="000000" w:sz="4" w:space="0"/>
          <w:bottom w:val="single" w:color="4EA72E" w:themeColor="accent6" w:sz="12" w:space="0"/>
          <w:right w:val="none" w:color="000000" w:sz="4" w:space="0"/>
        </w:tcBorders>
        <w:shd w:val="clear" w:color="FFFFFF" w:fill="auto"/>
      </w:tcPr>
    </w:tblStylePr>
    <w:tblStylePr w:type="lastRow">
      <w:rPr>
        <w:b/>
        <w:color w:val="404040"/>
      </w:rPr>
      <w:tblPr/>
      <w:tcPr>
        <w:tcBorders>
          <w:top w:val="single" w:color="4EA72E"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color="A02B93" w:themeColor="accent5" w:sz="4" w:space="0"/>
        <w:insideH w:val="single" w:color="A02B93" w:themeColor="accent5" w:sz="4" w:space="0"/>
        <w:insideV w:val="single" w:color="A02B93" w:themeColor="accent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color="4EA72E" w:themeColor="accent6" w:sz="4" w:space="0"/>
        <w:insideH w:val="single" w:color="4EA72E" w:themeColor="accent6" w:sz="4" w:space="0"/>
        <w:insideV w:val="single" w:color="4EA72E" w:themeColor="accent6"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firstRow">
      <w:rPr>
        <w:rFonts w:ascii="Arial" w:hAnsi="Arial"/>
        <w:b/>
        <w:color w:val="FFFFFF"/>
        <w:sz w:val="22"/>
      </w:rPr>
      <w:tblPr/>
      <w:tcPr>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shd w:val="clear" w:color="19729B" w:themeColor="accent1" w:themeTint="EA" w:fill="19729B" w:themeFill="accent1" w:themeFillTint="EA"/>
      </w:tcPr>
    </w:tblStylePr>
    <w:tblStylePr w:type="lastRow">
      <w:rPr>
        <w:b/>
        <w:color w:val="404040"/>
      </w:rPr>
      <w:tblPr/>
      <w:tcPr>
        <w:tcBorders>
          <w:top w:val="single" w:color="19729B"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firstRow">
      <w:rPr>
        <w:rFonts w:ascii="Arial" w:hAnsi="Arial"/>
        <w:b/>
        <w:color w:val="FFFFFF"/>
        <w:sz w:val="22"/>
      </w:rPr>
      <w:tblPr/>
      <w:tcPr>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shd w:val="clear" w:color="F2AA85" w:themeColor="accent2" w:themeTint="97" w:fill="F2AA85" w:themeFill="accent2" w:themeFillTint="97"/>
      </w:tcPr>
    </w:tblStylePr>
    <w:tblStylePr w:type="lastRow">
      <w:rPr>
        <w:b/>
        <w:color w:val="404040"/>
      </w:rPr>
      <w:tblPr/>
      <w:tcPr>
        <w:tcBorders>
          <w:top w:val="single" w:color="F2AA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firstRow">
      <w:rPr>
        <w:rFonts w:ascii="Arial" w:hAnsi="Arial"/>
        <w:b/>
        <w:color w:val="FFFFFF"/>
        <w:sz w:val="22"/>
      </w:rPr>
      <w:tblPr/>
      <w:tcPr>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shd w:val="clear" w:color="196C24" w:themeColor="accent3" w:themeTint="FE" w:fill="196C24" w:themeFill="accent3" w:themeFillTint="FE"/>
      </w:tcPr>
    </w:tblStylePr>
    <w:tblStylePr w:type="lastRow">
      <w:rPr>
        <w:b/>
        <w:color w:val="404040"/>
      </w:rPr>
      <w:tblPr/>
      <w:tcPr>
        <w:tcBorders>
          <w:top w:val="single" w:color="196C24"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firstRow">
      <w:rPr>
        <w:rFonts w:ascii="Arial" w:hAnsi="Arial"/>
        <w:b/>
        <w:color w:val="FFFFFF"/>
        <w:sz w:val="22"/>
      </w:rPr>
      <w:tblPr/>
      <w:tcPr>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shd w:val="clear" w:color="5FCAF3" w:themeColor="accent4" w:themeTint="9A" w:fill="5FCAF3" w:themeFill="accent4" w:themeFillTint="9A"/>
      </w:tcPr>
    </w:tblStylePr>
    <w:tblStylePr w:type="lastRow">
      <w:rPr>
        <w:b/>
        <w:color w:val="404040"/>
      </w:rPr>
      <w:tblPr/>
      <w:tcPr>
        <w:tcBorders>
          <w:top w:val="single" w:color="5FCAF3"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firstRow">
      <w:rPr>
        <w:rFonts w:ascii="Arial" w:hAnsi="Arial"/>
        <w:b/>
        <w:color w:val="FFFFFF"/>
        <w:sz w:val="22"/>
      </w:rPr>
      <w:tblPr/>
      <w:tcPr>
        <w:tcBorders>
          <w:top w:val="single" w:color="A02B93" w:themeColor="accent5" w:sz="4" w:space="0"/>
          <w:left w:val="single" w:color="A02B93" w:themeColor="accent5" w:sz="4" w:space="0"/>
          <w:bottom w:val="single" w:color="A02B93" w:themeColor="accent5" w:sz="4" w:space="0"/>
          <w:right w:val="single" w:color="A02B93" w:themeColor="accent5" w:sz="4" w:space="0"/>
        </w:tcBorders>
        <w:shd w:val="clear" w:color="A02B93" w:themeColor="accent5" w:fill="A02B93" w:themeFill="accent5"/>
      </w:tcPr>
    </w:tblStylePr>
    <w:tblStylePr w:type="lastRow">
      <w:rPr>
        <w:b/>
        <w:color w:val="404040"/>
      </w:rPr>
      <w:tblPr/>
      <w:tcPr>
        <w:tcBorders>
          <w:top w:val="single" w:color="A02B93"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firstRow">
      <w:rPr>
        <w:rFonts w:ascii="Arial" w:hAnsi="Arial"/>
        <w:b/>
        <w:color w:val="FFFFFF"/>
        <w:sz w:val="22"/>
      </w:rPr>
      <w:tblPr/>
      <w:tcPr>
        <w:tcBorders>
          <w:top w:val="single" w:color="4EA72E" w:themeColor="accent6" w:sz="4" w:space="0"/>
          <w:left w:val="single" w:color="4EA72E" w:themeColor="accent6" w:sz="4" w:space="0"/>
          <w:bottom w:val="single" w:color="4EA72E" w:themeColor="accent6" w:sz="4" w:space="0"/>
          <w:right w:val="single" w:color="4EA72E" w:themeColor="accent6" w:sz="4" w:space="0"/>
        </w:tcBorders>
        <w:shd w:val="clear" w:color="4EA72E" w:themeColor="accent6" w:fill="4EA72E" w:themeFill="accent6"/>
      </w:tcPr>
    </w:tblStylePr>
    <w:tblStylePr w:type="lastRow">
      <w:rPr>
        <w:b/>
        <w:color w:val="404040"/>
      </w:rPr>
      <w:tblPr/>
      <w:tcPr>
        <w:tcBorders>
          <w:top w:val="single" w:color="4EA72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GridTable5Dark-Accent1" w:customStyle="1">
    <w:name w:val="Grid Table 5 Dark- Accent 1"/>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color="FFFFFF" w:themeColor="light1" w:sz="4" w:space="0"/>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color="FFFFFF" w:themeColor="light1" w:sz="4" w:space="0"/>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color="FFFFFF" w:themeColor="light1" w:sz="4" w:space="0"/>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styleId="GridTable5Dark-Accent4" w:customStyle="1">
    <w:name w:val="Grid Table 5 Dark- Accent 4"/>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color="FFFFFF" w:themeColor="light1" w:sz="4" w:space="0"/>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color="FFFFFF" w:themeColor="light1" w:sz="4" w:space="0"/>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color="FFFFFF" w:themeColor="light1" w:sz="4" w:space="0"/>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firstRow">
      <w:rPr>
        <w:b/>
        <w:color w:val="63BDE6" w:themeColor="accent1" w:themeTint="80" w:themeShade="95"/>
      </w:rPr>
      <w:tblPr/>
      <w:tcPr>
        <w:tcBorders>
          <w:bottom w:val="single" w:color="63BDE6" w:themeColor="accent1" w:themeTint="80" w:sz="12" w:space="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firstRow">
      <w:rPr>
        <w:b/>
        <w:color w:val="F2AA85" w:themeColor="accent2" w:themeTint="97" w:themeShade="95"/>
      </w:rPr>
      <w:tblPr/>
      <w:tcPr>
        <w:tcBorders>
          <w:bottom w:val="single" w:color="F2AA85" w:themeColor="accent2" w:themeTint="97" w:sz="12" w:space="0"/>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196C24" w:themeColor="accent3" w:themeTint="FE" w:themeShade="95"/>
      </w:rPr>
      <w:tblPr/>
      <w:tcPr>
        <w:tcBorders>
          <w:bottom w:val="single" w:color="196C24" w:themeColor="accent3" w:themeTint="FE" w:sz="12" w:space="0"/>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5FCAF3" w:themeColor="accent4" w:themeTint="9A" w:themeShade="95"/>
      </w:rPr>
      <w:tblPr/>
      <w:tcPr>
        <w:tcBorders>
          <w:bottom w:val="single" w:color="5FCAF3" w:themeColor="accent4" w:themeTint="9A" w:sz="12" w:space="0"/>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firstRow">
      <w:rPr>
        <w:b/>
        <w:color w:val="5D1955" w:themeColor="accent5" w:themeShade="95"/>
      </w:rPr>
      <w:tblPr/>
      <w:tcPr>
        <w:tcBorders>
          <w:bottom w:val="single" w:color="A02B93" w:themeColor="accent5" w:sz="12" w:space="0"/>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firstRow">
      <w:rPr>
        <w:b/>
        <w:color w:val="5D1955" w:themeColor="accent5" w:themeShade="95"/>
      </w:rPr>
      <w:tblPr/>
      <w:tcPr>
        <w:tcBorders>
          <w:bottom w:val="single" w:color="4EA72E" w:themeColor="accent6" w:sz="12" w:space="0"/>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rFonts w:ascii="Arial" w:hAnsi="Arial"/>
        <w:b/>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firstRow">
      <w:rPr>
        <w:rFonts w:ascii="Arial" w:hAnsi="Arial"/>
        <w:b/>
        <w:color w:val="63BDE6" w:themeColor="accent1" w:themeTint="80" w:themeShade="95"/>
        <w:sz w:val="22"/>
      </w:rPr>
      <w:tblPr/>
      <w:tcPr>
        <w:tcBorders>
          <w:top w:val="none" w:color="auto" w:sz="0" w:space="0"/>
          <w:left w:val="none" w:color="auto" w:sz="0" w:space="0"/>
          <w:bottom w:val="single" w:color="63BDE6" w:themeColor="accent1" w:themeTint="80" w:sz="4" w:space="0"/>
          <w:right w:val="none" w:color="auto" w:sz="0" w:space="0"/>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color="63BDE6" w:themeColor="accen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color="auto" w:sz="0" w:space="0"/>
          <w:left w:val="none" w:color="auto" w:sz="0" w:space="0"/>
          <w:bottom w:val="none" w:color="auto" w:sz="0" w:space="0"/>
          <w:right w:val="single" w:color="63BDE6" w:themeColor="accent1" w:themeTint="80" w:sz="4" w:space="0"/>
        </w:tcBorders>
        <w:shd w:val="clear" w:color="FFFFFF" w:fill="auto"/>
      </w:tcPr>
    </w:tblStylePr>
    <w:tblStylePr w:type="lastCol">
      <w:rPr>
        <w:rFonts w:ascii="Arial" w:hAnsi="Arial"/>
        <w:i/>
        <w:color w:val="63BDE6" w:themeColor="accent1" w:themeTint="80" w:themeShade="95"/>
        <w:sz w:val="22"/>
      </w:rPr>
      <w:tblPr/>
      <w:tcPr>
        <w:tcBorders>
          <w:top w:val="none" w:color="auto" w:sz="0" w:space="0"/>
          <w:left w:val="single" w:color="63BDE6" w:themeColor="accent1" w:themeTint="80" w:sz="4" w:space="0"/>
          <w:bottom w:val="none" w:color="auto" w:sz="0" w:space="0"/>
          <w:right w:val="none" w:color="auto" w:sz="0" w:space="0"/>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firstRow">
      <w:rPr>
        <w:rFonts w:ascii="Arial" w:hAnsi="Arial"/>
        <w:b/>
        <w:color w:val="F2AA85" w:themeColor="accent2" w:themeTint="97" w:themeShade="95"/>
        <w:sz w:val="22"/>
      </w:rPr>
      <w:tblPr/>
      <w:tcPr>
        <w:tcBorders>
          <w:top w:val="none" w:color="auto" w:sz="0" w:space="0"/>
          <w:left w:val="none" w:color="auto" w:sz="0" w:space="0"/>
          <w:bottom w:val="single" w:color="F2AA85" w:themeColor="accent2" w:themeTint="97" w:sz="4" w:space="0"/>
          <w:right w:val="none" w:color="auto" w:sz="0" w:space="0"/>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color="F2AA8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color="auto" w:sz="0" w:space="0"/>
          <w:left w:val="none" w:color="auto" w:sz="0" w:space="0"/>
          <w:bottom w:val="none" w:color="auto" w:sz="0" w:space="0"/>
          <w:right w:val="single" w:color="F2AA85" w:themeColor="accent2" w:themeTint="97" w:sz="4" w:space="0"/>
        </w:tcBorders>
        <w:shd w:val="clear" w:color="FFFFFF" w:fill="auto"/>
      </w:tcPr>
    </w:tblStylePr>
    <w:tblStylePr w:type="lastCol">
      <w:rPr>
        <w:rFonts w:ascii="Arial" w:hAnsi="Arial"/>
        <w:i/>
        <w:color w:val="F2AA85" w:themeColor="accent2" w:themeTint="97" w:themeShade="95"/>
        <w:sz w:val="22"/>
      </w:rPr>
      <w:tblPr/>
      <w:tcPr>
        <w:tcBorders>
          <w:top w:val="none" w:color="auto" w:sz="0" w:space="0"/>
          <w:left w:val="single" w:color="F2AA85" w:themeColor="accent2" w:themeTint="97" w:sz="4" w:space="0"/>
          <w:bottom w:val="none" w:color="auto" w:sz="0" w:space="0"/>
          <w:right w:val="none" w:color="auto" w:sz="0" w:space="0"/>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firstRow">
      <w:rPr>
        <w:rFonts w:ascii="Arial" w:hAnsi="Arial"/>
        <w:b/>
        <w:color w:val="196C24" w:themeColor="accent3" w:themeTint="FE" w:themeShade="95"/>
        <w:sz w:val="22"/>
      </w:rPr>
      <w:tblPr/>
      <w:tcPr>
        <w:tcBorders>
          <w:top w:val="none" w:color="auto" w:sz="0" w:space="0"/>
          <w:left w:val="none" w:color="auto" w:sz="0" w:space="0"/>
          <w:bottom w:val="single" w:color="196C24" w:themeColor="accent3" w:themeTint="FE" w:sz="4" w:space="0"/>
          <w:right w:val="none" w:color="auto" w:sz="0" w:space="0"/>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color="196C24" w:themeColor="accent3" w:themeTint="FE"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color="auto" w:sz="0" w:space="0"/>
          <w:left w:val="none" w:color="auto" w:sz="0" w:space="0"/>
          <w:bottom w:val="none" w:color="auto" w:sz="0" w:space="0"/>
          <w:right w:val="single" w:color="196C24" w:themeColor="accent3" w:themeTint="FE" w:sz="4" w:space="0"/>
        </w:tcBorders>
        <w:shd w:val="clear" w:color="FFFFFF" w:fill="auto"/>
      </w:tcPr>
    </w:tblStylePr>
    <w:tblStylePr w:type="lastCol">
      <w:rPr>
        <w:rFonts w:ascii="Arial" w:hAnsi="Arial"/>
        <w:i/>
        <w:color w:val="196C24" w:themeColor="accent3" w:themeTint="FE" w:themeShade="95"/>
        <w:sz w:val="22"/>
      </w:rPr>
      <w:tblPr/>
      <w:tcPr>
        <w:tcBorders>
          <w:top w:val="none" w:color="auto" w:sz="0" w:space="0"/>
          <w:left w:val="single" w:color="196C24" w:themeColor="accent3" w:themeTint="FE" w:sz="4" w:space="0"/>
          <w:bottom w:val="none" w:color="auto" w:sz="0" w:space="0"/>
          <w:right w:val="none" w:color="auto" w:sz="0" w:space="0"/>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firstRow">
      <w:rPr>
        <w:rFonts w:ascii="Arial" w:hAnsi="Arial"/>
        <w:b/>
        <w:color w:val="5FCAF3" w:themeColor="accent4" w:themeTint="9A" w:themeShade="95"/>
        <w:sz w:val="22"/>
      </w:rPr>
      <w:tblPr/>
      <w:tcPr>
        <w:tcBorders>
          <w:top w:val="none" w:color="auto" w:sz="0" w:space="0"/>
          <w:left w:val="none" w:color="auto" w:sz="0" w:space="0"/>
          <w:bottom w:val="single" w:color="5FCAF3" w:themeColor="accent4" w:themeTint="9A" w:sz="4" w:space="0"/>
          <w:right w:val="none" w:color="auto" w:sz="0" w:space="0"/>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color="5FCAF3"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color="auto" w:sz="0" w:space="0"/>
          <w:left w:val="none" w:color="auto" w:sz="0" w:space="0"/>
          <w:bottom w:val="none" w:color="auto" w:sz="0" w:space="0"/>
          <w:right w:val="single" w:color="5FCAF3" w:themeColor="accent4" w:themeTint="9A" w:sz="4" w:space="0"/>
        </w:tcBorders>
        <w:shd w:val="clear" w:color="FFFFFF" w:fill="auto"/>
      </w:tcPr>
    </w:tblStylePr>
    <w:tblStylePr w:type="lastCol">
      <w:rPr>
        <w:rFonts w:ascii="Arial" w:hAnsi="Arial"/>
        <w:i/>
        <w:color w:val="5FCAF3" w:themeColor="accent4" w:themeTint="9A" w:themeShade="95"/>
        <w:sz w:val="22"/>
      </w:rPr>
      <w:tblPr/>
      <w:tcPr>
        <w:tcBorders>
          <w:top w:val="none" w:color="auto" w:sz="0" w:space="0"/>
          <w:left w:val="single" w:color="5FCAF3" w:themeColor="accent4" w:themeTint="9A" w:sz="4" w:space="0"/>
          <w:bottom w:val="none" w:color="auto" w:sz="0" w:space="0"/>
          <w:right w:val="none" w:color="auto" w:sz="0" w:space="0"/>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firstRow">
      <w:rPr>
        <w:rFonts w:ascii="Arial" w:hAnsi="Arial"/>
        <w:b/>
        <w:color w:val="5D1955" w:themeColor="accent5" w:themeShade="95"/>
        <w:sz w:val="22"/>
      </w:rPr>
      <w:tblPr/>
      <w:tcPr>
        <w:tcBorders>
          <w:top w:val="none" w:color="auto" w:sz="0" w:space="0"/>
          <w:left w:val="none" w:color="auto" w:sz="0" w:space="0"/>
          <w:bottom w:val="single" w:color="DA76CE" w:themeColor="accent5" w:themeTint="90" w:sz="4" w:space="0"/>
          <w:right w:val="none" w:color="auto" w:sz="0" w:space="0"/>
        </w:tcBorders>
        <w:shd w:val="clear" w:color="FFFFFF" w:themeColor="light1" w:fill="FFFFFF" w:themeFill="light1"/>
      </w:tcPr>
    </w:tblStylePr>
    <w:tblStylePr w:type="lastRow">
      <w:rPr>
        <w:rFonts w:ascii="Arial" w:hAnsi="Arial"/>
        <w:b/>
        <w:color w:val="5D1955" w:themeColor="accent5" w:themeShade="95"/>
        <w:sz w:val="22"/>
      </w:rPr>
      <w:tblPr/>
      <w:tcPr>
        <w:tcBorders>
          <w:top w:val="single" w:color="DA76CE" w:themeColor="accent5"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color="auto" w:sz="0" w:space="0"/>
          <w:left w:val="none" w:color="auto" w:sz="0" w:space="0"/>
          <w:bottom w:val="none" w:color="auto" w:sz="0" w:space="0"/>
          <w:right w:val="single" w:color="DA76CE" w:themeColor="accent5" w:themeTint="90" w:sz="4" w:space="0"/>
        </w:tcBorders>
        <w:shd w:val="clear" w:color="FFFFFF" w:fill="auto"/>
      </w:tcPr>
    </w:tblStylePr>
    <w:tblStylePr w:type="lastCol">
      <w:rPr>
        <w:rFonts w:ascii="Arial" w:hAnsi="Arial"/>
        <w:i/>
        <w:color w:val="5D1955" w:themeColor="accent5" w:themeShade="95"/>
        <w:sz w:val="22"/>
      </w:rPr>
      <w:tblPr/>
      <w:tcPr>
        <w:tcBorders>
          <w:top w:val="none" w:color="auto" w:sz="0" w:space="0"/>
          <w:left w:val="single" w:color="DA76CE" w:themeColor="accent5" w:themeTint="90" w:sz="4" w:space="0"/>
          <w:bottom w:val="none" w:color="auto" w:sz="0" w:space="0"/>
          <w:right w:val="none" w:color="auto" w:sz="0" w:space="0"/>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firstRow">
      <w:rPr>
        <w:rFonts w:ascii="Arial" w:hAnsi="Arial"/>
        <w:b/>
        <w:color w:val="2D611B" w:themeColor="accent6" w:themeShade="95"/>
        <w:sz w:val="22"/>
      </w:rPr>
      <w:tblPr/>
      <w:tcPr>
        <w:tcBorders>
          <w:top w:val="none" w:color="auto" w:sz="0" w:space="0"/>
          <w:left w:val="none" w:color="auto" w:sz="0" w:space="0"/>
          <w:bottom w:val="single" w:color="94DA7B" w:themeColor="accent6" w:themeTint="90" w:sz="4" w:space="0"/>
          <w:right w:val="none" w:color="auto" w:sz="0" w:space="0"/>
        </w:tcBorders>
        <w:shd w:val="clear" w:color="FFFFFF" w:themeColor="light1" w:fill="FFFFFF" w:themeFill="light1"/>
      </w:tcPr>
    </w:tblStylePr>
    <w:tblStylePr w:type="lastRow">
      <w:rPr>
        <w:rFonts w:ascii="Arial" w:hAnsi="Arial"/>
        <w:b/>
        <w:color w:val="2D611B" w:themeColor="accent6" w:themeShade="95"/>
        <w:sz w:val="22"/>
      </w:rPr>
      <w:tblPr/>
      <w:tcPr>
        <w:tcBorders>
          <w:top w:val="single" w:color="94DA7B" w:themeColor="accent6"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color="auto" w:sz="0" w:space="0"/>
          <w:left w:val="none" w:color="auto" w:sz="0" w:space="0"/>
          <w:bottom w:val="none" w:color="auto" w:sz="0" w:space="0"/>
          <w:right w:val="single" w:color="94DA7B" w:themeColor="accent6" w:themeTint="90" w:sz="4" w:space="0"/>
        </w:tcBorders>
        <w:shd w:val="clear" w:color="FFFFFF" w:fill="auto"/>
      </w:tcPr>
    </w:tblStylePr>
    <w:tblStylePr w:type="lastCol">
      <w:rPr>
        <w:rFonts w:ascii="Arial" w:hAnsi="Arial"/>
        <w:i/>
        <w:color w:val="2D611B" w:themeColor="accent6" w:themeShade="95"/>
        <w:sz w:val="22"/>
      </w:rPr>
      <w:tblPr/>
      <w:tcPr>
        <w:tcBorders>
          <w:top w:val="none" w:color="auto" w:sz="0" w:space="0"/>
          <w:left w:val="single" w:color="94DA7B" w:themeColor="accent6" w:themeTint="90" w:sz="4" w:space="0"/>
          <w:bottom w:val="none" w:color="auto" w:sz="0" w:space="0"/>
          <w:right w:val="none" w:color="auto" w:sz="0" w:space="0"/>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156082" w:themeColor="accent1" w:sz="4" w:space="0"/>
          <w:right w:val="none" w:color="000000" w:sz="4" w:space="0"/>
        </w:tcBorders>
      </w:tcPr>
    </w:tblStylePr>
    <w:tblStylePr w:type="lastRow">
      <w:rPr>
        <w:b/>
        <w:color w:val="404040"/>
      </w:rPr>
      <w:tblPr/>
      <w:tcPr>
        <w:tcBorders>
          <w:top w:val="single" w:color="156082"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E97132" w:themeColor="accent2" w:sz="4" w:space="0"/>
          <w:right w:val="none" w:color="000000" w:sz="4" w:space="0"/>
        </w:tcBorders>
      </w:tcPr>
    </w:tblStylePr>
    <w:tblStylePr w:type="lastRow">
      <w:rPr>
        <w:b/>
        <w:color w:val="404040"/>
      </w:rPr>
      <w:tblPr/>
      <w:tcPr>
        <w:tcBorders>
          <w:top w:val="single" w:color="E97132"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196B24" w:themeColor="accent3" w:sz="4" w:space="0"/>
          <w:right w:val="none" w:color="000000" w:sz="4" w:space="0"/>
        </w:tcBorders>
      </w:tcPr>
    </w:tblStylePr>
    <w:tblStylePr w:type="lastRow">
      <w:rPr>
        <w:b/>
        <w:color w:val="404040"/>
      </w:rPr>
      <w:tblPr/>
      <w:tcPr>
        <w:tcBorders>
          <w:top w:val="single" w:color="196B24"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0F9ED5" w:themeColor="accent4" w:sz="4" w:space="0"/>
          <w:right w:val="none" w:color="000000" w:sz="4" w:space="0"/>
        </w:tcBorders>
      </w:tcPr>
    </w:tblStylePr>
    <w:tblStylePr w:type="lastRow">
      <w:rPr>
        <w:b/>
        <w:color w:val="404040"/>
      </w:rPr>
      <w:tblPr/>
      <w:tcPr>
        <w:tcBorders>
          <w:top w:val="single" w:color="0F9ED5"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A02B93" w:themeColor="accent5" w:sz="4" w:space="0"/>
          <w:right w:val="none" w:color="000000" w:sz="4" w:space="0"/>
        </w:tcBorders>
      </w:tcPr>
    </w:tblStylePr>
    <w:tblStylePr w:type="lastRow">
      <w:rPr>
        <w:b/>
        <w:color w:val="404040"/>
      </w:rPr>
      <w:tblPr/>
      <w:tcPr>
        <w:tcBorders>
          <w:top w:val="single" w:color="A02B93"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4EA72E" w:themeColor="accent6" w:sz="4" w:space="0"/>
          <w:right w:val="none" w:color="000000" w:sz="4" w:space="0"/>
        </w:tcBorders>
      </w:tcPr>
    </w:tblStylePr>
    <w:tblStylePr w:type="lastRow">
      <w:rPr>
        <w:b/>
        <w:color w:val="404040"/>
      </w:rPr>
      <w:tblPr/>
      <w:tcPr>
        <w:tcBorders>
          <w:top w:val="single" w:color="4EA72E"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color="50B4E2" w:themeColor="accent1" w:themeTint="90" w:sz="4" w:space="0"/>
        <w:bottom w:val="single" w:color="50B4E2" w:themeColor="accent1" w:themeTint="90" w:sz="4" w:space="0"/>
        <w:insideH w:val="single" w:color="50B4E2" w:themeColor="accent1" w:themeTint="90" w:sz="4" w:space="0"/>
      </w:tblBorders>
    </w:tblPr>
    <w:tblStylePr w:type="firstRow">
      <w:rPr>
        <w:rFonts w:ascii="Arial" w:hAnsi="Arial"/>
        <w:b/>
        <w:color w:val="404040"/>
        <w:sz w:val="22"/>
      </w:rPr>
      <w:tbl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Row">
      <w:rPr>
        <w:rFonts w:ascii="Arial" w:hAnsi="Arial"/>
        <w:b/>
        <w:color w:val="404040"/>
        <w:sz w:val="22"/>
      </w:rPr>
      <w:tbl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color="F2AE8B" w:themeColor="accent2" w:themeTint="90" w:sz="4" w:space="0"/>
        <w:bottom w:val="single" w:color="F2AE8B" w:themeColor="accent2" w:themeTint="90" w:sz="4" w:space="0"/>
        <w:insideH w:val="single" w:color="F2AE8B" w:themeColor="accent2" w:themeTint="90" w:sz="4" w:space="0"/>
      </w:tblBorders>
    </w:tblPr>
    <w:tblStylePr w:type="firstRow">
      <w:rPr>
        <w:rFonts w:ascii="Arial" w:hAnsi="Arial"/>
        <w:b/>
        <w:color w:val="404040"/>
        <w:sz w:val="22"/>
      </w:rPr>
      <w:tbl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Row">
      <w:rPr>
        <w:rFonts w:ascii="Arial" w:hAnsi="Arial"/>
        <w:b/>
        <w:color w:val="404040"/>
        <w:sz w:val="22"/>
      </w:rPr>
      <w:tbl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color="51D663" w:themeColor="accent3" w:themeTint="90" w:sz="4" w:space="0"/>
        <w:bottom w:val="single" w:color="51D663" w:themeColor="accent3" w:themeTint="90" w:sz="4" w:space="0"/>
        <w:insideH w:val="single" w:color="51D663" w:themeColor="accent3" w:themeTint="90" w:sz="4" w:space="0"/>
      </w:tblBorders>
    </w:tblPr>
    <w:tblStylePr w:type="firstRow">
      <w:rPr>
        <w:rFonts w:ascii="Arial" w:hAnsi="Arial"/>
        <w:b/>
        <w:color w:val="404040"/>
        <w:sz w:val="22"/>
      </w:rPr>
      <w:tbl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Row">
      <w:rPr>
        <w:rFonts w:ascii="Arial" w:hAnsi="Arial"/>
        <w:b/>
        <w:color w:val="404040"/>
        <w:sz w:val="22"/>
      </w:rPr>
      <w:tbl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color="6ACDF4" w:themeColor="accent4" w:themeTint="90" w:sz="4" w:space="0"/>
        <w:bottom w:val="single" w:color="6ACDF4" w:themeColor="accent4" w:themeTint="90" w:sz="4" w:space="0"/>
        <w:insideH w:val="single" w:color="6ACDF4" w:themeColor="accent4" w:themeTint="90" w:sz="4" w:space="0"/>
      </w:tblBorders>
    </w:tblPr>
    <w:tblStylePr w:type="firstRow">
      <w:rPr>
        <w:rFonts w:ascii="Arial" w:hAnsi="Arial"/>
        <w:b/>
        <w:color w:val="404040"/>
        <w:sz w:val="22"/>
      </w:rPr>
      <w:tbl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Row">
      <w:rPr>
        <w:rFonts w:ascii="Arial" w:hAnsi="Arial"/>
        <w:b/>
        <w:color w:val="404040"/>
        <w:sz w:val="22"/>
      </w:rPr>
      <w:tbl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color="DA76CE" w:themeColor="accent5" w:themeTint="90" w:sz="4" w:space="0"/>
        <w:bottom w:val="single" w:color="DA76CE" w:themeColor="accent5" w:themeTint="90" w:sz="4" w:space="0"/>
        <w:insideH w:val="single" w:color="DA76CE" w:themeColor="accent5" w:themeTint="90" w:sz="4" w:space="0"/>
      </w:tblBorders>
    </w:tblPr>
    <w:tblStylePr w:type="firstRow">
      <w:rPr>
        <w:rFonts w:ascii="Arial" w:hAnsi="Arial"/>
        <w:b/>
        <w:color w:val="404040"/>
        <w:sz w:val="22"/>
      </w:rPr>
      <w:tbl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Row">
      <w:rPr>
        <w:rFonts w:ascii="Arial" w:hAnsi="Arial"/>
        <w:b/>
        <w:color w:val="404040"/>
        <w:sz w:val="22"/>
      </w:rPr>
      <w:tbl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color="94DA7B" w:themeColor="accent6" w:themeTint="90" w:sz="4" w:space="0"/>
        <w:bottom w:val="single" w:color="94DA7B" w:themeColor="accent6" w:themeTint="90" w:sz="4" w:space="0"/>
        <w:insideH w:val="single" w:color="94DA7B" w:themeColor="accent6" w:themeTint="90" w:sz="4" w:space="0"/>
      </w:tblBorders>
    </w:tblPr>
    <w:tblStylePr w:type="firstRow">
      <w:rPr>
        <w:rFonts w:ascii="Arial" w:hAnsi="Arial"/>
        <w:b/>
        <w:color w:val="404040"/>
        <w:sz w:val="22"/>
      </w:rPr>
      <w:tbl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Row">
      <w:rPr>
        <w:rFonts w:ascii="Arial" w:hAnsi="Arial"/>
        <w:b/>
        <w:color w:val="404040"/>
        <w:sz w:val="22"/>
      </w:rPr>
      <w:tbl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156082" w:themeColor="accent1" w:sz="4" w:space="0"/>
          <w:right w:val="single" w:color="156082" w:themeColor="accent1" w:sz="4" w:space="0"/>
        </w:tcBorders>
      </w:tcPr>
    </w:tblStylePr>
    <w:tblStylePr w:type="band1Horz">
      <w:rPr>
        <w:rFonts w:ascii="Arial" w:hAnsi="Arial"/>
        <w:color w:val="404040"/>
        <w:sz w:val="22"/>
      </w:rPr>
      <w:tblPr/>
      <w:tcPr>
        <w:tcBorders>
          <w:top w:val="single" w:color="156082" w:themeColor="accent1" w:sz="4" w:space="0"/>
          <w:bottom w:val="single" w:color="156082" w:themeColor="accent1" w:sz="4" w:space="0"/>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F2AA85" w:themeColor="accent2" w:themeTint="97" w:sz="4" w:space="0"/>
          <w:right w:val="single" w:color="F2AA85" w:themeColor="accent2" w:themeTint="97" w:sz="4" w:space="0"/>
        </w:tcBorders>
      </w:tcPr>
    </w:tblStylePr>
    <w:tblStylePr w:type="band1Horz">
      <w:rPr>
        <w:rFonts w:ascii="Arial" w:hAnsi="Arial"/>
        <w:color w:val="404040"/>
        <w:sz w:val="22"/>
      </w:rPr>
      <w:tblPr/>
      <w:tcPr>
        <w:tcBorders>
          <w:top w:val="single" w:color="F2AA85" w:themeColor="accent2" w:themeTint="97" w:sz="4" w:space="0"/>
          <w:bottom w:val="single" w:color="F2AA85" w:themeColor="accent2" w:themeTint="97" w:sz="4" w:space="0"/>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48D45B" w:themeColor="accent3" w:themeTint="98" w:sz="4" w:space="0"/>
          <w:right w:val="single" w:color="48D45B" w:themeColor="accent3" w:themeTint="98" w:sz="4" w:space="0"/>
        </w:tcBorders>
      </w:tcPr>
    </w:tblStylePr>
    <w:tblStylePr w:type="band1Horz">
      <w:rPr>
        <w:rFonts w:ascii="Arial" w:hAnsi="Arial"/>
        <w:color w:val="404040"/>
        <w:sz w:val="22"/>
      </w:rPr>
      <w:tblPr/>
      <w:tcPr>
        <w:tcBorders>
          <w:top w:val="single" w:color="48D45B" w:themeColor="accent3" w:themeTint="98" w:sz="4" w:space="0"/>
          <w:bottom w:val="single" w:color="48D45B" w:themeColor="accent3" w:themeTint="98" w:sz="4" w:space="0"/>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5FCAF3" w:themeColor="accent4" w:themeTint="9A" w:sz="4" w:space="0"/>
          <w:right w:val="single" w:color="5FCAF3" w:themeColor="accent4" w:themeTint="9A" w:sz="4" w:space="0"/>
        </w:tcBorders>
      </w:tcPr>
    </w:tblStylePr>
    <w:tblStylePr w:type="band1Horz">
      <w:rPr>
        <w:rFonts w:ascii="Arial" w:hAnsi="Arial"/>
        <w:color w:val="404040"/>
        <w:sz w:val="22"/>
      </w:rPr>
      <w:tblPr/>
      <w:tcPr>
        <w:tcBorders>
          <w:top w:val="single" w:color="5FCAF3" w:themeColor="accent4" w:themeTint="9A" w:sz="4" w:space="0"/>
          <w:bottom w:val="single" w:color="5FCAF3" w:themeColor="accent4" w:themeTint="9A" w:sz="4" w:space="0"/>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D76CCB" w:themeColor="accent5" w:themeTint="9A" w:sz="4" w:space="0"/>
          <w:right w:val="single" w:color="D76CCB" w:themeColor="accent5" w:themeTint="9A" w:sz="4" w:space="0"/>
        </w:tcBorders>
      </w:tcPr>
    </w:tblStylePr>
    <w:tblStylePr w:type="band1Horz">
      <w:rPr>
        <w:rFonts w:ascii="Arial" w:hAnsi="Arial"/>
        <w:color w:val="404040"/>
        <w:sz w:val="22"/>
      </w:rPr>
      <w:tblPr/>
      <w:tcPr>
        <w:tcBorders>
          <w:top w:val="single" w:color="D76CCB" w:themeColor="accent5" w:themeTint="9A" w:sz="4" w:space="0"/>
          <w:bottom w:val="single" w:color="D76CCB" w:themeColor="accent5" w:themeTint="9A" w:sz="4" w:space="0"/>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8ED873" w:themeColor="accent6" w:themeTint="98" w:sz="4" w:space="0"/>
          <w:right w:val="single" w:color="8ED873" w:themeColor="accent6" w:themeTint="98" w:sz="4" w:space="0"/>
        </w:tcBorders>
      </w:tcPr>
    </w:tblStylePr>
    <w:tblStylePr w:type="band1Horz">
      <w:rPr>
        <w:rFonts w:ascii="Arial" w:hAnsi="Arial"/>
        <w:color w:val="404040"/>
        <w:sz w:val="22"/>
      </w:rPr>
      <w:tblPr/>
      <w:tcPr>
        <w:tcBorders>
          <w:top w:val="single" w:color="8ED873" w:themeColor="accent6" w:themeTint="98" w:sz="4" w:space="0"/>
          <w:bottom w:val="single" w:color="8ED873" w:themeColor="accent6" w:themeTint="98" w:sz="4" w:space="0"/>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7F7F7F" w:themeColor="text1" w:themeTint="80" w:sz="32" w:space="0"/>
          <w:right w:val="single" w:color="FFFFFF" w:themeColor="light1" w:sz="4" w:space="0"/>
        </w:tcBorders>
      </w:tcPr>
    </w:tblStylePr>
    <w:tblStylePr w:type="lastCol">
      <w:tblPr/>
      <w:tcPr>
        <w:tcBorders>
          <w:left w:val="single" w:color="FFFFFF" w:themeColor="light1" w:sz="4" w:space="0"/>
          <w:right w:val="single" w:color="7F7F7F"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shd w:val="clear" w:color="156082" w:themeColor="accent1" w:fill="156082" w:themeFill="accent1"/>
    </w:tblPr>
    <w:tblStylePr w:type="firstRow">
      <w:rPr>
        <w:rFonts w:ascii="Arial" w:hAnsi="Arial"/>
        <w:b/>
        <w:color w:val="FFFFFF" w:themeColor="light1"/>
        <w:sz w:val="22"/>
      </w:rPr>
      <w:tblPr/>
      <w:tcPr>
        <w:tcBorders>
          <w:top w:val="single" w:color="156082" w:themeColor="accent1" w:sz="32" w:space="0"/>
          <w:bottom w:val="single" w:color="FFFFFF" w:themeColor="light1" w:sz="12" w:space="0"/>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156082" w:themeColor="accent1" w:sz="32" w:space="0"/>
          <w:right w:val="single" w:color="FFFFFF" w:themeColor="light1" w:sz="4" w:space="0"/>
        </w:tcBorders>
      </w:tcPr>
    </w:tblStylePr>
    <w:tblStylePr w:type="lastCol">
      <w:tblPr/>
      <w:tcPr>
        <w:tcBorders>
          <w:left w:val="single" w:color="FFFFFF" w:themeColor="light1" w:sz="4" w:space="0"/>
          <w:right w:val="single" w:color="156082" w:themeColor="accent1" w:sz="32" w:space="0"/>
        </w:tcBorders>
      </w:tcPr>
    </w:tblStylePr>
    <w:tblStylePr w:type="band1Vert">
      <w:tblPr/>
      <w:tcPr>
        <w:tcBorders>
          <w:left w:val="single" w:color="FFFFFF" w:themeColor="light1" w:sz="4" w:space="0"/>
          <w:right w:val="single" w:color="FFFFFF" w:themeColor="light1" w:sz="4" w:space="0"/>
        </w:tcBorders>
        <w:shd w:val="clear" w:color="156082" w:themeColor="accent1" w:fill="156082"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156082" w:themeColor="accent1" w:fill="156082" w:themeFill="accent1"/>
      </w:tcPr>
    </w:tblStylePr>
    <w:tblStylePr w:type="band2Horz">
      <w:tblPr/>
      <w:tcPr>
        <w:tcBorders>
          <w:top w:val="single" w:color="FFFFFF" w:themeColor="light1" w:sz="4" w:space="0"/>
          <w:bottom w:val="single" w:color="FFFFFF" w:themeColor="light1" w:sz="4" w:space="0"/>
        </w:tcBorders>
        <w:shd w:val="clear" w:color="156082" w:themeColor="accent1" w:fill="156082"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color="F2AA85" w:themeColor="accent2" w:themeTint="97" w:sz="32" w:space="0"/>
          <w:bottom w:val="single" w:color="FFFFFF" w:themeColor="light1" w:sz="12" w:space="0"/>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F2AA85" w:themeColor="accent2" w:themeTint="97" w:sz="32" w:space="0"/>
          <w:right w:val="single" w:color="FFFFFF" w:themeColor="light1" w:sz="4" w:space="0"/>
        </w:tcBorders>
      </w:tcPr>
    </w:tblStylePr>
    <w:tblStylePr w:type="lastCol">
      <w:tblPr/>
      <w:tcPr>
        <w:tcBorders>
          <w:left w:val="single" w:color="FFFFFF" w:themeColor="light1" w:sz="4" w:space="0"/>
          <w:right w:val="single" w:color="F2AA8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F2AA85" w:themeColor="accent2" w:themeTint="97" w:fill="F2AA8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2AA85" w:themeColor="accent2" w:themeTint="97" w:fill="F2AA85" w:themeFill="accent2" w:themeFillTint="97"/>
      </w:tcPr>
    </w:tblStylePr>
    <w:tblStylePr w:type="band2Horz">
      <w:tblPr/>
      <w:tcPr>
        <w:tcBorders>
          <w:top w:val="single" w:color="FFFFFF" w:themeColor="light1" w:sz="4" w:space="0"/>
          <w:bottom w:val="single" w:color="FFFFFF" w:themeColor="light1" w:sz="4" w:space="0"/>
        </w:tcBorders>
        <w:shd w:val="clear" w:color="F2AA85" w:themeColor="accent2" w:themeTint="97" w:fill="F2AA8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color="48D45B" w:themeColor="accent3" w:themeTint="98" w:sz="32" w:space="0"/>
          <w:bottom w:val="single" w:color="FFFFFF" w:themeColor="light1" w:sz="12" w:space="0"/>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48D45B" w:themeColor="accent3" w:themeTint="98" w:sz="32" w:space="0"/>
          <w:right w:val="single" w:color="FFFFFF" w:themeColor="light1" w:sz="4" w:space="0"/>
        </w:tcBorders>
      </w:tcPr>
    </w:tblStylePr>
    <w:tblStylePr w:type="lastCol">
      <w:tblPr/>
      <w:tcPr>
        <w:tcBorders>
          <w:left w:val="single" w:color="FFFFFF" w:themeColor="light1" w:sz="4" w:space="0"/>
          <w:right w:val="single" w:color="48D45B"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48D45B" w:themeColor="accent3" w:themeTint="98" w:fill="48D45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8D45B" w:themeColor="accent3" w:themeTint="98" w:fill="48D45B" w:themeFill="accent3" w:themeFillTint="98"/>
      </w:tcPr>
    </w:tblStylePr>
    <w:tblStylePr w:type="band2Horz">
      <w:tblPr/>
      <w:tcPr>
        <w:tcBorders>
          <w:top w:val="single" w:color="FFFFFF" w:themeColor="light1" w:sz="4" w:space="0"/>
          <w:bottom w:val="single" w:color="FFFFFF" w:themeColor="light1" w:sz="4" w:space="0"/>
        </w:tcBorders>
        <w:shd w:val="clear" w:color="48D45B" w:themeColor="accent3" w:themeTint="98" w:fill="48D45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color="5FCAF3" w:themeColor="accent4" w:themeTint="9A" w:sz="32" w:space="0"/>
          <w:bottom w:val="single" w:color="FFFFFF" w:themeColor="light1" w:sz="12" w:space="0"/>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5FCAF3" w:themeColor="accent4" w:themeTint="9A" w:sz="32" w:space="0"/>
          <w:right w:val="single" w:color="FFFFFF" w:themeColor="light1" w:sz="4" w:space="0"/>
        </w:tcBorders>
      </w:tcPr>
    </w:tblStylePr>
    <w:tblStylePr w:type="lastCol">
      <w:tblPr/>
      <w:tcPr>
        <w:tcBorders>
          <w:left w:val="single" w:color="FFFFFF" w:themeColor="light1" w:sz="4" w:space="0"/>
          <w:right w:val="single" w:color="5FCAF3"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5FCAF3" w:themeColor="accent4" w:themeTint="9A" w:fill="5FCAF3"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5FCAF3" w:themeColor="accent4" w:themeTint="9A" w:fill="5FCAF3" w:themeFill="accent4" w:themeFillTint="9A"/>
      </w:tcPr>
    </w:tblStylePr>
    <w:tblStylePr w:type="band2Horz">
      <w:tblPr/>
      <w:tcPr>
        <w:tcBorders>
          <w:top w:val="single" w:color="FFFFFF" w:themeColor="light1" w:sz="4" w:space="0"/>
          <w:bottom w:val="single" w:color="FFFFFF" w:themeColor="light1" w:sz="4" w:space="0"/>
        </w:tcBorders>
        <w:shd w:val="clear" w:color="5FCAF3" w:themeColor="accent4" w:themeTint="9A" w:fill="5FCAF3"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color="D76CCB" w:themeColor="accent5" w:themeTint="9A" w:sz="32" w:space="0"/>
          <w:bottom w:val="single" w:color="FFFFFF" w:themeColor="light1" w:sz="12" w:space="0"/>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D76CCB" w:themeColor="accent5" w:themeTint="9A" w:sz="32" w:space="0"/>
          <w:right w:val="single" w:color="FFFFFF" w:themeColor="light1" w:sz="4" w:space="0"/>
        </w:tcBorders>
      </w:tcPr>
    </w:tblStylePr>
    <w:tblStylePr w:type="lastCol">
      <w:tblPr/>
      <w:tcPr>
        <w:tcBorders>
          <w:left w:val="single" w:color="FFFFFF" w:themeColor="light1" w:sz="4" w:space="0"/>
          <w:right w:val="single" w:color="D76CCB"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D76CCB" w:themeColor="accent5" w:themeTint="9A" w:fill="D76CCB"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76CCB" w:themeColor="accent5" w:themeTint="9A" w:fill="D76CCB" w:themeFill="accent5" w:themeFillTint="9A"/>
      </w:tcPr>
    </w:tblStylePr>
    <w:tblStylePr w:type="band2Horz">
      <w:tblPr/>
      <w:tcPr>
        <w:tcBorders>
          <w:top w:val="single" w:color="FFFFFF" w:themeColor="light1" w:sz="4" w:space="0"/>
          <w:bottom w:val="single" w:color="FFFFFF" w:themeColor="light1" w:sz="4" w:space="0"/>
        </w:tcBorders>
        <w:shd w:val="clear" w:color="D76CCB" w:themeColor="accent5" w:themeTint="9A" w:fill="D76CC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color="8ED873" w:themeColor="accent6" w:themeTint="98" w:sz="32" w:space="0"/>
          <w:bottom w:val="single" w:color="FFFFFF" w:themeColor="light1" w:sz="12" w:space="0"/>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8ED873" w:themeColor="accent6" w:themeTint="98" w:sz="32" w:space="0"/>
          <w:right w:val="single" w:color="FFFFFF" w:themeColor="light1" w:sz="4" w:space="0"/>
        </w:tcBorders>
      </w:tcPr>
    </w:tblStylePr>
    <w:tblStylePr w:type="lastCol">
      <w:tblPr/>
      <w:tcPr>
        <w:tcBorders>
          <w:left w:val="single" w:color="FFFFFF" w:themeColor="light1" w:sz="4" w:space="0"/>
          <w:right w:val="single" w:color="8ED873"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8ED873" w:themeColor="accent6" w:themeTint="98" w:fill="8ED873"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8ED873" w:themeColor="accent6" w:themeTint="98" w:fill="8ED873" w:themeFill="accent6" w:themeFillTint="98"/>
      </w:tcPr>
    </w:tblStylePr>
    <w:tblStylePr w:type="band2Horz">
      <w:tblPr/>
      <w:tcPr>
        <w:tcBorders>
          <w:top w:val="single" w:color="FFFFFF" w:themeColor="light1" w:sz="4" w:space="0"/>
          <w:bottom w:val="single" w:color="FFFFFF" w:themeColor="light1" w:sz="4" w:space="0"/>
        </w:tcBorders>
        <w:shd w:val="clear" w:color="8ED873" w:themeColor="accent6" w:themeTint="98" w:fill="8ED873"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7F7F7F" w:themeColor="text1" w:themeTint="80" w:sz="4" w:space="0"/>
        </w:tcBorders>
      </w:tcPr>
    </w:tblStylePr>
    <w:tblStylePr w:type="lastRow">
      <w:rPr>
        <w:b/>
        <w:color w:val="000000" w:themeColor="text1"/>
      </w:rPr>
      <w:tbl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color="156082" w:themeColor="accent1" w:sz="4" w:space="0"/>
        <w:bottom w:val="single" w:color="156082" w:themeColor="accent1" w:sz="4" w:space="0"/>
      </w:tblBorders>
    </w:tblPr>
    <w:tblStylePr w:type="firstRow">
      <w:rPr>
        <w:b/>
        <w:color w:val="0C374B" w:themeColor="accent1" w:themeShade="95"/>
      </w:rPr>
      <w:tblPr/>
      <w:tcPr>
        <w:tcBorders>
          <w:bottom w:val="single" w:color="156082" w:themeColor="accent1" w:sz="4" w:space="0"/>
        </w:tcBorders>
      </w:tcPr>
    </w:tblStylePr>
    <w:tblStylePr w:type="lastRow">
      <w:rPr>
        <w:b/>
        <w:color w:val="0C374B" w:themeColor="accent1" w:themeShade="95"/>
      </w:rPr>
      <w:tblPr/>
      <w:tcPr>
        <w:tcBorders>
          <w:top w:val="single" w:color="156082" w:themeColor="accent1" w:sz="4" w:space="0"/>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color="F2AA85" w:themeColor="accent2" w:themeTint="97" w:sz="4" w:space="0"/>
        <w:bottom w:val="single" w:color="F2AA85" w:themeColor="accent2" w:themeTint="97" w:sz="4" w:space="0"/>
      </w:tblBorders>
    </w:tblPr>
    <w:tblStylePr w:type="firstRow">
      <w:rPr>
        <w:b/>
        <w:color w:val="F2AA85" w:themeColor="accent2" w:themeTint="97" w:themeShade="95"/>
      </w:rPr>
      <w:tblPr/>
      <w:tcPr>
        <w:tcBorders>
          <w:bottom w:val="single" w:color="F2AA85" w:themeColor="accent2" w:themeTint="97" w:sz="4" w:space="0"/>
        </w:tcBorders>
      </w:tcPr>
    </w:tblStylePr>
    <w:tblStylePr w:type="lastRow">
      <w:rPr>
        <w:b/>
        <w:color w:val="F2AA85" w:themeColor="accent2" w:themeTint="97" w:themeShade="95"/>
      </w:rPr>
      <w:tblPr/>
      <w:tcPr>
        <w:tcBorders>
          <w:top w:val="single" w:color="F2AA85" w:themeColor="accent2" w:themeTint="97" w:sz="4" w:space="0"/>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color="48D45B" w:themeColor="accent3" w:themeTint="98" w:sz="4" w:space="0"/>
        <w:bottom w:val="single" w:color="48D45B" w:themeColor="accent3" w:themeTint="98" w:sz="4" w:space="0"/>
      </w:tblBorders>
    </w:tblPr>
    <w:tblStylePr w:type="firstRow">
      <w:rPr>
        <w:b/>
        <w:color w:val="48D45B" w:themeColor="accent3" w:themeTint="98" w:themeShade="95"/>
      </w:rPr>
      <w:tblPr/>
      <w:tcPr>
        <w:tcBorders>
          <w:bottom w:val="single" w:color="48D45B" w:themeColor="accent3" w:themeTint="98" w:sz="4" w:space="0"/>
        </w:tcBorders>
      </w:tcPr>
    </w:tblStylePr>
    <w:tblStylePr w:type="lastRow">
      <w:rPr>
        <w:b/>
        <w:color w:val="48D45B" w:themeColor="accent3" w:themeTint="98" w:themeShade="95"/>
      </w:rPr>
      <w:tblPr/>
      <w:tcPr>
        <w:tcBorders>
          <w:top w:val="single" w:color="48D45B" w:themeColor="accent3" w:themeTint="98" w:sz="4" w:space="0"/>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color="5FCAF3" w:themeColor="accent4" w:themeTint="9A" w:sz="4" w:space="0"/>
        <w:bottom w:val="single" w:color="5FCAF3" w:themeColor="accent4" w:themeTint="9A" w:sz="4" w:space="0"/>
      </w:tblBorders>
    </w:tblPr>
    <w:tblStylePr w:type="firstRow">
      <w:rPr>
        <w:b/>
        <w:color w:val="5FCAF3" w:themeColor="accent4" w:themeTint="9A" w:themeShade="95"/>
      </w:rPr>
      <w:tblPr/>
      <w:tcPr>
        <w:tcBorders>
          <w:bottom w:val="single" w:color="5FCAF3" w:themeColor="accent4" w:themeTint="9A" w:sz="4" w:space="0"/>
        </w:tcBorders>
      </w:tcPr>
    </w:tblStylePr>
    <w:tblStylePr w:type="lastRow">
      <w:rPr>
        <w:b/>
        <w:color w:val="5FCAF3" w:themeColor="accent4" w:themeTint="9A" w:themeShade="95"/>
      </w:rPr>
      <w:tblPr/>
      <w:tcPr>
        <w:tcBorders>
          <w:top w:val="single" w:color="5FCAF3" w:themeColor="accent4" w:themeTint="9A" w:sz="4" w:space="0"/>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color="D76CCB" w:themeColor="accent5" w:themeTint="9A" w:sz="4" w:space="0"/>
        <w:bottom w:val="single" w:color="D76CCB" w:themeColor="accent5" w:themeTint="9A" w:sz="4" w:space="0"/>
      </w:tblBorders>
    </w:tblPr>
    <w:tblStylePr w:type="firstRow">
      <w:rPr>
        <w:b/>
        <w:color w:val="D76CCB" w:themeColor="accent5" w:themeTint="9A" w:themeShade="95"/>
      </w:rPr>
      <w:tblPr/>
      <w:tcPr>
        <w:tcBorders>
          <w:bottom w:val="single" w:color="D76CCB" w:themeColor="accent5" w:themeTint="9A" w:sz="4" w:space="0"/>
        </w:tcBorders>
      </w:tcPr>
    </w:tblStylePr>
    <w:tblStylePr w:type="lastRow">
      <w:rPr>
        <w:b/>
        <w:color w:val="D76CCB" w:themeColor="accent5" w:themeTint="9A" w:themeShade="95"/>
      </w:rPr>
      <w:tblPr/>
      <w:tcPr>
        <w:tcBorders>
          <w:top w:val="single" w:color="D76CCB" w:themeColor="accent5" w:themeTint="9A" w:sz="4" w:space="0"/>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color="8ED873" w:themeColor="accent6" w:themeTint="98" w:sz="4" w:space="0"/>
        <w:bottom w:val="single" w:color="8ED873" w:themeColor="accent6" w:themeTint="98" w:sz="4" w:space="0"/>
      </w:tblBorders>
    </w:tblPr>
    <w:tblStylePr w:type="firstRow">
      <w:rPr>
        <w:b/>
        <w:color w:val="8ED873" w:themeColor="accent6" w:themeTint="98" w:themeShade="95"/>
      </w:rPr>
      <w:tblPr/>
      <w:tcPr>
        <w:tcBorders>
          <w:bottom w:val="single" w:color="8ED873" w:themeColor="accent6" w:themeTint="98" w:sz="4" w:space="0"/>
        </w:tcBorders>
      </w:tcPr>
    </w:tblStylePr>
    <w:tblStylePr w:type="lastRow">
      <w:rPr>
        <w:b/>
        <w:color w:val="8ED873" w:themeColor="accent6" w:themeTint="98" w:themeShade="95"/>
      </w:rPr>
      <w:tblPr/>
      <w:tcPr>
        <w:tcBorders>
          <w:top w:val="single" w:color="8ED873" w:themeColor="accent6" w:themeTint="98" w:sz="4" w:space="0"/>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color="7F7F7F" w:themeColor="text1" w:themeTint="80" w:sz="4" w:space="0"/>
      </w:tblBorders>
    </w:tblPr>
    <w:tblStylePr w:type="firstRow">
      <w:rPr>
        <w:rFonts w:ascii="Arial" w:hAnsi="Arial"/>
        <w:i/>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color="156082" w:themeColor="accent1" w:sz="4" w:space="0"/>
      </w:tblBorders>
    </w:tblPr>
    <w:tblStylePr w:type="firstRow">
      <w:rPr>
        <w:rFonts w:ascii="Arial" w:hAnsi="Arial"/>
        <w:i/>
        <w:color w:val="0C374B" w:themeColor="accent1" w:themeShade="95"/>
        <w:sz w:val="22"/>
      </w:rPr>
      <w:tblPr/>
      <w:tcPr>
        <w:tcBorders>
          <w:top w:val="none" w:color="auto" w:sz="0" w:space="0"/>
          <w:left w:val="none" w:color="auto" w:sz="0" w:space="0"/>
          <w:bottom w:val="single" w:color="156082" w:themeColor="accent1" w:sz="4" w:space="0"/>
          <w:right w:val="none" w:color="auto" w:sz="0" w:space="0"/>
        </w:tcBorders>
        <w:shd w:val="clear" w:color="FFFFFF" w:themeColor="light1" w:fill="FFFFFF" w:themeFill="light1"/>
      </w:tcPr>
    </w:tblStylePr>
    <w:tblStylePr w:type="lastRow">
      <w:rPr>
        <w:rFonts w:ascii="Arial" w:hAnsi="Arial"/>
        <w:i/>
        <w:color w:val="0C374B" w:themeColor="accent1" w:themeShade="95"/>
        <w:sz w:val="22"/>
      </w:rPr>
      <w:tblPr/>
      <w:tcPr>
        <w:tcBorders>
          <w:top w:val="single" w:color="156082" w:themeColor="accent1"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color="auto" w:sz="0" w:space="0"/>
          <w:left w:val="none" w:color="auto" w:sz="0" w:space="0"/>
          <w:bottom w:val="none" w:color="auto" w:sz="0" w:space="0"/>
          <w:right w:val="single" w:color="156082" w:themeColor="accent1" w:sz="4" w:space="0"/>
        </w:tcBorders>
        <w:shd w:val="clear" w:color="FFFFFF" w:fill="auto"/>
      </w:tcPr>
    </w:tblStylePr>
    <w:tblStylePr w:type="lastCol">
      <w:rPr>
        <w:rFonts w:ascii="Arial" w:hAnsi="Arial"/>
        <w:i/>
        <w:color w:val="0C374B" w:themeColor="accent1" w:themeShade="95"/>
        <w:sz w:val="22"/>
      </w:rPr>
      <w:tblPr/>
      <w:tcPr>
        <w:tcBorders>
          <w:top w:val="none" w:color="auto" w:sz="0" w:space="0"/>
          <w:left w:val="single" w:color="156082" w:themeColor="accent1" w:sz="4" w:space="0"/>
          <w:bottom w:val="none" w:color="auto" w:sz="0" w:space="0"/>
          <w:right w:val="none" w:color="auto" w:sz="0" w:space="0"/>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color="F2AA85" w:themeColor="accent2" w:themeTint="97" w:sz="4" w:space="0"/>
      </w:tblBorders>
    </w:tblPr>
    <w:tblStylePr w:type="firstRow">
      <w:rPr>
        <w:rFonts w:ascii="Arial" w:hAnsi="Arial"/>
        <w:i/>
        <w:color w:val="F2AA85" w:themeColor="accent2" w:themeTint="97" w:themeShade="95"/>
        <w:sz w:val="22"/>
      </w:rPr>
      <w:tblPr/>
      <w:tcPr>
        <w:tcBorders>
          <w:top w:val="none" w:color="auto" w:sz="0" w:space="0"/>
          <w:left w:val="none" w:color="auto" w:sz="0" w:space="0"/>
          <w:bottom w:val="single" w:color="F2AA85" w:themeColor="accent2" w:themeTint="97" w:sz="4" w:space="0"/>
          <w:right w:val="none" w:color="auto" w:sz="0" w:space="0"/>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color="F2AA8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color="auto" w:sz="0" w:space="0"/>
          <w:left w:val="none" w:color="auto" w:sz="0" w:space="0"/>
          <w:bottom w:val="none" w:color="auto" w:sz="0" w:space="0"/>
          <w:right w:val="single" w:color="F2AA85" w:themeColor="accent2" w:themeTint="97" w:sz="4" w:space="0"/>
        </w:tcBorders>
        <w:shd w:val="clear" w:color="FFFFFF" w:fill="auto"/>
      </w:tcPr>
    </w:tblStylePr>
    <w:tblStylePr w:type="lastCol">
      <w:rPr>
        <w:rFonts w:ascii="Arial" w:hAnsi="Arial"/>
        <w:i/>
        <w:color w:val="F2AA85" w:themeColor="accent2" w:themeTint="97" w:themeShade="95"/>
        <w:sz w:val="22"/>
      </w:rPr>
      <w:tblPr/>
      <w:tcPr>
        <w:tcBorders>
          <w:top w:val="none" w:color="auto" w:sz="0" w:space="0"/>
          <w:left w:val="single" w:color="F2AA85" w:themeColor="accent2" w:themeTint="97" w:sz="4" w:space="0"/>
          <w:bottom w:val="none" w:color="auto" w:sz="0" w:space="0"/>
          <w:right w:val="none" w:color="auto" w:sz="0" w:space="0"/>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color="48D45B" w:themeColor="accent3" w:themeTint="98" w:sz="4" w:space="0"/>
      </w:tblBorders>
    </w:tblPr>
    <w:tblStylePr w:type="firstRow">
      <w:rPr>
        <w:rFonts w:ascii="Arial" w:hAnsi="Arial"/>
        <w:i/>
        <w:color w:val="48D45B" w:themeColor="accent3" w:themeTint="98" w:themeShade="95"/>
        <w:sz w:val="22"/>
      </w:rPr>
      <w:tblPr/>
      <w:tcPr>
        <w:tcBorders>
          <w:top w:val="none" w:color="auto" w:sz="0" w:space="0"/>
          <w:left w:val="none" w:color="auto" w:sz="0" w:space="0"/>
          <w:bottom w:val="single" w:color="48D45B" w:themeColor="accent3" w:themeTint="98" w:sz="4" w:space="0"/>
          <w:right w:val="none" w:color="auto" w:sz="0" w:space="0"/>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color="48D45B" w:themeColor="accent3"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color="auto" w:sz="0" w:space="0"/>
          <w:left w:val="none" w:color="auto" w:sz="0" w:space="0"/>
          <w:bottom w:val="none" w:color="auto" w:sz="0" w:space="0"/>
          <w:right w:val="single" w:color="48D45B" w:themeColor="accent3" w:themeTint="98" w:sz="4" w:space="0"/>
        </w:tcBorders>
        <w:shd w:val="clear" w:color="FFFFFF" w:fill="auto"/>
      </w:tcPr>
    </w:tblStylePr>
    <w:tblStylePr w:type="lastCol">
      <w:rPr>
        <w:rFonts w:ascii="Arial" w:hAnsi="Arial"/>
        <w:i/>
        <w:color w:val="48D45B" w:themeColor="accent3" w:themeTint="98" w:themeShade="95"/>
        <w:sz w:val="22"/>
      </w:rPr>
      <w:tblPr/>
      <w:tcPr>
        <w:tcBorders>
          <w:top w:val="none" w:color="auto" w:sz="0" w:space="0"/>
          <w:left w:val="single" w:color="48D45B" w:themeColor="accent3" w:themeTint="98" w:sz="4" w:space="0"/>
          <w:bottom w:val="none" w:color="auto" w:sz="0" w:space="0"/>
          <w:right w:val="none" w:color="auto" w:sz="0" w:space="0"/>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color="5FCAF3" w:themeColor="accent4" w:themeTint="9A" w:sz="4" w:space="0"/>
      </w:tblBorders>
    </w:tblPr>
    <w:tblStylePr w:type="firstRow">
      <w:rPr>
        <w:rFonts w:ascii="Arial" w:hAnsi="Arial"/>
        <w:i/>
        <w:color w:val="5FCAF3" w:themeColor="accent4" w:themeTint="9A" w:themeShade="95"/>
        <w:sz w:val="22"/>
      </w:rPr>
      <w:tblPr/>
      <w:tcPr>
        <w:tcBorders>
          <w:top w:val="none" w:color="auto" w:sz="0" w:space="0"/>
          <w:left w:val="none" w:color="auto" w:sz="0" w:space="0"/>
          <w:bottom w:val="single" w:color="5FCAF3" w:themeColor="accent4" w:themeTint="9A" w:sz="4" w:space="0"/>
          <w:right w:val="none" w:color="auto" w:sz="0" w:space="0"/>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color="5FCAF3"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color="auto" w:sz="0" w:space="0"/>
          <w:left w:val="none" w:color="auto" w:sz="0" w:space="0"/>
          <w:bottom w:val="none" w:color="auto" w:sz="0" w:space="0"/>
          <w:right w:val="single" w:color="5FCAF3" w:themeColor="accent4" w:themeTint="9A" w:sz="4" w:space="0"/>
        </w:tcBorders>
        <w:shd w:val="clear" w:color="FFFFFF" w:fill="auto"/>
      </w:tcPr>
    </w:tblStylePr>
    <w:tblStylePr w:type="lastCol">
      <w:rPr>
        <w:rFonts w:ascii="Arial" w:hAnsi="Arial"/>
        <w:i/>
        <w:color w:val="5FCAF3" w:themeColor="accent4" w:themeTint="9A" w:themeShade="95"/>
        <w:sz w:val="22"/>
      </w:rPr>
      <w:tblPr/>
      <w:tcPr>
        <w:tcBorders>
          <w:top w:val="none" w:color="auto" w:sz="0" w:space="0"/>
          <w:left w:val="single" w:color="5FCAF3" w:themeColor="accent4" w:themeTint="9A" w:sz="4" w:space="0"/>
          <w:bottom w:val="none" w:color="auto" w:sz="0" w:space="0"/>
          <w:right w:val="none" w:color="auto" w:sz="0" w:space="0"/>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color="D76CCB" w:themeColor="accent5" w:themeTint="9A" w:sz="4" w:space="0"/>
      </w:tblBorders>
    </w:tblPr>
    <w:tblStylePr w:type="firstRow">
      <w:rPr>
        <w:rFonts w:ascii="Arial" w:hAnsi="Arial"/>
        <w:i/>
        <w:color w:val="D76CCB" w:themeColor="accent5" w:themeTint="9A" w:themeShade="95"/>
        <w:sz w:val="22"/>
      </w:rPr>
      <w:tblPr/>
      <w:tcPr>
        <w:tcBorders>
          <w:top w:val="none" w:color="auto" w:sz="0" w:space="0"/>
          <w:left w:val="none" w:color="auto" w:sz="0" w:space="0"/>
          <w:bottom w:val="single" w:color="D76CCB" w:themeColor="accent5" w:themeTint="9A" w:sz="4" w:space="0"/>
          <w:right w:val="none" w:color="auto" w:sz="0" w:space="0"/>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color="D76CCB" w:themeColor="accent5"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color="auto" w:sz="0" w:space="0"/>
          <w:left w:val="none" w:color="auto" w:sz="0" w:space="0"/>
          <w:bottom w:val="none" w:color="auto" w:sz="0" w:space="0"/>
          <w:right w:val="single" w:color="D76CCB" w:themeColor="accent5" w:themeTint="9A" w:sz="4" w:space="0"/>
        </w:tcBorders>
        <w:shd w:val="clear" w:color="FFFFFF" w:fill="auto"/>
      </w:tcPr>
    </w:tblStylePr>
    <w:tblStylePr w:type="lastCol">
      <w:rPr>
        <w:rFonts w:ascii="Arial" w:hAnsi="Arial"/>
        <w:i/>
        <w:color w:val="D76CCB" w:themeColor="accent5" w:themeTint="9A" w:themeShade="95"/>
        <w:sz w:val="22"/>
      </w:rPr>
      <w:tblPr/>
      <w:tcPr>
        <w:tcBorders>
          <w:top w:val="none" w:color="auto" w:sz="0" w:space="0"/>
          <w:left w:val="single" w:color="D76CCB" w:themeColor="accent5" w:themeTint="9A" w:sz="4" w:space="0"/>
          <w:bottom w:val="none" w:color="auto" w:sz="0" w:space="0"/>
          <w:right w:val="none" w:color="auto" w:sz="0" w:space="0"/>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color="8ED873" w:themeColor="accent6" w:themeTint="98" w:sz="4" w:space="0"/>
      </w:tblBorders>
    </w:tblPr>
    <w:tblStylePr w:type="firstRow">
      <w:rPr>
        <w:rFonts w:ascii="Arial" w:hAnsi="Arial"/>
        <w:i/>
        <w:color w:val="8ED873" w:themeColor="accent6" w:themeTint="98" w:themeShade="95"/>
        <w:sz w:val="22"/>
      </w:rPr>
      <w:tblPr/>
      <w:tcPr>
        <w:tcBorders>
          <w:top w:val="none" w:color="auto" w:sz="0" w:space="0"/>
          <w:left w:val="none" w:color="auto" w:sz="0" w:space="0"/>
          <w:bottom w:val="single" w:color="8ED873" w:themeColor="accent6" w:themeTint="98" w:sz="4" w:space="0"/>
          <w:right w:val="none" w:color="auto" w:sz="0" w:space="0"/>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color="8ED873" w:themeColor="accent6"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color="auto" w:sz="0" w:space="0"/>
          <w:left w:val="none" w:color="auto" w:sz="0" w:space="0"/>
          <w:bottom w:val="none" w:color="auto" w:sz="0" w:space="0"/>
          <w:right w:val="single" w:color="8ED873" w:themeColor="accent6" w:themeTint="98" w:sz="4" w:space="0"/>
        </w:tcBorders>
        <w:shd w:val="clear" w:color="FFFFFF" w:fill="auto"/>
      </w:tcPr>
    </w:tblStylePr>
    <w:tblStylePr w:type="lastCol">
      <w:rPr>
        <w:rFonts w:ascii="Arial" w:hAnsi="Arial"/>
        <w:i/>
        <w:color w:val="8ED873" w:themeColor="accent6" w:themeTint="98" w:themeShade="95"/>
        <w:sz w:val="22"/>
      </w:rPr>
      <w:tblPr/>
      <w:tcPr>
        <w:tcBorders>
          <w:top w:val="none" w:color="auto" w:sz="0" w:space="0"/>
          <w:left w:val="single" w:color="8ED873" w:themeColor="accent6" w:themeTint="98" w:sz="4" w:space="0"/>
          <w:bottom w:val="none" w:color="auto" w:sz="0" w:space="0"/>
          <w:right w:val="none" w:color="auto" w:sz="0" w:space="0"/>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Lined-Accent" w:customStyle="1">
    <w:name w:val="Lined - Accent"/>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Lined-Accent1" w:customStyle="1">
    <w:name w:val="Lined - Accent 1"/>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styleId="Lined-Accent2" w:customStyle="1">
    <w:name w:val="Lined - Accent 2"/>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styleId="Lined-Accent3" w:customStyle="1">
    <w:name w:val="Lined - Accent 3"/>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styleId="Lined-Accent4" w:customStyle="1">
    <w:name w:val="Lined - Accent 4"/>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styleId="Lined-Accent5" w:customStyle="1">
    <w:name w:val="Lined - Accent 5"/>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styleId="Lined-Accent6" w:customStyle="1">
    <w:name w:val="Lined - Accent 6"/>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styleId="BorderedLined-Accent" w:customStyle="1">
    <w:name w:val="Bordered &amp; Lined - Accent"/>
    <w:basedOn w:val="TableNormal"/>
    <w:uiPriority w:val="99"/>
    <w:pPr>
      <w:spacing w:after="0" w:line="240" w:lineRule="auto"/>
    </w:pPr>
    <w:rPr>
      <w:color w:val="404040"/>
      <w:sz w:val="20"/>
      <w:szCs w:val="20"/>
      <w14:ligatures w14:val="none"/>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BorderedLined-Accent1" w:customStyle="1">
    <w:name w:val="Bordered &amp; Lined - Accent 1"/>
    <w:basedOn w:val="TableNormal"/>
    <w:uiPriority w:val="99"/>
    <w:pPr>
      <w:spacing w:after="0" w:line="240" w:lineRule="auto"/>
    </w:pPr>
    <w:rPr>
      <w:color w:val="404040"/>
      <w:sz w:val="20"/>
      <w:szCs w:val="20"/>
      <w14:ligatures w14:val="none"/>
    </w:rPr>
    <w:tblPr>
      <w:tblStyleRowBandSize w:val="1"/>
      <w:tblStyleColBandSize w:val="1"/>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styleId="BorderedLined-Accent2" w:customStyle="1">
    <w:name w:val="Bordered &amp; Lined - Accent 2"/>
    <w:basedOn w:val="TableNormal"/>
    <w:uiPriority w:val="99"/>
    <w:pPr>
      <w:spacing w:after="0" w:line="240" w:lineRule="auto"/>
    </w:pPr>
    <w:rPr>
      <w:color w:val="404040"/>
      <w:sz w:val="20"/>
      <w:szCs w:val="20"/>
      <w14:ligatures w14:val="none"/>
    </w:rPr>
    <w:tblPr>
      <w:tblStyleRowBandSize w:val="1"/>
      <w:tblStyleColBandSize w:val="1"/>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styleId="BorderedLined-Accent3" w:customStyle="1">
    <w:name w:val="Bordered &amp; Lined - Accent 3"/>
    <w:basedOn w:val="TableNormal"/>
    <w:uiPriority w:val="99"/>
    <w:pPr>
      <w:spacing w:after="0" w:line="240" w:lineRule="auto"/>
    </w:pPr>
    <w:rPr>
      <w:color w:val="404040"/>
      <w:sz w:val="20"/>
      <w:szCs w:val="20"/>
      <w14:ligatures w14:val="none"/>
    </w:rPr>
    <w:tblPr>
      <w:tblStyleRowBandSize w:val="1"/>
      <w:tblStyleColBandSize w:val="1"/>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styleId="BorderedLined-Accent4" w:customStyle="1">
    <w:name w:val="Bordered &amp; Lined - Accent 4"/>
    <w:basedOn w:val="TableNormal"/>
    <w:uiPriority w:val="99"/>
    <w:pPr>
      <w:spacing w:after="0" w:line="240" w:lineRule="auto"/>
    </w:pPr>
    <w:rPr>
      <w:color w:val="404040"/>
      <w:sz w:val="20"/>
      <w:szCs w:val="20"/>
      <w14:ligatures w14:val="none"/>
    </w:rPr>
    <w:tblPr>
      <w:tblStyleRowBandSize w:val="1"/>
      <w:tblStyleColBandSize w:val="1"/>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styleId="BorderedLined-Accent5" w:customStyle="1">
    <w:name w:val="Bordered &amp; Lined - Accent 5"/>
    <w:basedOn w:val="TableNormal"/>
    <w:uiPriority w:val="99"/>
    <w:pPr>
      <w:spacing w:after="0" w:line="240" w:lineRule="auto"/>
    </w:pPr>
    <w:rPr>
      <w:color w:val="404040"/>
      <w:sz w:val="20"/>
      <w:szCs w:val="20"/>
      <w14:ligatures w14:val="none"/>
    </w:rPr>
    <w:tblPr>
      <w:tblStyleRowBandSize w:val="1"/>
      <w:tblStyleColBandSize w:val="1"/>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styleId="BorderedLined-Accent6" w:customStyle="1">
    <w:name w:val="Bordered &amp; Lined - Accent 6"/>
    <w:basedOn w:val="TableNormal"/>
    <w:uiPriority w:val="99"/>
    <w:pPr>
      <w:spacing w:after="0" w:line="240" w:lineRule="auto"/>
    </w:pPr>
    <w:rPr>
      <w:color w:val="404040"/>
      <w:sz w:val="20"/>
      <w:szCs w:val="20"/>
      <w14:ligatures w14:val="none"/>
    </w:rPr>
    <w:tblPr>
      <w:tblStyleRowBandSize w:val="1"/>
      <w:tblStyleColBandSize w:val="1"/>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styleId="Bordered" w:customStyle="1">
    <w:name w:val="Bordered"/>
    <w:basedOn w:val="TableNormal"/>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rFonts w:ascii="Arial" w:hAnsi="Arial"/>
        <w:color w:val="404040"/>
        <w:sz w:val="22"/>
      </w:rPr>
      <w:tblPr/>
      <w:tcPr>
        <w:tcBorders>
          <w:bottom w:val="single" w:color="7F7F7F" w:themeColor="text1" w:themeTint="80" w:sz="12" w:space="0"/>
        </w:tcBorders>
      </w:tcPr>
    </w:tblStylePr>
    <w:tblStylePr w:type="lastRow">
      <w:rPr>
        <w:rFonts w:ascii="Arial" w:hAnsi="Arial"/>
        <w:color w:val="404040"/>
        <w:sz w:val="22"/>
      </w:rPr>
      <w:tbl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7F7F7F" w:themeColor="text1" w:themeTint="80" w:sz="12" w:space="0"/>
        </w:tcBorders>
      </w:tcPr>
    </w:tblStylePr>
    <w:tblStylePr w:type="band1Horz">
      <w:rPr>
        <w:rFonts w:ascii="Arial" w:hAnsi="Arial"/>
        <w:color w:val="404040"/>
        <w:sz w:val="22"/>
      </w:rPr>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basedOn w:val="TableNormal"/>
    <w:uiPriority w:val="99"/>
    <w:pPr>
      <w:spacing w:after="0" w:line="240" w:lineRule="auto"/>
    </w:pPr>
    <w:tblPr>
      <w:tblStyleRowBandSize w:val="1"/>
      <w:tblStyleColBandSize w:val="1"/>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firstRow">
      <w:rPr>
        <w:rFonts w:ascii="Arial" w:hAnsi="Arial"/>
        <w:color w:val="404040"/>
        <w:sz w:val="22"/>
      </w:rPr>
      <w:tblPr/>
      <w:tcPr>
        <w:tcBorders>
          <w:bottom w:val="single" w:color="156082" w:themeColor="accent1" w:sz="12" w:space="0"/>
        </w:tcBorders>
      </w:tcPr>
    </w:tblStylePr>
    <w:tblStylePr w:type="lastRow">
      <w:rPr>
        <w:rFonts w:ascii="Arial" w:hAnsi="Arial"/>
        <w:color w:val="404040"/>
        <w:sz w:val="22"/>
      </w:rPr>
      <w:tblPr/>
      <w:tcPr>
        <w:tcBorders>
          <w:top w:val="single" w:color="156082" w:themeColor="accent1"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156082" w:themeColor="accent1" w:sz="12" w:space="0"/>
        </w:tcBorders>
      </w:tcPr>
    </w:tblStylePr>
    <w:tblStylePr w:type="band1Horz">
      <w:rPr>
        <w:rFonts w:ascii="Arial" w:hAnsi="Arial"/>
        <w:color w:val="404040"/>
        <w:sz w:val="22"/>
      </w:rPr>
      <w:tbl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style>
  <w:style w:type="table" w:styleId="Bordered-Accent2" w:customStyle="1">
    <w:name w:val="Bordered - Accent 2"/>
    <w:basedOn w:val="TableNormal"/>
    <w:uiPriority w:val="99"/>
    <w:pPr>
      <w:spacing w:after="0" w:line="240" w:lineRule="auto"/>
    </w:pPr>
    <w:tblPr>
      <w:tblStyleRowBandSize w:val="1"/>
      <w:tblStyleColBandSize w:val="1"/>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firstRow">
      <w:rPr>
        <w:rFonts w:ascii="Arial" w:hAnsi="Arial"/>
        <w:color w:val="404040"/>
        <w:sz w:val="22"/>
      </w:rPr>
      <w:tblPr/>
      <w:tcPr>
        <w:tcBorders>
          <w:bottom w:val="single" w:color="F2AA85" w:themeColor="accent2" w:themeTint="97" w:sz="12" w:space="0"/>
        </w:tcBorders>
      </w:tcPr>
    </w:tblStylePr>
    <w:tblStylePr w:type="lastRow">
      <w:rPr>
        <w:rFonts w:ascii="Arial" w:hAnsi="Arial"/>
        <w:color w:val="404040"/>
        <w:sz w:val="22"/>
      </w:rPr>
      <w:tblPr/>
      <w:tcPr>
        <w:tcBorders>
          <w:top w:val="single" w:color="F2AA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F2AA85" w:themeColor="accent2" w:themeTint="97" w:sz="12" w:space="0"/>
        </w:tcBorders>
      </w:tcPr>
    </w:tblStylePr>
    <w:tblStylePr w:type="band1Horz">
      <w:rPr>
        <w:rFonts w:ascii="Arial" w:hAnsi="Arial"/>
        <w:color w:val="404040"/>
        <w:sz w:val="22"/>
      </w:rPr>
      <w:tbl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style>
  <w:style w:type="table" w:styleId="Bordered-Accent3" w:customStyle="1">
    <w:name w:val="Bordered - Accent 3"/>
    <w:basedOn w:val="TableNormal"/>
    <w:uiPriority w:val="99"/>
    <w:pPr>
      <w:spacing w:after="0" w:line="240" w:lineRule="auto"/>
    </w:pPr>
    <w:tblPr>
      <w:tblStyleRowBandSize w:val="1"/>
      <w:tblStyleColBandSize w:val="1"/>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firstRow">
      <w:rPr>
        <w:rFonts w:ascii="Arial" w:hAnsi="Arial"/>
        <w:color w:val="404040"/>
        <w:sz w:val="22"/>
      </w:rPr>
      <w:tblPr/>
      <w:tcPr>
        <w:tcBorders>
          <w:bottom w:val="single" w:color="48D45B" w:themeColor="accent3" w:themeTint="98" w:sz="12" w:space="0"/>
        </w:tcBorders>
      </w:tcPr>
    </w:tblStylePr>
    <w:tblStylePr w:type="lastRow">
      <w:rPr>
        <w:rFonts w:ascii="Arial" w:hAnsi="Arial"/>
        <w:color w:val="404040"/>
        <w:sz w:val="22"/>
      </w:rPr>
      <w:tblPr/>
      <w:tcPr>
        <w:tcBorders>
          <w:top w:val="single" w:color="48D45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48D45B" w:themeColor="accent3" w:themeTint="98" w:sz="12" w:space="0"/>
        </w:tcBorders>
      </w:tcPr>
    </w:tblStylePr>
    <w:tblStylePr w:type="band1Horz">
      <w:rPr>
        <w:rFonts w:ascii="Arial" w:hAnsi="Arial"/>
        <w:color w:val="404040"/>
        <w:sz w:val="22"/>
      </w:rPr>
      <w:tbl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style>
  <w:style w:type="table" w:styleId="Bordered-Accent4" w:customStyle="1">
    <w:name w:val="Bordered - Accent 4"/>
    <w:basedOn w:val="TableNormal"/>
    <w:uiPriority w:val="99"/>
    <w:pPr>
      <w:spacing w:after="0" w:line="240" w:lineRule="auto"/>
    </w:pPr>
    <w:tblPr>
      <w:tblStyleRowBandSize w:val="1"/>
      <w:tblStyleColBandSize w:val="1"/>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firstRow">
      <w:rPr>
        <w:rFonts w:ascii="Arial" w:hAnsi="Arial"/>
        <w:color w:val="404040"/>
        <w:sz w:val="22"/>
      </w:rPr>
      <w:tblPr/>
      <w:tcPr>
        <w:tcBorders>
          <w:bottom w:val="single" w:color="5FCAF3" w:themeColor="accent4" w:themeTint="9A" w:sz="12" w:space="0"/>
        </w:tcBorders>
      </w:tcPr>
    </w:tblStylePr>
    <w:tblStylePr w:type="lastRow">
      <w:rPr>
        <w:rFonts w:ascii="Arial" w:hAnsi="Arial"/>
        <w:color w:val="404040"/>
        <w:sz w:val="22"/>
      </w:rPr>
      <w:tblPr/>
      <w:tcPr>
        <w:tcBorders>
          <w:top w:val="single" w:color="5FCAF3"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5FCAF3" w:themeColor="accent4" w:themeTint="9A" w:sz="12" w:space="0"/>
        </w:tcBorders>
      </w:tcPr>
    </w:tblStylePr>
    <w:tblStylePr w:type="band1Horz">
      <w:rPr>
        <w:rFonts w:ascii="Arial" w:hAnsi="Arial"/>
        <w:color w:val="404040"/>
        <w:sz w:val="22"/>
      </w:rPr>
      <w:tbl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style>
  <w:style w:type="table" w:styleId="Bordered-Accent5" w:customStyle="1">
    <w:name w:val="Bordered - Accent 5"/>
    <w:basedOn w:val="TableNormal"/>
    <w:uiPriority w:val="99"/>
    <w:pPr>
      <w:spacing w:after="0" w:line="240" w:lineRule="auto"/>
    </w:pPr>
    <w:tblPr>
      <w:tblStyleRowBandSize w:val="1"/>
      <w:tblStyleColBandSize w:val="1"/>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firstRow">
      <w:rPr>
        <w:rFonts w:ascii="Arial" w:hAnsi="Arial"/>
        <w:color w:val="404040"/>
        <w:sz w:val="22"/>
      </w:rPr>
      <w:tblPr/>
      <w:tcPr>
        <w:tcBorders>
          <w:bottom w:val="single" w:color="D76CCB" w:themeColor="accent5" w:themeTint="9A" w:sz="12" w:space="0"/>
        </w:tcBorders>
      </w:tcPr>
    </w:tblStylePr>
    <w:tblStylePr w:type="lastRow">
      <w:rPr>
        <w:rFonts w:ascii="Arial" w:hAnsi="Arial"/>
        <w:color w:val="404040"/>
        <w:sz w:val="22"/>
      </w:rPr>
      <w:tblPr/>
      <w:tcPr>
        <w:tcBorders>
          <w:top w:val="single" w:color="D76CC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D76CCB" w:themeColor="accent5" w:themeTint="9A" w:sz="12" w:space="0"/>
        </w:tcBorders>
      </w:tcPr>
    </w:tblStylePr>
    <w:tblStylePr w:type="band1Horz">
      <w:rPr>
        <w:rFonts w:ascii="Arial" w:hAnsi="Arial"/>
        <w:color w:val="404040"/>
        <w:sz w:val="22"/>
      </w:rPr>
      <w:tbl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style>
  <w:style w:type="table" w:styleId="Bordered-Accent6" w:customStyle="1">
    <w:name w:val="Bordered - Accent 6"/>
    <w:basedOn w:val="TableNormal"/>
    <w:uiPriority w:val="99"/>
    <w:pPr>
      <w:spacing w:after="0" w:line="240" w:lineRule="auto"/>
    </w:pPr>
    <w:tblPr>
      <w:tblStyleRowBandSize w:val="1"/>
      <w:tblStyleColBandSize w:val="1"/>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firstRow">
      <w:rPr>
        <w:rFonts w:ascii="Arial" w:hAnsi="Arial"/>
        <w:color w:val="404040"/>
        <w:sz w:val="22"/>
      </w:rPr>
      <w:tblPr/>
      <w:tcPr>
        <w:tcBorders>
          <w:bottom w:val="single" w:color="8ED873" w:themeColor="accent6" w:themeTint="98" w:sz="12" w:space="0"/>
        </w:tcBorders>
      </w:tcPr>
    </w:tblStylePr>
    <w:tblStylePr w:type="lastRow">
      <w:rPr>
        <w:rFonts w:ascii="Arial" w:hAnsi="Arial"/>
        <w:color w:val="404040"/>
        <w:sz w:val="22"/>
      </w:rPr>
      <w:tblPr/>
      <w:tcPr>
        <w:tcBorders>
          <w:top w:val="single" w:color="8ED873"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8ED873" w:themeColor="accent6" w:themeTint="98" w:sz="12" w:space="0"/>
        </w:tcBorders>
      </w:tcPr>
    </w:tblStylePr>
    <w:tblStylePr w:type="band1Horz">
      <w:rPr>
        <w:rFonts w:ascii="Arial" w:hAnsi="Arial"/>
        <w:color w:val="404040"/>
        <w:sz w:val="22"/>
      </w:rPr>
      <w:tbl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spacing w:after="0" w:line="240" w:lineRule="auto"/>
    </w:pPr>
  </w:style>
  <w:style w:type="character" w:styleId="FooterChar" w:customStyle="1">
    <w:name w:val="Footer Char"/>
    <w:basedOn w:val="DefaultParagraphFont"/>
    <w:link w:val="Footer"/>
    <w:uiPriority w:val="99"/>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customStyle="1">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customStyle="1">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6607D" w:themeColor="followedHyperlink"/>
      <w:u w:val="single"/>
    </w:r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ableofFigures">
    <w:name w:val="table of figures"/>
    <w:basedOn w:val="Normal"/>
    <w:next w:val="Normal"/>
    <w:uiPriority w:val="99"/>
    <w:unhideWhenUsed/>
    <w:pPr>
      <w:spacing w:after="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Pr>
      <w:rFonts w:eastAsiaTheme="majorEastAsia" w:cstheme="majorBidi"/>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sz w:val="56"/>
      <w:szCs w:val="56"/>
    </w:rPr>
  </w:style>
  <w:style w:type="character" w:styleId="TitleChar" w:customStyle="1">
    <w:name w:val="Title Char"/>
    <w:basedOn w:val="DefaultParagraphFont"/>
    <w:link w:val="Title"/>
    <w:uiPriority w:val="10"/>
    <w:rPr>
      <w:rFonts w:asciiTheme="majorHAnsi" w:hAnsiTheme="majorHAnsi" w:eastAsiaTheme="majorEastAsia" w:cstheme="majorBidi"/>
      <w:spacing w:val="-10"/>
      <w:sz w:val="56"/>
      <w:szCs w:val="56"/>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QuoteChar" w:customStyle="1">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pPr>
      <w:spacing w:before="240" w:after="0" w:line="259" w:lineRule="auto"/>
      <w:outlineLvl w:val="9"/>
    </w:pPr>
    <w:rPr>
      <w:sz w:val="32"/>
      <w:szCs w:val="32"/>
      <w14:ligatures w14:val="none"/>
    </w:rPr>
  </w:style>
  <w:style w:type="paragraph" w:styleId="TOC1">
    <w:name w:val="toc 1"/>
    <w:basedOn w:val="Normal"/>
    <w:next w:val="Normal"/>
    <w:uiPriority w:val="39"/>
    <w:unhideWhenUsed/>
    <w:pPr>
      <w:spacing w:after="100"/>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image" Target="media/image10.jpg" Id="rId10" /><Relationship Type="http://schemas.openxmlformats.org/officeDocument/2006/relationships/settings" Target="settings.xml" Id="rId4" /><Relationship Type="http://schemas.openxmlformats.org/officeDocument/2006/relationships/image" Target="/media/image.png" Id="rId119742766" /><Relationship Type="http://schemas.openxmlformats.org/officeDocument/2006/relationships/image" Target="/media/image2.png" Id="rId1527005971" /><Relationship Type="http://schemas.openxmlformats.org/officeDocument/2006/relationships/image" Target="/media/image3.png" Id="rId9194713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8CD98-A96E-4004-938C-9903062A2D3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Rajeev Nath</dc:creator>
  <keywords/>
  <dc:description/>
  <lastModifiedBy>Florina Adriana Soare (2312474)</lastModifiedBy>
  <revision>6</revision>
  <dcterms:created xsi:type="dcterms:W3CDTF">2026-07-16T12:48:00.0000000Z</dcterms:created>
  <dcterms:modified xsi:type="dcterms:W3CDTF">2026-08-19T17:03:08.3310798Z</dcterms:modified>
</coreProperties>
</file>