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AB1085" w:rsidRDefault="00AB1085" w14:paraId="4049C270" w14:textId="1DFA2355">
      <w:r w:rsidR="2A5BFDC5">
        <w:rPr/>
        <w:t>LCHS4003 Component 1 Portfolio</w:t>
      </w:r>
    </w:p>
    <w:p w:rsidR="00AB1085" w:rsidP="2681BC23" w:rsidRDefault="00AB1085" w14:paraId="1578F3CA" w14:textId="013FE3E9">
      <w:pPr>
        <w:pStyle w:val="Normal"/>
      </w:pPr>
      <w:r w:rsidR="2A5BFDC5">
        <w:rPr/>
        <w:t>Task 1: Strengthening Residential Care Homes in Sandwell</w:t>
      </w:r>
    </w:p>
    <w:p w:rsidR="00AB1085" w:rsidP="2681BC23" w:rsidRDefault="00AB1085" w14:paraId="730031C0" w14:textId="75D25683">
      <w:pPr>
        <w:pStyle w:val="Normal"/>
      </w:pPr>
      <w:r w:rsidR="2A5BFDC5">
        <w:rPr/>
        <w:t xml:space="preserve">Task 2: The Historical Development, Current </w:t>
      </w:r>
      <w:r w:rsidR="2A5BFDC5">
        <w:rPr/>
        <w:t>Operation</w:t>
      </w:r>
      <w:r w:rsidR="2A5BFDC5">
        <w:rPr/>
        <w:t xml:space="preserve"> and Impact of Ambulance Services</w:t>
      </w:r>
    </w:p>
    <w:p w:rsidR="00AB1085" w:rsidP="2681BC23" w:rsidRDefault="00AB1085" w14:paraId="22B78061" w14:textId="1FCD4604">
      <w:pPr>
        <w:pStyle w:val="Normal"/>
      </w:pPr>
      <w:r w:rsidR="2A5BFDC5">
        <w:rPr/>
        <w:t xml:space="preserve">Module code and title: LCHS4003_BIRM – </w:t>
      </w:r>
    </w:p>
    <w:p w:rsidR="00AB1085" w:rsidP="2681BC23" w:rsidRDefault="00AB1085" w14:paraId="0D7284D1" w14:textId="11DC80D6">
      <w:pPr>
        <w:pStyle w:val="Normal"/>
      </w:pPr>
      <w:r w:rsidR="2A5BFDC5">
        <w:rPr/>
        <w:t>Assignment title: LCHS4003 Component 1 Portfolio (Task 1 Mini Report and Task 2 Essay)</w:t>
      </w:r>
    </w:p>
    <w:p w:rsidR="00AB1085" w:rsidP="2681BC23" w:rsidRDefault="00AB1085" w14:paraId="48862083" w14:textId="33273AF4">
      <w:pPr>
        <w:pStyle w:val="Normal"/>
      </w:pPr>
      <w:r w:rsidR="2A5BFDC5">
        <w:rPr/>
        <w:t>Student name: Amandeep Kaur</w:t>
      </w:r>
    </w:p>
    <w:p w:rsidR="00AB1085" w:rsidP="2681BC23" w:rsidRDefault="00AB1085" w14:paraId="2ED222CE" w14:textId="702B0120">
      <w:pPr>
        <w:pStyle w:val="Normal"/>
      </w:pPr>
      <w:r w:rsidR="3C1DAA0D">
        <w:rPr/>
        <w:t xml:space="preserve">Student number: </w:t>
      </w:r>
      <w:r w:rsidRPr="6308C594" w:rsidR="700FC525">
        <w:rPr>
          <w:b w:val="0"/>
          <w:bCs w:val="0"/>
          <w:i w:val="0"/>
          <w:iCs w:val="0"/>
          <w:caps w:val="0"/>
          <w:smallCaps w:val="0"/>
          <w:strike w:val="0"/>
          <w:dstrike w:val="0"/>
          <w:noProof w:val="0"/>
          <w:color w:val="28235D"/>
          <w:u w:val="none"/>
          <w:lang w:val="en-GB"/>
        </w:rPr>
        <w:t>2537753</w:t>
      </w:r>
    </w:p>
    <w:p w:rsidR="00AB1085" w:rsidP="2681BC23" w:rsidRDefault="00AB1085" w14:paraId="451BBD33" w14:textId="77A7412B">
      <w:pPr>
        <w:pStyle w:val="Normal"/>
      </w:pPr>
      <w:r w:rsidR="2A5BFDC5">
        <w:rPr/>
        <w:t>Lecturer: Jane Ngarari</w:t>
      </w:r>
    </w:p>
    <w:p w:rsidR="00AB1085" w:rsidP="2681BC23" w:rsidRDefault="00AB1085" w14:paraId="3E20A6FD" w14:textId="78B72525">
      <w:pPr>
        <w:pStyle w:val="Normal"/>
      </w:pPr>
      <w:r w:rsidR="2A5BFDC5">
        <w:rPr/>
        <w:t>Submission date: 11 October 2026</w:t>
      </w:r>
    </w:p>
    <w:p w:rsidR="00AB1085" w:rsidP="2681BC23" w:rsidRDefault="00AB1085" w14:paraId="359C62C9" w14:textId="7B4F6AC0">
      <w:pPr>
        <w:pStyle w:val="Normal"/>
      </w:pPr>
      <w:r w:rsidR="321524F2">
        <w:rPr/>
        <w:t xml:space="preserve">To: Councillor Ritchie Massey, Cabinet Member for Adult Services, </w:t>
      </w:r>
      <w:r w:rsidR="321524F2">
        <w:rPr/>
        <w:t>Health</w:t>
      </w:r>
      <w:r w:rsidR="321524F2">
        <w:rPr/>
        <w:t xml:space="preserve"> and Wellbeing</w:t>
      </w:r>
      <w:r>
        <w:br/>
      </w:r>
      <w:r w:rsidR="321524F2">
        <w:rPr/>
        <w:t>Local Authority: Sandwell Metropolitan Borough Council</w:t>
      </w:r>
    </w:p>
    <w:p w:rsidR="00AB1085" w:rsidP="2681BC23" w:rsidRDefault="00AB1085" w14:paraId="1BB135ED" w14:textId="25C2036E">
      <w:pPr>
        <w:pStyle w:val="Normal"/>
      </w:pPr>
      <w:r w:rsidR="2A5BFDC5">
        <w:rPr/>
        <w:t>1. Introduction</w:t>
      </w:r>
    </w:p>
    <w:p w:rsidR="00AB1085" w:rsidP="2681BC23" w:rsidRDefault="00AB1085" w14:paraId="24595489" w14:textId="0599ADC9">
      <w:pPr>
        <w:pStyle w:val="Normal"/>
      </w:pPr>
      <w:r w:rsidR="0BB77E20">
        <w:rPr/>
        <w:t xml:space="preserve">Residential care homes provide accommodation and round-the-clock personal care for people who can no longer live safely at home. Depending on residents’ needs, support includes help with washing, dressing, eating, taking </w:t>
      </w:r>
      <w:r w:rsidR="0BB77E20">
        <w:rPr/>
        <w:t>medic</w:t>
      </w:r>
      <w:r w:rsidR="6F9BBDE4">
        <w:rPr/>
        <w:t>c</w:t>
      </w:r>
      <w:r w:rsidR="0BB77E20">
        <w:rPr/>
        <w:t>ation</w:t>
      </w:r>
      <w:r w:rsidR="0BB77E20">
        <w:rPr/>
        <w:t xml:space="preserve"> and managing long-term health conditions. In Sandwell, residential care is particularly important for older people and adults with complex needs, including dementia and learning disabilities.</w:t>
      </w:r>
    </w:p>
    <w:p w:rsidR="00AB1085" w:rsidP="2681BC23" w:rsidRDefault="00AB1085" w14:paraId="753F36F4" w14:textId="3BD37FBE">
      <w:pPr>
        <w:pStyle w:val="Normal"/>
      </w:pPr>
      <w:r w:rsidR="2A5BFDC5">
        <w:rPr/>
        <w:t>The Care Act 2014 places legal duties on local authorities to promote individual wellbeing and to ensure the local care market can provide a suitable range of quality services (Care Act 2014, ss. 1 and 5). However, care homes face increasing operating costs, staff shortages and differences in service quality. This report examines how these pressures affect residents, families and the wider Sandwell community, and recommends three realistic actions that Sandwell Metropolitan Borough Council could take.</w:t>
      </w:r>
    </w:p>
    <w:p w:rsidR="00AB1085" w:rsidP="2681BC23" w:rsidRDefault="00AB1085" w14:paraId="0770FC21" w14:textId="5763FA06">
      <w:pPr>
        <w:pStyle w:val="Normal"/>
      </w:pPr>
      <w:r w:rsidR="2A5BFDC5">
        <w:rPr/>
        <w:t>2. Impact on the Community</w:t>
      </w:r>
    </w:p>
    <w:p w:rsidR="00AB1085" w:rsidP="2681BC23" w:rsidRDefault="00AB1085" w14:paraId="5458910E" w14:textId="02D56648">
      <w:pPr>
        <w:pStyle w:val="Normal"/>
      </w:pPr>
      <w:r w:rsidR="0BB77E20">
        <w:rPr/>
        <w:t>Residential care homes are a key part of Sandwell’s adult social care provision. The council’s Market Position Statement reports that around 30% of people receiving long-term care are supported in care homes, and that admisions of older adults to residential or nursing care are well above regional and national averages (Sandwell Metropolitan Borough Council, 2024, pp. 24–25).</w:t>
      </w:r>
    </w:p>
    <w:p w:rsidR="00AB1085" w:rsidP="2681BC23" w:rsidRDefault="00AB1085" w14:paraId="4B83A5EE" w14:textId="50B9C749">
      <w:pPr>
        <w:pStyle w:val="Normal"/>
      </w:pPr>
      <w:r w:rsidR="0BB77E20">
        <w:rPr/>
        <w:t xml:space="preserve">When care homes provide effective support, residents </w:t>
      </w:r>
      <w:r w:rsidR="0BB77E20">
        <w:rPr/>
        <w:t>maintain</w:t>
      </w:r>
      <w:r w:rsidR="0BB77E20">
        <w:rPr/>
        <w:t xml:space="preserve"> their dignity, receive help with everyday </w:t>
      </w:r>
      <w:r w:rsidR="0BB77E20">
        <w:rPr/>
        <w:t>tasks</w:t>
      </w:r>
      <w:r w:rsidR="0BB77E20">
        <w:rPr/>
        <w:t xml:space="preserve"> and build relationships with others. Families also experience less pressure knowing their relatives are being cared for safely. However, where services are unavailable or unsuitable, fami</w:t>
      </w:r>
      <w:r w:rsidR="0EC8F186">
        <w:rPr/>
        <w:t>ll</w:t>
      </w:r>
      <w:r w:rsidR="0BB77E20">
        <w:rPr/>
        <w:t xml:space="preserve">ies face considerable emotional and practical </w:t>
      </w:r>
      <w:r w:rsidR="0BB77E20">
        <w:rPr/>
        <w:t>dificulties</w:t>
      </w:r>
      <w:r w:rsidR="0BB77E20">
        <w:rPr/>
        <w:t>, especially when balancing employment and caring responsibilities.</w:t>
      </w:r>
    </w:p>
    <w:p w:rsidR="00AB1085" w:rsidP="2681BC23" w:rsidRDefault="00AB1085" w14:paraId="0D0F87B5" w14:textId="75305441">
      <w:pPr>
        <w:pStyle w:val="Normal"/>
      </w:pPr>
      <w:r w:rsidR="0BB77E20">
        <w:rPr/>
        <w:t xml:space="preserve">Quality is another concern. In March 2024, 71.6% of rated care homes in Sandwell were assessed as Good, while the </w:t>
      </w:r>
      <w:r w:rsidR="0BB77E20">
        <w:rPr/>
        <w:t>remainder</w:t>
      </w:r>
      <w:r w:rsidR="0BB77E20">
        <w:rPr/>
        <w:t xml:space="preserve"> were rated Requires Improvement and </w:t>
      </w:r>
      <w:r w:rsidR="0BB77E20">
        <w:rPr/>
        <w:t>none Inadequate</w:t>
      </w:r>
      <w:r w:rsidR="0BB77E20">
        <w:rPr/>
        <w:t xml:space="preserve"> (Sandwell Metropolitan Borough Council, 2024, p. 41). Although most rated homes provide acceptable care, the council </w:t>
      </w:r>
      <w:r w:rsidR="0BB77E20">
        <w:rPr/>
        <w:t>identified</w:t>
      </w:r>
      <w:r w:rsidR="0BB77E20">
        <w:rPr/>
        <w:t xml:space="preserve"> weaknesses in safety and leadership (Sandwell Metropolitan Borough Council, 2024, p. 42). Poor leadership can contribute to inconsistent care, inadequate </w:t>
      </w:r>
      <w:r w:rsidR="0BB77E20">
        <w:rPr/>
        <w:t>supervision</w:t>
      </w:r>
      <w:r w:rsidR="0BB77E20">
        <w:rPr/>
        <w:t xml:space="preserve"> and safeguarding concerns. These isues conflict with the Care Act 2014’s emphasis on dignity, protection from abuse and wellbeing, and can leave families uncertain about whether their relatives’ needs are met.</w:t>
      </w:r>
    </w:p>
    <w:p w:rsidR="00AB1085" w:rsidP="2681BC23" w:rsidRDefault="00AB1085" w14:paraId="780F4B5D" w14:textId="1DC78481">
      <w:pPr>
        <w:pStyle w:val="Normal"/>
      </w:pPr>
      <w:r w:rsidR="2A5BFDC5">
        <w:rPr/>
        <w:t>Financial pressures affect sustainability. Sandwell’s standard weekly residential care fee rose from £460.47 in 2021/22 to £702.80 in 2024/25 (Sandwell Metropolitan Borough Council, 2024, p. 30). Only 14.3% of care home residents were self-funders, the lowest proportion among geographic neighbours (Sandwell Metropolitan Borough Council, 2024, p. 68), so providers have limited opportunity to balance council-funded fees with private income.</w:t>
      </w:r>
    </w:p>
    <w:p w:rsidR="00AB1085" w:rsidP="2681BC23" w:rsidRDefault="00AB1085" w14:paraId="27A64B96" w14:textId="31D58E2C">
      <w:pPr>
        <w:pStyle w:val="Normal"/>
      </w:pPr>
      <w:r w:rsidR="2A5BFDC5">
        <w:rPr/>
        <w:t>Staffing creates further difficulties. The council identifies staff leaving faster than they can be replaced as the primary risk to market sustainability (Sandwell Metropolitan Borough Council, 2024, p. 29). Nationally, adult social care vacancy rates remain around three times higher than in the wider job market, and workers report feeling overworked and undervalued (Care Quality Commission, 2025). High turnover disrupts relationships between residents and carers and makes consistent, person-centred care harder to deliver.</w:t>
      </w:r>
    </w:p>
    <w:p w:rsidR="00AB1085" w:rsidP="2681BC23" w:rsidRDefault="00AB1085" w14:paraId="5F335B3B" w14:textId="395607C4">
      <w:pPr>
        <w:pStyle w:val="Normal"/>
      </w:pPr>
      <w:r w:rsidR="2A5BFDC5">
        <w:rPr/>
        <w:t>3. Recommendations</w:t>
      </w:r>
    </w:p>
    <w:p w:rsidR="00AB1085" w:rsidP="2681BC23" w:rsidRDefault="00AB1085" w14:paraId="54F67E43" w14:textId="1C928E65">
      <w:pPr>
        <w:pStyle w:val="Normal"/>
      </w:pPr>
      <w:r w:rsidR="2A5BFDC5">
        <w:rPr/>
        <w:t>First, the council should introduce a transparent, needs-based fee structure by completing its care home framework review and publishing clear fee bands that reflect resident care complexity (Sandwell Metropolitan Borough Council, 2024, p. 36). This would help providers plan staffing and resources for dementia or nursing care, supporting market sustainability under section 5 of the Care Act 2014. The council should consult providers and phase implementation to avoid destabilising local services.</w:t>
      </w:r>
    </w:p>
    <w:p w:rsidR="00AB1085" w:rsidP="2681BC23" w:rsidRDefault="00AB1085" w14:paraId="28209084" w14:textId="44E4EC3B">
      <w:pPr>
        <w:pStyle w:val="Normal"/>
      </w:pPr>
      <w:r w:rsidR="2A5BFDC5">
        <w:rPr/>
        <w:t>Second, Sandwell should improve leadership, safety and resident feedback by prioritising practical support for homes rated Requires Improvement. The Provider Support Team could arrange targeted visits and peer-learning sessions for registered managers. Feedback gathered by the advocacy service, which helps complete about 500 surveys a year (Sandwell Metropolitan Borough Council, 2024, p. 67), should be reviewed alongside CQC inspection findings to monitor quality over time.</w:t>
      </w:r>
    </w:p>
    <w:p w:rsidR="00AB1085" w:rsidP="2681BC23" w:rsidRDefault="00AB1085" w14:paraId="1B756638" w14:textId="2D69BF58">
      <w:pPr>
        <w:pStyle w:val="Normal"/>
      </w:pPr>
      <w:r w:rsidR="2A5BFDC5">
        <w:rPr/>
        <w:t>Third, the council should strengthen recruitment, retention and dementia care by working with providers and health partners on a shared workforce plan covering induction, continuous training and staff wellbeing. This would build on the Workforce Development Strategy (Sandwell Metropolitan Borough Council, 2024, p. 29) and address local nursing capacity for dementia care (Sandwell Metropolitan Borough Council, 2024, p. 47), with progress reviewed every six months.</w:t>
      </w:r>
    </w:p>
    <w:p w:rsidR="00AB1085" w:rsidP="2681BC23" w:rsidRDefault="00AB1085" w14:paraId="3DFA9A73" w14:textId="64E2E624">
      <w:pPr>
        <w:pStyle w:val="Normal"/>
      </w:pPr>
      <w:r w:rsidR="2A5BFDC5">
        <w:rPr/>
        <w:t>4. Conclusion</w:t>
      </w:r>
    </w:p>
    <w:p w:rsidR="00AB1085" w:rsidP="2681BC23" w:rsidRDefault="00AB1085" w14:paraId="7CF119E3" w14:textId="110885C6">
      <w:pPr>
        <w:pStyle w:val="Normal"/>
      </w:pPr>
      <w:r w:rsidR="0BB77E20">
        <w:rPr/>
        <w:t xml:space="preserve">Residential care homes protect the safety, </w:t>
      </w:r>
      <w:r w:rsidR="0BB77E20">
        <w:rPr/>
        <w:t>dignity</w:t>
      </w:r>
      <w:r w:rsidR="0BB77E20">
        <w:rPr/>
        <w:t xml:space="preserve"> and wellbeing of Sandwell residents. Although most rated homes were assessed as Good, weaknsses in leadership, financial pressures and staffing difficulties </w:t>
      </w:r>
      <w:r w:rsidR="0BB77E20">
        <w:rPr/>
        <w:t>remain</w:t>
      </w:r>
      <w:r w:rsidR="0BB77E20">
        <w:rPr/>
        <w:t xml:space="preserve"> concerns. Transparent fees, targeted quality </w:t>
      </w:r>
      <w:r w:rsidR="0BB77E20">
        <w:rPr/>
        <w:t>support</w:t>
      </w:r>
      <w:r w:rsidR="0BB77E20">
        <w:rPr/>
        <w:t xml:space="preserve"> and workforce development would address these connected challenges and help the council meet its responsibilities under the Care Act 2014.</w:t>
      </w:r>
    </w:p>
    <w:p w:rsidR="00AB1085" w:rsidP="2681BC23" w:rsidRDefault="00AB1085" w14:paraId="34DEF9E8" w14:textId="0F6A58DA">
      <w:pPr>
        <w:pStyle w:val="Normal"/>
      </w:pPr>
      <w:r w:rsidR="4D928467">
        <w:rPr/>
        <w:t xml:space="preserve"> Havard </w:t>
      </w:r>
      <w:r w:rsidR="0BB77E20">
        <w:rPr/>
        <w:t>Reference List</w:t>
      </w:r>
    </w:p>
    <w:p w:rsidR="00AB1085" w:rsidP="2681BC23" w:rsidRDefault="00AB1085" w14:paraId="650B86AE" w14:textId="4EFC4CD8">
      <w:pPr>
        <w:pStyle w:val="Normal"/>
      </w:pPr>
      <w:r w:rsidR="2A5BFDC5">
        <w:rPr/>
        <w:t>Care Act 2014, c. 23. Available at: https://www.legislation.gov.uk/ukpga/2014/23/contents (Accessed: 11 October 2026).</w:t>
      </w:r>
    </w:p>
    <w:p w:rsidR="00AB1085" w:rsidP="2681BC23" w:rsidRDefault="00AB1085" w14:paraId="644B1AD9" w14:textId="7D94AF91">
      <w:pPr>
        <w:pStyle w:val="Normal"/>
      </w:pPr>
      <w:r w:rsidR="2A5BFDC5">
        <w:rPr/>
        <w:t>Care Quality Commission (2025) The state of health care and adult social care in England 2024/25. Available at: https://www.cqc.org.uk/publications/major-report/state-care/2024-2025/evidence (Accessed: 11 October 2026).</w:t>
      </w:r>
    </w:p>
    <w:p w:rsidR="00AB1085" w:rsidP="2681BC23" w:rsidRDefault="00AB1085" w14:paraId="517312FF" w14:textId="50C4E365">
      <w:pPr>
        <w:pStyle w:val="Normal"/>
      </w:pPr>
      <w:r w:rsidR="2A5BFDC5">
        <w:rPr/>
        <w:t>Sandwell Metropolitan Borough Council (2024) Market Position Statement. Available at: https://www.sandwell.gov.uk/downloads/file/430/market-position-statement (Accessed: 11 October 2026).</w:t>
      </w:r>
    </w:p>
    <w:p w:rsidR="00AB1085" w:rsidP="2681BC23" w:rsidRDefault="00AB1085" w14:paraId="7C29554F" w14:textId="6F6623C4">
      <w:pPr>
        <w:pStyle w:val="Normal"/>
      </w:pPr>
      <w:r w:rsidR="2A5BFDC5">
        <w:rPr/>
        <w:t>Task 2: Essay – Ambulance Services</w:t>
      </w:r>
    </w:p>
    <w:p w:rsidR="00AB1085" w:rsidP="2681BC23" w:rsidRDefault="00AB1085" w14:paraId="7F6C4415" w14:textId="1C0B18AB">
      <w:pPr>
        <w:pStyle w:val="Normal"/>
      </w:pPr>
      <w:r w:rsidR="2A5BFDC5">
        <w:rPr/>
        <w:t>The Historical Development, Current Operation and Impact of Ambulance Services on Quality of Life</w:t>
      </w:r>
    </w:p>
    <w:p w:rsidR="00AB1085" w:rsidP="2681BC23" w:rsidRDefault="00AB1085" w14:paraId="4DE3C540" w14:textId="425263AB">
      <w:pPr>
        <w:pStyle w:val="Normal"/>
      </w:pPr>
      <w:r w:rsidR="2A5BFDC5">
        <w:rPr/>
        <w:t>Introduction</w:t>
      </w:r>
    </w:p>
    <w:p w:rsidR="00AB1085" w:rsidP="2681BC23" w:rsidRDefault="00AB1085" w14:paraId="191CF62F" w14:textId="5F71C45E">
      <w:pPr>
        <w:pStyle w:val="Normal"/>
      </w:pPr>
      <w:r w:rsidR="0BB77E20">
        <w:rPr/>
        <w:t xml:space="preserve">Ambulance services play a vital role in public health and wellbeing. They respond to emergencies, assess patients, provide </w:t>
      </w:r>
      <w:r w:rsidR="0BB77E20">
        <w:rPr/>
        <w:t>treatment</w:t>
      </w:r>
      <w:r w:rsidR="0BB77E20">
        <w:rPr/>
        <w:t xml:space="preserve"> and transport people to hospital when necessary. Their responsibilities have </w:t>
      </w:r>
      <w:r w:rsidR="0BB77E20">
        <w:rPr/>
        <w:t>developed considerably, moving</w:t>
      </w:r>
      <w:r w:rsidR="0BB77E20">
        <w:rPr/>
        <w:t xml:space="preserve"> beyond the traditional role of transporting injured people towards providing skilled clinical care before reaching hospital. This essay examines the origins and historcal development of ambulance services in England, critically evaluates their current </w:t>
      </w:r>
      <w:r w:rsidR="0BB77E20">
        <w:rPr/>
        <w:t>operation</w:t>
      </w:r>
      <w:r w:rsidR="0BB77E20">
        <w:rPr/>
        <w:t xml:space="preserve"> and considers their impact on quality of life. It argues that modern ambulance services have significantly expanded their clinical role, although delays and pressures across the wider health service can limit the benefits they provide.</w:t>
      </w:r>
    </w:p>
    <w:p w:rsidR="00AB1085" w:rsidP="2681BC23" w:rsidRDefault="00AB1085" w14:paraId="20FB12C5" w14:textId="086E3D73">
      <w:pPr>
        <w:pStyle w:val="Normal"/>
      </w:pPr>
      <w:r w:rsidR="2A5BFDC5">
        <w:rPr/>
        <w:t>Origins and Historical Development</w:t>
      </w:r>
    </w:p>
    <w:p w:rsidR="00AB1085" w:rsidP="2681BC23" w:rsidRDefault="00AB1085" w14:paraId="5135FE33" w14:textId="726FF171">
      <w:pPr>
        <w:pStyle w:val="Normal"/>
      </w:pPr>
      <w:r w:rsidR="2A5BFDC5">
        <w:rPr/>
        <w:t>Before the creation of the National Health Service (NHS), ambulance provision developed through local authorities and charitable organisations. Services were not organised under one consistent national system, and staff training varied. Chamberlain (2018) describes how ambulance work historically focused more on transporting patients than delivering the advanced clinical interventions expected today.</w:t>
      </w:r>
    </w:p>
    <w:p w:rsidR="00AB1085" w:rsidP="2681BC23" w:rsidRDefault="00AB1085" w14:paraId="08EA84D6" w14:textId="6A8D615A">
      <w:pPr>
        <w:pStyle w:val="Normal"/>
      </w:pPr>
      <w:r w:rsidR="2A5BFDC5">
        <w:rPr/>
        <w:t>The National Health Service Act 1946 marked an important change by requiring local authorities in England and Wales to provide ambulance services. In practice, some authorities arranged for organisations such as the British Red Cross and St John Ambulance to deliver these services (Chamberlain, 2018). This helped establish more organised provision, although differences in local arrangements meant that ambulance services did not immediately become a uniform clinical service.</w:t>
      </w:r>
    </w:p>
    <w:p w:rsidR="00AB1085" w:rsidP="2681BC23" w:rsidRDefault="00AB1085" w14:paraId="3CA5C042" w14:textId="0178246E">
      <w:pPr>
        <w:pStyle w:val="Normal"/>
      </w:pPr>
      <w:r w:rsidR="2A5BFDC5">
        <w:rPr/>
        <w:t>A further turning point came with the Millar Report of 1966, which introduced a training syllabus intended to improve the knowledge and skills of ambulance personnel. At the time, developments in trauma care and mobile coronary care demonstrated the importance of treating patients before reaching hospital (Brooks et al., 2016). Better training was therefore necessary if ambulance staff were to contribute more directly to patient survival and recovery.</w:t>
      </w:r>
    </w:p>
    <w:p w:rsidR="00AB1085" w:rsidP="2681BC23" w:rsidRDefault="00AB1085" w14:paraId="1CE9E31C" w14:textId="551BD726">
      <w:pPr>
        <w:pStyle w:val="Normal"/>
      </w:pPr>
      <w:r w:rsidR="2A5BFDC5">
        <w:rPr/>
        <w:t>However, professional development was gradual. Brooks et al. (2016) identify four periods in the development of paramedic education between 1966 and 2014. Their review shows how political decisions, national reports and advances in clinical practice shaped the profession. It also highlights how long it took to establish a coherent approach to education, demonstrating that professionalisation required sustained organisational change.</w:t>
      </w:r>
    </w:p>
    <w:p w:rsidR="00AB1085" w:rsidP="2681BC23" w:rsidRDefault="00AB1085" w14:paraId="0D5B2BEE" w14:textId="425D388B">
      <w:pPr>
        <w:pStyle w:val="Normal"/>
      </w:pPr>
      <w:r w:rsidR="2A5BFDC5">
        <w:rPr/>
        <w:t>Current Function and Operation</w:t>
      </w:r>
    </w:p>
    <w:p w:rsidR="00AB1085" w:rsidP="2681BC23" w:rsidRDefault="00AB1085" w14:paraId="58360644" w14:textId="3E36CAF6">
      <w:pPr>
        <w:pStyle w:val="Normal"/>
      </w:pPr>
      <w:r w:rsidR="2A5BFDC5">
        <w:rPr/>
        <w:t>Today, ambulance services provide emergency responses, clinical assessments, treatment at the scene and transport to hospital when required. Staff must assess the seriousness of a patient’s condition and decide on the most appropriate care. Consequently, performance cannot be measured solely by how quickly a vehicle arrives; the quality of clinical decisions and patient outcomes are also vital.</w:t>
      </w:r>
    </w:p>
    <w:p w:rsidR="00AB1085" w:rsidP="2681BC23" w:rsidRDefault="00AB1085" w14:paraId="7A4CE670" w14:textId="6270EAEC">
      <w:pPr>
        <w:pStyle w:val="Normal"/>
      </w:pPr>
      <w:r w:rsidR="2A5BFDC5">
        <w:rPr/>
        <w:t>Demand remains extremely high. NHS Providers (2026) reports that England recorded more than 737,000 ambulance incidents in February 2026, including roughly 71,000 Category 1 incidents and 372,000 Category 2 incidents. Response-time figures reveal continuing problems: Category 1 incidents averaged seven minutes and 50 seconds, missing the seven-minute standard, while Category 2 calls averaged 28 minutes and 57 seconds, meeting a temporary 30-minute target but remaining well above the 18-minute standard (NHS Providers, 2026).</w:t>
      </w:r>
    </w:p>
    <w:p w:rsidR="00AB1085" w:rsidP="2681BC23" w:rsidRDefault="00AB1085" w14:paraId="0A13F3DC" w14:textId="47442D42">
      <w:pPr>
        <w:pStyle w:val="Normal"/>
      </w:pPr>
      <w:r w:rsidR="0BB77E20">
        <w:rPr/>
        <w:t xml:space="preserve">Hospital handovers create an </w:t>
      </w:r>
      <w:r w:rsidR="0BB77E20">
        <w:rPr/>
        <w:t>additional</w:t>
      </w:r>
      <w:r w:rsidR="0BB77E20">
        <w:rPr/>
        <w:t xml:space="preserve"> difficulty. NHS Providers (2026) reported an average handover time of 31 minutes and two seconds in February 2026. The Associat</w:t>
      </w:r>
      <w:r w:rsidR="5EB97E96">
        <w:rPr/>
        <w:t>t</w:t>
      </w:r>
      <w:r w:rsidR="0BB77E20">
        <w:rPr/>
        <w:t xml:space="preserve">ion of Ambulance Chief Executives (2021) explains that the NHS Standard Contract </w:t>
      </w:r>
      <w:r w:rsidR="0BB77E20">
        <w:rPr/>
        <w:t>requires</w:t>
      </w:r>
      <w:r w:rsidR="0BB77E20">
        <w:rPr/>
        <w:t xml:space="preserve"> handovers within 15 minutes, with none exceeding 30 minutes. When crews wait outside emergency departments, they cannot respond as quickly to new incidents, reducing community availability.</w:t>
      </w:r>
    </w:p>
    <w:p w:rsidR="00AB1085" w:rsidP="2681BC23" w:rsidRDefault="00AB1085" w14:paraId="5E400481" w14:textId="496B35FB">
      <w:pPr>
        <w:pStyle w:val="Normal"/>
      </w:pPr>
      <w:r w:rsidR="2A5BFDC5">
        <w:rPr/>
        <w:t>Impact on Quality of Life</w:t>
      </w:r>
    </w:p>
    <w:p w:rsidR="00AB1085" w:rsidP="2681BC23" w:rsidRDefault="00AB1085" w14:paraId="22E5C86E" w14:textId="48BD428B">
      <w:pPr>
        <w:pStyle w:val="Normal"/>
      </w:pPr>
      <w:r w:rsidR="2A5BFDC5">
        <w:rPr/>
        <w:t>Effective ambulance care can protect life, reduce complications and help people recover their independence. Pre-hospital treatment for heart attacks and serious trauma demonstrates the value of clinical intervention before hospital admission (Brooks et al., 2016). O’Keeffe et al. (2011) found that each minute’s reduction in response time improved the odds of survival from cardiac arrest by 24%, although they cautioned that reducing response times across the board would be costly and that recognising patients at immediate risk of arrest may be equally beneficial.</w:t>
      </w:r>
    </w:p>
    <w:p w:rsidR="00AB1085" w:rsidP="2681BC23" w:rsidRDefault="00AB1085" w14:paraId="4747BB27" w14:textId="6AE39D73">
      <w:pPr>
        <w:pStyle w:val="Normal"/>
      </w:pPr>
      <w:r w:rsidR="2A5BFDC5">
        <w:rPr/>
        <w:t>Conversely, delays can have serious consequences. The Association of Ambulance Chief Executives (2021) examined hospital handovers lasting more than an hour and found that more than eight in ten patients were assessed as potentially having experienced harm, with about one in ten experiencing severe harm. Older, frail and seriously ill patients were among those affected, potentially leading to longer recovery times or loss of independence.</w:t>
      </w:r>
    </w:p>
    <w:p w:rsidR="00AB1085" w:rsidP="2681BC23" w:rsidRDefault="00AB1085" w14:paraId="4E70D094" w14:textId="7857D7F2">
      <w:pPr>
        <w:pStyle w:val="Normal"/>
      </w:pPr>
      <w:r w:rsidR="2A5BFDC5">
        <w:rPr/>
        <w:t>Conclusion</w:t>
      </w:r>
    </w:p>
    <w:p w:rsidR="00AB1085" w:rsidP="2681BC23" w:rsidRDefault="00AB1085" w14:paraId="512F8B34" w14:textId="1E613E46">
      <w:pPr>
        <w:pStyle w:val="Normal"/>
      </w:pPr>
      <w:r w:rsidR="0BB77E20">
        <w:rPr/>
        <w:t>Ambulance services in England have developed from locally organised transport provision into a skilled clinical service within the NHS. However, high demand, missed response-time standards and hospital handover delays continue to affect performance. Sustainable improvement requires better coordination across the urgent and emerge</w:t>
      </w:r>
      <w:r w:rsidR="120855F7">
        <w:rPr/>
        <w:t>g</w:t>
      </w:r>
      <w:r w:rsidR="0BB77E20">
        <w:rPr/>
        <w:t>ncy care system, supported by workforce investment and a strong focus on patient outcomes.</w:t>
      </w:r>
    </w:p>
    <w:p w:rsidR="00AB1085" w:rsidP="2681BC23" w:rsidRDefault="00AB1085" w14:paraId="3FE03A26" w14:textId="6FBDBEBD">
      <w:pPr>
        <w:pStyle w:val="Normal"/>
      </w:pPr>
      <w:r w:rsidR="07AB7EF0">
        <w:rPr/>
        <w:t xml:space="preserve"> Havard </w:t>
      </w:r>
      <w:r w:rsidR="0BB77E20">
        <w:rPr/>
        <w:t>Reference List</w:t>
      </w:r>
    </w:p>
    <w:p w:rsidR="00AB1085" w:rsidP="2681BC23" w:rsidRDefault="00AB1085" w14:paraId="3D31240C" w14:textId="53A8C652">
      <w:pPr>
        <w:pStyle w:val="Normal"/>
      </w:pPr>
      <w:r w:rsidR="2A5BFDC5">
        <w:rPr/>
        <w:t>Association of Ambulance Chief Executives (2021) Delayed hospital handovers: impact assessment of patient harm. Available at: https://aace.org.uk/wp-content/uploads/2021/11/AACE-Delayed-hospital-handovers-Impact-assessment-of-patient-harm-FINAL-Nov-2021.pdf (Accessed: 11 October 2026).</w:t>
      </w:r>
    </w:p>
    <w:p w:rsidR="00AB1085" w:rsidP="2681BC23" w:rsidRDefault="00AB1085" w14:paraId="0D55DF98" w14:textId="17266E50">
      <w:pPr>
        <w:pStyle w:val="Normal"/>
      </w:pPr>
      <w:r w:rsidR="2A5BFDC5">
        <w:rPr/>
        <w:t>Brooks, I.A., Cooke, M., Spencer, C. and Archer, F. (2016) ‘A review of key national reports to describe the development of paramedic education in England (1966–2014)’, Emergency Medicine Journal, 33(12), pp. 876–881. Available at: https://emj.bmj.com/content/33/12/876 (Accessed: 11 October 2026).</w:t>
      </w:r>
    </w:p>
    <w:p w:rsidR="00AB1085" w:rsidP="2681BC23" w:rsidRDefault="00AB1085" w14:paraId="2A515FEF" w14:textId="74E0D268">
      <w:pPr>
        <w:pStyle w:val="Normal"/>
      </w:pPr>
      <w:r w:rsidR="2A5BFDC5">
        <w:rPr/>
        <w:t>Chamberlain, D. (2018) ‘Looking back 70 years at the evolution of the paramedic’, Journal of Paramedic Practice, 10(7), pp. 282–283. Available at: https://www.paramedicpractice.com/articles/looking-back-70-years-at-the-evolution-of-the-paramedic (Accessed: 11 October 2026).</w:t>
      </w:r>
    </w:p>
    <w:p w:rsidR="00AB1085" w:rsidP="2681BC23" w:rsidRDefault="00AB1085" w14:paraId="58B60B78" w14:textId="70EF69D2">
      <w:pPr>
        <w:pStyle w:val="Normal"/>
      </w:pPr>
      <w:r w:rsidR="2A5BFDC5">
        <w:rPr/>
        <w:t>NHS Providers (2026) NHS Activity Tracker: March 2026 – Ambulance sector. Available at: https://nhsproviders.org/resources/nhs-activity-tracker-march-2026/ambulance-sector (Accessed: 11 October 2026).</w:t>
      </w:r>
    </w:p>
    <w:p w:rsidR="00AB1085" w:rsidP="2681BC23" w:rsidRDefault="00AB1085" w14:paraId="7A6BAACF" w14:textId="7C2878BF">
      <w:pPr>
        <w:pStyle w:val="Normal"/>
      </w:pPr>
      <w:r w:rsidR="2A5BFDC5">
        <w:rPr/>
        <w:t>O’Keeffe, C., Nicholl, J., Turner, J. and Goodacre, S. (2011) ‘Role of ambulance response times in the survival of patients with out-of-hospital cardiac arrest’, Emergency Medicine Journal, 28(8), pp. 703–706. Available at: https://emj.bmj.com/content/28/8/703 (Accessed: 11 October 2026).</w:t>
      </w:r>
    </w:p>
    <w:p w:rsidR="00AB1085" w:rsidRDefault="00AB1085" w14:paraId="5E5787A5" w14:textId="3426B589"/>
    <w:sectPr w:rsidR="00AB108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D76EA3"/>
    <w:rsid w:val="00005928"/>
    <w:rsid w:val="00011933"/>
    <w:rsid w:val="000D1DE8"/>
    <w:rsid w:val="00170D83"/>
    <w:rsid w:val="00174819"/>
    <w:rsid w:val="001A41FD"/>
    <w:rsid w:val="001D56C2"/>
    <w:rsid w:val="001D5ADD"/>
    <w:rsid w:val="002336AE"/>
    <w:rsid w:val="002675EC"/>
    <w:rsid w:val="0030642B"/>
    <w:rsid w:val="00346744"/>
    <w:rsid w:val="00375773"/>
    <w:rsid w:val="0047658C"/>
    <w:rsid w:val="00481C62"/>
    <w:rsid w:val="004B1570"/>
    <w:rsid w:val="004C02E8"/>
    <w:rsid w:val="004F3CDD"/>
    <w:rsid w:val="00541922"/>
    <w:rsid w:val="005829D4"/>
    <w:rsid w:val="00606A17"/>
    <w:rsid w:val="00674E0C"/>
    <w:rsid w:val="006815EF"/>
    <w:rsid w:val="006974AB"/>
    <w:rsid w:val="00701886"/>
    <w:rsid w:val="00760B2A"/>
    <w:rsid w:val="00766237"/>
    <w:rsid w:val="007C54D1"/>
    <w:rsid w:val="007F4BF2"/>
    <w:rsid w:val="00800510"/>
    <w:rsid w:val="008565BD"/>
    <w:rsid w:val="00945BB4"/>
    <w:rsid w:val="00964DA5"/>
    <w:rsid w:val="009A35C0"/>
    <w:rsid w:val="00A05758"/>
    <w:rsid w:val="00A26E70"/>
    <w:rsid w:val="00A534AB"/>
    <w:rsid w:val="00A80EEC"/>
    <w:rsid w:val="00AA131E"/>
    <w:rsid w:val="00AB1085"/>
    <w:rsid w:val="00AE304B"/>
    <w:rsid w:val="00B6275E"/>
    <w:rsid w:val="00B77A03"/>
    <w:rsid w:val="00B87FEF"/>
    <w:rsid w:val="00B918E9"/>
    <w:rsid w:val="00BD5001"/>
    <w:rsid w:val="00C45BAF"/>
    <w:rsid w:val="00C53CF6"/>
    <w:rsid w:val="00C62641"/>
    <w:rsid w:val="00C67DD8"/>
    <w:rsid w:val="00C75633"/>
    <w:rsid w:val="00C92C21"/>
    <w:rsid w:val="00CC010E"/>
    <w:rsid w:val="00D257F0"/>
    <w:rsid w:val="00D305DA"/>
    <w:rsid w:val="00D34BB4"/>
    <w:rsid w:val="00DC1A68"/>
    <w:rsid w:val="00DE63B8"/>
    <w:rsid w:val="00E667D2"/>
    <w:rsid w:val="00E66DF2"/>
    <w:rsid w:val="00E940DB"/>
    <w:rsid w:val="00F87EA6"/>
    <w:rsid w:val="00FE2AB8"/>
    <w:rsid w:val="00FE65A5"/>
    <w:rsid w:val="00FF74BD"/>
    <w:rsid w:val="01F45519"/>
    <w:rsid w:val="0288B48D"/>
    <w:rsid w:val="049F338C"/>
    <w:rsid w:val="07AB7EF0"/>
    <w:rsid w:val="0A44B661"/>
    <w:rsid w:val="0AD9B5A4"/>
    <w:rsid w:val="0BB77E20"/>
    <w:rsid w:val="0EC8F186"/>
    <w:rsid w:val="0F6E177E"/>
    <w:rsid w:val="120855F7"/>
    <w:rsid w:val="17084AEF"/>
    <w:rsid w:val="19F233D4"/>
    <w:rsid w:val="1D428C92"/>
    <w:rsid w:val="1E5C5644"/>
    <w:rsid w:val="2020837A"/>
    <w:rsid w:val="2310A778"/>
    <w:rsid w:val="2681BC23"/>
    <w:rsid w:val="2704475B"/>
    <w:rsid w:val="2A0090C9"/>
    <w:rsid w:val="2A5BFDC5"/>
    <w:rsid w:val="2B7FE2DD"/>
    <w:rsid w:val="30D9E6D3"/>
    <w:rsid w:val="321524F2"/>
    <w:rsid w:val="33C85B01"/>
    <w:rsid w:val="34B79DF1"/>
    <w:rsid w:val="36D76EA3"/>
    <w:rsid w:val="3C1DAA0D"/>
    <w:rsid w:val="3F019128"/>
    <w:rsid w:val="4D381B97"/>
    <w:rsid w:val="4D928467"/>
    <w:rsid w:val="508FEC8A"/>
    <w:rsid w:val="5A97CCC2"/>
    <w:rsid w:val="5EB97E96"/>
    <w:rsid w:val="6308C594"/>
    <w:rsid w:val="6F9BBDE4"/>
    <w:rsid w:val="700FC525"/>
    <w:rsid w:val="721CE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A79B9"/>
  <w15:chartTrackingRefBased/>
  <w15:docId w15:val="{3D936382-0E7E-45A6-A4E3-D9F693A75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Amandeep Kaur (2537753)</dc:creator>
  <keywords/>
  <dc:description/>
  <lastModifiedBy>Amandeep Kaur (2537753)</lastModifiedBy>
  <revision>68</revision>
  <dcterms:created xsi:type="dcterms:W3CDTF">2026-10-11T20:50:00.0000000Z</dcterms:created>
  <dcterms:modified xsi:type="dcterms:W3CDTF">2026-10-15T21:16:22.8550116Z</dcterms:modified>
</coreProperties>
</file>