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3E330" w14:textId="75C44098" w:rsidR="00F17155" w:rsidRDefault="004C5C42" w:rsidP="004C5C42">
      <w:r>
        <w:rPr>
          <w:noProof/>
        </w:rPr>
        <w:drawing>
          <wp:inline distT="0" distB="0" distL="0" distR="0" wp14:anchorId="04EEEB41" wp14:editId="4EFC5A79">
            <wp:extent cx="2194560" cy="1066800"/>
            <wp:effectExtent l="0" t="0" r="0" b="0"/>
            <wp:docPr id="2"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99520" cy="1069211"/>
                    </a:xfrm>
                    <a:prstGeom prst="rect">
                      <a:avLst/>
                    </a:prstGeom>
                  </pic:spPr>
                </pic:pic>
              </a:graphicData>
            </a:graphic>
          </wp:inline>
        </w:drawing>
      </w:r>
    </w:p>
    <w:p w14:paraId="79194386" w14:textId="77777777" w:rsidR="00F17155" w:rsidRDefault="00F17155" w:rsidP="00057719"/>
    <w:p w14:paraId="0F6B8AD7" w14:textId="77777777" w:rsidR="00057719" w:rsidRPr="00057719" w:rsidRDefault="00057719" w:rsidP="004C5C42">
      <w:pPr>
        <w:rPr>
          <w:b/>
          <w:bCs/>
          <w:sz w:val="32"/>
          <w:szCs w:val="32"/>
        </w:rPr>
      </w:pPr>
      <w:r w:rsidRPr="00057719">
        <w:rPr>
          <w:b/>
          <w:bCs/>
          <w:sz w:val="32"/>
          <w:szCs w:val="32"/>
        </w:rPr>
        <w:t xml:space="preserve">NAME: NZEDIEGWU IKECHUKWU </w:t>
      </w:r>
    </w:p>
    <w:p w14:paraId="458AE15E" w14:textId="5081677A" w:rsidR="00057719" w:rsidRPr="00057719" w:rsidRDefault="00057719" w:rsidP="004C5C42">
      <w:pPr>
        <w:rPr>
          <w:b/>
          <w:bCs/>
          <w:sz w:val="32"/>
          <w:szCs w:val="32"/>
        </w:rPr>
      </w:pPr>
      <w:r w:rsidRPr="00057719">
        <w:rPr>
          <w:b/>
          <w:bCs/>
          <w:sz w:val="32"/>
          <w:szCs w:val="32"/>
        </w:rPr>
        <w:t xml:space="preserve">PROGRAMME: MSc Public Health and social care in practice </w:t>
      </w:r>
    </w:p>
    <w:p w14:paraId="7D210311" w14:textId="7FAB8C12" w:rsidR="004C5C42" w:rsidRPr="00057719" w:rsidRDefault="004C5C42" w:rsidP="004C5C42">
      <w:pPr>
        <w:rPr>
          <w:b/>
          <w:bCs/>
          <w:sz w:val="32"/>
          <w:szCs w:val="32"/>
        </w:rPr>
      </w:pPr>
      <w:r w:rsidRPr="00057719">
        <w:rPr>
          <w:b/>
          <w:bCs/>
          <w:sz w:val="32"/>
          <w:szCs w:val="32"/>
        </w:rPr>
        <w:t xml:space="preserve">MODULE: PRACTICE BASED RESEARCH </w:t>
      </w:r>
    </w:p>
    <w:p w14:paraId="6E05586D" w14:textId="367F514D" w:rsidR="00057719" w:rsidRPr="00057719" w:rsidRDefault="00057719" w:rsidP="004C5C42">
      <w:pPr>
        <w:rPr>
          <w:b/>
          <w:bCs/>
          <w:sz w:val="32"/>
          <w:szCs w:val="32"/>
        </w:rPr>
      </w:pPr>
      <w:r w:rsidRPr="00057719">
        <w:rPr>
          <w:b/>
          <w:bCs/>
          <w:sz w:val="32"/>
          <w:szCs w:val="32"/>
        </w:rPr>
        <w:t>MODULE CODE: LCHS7008</w:t>
      </w:r>
    </w:p>
    <w:p w14:paraId="1C8DD475" w14:textId="10EC8495" w:rsidR="00057719" w:rsidRPr="00057719" w:rsidRDefault="00057719" w:rsidP="004C5C42">
      <w:pPr>
        <w:rPr>
          <w:b/>
          <w:bCs/>
          <w:sz w:val="32"/>
          <w:szCs w:val="32"/>
        </w:rPr>
      </w:pPr>
      <w:r w:rsidRPr="00057719">
        <w:rPr>
          <w:b/>
          <w:bCs/>
          <w:sz w:val="32"/>
          <w:szCs w:val="32"/>
        </w:rPr>
        <w:t>ASSIGNMENT TITLE: COMPONENT 2- WRITTEN RESEARCH PROPOSAL</w:t>
      </w:r>
    </w:p>
    <w:p w14:paraId="62D2BC7B" w14:textId="0E7C6604" w:rsidR="004C5C42" w:rsidRPr="00057719" w:rsidRDefault="004C5C42" w:rsidP="004C5C42">
      <w:pPr>
        <w:rPr>
          <w:b/>
          <w:bCs/>
          <w:sz w:val="32"/>
          <w:szCs w:val="32"/>
        </w:rPr>
      </w:pPr>
      <w:r w:rsidRPr="00057719">
        <w:rPr>
          <w:b/>
          <w:bCs/>
          <w:sz w:val="32"/>
          <w:szCs w:val="32"/>
        </w:rPr>
        <w:t>LECTURER:</w:t>
      </w:r>
      <w:r w:rsidR="00057719" w:rsidRPr="00057719">
        <w:rPr>
          <w:b/>
          <w:bCs/>
          <w:sz w:val="32"/>
          <w:szCs w:val="32"/>
        </w:rPr>
        <w:t xml:space="preserve"> Oluwadamilola Tayo </w:t>
      </w:r>
    </w:p>
    <w:p w14:paraId="2462F5D3" w14:textId="3A3C4983" w:rsidR="00F17155" w:rsidRPr="00057719" w:rsidRDefault="00F17155" w:rsidP="004C5C42">
      <w:pPr>
        <w:rPr>
          <w:b/>
          <w:bCs/>
          <w:sz w:val="32"/>
          <w:szCs w:val="32"/>
        </w:rPr>
      </w:pPr>
      <w:r w:rsidRPr="00057719">
        <w:rPr>
          <w:b/>
          <w:bCs/>
          <w:sz w:val="32"/>
          <w:szCs w:val="32"/>
        </w:rPr>
        <w:t>Date</w:t>
      </w:r>
      <w:r w:rsidR="004C5C42" w:rsidRPr="00057719">
        <w:rPr>
          <w:b/>
          <w:bCs/>
          <w:sz w:val="32"/>
          <w:szCs w:val="32"/>
        </w:rPr>
        <w:t>:</w:t>
      </w:r>
      <w:r w:rsidR="00057719" w:rsidRPr="00057719">
        <w:rPr>
          <w:b/>
          <w:bCs/>
          <w:sz w:val="32"/>
          <w:szCs w:val="32"/>
        </w:rPr>
        <w:t xml:space="preserve"> 18</w:t>
      </w:r>
      <w:r w:rsidR="00057719" w:rsidRPr="00057719">
        <w:rPr>
          <w:b/>
          <w:bCs/>
          <w:sz w:val="32"/>
          <w:szCs w:val="32"/>
          <w:vertAlign w:val="superscript"/>
        </w:rPr>
        <w:t>th</w:t>
      </w:r>
      <w:r w:rsidR="00057719" w:rsidRPr="00057719">
        <w:rPr>
          <w:b/>
          <w:bCs/>
          <w:sz w:val="32"/>
          <w:szCs w:val="32"/>
        </w:rPr>
        <w:t xml:space="preserve"> August 2026 </w:t>
      </w:r>
    </w:p>
    <w:p w14:paraId="3FBE7B6F" w14:textId="6AFB63AF" w:rsidR="00F17155" w:rsidRDefault="00F17155" w:rsidP="00F17155"/>
    <w:p w14:paraId="492C1341" w14:textId="77777777" w:rsidR="00F17155" w:rsidRDefault="00F17155">
      <w:r>
        <w:br w:type="page"/>
      </w:r>
    </w:p>
    <w:p w14:paraId="3AEB86FF" w14:textId="77777777" w:rsidR="00F17155" w:rsidRPr="00F17155" w:rsidRDefault="00F17155" w:rsidP="00F17155">
      <w:pPr>
        <w:jc w:val="center"/>
        <w:rPr>
          <w:b/>
          <w:bCs/>
        </w:rPr>
      </w:pPr>
      <w:r w:rsidRPr="00F17155">
        <w:rPr>
          <w:b/>
        </w:rPr>
        <w:lastRenderedPageBreak/>
        <w:t>Barriers to Accessing NHS Mental Health Services Among Black and Minority Ethnic (BME) Communities in the UK: A Systematic Review</w:t>
      </w:r>
    </w:p>
    <w:p w14:paraId="44A5D739" w14:textId="5EFFB3FD" w:rsidR="007E6BE9" w:rsidRPr="00E03933" w:rsidRDefault="007E6BE9" w:rsidP="00284754">
      <w:pPr>
        <w:jc w:val="center"/>
        <w:rPr>
          <w:b/>
          <w:bCs/>
        </w:rPr>
      </w:pPr>
      <w:r w:rsidRPr="00E03933">
        <w:rPr>
          <w:b/>
        </w:rPr>
        <w:t>Prevalence of the Problem</w:t>
      </w:r>
    </w:p>
    <w:p w14:paraId="613770F7" w14:textId="4F4A5757" w:rsidR="001D5ADF" w:rsidRDefault="00E03933" w:rsidP="001D5ADF">
      <w:pPr>
        <w:ind w:firstLine="720"/>
      </w:pPr>
      <w:r>
        <w:t>The United Kingdom reports that one in six people aged 16 years or older in the nation suffer from mental health conditions, as proven by a 2014 survey of mental health and wellbeing</w:t>
      </w:r>
      <w:r w:rsidR="00E876C2">
        <w:t xml:space="preserve"> (McManus et al., 2016)</w:t>
      </w:r>
      <w:r>
        <w:t xml:space="preserve">. </w:t>
      </w:r>
      <w:r w:rsidR="00E14C62">
        <w:t xml:space="preserve">It comprises an immense part of the national health burden, comprising 23%, which is much higher compared to </w:t>
      </w:r>
      <w:r w:rsidR="00E14C62" w:rsidRPr="00E14C62">
        <w:t>16.2% for cardiovascular disease and 15.9% for cancer</w:t>
      </w:r>
      <w:r w:rsidR="00E14C62">
        <w:t xml:space="preserve"> (</w:t>
      </w:r>
      <w:r w:rsidR="00E14C62" w:rsidRPr="00E14C62">
        <w:t>de Noronha, 2021)</w:t>
      </w:r>
      <w:r w:rsidR="00E14C62">
        <w:t xml:space="preserve">. </w:t>
      </w:r>
      <w:r>
        <w:t xml:space="preserve">The statistics are particularly concerning among </w:t>
      </w:r>
      <w:r w:rsidR="005C5414">
        <w:t>Black and Minority Ethnic (BME) communities</w:t>
      </w:r>
      <w:r>
        <w:t>, who despite making up 14% of the total population in England and Wales according to the 2021 census</w:t>
      </w:r>
      <w:r w:rsidR="00E876C2">
        <w:t xml:space="preserve"> (ONS, 2021)</w:t>
      </w:r>
      <w:r>
        <w:t>, are heavily underserved by the National Health Service mental health provision. These individuals face inequalities in terms of their referral, access to treatment, completion of treatment, compulsory detention, and access to culturally appropriate care</w:t>
      </w:r>
      <w:r w:rsidR="00E876C2">
        <w:t xml:space="preserve"> (Barnett et al., 2019)</w:t>
      </w:r>
      <w:r>
        <w:t>.</w:t>
      </w:r>
      <w:r w:rsidR="00E14C62">
        <w:t xml:space="preserve"> This can be attributed to lack of culturally sensitive care, limiting cultural attitudes and beliefs, socioeconomic conditions, language barriers, and mistrust of mental health care servicers.</w:t>
      </w:r>
      <w:r w:rsidR="007A706E">
        <w:t xml:space="preserve"> </w:t>
      </w:r>
    </w:p>
    <w:p w14:paraId="70F573BB" w14:textId="070CD4E7" w:rsidR="007E6BE9" w:rsidRPr="001D5ADF" w:rsidRDefault="007A706E" w:rsidP="001D5ADF">
      <w:pPr>
        <w:ind w:firstLine="720"/>
      </w:pPr>
      <w:r>
        <w:t xml:space="preserve">The evidence of the scale of disparity is well documented in reports by the Care Quality Commission, the NHS, and various research studies. The Care Quality Commission reported in their 2024 report that people living in deprived areas and those in ethnic minorities were more likely to present with mental health illnesses (Care Quality Commission, 2024). Bamford et al. (2021) also highlights how studies indicate that BMEs are more likely than their white counterparts to develop </w:t>
      </w:r>
      <w:r w:rsidR="001D5ADF">
        <w:t xml:space="preserve">depressive symptoms. This is highly contradictory to the </w:t>
      </w:r>
      <w:r w:rsidR="001D5ADF" w:rsidRPr="001D5ADF">
        <w:t>NHS Equality, Diversity, and Human Rights policies in the Equality Act 2010</w:t>
      </w:r>
      <w:r w:rsidR="001D5ADF">
        <w:t xml:space="preserve">, which prohibit discrimination of patients based on their ethnic backgrounds. This study </w:t>
      </w:r>
      <w:r w:rsidR="001D5ADF">
        <w:lastRenderedPageBreak/>
        <w:t>discusses the various studies which indicate the prevalence of mental health conditions and the barriers that BMEs face in accessing mental health care within the UK.</w:t>
      </w:r>
    </w:p>
    <w:p w14:paraId="30E87E58" w14:textId="2AAEDA4F" w:rsidR="001D5ADF" w:rsidRPr="001D5ADF" w:rsidRDefault="001D5ADF" w:rsidP="00284754">
      <w:pPr>
        <w:jc w:val="center"/>
        <w:rPr>
          <w:b/>
          <w:bCs/>
        </w:rPr>
      </w:pPr>
      <w:r w:rsidRPr="001D5ADF">
        <w:rPr>
          <w:b/>
        </w:rPr>
        <w:t>Introduction – Literature-Based Background</w:t>
      </w:r>
    </w:p>
    <w:p w14:paraId="601EE993" w14:textId="61615047" w:rsidR="00F73881" w:rsidRDefault="001D5ADF" w:rsidP="00851991">
      <w:pPr>
        <w:ind w:firstLine="720"/>
      </w:pPr>
      <w:r>
        <w:t>Bamford et al. (2021)</w:t>
      </w:r>
      <w:r w:rsidR="00D377D2">
        <w:t xml:space="preserve"> explore the relationship between social capital and mental health among BMEs in the UK. Social capital refer to the connections that people make in their communities to form positive aspects of their social life, and the authors categorize it into cognitive capital, which refers to factors such as trust and support which are subjective, and structural capital, which refers to networks and social organizations such as friend groups and churches. When people have a high sense of social capital, they are more likely to feel a sense of social belonging, which reduces the occurrence of depressive symptoms. The authors highlight that there are disparities within the BME communities themselves, which vary based on their experience of poverty and other environmental conditions. The research employed the Understanding Society survey to collect data from a sample of 25.921 participants. The results indicated that psychological distress was more common in some, but not all, BME communities, compared to their white British counterparts.</w:t>
      </w:r>
      <w:r w:rsidR="00851991">
        <w:t xml:space="preserve"> The research found that levels of social capital were significantly associated with prevalence of mental health, as men experienced depressive symptoms mainly due to unemployment, and women experienced the same due to culturally significant requirements such as low education, marriage without children, and migration status. The findings show that it is important to include culturally responsive care to minority communities based on their specific contexts in their communities and improve their sense of belonging in their communities.</w:t>
      </w:r>
    </w:p>
    <w:p w14:paraId="48320A83" w14:textId="2381FC5B" w:rsidR="00F73881" w:rsidRDefault="001D5ADF" w:rsidP="009E44E5">
      <w:pPr>
        <w:ind w:firstLine="720"/>
      </w:pPr>
      <w:r>
        <w:t>Patel et al. (2026)</w:t>
      </w:r>
      <w:r w:rsidR="00851991">
        <w:t xml:space="preserve"> conducted a qualitative study from the perspective of clinicians to report their experiences as they provide support to BME communities in England. This stems from the knowledge that BME communities are less likely than their white British </w:t>
      </w:r>
      <w:r w:rsidR="00851991">
        <w:lastRenderedPageBreak/>
        <w:t xml:space="preserve">counterparts to access mental health care in the UK, which reduces their quality of lives. Using a sample of 14 clinicians undertaking semi-structured interviews with about 14.1 years of experience, the researchers were able to report on personal clinical factors that impact how clinicians deliver mental care, how patients perceive mental health services from the perspectives of the clinicians, and the structural factors within healthcare organizations that contribute to the disparity in mental healthcare access among BME communities. From the results, the clinicians indicated several personal factors hindering mental health care service as </w:t>
      </w:r>
      <w:r w:rsidR="009E44E5">
        <w:t>language barriers, limited training on culturally sensitive medical terms, and loss of meaning through interpreters. From their perspectives, clinicians reported that patients usually faced stigma associated with mental health and resorted to religious or spiritual beliefs rather than medical facts, were embarrassed about their conditions, and experienced mistrust with the Western mental healthcare systems. Finally, various structural factors such as service pressures, inadequate training on cultures, inadequate referral pathways, and limited awareness among patients from ethnic minority communities contributed to limited access to healthcare services. The authors concluded that it is essential for clinicians to receive training on cultural competency to reduce mental healthcare inequalities.</w:t>
      </w:r>
    </w:p>
    <w:p w14:paraId="5CF20C7D" w14:textId="7F52C7A5" w:rsidR="00F73881" w:rsidRDefault="00F73881" w:rsidP="00785277">
      <w:pPr>
        <w:ind w:firstLine="720"/>
      </w:pPr>
      <w:proofErr w:type="spellStart"/>
      <w:r w:rsidRPr="00F73881">
        <w:t>Nwokoroku</w:t>
      </w:r>
      <w:proofErr w:type="spellEnd"/>
      <w:r>
        <w:t xml:space="preserve"> et al., (2022)</w:t>
      </w:r>
      <w:r w:rsidR="00F11343">
        <w:t xml:space="preserve"> conducted an extensive review of the available literature by adhering to the </w:t>
      </w:r>
      <w:r w:rsidR="00F11343" w:rsidRPr="00F11343">
        <w:t>Preferred Reporting Items for Systematic Reviews and Meta-Analyses (PRISMA) guidelines</w:t>
      </w:r>
      <w:r w:rsidR="00F11343">
        <w:t xml:space="preserve"> to search databased such as CINAHL, PsycINFO, and Medline. From the review of the literature, the results indicated that various structural factors, service users’ perceptions, cultural stigma, and other cultural barriers contributed to the unequal access to mental health care in the UK. The authors highlighted that in the wake of immigration, the UK continues to acquire even higher numbers of BME communities, which needs them to increase the level of mental health care for these communities, especially since literature suggests that there is a relation between mental health and migration (</w:t>
      </w:r>
      <w:proofErr w:type="spellStart"/>
      <w:r w:rsidR="00F11343">
        <w:t>Nwokoroku</w:t>
      </w:r>
      <w:proofErr w:type="spellEnd"/>
      <w:r w:rsidR="00F11343">
        <w:t xml:space="preserve"> et al. </w:t>
      </w:r>
      <w:r w:rsidR="00F11343">
        <w:lastRenderedPageBreak/>
        <w:t>2022).</w:t>
      </w:r>
      <w:r w:rsidR="00785277">
        <w:t xml:space="preserve"> Some structural factors contributing to underutilisation of mental health services include language constraints, waiting times, professional stigma, poor staff attitude towards various cultures’ beliefs. Some perception issues that arose with service users included families hiding a member diagnosed with mental illness, feelings of inadequacy associated with use of mental health services, experiences of criminalisation in the mental health unit among black people, and overall mistrust in the healthcare service. Stigma is a major cultural issue, as patients experienced racism and psychiatric labelling, which reduced their willingness to seek mental help. Cultural barriers were a major theme, with participants reporting negative experiences, cultural insensitivity, and shame due to their mental illness. The study suggests that since culture plays a vital role in how BME communities seek mental help, better mental health interventions that address cultural compatibility should be put in place.</w:t>
      </w:r>
    </w:p>
    <w:p w14:paraId="5DE90491" w14:textId="0CA2B2C6" w:rsidR="001D5ADF" w:rsidRDefault="00F73881" w:rsidP="00750164">
      <w:pPr>
        <w:ind w:firstLine="720"/>
      </w:pPr>
      <w:r>
        <w:t>Miller et al. (2021)</w:t>
      </w:r>
      <w:r w:rsidR="00785277">
        <w:t xml:space="preserve"> explored the perceptions of mental health services and support in the United Kingdom from the perspectives of BME communities’ carers. The authors highlight that according to the Kings Fund (2021), the main barriers to mental health utilisation in the UK among the BME group include social determinants of health such as education, </w:t>
      </w:r>
      <w:r w:rsidR="00750164">
        <w:t>shelter conditions, and employment levels. Furthermore, cases of abuse, self-harm, and suicide increased among women groups in BME communities during the Covid-19 pandemic</w:t>
      </w:r>
      <w:r w:rsidR="00E876C2">
        <w:t xml:space="preserve"> (Alegría et al., 2021</w:t>
      </w:r>
      <w:r w:rsidR="004C2969">
        <w:t xml:space="preserve">; </w:t>
      </w:r>
      <w:proofErr w:type="spellStart"/>
      <w:r w:rsidR="00803FEE">
        <w:t>Iob</w:t>
      </w:r>
      <w:proofErr w:type="spellEnd"/>
      <w:r w:rsidR="00803FEE">
        <w:t xml:space="preserve"> et al., 2020</w:t>
      </w:r>
      <w:r w:rsidR="00E876C2">
        <w:t>)</w:t>
      </w:r>
      <w:r w:rsidR="00750164">
        <w:t xml:space="preserve">. The results from literature drawn from three databases, Medline, CINAHL, and Psychology and Behavioural Sciences Collection, indicated barriers such as lack of confidence in the existing mental healthcare services due to misdiagnosis, lack of support from general practitioners, language barriers to accessing mental healthcare services, and difficulties in seeking help due to stigma and shame. The carers reported other positive experiences that encouraged them to seek help, such as personalized care, receiving information about existing mental health problems and available </w:t>
      </w:r>
      <w:r w:rsidR="00750164">
        <w:lastRenderedPageBreak/>
        <w:t>services, and cultural sensitivity discussions. The study concludes that it is essential to address the above issues which hinder mental healthcare access, so that BME carers can access the mental health support they need.</w:t>
      </w:r>
    </w:p>
    <w:p w14:paraId="689CFB50" w14:textId="7E404C7A" w:rsidR="00F17155" w:rsidRPr="00F24387" w:rsidRDefault="00F17155" w:rsidP="00F17155">
      <w:pPr>
        <w:rPr>
          <w:b/>
          <w:bCs/>
        </w:rPr>
      </w:pPr>
      <w:r w:rsidRPr="00F24387">
        <w:rPr>
          <w:b/>
        </w:rPr>
        <w:t>Rationale &amp; Research Question/Aims/hypothesis</w:t>
      </w:r>
    </w:p>
    <w:p w14:paraId="26CF457C" w14:textId="081CB257" w:rsidR="00F24387" w:rsidRDefault="00F24387" w:rsidP="00F24387">
      <w:pPr>
        <w:ind w:firstLine="720"/>
      </w:pPr>
      <w:r>
        <w:t xml:space="preserve">Despite NHS commitments under the Long-Term Plan to improve mental health parity of esteem, significant ethnic disparities </w:t>
      </w:r>
      <w:r w:rsidR="0048729C">
        <w:t>continue</w:t>
      </w:r>
      <w:r>
        <w:t xml:space="preserve"> to prevail (NHS England, 2019). </w:t>
      </w:r>
      <w:r w:rsidR="0048729C">
        <w:t xml:space="preserve">This shows that the policy commitments are yet to be matched by outcomes, hence the cumulative evidence on why these mental health barriers still exist among BME communities. </w:t>
      </w:r>
      <w:r>
        <w:t xml:space="preserve">Existing research utilises quantitative approaches, creating a gap in the lived-experience data. This study addresses that gap by adopting a systematic approach to help understand and address the challenges of BME communities </w:t>
      </w:r>
      <w:r w:rsidR="0048729C">
        <w:t>in regard to</w:t>
      </w:r>
      <w:r>
        <w:t xml:space="preserve"> mental health</w:t>
      </w:r>
      <w:r w:rsidR="0048729C">
        <w:t xml:space="preserve"> using both qualitative and quantitative approaches. Various reviews such as </w:t>
      </w:r>
      <w:proofErr w:type="spellStart"/>
      <w:r w:rsidR="0048729C">
        <w:t>Bhui</w:t>
      </w:r>
      <w:proofErr w:type="spellEnd"/>
      <w:r w:rsidR="0048729C">
        <w:t xml:space="preserve"> et al. (2003) and Halvorsrud et al. (2018)</w:t>
      </w:r>
      <w:r w:rsidR="00206F57">
        <w:t xml:space="preserve"> have mapped ethnic disparities in specific care pathways, but there are limited studies which apply an intersectional lens to consider how race intersects with gender</w:t>
      </w:r>
      <w:r w:rsidR="00E876C2">
        <w:t xml:space="preserve"> (Bignall et al., 2019)</w:t>
      </w:r>
      <w:r w:rsidR="00206F57">
        <w:t>, socio-economic status, and migration status to influence help-seeking behavior, as highlighted by Harwood et al. (2023). Therefore, this study aims to address this gap by exploring various literature to establish how these intersecting identities constitute barriers, offering new insight for policy reform and culturally responsive care design.</w:t>
      </w:r>
    </w:p>
    <w:p w14:paraId="34ABB49A" w14:textId="6B1336BF" w:rsidR="00206F57" w:rsidRDefault="00206F57" w:rsidP="00206F57">
      <w:pPr>
        <w:ind w:firstLine="720"/>
      </w:pPr>
      <w:r>
        <w:t xml:space="preserve">The research question is: What are the key barriers experienced by Black and Minority Ethnic (BME) individuals in accessing NHS mental health services in the UK, and how do cultural, systemic and interpersonal factors shape their help-seeking behaviours? The aim of the study is to investigate the experiences of Black and Minority Ethnic (BME) individuals in the UK, exploring the key barriers preventing their access to quality NHS mental health services to inform better care. The various research objectives include 1) to </w:t>
      </w:r>
      <w:r>
        <w:lastRenderedPageBreak/>
        <w:t>examine the institutional and systemic factors in the NHS limiting access to mental health services for Black and Minority Ethnic (BME) communities (</w:t>
      </w:r>
      <w:proofErr w:type="spellStart"/>
      <w:r>
        <w:t>Kirmayer</w:t>
      </w:r>
      <w:proofErr w:type="spellEnd"/>
      <w:r>
        <w:t xml:space="preserve"> et al., 2018; </w:t>
      </w:r>
      <w:proofErr w:type="spellStart"/>
      <w:r>
        <w:t>Bhui</w:t>
      </w:r>
      <w:proofErr w:type="spellEnd"/>
      <w:r>
        <w:t xml:space="preserve"> et al., 2015), 2) to assess the role of cultural beliefs, community stigma and mistrust of mainstream healthcare services in shaping help-seeking behaviours among BME communities, and 3) to explore opportunities for change within the NHS and recommend culturally competent, inclusive, and competent care models for BME populations (Memon et al., 2016).</w:t>
      </w:r>
    </w:p>
    <w:p w14:paraId="790D7D3A" w14:textId="5BF92F46" w:rsidR="00F73881" w:rsidRPr="00322428" w:rsidRDefault="00F17155" w:rsidP="00802DB4">
      <w:pPr>
        <w:jc w:val="center"/>
        <w:rPr>
          <w:b/>
          <w:bCs/>
        </w:rPr>
      </w:pPr>
      <w:r w:rsidRPr="00322428">
        <w:rPr>
          <w:b/>
        </w:rPr>
        <w:t xml:space="preserve">Research </w:t>
      </w:r>
      <w:r w:rsidR="00322428" w:rsidRPr="00322428">
        <w:rPr>
          <w:b/>
        </w:rPr>
        <w:t>M</w:t>
      </w:r>
      <w:r w:rsidRPr="00322428">
        <w:rPr>
          <w:b/>
        </w:rPr>
        <w:t>ethodology</w:t>
      </w:r>
    </w:p>
    <w:p w14:paraId="3C789441" w14:textId="77777777" w:rsidR="00CE7A45" w:rsidRPr="00802DB4" w:rsidRDefault="00F17155" w:rsidP="00802DB4">
      <w:pPr>
        <w:rPr>
          <w:b/>
        </w:rPr>
      </w:pPr>
      <w:r w:rsidRPr="00802DB4">
        <w:rPr>
          <w:b/>
        </w:rPr>
        <w:t>Research Design</w:t>
      </w:r>
    </w:p>
    <w:p w14:paraId="6BAC1D5E" w14:textId="0FC5E572" w:rsidR="00F73881" w:rsidRPr="00CE7A45" w:rsidRDefault="00F2576D" w:rsidP="00CE7A45">
      <w:pPr>
        <w:ind w:left="60"/>
        <w:rPr>
          <w:b/>
          <w:bCs/>
        </w:rPr>
      </w:pPr>
      <w:r>
        <w:t xml:space="preserve">This study will employ a systematic literature review research design, which will be conducted in accordance with </w:t>
      </w:r>
      <w:r w:rsidRPr="00F11343">
        <w:t>Preferred Reporting Items for Systematic Reviews and Meta-Analyses (PRISMA) guidelines</w:t>
      </w:r>
      <w:r>
        <w:t xml:space="preserve">. It will critically synthesise existing qualitative and quantitative evidence on barriers to access of mental health services among BME communities. </w:t>
      </w:r>
      <w:r w:rsidR="00CE7A45">
        <w:t>A systematic review has been chosen for this research to generate insight on the set of experiences that various BME communities face, considering both</w:t>
      </w:r>
      <w:r w:rsidR="00CE7A45" w:rsidRPr="00CE7A45">
        <w:t xml:space="preserve"> formal service outcomes and individuals’ perceptions of the accessibility, cultural safety and acceptability of services.</w:t>
      </w:r>
      <w:r w:rsidR="00CE7A45">
        <w:t xml:space="preserve"> Using both qualitative and quantitative evidence will help to report on descriptive themes and offer a narrative synthesis of quantitative service-use data such as referral, assessment, and treatment completion rates.</w:t>
      </w:r>
    </w:p>
    <w:p w14:paraId="2C8B2FAF" w14:textId="14CBEC28" w:rsidR="00F17155" w:rsidRPr="00802DB4" w:rsidRDefault="00F17155" w:rsidP="00802DB4">
      <w:pPr>
        <w:rPr>
          <w:b/>
        </w:rPr>
      </w:pPr>
      <w:r w:rsidRPr="00802DB4">
        <w:rPr>
          <w:b/>
        </w:rPr>
        <w:t>Recruitment, Sampling &amp; Study Participants</w:t>
      </w:r>
    </w:p>
    <w:p w14:paraId="495327D6" w14:textId="69071BB4" w:rsidR="00E10A20" w:rsidRDefault="00E10A20" w:rsidP="00E10A20">
      <w:r>
        <w:t>Since the research does not directly involve human participants, the unit of analysis is the published study. Various peer-reviewed studies and grey literature such as government reports from the Care Quality Commission</w:t>
      </w:r>
      <w:r w:rsidR="00E876C2">
        <w:t xml:space="preserve"> (2023)</w:t>
      </w:r>
      <w:r>
        <w:t xml:space="preserve"> and the NHS Race and Health Observatory will be used to report on the lived experiences of BME communities, their attitudes, and mental </w:t>
      </w:r>
      <w:r>
        <w:lastRenderedPageBreak/>
        <w:t>health service-use patterns. To be included, studies need to have been published in English between 2016 and 2026 to reflect the developments since the introduction of the mental health parity of esteem by NHS. The studies must also be focused on BME populations in the UK and their access to mental health services.</w:t>
      </w:r>
      <w:r w:rsidR="00A3267C">
        <w:t xml:space="preserve"> Included studies also need to report primary data, whether qualitative, quantitative, or from mixed-methods study. </w:t>
      </w:r>
      <w:r w:rsidR="00A3267C" w:rsidRPr="00A3267C">
        <w:t>Studies will be excluded when they focus exclusively on physical health, are conducted outside the UK, concern only children, fail to report ethnicity-related findings or are editorials, opinion articles, conference abstracts or non-systematic commentaries.</w:t>
      </w:r>
    </w:p>
    <w:p w14:paraId="72B10C56" w14:textId="1C756813" w:rsidR="00F17155" w:rsidRPr="00802DB4" w:rsidRDefault="00F17155" w:rsidP="00EC3064">
      <w:pPr>
        <w:rPr>
          <w:b/>
        </w:rPr>
      </w:pPr>
      <w:r w:rsidRPr="00802DB4">
        <w:rPr>
          <w:b/>
        </w:rPr>
        <w:t>Materials/Data Collection Method(s)/</w:t>
      </w:r>
      <w:r w:rsidR="000E7473" w:rsidRPr="00802DB4">
        <w:rPr>
          <w:b/>
        </w:rPr>
        <w:t>P</w:t>
      </w:r>
      <w:r w:rsidRPr="00802DB4">
        <w:rPr>
          <w:b/>
        </w:rPr>
        <w:t>rocedure</w:t>
      </w:r>
    </w:p>
    <w:p w14:paraId="2967D27B" w14:textId="4CFA2560" w:rsidR="00322428" w:rsidRDefault="000E7473" w:rsidP="00F17155">
      <w:r>
        <w:t>For the systematic review, the primary data collection method will be a search conducted across four databases, including PubMed, PsycINFO, CINAHL, and the Cochrane Library. As for the questions asked, the research will draw from what the original studies posed to their own participants, especially in semi-structured interviews, to get insights on the lived experiences of the participants</w:t>
      </w:r>
      <w:r w:rsidR="008B599D">
        <w:t xml:space="preserve">, as well as </w:t>
      </w:r>
      <w:r>
        <w:t xml:space="preserve">results reported by </w:t>
      </w:r>
      <w:r w:rsidR="008B599D">
        <w:t>structured surveys on relevant data such as referral and treatment completion rates. The articles will be retrieved using a combination of keywords such as “BME” “ethnic minorities” “mental health services” “barriers” and “access” combined by relevant Boolean operators. The procedure will follow two steps, where titles and abstracts will be screened first against the eligibility criteria, then the selected articles will proceed to full-text review. These articles will also be screened by a second and independent reviewer to improve reliability, after which they will be documented according to PRISMA guidelines.</w:t>
      </w:r>
    </w:p>
    <w:p w14:paraId="340BEFE8" w14:textId="7FEE63AF" w:rsidR="00C3151E" w:rsidRDefault="00C3151E" w:rsidP="00DD2D3C">
      <w:pPr>
        <w:jc w:val="center"/>
        <w:rPr>
          <w:b/>
          <w:bCs/>
        </w:rPr>
      </w:pPr>
      <w:r w:rsidRPr="00C3151E">
        <w:rPr>
          <w:b/>
          <w:bCs/>
        </w:rPr>
        <w:t>ELIGIBILITY CRITERIA</w:t>
      </w:r>
    </w:p>
    <w:p w14:paraId="7941B6C0" w14:textId="67F84BD9" w:rsidR="007A7838" w:rsidRDefault="001939FF" w:rsidP="00F17155">
      <w:r>
        <w:rPr>
          <w:b/>
          <w:bCs/>
        </w:rPr>
        <w:t xml:space="preserve">INCLUSIVE CRITERIA: </w:t>
      </w:r>
      <w:r w:rsidRPr="00AD0C13">
        <w:t xml:space="preserve">pear reviewed studies </w:t>
      </w:r>
      <w:r w:rsidR="00E65B87" w:rsidRPr="00AD0C13">
        <w:t xml:space="preserve">published in English focused on BME populations in the Uk </w:t>
      </w:r>
      <w:r w:rsidR="00AD0C13" w:rsidRPr="00AD0C13">
        <w:t xml:space="preserve">and access to mental health services. </w:t>
      </w:r>
    </w:p>
    <w:p w14:paraId="5B2C8FDF" w14:textId="3BF0345E" w:rsidR="004378F3" w:rsidRPr="00DD2D3C" w:rsidRDefault="00FB03EB" w:rsidP="00DD2D3C">
      <w:r w:rsidRPr="00FB03EB">
        <w:rPr>
          <w:b/>
          <w:bCs/>
        </w:rPr>
        <w:lastRenderedPageBreak/>
        <w:t xml:space="preserve">EXCLUSION CRITERIA: </w:t>
      </w:r>
      <w:r w:rsidRPr="00DD2D3C">
        <w:t xml:space="preserve">Studies outside </w:t>
      </w:r>
      <w:r w:rsidR="00275B3E" w:rsidRPr="00DD2D3C">
        <w:t>the UK context, non-peer reviewed sources, and studies focused solely on physical health conditions</w:t>
      </w:r>
      <w:r w:rsidR="00E70835" w:rsidRPr="00DD2D3C">
        <w:t xml:space="preserve"> and studies not written in English. </w:t>
      </w:r>
    </w:p>
    <w:p w14:paraId="0388A0F6" w14:textId="563C1CE0" w:rsidR="00322428" w:rsidRPr="00802DB4" w:rsidRDefault="00F17155" w:rsidP="00EC3064">
      <w:pPr>
        <w:jc w:val="center"/>
        <w:rPr>
          <w:b/>
        </w:rPr>
      </w:pPr>
      <w:r w:rsidRPr="00802DB4">
        <w:rPr>
          <w:b/>
        </w:rPr>
        <w:t xml:space="preserve">Proposed </w:t>
      </w:r>
      <w:r w:rsidR="00802DB4" w:rsidRPr="00802DB4">
        <w:rPr>
          <w:b/>
          <w:bCs/>
        </w:rPr>
        <w:t>Data Analysis Technique</w:t>
      </w:r>
    </w:p>
    <w:p w14:paraId="3DB6D3FF" w14:textId="12C62451" w:rsidR="00322428" w:rsidRDefault="008B599D" w:rsidP="00322428">
      <w:r>
        <w:t>Thematic analysis</w:t>
      </w:r>
      <w:r w:rsidR="000F5986">
        <w:t>, developed by Thomas and Harden (2008),</w:t>
      </w:r>
      <w:r>
        <w:t xml:space="preserve"> </w:t>
      </w:r>
      <w:r w:rsidR="000F5986">
        <w:t xml:space="preserve">will be used to analyse qualitative data, where each of the primary students will be coded line-by-line. The codes will then be organized into descriptive themes which closely represent the original language, such as mistrust of GPs, cultural insensitivity, and stigma. From the descriptive themes, the researchers will develop </w:t>
      </w:r>
      <w:r w:rsidR="000F5986" w:rsidRPr="000F5986">
        <w:t>higher-level analytical themes</w:t>
      </w:r>
      <w:r w:rsidR="004C2969">
        <w:t xml:space="preserve"> (Ahmed et al., 2025; Kiger et al., 2025)</w:t>
      </w:r>
      <w:r w:rsidR="000F5986">
        <w:t xml:space="preserve"> that interpret the cultural, institutional, and interpersonal barriers that intersect to hinder access to mental healthcare among BME communities. Potential themes include stigma, language barriers, family influence, economic barriers, and lack of culturally responsive care. Quantitative findings on measures such as retention rates and treatment completion will be synthesised narratively and the findings will be tabulated according to the different minority groups</w:t>
      </w:r>
      <w:r w:rsidR="004C2969">
        <w:t xml:space="preserve"> (</w:t>
      </w:r>
      <w:r w:rsidR="004C2969" w:rsidRPr="004C2969">
        <w:t>Campbell</w:t>
      </w:r>
      <w:r w:rsidR="004C2969">
        <w:t xml:space="preserve"> et al., 2018; Gridley et al., 2024)</w:t>
      </w:r>
      <w:r w:rsidR="000F5986">
        <w:t>. From tabulating the qualitative and quantitative findings, the researchers can establish convergence where different research methods reach similar conclusions, as well as divergence where they indicate conflicting results.</w:t>
      </w:r>
    </w:p>
    <w:p w14:paraId="1F4C84DA" w14:textId="1FD1B99A" w:rsidR="00F17155" w:rsidRPr="00802DB4" w:rsidRDefault="00F17155" w:rsidP="00EC3064">
      <w:pPr>
        <w:jc w:val="center"/>
        <w:rPr>
          <w:b/>
        </w:rPr>
      </w:pPr>
      <w:r w:rsidRPr="00802DB4">
        <w:rPr>
          <w:b/>
        </w:rPr>
        <w:t xml:space="preserve">Ethical </w:t>
      </w:r>
      <w:r w:rsidR="008B599D" w:rsidRPr="00802DB4">
        <w:rPr>
          <w:b/>
        </w:rPr>
        <w:t>C</w:t>
      </w:r>
      <w:r w:rsidRPr="00802DB4">
        <w:rPr>
          <w:b/>
        </w:rPr>
        <w:t>onsiderations</w:t>
      </w:r>
    </w:p>
    <w:p w14:paraId="2FC32C0C" w14:textId="04231540" w:rsidR="00322428" w:rsidRDefault="00273664" w:rsidP="004C2581">
      <w:pPr>
        <w:ind w:left="60"/>
      </w:pPr>
      <w:r>
        <w:t xml:space="preserve">Since the research does not conduct any primary research and does not involve direct contact with BME individuals, it does not require ethical approval from the NHS Ethical Committee. However, the study will acquire university approval in accordance with </w:t>
      </w:r>
      <w:r w:rsidR="004C2581">
        <w:t>academic</w:t>
      </w:r>
      <w:r>
        <w:t xml:space="preserve"> dissertations to maintain its ethical credibility. </w:t>
      </w:r>
      <w:r w:rsidR="004C2581">
        <w:t xml:space="preserve">It will also be conducted in a transparent and reproducible manner in accordance with PRISMA guidelines, and audit logs of all search terms and data extraction will be kept (Page et al., 2021). </w:t>
      </w:r>
      <w:r>
        <w:t xml:space="preserve">The study addresses culturally </w:t>
      </w:r>
      <w:r>
        <w:lastRenderedPageBreak/>
        <w:t>sensitive topics such as discrimination and racism, so it will seek to use appropriate language and avoid the presentation of deficit-based conclusions which may place BME individuals as the sole cause of the barriers. Such positioning of cultural causes alongside structural and institutional failures will help bring attention to the root issue of cultural competence in the country (</w:t>
      </w:r>
      <w:proofErr w:type="spellStart"/>
      <w:r>
        <w:t>Kirmayer</w:t>
      </w:r>
      <w:proofErr w:type="spellEnd"/>
      <w:r>
        <w:t xml:space="preserve">, 2021). As a result, the study will distinguish between personal comments, structural barriers, and conclusions made in the study. </w:t>
      </w:r>
      <w:r w:rsidR="004C2581">
        <w:t>To account for the researcher’s position and bias, a reflexive log will be kept throughout the coding and synthesis process to document all analytic decisions and possible sources of bias. Finally, the review will be appropriately cited to avoid copyright infringement and avoid misrepresentation of the work of other researchers.</w:t>
      </w:r>
    </w:p>
    <w:p w14:paraId="559160C2" w14:textId="123E90C3" w:rsidR="00F17155" w:rsidRPr="004C2581" w:rsidRDefault="00F17155" w:rsidP="00F17155">
      <w:pPr>
        <w:rPr>
          <w:b/>
          <w:bCs/>
        </w:rPr>
      </w:pPr>
      <w:r w:rsidRPr="004C2581">
        <w:rPr>
          <w:b/>
        </w:rPr>
        <w:t>Implication of research</w:t>
      </w:r>
    </w:p>
    <w:p w14:paraId="194EB212" w14:textId="5003B7F6" w:rsidR="00CE7A45" w:rsidRDefault="00A528BA" w:rsidP="00E876C2">
      <w:pPr>
        <w:ind w:firstLine="720"/>
      </w:pPr>
      <w:r>
        <w:t>The research will be impactful for various audiences, including individuals from BME communities, NHS services, policymakers, professionals, and the overall BME communities. For BME individuals, the research validates their lived experiences and brings to light discrimination issues that may not be highlighted in NHS reports, supporting their need for culturally centred care. For NHS services, the research will provide an evidence base for culturally adapted IAPT pathways and staff diversity training (NHS</w:t>
      </w:r>
      <w:r w:rsidR="004C2969">
        <w:t xml:space="preserve"> </w:t>
      </w:r>
      <w:r>
        <w:t>E</w:t>
      </w:r>
      <w:r w:rsidR="004C2969">
        <w:t>ngland</w:t>
      </w:r>
      <w:r>
        <w:t>, 2022). In terms of policy, the research will inform compliance with the Equality Act 2010, NHS race equality frameworks, and support MH Units (Use of Force) Act 2018 review, which will build on the already emerging recommendations from the NHS Race and Observatory’s (2023) national review. The research will also inform clinicians and other mental health professionals on the actual barriers that BME communities face when it comes to accessing healthcare, which will help them to focus on culturally responsive care and humility to deliver the best possible care for these individuals</w:t>
      </w:r>
      <w:r w:rsidR="00E876C2">
        <w:t xml:space="preserve"> (Fernando, 2017)</w:t>
      </w:r>
      <w:r>
        <w:t>.</w:t>
      </w:r>
      <w:r w:rsidR="00E876C2">
        <w:t xml:space="preserve"> As for the broader BME community, this research will help in reducing stigma and improve public understanding on mental health issues, </w:t>
      </w:r>
      <w:r w:rsidR="00E876C2">
        <w:lastRenderedPageBreak/>
        <w:t>encouraging them to seek help whenever they or their families are faced with such a condition</w:t>
      </w:r>
      <w:r w:rsidR="004C2969">
        <w:t xml:space="preserve"> (</w:t>
      </w:r>
      <w:proofErr w:type="spellStart"/>
      <w:r w:rsidR="004C2969" w:rsidRPr="004C2969">
        <w:t>Vahdaninia</w:t>
      </w:r>
      <w:proofErr w:type="spellEnd"/>
      <w:r w:rsidR="004C2969">
        <w:t xml:space="preserve"> et al., 2020; Naz et al., 2019)</w:t>
      </w:r>
      <w:r w:rsidR="00E876C2">
        <w:t>.</w:t>
      </w:r>
    </w:p>
    <w:p w14:paraId="495207A0" w14:textId="3B226DA7" w:rsidR="00F17155" w:rsidRDefault="00F17155" w:rsidP="00F17155">
      <w:pPr>
        <w:rPr>
          <w:b/>
        </w:rPr>
      </w:pPr>
      <w:r w:rsidRPr="00E876C2">
        <w:rPr>
          <w:b/>
        </w:rPr>
        <w:t>Plan of Work and Time Schedule (Gantt Chart)</w:t>
      </w:r>
      <w:r w:rsidR="000E3481" w:rsidRPr="00E876C2">
        <w:rPr>
          <w:b/>
        </w:rPr>
        <w:t xml:space="preserve"> </w:t>
      </w:r>
    </w:p>
    <w:p w14:paraId="7247B696" w14:textId="77777777" w:rsidR="00EC3064" w:rsidRDefault="00EC3064" w:rsidP="00EC3064"/>
    <w:p w14:paraId="3C2D0051" w14:textId="77777777" w:rsidR="00EC3064" w:rsidRDefault="00EC3064" w:rsidP="00EC3064"/>
    <w:p w14:paraId="2571F506" w14:textId="77777777" w:rsidR="00EC3064" w:rsidRDefault="00EC3064" w:rsidP="00EC3064"/>
    <w:p w14:paraId="46871F52" w14:textId="77777777" w:rsidR="00EC3064" w:rsidRPr="00E876C2" w:rsidRDefault="00EC3064" w:rsidP="00EC3064">
      <w:r w:rsidRPr="00E876C2">
        <w:t xml:space="preserve">The dissertation </w:t>
      </w:r>
      <w:r>
        <w:t xml:space="preserve">is expected to be completed within approximately sixteen weeks, and within this timeframe is allocated time for </w:t>
      </w:r>
      <w:r w:rsidRPr="00E876C2">
        <w:t>protocol development, systematic searching, screening, appraisal, synthesis, writing and revision.</w:t>
      </w:r>
    </w:p>
    <w:p w14:paraId="2BD4FC45" w14:textId="3209DAA6" w:rsidR="00E876C2" w:rsidRDefault="00E876C2" w:rsidP="00802DB4">
      <w:pPr>
        <w:jc w:val="center"/>
        <w:rPr>
          <w:b/>
        </w:rPr>
      </w:pPr>
    </w:p>
    <w:tbl>
      <w:tblPr>
        <w:tblpPr w:leftFromText="180" w:rightFromText="180" w:horzAnchor="margin" w:tblpXSpec="center" w:tblpY="225"/>
        <w:tblW w:w="11700" w:type="dxa"/>
        <w:tblLook w:val="04A0" w:firstRow="1" w:lastRow="0" w:firstColumn="1" w:lastColumn="0" w:noHBand="0" w:noVBand="1"/>
      </w:tblPr>
      <w:tblGrid>
        <w:gridCol w:w="4140"/>
        <w:gridCol w:w="990"/>
        <w:gridCol w:w="900"/>
        <w:gridCol w:w="900"/>
        <w:gridCol w:w="990"/>
        <w:gridCol w:w="990"/>
        <w:gridCol w:w="925"/>
        <w:gridCol w:w="965"/>
        <w:gridCol w:w="938"/>
      </w:tblGrid>
      <w:tr w:rsidR="00EC3064" w:rsidRPr="006B0EFC" w14:paraId="1FE8DC5B" w14:textId="77777777" w:rsidTr="00EC3064">
        <w:trPr>
          <w:trHeight w:val="300"/>
        </w:trPr>
        <w:tc>
          <w:tcPr>
            <w:tcW w:w="4140" w:type="dxa"/>
            <w:tcBorders>
              <w:top w:val="nil"/>
              <w:left w:val="nil"/>
              <w:bottom w:val="nil"/>
              <w:right w:val="nil"/>
            </w:tcBorders>
            <w:noWrap/>
            <w:vAlign w:val="bottom"/>
            <w:hideMark/>
          </w:tcPr>
          <w:p w14:paraId="522A7786"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Research Activity</w:t>
            </w:r>
          </w:p>
        </w:tc>
        <w:tc>
          <w:tcPr>
            <w:tcW w:w="990" w:type="dxa"/>
            <w:tcBorders>
              <w:top w:val="nil"/>
              <w:left w:val="nil"/>
              <w:bottom w:val="nil"/>
              <w:right w:val="nil"/>
            </w:tcBorders>
            <w:noWrap/>
            <w:vAlign w:val="bottom"/>
            <w:hideMark/>
          </w:tcPr>
          <w:p w14:paraId="4238343C"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WK1–2</w:t>
            </w:r>
          </w:p>
        </w:tc>
        <w:tc>
          <w:tcPr>
            <w:tcW w:w="900" w:type="dxa"/>
            <w:tcBorders>
              <w:top w:val="nil"/>
              <w:left w:val="nil"/>
              <w:bottom w:val="nil"/>
              <w:right w:val="nil"/>
            </w:tcBorders>
            <w:noWrap/>
            <w:vAlign w:val="bottom"/>
            <w:hideMark/>
          </w:tcPr>
          <w:p w14:paraId="0138B280"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WK3–4</w:t>
            </w:r>
          </w:p>
        </w:tc>
        <w:tc>
          <w:tcPr>
            <w:tcW w:w="900" w:type="dxa"/>
            <w:tcBorders>
              <w:top w:val="nil"/>
              <w:left w:val="nil"/>
              <w:bottom w:val="nil"/>
              <w:right w:val="nil"/>
            </w:tcBorders>
            <w:noWrap/>
            <w:vAlign w:val="bottom"/>
            <w:hideMark/>
          </w:tcPr>
          <w:p w14:paraId="77247DA9"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WK5–6</w:t>
            </w:r>
          </w:p>
        </w:tc>
        <w:tc>
          <w:tcPr>
            <w:tcW w:w="990" w:type="dxa"/>
            <w:tcBorders>
              <w:top w:val="nil"/>
              <w:left w:val="nil"/>
              <w:bottom w:val="nil"/>
              <w:right w:val="nil"/>
            </w:tcBorders>
            <w:noWrap/>
            <w:vAlign w:val="bottom"/>
            <w:hideMark/>
          </w:tcPr>
          <w:p w14:paraId="4DF5C032"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WK7–8</w:t>
            </w:r>
          </w:p>
        </w:tc>
        <w:tc>
          <w:tcPr>
            <w:tcW w:w="990" w:type="dxa"/>
            <w:tcBorders>
              <w:top w:val="nil"/>
              <w:left w:val="nil"/>
              <w:bottom w:val="nil"/>
              <w:right w:val="nil"/>
            </w:tcBorders>
            <w:noWrap/>
            <w:vAlign w:val="bottom"/>
            <w:hideMark/>
          </w:tcPr>
          <w:p w14:paraId="67DB10A8"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WK9–10</w:t>
            </w:r>
          </w:p>
        </w:tc>
        <w:tc>
          <w:tcPr>
            <w:tcW w:w="925" w:type="dxa"/>
            <w:tcBorders>
              <w:top w:val="nil"/>
              <w:left w:val="nil"/>
              <w:bottom w:val="nil"/>
              <w:right w:val="nil"/>
            </w:tcBorders>
            <w:noWrap/>
            <w:vAlign w:val="bottom"/>
            <w:hideMark/>
          </w:tcPr>
          <w:p w14:paraId="5A1AFCB5"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WK11–12</w:t>
            </w:r>
          </w:p>
        </w:tc>
        <w:tc>
          <w:tcPr>
            <w:tcW w:w="965" w:type="dxa"/>
            <w:tcBorders>
              <w:top w:val="nil"/>
              <w:left w:val="nil"/>
              <w:bottom w:val="nil"/>
              <w:right w:val="nil"/>
            </w:tcBorders>
            <w:noWrap/>
            <w:vAlign w:val="bottom"/>
            <w:hideMark/>
          </w:tcPr>
          <w:p w14:paraId="585D995F"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WK13–14</w:t>
            </w:r>
          </w:p>
        </w:tc>
        <w:tc>
          <w:tcPr>
            <w:tcW w:w="900" w:type="dxa"/>
            <w:tcBorders>
              <w:top w:val="nil"/>
              <w:left w:val="nil"/>
              <w:bottom w:val="nil"/>
              <w:right w:val="nil"/>
            </w:tcBorders>
            <w:noWrap/>
            <w:vAlign w:val="bottom"/>
            <w:hideMark/>
          </w:tcPr>
          <w:p w14:paraId="19D1C7C0" w14:textId="77777777" w:rsidR="00EC3064" w:rsidRPr="006B0EFC" w:rsidRDefault="00EC3064" w:rsidP="00CF7632">
            <w:pPr>
              <w:spacing w:after="0" w:line="240" w:lineRule="auto"/>
              <w:rPr>
                <w:rFonts w:eastAsia="Times New Roman"/>
                <w:b/>
                <w:bCs/>
                <w:sz w:val="22"/>
                <w:szCs w:val="22"/>
              </w:rPr>
            </w:pPr>
            <w:r w:rsidRPr="006B0EFC">
              <w:rPr>
                <w:rFonts w:eastAsia="Times New Roman"/>
                <w:b/>
                <w:bCs/>
                <w:sz w:val="22"/>
                <w:szCs w:val="22"/>
              </w:rPr>
              <w:t>WK15–16</w:t>
            </w:r>
          </w:p>
        </w:tc>
      </w:tr>
      <w:tr w:rsidR="00EC3064" w:rsidRPr="006B0EFC" w14:paraId="60FF4558" w14:textId="77777777" w:rsidTr="00EC3064">
        <w:trPr>
          <w:trHeight w:val="300"/>
        </w:trPr>
        <w:tc>
          <w:tcPr>
            <w:tcW w:w="4140" w:type="dxa"/>
            <w:tcBorders>
              <w:top w:val="nil"/>
              <w:left w:val="nil"/>
              <w:bottom w:val="nil"/>
              <w:right w:val="nil"/>
            </w:tcBorders>
            <w:noWrap/>
            <w:vAlign w:val="bottom"/>
            <w:hideMark/>
          </w:tcPr>
          <w:p w14:paraId="435A4D19"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Refine question and develop protocol</w:t>
            </w:r>
          </w:p>
        </w:tc>
        <w:tc>
          <w:tcPr>
            <w:tcW w:w="990" w:type="dxa"/>
            <w:tcBorders>
              <w:top w:val="nil"/>
              <w:left w:val="nil"/>
              <w:bottom w:val="nil"/>
              <w:right w:val="nil"/>
            </w:tcBorders>
            <w:shd w:val="clear" w:color="000000" w:fill="4F81BD"/>
            <w:noWrap/>
            <w:vAlign w:val="bottom"/>
            <w:hideMark/>
          </w:tcPr>
          <w:p w14:paraId="7A4CA134"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noWrap/>
            <w:vAlign w:val="bottom"/>
            <w:hideMark/>
          </w:tcPr>
          <w:p w14:paraId="68D14206" w14:textId="77777777" w:rsidR="00EC3064" w:rsidRPr="006B0EFC" w:rsidRDefault="00EC3064" w:rsidP="00CF7632">
            <w:pPr>
              <w:spacing w:after="0" w:line="240" w:lineRule="auto"/>
              <w:jc w:val="center"/>
              <w:rPr>
                <w:rFonts w:eastAsia="Times New Roman"/>
                <w:color w:val="000000"/>
                <w:sz w:val="22"/>
                <w:szCs w:val="22"/>
              </w:rPr>
            </w:pPr>
          </w:p>
        </w:tc>
        <w:tc>
          <w:tcPr>
            <w:tcW w:w="900" w:type="dxa"/>
            <w:tcBorders>
              <w:top w:val="nil"/>
              <w:left w:val="nil"/>
              <w:bottom w:val="nil"/>
              <w:right w:val="nil"/>
            </w:tcBorders>
            <w:noWrap/>
            <w:vAlign w:val="bottom"/>
            <w:hideMark/>
          </w:tcPr>
          <w:p w14:paraId="3EDEBD04"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02061E52"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3FC5D76D"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23E64DD0"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noWrap/>
            <w:vAlign w:val="bottom"/>
            <w:hideMark/>
          </w:tcPr>
          <w:p w14:paraId="5543ED8B"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29FCC431" w14:textId="77777777" w:rsidR="00EC3064" w:rsidRPr="006B0EFC" w:rsidRDefault="00EC3064" w:rsidP="00CF7632">
            <w:pPr>
              <w:spacing w:after="0" w:line="240" w:lineRule="auto"/>
              <w:rPr>
                <w:rFonts w:eastAsia="Times New Roman"/>
                <w:sz w:val="22"/>
                <w:szCs w:val="22"/>
              </w:rPr>
            </w:pPr>
          </w:p>
        </w:tc>
      </w:tr>
      <w:tr w:rsidR="00EC3064" w:rsidRPr="006B0EFC" w14:paraId="23E08D9D" w14:textId="77777777" w:rsidTr="00EC3064">
        <w:trPr>
          <w:trHeight w:val="300"/>
        </w:trPr>
        <w:tc>
          <w:tcPr>
            <w:tcW w:w="4140" w:type="dxa"/>
            <w:tcBorders>
              <w:top w:val="nil"/>
              <w:left w:val="nil"/>
              <w:bottom w:val="nil"/>
              <w:right w:val="nil"/>
            </w:tcBorders>
            <w:noWrap/>
            <w:vAlign w:val="bottom"/>
            <w:hideMark/>
          </w:tcPr>
          <w:p w14:paraId="3C142DFD"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Ethics application and protocol registration</w:t>
            </w:r>
          </w:p>
        </w:tc>
        <w:tc>
          <w:tcPr>
            <w:tcW w:w="990" w:type="dxa"/>
            <w:tcBorders>
              <w:top w:val="nil"/>
              <w:left w:val="nil"/>
              <w:bottom w:val="nil"/>
              <w:right w:val="nil"/>
            </w:tcBorders>
            <w:shd w:val="clear" w:color="000000" w:fill="4F81BD"/>
            <w:noWrap/>
            <w:vAlign w:val="bottom"/>
            <w:hideMark/>
          </w:tcPr>
          <w:p w14:paraId="6D3527C3"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shd w:val="clear" w:color="000000" w:fill="4F81BD"/>
            <w:noWrap/>
            <w:vAlign w:val="bottom"/>
            <w:hideMark/>
          </w:tcPr>
          <w:p w14:paraId="2B43506A"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noWrap/>
            <w:vAlign w:val="bottom"/>
            <w:hideMark/>
          </w:tcPr>
          <w:p w14:paraId="5070ADA0" w14:textId="77777777" w:rsidR="00EC3064" w:rsidRPr="006B0EFC" w:rsidRDefault="00EC3064" w:rsidP="00CF7632">
            <w:pPr>
              <w:spacing w:after="0" w:line="240" w:lineRule="auto"/>
              <w:jc w:val="center"/>
              <w:rPr>
                <w:rFonts w:eastAsia="Times New Roman"/>
                <w:color w:val="000000"/>
                <w:sz w:val="22"/>
                <w:szCs w:val="22"/>
              </w:rPr>
            </w:pPr>
          </w:p>
        </w:tc>
        <w:tc>
          <w:tcPr>
            <w:tcW w:w="990" w:type="dxa"/>
            <w:tcBorders>
              <w:top w:val="nil"/>
              <w:left w:val="nil"/>
              <w:bottom w:val="nil"/>
              <w:right w:val="nil"/>
            </w:tcBorders>
            <w:noWrap/>
            <w:vAlign w:val="bottom"/>
            <w:hideMark/>
          </w:tcPr>
          <w:p w14:paraId="0DC1B908"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5BE41C94"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59294E34"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noWrap/>
            <w:vAlign w:val="bottom"/>
            <w:hideMark/>
          </w:tcPr>
          <w:p w14:paraId="20AA0512"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359157C2" w14:textId="77777777" w:rsidR="00EC3064" w:rsidRPr="006B0EFC" w:rsidRDefault="00EC3064" w:rsidP="00CF7632">
            <w:pPr>
              <w:spacing w:after="0" w:line="240" w:lineRule="auto"/>
              <w:rPr>
                <w:rFonts w:eastAsia="Times New Roman"/>
                <w:sz w:val="22"/>
                <w:szCs w:val="22"/>
              </w:rPr>
            </w:pPr>
          </w:p>
        </w:tc>
      </w:tr>
      <w:tr w:rsidR="00EC3064" w:rsidRPr="006B0EFC" w14:paraId="16424FA8" w14:textId="77777777" w:rsidTr="00EC3064">
        <w:trPr>
          <w:trHeight w:val="300"/>
        </w:trPr>
        <w:tc>
          <w:tcPr>
            <w:tcW w:w="4140" w:type="dxa"/>
            <w:tcBorders>
              <w:top w:val="nil"/>
              <w:left w:val="nil"/>
              <w:bottom w:val="nil"/>
              <w:right w:val="nil"/>
            </w:tcBorders>
            <w:noWrap/>
            <w:vAlign w:val="bottom"/>
            <w:hideMark/>
          </w:tcPr>
          <w:p w14:paraId="78A5753B"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Database searching and duplicate removal</w:t>
            </w:r>
          </w:p>
        </w:tc>
        <w:tc>
          <w:tcPr>
            <w:tcW w:w="990" w:type="dxa"/>
            <w:tcBorders>
              <w:top w:val="nil"/>
              <w:left w:val="nil"/>
              <w:bottom w:val="nil"/>
              <w:right w:val="nil"/>
            </w:tcBorders>
            <w:noWrap/>
            <w:vAlign w:val="bottom"/>
            <w:hideMark/>
          </w:tcPr>
          <w:p w14:paraId="7E8F5749"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shd w:val="clear" w:color="000000" w:fill="4F81BD"/>
            <w:noWrap/>
            <w:vAlign w:val="bottom"/>
            <w:hideMark/>
          </w:tcPr>
          <w:p w14:paraId="5C14794A"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shd w:val="clear" w:color="000000" w:fill="4F81BD"/>
            <w:noWrap/>
            <w:vAlign w:val="bottom"/>
            <w:hideMark/>
          </w:tcPr>
          <w:p w14:paraId="187DE9C5"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90" w:type="dxa"/>
            <w:tcBorders>
              <w:top w:val="nil"/>
              <w:left w:val="nil"/>
              <w:bottom w:val="nil"/>
              <w:right w:val="nil"/>
            </w:tcBorders>
            <w:noWrap/>
            <w:vAlign w:val="bottom"/>
            <w:hideMark/>
          </w:tcPr>
          <w:p w14:paraId="317DF4E6" w14:textId="77777777" w:rsidR="00EC3064" w:rsidRPr="006B0EFC" w:rsidRDefault="00EC3064" w:rsidP="00CF7632">
            <w:pPr>
              <w:spacing w:after="0" w:line="240" w:lineRule="auto"/>
              <w:jc w:val="center"/>
              <w:rPr>
                <w:rFonts w:eastAsia="Times New Roman"/>
                <w:color w:val="000000"/>
                <w:sz w:val="22"/>
                <w:szCs w:val="22"/>
              </w:rPr>
            </w:pPr>
          </w:p>
        </w:tc>
        <w:tc>
          <w:tcPr>
            <w:tcW w:w="990" w:type="dxa"/>
            <w:tcBorders>
              <w:top w:val="nil"/>
              <w:left w:val="nil"/>
              <w:bottom w:val="nil"/>
              <w:right w:val="nil"/>
            </w:tcBorders>
            <w:noWrap/>
            <w:vAlign w:val="bottom"/>
            <w:hideMark/>
          </w:tcPr>
          <w:p w14:paraId="4828D639"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61AF2B29"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noWrap/>
            <w:vAlign w:val="bottom"/>
            <w:hideMark/>
          </w:tcPr>
          <w:p w14:paraId="1817B7A9"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60ED9A38" w14:textId="77777777" w:rsidR="00EC3064" w:rsidRPr="006B0EFC" w:rsidRDefault="00EC3064" w:rsidP="00CF7632">
            <w:pPr>
              <w:spacing w:after="0" w:line="240" w:lineRule="auto"/>
              <w:rPr>
                <w:rFonts w:eastAsia="Times New Roman"/>
                <w:sz w:val="22"/>
                <w:szCs w:val="22"/>
              </w:rPr>
            </w:pPr>
          </w:p>
        </w:tc>
      </w:tr>
      <w:tr w:rsidR="00EC3064" w:rsidRPr="006B0EFC" w14:paraId="56ABB1B1" w14:textId="77777777" w:rsidTr="00EC3064">
        <w:trPr>
          <w:trHeight w:val="300"/>
        </w:trPr>
        <w:tc>
          <w:tcPr>
            <w:tcW w:w="4140" w:type="dxa"/>
            <w:tcBorders>
              <w:top w:val="nil"/>
              <w:left w:val="nil"/>
              <w:bottom w:val="nil"/>
              <w:right w:val="nil"/>
            </w:tcBorders>
            <w:noWrap/>
            <w:vAlign w:val="bottom"/>
            <w:hideMark/>
          </w:tcPr>
          <w:p w14:paraId="08F6966F"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Title and abstract screening</w:t>
            </w:r>
          </w:p>
        </w:tc>
        <w:tc>
          <w:tcPr>
            <w:tcW w:w="990" w:type="dxa"/>
            <w:tcBorders>
              <w:top w:val="nil"/>
              <w:left w:val="nil"/>
              <w:bottom w:val="nil"/>
              <w:right w:val="nil"/>
            </w:tcBorders>
            <w:noWrap/>
            <w:vAlign w:val="bottom"/>
            <w:hideMark/>
          </w:tcPr>
          <w:p w14:paraId="76F5CEDA"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4F0D79AE"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5301E50C"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shd w:val="clear" w:color="000000" w:fill="4F81BD"/>
            <w:noWrap/>
            <w:vAlign w:val="bottom"/>
            <w:hideMark/>
          </w:tcPr>
          <w:p w14:paraId="0ABCD93A"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90" w:type="dxa"/>
            <w:tcBorders>
              <w:top w:val="nil"/>
              <w:left w:val="nil"/>
              <w:bottom w:val="nil"/>
              <w:right w:val="nil"/>
            </w:tcBorders>
            <w:shd w:val="clear" w:color="000000" w:fill="4F81BD"/>
            <w:noWrap/>
            <w:vAlign w:val="bottom"/>
            <w:hideMark/>
          </w:tcPr>
          <w:p w14:paraId="09E62DB6"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25" w:type="dxa"/>
            <w:tcBorders>
              <w:top w:val="nil"/>
              <w:left w:val="nil"/>
              <w:bottom w:val="nil"/>
              <w:right w:val="nil"/>
            </w:tcBorders>
            <w:noWrap/>
            <w:vAlign w:val="bottom"/>
            <w:hideMark/>
          </w:tcPr>
          <w:p w14:paraId="5E7455F7" w14:textId="77777777" w:rsidR="00EC3064" w:rsidRPr="006B0EFC" w:rsidRDefault="00EC3064" w:rsidP="00CF7632">
            <w:pPr>
              <w:spacing w:after="0" w:line="240" w:lineRule="auto"/>
              <w:jc w:val="center"/>
              <w:rPr>
                <w:rFonts w:eastAsia="Times New Roman"/>
                <w:color w:val="000000"/>
                <w:sz w:val="22"/>
                <w:szCs w:val="22"/>
              </w:rPr>
            </w:pPr>
          </w:p>
        </w:tc>
        <w:tc>
          <w:tcPr>
            <w:tcW w:w="965" w:type="dxa"/>
            <w:tcBorders>
              <w:top w:val="nil"/>
              <w:left w:val="nil"/>
              <w:bottom w:val="nil"/>
              <w:right w:val="nil"/>
            </w:tcBorders>
            <w:noWrap/>
            <w:vAlign w:val="bottom"/>
            <w:hideMark/>
          </w:tcPr>
          <w:p w14:paraId="3012BD12"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59EC3B4C" w14:textId="77777777" w:rsidR="00EC3064" w:rsidRPr="006B0EFC" w:rsidRDefault="00EC3064" w:rsidP="00CF7632">
            <w:pPr>
              <w:spacing w:after="0" w:line="240" w:lineRule="auto"/>
              <w:rPr>
                <w:rFonts w:eastAsia="Times New Roman"/>
                <w:sz w:val="22"/>
                <w:szCs w:val="22"/>
              </w:rPr>
            </w:pPr>
          </w:p>
        </w:tc>
      </w:tr>
      <w:tr w:rsidR="00EC3064" w:rsidRPr="006B0EFC" w14:paraId="3282FDBC" w14:textId="77777777" w:rsidTr="00EC3064">
        <w:trPr>
          <w:trHeight w:val="300"/>
        </w:trPr>
        <w:tc>
          <w:tcPr>
            <w:tcW w:w="4140" w:type="dxa"/>
            <w:tcBorders>
              <w:top w:val="nil"/>
              <w:left w:val="nil"/>
              <w:bottom w:val="nil"/>
              <w:right w:val="nil"/>
            </w:tcBorders>
            <w:noWrap/>
            <w:vAlign w:val="bottom"/>
            <w:hideMark/>
          </w:tcPr>
          <w:p w14:paraId="13CCC066"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Full-text screening</w:t>
            </w:r>
          </w:p>
        </w:tc>
        <w:tc>
          <w:tcPr>
            <w:tcW w:w="990" w:type="dxa"/>
            <w:tcBorders>
              <w:top w:val="nil"/>
              <w:left w:val="nil"/>
              <w:bottom w:val="nil"/>
              <w:right w:val="nil"/>
            </w:tcBorders>
            <w:noWrap/>
            <w:vAlign w:val="bottom"/>
            <w:hideMark/>
          </w:tcPr>
          <w:p w14:paraId="30FDCE84"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13E8600B"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54B9416A"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620F5AEB"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shd w:val="clear" w:color="000000" w:fill="4F81BD"/>
            <w:noWrap/>
            <w:vAlign w:val="bottom"/>
            <w:hideMark/>
          </w:tcPr>
          <w:p w14:paraId="021FDA4B"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25" w:type="dxa"/>
            <w:tcBorders>
              <w:top w:val="nil"/>
              <w:left w:val="nil"/>
              <w:bottom w:val="nil"/>
              <w:right w:val="nil"/>
            </w:tcBorders>
            <w:shd w:val="clear" w:color="000000" w:fill="4F81BD"/>
            <w:noWrap/>
            <w:vAlign w:val="bottom"/>
            <w:hideMark/>
          </w:tcPr>
          <w:p w14:paraId="1B061876"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65" w:type="dxa"/>
            <w:tcBorders>
              <w:top w:val="nil"/>
              <w:left w:val="nil"/>
              <w:bottom w:val="nil"/>
              <w:right w:val="nil"/>
            </w:tcBorders>
            <w:noWrap/>
            <w:vAlign w:val="bottom"/>
            <w:hideMark/>
          </w:tcPr>
          <w:p w14:paraId="53E51699" w14:textId="77777777" w:rsidR="00EC3064" w:rsidRPr="006B0EFC" w:rsidRDefault="00EC3064" w:rsidP="00CF7632">
            <w:pPr>
              <w:spacing w:after="0" w:line="240" w:lineRule="auto"/>
              <w:jc w:val="center"/>
              <w:rPr>
                <w:rFonts w:eastAsia="Times New Roman"/>
                <w:color w:val="000000"/>
                <w:sz w:val="22"/>
                <w:szCs w:val="22"/>
              </w:rPr>
            </w:pPr>
          </w:p>
        </w:tc>
        <w:tc>
          <w:tcPr>
            <w:tcW w:w="900" w:type="dxa"/>
            <w:tcBorders>
              <w:top w:val="nil"/>
              <w:left w:val="nil"/>
              <w:bottom w:val="nil"/>
              <w:right w:val="nil"/>
            </w:tcBorders>
            <w:noWrap/>
            <w:vAlign w:val="bottom"/>
            <w:hideMark/>
          </w:tcPr>
          <w:p w14:paraId="16A0D11D" w14:textId="77777777" w:rsidR="00EC3064" w:rsidRPr="006B0EFC" w:rsidRDefault="00EC3064" w:rsidP="00CF7632">
            <w:pPr>
              <w:spacing w:after="0" w:line="240" w:lineRule="auto"/>
              <w:rPr>
                <w:rFonts w:eastAsia="Times New Roman"/>
                <w:sz w:val="22"/>
                <w:szCs w:val="22"/>
              </w:rPr>
            </w:pPr>
          </w:p>
        </w:tc>
      </w:tr>
      <w:tr w:rsidR="00EC3064" w:rsidRPr="006B0EFC" w14:paraId="0B242D75" w14:textId="77777777" w:rsidTr="00EC3064">
        <w:trPr>
          <w:trHeight w:val="300"/>
        </w:trPr>
        <w:tc>
          <w:tcPr>
            <w:tcW w:w="4140" w:type="dxa"/>
            <w:tcBorders>
              <w:top w:val="nil"/>
              <w:left w:val="nil"/>
              <w:bottom w:val="nil"/>
              <w:right w:val="nil"/>
            </w:tcBorders>
            <w:noWrap/>
            <w:vAlign w:val="bottom"/>
            <w:hideMark/>
          </w:tcPr>
          <w:p w14:paraId="664CD19D"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Data extraction and quality appraisal</w:t>
            </w:r>
          </w:p>
        </w:tc>
        <w:tc>
          <w:tcPr>
            <w:tcW w:w="990" w:type="dxa"/>
            <w:tcBorders>
              <w:top w:val="nil"/>
              <w:left w:val="nil"/>
              <w:bottom w:val="nil"/>
              <w:right w:val="nil"/>
            </w:tcBorders>
            <w:noWrap/>
            <w:vAlign w:val="bottom"/>
            <w:hideMark/>
          </w:tcPr>
          <w:p w14:paraId="2C125658"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56872D6F"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1AE6CF65"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23AF27E4"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119A1346"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shd w:val="clear" w:color="000000" w:fill="4F81BD"/>
            <w:noWrap/>
            <w:vAlign w:val="bottom"/>
            <w:hideMark/>
          </w:tcPr>
          <w:p w14:paraId="5EE215CE"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65" w:type="dxa"/>
            <w:tcBorders>
              <w:top w:val="nil"/>
              <w:left w:val="nil"/>
              <w:bottom w:val="nil"/>
              <w:right w:val="nil"/>
            </w:tcBorders>
            <w:shd w:val="clear" w:color="000000" w:fill="4F81BD"/>
            <w:noWrap/>
            <w:vAlign w:val="bottom"/>
            <w:hideMark/>
          </w:tcPr>
          <w:p w14:paraId="226B7494"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noWrap/>
            <w:vAlign w:val="bottom"/>
            <w:hideMark/>
          </w:tcPr>
          <w:p w14:paraId="0F640518" w14:textId="77777777" w:rsidR="00EC3064" w:rsidRPr="006B0EFC" w:rsidRDefault="00EC3064" w:rsidP="00CF7632">
            <w:pPr>
              <w:spacing w:after="0" w:line="240" w:lineRule="auto"/>
              <w:jc w:val="center"/>
              <w:rPr>
                <w:rFonts w:eastAsia="Times New Roman"/>
                <w:color w:val="000000"/>
                <w:sz w:val="22"/>
                <w:szCs w:val="22"/>
              </w:rPr>
            </w:pPr>
          </w:p>
        </w:tc>
      </w:tr>
      <w:tr w:rsidR="00EC3064" w:rsidRPr="006B0EFC" w14:paraId="47DB2FBD" w14:textId="77777777" w:rsidTr="00EC3064">
        <w:trPr>
          <w:trHeight w:val="300"/>
        </w:trPr>
        <w:tc>
          <w:tcPr>
            <w:tcW w:w="4140" w:type="dxa"/>
            <w:tcBorders>
              <w:top w:val="nil"/>
              <w:left w:val="nil"/>
              <w:bottom w:val="nil"/>
              <w:right w:val="nil"/>
            </w:tcBorders>
            <w:noWrap/>
            <w:vAlign w:val="bottom"/>
            <w:hideMark/>
          </w:tcPr>
          <w:p w14:paraId="05F09CC7"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Thematic and narrative synthesis</w:t>
            </w:r>
          </w:p>
        </w:tc>
        <w:tc>
          <w:tcPr>
            <w:tcW w:w="990" w:type="dxa"/>
            <w:tcBorders>
              <w:top w:val="nil"/>
              <w:left w:val="nil"/>
              <w:bottom w:val="nil"/>
              <w:right w:val="nil"/>
            </w:tcBorders>
            <w:noWrap/>
            <w:vAlign w:val="bottom"/>
            <w:hideMark/>
          </w:tcPr>
          <w:p w14:paraId="7ABB2567"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7896D993"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4E25D1AA"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1BE94AF1"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5FECAD68"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15C54EEB"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shd w:val="clear" w:color="000000" w:fill="4F81BD"/>
            <w:noWrap/>
            <w:vAlign w:val="bottom"/>
            <w:hideMark/>
          </w:tcPr>
          <w:p w14:paraId="4D714292"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c>
          <w:tcPr>
            <w:tcW w:w="900" w:type="dxa"/>
            <w:tcBorders>
              <w:top w:val="nil"/>
              <w:left w:val="nil"/>
              <w:bottom w:val="nil"/>
              <w:right w:val="nil"/>
            </w:tcBorders>
            <w:shd w:val="clear" w:color="000000" w:fill="4F81BD"/>
            <w:noWrap/>
            <w:vAlign w:val="bottom"/>
            <w:hideMark/>
          </w:tcPr>
          <w:p w14:paraId="0D13B388"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r>
      <w:tr w:rsidR="00EC3064" w:rsidRPr="006B0EFC" w14:paraId="07F13A88" w14:textId="77777777" w:rsidTr="00EC3064">
        <w:trPr>
          <w:trHeight w:val="300"/>
        </w:trPr>
        <w:tc>
          <w:tcPr>
            <w:tcW w:w="4140" w:type="dxa"/>
            <w:tcBorders>
              <w:top w:val="nil"/>
              <w:left w:val="nil"/>
              <w:bottom w:val="nil"/>
              <w:right w:val="nil"/>
            </w:tcBorders>
            <w:noWrap/>
            <w:vAlign w:val="bottom"/>
            <w:hideMark/>
          </w:tcPr>
          <w:p w14:paraId="3EC33C81"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Draft findings and discussion</w:t>
            </w:r>
          </w:p>
        </w:tc>
        <w:tc>
          <w:tcPr>
            <w:tcW w:w="990" w:type="dxa"/>
            <w:tcBorders>
              <w:top w:val="nil"/>
              <w:left w:val="nil"/>
              <w:bottom w:val="nil"/>
              <w:right w:val="nil"/>
            </w:tcBorders>
            <w:noWrap/>
            <w:vAlign w:val="bottom"/>
            <w:hideMark/>
          </w:tcPr>
          <w:p w14:paraId="62F4E858"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68825CBF"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6C2CF0FD"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1325FF71"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33C54A53"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32C11570"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noWrap/>
            <w:vAlign w:val="bottom"/>
            <w:hideMark/>
          </w:tcPr>
          <w:p w14:paraId="346047E0"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shd w:val="clear" w:color="000000" w:fill="4F81BD"/>
            <w:noWrap/>
            <w:vAlign w:val="bottom"/>
            <w:hideMark/>
          </w:tcPr>
          <w:p w14:paraId="6CB21C36"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r>
      <w:tr w:rsidR="00EC3064" w:rsidRPr="006B0EFC" w14:paraId="26B9E1D7" w14:textId="77777777" w:rsidTr="00EC3064">
        <w:trPr>
          <w:trHeight w:val="300"/>
        </w:trPr>
        <w:tc>
          <w:tcPr>
            <w:tcW w:w="4140" w:type="dxa"/>
            <w:tcBorders>
              <w:top w:val="nil"/>
              <w:left w:val="nil"/>
              <w:bottom w:val="nil"/>
              <w:right w:val="nil"/>
            </w:tcBorders>
            <w:noWrap/>
            <w:vAlign w:val="bottom"/>
            <w:hideMark/>
          </w:tcPr>
          <w:p w14:paraId="4C5F3112" w14:textId="77777777" w:rsidR="00EC3064" w:rsidRPr="006B0EFC" w:rsidRDefault="00EC3064" w:rsidP="00CF7632">
            <w:pPr>
              <w:spacing w:after="0" w:line="240" w:lineRule="auto"/>
              <w:rPr>
                <w:rFonts w:eastAsia="Times New Roman"/>
                <w:color w:val="000000"/>
                <w:sz w:val="22"/>
                <w:szCs w:val="22"/>
              </w:rPr>
            </w:pPr>
            <w:r w:rsidRPr="006B0EFC">
              <w:rPr>
                <w:rFonts w:eastAsia="Times New Roman"/>
                <w:color w:val="000000"/>
                <w:sz w:val="22"/>
                <w:szCs w:val="22"/>
              </w:rPr>
              <w:t>Revision, proofreading and submission</w:t>
            </w:r>
          </w:p>
        </w:tc>
        <w:tc>
          <w:tcPr>
            <w:tcW w:w="990" w:type="dxa"/>
            <w:tcBorders>
              <w:top w:val="nil"/>
              <w:left w:val="nil"/>
              <w:bottom w:val="nil"/>
              <w:right w:val="nil"/>
            </w:tcBorders>
            <w:noWrap/>
            <w:vAlign w:val="bottom"/>
            <w:hideMark/>
          </w:tcPr>
          <w:p w14:paraId="7AEA6C2F" w14:textId="77777777" w:rsidR="00EC3064" w:rsidRPr="006B0EFC" w:rsidRDefault="00EC3064" w:rsidP="00CF7632">
            <w:pPr>
              <w:spacing w:after="0" w:line="240" w:lineRule="auto"/>
              <w:rPr>
                <w:rFonts w:eastAsia="Times New Roman"/>
                <w:color w:val="000000"/>
                <w:sz w:val="22"/>
                <w:szCs w:val="22"/>
              </w:rPr>
            </w:pPr>
          </w:p>
        </w:tc>
        <w:tc>
          <w:tcPr>
            <w:tcW w:w="900" w:type="dxa"/>
            <w:tcBorders>
              <w:top w:val="nil"/>
              <w:left w:val="nil"/>
              <w:bottom w:val="nil"/>
              <w:right w:val="nil"/>
            </w:tcBorders>
            <w:noWrap/>
            <w:vAlign w:val="bottom"/>
            <w:hideMark/>
          </w:tcPr>
          <w:p w14:paraId="0E452F74"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noWrap/>
            <w:vAlign w:val="bottom"/>
            <w:hideMark/>
          </w:tcPr>
          <w:p w14:paraId="0F3A29AB"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455D4542" w14:textId="77777777" w:rsidR="00EC3064" w:rsidRPr="006B0EFC" w:rsidRDefault="00EC3064" w:rsidP="00CF7632">
            <w:pPr>
              <w:spacing w:after="0" w:line="240" w:lineRule="auto"/>
              <w:rPr>
                <w:rFonts w:eastAsia="Times New Roman"/>
                <w:sz w:val="22"/>
                <w:szCs w:val="22"/>
              </w:rPr>
            </w:pPr>
          </w:p>
        </w:tc>
        <w:tc>
          <w:tcPr>
            <w:tcW w:w="990" w:type="dxa"/>
            <w:tcBorders>
              <w:top w:val="nil"/>
              <w:left w:val="nil"/>
              <w:bottom w:val="nil"/>
              <w:right w:val="nil"/>
            </w:tcBorders>
            <w:noWrap/>
            <w:vAlign w:val="bottom"/>
            <w:hideMark/>
          </w:tcPr>
          <w:p w14:paraId="2636E166" w14:textId="77777777" w:rsidR="00EC3064" w:rsidRPr="006B0EFC" w:rsidRDefault="00EC3064" w:rsidP="00CF7632">
            <w:pPr>
              <w:spacing w:after="0" w:line="240" w:lineRule="auto"/>
              <w:rPr>
                <w:rFonts w:eastAsia="Times New Roman"/>
                <w:sz w:val="22"/>
                <w:szCs w:val="22"/>
              </w:rPr>
            </w:pPr>
          </w:p>
        </w:tc>
        <w:tc>
          <w:tcPr>
            <w:tcW w:w="925" w:type="dxa"/>
            <w:tcBorders>
              <w:top w:val="nil"/>
              <w:left w:val="nil"/>
              <w:bottom w:val="nil"/>
              <w:right w:val="nil"/>
            </w:tcBorders>
            <w:noWrap/>
            <w:vAlign w:val="bottom"/>
            <w:hideMark/>
          </w:tcPr>
          <w:p w14:paraId="2271D987" w14:textId="77777777" w:rsidR="00EC3064" w:rsidRPr="006B0EFC" w:rsidRDefault="00EC3064" w:rsidP="00CF7632">
            <w:pPr>
              <w:spacing w:after="0" w:line="240" w:lineRule="auto"/>
              <w:rPr>
                <w:rFonts w:eastAsia="Times New Roman"/>
                <w:sz w:val="22"/>
                <w:szCs w:val="22"/>
              </w:rPr>
            </w:pPr>
          </w:p>
        </w:tc>
        <w:tc>
          <w:tcPr>
            <w:tcW w:w="965" w:type="dxa"/>
            <w:tcBorders>
              <w:top w:val="nil"/>
              <w:left w:val="nil"/>
              <w:bottom w:val="nil"/>
              <w:right w:val="nil"/>
            </w:tcBorders>
            <w:noWrap/>
            <w:vAlign w:val="bottom"/>
            <w:hideMark/>
          </w:tcPr>
          <w:p w14:paraId="04B2D0DC" w14:textId="77777777" w:rsidR="00EC3064" w:rsidRPr="006B0EFC" w:rsidRDefault="00EC3064" w:rsidP="00CF7632">
            <w:pPr>
              <w:spacing w:after="0" w:line="240" w:lineRule="auto"/>
              <w:rPr>
                <w:rFonts w:eastAsia="Times New Roman"/>
                <w:sz w:val="22"/>
                <w:szCs w:val="22"/>
              </w:rPr>
            </w:pPr>
          </w:p>
        </w:tc>
        <w:tc>
          <w:tcPr>
            <w:tcW w:w="900" w:type="dxa"/>
            <w:tcBorders>
              <w:top w:val="nil"/>
              <w:left w:val="nil"/>
              <w:bottom w:val="nil"/>
              <w:right w:val="nil"/>
            </w:tcBorders>
            <w:shd w:val="clear" w:color="000000" w:fill="4F81BD"/>
            <w:noWrap/>
            <w:vAlign w:val="bottom"/>
            <w:hideMark/>
          </w:tcPr>
          <w:p w14:paraId="5B033FF8" w14:textId="77777777" w:rsidR="00EC3064" w:rsidRPr="006B0EFC" w:rsidRDefault="00EC3064" w:rsidP="00CF7632">
            <w:pPr>
              <w:spacing w:after="0" w:line="240" w:lineRule="auto"/>
              <w:jc w:val="center"/>
              <w:rPr>
                <w:rFonts w:eastAsia="Times New Roman"/>
                <w:color w:val="000000"/>
                <w:sz w:val="22"/>
                <w:szCs w:val="22"/>
              </w:rPr>
            </w:pPr>
            <w:r w:rsidRPr="006B0EFC">
              <w:rPr>
                <w:rFonts w:eastAsia="Times New Roman"/>
                <w:color w:val="000000"/>
                <w:sz w:val="22"/>
                <w:szCs w:val="22"/>
              </w:rPr>
              <w:t>■</w:t>
            </w:r>
          </w:p>
        </w:tc>
      </w:tr>
    </w:tbl>
    <w:p w14:paraId="419026BA" w14:textId="77777777" w:rsidR="00EC3064" w:rsidRPr="00E876C2" w:rsidRDefault="00EC3064" w:rsidP="00802DB4">
      <w:pPr>
        <w:jc w:val="center"/>
        <w:rPr>
          <w:b/>
        </w:rPr>
      </w:pPr>
    </w:p>
    <w:p w14:paraId="70951FEE" w14:textId="77777777" w:rsidR="00E876C2" w:rsidRPr="00E876C2" w:rsidRDefault="00E876C2" w:rsidP="00F17155"/>
    <w:p w14:paraId="2CFDA17D" w14:textId="7EF2CE9A" w:rsidR="00F17155" w:rsidRPr="00E876C2" w:rsidRDefault="00F17155" w:rsidP="00803FEE">
      <w:pPr>
        <w:jc w:val="center"/>
      </w:pPr>
      <w:r>
        <w:br w:type="page"/>
      </w:r>
      <w:r w:rsidRPr="00F17155">
        <w:rPr>
          <w:b/>
        </w:rPr>
        <w:lastRenderedPageBreak/>
        <w:t>References</w:t>
      </w:r>
    </w:p>
    <w:p w14:paraId="4FE75C10" w14:textId="77777777" w:rsidR="00803FEE" w:rsidRDefault="00803FEE" w:rsidP="00803FEE">
      <w:pPr>
        <w:ind w:left="720" w:hanging="720"/>
      </w:pPr>
      <w:r w:rsidRPr="004C2969">
        <w:t xml:space="preserve">Ahmed, S. K., Mohammed, R. A., Nashwan, A. J., Ibrahim, R. H., Abdalla, A. Q., Ameen, B. M. M., &amp; </w:t>
      </w:r>
      <w:proofErr w:type="spellStart"/>
      <w:r w:rsidRPr="004C2969">
        <w:t>Khdhir</w:t>
      </w:r>
      <w:proofErr w:type="spellEnd"/>
      <w:r w:rsidRPr="004C2969">
        <w:t>, R. M. (2025). Using thematic analysis in qualitative research. </w:t>
      </w:r>
      <w:r w:rsidRPr="004C2969">
        <w:rPr>
          <w:i/>
          <w:iCs/>
        </w:rPr>
        <w:t>Journal of Medicine, Surgery, and Public Health</w:t>
      </w:r>
      <w:r w:rsidRPr="004C2969">
        <w:t>, </w:t>
      </w:r>
      <w:r w:rsidRPr="004C2969">
        <w:rPr>
          <w:i/>
          <w:iCs/>
        </w:rPr>
        <w:t>6</w:t>
      </w:r>
      <w:r w:rsidRPr="004C2969">
        <w:t xml:space="preserve">, 100198. </w:t>
      </w:r>
      <w:hyperlink r:id="rId8" w:history="1">
        <w:r w:rsidRPr="00044099">
          <w:rPr>
            <w:rStyle w:val="Hyperlink"/>
          </w:rPr>
          <w:t>https://doi.org/10.1016/j.glmedi.2025.100198</w:t>
        </w:r>
      </w:hyperlink>
    </w:p>
    <w:p w14:paraId="79C3B9F6" w14:textId="77777777" w:rsidR="00803FEE" w:rsidRDefault="00803FEE" w:rsidP="0048729C">
      <w:pPr>
        <w:ind w:left="720" w:hanging="720"/>
      </w:pPr>
      <w:r>
        <w:t xml:space="preserve">Alegría, M., </w:t>
      </w:r>
      <w:proofErr w:type="spellStart"/>
      <w:r>
        <w:t>NeMoyer</w:t>
      </w:r>
      <w:proofErr w:type="spellEnd"/>
      <w:r>
        <w:t xml:space="preserve">, A., </w:t>
      </w:r>
      <w:proofErr w:type="spellStart"/>
      <w:r>
        <w:t>Falgàs</w:t>
      </w:r>
      <w:proofErr w:type="spellEnd"/>
      <w:r>
        <w:t xml:space="preserve"> </w:t>
      </w:r>
      <w:proofErr w:type="spellStart"/>
      <w:r>
        <w:t>Bagué</w:t>
      </w:r>
      <w:proofErr w:type="spellEnd"/>
      <w:r>
        <w:t>, I., Wang, Y. and Alvarez, K., 2018. Social determinants of mental health: where we are and where we need to go. Current psychiatry reports, 20(11), p.95. https://pmc.ncbi.nlm.nih.gov/articles/PMC6181118/</w:t>
      </w:r>
    </w:p>
    <w:p w14:paraId="64C1FEA3" w14:textId="77777777" w:rsidR="00803FEE" w:rsidRDefault="00803FEE" w:rsidP="004C2969">
      <w:pPr>
        <w:ind w:left="720" w:hanging="720"/>
      </w:pPr>
      <w:r w:rsidRPr="001D5ADF">
        <w:t>Bamford, J., Klabbers, G., Curran, E., Rosato, M., &amp; Leavey, G. (2021). Social capital and mental health among black and minority ethnic groups in the UK. </w:t>
      </w:r>
      <w:r w:rsidRPr="001D5ADF">
        <w:rPr>
          <w:i/>
          <w:iCs/>
        </w:rPr>
        <w:t>Journal of immigrant and minority health</w:t>
      </w:r>
      <w:r w:rsidRPr="001D5ADF">
        <w:t>, </w:t>
      </w:r>
      <w:r w:rsidRPr="001D5ADF">
        <w:rPr>
          <w:i/>
          <w:iCs/>
        </w:rPr>
        <w:t>23</w:t>
      </w:r>
      <w:r w:rsidRPr="001D5ADF">
        <w:t xml:space="preserve">(3), 502-510. </w:t>
      </w:r>
      <w:hyperlink r:id="rId9" w:history="1">
        <w:r w:rsidRPr="00044099">
          <w:rPr>
            <w:rStyle w:val="Hyperlink"/>
          </w:rPr>
          <w:t>https://doi.org/10.1007/s10903-020-01043-0</w:t>
        </w:r>
      </w:hyperlink>
    </w:p>
    <w:p w14:paraId="01529F31" w14:textId="77777777" w:rsidR="00803FEE" w:rsidRDefault="00803FEE" w:rsidP="0048729C">
      <w:pPr>
        <w:ind w:left="720" w:hanging="720"/>
      </w:pPr>
      <w:r>
        <w:t xml:space="preserve">Barnett, P., Mackay, E., Matthews, H., Gate, R., Greenwood, H., Ariyo, K., </w:t>
      </w:r>
      <w:proofErr w:type="spellStart"/>
      <w:r>
        <w:t>Bhui</w:t>
      </w:r>
      <w:proofErr w:type="spellEnd"/>
      <w:r>
        <w:t>, K., Halvorsrud, K., Pilling, S. and Smith, S., 2019. Ethnic variations in compulsory detention under the Mental Health Act: a systematic review and meta-analysis of international data. The Lancet Psychiatry, 6(4), pp.305-317. https://pmc.ncbi.nlm.nih.gov/articles/PMC6494977/</w:t>
      </w:r>
    </w:p>
    <w:p w14:paraId="59B1C476" w14:textId="77777777" w:rsidR="00803FEE" w:rsidRDefault="00803FEE" w:rsidP="0048729C">
      <w:pPr>
        <w:ind w:left="720" w:hanging="720"/>
      </w:pPr>
      <w:proofErr w:type="spellStart"/>
      <w:r>
        <w:t>Bhui</w:t>
      </w:r>
      <w:proofErr w:type="spellEnd"/>
      <w:r>
        <w:t>, K., Stansfeld, S., Hull, S. et al. (2003). Ethnic variations in pathways to and use of specialist mental health services in the UK. British Journal of Psychiatry, 179, pp.627–634. https://www.researchgate.net/publication/10920901_Ethnic_variations_in_pathways_to_and_use_of_specialist_mental_health_services_in_the_UK_-_Systematic_review</w:t>
      </w:r>
    </w:p>
    <w:p w14:paraId="13CABC69" w14:textId="77777777" w:rsidR="00803FEE" w:rsidRDefault="00803FEE" w:rsidP="0048729C">
      <w:pPr>
        <w:ind w:left="720" w:hanging="720"/>
      </w:pPr>
      <w:r>
        <w:t>Bignall, T., Jeraj, S., Helsby, E. and Butt, J., 2019. Racial disparities in mental health. London: Race Equity Foundation. https://lampardinquiry.org.uk/wp-</w:t>
      </w:r>
      <w:r>
        <w:lastRenderedPageBreak/>
        <w:t>content/uploads/2025/05/DC15-Race-Equality-Foundation-Racial-disparities-in-mental-health-Literature-and-evidence-review.pdf</w:t>
      </w:r>
    </w:p>
    <w:p w14:paraId="63AAC968" w14:textId="77777777" w:rsidR="00803FEE" w:rsidRDefault="00803FEE" w:rsidP="00803FEE">
      <w:pPr>
        <w:ind w:left="720" w:hanging="720"/>
      </w:pPr>
      <w:r w:rsidRPr="004C2969">
        <w:t xml:space="preserve">Campbell, M., </w:t>
      </w:r>
      <w:proofErr w:type="spellStart"/>
      <w:r w:rsidRPr="004C2969">
        <w:t>Katikireddi</w:t>
      </w:r>
      <w:proofErr w:type="spellEnd"/>
      <w:r w:rsidRPr="004C2969">
        <w:t>, S. V., Sowden, A., McKenzie, J. E., &amp; Thomson, H. (2018). Improving Conduct and Reporting of Narrative Synthesis of Quantitative Data (ICONS-Quant): protocol for a mixed methods study to develop a reporting guideline. </w:t>
      </w:r>
      <w:r w:rsidRPr="004C2969">
        <w:rPr>
          <w:i/>
          <w:iCs/>
        </w:rPr>
        <w:t>BMJ open</w:t>
      </w:r>
      <w:r w:rsidRPr="004C2969">
        <w:t>, </w:t>
      </w:r>
      <w:r w:rsidRPr="004C2969">
        <w:rPr>
          <w:i/>
          <w:iCs/>
        </w:rPr>
        <w:t>8</w:t>
      </w:r>
      <w:r w:rsidRPr="004C2969">
        <w:t xml:space="preserve">(2), e020064. </w:t>
      </w:r>
      <w:hyperlink r:id="rId10" w:history="1">
        <w:r w:rsidRPr="00044099">
          <w:rPr>
            <w:rStyle w:val="Hyperlink"/>
          </w:rPr>
          <w:t>https://doi.org/10.1136/bmjopen-2017-020064</w:t>
        </w:r>
      </w:hyperlink>
    </w:p>
    <w:p w14:paraId="29FD7CA4" w14:textId="77777777" w:rsidR="00803FEE" w:rsidRDefault="00803FEE" w:rsidP="0048729C">
      <w:pPr>
        <w:ind w:left="720" w:hanging="720"/>
      </w:pPr>
      <w:r>
        <w:t>Care Quality Commission, 2023. Monitoring the Mental Health Act 2022/23. CQC. https://www.cqc.org.uk/publications/monitoring-mental-health-act/2022-2023</w:t>
      </w:r>
    </w:p>
    <w:p w14:paraId="7CA35B98" w14:textId="77777777" w:rsidR="00803FEE" w:rsidRPr="007A706E" w:rsidRDefault="00803FEE" w:rsidP="004C2969">
      <w:pPr>
        <w:ind w:left="720" w:hanging="720"/>
      </w:pPr>
      <w:r w:rsidRPr="007A706E">
        <w:t>Care Quality Commission. (2024, October 25). </w:t>
      </w:r>
      <w:r w:rsidRPr="007A706E">
        <w:rPr>
          <w:i/>
          <w:iCs/>
        </w:rPr>
        <w:t>Mental health</w:t>
      </w:r>
      <w:r w:rsidRPr="007A706E">
        <w:t>. https://www.cqc.org.uk/publications/major-report/state-care/2023-2024/access/mh</w:t>
      </w:r>
    </w:p>
    <w:p w14:paraId="21FDC304" w14:textId="77777777" w:rsidR="00803FEE" w:rsidRDefault="00803FEE" w:rsidP="004C2969">
      <w:pPr>
        <w:ind w:left="720" w:hanging="720"/>
      </w:pPr>
      <w:r w:rsidRPr="00E14C62">
        <w:t xml:space="preserve">de Noronha, N. (2021). Collaboratives on Addressing Racial Inequity in Covid Recovery. </w:t>
      </w:r>
      <w:hyperlink r:id="rId11" w:history="1">
        <w:r w:rsidRPr="00044099">
          <w:rPr>
            <w:rStyle w:val="Hyperlink"/>
          </w:rPr>
          <w:t>https://raceequalityfoundation.org.uk/wp-content/uploads/2022/10/collaborative-briefing-mental-health-briefing-digital-FINAL.pdf</w:t>
        </w:r>
      </w:hyperlink>
    </w:p>
    <w:p w14:paraId="1F2F4067" w14:textId="77777777" w:rsidR="00803FEE" w:rsidRDefault="00803FEE" w:rsidP="0048729C">
      <w:pPr>
        <w:ind w:left="720" w:hanging="720"/>
      </w:pPr>
      <w:r>
        <w:t>Fernando, S., 2020. Institutional racism in psychiatry and clinical psychology: race matters in mental health by Suman Fernando Palgrave Macmillan. 2018. pp. ISBN 9783319873800. The British Journal of Psychiatry. https://www.researchgate.net/publication/349487097_Suman_Fernando_Institutional_racism_in_psychiatry_and_clinical_psychology_Race_matters_in_mental_health</w:t>
      </w:r>
    </w:p>
    <w:p w14:paraId="72C681FC" w14:textId="77777777" w:rsidR="00803FEE" w:rsidRDefault="00803FEE" w:rsidP="00803FEE">
      <w:pPr>
        <w:ind w:left="720" w:hanging="720"/>
      </w:pPr>
      <w:r w:rsidRPr="004C2969">
        <w:t>Gridley, K., Baxter, K., &amp; Birks, Y. (2024). How do quantitative studies involving people with dementia report experiences of standardised data collection? A narrative synthesis of NIHR published studies. </w:t>
      </w:r>
      <w:r w:rsidRPr="004C2969">
        <w:rPr>
          <w:i/>
          <w:iCs/>
        </w:rPr>
        <w:t>BMC Medical Research Methodology</w:t>
      </w:r>
      <w:r w:rsidRPr="004C2969">
        <w:t>, </w:t>
      </w:r>
      <w:r w:rsidRPr="004C2969">
        <w:rPr>
          <w:i/>
          <w:iCs/>
        </w:rPr>
        <w:t>24</w:t>
      </w:r>
      <w:r w:rsidRPr="004C2969">
        <w:t>(1), 43.</w:t>
      </w:r>
      <w:r>
        <w:t xml:space="preserve"> </w:t>
      </w:r>
      <w:hyperlink r:id="rId12" w:history="1">
        <w:r w:rsidRPr="00044099">
          <w:rPr>
            <w:rStyle w:val="Hyperlink"/>
          </w:rPr>
          <w:t>https://doi.org/10.1186/s12874-024-02148-y</w:t>
        </w:r>
      </w:hyperlink>
    </w:p>
    <w:p w14:paraId="4475A731" w14:textId="77777777" w:rsidR="00803FEE" w:rsidRDefault="00803FEE" w:rsidP="0048729C">
      <w:pPr>
        <w:ind w:left="720" w:hanging="720"/>
      </w:pPr>
      <w:r>
        <w:lastRenderedPageBreak/>
        <w:t xml:space="preserve">Halvorsrud, K., </w:t>
      </w:r>
      <w:proofErr w:type="spellStart"/>
      <w:r>
        <w:t>Nazroo</w:t>
      </w:r>
      <w:proofErr w:type="spellEnd"/>
      <w:r>
        <w:t xml:space="preserve">, J., Otis, M., Brown Hajdukova, E. and </w:t>
      </w:r>
      <w:proofErr w:type="spellStart"/>
      <w:r>
        <w:t>Bhui</w:t>
      </w:r>
      <w:proofErr w:type="spellEnd"/>
      <w:r>
        <w:t>, K., 2018. Ethnic inequalities and pathways to care in psychosis in England: a systematic review and meta-analysis. BMC medicine, 16(1), p.223. https://pubmed.ncbi.nlm.nih.gov/30537961/</w:t>
      </w:r>
    </w:p>
    <w:p w14:paraId="709BEC5F" w14:textId="77777777" w:rsidR="00803FEE" w:rsidRDefault="00803FEE" w:rsidP="0048729C">
      <w:pPr>
        <w:ind w:left="720" w:hanging="720"/>
      </w:pPr>
      <w:r>
        <w:t xml:space="preserve">Harwood, H., Rhead, R., Chui, Z., </w:t>
      </w:r>
      <w:proofErr w:type="spellStart"/>
      <w:r>
        <w:t>Bakolis</w:t>
      </w:r>
      <w:proofErr w:type="spellEnd"/>
      <w:r>
        <w:t xml:space="preserve">, I., Connor, L., </w:t>
      </w:r>
      <w:proofErr w:type="spellStart"/>
      <w:r>
        <w:t>Gazard</w:t>
      </w:r>
      <w:proofErr w:type="spellEnd"/>
      <w:r>
        <w:t>, B., Hall, J., MacCrimmon, S., Rimes, K.A., Woodhead, C. and Hatch, S.L., 2023. Variations by ethnicity in referral and treatment pathways for IAPT service users in South London. Psychological medicine, 53(3), pp.1084-1095. https://www.cambridge.org/core/journals/psychological-medicine/article/variations-by-ethnicity-in-referral-and-treatment-pathways-for-iapt-service-users-in-south-london/E02A98DE585A16189A6FCFA63A5290DE</w:t>
      </w:r>
    </w:p>
    <w:p w14:paraId="28C7F618" w14:textId="77777777" w:rsidR="00803FEE" w:rsidRDefault="00803FEE" w:rsidP="00803FEE">
      <w:pPr>
        <w:ind w:left="720" w:hanging="720"/>
      </w:pPr>
      <w:proofErr w:type="spellStart"/>
      <w:r w:rsidRPr="00803FEE">
        <w:t>Iob</w:t>
      </w:r>
      <w:proofErr w:type="spellEnd"/>
      <w:r w:rsidRPr="00803FEE">
        <w:t>, E., Steptoe, A., &amp; Fancourt, D. (2020). Abuse, self-harm and suicidal ideation in the UK during the COVID-19 pandemic. </w:t>
      </w:r>
      <w:r w:rsidRPr="00803FEE">
        <w:rPr>
          <w:i/>
          <w:iCs/>
        </w:rPr>
        <w:t>The British Journal of Psychiatry</w:t>
      </w:r>
      <w:r w:rsidRPr="00803FEE">
        <w:t>, </w:t>
      </w:r>
      <w:r w:rsidRPr="00803FEE">
        <w:rPr>
          <w:i/>
          <w:iCs/>
        </w:rPr>
        <w:t>217</w:t>
      </w:r>
      <w:r w:rsidRPr="00803FEE">
        <w:t xml:space="preserve">(4), 543-546. </w:t>
      </w:r>
      <w:hyperlink r:id="rId13" w:history="1">
        <w:r w:rsidRPr="00044099">
          <w:rPr>
            <w:rStyle w:val="Hyperlink"/>
          </w:rPr>
          <w:t>https://doi.org/10.1192/bjp.2020.130</w:t>
        </w:r>
      </w:hyperlink>
    </w:p>
    <w:p w14:paraId="1A38BAAE" w14:textId="77777777" w:rsidR="00803FEE" w:rsidRDefault="00803FEE" w:rsidP="00803FEE">
      <w:pPr>
        <w:ind w:left="720" w:hanging="720"/>
      </w:pPr>
      <w:r w:rsidRPr="004C2969">
        <w:t xml:space="preserve">Kiger, M. E., &amp; </w:t>
      </w:r>
      <w:proofErr w:type="spellStart"/>
      <w:r w:rsidRPr="004C2969">
        <w:t>Varpio</w:t>
      </w:r>
      <w:proofErr w:type="spellEnd"/>
      <w:r w:rsidRPr="004C2969">
        <w:t>, L. (2020). Thematic analysis of qualitative data: AMEE Guide No. 131. </w:t>
      </w:r>
      <w:r w:rsidRPr="004C2969">
        <w:rPr>
          <w:i/>
          <w:iCs/>
        </w:rPr>
        <w:t>Medical teacher</w:t>
      </w:r>
      <w:r w:rsidRPr="004C2969">
        <w:t>, </w:t>
      </w:r>
      <w:r w:rsidRPr="004C2969">
        <w:rPr>
          <w:i/>
          <w:iCs/>
        </w:rPr>
        <w:t>42</w:t>
      </w:r>
      <w:r w:rsidRPr="004C2969">
        <w:t xml:space="preserve">(8), 846-854. </w:t>
      </w:r>
      <w:hyperlink r:id="rId14" w:history="1">
        <w:r w:rsidRPr="00044099">
          <w:rPr>
            <w:rStyle w:val="Hyperlink"/>
          </w:rPr>
          <w:t>https://doi.org/10.1080/0142159X.2020.1755030</w:t>
        </w:r>
      </w:hyperlink>
    </w:p>
    <w:p w14:paraId="0D5E7563" w14:textId="77777777" w:rsidR="00803FEE" w:rsidRPr="00F24387" w:rsidRDefault="00803FEE" w:rsidP="004C2969">
      <w:pPr>
        <w:ind w:left="720" w:hanging="720"/>
      </w:pPr>
      <w:r>
        <w:t>K</w:t>
      </w:r>
      <w:r w:rsidRPr="00F24387">
        <w:t>ing’s Fund (2021), “The health of people from ethnic minority groups in England”, available at; www.kingsfund.org.uk/publications/health-people-ethnic-minority-groups-england#Table-One (accessed 4th</w:t>
      </w:r>
      <w:r>
        <w:t xml:space="preserve"> </w:t>
      </w:r>
      <w:r w:rsidRPr="00F24387">
        <w:t>March 2021)</w:t>
      </w:r>
    </w:p>
    <w:p w14:paraId="7BCA1813" w14:textId="77777777" w:rsidR="00803FEE" w:rsidRDefault="00803FEE" w:rsidP="004C2969">
      <w:pPr>
        <w:ind w:left="720" w:hanging="720"/>
      </w:pPr>
      <w:proofErr w:type="spellStart"/>
      <w:r w:rsidRPr="00273664">
        <w:t>Kirmayer</w:t>
      </w:r>
      <w:proofErr w:type="spellEnd"/>
      <w:r w:rsidRPr="00273664">
        <w:t>, L. J. (2012). Rethinking cultural competence. </w:t>
      </w:r>
      <w:r w:rsidRPr="00273664">
        <w:rPr>
          <w:i/>
          <w:iCs/>
        </w:rPr>
        <w:t>Transcultural psychiatry</w:t>
      </w:r>
      <w:r w:rsidRPr="00273664">
        <w:t>, </w:t>
      </w:r>
      <w:r w:rsidRPr="00273664">
        <w:rPr>
          <w:i/>
          <w:iCs/>
        </w:rPr>
        <w:t>49</w:t>
      </w:r>
      <w:r w:rsidRPr="00273664">
        <w:t xml:space="preserve">(2), 149-164. </w:t>
      </w:r>
      <w:hyperlink r:id="rId15" w:history="1">
        <w:r w:rsidRPr="00044099">
          <w:rPr>
            <w:rStyle w:val="Hyperlink"/>
          </w:rPr>
          <w:t>https://doi.org/10.1177/1363461512444673</w:t>
        </w:r>
      </w:hyperlink>
    </w:p>
    <w:p w14:paraId="130A8B30" w14:textId="77777777" w:rsidR="00803FEE" w:rsidRDefault="00803FEE" w:rsidP="0048729C">
      <w:pPr>
        <w:ind w:left="720" w:hanging="720"/>
      </w:pPr>
      <w:r>
        <w:t xml:space="preserve">McManus, S., Bebbington, P., Jenkins, R. and </w:t>
      </w:r>
      <w:proofErr w:type="spellStart"/>
      <w:r>
        <w:t>Brugha</w:t>
      </w:r>
      <w:proofErr w:type="spellEnd"/>
      <w:r>
        <w:t xml:space="preserve">, T., 2016. Mental health and wellbeing in England: Adult psychiatric morbidity survey 2014. A survey carried out for NHS </w:t>
      </w:r>
      <w:r>
        <w:lastRenderedPageBreak/>
        <w:t xml:space="preserve">digital by </w:t>
      </w:r>
      <w:proofErr w:type="spellStart"/>
      <w:r>
        <w:t>NatCen</w:t>
      </w:r>
      <w:proofErr w:type="spellEnd"/>
      <w:r>
        <w:t xml:space="preserve"> Social Research and the Department Of Health Sciences, University of Leicester. https://assets.publishing.service.gov.uk/media/5a802e2fe5274a2e8ab4ea71/apms-2014-full-rpt.pdf</w:t>
      </w:r>
    </w:p>
    <w:p w14:paraId="168A74B3" w14:textId="77777777" w:rsidR="00803FEE" w:rsidRDefault="00803FEE" w:rsidP="00F24387">
      <w:pPr>
        <w:ind w:left="720" w:hanging="720"/>
      </w:pPr>
      <w:r>
        <w:t xml:space="preserve">Memon, A., Taylor, K., </w:t>
      </w:r>
      <w:proofErr w:type="spellStart"/>
      <w:r>
        <w:t>Mohebati</w:t>
      </w:r>
      <w:proofErr w:type="spellEnd"/>
      <w:r>
        <w:t>, L.M., Sundin, J., Cooper, M., Scanlon, T. and De Visser, R., 2016. Perceived barriers to accessing mental health services among black and minority ethnic (BME) communities: a qualitative study in Southeast England. BMJ Open, 6(11), p.e012337.https://www.researchgate.net/profile/Richard-De-Visser/publication/308419011_Perceived_barriers_to_accessing_mental_health_services_among_black_and_minority_ethnic_BME_communities_a_qualitative_study_in_Southeast_England/links/57e409fb08ae9e8425a252e8/Perceived-barriers-to-accessing-mental-health-services-among-black-and-minority-ethnic-BME-communities-a-qualitative-study-in-Southeast-England.pdf</w:t>
      </w:r>
    </w:p>
    <w:p w14:paraId="58ABBCB6" w14:textId="77777777" w:rsidR="00803FEE" w:rsidRDefault="00803FEE" w:rsidP="004C2969">
      <w:pPr>
        <w:ind w:left="720" w:hanging="720"/>
      </w:pPr>
      <w:r w:rsidRPr="00F73881">
        <w:t>Miller, E., Bosun-</w:t>
      </w:r>
      <w:proofErr w:type="spellStart"/>
      <w:r w:rsidRPr="00F73881">
        <w:t>Arjie</w:t>
      </w:r>
      <w:proofErr w:type="spellEnd"/>
      <w:r w:rsidRPr="00F73881">
        <w:t>, S. F., &amp; Ekpenyong, M. S. (2021). Black and ethnic minority carers perceptions on mental health services and support in the United Kingdom: a systematic review. </w:t>
      </w:r>
      <w:r w:rsidRPr="00F73881">
        <w:rPr>
          <w:i/>
          <w:iCs/>
        </w:rPr>
        <w:t>Journal of Public Mental Health</w:t>
      </w:r>
      <w:r w:rsidRPr="00F73881">
        <w:t>, </w:t>
      </w:r>
      <w:r w:rsidRPr="00F73881">
        <w:rPr>
          <w:i/>
          <w:iCs/>
        </w:rPr>
        <w:t>20</w:t>
      </w:r>
      <w:r w:rsidRPr="00F73881">
        <w:t xml:space="preserve">(4), 298-311. </w:t>
      </w:r>
      <w:hyperlink r:id="rId16" w:history="1">
        <w:r w:rsidRPr="00044099">
          <w:rPr>
            <w:rStyle w:val="Hyperlink"/>
          </w:rPr>
          <w:t>https://doi.org/10.1108/JPMH-12-2020-0152</w:t>
        </w:r>
      </w:hyperlink>
    </w:p>
    <w:p w14:paraId="4F73691C" w14:textId="77777777" w:rsidR="00803FEE" w:rsidRDefault="00803FEE" w:rsidP="00803FEE">
      <w:pPr>
        <w:ind w:left="720" w:hanging="720"/>
      </w:pPr>
      <w:r w:rsidRPr="004C2969">
        <w:t>Naz, S., Gregory, R., &amp; Bahu, M. (2019). Addressing issues of race, ethnicity and culture in CBT to support therapists and service managers to deliver culturally competent therapy and reduce inequalities in mental health provision for BAME service users. </w:t>
      </w:r>
      <w:r w:rsidRPr="004C2969">
        <w:rPr>
          <w:i/>
          <w:iCs/>
        </w:rPr>
        <w:t>The Cognitive Behaviour Therapist</w:t>
      </w:r>
      <w:r w:rsidRPr="004C2969">
        <w:t>, </w:t>
      </w:r>
      <w:r w:rsidRPr="004C2969">
        <w:rPr>
          <w:i/>
          <w:iCs/>
        </w:rPr>
        <w:t>12</w:t>
      </w:r>
      <w:r w:rsidRPr="004C2969">
        <w:t xml:space="preserve">, e22. </w:t>
      </w:r>
      <w:hyperlink r:id="rId17" w:history="1">
        <w:r w:rsidRPr="00044099">
          <w:rPr>
            <w:rStyle w:val="Hyperlink"/>
          </w:rPr>
          <w:t>https://doi.org/10.1017/S1754470X19000060</w:t>
        </w:r>
      </w:hyperlink>
    </w:p>
    <w:p w14:paraId="19942C98" w14:textId="77777777" w:rsidR="00803FEE" w:rsidRDefault="00803FEE" w:rsidP="0048729C">
      <w:pPr>
        <w:ind w:left="720" w:hanging="720"/>
      </w:pPr>
      <w:r>
        <w:lastRenderedPageBreak/>
        <w:t>NHS England, 2022. Mental Health Implementation Plan 2019/20–2023/24. NHSE. https://www.england.nhs.uk/wp-content/uploads/2022/07/nhs-mental-health-implementation-plan-2019-20-2023-24.pdf</w:t>
      </w:r>
    </w:p>
    <w:p w14:paraId="647F7964" w14:textId="77777777" w:rsidR="00803FEE" w:rsidRDefault="00803FEE" w:rsidP="0048729C">
      <w:pPr>
        <w:ind w:left="720" w:hanging="720"/>
      </w:pPr>
      <w:r>
        <w:t>NHS England. 2019. NHS Long Term Plan. NHSE. https://webarchive.nationalarchives.gov.uk/ukgwa/20250511091243/https://www.longtermplan.nhs.uk/wp-content/uploads/2019/08/nhs-long-term-plan-version-1.2.pdf</w:t>
      </w:r>
    </w:p>
    <w:p w14:paraId="0960D7AF" w14:textId="77777777" w:rsidR="00803FEE" w:rsidRDefault="00803FEE" w:rsidP="0048729C">
      <w:pPr>
        <w:ind w:left="720" w:hanging="720"/>
      </w:pPr>
      <w:r>
        <w:t>NHS Race and Health Observatory (2023) Ethnic Inequalities in Improving Access to Psychological Therapies (IAPT): Full Report. Prepared by the National Collaborating Centre for Mental Health (NCCMH). London: NHS Race and Health Observatory. Available at: https://www.nhsrho.org/wp-content/uploads/2023/10/Ethnic-Inequalities-in-Improving-Access-to-Psychological-Therapies-IAPT.Full-report.pdf (Accessed: 30 June 2026).</w:t>
      </w:r>
    </w:p>
    <w:p w14:paraId="633F0CB2" w14:textId="77777777" w:rsidR="00803FEE" w:rsidRDefault="00803FEE" w:rsidP="004C2969">
      <w:pPr>
        <w:ind w:left="720" w:hanging="720"/>
      </w:pPr>
      <w:proofErr w:type="spellStart"/>
      <w:r w:rsidRPr="00F73881">
        <w:t>Nwokoroku</w:t>
      </w:r>
      <w:proofErr w:type="spellEnd"/>
      <w:r w:rsidRPr="00F73881">
        <w:t xml:space="preserve">, S. C., Neil, B., Dlamini, C., &amp; </w:t>
      </w:r>
      <w:proofErr w:type="spellStart"/>
      <w:r w:rsidRPr="00F73881">
        <w:t>Osuchukwu</w:t>
      </w:r>
      <w:proofErr w:type="spellEnd"/>
      <w:r w:rsidRPr="00F73881">
        <w:t>, V. C. (2022). A systematic review of the role of culture in the mental health service utilisation among ethnic minority groups in the United Kingdom. </w:t>
      </w:r>
      <w:r w:rsidRPr="00F73881">
        <w:rPr>
          <w:i/>
          <w:iCs/>
        </w:rPr>
        <w:t>Global Mental Health</w:t>
      </w:r>
      <w:r w:rsidRPr="00F73881">
        <w:t>, </w:t>
      </w:r>
      <w:r w:rsidRPr="00F73881">
        <w:rPr>
          <w:i/>
          <w:iCs/>
        </w:rPr>
        <w:t>9</w:t>
      </w:r>
      <w:r w:rsidRPr="00F73881">
        <w:t xml:space="preserve">, 84-93. </w:t>
      </w:r>
      <w:hyperlink r:id="rId18" w:history="1">
        <w:r w:rsidRPr="00044099">
          <w:rPr>
            <w:rStyle w:val="Hyperlink"/>
          </w:rPr>
          <w:t>https://doi.org/10.1017/gmh.2022.2</w:t>
        </w:r>
      </w:hyperlink>
    </w:p>
    <w:p w14:paraId="04D6E461" w14:textId="77777777" w:rsidR="00803FEE" w:rsidRDefault="00803FEE" w:rsidP="0048729C">
      <w:pPr>
        <w:ind w:left="720" w:hanging="720"/>
      </w:pPr>
      <w:r>
        <w:t>Office for National Statistics, 2021. Ethnic group, England and Wales: Census 2021. ONS. https://www.ons.gov.uk/peoplepopulationandcommunity/culturalidentity/ethnicity/bulletins/ethnicgroupenglandandwales/census2021</w:t>
      </w:r>
    </w:p>
    <w:p w14:paraId="43041D4D" w14:textId="77777777" w:rsidR="00803FEE" w:rsidRDefault="00803FEE" w:rsidP="004C2969">
      <w:pPr>
        <w:ind w:left="720" w:hanging="720"/>
      </w:pPr>
      <w:r w:rsidRPr="004C2581">
        <w:t xml:space="preserve">Page, M. J., McKenzie, J. E., Bossuyt, P. M., </w:t>
      </w:r>
      <w:proofErr w:type="spellStart"/>
      <w:r w:rsidRPr="004C2581">
        <w:t>Boutron</w:t>
      </w:r>
      <w:proofErr w:type="spellEnd"/>
      <w:r w:rsidRPr="004C2581">
        <w:t>, I., Hoffmann, T. C., Mulrow, C. D., ... &amp; Moher, D. (2021). The PRISMA 2020 statement: an updated guideline for reporting systematic reviews. </w:t>
      </w:r>
      <w:proofErr w:type="spellStart"/>
      <w:r w:rsidRPr="004C2581">
        <w:rPr>
          <w:i/>
          <w:iCs/>
        </w:rPr>
        <w:t>bmj</w:t>
      </w:r>
      <w:proofErr w:type="spellEnd"/>
      <w:r w:rsidRPr="004C2581">
        <w:t>, </w:t>
      </w:r>
      <w:r w:rsidRPr="004C2581">
        <w:rPr>
          <w:i/>
          <w:iCs/>
        </w:rPr>
        <w:t>372</w:t>
      </w:r>
      <w:r w:rsidRPr="004C2581">
        <w:t xml:space="preserve">. </w:t>
      </w:r>
      <w:hyperlink r:id="rId19" w:history="1">
        <w:r w:rsidRPr="00044099">
          <w:rPr>
            <w:rStyle w:val="Hyperlink"/>
          </w:rPr>
          <w:t>https://doi.org/10.1136/bmj.n71</w:t>
        </w:r>
      </w:hyperlink>
    </w:p>
    <w:p w14:paraId="0FE4F86E" w14:textId="77777777" w:rsidR="00803FEE" w:rsidRDefault="00803FEE" w:rsidP="004C2969">
      <w:pPr>
        <w:ind w:left="720" w:hanging="720"/>
      </w:pPr>
      <w:r w:rsidRPr="001D5ADF">
        <w:t xml:space="preserve">Patel, S., Rattu, N. R., Patel, P., Prasad, V., Wright, L. A., Babbage, C., ... &amp; Hall, C. L. (2026). Navigating cultural barriers: a qualitative study exploring clinicians’ </w:t>
      </w:r>
      <w:r w:rsidRPr="001D5ADF">
        <w:lastRenderedPageBreak/>
        <w:t>experiences of providing mental health support for ethnic minority groups in England. </w:t>
      </w:r>
      <w:r w:rsidRPr="001D5ADF">
        <w:rPr>
          <w:i/>
          <w:iCs/>
        </w:rPr>
        <w:t>BMC Health Services Research</w:t>
      </w:r>
      <w:r w:rsidRPr="001D5ADF">
        <w:t>.</w:t>
      </w:r>
      <w:r w:rsidRPr="001D5ADF">
        <w:rPr>
          <w:rFonts w:ascii="Merriweather Sans" w:hAnsi="Merriweather Sans"/>
          <w:color w:val="222222"/>
          <w:shd w:val="clear" w:color="auto" w:fill="FFFFFF"/>
        </w:rPr>
        <w:t xml:space="preserve"> </w:t>
      </w:r>
      <w:hyperlink r:id="rId20" w:history="1">
        <w:r w:rsidRPr="00044099">
          <w:rPr>
            <w:rStyle w:val="Hyperlink"/>
          </w:rPr>
          <w:t>https://doi.org/10.1186/s12913-026-14146-5</w:t>
        </w:r>
      </w:hyperlink>
    </w:p>
    <w:p w14:paraId="5E1B4530" w14:textId="77777777" w:rsidR="00803FEE" w:rsidRDefault="00803FEE" w:rsidP="00803FEE">
      <w:pPr>
        <w:ind w:left="720" w:hanging="720"/>
      </w:pPr>
      <w:proofErr w:type="spellStart"/>
      <w:r w:rsidRPr="004C2969">
        <w:t>Vahdaninia</w:t>
      </w:r>
      <w:proofErr w:type="spellEnd"/>
      <w:r w:rsidRPr="004C2969">
        <w:t xml:space="preserve">, M., </w:t>
      </w:r>
      <w:proofErr w:type="spellStart"/>
      <w:r w:rsidRPr="004C2969">
        <w:t>Simkhada</w:t>
      </w:r>
      <w:proofErr w:type="spellEnd"/>
      <w:r w:rsidRPr="004C2969">
        <w:t xml:space="preserve">, B., Van </w:t>
      </w:r>
      <w:proofErr w:type="spellStart"/>
      <w:r w:rsidRPr="004C2969">
        <w:t>Teijlingen</w:t>
      </w:r>
      <w:proofErr w:type="spellEnd"/>
      <w:r w:rsidRPr="004C2969">
        <w:t xml:space="preserve">, E., Blunt, H., &amp; </w:t>
      </w:r>
      <w:proofErr w:type="spellStart"/>
      <w:r w:rsidRPr="004C2969">
        <w:t>Mercel</w:t>
      </w:r>
      <w:proofErr w:type="spellEnd"/>
      <w:r w:rsidRPr="004C2969">
        <w:t>-Sanca, A. (2020). Mental health services designed for Black, Asian and Minority Ethnics (BAME) in the UK: a scoping review of case studies. </w:t>
      </w:r>
      <w:r w:rsidRPr="004C2969">
        <w:rPr>
          <w:i/>
          <w:iCs/>
        </w:rPr>
        <w:t>Mental Health and Social Inclusion</w:t>
      </w:r>
      <w:r w:rsidRPr="004C2969">
        <w:t>, </w:t>
      </w:r>
      <w:r w:rsidRPr="004C2969">
        <w:rPr>
          <w:i/>
          <w:iCs/>
        </w:rPr>
        <w:t>24</w:t>
      </w:r>
      <w:r w:rsidRPr="004C2969">
        <w:t xml:space="preserve">(2), 81-95. </w:t>
      </w:r>
      <w:hyperlink r:id="rId21" w:history="1">
        <w:r w:rsidRPr="00044099">
          <w:rPr>
            <w:rStyle w:val="Hyperlink"/>
          </w:rPr>
          <w:t>https://doi.org/10.1108/MHSI-10-2019-0031</w:t>
        </w:r>
      </w:hyperlink>
    </w:p>
    <w:p w14:paraId="5C72AEEA" w14:textId="77777777" w:rsidR="00803FEE" w:rsidRPr="004C2969" w:rsidRDefault="00803FEE" w:rsidP="00F73881">
      <w:pPr>
        <w:rPr>
          <w:bCs/>
        </w:rPr>
      </w:pPr>
    </w:p>
    <w:sectPr w:rsidR="00803FEE" w:rsidRPr="004C296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88990" w14:textId="77777777" w:rsidR="003A7DA0" w:rsidRDefault="003A7DA0" w:rsidP="00F17155">
      <w:pPr>
        <w:spacing w:after="0" w:line="240" w:lineRule="auto"/>
      </w:pPr>
      <w:r>
        <w:separator/>
      </w:r>
    </w:p>
  </w:endnote>
  <w:endnote w:type="continuationSeparator" w:id="0">
    <w:p w14:paraId="2FF1205D" w14:textId="77777777" w:rsidR="003A7DA0" w:rsidRDefault="003A7DA0" w:rsidP="00F17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erriweather Sans">
    <w:altName w:val="Times New Roman"/>
    <w:charset w:val="00"/>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4B86F" w14:textId="77777777" w:rsidR="003A7DA0" w:rsidRDefault="003A7DA0" w:rsidP="00F17155">
      <w:pPr>
        <w:spacing w:after="0" w:line="240" w:lineRule="auto"/>
      </w:pPr>
      <w:r>
        <w:separator/>
      </w:r>
    </w:p>
  </w:footnote>
  <w:footnote w:type="continuationSeparator" w:id="0">
    <w:p w14:paraId="443210E5" w14:textId="77777777" w:rsidR="003A7DA0" w:rsidRDefault="003A7DA0" w:rsidP="00F17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48220"/>
      <w:docPartObj>
        <w:docPartGallery w:val="Page Numbers (Top of Page)"/>
        <w:docPartUnique/>
      </w:docPartObj>
    </w:sdtPr>
    <w:sdtEndPr>
      <w:rPr>
        <w:noProof/>
      </w:rPr>
    </w:sdtEndPr>
    <w:sdtContent>
      <w:p w14:paraId="573A3078" w14:textId="4CE5EFC9" w:rsidR="00F17155" w:rsidRDefault="00F17155">
        <w:pPr>
          <w:pStyle w:val="Header"/>
          <w:jc w:val="right"/>
        </w:pPr>
        <w:r>
          <w:fldChar w:fldCharType="begin"/>
        </w:r>
        <w:r>
          <w:instrText xml:space="preserve"> PAGE   \* MERGEFORMAT </w:instrText>
        </w:r>
        <w:r>
          <w:fldChar w:fldCharType="separate"/>
        </w:r>
        <w:r w:rsidR="00284754">
          <w:rPr>
            <w:noProof/>
          </w:rPr>
          <w:t>2</w:t>
        </w:r>
        <w:r>
          <w:rPr>
            <w:noProof/>
          </w:rPr>
          <w:fldChar w:fldCharType="end"/>
        </w:r>
      </w:p>
    </w:sdtContent>
  </w:sdt>
  <w:p w14:paraId="574F67B9" w14:textId="77777777" w:rsidR="00F17155" w:rsidRDefault="00F17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50DA"/>
    <w:multiLevelType w:val="hybridMultilevel"/>
    <w:tmpl w:val="9BD4C2A8"/>
    <w:lvl w:ilvl="0" w:tplc="D93A2A34">
      <w:start w:val="2026"/>
      <w:numFmt w:val="bullet"/>
      <w:lvlText w:val="-"/>
      <w:lvlJc w:val="left"/>
      <w:pPr>
        <w:ind w:left="420" w:hanging="360"/>
      </w:pPr>
      <w:rPr>
        <w:rFonts w:ascii="Times New Roman" w:eastAsiaTheme="minorHAnsi" w:hAnsi="Times New Roman" w:cs="Times New Roman"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1" w15:restartNumberingAfterBreak="0">
    <w:nsid w:val="5C451B6B"/>
    <w:multiLevelType w:val="hybridMultilevel"/>
    <w:tmpl w:val="D054D3FC"/>
    <w:lvl w:ilvl="0" w:tplc="1D46910A">
      <w:start w:val="3"/>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02978991">
    <w:abstractNumId w:val="1"/>
  </w:num>
  <w:num w:numId="2" w16cid:durableId="378869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55"/>
    <w:rsid w:val="00057719"/>
    <w:rsid w:val="000E3481"/>
    <w:rsid w:val="000E7473"/>
    <w:rsid w:val="000F5986"/>
    <w:rsid w:val="00127C24"/>
    <w:rsid w:val="001939FF"/>
    <w:rsid w:val="001D5ADF"/>
    <w:rsid w:val="00206F57"/>
    <w:rsid w:val="00272BB0"/>
    <w:rsid w:val="00273664"/>
    <w:rsid w:val="00275B3E"/>
    <w:rsid w:val="00284754"/>
    <w:rsid w:val="00316E15"/>
    <w:rsid w:val="00322428"/>
    <w:rsid w:val="003A7DA0"/>
    <w:rsid w:val="003B0789"/>
    <w:rsid w:val="004378F3"/>
    <w:rsid w:val="0048729C"/>
    <w:rsid w:val="004C2581"/>
    <w:rsid w:val="004C2969"/>
    <w:rsid w:val="004C5C42"/>
    <w:rsid w:val="00535288"/>
    <w:rsid w:val="00542479"/>
    <w:rsid w:val="005C5414"/>
    <w:rsid w:val="007007BA"/>
    <w:rsid w:val="00750164"/>
    <w:rsid w:val="00785277"/>
    <w:rsid w:val="007A706E"/>
    <w:rsid w:val="007A7838"/>
    <w:rsid w:val="007E6BE9"/>
    <w:rsid w:val="00802DB4"/>
    <w:rsid w:val="00803FEE"/>
    <w:rsid w:val="00851991"/>
    <w:rsid w:val="00862B2A"/>
    <w:rsid w:val="00876305"/>
    <w:rsid w:val="008B599D"/>
    <w:rsid w:val="009E44E5"/>
    <w:rsid w:val="00A3267C"/>
    <w:rsid w:val="00A5177A"/>
    <w:rsid w:val="00A528BA"/>
    <w:rsid w:val="00AD0C13"/>
    <w:rsid w:val="00C3151E"/>
    <w:rsid w:val="00CE7A45"/>
    <w:rsid w:val="00D0056D"/>
    <w:rsid w:val="00D377D2"/>
    <w:rsid w:val="00D506E5"/>
    <w:rsid w:val="00DB0343"/>
    <w:rsid w:val="00DD2D3C"/>
    <w:rsid w:val="00E03933"/>
    <w:rsid w:val="00E10A20"/>
    <w:rsid w:val="00E14C62"/>
    <w:rsid w:val="00E65B87"/>
    <w:rsid w:val="00E70835"/>
    <w:rsid w:val="00E876C2"/>
    <w:rsid w:val="00EC3064"/>
    <w:rsid w:val="00F11343"/>
    <w:rsid w:val="00F17155"/>
    <w:rsid w:val="00F24387"/>
    <w:rsid w:val="00F2576D"/>
    <w:rsid w:val="00F73881"/>
    <w:rsid w:val="00FB0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91E35"/>
  <w15:chartTrackingRefBased/>
  <w15:docId w15:val="{1DD2DDDA-F594-4610-9E27-964978990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1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71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715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715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1715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1715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1715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1715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1715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1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71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715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715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1715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1715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1715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1715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1715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17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15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15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17155"/>
    <w:pPr>
      <w:spacing w:before="160"/>
      <w:jc w:val="center"/>
    </w:pPr>
    <w:rPr>
      <w:i/>
      <w:iCs/>
      <w:color w:val="404040" w:themeColor="text1" w:themeTint="BF"/>
    </w:rPr>
  </w:style>
  <w:style w:type="character" w:customStyle="1" w:styleId="QuoteChar">
    <w:name w:val="Quote Char"/>
    <w:basedOn w:val="DefaultParagraphFont"/>
    <w:link w:val="Quote"/>
    <w:uiPriority w:val="29"/>
    <w:rsid w:val="00F17155"/>
    <w:rPr>
      <w:i/>
      <w:iCs/>
      <w:color w:val="404040" w:themeColor="text1" w:themeTint="BF"/>
    </w:rPr>
  </w:style>
  <w:style w:type="paragraph" w:styleId="ListParagraph">
    <w:name w:val="List Paragraph"/>
    <w:basedOn w:val="Normal"/>
    <w:uiPriority w:val="34"/>
    <w:qFormat/>
    <w:rsid w:val="00F17155"/>
    <w:pPr>
      <w:ind w:left="720"/>
      <w:contextualSpacing/>
    </w:pPr>
  </w:style>
  <w:style w:type="character" w:styleId="IntenseEmphasis">
    <w:name w:val="Intense Emphasis"/>
    <w:basedOn w:val="DefaultParagraphFont"/>
    <w:uiPriority w:val="21"/>
    <w:qFormat/>
    <w:rsid w:val="00F17155"/>
    <w:rPr>
      <w:i/>
      <w:iCs/>
      <w:color w:val="2F5496" w:themeColor="accent1" w:themeShade="BF"/>
    </w:rPr>
  </w:style>
  <w:style w:type="paragraph" w:styleId="IntenseQuote">
    <w:name w:val="Intense Quote"/>
    <w:basedOn w:val="Normal"/>
    <w:next w:val="Normal"/>
    <w:link w:val="IntenseQuoteChar"/>
    <w:uiPriority w:val="30"/>
    <w:qFormat/>
    <w:rsid w:val="00F171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7155"/>
    <w:rPr>
      <w:i/>
      <w:iCs/>
      <w:color w:val="2F5496" w:themeColor="accent1" w:themeShade="BF"/>
    </w:rPr>
  </w:style>
  <w:style w:type="character" w:styleId="IntenseReference">
    <w:name w:val="Intense Reference"/>
    <w:basedOn w:val="DefaultParagraphFont"/>
    <w:uiPriority w:val="32"/>
    <w:qFormat/>
    <w:rsid w:val="00F17155"/>
    <w:rPr>
      <w:b/>
      <w:bCs/>
      <w:smallCaps/>
      <w:color w:val="2F5496" w:themeColor="accent1" w:themeShade="BF"/>
      <w:spacing w:val="5"/>
    </w:rPr>
  </w:style>
  <w:style w:type="paragraph" w:styleId="Header">
    <w:name w:val="header"/>
    <w:basedOn w:val="Normal"/>
    <w:link w:val="HeaderChar"/>
    <w:uiPriority w:val="99"/>
    <w:unhideWhenUsed/>
    <w:rsid w:val="00F17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155"/>
  </w:style>
  <w:style w:type="paragraph" w:styleId="Footer">
    <w:name w:val="footer"/>
    <w:basedOn w:val="Normal"/>
    <w:link w:val="FooterChar"/>
    <w:uiPriority w:val="99"/>
    <w:unhideWhenUsed/>
    <w:rsid w:val="00F17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155"/>
  </w:style>
  <w:style w:type="character" w:styleId="Hyperlink">
    <w:name w:val="Hyperlink"/>
    <w:basedOn w:val="DefaultParagraphFont"/>
    <w:uiPriority w:val="99"/>
    <w:unhideWhenUsed/>
    <w:rsid w:val="00E14C62"/>
    <w:rPr>
      <w:color w:val="0563C1" w:themeColor="hyperlink"/>
      <w:u w:val="single"/>
    </w:rPr>
  </w:style>
  <w:style w:type="character" w:customStyle="1" w:styleId="UnresolvedMention1">
    <w:name w:val="Unresolved Mention1"/>
    <w:basedOn w:val="DefaultParagraphFont"/>
    <w:uiPriority w:val="99"/>
    <w:semiHidden/>
    <w:unhideWhenUsed/>
    <w:rsid w:val="00E14C62"/>
    <w:rPr>
      <w:color w:val="605E5C"/>
      <w:shd w:val="clear" w:color="auto" w:fill="E1DFDD"/>
    </w:rPr>
  </w:style>
  <w:style w:type="table" w:styleId="TableGrid">
    <w:name w:val="Table Grid"/>
    <w:basedOn w:val="TableNormal"/>
    <w:uiPriority w:val="39"/>
    <w:rsid w:val="00E87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glmedi.2025.100198" TargetMode="External"/><Relationship Id="rId13" Type="http://schemas.openxmlformats.org/officeDocument/2006/relationships/hyperlink" Target="https://doi.org/10.1192/bjp.2020.130" TargetMode="External"/><Relationship Id="rId18" Type="http://schemas.openxmlformats.org/officeDocument/2006/relationships/hyperlink" Target="https://doi.org/10.1017/gmh.2022.2" TargetMode="External"/><Relationship Id="rId3" Type="http://schemas.openxmlformats.org/officeDocument/2006/relationships/settings" Target="settings.xml"/><Relationship Id="rId21" Type="http://schemas.openxmlformats.org/officeDocument/2006/relationships/hyperlink" Target="https://doi.org/10.1108/MHSI-10-2019-0031" TargetMode="External"/><Relationship Id="rId7" Type="http://schemas.openxmlformats.org/officeDocument/2006/relationships/image" Target="media/image1.jpeg"/><Relationship Id="rId12" Type="http://schemas.openxmlformats.org/officeDocument/2006/relationships/hyperlink" Target="https://doi.org/10.1186/s12874-024-02148-y" TargetMode="External"/><Relationship Id="rId17" Type="http://schemas.openxmlformats.org/officeDocument/2006/relationships/hyperlink" Target="https://doi.org/10.1017/S1754470X19000060" TargetMode="External"/><Relationship Id="rId2" Type="http://schemas.openxmlformats.org/officeDocument/2006/relationships/styles" Target="styles.xml"/><Relationship Id="rId16" Type="http://schemas.openxmlformats.org/officeDocument/2006/relationships/hyperlink" Target="https://doi.org/10.1108/JPMH-12-2020-0152" TargetMode="External"/><Relationship Id="rId20" Type="http://schemas.openxmlformats.org/officeDocument/2006/relationships/hyperlink" Target="https://doi.org/10.1186/s12913-026-1414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aceequalityfoundation.org.uk/wp-content/uploads/2022/10/collaborative-briefing-mental-health-briefing-digital-FINAL.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363461512444673" TargetMode="External"/><Relationship Id="rId23" Type="http://schemas.openxmlformats.org/officeDocument/2006/relationships/fontTable" Target="fontTable.xml"/><Relationship Id="rId10" Type="http://schemas.openxmlformats.org/officeDocument/2006/relationships/hyperlink" Target="https://doi.org/10.1136/bmjopen-2017-020064" TargetMode="External"/><Relationship Id="rId19" Type="http://schemas.openxmlformats.org/officeDocument/2006/relationships/hyperlink" Target="https://doi.org/10.1136/bmj.n71" TargetMode="External"/><Relationship Id="rId4" Type="http://schemas.openxmlformats.org/officeDocument/2006/relationships/webSettings" Target="webSettings.xml"/><Relationship Id="rId9" Type="http://schemas.openxmlformats.org/officeDocument/2006/relationships/hyperlink" Target="https://doi.org/10.1007/s10903-020-01043-0" TargetMode="External"/><Relationship Id="rId14" Type="http://schemas.openxmlformats.org/officeDocument/2006/relationships/hyperlink" Target="https://doi.org/10.1080/0142159X.2020.175503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4317</Words>
  <Characters>24607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miracle nzediegwu</dc:creator>
  <cp:keywords/>
  <dc:description/>
  <cp:lastModifiedBy>miracle nzediegwu</cp:lastModifiedBy>
  <cp:revision>12</cp:revision>
  <dcterms:created xsi:type="dcterms:W3CDTF">2026-07-29T10:56:00Z</dcterms:created>
  <dcterms:modified xsi:type="dcterms:W3CDTF">2026-08-11T18:21:00Z</dcterms:modified>
</cp:coreProperties>
</file>