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301D8" w14:textId="00281F46" w:rsidR="004F3B2C" w:rsidRPr="00044085" w:rsidRDefault="00207B85" w:rsidP="00207B85">
      <w:pPr>
        <w:tabs>
          <w:tab w:val="left" w:pos="3004"/>
        </w:tabs>
        <w:spacing w:after="240" w:line="360" w:lineRule="auto"/>
        <w:jc w:val="center"/>
        <w:rPr>
          <w:rFonts w:eastAsiaTheme="majorEastAsia"/>
          <w:b/>
          <w:bCs/>
          <w:sz w:val="32"/>
          <w:szCs w:val="32"/>
        </w:rPr>
      </w:pPr>
      <w:r w:rsidRPr="00044085">
        <w:rPr>
          <w:noProof/>
        </w:rPr>
        <w:drawing>
          <wp:inline distT="0" distB="0" distL="0" distR="0" wp14:anchorId="4B61E492" wp14:editId="25CC3FB5">
            <wp:extent cx="2464672" cy="895350"/>
            <wp:effectExtent l="0" t="0" r="0" b="0"/>
            <wp:docPr id="2"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rotWithShape="1">
                    <a:blip r:embed="rId7">
                      <a:extLst>
                        <a:ext uri="{28A0092B-C50C-407E-A947-70E740481C1C}">
                          <a14:useLocalDpi xmlns:a14="http://schemas.microsoft.com/office/drawing/2010/main" val="0"/>
                        </a:ext>
                      </a:extLst>
                    </a:blip>
                    <a:srcRect l="8140" t="13109" r="8597" b="14571"/>
                    <a:stretch/>
                  </pic:blipFill>
                  <pic:spPr bwMode="auto">
                    <a:xfrm>
                      <a:off x="0" y="0"/>
                      <a:ext cx="2482131" cy="901692"/>
                    </a:xfrm>
                    <a:prstGeom prst="rect">
                      <a:avLst/>
                    </a:prstGeom>
                    <a:noFill/>
                    <a:ln>
                      <a:noFill/>
                    </a:ln>
                    <a:extLst>
                      <a:ext uri="{53640926-AAD7-44D8-BBD7-CCE9431645EC}">
                        <a14:shadowObscured xmlns:a14="http://schemas.microsoft.com/office/drawing/2010/main"/>
                      </a:ext>
                    </a:extLst>
                  </pic:spPr>
                </pic:pic>
              </a:graphicData>
            </a:graphic>
          </wp:inline>
        </w:drawing>
      </w:r>
    </w:p>
    <w:p w14:paraId="2F9C3D51" w14:textId="77777777" w:rsidR="004F3B2C" w:rsidRPr="00044085" w:rsidRDefault="004F3B2C" w:rsidP="004F3B2C">
      <w:pPr>
        <w:tabs>
          <w:tab w:val="left" w:pos="3004"/>
        </w:tabs>
        <w:spacing w:after="240" w:line="360" w:lineRule="auto"/>
        <w:jc w:val="center"/>
        <w:rPr>
          <w:rFonts w:eastAsiaTheme="majorEastAsia"/>
          <w:b/>
          <w:bCs/>
          <w:sz w:val="32"/>
          <w:szCs w:val="32"/>
        </w:rPr>
      </w:pPr>
      <w:r w:rsidRPr="00044085">
        <w:rPr>
          <w:rFonts w:eastAsiaTheme="majorEastAsia"/>
          <w:b/>
          <w:bCs/>
          <w:sz w:val="32"/>
          <w:szCs w:val="32"/>
        </w:rPr>
        <w:t>Programme: Master of Business Administration</w:t>
      </w:r>
    </w:p>
    <w:p w14:paraId="17E90B5E" w14:textId="77777777" w:rsidR="004F3B2C" w:rsidRPr="00044085" w:rsidRDefault="004F3B2C" w:rsidP="004F3B2C">
      <w:pPr>
        <w:tabs>
          <w:tab w:val="left" w:pos="3004"/>
        </w:tabs>
        <w:spacing w:after="240" w:line="360" w:lineRule="auto"/>
        <w:jc w:val="center"/>
        <w:rPr>
          <w:rFonts w:eastAsiaTheme="majorEastAsia"/>
          <w:b/>
          <w:bCs/>
          <w:sz w:val="32"/>
          <w:szCs w:val="32"/>
        </w:rPr>
      </w:pPr>
      <w:r w:rsidRPr="00044085">
        <w:rPr>
          <w:rFonts w:eastAsiaTheme="majorEastAsia"/>
          <w:b/>
          <w:bCs/>
          <w:sz w:val="32"/>
          <w:szCs w:val="32"/>
        </w:rPr>
        <w:t>Module: Financial Management</w:t>
      </w:r>
    </w:p>
    <w:p w14:paraId="28223AA2" w14:textId="1C1A18C3" w:rsidR="004F3B2C" w:rsidRPr="00044085" w:rsidRDefault="004F3B2C" w:rsidP="004F3B2C">
      <w:pPr>
        <w:tabs>
          <w:tab w:val="left" w:pos="3004"/>
        </w:tabs>
        <w:spacing w:after="240" w:line="360" w:lineRule="auto"/>
        <w:jc w:val="center"/>
        <w:rPr>
          <w:rFonts w:eastAsiaTheme="majorEastAsia"/>
          <w:b/>
          <w:bCs/>
          <w:sz w:val="32"/>
          <w:szCs w:val="32"/>
        </w:rPr>
      </w:pPr>
      <w:r w:rsidRPr="00044085">
        <w:rPr>
          <w:rFonts w:eastAsiaTheme="majorEastAsia"/>
          <w:b/>
          <w:bCs/>
          <w:sz w:val="32"/>
          <w:szCs w:val="32"/>
        </w:rPr>
        <w:t xml:space="preserve">Module </w:t>
      </w:r>
      <w:r w:rsidR="00207B85" w:rsidRPr="00044085">
        <w:rPr>
          <w:rFonts w:eastAsiaTheme="majorEastAsia"/>
          <w:b/>
          <w:bCs/>
          <w:sz w:val="32"/>
          <w:szCs w:val="32"/>
        </w:rPr>
        <w:t>C</w:t>
      </w:r>
      <w:r w:rsidRPr="00044085">
        <w:rPr>
          <w:rFonts w:eastAsiaTheme="majorEastAsia"/>
          <w:b/>
          <w:bCs/>
          <w:sz w:val="32"/>
          <w:szCs w:val="32"/>
        </w:rPr>
        <w:t>ode: LCMB7002</w:t>
      </w:r>
    </w:p>
    <w:p w14:paraId="0DA7A223" w14:textId="557422B5" w:rsidR="004F3B2C" w:rsidRPr="00044085" w:rsidRDefault="004F3B2C" w:rsidP="004F3B2C">
      <w:pPr>
        <w:tabs>
          <w:tab w:val="left" w:pos="3004"/>
        </w:tabs>
        <w:spacing w:after="240" w:line="360" w:lineRule="auto"/>
        <w:jc w:val="center"/>
        <w:rPr>
          <w:rFonts w:eastAsiaTheme="majorEastAsia"/>
          <w:b/>
          <w:bCs/>
          <w:sz w:val="32"/>
          <w:szCs w:val="32"/>
        </w:rPr>
      </w:pPr>
      <w:r w:rsidRPr="00044085">
        <w:rPr>
          <w:rFonts w:eastAsiaTheme="majorEastAsia"/>
          <w:b/>
          <w:bCs/>
          <w:sz w:val="32"/>
          <w:szCs w:val="32"/>
        </w:rPr>
        <w:t>Assignment Title: Financial performance and management</w:t>
      </w:r>
    </w:p>
    <w:p w14:paraId="2B217254" w14:textId="77777777" w:rsidR="000D1950" w:rsidRPr="00044085" w:rsidRDefault="000D1950" w:rsidP="004F3B2C">
      <w:pPr>
        <w:tabs>
          <w:tab w:val="left" w:pos="3004"/>
        </w:tabs>
        <w:spacing w:after="240" w:line="360" w:lineRule="auto"/>
        <w:jc w:val="center"/>
        <w:rPr>
          <w:rFonts w:eastAsiaTheme="majorEastAsia"/>
          <w:b/>
          <w:bCs/>
          <w:sz w:val="32"/>
          <w:szCs w:val="32"/>
        </w:rPr>
      </w:pPr>
    </w:p>
    <w:p w14:paraId="23145D78" w14:textId="2981174B" w:rsidR="004F3B2C" w:rsidRPr="00044085" w:rsidRDefault="004F3B2C" w:rsidP="004F3B2C">
      <w:pPr>
        <w:tabs>
          <w:tab w:val="left" w:pos="3004"/>
        </w:tabs>
        <w:spacing w:after="240" w:line="360" w:lineRule="auto"/>
        <w:jc w:val="center"/>
        <w:rPr>
          <w:rFonts w:eastAsiaTheme="majorEastAsia"/>
          <w:b/>
          <w:bCs/>
          <w:sz w:val="32"/>
          <w:szCs w:val="32"/>
        </w:rPr>
      </w:pPr>
      <w:r w:rsidRPr="00044085">
        <w:rPr>
          <w:rFonts w:eastAsiaTheme="majorEastAsia"/>
          <w:b/>
          <w:bCs/>
          <w:sz w:val="32"/>
          <w:szCs w:val="32"/>
        </w:rPr>
        <w:t xml:space="preserve">Student </w:t>
      </w:r>
      <w:r w:rsidR="00207B85" w:rsidRPr="00044085">
        <w:rPr>
          <w:rFonts w:eastAsiaTheme="majorEastAsia"/>
          <w:b/>
          <w:bCs/>
          <w:sz w:val="32"/>
          <w:szCs w:val="32"/>
        </w:rPr>
        <w:t>Name:</w:t>
      </w:r>
      <w:r w:rsidR="00AF5084">
        <w:rPr>
          <w:rFonts w:eastAsiaTheme="majorEastAsia"/>
          <w:b/>
          <w:bCs/>
          <w:sz w:val="32"/>
          <w:szCs w:val="32"/>
        </w:rPr>
        <w:t xml:space="preserve"> Chocha Neha </w:t>
      </w:r>
    </w:p>
    <w:p w14:paraId="316683C6" w14:textId="19BD7DE9" w:rsidR="004F3B2C" w:rsidRPr="00044085" w:rsidRDefault="004F3B2C" w:rsidP="004F3B2C">
      <w:pPr>
        <w:tabs>
          <w:tab w:val="left" w:pos="3004"/>
        </w:tabs>
        <w:spacing w:after="240" w:line="360" w:lineRule="auto"/>
        <w:jc w:val="center"/>
        <w:rPr>
          <w:rFonts w:eastAsiaTheme="majorEastAsia"/>
          <w:b/>
          <w:bCs/>
          <w:sz w:val="32"/>
          <w:szCs w:val="32"/>
        </w:rPr>
      </w:pPr>
      <w:r w:rsidRPr="00044085">
        <w:rPr>
          <w:rFonts w:eastAsiaTheme="majorEastAsia"/>
          <w:b/>
          <w:bCs/>
          <w:sz w:val="32"/>
          <w:szCs w:val="32"/>
        </w:rPr>
        <w:t xml:space="preserve">Student ID </w:t>
      </w:r>
      <w:r w:rsidR="00207B85" w:rsidRPr="00044085">
        <w:rPr>
          <w:rFonts w:eastAsiaTheme="majorEastAsia"/>
          <w:b/>
          <w:bCs/>
          <w:sz w:val="32"/>
          <w:szCs w:val="32"/>
        </w:rPr>
        <w:t>Number:</w:t>
      </w:r>
      <w:r w:rsidR="00AF5084">
        <w:rPr>
          <w:rFonts w:eastAsiaTheme="majorEastAsia"/>
          <w:b/>
          <w:bCs/>
          <w:sz w:val="32"/>
          <w:szCs w:val="32"/>
        </w:rPr>
        <w:t>2542712</w:t>
      </w:r>
    </w:p>
    <w:p w14:paraId="1E6E5749" w14:textId="77777777" w:rsidR="004F3B2C" w:rsidRPr="00044085" w:rsidRDefault="004F3B2C" w:rsidP="004F3B2C">
      <w:pPr>
        <w:tabs>
          <w:tab w:val="left" w:pos="3004"/>
        </w:tabs>
        <w:spacing w:after="240" w:line="360" w:lineRule="auto"/>
        <w:jc w:val="center"/>
        <w:rPr>
          <w:rFonts w:eastAsiaTheme="majorEastAsia"/>
          <w:b/>
          <w:bCs/>
          <w:sz w:val="32"/>
          <w:szCs w:val="32"/>
        </w:rPr>
      </w:pPr>
    </w:p>
    <w:p w14:paraId="3A53FD3D" w14:textId="6418DB3E" w:rsidR="004F3B2C" w:rsidRPr="00044085" w:rsidRDefault="004F3B2C" w:rsidP="004F3B2C">
      <w:pPr>
        <w:tabs>
          <w:tab w:val="left" w:pos="3004"/>
        </w:tabs>
        <w:spacing w:after="240" w:line="360" w:lineRule="auto"/>
        <w:jc w:val="center"/>
        <w:rPr>
          <w:rFonts w:eastAsiaTheme="majorEastAsia"/>
          <w:b/>
          <w:bCs/>
          <w:sz w:val="32"/>
          <w:szCs w:val="32"/>
        </w:rPr>
      </w:pPr>
      <w:r w:rsidRPr="00044085">
        <w:rPr>
          <w:rFonts w:eastAsiaTheme="majorEastAsia"/>
          <w:b/>
          <w:bCs/>
          <w:sz w:val="32"/>
          <w:szCs w:val="32"/>
        </w:rPr>
        <w:t xml:space="preserve">Word </w:t>
      </w:r>
      <w:r w:rsidR="00207B85" w:rsidRPr="00044085">
        <w:rPr>
          <w:rFonts w:eastAsiaTheme="majorEastAsia"/>
          <w:b/>
          <w:bCs/>
          <w:sz w:val="32"/>
          <w:szCs w:val="32"/>
        </w:rPr>
        <w:t>Count</w:t>
      </w:r>
      <w:r w:rsidR="00FB2C88">
        <w:rPr>
          <w:rFonts w:eastAsiaTheme="majorEastAsia"/>
          <w:b/>
          <w:bCs/>
          <w:sz w:val="32"/>
          <w:szCs w:val="32"/>
        </w:rPr>
        <w:t>: 5000</w:t>
      </w:r>
    </w:p>
    <w:p w14:paraId="3C1D3E34" w14:textId="77777777" w:rsidR="000D1950" w:rsidRPr="00044085" w:rsidRDefault="000D1950" w:rsidP="000D1950">
      <w:pPr>
        <w:rPr>
          <w:rFonts w:eastAsia="Times New Roman"/>
          <w:sz w:val="24"/>
          <w:szCs w:val="24"/>
        </w:rPr>
      </w:pPr>
    </w:p>
    <w:p w14:paraId="6D37CBFE" w14:textId="77777777" w:rsidR="00044085" w:rsidRPr="00044085" w:rsidRDefault="00044085">
      <w:pPr>
        <w:rPr>
          <w:b/>
          <w:sz w:val="28"/>
          <w:szCs w:val="40"/>
        </w:rPr>
      </w:pPr>
      <w:bookmarkStart w:id="0" w:name="_Toc234686404"/>
      <w:r w:rsidRPr="00044085">
        <w:br w:type="page"/>
      </w:r>
    </w:p>
    <w:sdt>
      <w:sdtPr>
        <w:rPr>
          <w:rFonts w:ascii="Arial" w:eastAsia="Arial" w:hAnsi="Arial" w:cs="Arial"/>
          <w:color w:val="auto"/>
          <w:sz w:val="22"/>
          <w:szCs w:val="22"/>
          <w:lang w:val="en-GB"/>
        </w:rPr>
        <w:id w:val="1864319113"/>
        <w:docPartObj>
          <w:docPartGallery w:val="Table of Contents"/>
          <w:docPartUnique/>
        </w:docPartObj>
      </w:sdtPr>
      <w:sdtEndPr>
        <w:rPr>
          <w:b/>
          <w:bCs/>
          <w:noProof/>
        </w:rPr>
      </w:sdtEndPr>
      <w:sdtContent>
        <w:p w14:paraId="0DF99357" w14:textId="343A31A8" w:rsidR="00044085" w:rsidRPr="00044085" w:rsidRDefault="00044085" w:rsidP="00044085">
          <w:pPr>
            <w:pStyle w:val="TOCHeading"/>
            <w:spacing w:before="0" w:after="240" w:line="360" w:lineRule="auto"/>
            <w:jc w:val="center"/>
            <w:rPr>
              <w:rFonts w:ascii="Arial" w:hAnsi="Arial" w:cs="Arial"/>
              <w:b/>
              <w:color w:val="auto"/>
              <w:sz w:val="28"/>
              <w:szCs w:val="24"/>
            </w:rPr>
          </w:pPr>
          <w:r w:rsidRPr="00044085">
            <w:rPr>
              <w:rFonts w:ascii="Arial" w:hAnsi="Arial" w:cs="Arial"/>
              <w:b/>
              <w:color w:val="auto"/>
              <w:sz w:val="28"/>
              <w:szCs w:val="24"/>
            </w:rPr>
            <w:t>Table of Contents</w:t>
          </w:r>
        </w:p>
        <w:p w14:paraId="344AB62F" w14:textId="6792ED4D"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r w:rsidRPr="00044085">
            <w:rPr>
              <w:sz w:val="24"/>
              <w:szCs w:val="24"/>
            </w:rPr>
            <w:fldChar w:fldCharType="begin"/>
          </w:r>
          <w:r w:rsidRPr="00044085">
            <w:rPr>
              <w:sz w:val="24"/>
              <w:szCs w:val="24"/>
            </w:rPr>
            <w:instrText xml:space="preserve"> TOC \o "1-3" \h \z \u </w:instrText>
          </w:r>
          <w:r w:rsidRPr="00044085">
            <w:rPr>
              <w:sz w:val="24"/>
              <w:szCs w:val="24"/>
            </w:rPr>
            <w:fldChar w:fldCharType="separate"/>
          </w:r>
          <w:hyperlink w:anchor="_Toc234689603" w:history="1">
            <w:r w:rsidRPr="00044085">
              <w:rPr>
                <w:rStyle w:val="Hyperlink"/>
                <w:noProof/>
                <w:sz w:val="24"/>
                <w:szCs w:val="24"/>
              </w:rPr>
              <w:t>Introduction</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_Toc234689603 \h </w:instrText>
            </w:r>
            <w:r w:rsidRPr="00044085">
              <w:rPr>
                <w:noProof/>
                <w:webHidden/>
                <w:sz w:val="24"/>
                <w:szCs w:val="24"/>
              </w:rPr>
            </w:r>
            <w:r w:rsidRPr="00044085">
              <w:rPr>
                <w:noProof/>
                <w:webHidden/>
                <w:sz w:val="24"/>
                <w:szCs w:val="24"/>
              </w:rPr>
              <w:fldChar w:fldCharType="separate"/>
            </w:r>
            <w:r w:rsidR="001417C2">
              <w:rPr>
                <w:noProof/>
                <w:webHidden/>
                <w:sz w:val="24"/>
                <w:szCs w:val="24"/>
              </w:rPr>
              <w:t>3</w:t>
            </w:r>
            <w:r w:rsidRPr="00044085">
              <w:rPr>
                <w:noProof/>
                <w:webHidden/>
                <w:sz w:val="24"/>
                <w:szCs w:val="24"/>
              </w:rPr>
              <w:fldChar w:fldCharType="end"/>
            </w:r>
          </w:hyperlink>
        </w:p>
        <w:p w14:paraId="313BF8E0" w14:textId="314E1AE1"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04" w:history="1">
            <w:r w:rsidRPr="00044085">
              <w:rPr>
                <w:rStyle w:val="Hyperlink"/>
                <w:noProof/>
                <w:sz w:val="24"/>
                <w:szCs w:val="24"/>
              </w:rPr>
              <w:t>1. Financial Health Check</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_Toc234689604 \h </w:instrText>
            </w:r>
            <w:r w:rsidRPr="00044085">
              <w:rPr>
                <w:noProof/>
                <w:webHidden/>
                <w:sz w:val="24"/>
                <w:szCs w:val="24"/>
              </w:rPr>
            </w:r>
            <w:r w:rsidRPr="00044085">
              <w:rPr>
                <w:noProof/>
                <w:webHidden/>
                <w:sz w:val="24"/>
                <w:szCs w:val="24"/>
              </w:rPr>
              <w:fldChar w:fldCharType="separate"/>
            </w:r>
            <w:r w:rsidR="001417C2">
              <w:rPr>
                <w:noProof/>
                <w:webHidden/>
                <w:sz w:val="24"/>
                <w:szCs w:val="24"/>
              </w:rPr>
              <w:t>3</w:t>
            </w:r>
            <w:r w:rsidRPr="00044085">
              <w:rPr>
                <w:noProof/>
                <w:webHidden/>
                <w:sz w:val="24"/>
                <w:szCs w:val="24"/>
              </w:rPr>
              <w:fldChar w:fldCharType="end"/>
            </w:r>
          </w:hyperlink>
        </w:p>
        <w:p w14:paraId="64C76E02" w14:textId="2A76F22C"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05" w:history="1">
            <w:r w:rsidRPr="00044085">
              <w:rPr>
                <w:rStyle w:val="Hyperlink"/>
                <w:noProof/>
                <w:sz w:val="24"/>
                <w:szCs w:val="24"/>
              </w:rPr>
              <w:t>1.1 Analysis financial statements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_Toc234689605 \h </w:instrText>
            </w:r>
            <w:r w:rsidRPr="00044085">
              <w:rPr>
                <w:noProof/>
                <w:webHidden/>
                <w:sz w:val="24"/>
                <w:szCs w:val="24"/>
              </w:rPr>
            </w:r>
            <w:r w:rsidRPr="00044085">
              <w:rPr>
                <w:noProof/>
                <w:webHidden/>
                <w:sz w:val="24"/>
                <w:szCs w:val="24"/>
              </w:rPr>
              <w:fldChar w:fldCharType="separate"/>
            </w:r>
            <w:r w:rsidR="001417C2">
              <w:rPr>
                <w:noProof/>
                <w:webHidden/>
                <w:sz w:val="24"/>
                <w:szCs w:val="24"/>
              </w:rPr>
              <w:t>3</w:t>
            </w:r>
            <w:r w:rsidRPr="00044085">
              <w:rPr>
                <w:noProof/>
                <w:webHidden/>
                <w:sz w:val="24"/>
                <w:szCs w:val="24"/>
              </w:rPr>
              <w:fldChar w:fldCharType="end"/>
            </w:r>
          </w:hyperlink>
        </w:p>
        <w:p w14:paraId="51D42B40" w14:textId="06DD4430"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06" w:history="1">
            <w:r w:rsidRPr="00044085">
              <w:rPr>
                <w:rStyle w:val="Hyperlink"/>
                <w:noProof/>
                <w:sz w:val="24"/>
                <w:szCs w:val="24"/>
              </w:rPr>
              <w:t>1.2 Ratio Analysis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_Toc234689606 \h </w:instrText>
            </w:r>
            <w:r w:rsidRPr="00044085">
              <w:rPr>
                <w:noProof/>
                <w:webHidden/>
                <w:sz w:val="24"/>
                <w:szCs w:val="24"/>
              </w:rPr>
            </w:r>
            <w:r w:rsidRPr="00044085">
              <w:rPr>
                <w:noProof/>
                <w:webHidden/>
                <w:sz w:val="24"/>
                <w:szCs w:val="24"/>
              </w:rPr>
              <w:fldChar w:fldCharType="separate"/>
            </w:r>
            <w:r w:rsidR="001417C2">
              <w:rPr>
                <w:noProof/>
                <w:webHidden/>
                <w:sz w:val="24"/>
                <w:szCs w:val="24"/>
              </w:rPr>
              <w:t>4</w:t>
            </w:r>
            <w:r w:rsidRPr="00044085">
              <w:rPr>
                <w:noProof/>
                <w:webHidden/>
                <w:sz w:val="24"/>
                <w:szCs w:val="24"/>
              </w:rPr>
              <w:fldChar w:fldCharType="end"/>
            </w:r>
          </w:hyperlink>
        </w:p>
        <w:p w14:paraId="538C1F00" w14:textId="5DE894EE"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07" w:history="1">
            <w:r w:rsidRPr="00044085">
              <w:rPr>
                <w:rStyle w:val="Hyperlink"/>
                <w:noProof/>
                <w:sz w:val="24"/>
                <w:szCs w:val="24"/>
              </w:rPr>
              <w:t>1.3 Identification</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_Toc234689607 \h </w:instrText>
            </w:r>
            <w:r w:rsidRPr="00044085">
              <w:rPr>
                <w:noProof/>
                <w:webHidden/>
                <w:sz w:val="24"/>
                <w:szCs w:val="24"/>
              </w:rPr>
            </w:r>
            <w:r w:rsidRPr="00044085">
              <w:rPr>
                <w:noProof/>
                <w:webHidden/>
                <w:sz w:val="24"/>
                <w:szCs w:val="24"/>
              </w:rPr>
              <w:fldChar w:fldCharType="separate"/>
            </w:r>
            <w:r w:rsidR="001417C2">
              <w:rPr>
                <w:noProof/>
                <w:webHidden/>
                <w:sz w:val="24"/>
                <w:szCs w:val="24"/>
              </w:rPr>
              <w:t>6</w:t>
            </w:r>
            <w:r w:rsidRPr="00044085">
              <w:rPr>
                <w:noProof/>
                <w:webHidden/>
                <w:sz w:val="24"/>
                <w:szCs w:val="24"/>
              </w:rPr>
              <w:fldChar w:fldCharType="end"/>
            </w:r>
          </w:hyperlink>
        </w:p>
        <w:p w14:paraId="418E1A4B" w14:textId="10C54EE2"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08" w:history="1">
            <w:r w:rsidRPr="00044085">
              <w:rPr>
                <w:rStyle w:val="Hyperlink"/>
                <w:noProof/>
                <w:sz w:val="24"/>
                <w:szCs w:val="24"/>
              </w:rPr>
              <w:t>1.4 Comparison of liquidity ratios with industry benchmarks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_Toc234689608 \h </w:instrText>
            </w:r>
            <w:r w:rsidRPr="00044085">
              <w:rPr>
                <w:noProof/>
                <w:webHidden/>
                <w:sz w:val="24"/>
                <w:szCs w:val="24"/>
              </w:rPr>
            </w:r>
            <w:r w:rsidRPr="00044085">
              <w:rPr>
                <w:noProof/>
                <w:webHidden/>
                <w:sz w:val="24"/>
                <w:szCs w:val="24"/>
              </w:rPr>
              <w:fldChar w:fldCharType="separate"/>
            </w:r>
            <w:r w:rsidR="001417C2">
              <w:rPr>
                <w:noProof/>
                <w:webHidden/>
                <w:sz w:val="24"/>
                <w:szCs w:val="24"/>
              </w:rPr>
              <w:t>7</w:t>
            </w:r>
            <w:r w:rsidRPr="00044085">
              <w:rPr>
                <w:noProof/>
                <w:webHidden/>
                <w:sz w:val="24"/>
                <w:szCs w:val="24"/>
              </w:rPr>
              <w:fldChar w:fldCharType="end"/>
            </w:r>
          </w:hyperlink>
        </w:p>
        <w:p w14:paraId="03937A2E" w14:textId="6CFF9FD5"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09" w:history="1">
            <w:r w:rsidRPr="00044085">
              <w:rPr>
                <w:rStyle w:val="Hyperlink"/>
                <w:noProof/>
                <w:sz w:val="24"/>
                <w:szCs w:val="24"/>
              </w:rPr>
              <w:t>2. Working Capital Management Analysis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_Toc234689609 \h </w:instrText>
            </w:r>
            <w:r w:rsidRPr="00044085">
              <w:rPr>
                <w:noProof/>
                <w:webHidden/>
                <w:sz w:val="24"/>
                <w:szCs w:val="24"/>
              </w:rPr>
            </w:r>
            <w:r w:rsidRPr="00044085">
              <w:rPr>
                <w:noProof/>
                <w:webHidden/>
                <w:sz w:val="24"/>
                <w:szCs w:val="24"/>
              </w:rPr>
              <w:fldChar w:fldCharType="separate"/>
            </w:r>
            <w:r w:rsidR="001417C2">
              <w:rPr>
                <w:noProof/>
                <w:webHidden/>
                <w:sz w:val="24"/>
                <w:szCs w:val="24"/>
              </w:rPr>
              <w:t>8</w:t>
            </w:r>
            <w:r w:rsidRPr="00044085">
              <w:rPr>
                <w:noProof/>
                <w:webHidden/>
                <w:sz w:val="24"/>
                <w:szCs w:val="24"/>
              </w:rPr>
              <w:fldChar w:fldCharType="end"/>
            </w:r>
          </w:hyperlink>
        </w:p>
        <w:p w14:paraId="4BC2DC66" w14:textId="0EB61232"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0" w:history="1">
            <w:r w:rsidRPr="00044085">
              <w:rPr>
                <w:rStyle w:val="Hyperlink"/>
                <w:noProof/>
                <w:sz w:val="24"/>
                <w:szCs w:val="24"/>
              </w:rPr>
              <w:t>2.1 Cash operating cycle</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_Toc234689610 \h </w:instrText>
            </w:r>
            <w:r w:rsidRPr="00044085">
              <w:rPr>
                <w:noProof/>
                <w:webHidden/>
                <w:sz w:val="24"/>
                <w:szCs w:val="24"/>
              </w:rPr>
            </w:r>
            <w:r w:rsidRPr="00044085">
              <w:rPr>
                <w:noProof/>
                <w:webHidden/>
                <w:sz w:val="24"/>
                <w:szCs w:val="24"/>
              </w:rPr>
              <w:fldChar w:fldCharType="separate"/>
            </w:r>
            <w:r w:rsidR="001417C2">
              <w:rPr>
                <w:noProof/>
                <w:webHidden/>
                <w:sz w:val="24"/>
                <w:szCs w:val="24"/>
              </w:rPr>
              <w:t>8</w:t>
            </w:r>
            <w:r w:rsidRPr="00044085">
              <w:rPr>
                <w:noProof/>
                <w:webHidden/>
                <w:sz w:val="24"/>
                <w:szCs w:val="24"/>
              </w:rPr>
              <w:fldChar w:fldCharType="end"/>
            </w:r>
          </w:hyperlink>
        </w:p>
        <w:p w14:paraId="0D8E1CE9" w14:textId="58A5E13D"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1" w:history="1">
            <w:r w:rsidRPr="00044085">
              <w:rPr>
                <w:rStyle w:val="Hyperlink"/>
                <w:noProof/>
                <w:sz w:val="24"/>
                <w:szCs w:val="24"/>
                <w:lang w:eastAsia="en-GB"/>
              </w:rPr>
              <w:t>2.2 Recommend Strategies to Improve Liquidity through Working Capital Reforms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_Toc234689611 \h </w:instrText>
            </w:r>
            <w:r w:rsidRPr="00044085">
              <w:rPr>
                <w:noProof/>
                <w:webHidden/>
                <w:sz w:val="24"/>
                <w:szCs w:val="24"/>
              </w:rPr>
            </w:r>
            <w:r w:rsidRPr="00044085">
              <w:rPr>
                <w:noProof/>
                <w:webHidden/>
                <w:sz w:val="24"/>
                <w:szCs w:val="24"/>
              </w:rPr>
              <w:fldChar w:fldCharType="separate"/>
            </w:r>
            <w:r w:rsidR="001417C2">
              <w:rPr>
                <w:noProof/>
                <w:webHidden/>
                <w:sz w:val="24"/>
                <w:szCs w:val="24"/>
              </w:rPr>
              <w:t>10</w:t>
            </w:r>
            <w:r w:rsidRPr="00044085">
              <w:rPr>
                <w:noProof/>
                <w:webHidden/>
                <w:sz w:val="24"/>
                <w:szCs w:val="24"/>
              </w:rPr>
              <w:fldChar w:fldCharType="end"/>
            </w:r>
          </w:hyperlink>
        </w:p>
        <w:p w14:paraId="1FF7C0AE" w14:textId="273DF37C"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2" w:history="1">
            <w:r w:rsidRPr="00044085">
              <w:rPr>
                <w:rStyle w:val="Hyperlink"/>
                <w:noProof/>
                <w:sz w:val="24"/>
                <w:szCs w:val="24"/>
                <w:lang w:eastAsia="en-GB"/>
              </w:rPr>
              <w:t>2.3 Compare Short-Term Vs Long-Term Financing Options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_Toc234689612 \h </w:instrText>
            </w:r>
            <w:r w:rsidRPr="00044085">
              <w:rPr>
                <w:noProof/>
                <w:webHidden/>
                <w:sz w:val="24"/>
                <w:szCs w:val="24"/>
              </w:rPr>
            </w:r>
            <w:r w:rsidRPr="00044085">
              <w:rPr>
                <w:noProof/>
                <w:webHidden/>
                <w:sz w:val="24"/>
                <w:szCs w:val="24"/>
              </w:rPr>
              <w:fldChar w:fldCharType="separate"/>
            </w:r>
            <w:r w:rsidR="001417C2">
              <w:rPr>
                <w:noProof/>
                <w:webHidden/>
                <w:sz w:val="24"/>
                <w:szCs w:val="24"/>
              </w:rPr>
              <w:t>11</w:t>
            </w:r>
            <w:r w:rsidRPr="00044085">
              <w:rPr>
                <w:noProof/>
                <w:webHidden/>
                <w:sz w:val="24"/>
                <w:szCs w:val="24"/>
              </w:rPr>
              <w:fldChar w:fldCharType="end"/>
            </w:r>
          </w:hyperlink>
        </w:p>
        <w:p w14:paraId="7EA7A93A" w14:textId="7366D748"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13" w:history="1">
            <w:r w:rsidRPr="00044085">
              <w:rPr>
                <w:rStyle w:val="Hyperlink"/>
                <w:noProof/>
                <w:sz w:val="24"/>
                <w:szCs w:val="24"/>
              </w:rPr>
              <w:t>3. Strategic Financial Restructuring Plan</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_Toc234689613 \h </w:instrText>
            </w:r>
            <w:r w:rsidRPr="00044085">
              <w:rPr>
                <w:noProof/>
                <w:webHidden/>
                <w:sz w:val="24"/>
                <w:szCs w:val="24"/>
              </w:rPr>
            </w:r>
            <w:r w:rsidRPr="00044085">
              <w:rPr>
                <w:noProof/>
                <w:webHidden/>
                <w:sz w:val="24"/>
                <w:szCs w:val="24"/>
              </w:rPr>
              <w:fldChar w:fldCharType="separate"/>
            </w:r>
            <w:r w:rsidR="001417C2">
              <w:rPr>
                <w:noProof/>
                <w:webHidden/>
                <w:sz w:val="24"/>
                <w:szCs w:val="24"/>
              </w:rPr>
              <w:t>11</w:t>
            </w:r>
            <w:r w:rsidRPr="00044085">
              <w:rPr>
                <w:noProof/>
                <w:webHidden/>
                <w:sz w:val="24"/>
                <w:szCs w:val="24"/>
              </w:rPr>
              <w:fldChar w:fldCharType="end"/>
            </w:r>
          </w:hyperlink>
        </w:p>
        <w:p w14:paraId="011403FF" w14:textId="6801BC89"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4" w:history="1">
            <w:r w:rsidRPr="00044085">
              <w:rPr>
                <w:rStyle w:val="Hyperlink"/>
                <w:noProof/>
                <w:sz w:val="24"/>
                <w:szCs w:val="24"/>
              </w:rPr>
              <w:t>3.1 Financial Restructuring Options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_Toc234689614 \h </w:instrText>
            </w:r>
            <w:r w:rsidRPr="00044085">
              <w:rPr>
                <w:noProof/>
                <w:webHidden/>
                <w:sz w:val="24"/>
                <w:szCs w:val="24"/>
              </w:rPr>
            </w:r>
            <w:r w:rsidRPr="00044085">
              <w:rPr>
                <w:noProof/>
                <w:webHidden/>
                <w:sz w:val="24"/>
                <w:szCs w:val="24"/>
              </w:rPr>
              <w:fldChar w:fldCharType="separate"/>
            </w:r>
            <w:r w:rsidR="001417C2">
              <w:rPr>
                <w:noProof/>
                <w:webHidden/>
                <w:sz w:val="24"/>
                <w:szCs w:val="24"/>
              </w:rPr>
              <w:t>11</w:t>
            </w:r>
            <w:r w:rsidRPr="00044085">
              <w:rPr>
                <w:noProof/>
                <w:webHidden/>
                <w:sz w:val="24"/>
                <w:szCs w:val="24"/>
              </w:rPr>
              <w:fldChar w:fldCharType="end"/>
            </w:r>
          </w:hyperlink>
        </w:p>
        <w:p w14:paraId="77E9ECBB" w14:textId="21CFD475"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5" w:history="1">
            <w:r w:rsidRPr="00044085">
              <w:rPr>
                <w:rStyle w:val="Hyperlink"/>
                <w:noProof/>
                <w:sz w:val="24"/>
                <w:szCs w:val="24"/>
              </w:rPr>
              <w:t>3.2 Evaluate impact on Restructuring Plan</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_Toc234689615 \h </w:instrText>
            </w:r>
            <w:r w:rsidRPr="00044085">
              <w:rPr>
                <w:noProof/>
                <w:webHidden/>
                <w:sz w:val="24"/>
                <w:szCs w:val="24"/>
              </w:rPr>
            </w:r>
            <w:r w:rsidRPr="00044085">
              <w:rPr>
                <w:noProof/>
                <w:webHidden/>
                <w:sz w:val="24"/>
                <w:szCs w:val="24"/>
              </w:rPr>
              <w:fldChar w:fldCharType="separate"/>
            </w:r>
            <w:r w:rsidR="001417C2">
              <w:rPr>
                <w:noProof/>
                <w:webHidden/>
                <w:sz w:val="24"/>
                <w:szCs w:val="24"/>
              </w:rPr>
              <w:t>12</w:t>
            </w:r>
            <w:r w:rsidRPr="00044085">
              <w:rPr>
                <w:noProof/>
                <w:webHidden/>
                <w:sz w:val="24"/>
                <w:szCs w:val="24"/>
              </w:rPr>
              <w:fldChar w:fldCharType="end"/>
            </w:r>
          </w:hyperlink>
        </w:p>
        <w:p w14:paraId="642BAA62" w14:textId="197BF38A"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6" w:history="1">
            <w:r w:rsidRPr="00044085">
              <w:rPr>
                <w:rStyle w:val="Hyperlink"/>
                <w:noProof/>
                <w:sz w:val="24"/>
                <w:szCs w:val="24"/>
              </w:rPr>
              <w:t>3.3 International and Ethical Considerations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_Toc234689616 \h </w:instrText>
            </w:r>
            <w:r w:rsidRPr="00044085">
              <w:rPr>
                <w:noProof/>
                <w:webHidden/>
                <w:sz w:val="24"/>
                <w:szCs w:val="24"/>
              </w:rPr>
            </w:r>
            <w:r w:rsidRPr="00044085">
              <w:rPr>
                <w:noProof/>
                <w:webHidden/>
                <w:sz w:val="24"/>
                <w:szCs w:val="24"/>
              </w:rPr>
              <w:fldChar w:fldCharType="separate"/>
            </w:r>
            <w:r w:rsidR="001417C2">
              <w:rPr>
                <w:noProof/>
                <w:webHidden/>
                <w:sz w:val="24"/>
                <w:szCs w:val="24"/>
              </w:rPr>
              <w:t>13</w:t>
            </w:r>
            <w:r w:rsidRPr="00044085">
              <w:rPr>
                <w:noProof/>
                <w:webHidden/>
                <w:sz w:val="24"/>
                <w:szCs w:val="24"/>
              </w:rPr>
              <w:fldChar w:fldCharType="end"/>
            </w:r>
          </w:hyperlink>
        </w:p>
        <w:p w14:paraId="7A345EEB" w14:textId="3E9980DE"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17" w:history="1">
            <w:r w:rsidRPr="00044085">
              <w:rPr>
                <w:rStyle w:val="Hyperlink"/>
                <w:noProof/>
                <w:sz w:val="24"/>
                <w:szCs w:val="24"/>
              </w:rPr>
              <w:t>4. Investment Appraisal and Capital Budgeting</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_Toc234689617 \h </w:instrText>
            </w:r>
            <w:r w:rsidRPr="00044085">
              <w:rPr>
                <w:noProof/>
                <w:webHidden/>
                <w:sz w:val="24"/>
                <w:szCs w:val="24"/>
              </w:rPr>
            </w:r>
            <w:r w:rsidRPr="00044085">
              <w:rPr>
                <w:noProof/>
                <w:webHidden/>
                <w:sz w:val="24"/>
                <w:szCs w:val="24"/>
              </w:rPr>
              <w:fldChar w:fldCharType="separate"/>
            </w:r>
            <w:r w:rsidR="001417C2">
              <w:rPr>
                <w:noProof/>
                <w:webHidden/>
                <w:sz w:val="24"/>
                <w:szCs w:val="24"/>
              </w:rPr>
              <w:t>14</w:t>
            </w:r>
            <w:r w:rsidRPr="00044085">
              <w:rPr>
                <w:noProof/>
                <w:webHidden/>
                <w:sz w:val="24"/>
                <w:szCs w:val="24"/>
              </w:rPr>
              <w:fldChar w:fldCharType="end"/>
            </w:r>
          </w:hyperlink>
        </w:p>
        <w:p w14:paraId="462A5E19" w14:textId="4C5A1E97"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8" w:history="1">
            <w:r w:rsidRPr="00044085">
              <w:rPr>
                <w:rStyle w:val="Hyperlink"/>
                <w:noProof/>
                <w:sz w:val="24"/>
                <w:szCs w:val="24"/>
              </w:rPr>
              <w:t>4.1 Investment projects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_Toc234689618 \h </w:instrText>
            </w:r>
            <w:r w:rsidRPr="00044085">
              <w:rPr>
                <w:noProof/>
                <w:webHidden/>
                <w:sz w:val="24"/>
                <w:szCs w:val="24"/>
              </w:rPr>
            </w:r>
            <w:r w:rsidRPr="00044085">
              <w:rPr>
                <w:noProof/>
                <w:webHidden/>
                <w:sz w:val="24"/>
                <w:szCs w:val="24"/>
              </w:rPr>
              <w:fldChar w:fldCharType="separate"/>
            </w:r>
            <w:r w:rsidR="001417C2">
              <w:rPr>
                <w:noProof/>
                <w:webHidden/>
                <w:sz w:val="24"/>
                <w:szCs w:val="24"/>
              </w:rPr>
              <w:t>14</w:t>
            </w:r>
            <w:r w:rsidRPr="00044085">
              <w:rPr>
                <w:noProof/>
                <w:webHidden/>
                <w:sz w:val="24"/>
                <w:szCs w:val="24"/>
              </w:rPr>
              <w:fldChar w:fldCharType="end"/>
            </w:r>
          </w:hyperlink>
        </w:p>
        <w:p w14:paraId="6268C151" w14:textId="1B3619FF"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19" w:history="1">
            <w:r w:rsidRPr="00044085">
              <w:rPr>
                <w:rStyle w:val="Hyperlink"/>
                <w:noProof/>
                <w:sz w:val="24"/>
                <w:szCs w:val="24"/>
              </w:rPr>
              <w:t>4.2 Justification which one is best and align with company’s financial performance and non-financial risks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_Toc234689619 \h </w:instrText>
            </w:r>
            <w:r w:rsidRPr="00044085">
              <w:rPr>
                <w:noProof/>
                <w:webHidden/>
                <w:sz w:val="24"/>
                <w:szCs w:val="24"/>
              </w:rPr>
            </w:r>
            <w:r w:rsidRPr="00044085">
              <w:rPr>
                <w:noProof/>
                <w:webHidden/>
                <w:sz w:val="24"/>
                <w:szCs w:val="24"/>
              </w:rPr>
              <w:fldChar w:fldCharType="separate"/>
            </w:r>
            <w:r w:rsidR="001417C2">
              <w:rPr>
                <w:noProof/>
                <w:webHidden/>
                <w:sz w:val="24"/>
                <w:szCs w:val="24"/>
              </w:rPr>
              <w:t>15</w:t>
            </w:r>
            <w:r w:rsidRPr="00044085">
              <w:rPr>
                <w:noProof/>
                <w:webHidden/>
                <w:sz w:val="24"/>
                <w:szCs w:val="24"/>
              </w:rPr>
              <w:fldChar w:fldCharType="end"/>
            </w:r>
          </w:hyperlink>
        </w:p>
        <w:p w14:paraId="67CD3144" w14:textId="04D8380F"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20" w:history="1">
            <w:r w:rsidRPr="00044085">
              <w:rPr>
                <w:rStyle w:val="Hyperlink"/>
                <w:noProof/>
                <w:sz w:val="24"/>
                <w:szCs w:val="24"/>
              </w:rPr>
              <w:t>4.3 Suggestion by using capital rationing on investing maximum of £100 million</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_Toc234689620 \h </w:instrText>
            </w:r>
            <w:r w:rsidRPr="00044085">
              <w:rPr>
                <w:noProof/>
                <w:webHidden/>
                <w:sz w:val="24"/>
                <w:szCs w:val="24"/>
              </w:rPr>
            </w:r>
            <w:r w:rsidRPr="00044085">
              <w:rPr>
                <w:noProof/>
                <w:webHidden/>
                <w:sz w:val="24"/>
                <w:szCs w:val="24"/>
              </w:rPr>
              <w:fldChar w:fldCharType="separate"/>
            </w:r>
            <w:r w:rsidR="001417C2">
              <w:rPr>
                <w:noProof/>
                <w:webHidden/>
                <w:sz w:val="24"/>
                <w:szCs w:val="24"/>
              </w:rPr>
              <w:t>16</w:t>
            </w:r>
            <w:r w:rsidRPr="00044085">
              <w:rPr>
                <w:noProof/>
                <w:webHidden/>
                <w:sz w:val="24"/>
                <w:szCs w:val="24"/>
              </w:rPr>
              <w:fldChar w:fldCharType="end"/>
            </w:r>
          </w:hyperlink>
        </w:p>
        <w:p w14:paraId="45E7ECAC" w14:textId="5DB7A281"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21" w:history="1">
            <w:r w:rsidRPr="00044085">
              <w:rPr>
                <w:rStyle w:val="Hyperlink"/>
                <w:noProof/>
                <w:sz w:val="24"/>
                <w:szCs w:val="24"/>
              </w:rPr>
              <w:t>5. Critical Reflection on AI Usage</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_Toc234689621 \h </w:instrText>
            </w:r>
            <w:r w:rsidRPr="00044085">
              <w:rPr>
                <w:noProof/>
                <w:webHidden/>
                <w:sz w:val="24"/>
                <w:szCs w:val="24"/>
              </w:rPr>
            </w:r>
            <w:r w:rsidRPr="00044085">
              <w:rPr>
                <w:noProof/>
                <w:webHidden/>
                <w:sz w:val="24"/>
                <w:szCs w:val="24"/>
              </w:rPr>
              <w:fldChar w:fldCharType="separate"/>
            </w:r>
            <w:r w:rsidR="001417C2">
              <w:rPr>
                <w:noProof/>
                <w:webHidden/>
                <w:sz w:val="24"/>
                <w:szCs w:val="24"/>
              </w:rPr>
              <w:t>17</w:t>
            </w:r>
            <w:r w:rsidRPr="00044085">
              <w:rPr>
                <w:noProof/>
                <w:webHidden/>
                <w:sz w:val="24"/>
                <w:szCs w:val="24"/>
              </w:rPr>
              <w:fldChar w:fldCharType="end"/>
            </w:r>
          </w:hyperlink>
        </w:p>
        <w:p w14:paraId="6D6F5CB2" w14:textId="41EAB945"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22" w:history="1">
            <w:r w:rsidRPr="00044085">
              <w:rPr>
                <w:rStyle w:val="Hyperlink"/>
                <w:noProof/>
                <w:sz w:val="24"/>
                <w:szCs w:val="24"/>
              </w:rPr>
              <w:t>5.1. Tool Disclosure</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_Toc234689622 \h </w:instrText>
            </w:r>
            <w:r w:rsidRPr="00044085">
              <w:rPr>
                <w:noProof/>
                <w:webHidden/>
                <w:sz w:val="24"/>
                <w:szCs w:val="24"/>
              </w:rPr>
            </w:r>
            <w:r w:rsidRPr="00044085">
              <w:rPr>
                <w:noProof/>
                <w:webHidden/>
                <w:sz w:val="24"/>
                <w:szCs w:val="24"/>
              </w:rPr>
              <w:fldChar w:fldCharType="separate"/>
            </w:r>
            <w:r w:rsidR="001417C2">
              <w:rPr>
                <w:noProof/>
                <w:webHidden/>
                <w:sz w:val="24"/>
                <w:szCs w:val="24"/>
              </w:rPr>
              <w:t>17</w:t>
            </w:r>
            <w:r w:rsidRPr="00044085">
              <w:rPr>
                <w:noProof/>
                <w:webHidden/>
                <w:sz w:val="24"/>
                <w:szCs w:val="24"/>
              </w:rPr>
              <w:fldChar w:fldCharType="end"/>
            </w:r>
          </w:hyperlink>
        </w:p>
        <w:p w14:paraId="64440D2D" w14:textId="7770FD61"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23" w:history="1">
            <w:r w:rsidRPr="00044085">
              <w:rPr>
                <w:rStyle w:val="Hyperlink"/>
                <w:noProof/>
                <w:sz w:val="24"/>
                <w:szCs w:val="24"/>
              </w:rPr>
              <w:t>5.2 Critical Evaluation of AI Output</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_Toc234689623 \h </w:instrText>
            </w:r>
            <w:r w:rsidRPr="00044085">
              <w:rPr>
                <w:noProof/>
                <w:webHidden/>
                <w:sz w:val="24"/>
                <w:szCs w:val="24"/>
              </w:rPr>
            </w:r>
            <w:r w:rsidRPr="00044085">
              <w:rPr>
                <w:noProof/>
                <w:webHidden/>
                <w:sz w:val="24"/>
                <w:szCs w:val="24"/>
              </w:rPr>
              <w:fldChar w:fldCharType="separate"/>
            </w:r>
            <w:r w:rsidR="001417C2">
              <w:rPr>
                <w:noProof/>
                <w:webHidden/>
                <w:sz w:val="24"/>
                <w:szCs w:val="24"/>
              </w:rPr>
              <w:t>18</w:t>
            </w:r>
            <w:r w:rsidRPr="00044085">
              <w:rPr>
                <w:noProof/>
                <w:webHidden/>
                <w:sz w:val="24"/>
                <w:szCs w:val="24"/>
              </w:rPr>
              <w:fldChar w:fldCharType="end"/>
            </w:r>
          </w:hyperlink>
        </w:p>
        <w:p w14:paraId="21BA6292" w14:textId="002DA837"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24" w:history="1">
            <w:r w:rsidRPr="00044085">
              <w:rPr>
                <w:rStyle w:val="Hyperlink"/>
                <w:noProof/>
                <w:sz w:val="24"/>
                <w:szCs w:val="24"/>
              </w:rPr>
              <w:t>5.3 Contribution Analysis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_Toc234689624 \h </w:instrText>
            </w:r>
            <w:r w:rsidRPr="00044085">
              <w:rPr>
                <w:noProof/>
                <w:webHidden/>
                <w:sz w:val="24"/>
                <w:szCs w:val="24"/>
              </w:rPr>
            </w:r>
            <w:r w:rsidRPr="00044085">
              <w:rPr>
                <w:noProof/>
                <w:webHidden/>
                <w:sz w:val="24"/>
                <w:szCs w:val="24"/>
              </w:rPr>
              <w:fldChar w:fldCharType="separate"/>
            </w:r>
            <w:r w:rsidR="001417C2">
              <w:rPr>
                <w:noProof/>
                <w:webHidden/>
                <w:sz w:val="24"/>
                <w:szCs w:val="24"/>
              </w:rPr>
              <w:t>18</w:t>
            </w:r>
            <w:r w:rsidRPr="00044085">
              <w:rPr>
                <w:noProof/>
                <w:webHidden/>
                <w:sz w:val="24"/>
                <w:szCs w:val="24"/>
              </w:rPr>
              <w:fldChar w:fldCharType="end"/>
            </w:r>
          </w:hyperlink>
        </w:p>
        <w:p w14:paraId="0664521C" w14:textId="3E806DC1"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25" w:history="1">
            <w:r w:rsidRPr="00044085">
              <w:rPr>
                <w:rStyle w:val="Hyperlink"/>
                <w:noProof/>
                <w:sz w:val="24"/>
                <w:szCs w:val="24"/>
              </w:rPr>
              <w:t>5.4. Ethical &amp; Professional Reflection:</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_Toc234689625 \h </w:instrText>
            </w:r>
            <w:r w:rsidRPr="00044085">
              <w:rPr>
                <w:noProof/>
                <w:webHidden/>
                <w:sz w:val="24"/>
                <w:szCs w:val="24"/>
              </w:rPr>
            </w:r>
            <w:r w:rsidRPr="00044085">
              <w:rPr>
                <w:noProof/>
                <w:webHidden/>
                <w:sz w:val="24"/>
                <w:szCs w:val="24"/>
              </w:rPr>
              <w:fldChar w:fldCharType="separate"/>
            </w:r>
            <w:r w:rsidR="001417C2">
              <w:rPr>
                <w:noProof/>
                <w:webHidden/>
                <w:sz w:val="24"/>
                <w:szCs w:val="24"/>
              </w:rPr>
              <w:t>19</w:t>
            </w:r>
            <w:r w:rsidRPr="00044085">
              <w:rPr>
                <w:noProof/>
                <w:webHidden/>
                <w:sz w:val="24"/>
                <w:szCs w:val="24"/>
              </w:rPr>
              <w:fldChar w:fldCharType="end"/>
            </w:r>
          </w:hyperlink>
        </w:p>
        <w:p w14:paraId="51AEB232" w14:textId="63F8BC27"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26" w:history="1">
            <w:r w:rsidRPr="00044085">
              <w:rPr>
                <w:rStyle w:val="Hyperlink"/>
                <w:noProof/>
                <w:sz w:val="24"/>
                <w:szCs w:val="24"/>
              </w:rPr>
              <w:t>Conclusion</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_Toc234689626 \h </w:instrText>
            </w:r>
            <w:r w:rsidRPr="00044085">
              <w:rPr>
                <w:noProof/>
                <w:webHidden/>
                <w:sz w:val="24"/>
                <w:szCs w:val="24"/>
              </w:rPr>
            </w:r>
            <w:r w:rsidRPr="00044085">
              <w:rPr>
                <w:noProof/>
                <w:webHidden/>
                <w:sz w:val="24"/>
                <w:szCs w:val="24"/>
              </w:rPr>
              <w:fldChar w:fldCharType="separate"/>
            </w:r>
            <w:r w:rsidR="001417C2">
              <w:rPr>
                <w:noProof/>
                <w:webHidden/>
                <w:sz w:val="24"/>
                <w:szCs w:val="24"/>
              </w:rPr>
              <w:t>19</w:t>
            </w:r>
            <w:r w:rsidRPr="00044085">
              <w:rPr>
                <w:noProof/>
                <w:webHidden/>
                <w:sz w:val="24"/>
                <w:szCs w:val="24"/>
              </w:rPr>
              <w:fldChar w:fldCharType="end"/>
            </w:r>
          </w:hyperlink>
        </w:p>
        <w:p w14:paraId="35F70095" w14:textId="217A296E"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27" w:history="1">
            <w:r w:rsidRPr="00044085">
              <w:rPr>
                <w:rStyle w:val="Hyperlink"/>
                <w:noProof/>
                <w:sz w:val="24"/>
                <w:szCs w:val="24"/>
              </w:rPr>
              <w:t>References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_Toc234689627 \h </w:instrText>
            </w:r>
            <w:r w:rsidRPr="00044085">
              <w:rPr>
                <w:noProof/>
                <w:webHidden/>
                <w:sz w:val="24"/>
                <w:szCs w:val="24"/>
              </w:rPr>
            </w:r>
            <w:r w:rsidRPr="00044085">
              <w:rPr>
                <w:noProof/>
                <w:webHidden/>
                <w:sz w:val="24"/>
                <w:szCs w:val="24"/>
              </w:rPr>
              <w:fldChar w:fldCharType="separate"/>
            </w:r>
            <w:r w:rsidR="001417C2">
              <w:rPr>
                <w:noProof/>
                <w:webHidden/>
                <w:sz w:val="24"/>
                <w:szCs w:val="24"/>
              </w:rPr>
              <w:t>20</w:t>
            </w:r>
            <w:r w:rsidRPr="00044085">
              <w:rPr>
                <w:noProof/>
                <w:webHidden/>
                <w:sz w:val="24"/>
                <w:szCs w:val="24"/>
              </w:rPr>
              <w:fldChar w:fldCharType="end"/>
            </w:r>
          </w:hyperlink>
        </w:p>
        <w:p w14:paraId="5FDE147E" w14:textId="59E69E19" w:rsidR="00044085" w:rsidRPr="00044085" w:rsidRDefault="00044085" w:rsidP="001417C2">
          <w:pPr>
            <w:pStyle w:val="TOC1"/>
            <w:tabs>
              <w:tab w:val="right" w:leader="dot" w:pos="9019"/>
            </w:tabs>
            <w:spacing w:line="240" w:lineRule="auto"/>
            <w:jc w:val="both"/>
            <w:rPr>
              <w:rFonts w:eastAsiaTheme="minorEastAsia"/>
              <w:noProof/>
              <w:sz w:val="24"/>
              <w:szCs w:val="24"/>
              <w:lang w:val="en-US"/>
            </w:rPr>
          </w:pPr>
          <w:hyperlink w:anchor="_Toc234689628" w:history="1">
            <w:r w:rsidRPr="00044085">
              <w:rPr>
                <w:rStyle w:val="Hyperlink"/>
                <w:noProof/>
                <w:sz w:val="24"/>
                <w:szCs w:val="24"/>
              </w:rPr>
              <w:t>Appendices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_Toc234689628 \h </w:instrText>
            </w:r>
            <w:r w:rsidRPr="00044085">
              <w:rPr>
                <w:noProof/>
                <w:webHidden/>
                <w:sz w:val="24"/>
                <w:szCs w:val="24"/>
              </w:rPr>
            </w:r>
            <w:r w:rsidRPr="00044085">
              <w:rPr>
                <w:noProof/>
                <w:webHidden/>
                <w:sz w:val="24"/>
                <w:szCs w:val="24"/>
              </w:rPr>
              <w:fldChar w:fldCharType="separate"/>
            </w:r>
            <w:r w:rsidR="001417C2">
              <w:rPr>
                <w:noProof/>
                <w:webHidden/>
                <w:sz w:val="24"/>
                <w:szCs w:val="24"/>
              </w:rPr>
              <w:t>24</w:t>
            </w:r>
            <w:r w:rsidRPr="00044085">
              <w:rPr>
                <w:noProof/>
                <w:webHidden/>
                <w:sz w:val="24"/>
                <w:szCs w:val="24"/>
              </w:rPr>
              <w:fldChar w:fldCharType="end"/>
            </w:r>
          </w:hyperlink>
        </w:p>
        <w:p w14:paraId="65C500BC" w14:textId="25F1C232"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29" w:history="1">
            <w:r w:rsidRPr="00044085">
              <w:rPr>
                <w:rStyle w:val="Hyperlink"/>
                <w:noProof/>
                <w:sz w:val="24"/>
                <w:szCs w:val="24"/>
              </w:rPr>
              <w:t>Appendix A: Ratio Tables and Graphs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_Toc234689629 \h </w:instrText>
            </w:r>
            <w:r w:rsidRPr="00044085">
              <w:rPr>
                <w:noProof/>
                <w:webHidden/>
                <w:sz w:val="24"/>
                <w:szCs w:val="24"/>
              </w:rPr>
            </w:r>
            <w:r w:rsidRPr="00044085">
              <w:rPr>
                <w:noProof/>
                <w:webHidden/>
                <w:sz w:val="24"/>
                <w:szCs w:val="24"/>
              </w:rPr>
              <w:fldChar w:fldCharType="separate"/>
            </w:r>
            <w:r w:rsidR="001417C2">
              <w:rPr>
                <w:noProof/>
                <w:webHidden/>
                <w:sz w:val="24"/>
                <w:szCs w:val="24"/>
              </w:rPr>
              <w:t>24</w:t>
            </w:r>
            <w:r w:rsidRPr="00044085">
              <w:rPr>
                <w:noProof/>
                <w:webHidden/>
                <w:sz w:val="24"/>
                <w:szCs w:val="24"/>
              </w:rPr>
              <w:fldChar w:fldCharType="end"/>
            </w:r>
          </w:hyperlink>
        </w:p>
        <w:p w14:paraId="51BA19C4" w14:textId="7867663E" w:rsidR="00044085" w:rsidRPr="00044085" w:rsidRDefault="00044085" w:rsidP="001417C2">
          <w:pPr>
            <w:pStyle w:val="TOC2"/>
            <w:tabs>
              <w:tab w:val="right" w:leader="dot" w:pos="9019"/>
            </w:tabs>
            <w:spacing w:line="240" w:lineRule="auto"/>
            <w:jc w:val="both"/>
            <w:rPr>
              <w:rFonts w:eastAsiaTheme="minorEastAsia"/>
              <w:noProof/>
              <w:sz w:val="24"/>
              <w:szCs w:val="24"/>
              <w:lang w:val="en-US"/>
            </w:rPr>
          </w:pPr>
          <w:hyperlink w:anchor="_Toc234689630" w:history="1">
            <w:r w:rsidRPr="00044085">
              <w:rPr>
                <w:rStyle w:val="Hyperlink"/>
                <w:noProof/>
                <w:sz w:val="24"/>
                <w:szCs w:val="24"/>
              </w:rPr>
              <w:t>Appendix B: Investment appraisal calculations</w:t>
            </w:r>
            <w:r w:rsidRPr="00044085">
              <w:rPr>
                <w:noProof/>
                <w:webHidden/>
                <w:sz w:val="24"/>
                <w:szCs w:val="24"/>
              </w:rPr>
              <w:tab/>
            </w:r>
            <w:r w:rsidRPr="00044085">
              <w:rPr>
                <w:noProof/>
                <w:webHidden/>
                <w:sz w:val="24"/>
                <w:szCs w:val="24"/>
              </w:rPr>
              <w:fldChar w:fldCharType="begin"/>
            </w:r>
            <w:r w:rsidRPr="00044085">
              <w:rPr>
                <w:noProof/>
                <w:webHidden/>
                <w:sz w:val="24"/>
                <w:szCs w:val="24"/>
              </w:rPr>
              <w:instrText xml:space="preserve"> PAGEREF _Toc234689630 \h </w:instrText>
            </w:r>
            <w:r w:rsidRPr="00044085">
              <w:rPr>
                <w:noProof/>
                <w:webHidden/>
                <w:sz w:val="24"/>
                <w:szCs w:val="24"/>
              </w:rPr>
            </w:r>
            <w:r w:rsidRPr="00044085">
              <w:rPr>
                <w:noProof/>
                <w:webHidden/>
                <w:sz w:val="24"/>
                <w:szCs w:val="24"/>
              </w:rPr>
              <w:fldChar w:fldCharType="separate"/>
            </w:r>
            <w:r w:rsidR="001417C2">
              <w:rPr>
                <w:noProof/>
                <w:webHidden/>
                <w:sz w:val="24"/>
                <w:szCs w:val="24"/>
              </w:rPr>
              <w:t>28</w:t>
            </w:r>
            <w:r w:rsidRPr="00044085">
              <w:rPr>
                <w:noProof/>
                <w:webHidden/>
                <w:sz w:val="24"/>
                <w:szCs w:val="24"/>
              </w:rPr>
              <w:fldChar w:fldCharType="end"/>
            </w:r>
          </w:hyperlink>
        </w:p>
        <w:p w14:paraId="3A9622E2" w14:textId="67AB5DCB" w:rsidR="00044085" w:rsidRDefault="00044085" w:rsidP="001417C2">
          <w:pPr>
            <w:spacing w:line="240" w:lineRule="auto"/>
            <w:jc w:val="both"/>
          </w:pPr>
          <w:r w:rsidRPr="00044085">
            <w:rPr>
              <w:b/>
              <w:bCs/>
              <w:noProof/>
              <w:sz w:val="24"/>
              <w:szCs w:val="24"/>
            </w:rPr>
            <w:fldChar w:fldCharType="end"/>
          </w:r>
        </w:p>
      </w:sdtContent>
    </w:sdt>
    <w:p w14:paraId="0DD9AC60" w14:textId="77777777" w:rsidR="00044085" w:rsidRDefault="00044085">
      <w:pPr>
        <w:rPr>
          <w:b/>
          <w:sz w:val="28"/>
          <w:szCs w:val="40"/>
        </w:rPr>
      </w:pPr>
      <w:r>
        <w:br w:type="page"/>
      </w:r>
    </w:p>
    <w:p w14:paraId="4D6B498A" w14:textId="6616A58B" w:rsidR="00401998" w:rsidRPr="00044085" w:rsidRDefault="005A0314" w:rsidP="00FE53F0">
      <w:pPr>
        <w:pStyle w:val="Heading1"/>
      </w:pPr>
      <w:bookmarkStart w:id="1" w:name="_Toc234689603"/>
      <w:r w:rsidRPr="00044085">
        <w:lastRenderedPageBreak/>
        <w:t>Introduction</w:t>
      </w:r>
      <w:bookmarkEnd w:id="0"/>
      <w:bookmarkEnd w:id="1"/>
    </w:p>
    <w:p w14:paraId="27F11B23" w14:textId="3E1984FA"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Choice Hotels International is a leading global hospitality company, based in Maryland in the US, with an asset-light franchise business for over 7000 hotel brands (Choice Hotels, 2026). The purpose of this report is to evaluate the firm’s performance for the last five years financially. Different financial management tools are utilized to comment on the financial position of the firm. The report explores various topics like financial statements, ratio performance, and managing working capital.  It also recommends the most suitable investment project for capital rationing while taking into account international financial risks and ethical issues. </w:t>
      </w:r>
    </w:p>
    <w:p w14:paraId="67AAC5AF" w14:textId="77777777" w:rsidR="00401998" w:rsidRPr="00044085" w:rsidRDefault="005A0314" w:rsidP="00FE53F0">
      <w:pPr>
        <w:pStyle w:val="Heading1"/>
      </w:pPr>
      <w:bookmarkStart w:id="2" w:name="_Toc234686405"/>
      <w:bookmarkStart w:id="3" w:name="_Toc234689604"/>
      <w:r w:rsidRPr="00044085">
        <w:t>1. Financial Health Check</w:t>
      </w:r>
      <w:bookmarkEnd w:id="2"/>
      <w:bookmarkEnd w:id="3"/>
    </w:p>
    <w:p w14:paraId="1D6EBEB7" w14:textId="77777777" w:rsidR="00401998" w:rsidRPr="00044085" w:rsidRDefault="005A0314" w:rsidP="00FE53F0">
      <w:pPr>
        <w:pStyle w:val="Heading2"/>
      </w:pPr>
      <w:bookmarkStart w:id="4" w:name="_Toc234686406"/>
      <w:bookmarkStart w:id="5" w:name="_Toc234689605"/>
      <w:r w:rsidRPr="00044085">
        <w:t>1.1 Analysis financial statements</w:t>
      </w:r>
      <w:bookmarkEnd w:id="4"/>
      <w:bookmarkEnd w:id="5"/>
    </w:p>
    <w:p w14:paraId="3C973AC9" w14:textId="487034B4" w:rsidR="00401998" w:rsidRPr="00044085" w:rsidRDefault="001E144B">
      <w:pPr>
        <w:spacing w:after="200" w:line="360" w:lineRule="auto"/>
        <w:jc w:val="both"/>
        <w:rPr>
          <w:rFonts w:eastAsia="Times New Roman"/>
          <w:sz w:val="24"/>
          <w:szCs w:val="24"/>
        </w:rPr>
      </w:pPr>
      <w:r w:rsidRPr="00044085">
        <w:rPr>
          <w:rFonts w:eastAsia="Times New Roman"/>
          <w:sz w:val="24"/>
          <w:szCs w:val="24"/>
        </w:rPr>
        <w:t>Showcasing resilience in effective execution of its growth strategy highlight the Choice Hotels International showing strong financial performance in 2025 (Choice Hotels, 2026). The company reported net income of $369.9 million (a significant increase in profit) with diluted earnings per share (EPS) of $7.90 (an increased return for shareholders (Choice Hotels, 2026). The firm’s adjusted EBITDA also grew to a record $625.6 million which shows that it is efficient at producing cash.</w:t>
      </w:r>
    </w:p>
    <w:p w14:paraId="10B715BA"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Operational success was equally worthwhile. Worldwide hotel openings increased by 14 per cent to 440 hotels backed by a 42 per cent increase in openings in Q4 reflecting strong development momentum (Finance Yahoo, 2026). Moreover, international net rooms increased by 12.5% owing to an increase of 82% in hotel openings which increased the international system to nearly 160,000 rooms (Choice Hotels, 2026).  The successful international expansion and diversification away from the domestic market of the company.</w:t>
      </w:r>
    </w:p>
    <w:p w14:paraId="5AC938D7" w14:textId="77777777" w:rsidR="00401998" w:rsidRPr="00044085" w:rsidRDefault="005A0314" w:rsidP="00FE53F0">
      <w:pPr>
        <w:spacing w:after="200" w:line="360" w:lineRule="auto"/>
        <w:jc w:val="center"/>
        <w:rPr>
          <w:rFonts w:eastAsia="Times New Roman"/>
          <w:sz w:val="24"/>
          <w:szCs w:val="24"/>
        </w:rPr>
      </w:pPr>
      <w:r w:rsidRPr="00044085">
        <w:rPr>
          <w:rFonts w:eastAsia="Times New Roman"/>
          <w:noProof/>
          <w:sz w:val="24"/>
          <w:szCs w:val="24"/>
        </w:rPr>
        <w:lastRenderedPageBreak/>
        <w:drawing>
          <wp:inline distT="114300" distB="114300" distL="114300" distR="114300" wp14:anchorId="44CDDC9C" wp14:editId="45A9D859">
            <wp:extent cx="5481493" cy="2813132"/>
            <wp:effectExtent l="76200" t="76200" r="138430" b="139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84792" cy="2814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9679C0" w14:textId="1099D22D" w:rsidR="00401998" w:rsidRPr="00044085" w:rsidRDefault="005A0314" w:rsidP="00FE53F0">
      <w:pPr>
        <w:spacing w:after="200" w:line="360" w:lineRule="auto"/>
        <w:jc w:val="center"/>
        <w:rPr>
          <w:rFonts w:eastAsia="Times New Roman"/>
          <w:b/>
          <w:bCs/>
          <w:sz w:val="24"/>
          <w:szCs w:val="24"/>
        </w:rPr>
      </w:pPr>
      <w:r w:rsidRPr="00044085">
        <w:rPr>
          <w:rFonts w:eastAsia="Times New Roman"/>
          <w:b/>
          <w:bCs/>
          <w:sz w:val="24"/>
          <w:szCs w:val="24"/>
        </w:rPr>
        <w:t>Figure 1: Graph of Choice Hotels International, Inc. (CHH) f</w:t>
      </w:r>
      <w:r w:rsidR="00044085" w:rsidRPr="00044085">
        <w:rPr>
          <w:rFonts w:eastAsia="Times New Roman"/>
          <w:b/>
          <w:bCs/>
          <w:sz w:val="24"/>
          <w:szCs w:val="24"/>
        </w:rPr>
        <w:t>o</w:t>
      </w:r>
      <w:r w:rsidRPr="00044085">
        <w:rPr>
          <w:rFonts w:eastAsia="Times New Roman"/>
          <w:b/>
          <w:bCs/>
          <w:sz w:val="24"/>
          <w:szCs w:val="24"/>
        </w:rPr>
        <w:t>r 5 year</w:t>
      </w:r>
    </w:p>
    <w:p w14:paraId="4BC9BF4C" w14:textId="77777777" w:rsidR="00401998" w:rsidRPr="00044085" w:rsidRDefault="005A0314" w:rsidP="00FE53F0">
      <w:pPr>
        <w:spacing w:after="200" w:line="360" w:lineRule="auto"/>
        <w:jc w:val="center"/>
        <w:rPr>
          <w:rFonts w:eastAsia="Times New Roman"/>
          <w:sz w:val="24"/>
          <w:szCs w:val="24"/>
        </w:rPr>
      </w:pPr>
      <w:r w:rsidRPr="00044085">
        <w:rPr>
          <w:rFonts w:eastAsia="Times New Roman"/>
          <w:sz w:val="24"/>
          <w:szCs w:val="24"/>
        </w:rPr>
        <w:t>(Source: Finance Yahoo, 2026)</w:t>
      </w:r>
    </w:p>
    <w:p w14:paraId="15BCACE4"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The company has also upgraded its outlook for future growth, as the number of global franchise agreements awarded increased by 22% YoY and the U.S. conversion room pipeline was 7% larger YoY. Also, Choice Hotels’ leading position in the U.S. extended-stay segment was reinforced through net room growth of 11.7%.</w:t>
      </w:r>
    </w:p>
    <w:p w14:paraId="024157FC"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Management lowered its 2026 net income guidance to $265-275 million, while the $632-647 million adjusted EBITDA suggests there has been no damage to the strategy of building long-term value.</w:t>
      </w:r>
    </w:p>
    <w:p w14:paraId="1FD91805" w14:textId="77777777" w:rsidR="00401998" w:rsidRPr="00044085" w:rsidRDefault="005A0314" w:rsidP="00FE53F0">
      <w:pPr>
        <w:pStyle w:val="Heading2"/>
      </w:pPr>
      <w:bookmarkStart w:id="6" w:name="_Toc234686407"/>
      <w:bookmarkStart w:id="7" w:name="_Toc234689606"/>
      <w:r w:rsidRPr="00044085">
        <w:t>1.2 Ratio Analysis</w:t>
      </w:r>
      <w:bookmarkEnd w:id="6"/>
      <w:bookmarkEnd w:id="7"/>
    </w:p>
    <w:p w14:paraId="667B3781"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Profitability Ratios</w:t>
      </w:r>
    </w:p>
    <w:p w14:paraId="200D4FD8" w14:textId="46EC912A"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Choice Hotels saw its profitability improve consistently in the years to come with their gross profit margin climbing from 38.8% to 55.7% in that period between 2021 and 2025 </w:t>
      </w:r>
      <w:r w:rsidRPr="00044085">
        <w:rPr>
          <w:rFonts w:eastAsia="Times New Roman"/>
          <w:b/>
          <w:bCs/>
          <w:i/>
          <w:iCs/>
          <w:sz w:val="24"/>
          <w:szCs w:val="24"/>
        </w:rPr>
        <w:t>[Refers to Appendix A]</w:t>
      </w:r>
      <w:r w:rsidRPr="00044085">
        <w:rPr>
          <w:rFonts w:eastAsia="Times New Roman"/>
          <w:sz w:val="24"/>
          <w:szCs w:val="24"/>
        </w:rPr>
        <w:t xml:space="preserve">. Likewise, there was an increase in net profit margin from the previous 15.8% to the current 23.2% while return on assets went up from 10.0% to 12.7%. This shows more efficient use of assets to generate earnings.  </w:t>
      </w:r>
      <w:r w:rsidR="001E144B" w:rsidRPr="00044085">
        <w:rPr>
          <w:rFonts w:eastAsia="Times New Roman"/>
          <w:sz w:val="24"/>
          <w:szCs w:val="24"/>
        </w:rPr>
        <w:t>EBITDA margin of about 32% maintain the o</w:t>
      </w:r>
      <w:r w:rsidRPr="00044085">
        <w:rPr>
          <w:rFonts w:eastAsia="Times New Roman"/>
          <w:sz w:val="24"/>
          <w:szCs w:val="24"/>
        </w:rPr>
        <w:t>perating efficiency</w:t>
      </w:r>
      <w:r w:rsidR="001E144B" w:rsidRPr="00044085">
        <w:rPr>
          <w:rFonts w:eastAsia="Times New Roman"/>
          <w:sz w:val="24"/>
          <w:szCs w:val="24"/>
        </w:rPr>
        <w:t xml:space="preserve"> of the company which lead to improve the system which</w:t>
      </w:r>
      <w:r w:rsidRPr="00044085">
        <w:rPr>
          <w:rFonts w:eastAsia="Times New Roman"/>
          <w:sz w:val="24"/>
          <w:szCs w:val="24"/>
        </w:rPr>
        <w:t xml:space="preserve"> remained strong, with </w:t>
      </w:r>
      <w:r w:rsidR="001E144B" w:rsidRPr="00044085">
        <w:rPr>
          <w:rFonts w:eastAsia="Times New Roman"/>
          <w:sz w:val="24"/>
          <w:szCs w:val="24"/>
        </w:rPr>
        <w:t>this system</w:t>
      </w:r>
      <w:r w:rsidRPr="00044085">
        <w:rPr>
          <w:rFonts w:eastAsia="Times New Roman"/>
          <w:sz w:val="24"/>
          <w:szCs w:val="24"/>
        </w:rPr>
        <w:t xml:space="preserve">. </w:t>
      </w:r>
      <w:r w:rsidR="001E144B" w:rsidRPr="00044085">
        <w:rPr>
          <w:rFonts w:eastAsia="Times New Roman"/>
          <w:sz w:val="24"/>
          <w:szCs w:val="24"/>
        </w:rPr>
        <w:t xml:space="preserve">But it improved </w:t>
      </w:r>
      <w:r w:rsidR="001E144B" w:rsidRPr="00044085">
        <w:rPr>
          <w:rFonts w:eastAsia="Times New Roman"/>
          <w:sz w:val="24"/>
          <w:szCs w:val="24"/>
        </w:rPr>
        <w:lastRenderedPageBreak/>
        <w:t xml:space="preserve">to 204.1% in 2025 which </w:t>
      </w:r>
      <w:r w:rsidR="00044085">
        <w:rPr>
          <w:rFonts w:eastAsia="Times New Roman"/>
          <w:sz w:val="24"/>
          <w:szCs w:val="24"/>
        </w:rPr>
        <w:t>demonstrate</w:t>
      </w:r>
      <w:r w:rsidR="001E144B" w:rsidRPr="00044085">
        <w:rPr>
          <w:rFonts w:eastAsia="Times New Roman"/>
          <w:sz w:val="24"/>
          <w:szCs w:val="24"/>
        </w:rPr>
        <w:t xml:space="preserve"> the </w:t>
      </w:r>
      <w:r w:rsidRPr="00044085">
        <w:rPr>
          <w:rFonts w:eastAsia="Times New Roman"/>
          <w:sz w:val="24"/>
          <w:szCs w:val="24"/>
        </w:rPr>
        <w:t xml:space="preserve">Return on equity fell </w:t>
      </w:r>
      <w:r w:rsidR="001E144B" w:rsidRPr="00044085">
        <w:rPr>
          <w:rFonts w:eastAsia="Times New Roman"/>
          <w:sz w:val="24"/>
          <w:szCs w:val="24"/>
        </w:rPr>
        <w:t>across</w:t>
      </w:r>
      <w:r w:rsidRPr="00044085">
        <w:rPr>
          <w:rFonts w:eastAsia="Times New Roman"/>
          <w:sz w:val="24"/>
          <w:szCs w:val="24"/>
        </w:rPr>
        <w:t xml:space="preserve"> the negative territory in 2024. </w:t>
      </w:r>
      <w:r w:rsidR="001E144B" w:rsidRPr="00044085">
        <w:rPr>
          <w:rFonts w:eastAsia="Times New Roman"/>
          <w:sz w:val="24"/>
          <w:szCs w:val="24"/>
        </w:rPr>
        <w:t xml:space="preserve">Global hotel brands like Marriott International </w:t>
      </w:r>
      <w:r w:rsidRPr="00044085">
        <w:rPr>
          <w:rFonts w:eastAsia="Times New Roman"/>
          <w:sz w:val="24"/>
          <w:szCs w:val="24"/>
        </w:rPr>
        <w:t xml:space="preserve">profitability improvements have been achieved by asset franchising </w:t>
      </w:r>
      <w:r w:rsidR="001E144B" w:rsidRPr="00044085">
        <w:rPr>
          <w:rFonts w:eastAsia="Times New Roman"/>
          <w:sz w:val="24"/>
          <w:szCs w:val="24"/>
        </w:rPr>
        <w:t>which led to highlight the</w:t>
      </w:r>
      <w:r w:rsidRPr="00044085">
        <w:rPr>
          <w:rFonts w:eastAsia="Times New Roman"/>
          <w:sz w:val="24"/>
          <w:szCs w:val="24"/>
        </w:rPr>
        <w:t xml:space="preserve"> international expansion strategies.</w:t>
      </w:r>
    </w:p>
    <w:p w14:paraId="39BCCE3C"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Liquidity Ratios</w:t>
      </w:r>
    </w:p>
    <w:p w14:paraId="1B40B98D" w14:textId="4F816CEA" w:rsidR="00401998" w:rsidRPr="00044085" w:rsidRDefault="005A0314">
      <w:pPr>
        <w:spacing w:after="200" w:line="360" w:lineRule="auto"/>
        <w:jc w:val="both"/>
        <w:rPr>
          <w:rFonts w:eastAsia="Times New Roman"/>
          <w:sz w:val="24"/>
          <w:szCs w:val="24"/>
        </w:rPr>
      </w:pPr>
      <w:r w:rsidRPr="00044085">
        <w:rPr>
          <w:rFonts w:eastAsia="Times New Roman"/>
          <w:sz w:val="24"/>
          <w:szCs w:val="24"/>
        </w:rPr>
        <w:t>Choice Hotels' liquidity position</w:t>
      </w:r>
      <w:r w:rsidR="001E144B" w:rsidRPr="00044085">
        <w:rPr>
          <w:rFonts w:eastAsia="Times New Roman"/>
          <w:sz w:val="24"/>
          <w:szCs w:val="24"/>
        </w:rPr>
        <w:t xml:space="preserve"> highlights a good position in overall years which lead to improve their overall performance</w:t>
      </w:r>
      <w:r w:rsidRPr="00044085">
        <w:rPr>
          <w:rFonts w:eastAsia="Times New Roman"/>
          <w:sz w:val="24"/>
          <w:szCs w:val="24"/>
        </w:rPr>
        <w:t xml:space="preserve">.  The current ratio </w:t>
      </w:r>
      <w:r w:rsidR="001E144B" w:rsidRPr="00044085">
        <w:rPr>
          <w:rFonts w:eastAsia="Times New Roman"/>
          <w:sz w:val="24"/>
          <w:szCs w:val="24"/>
        </w:rPr>
        <w:t>indicates enhancement in the capacity of the organization which is</w:t>
      </w:r>
      <w:r w:rsidRPr="00044085">
        <w:rPr>
          <w:rFonts w:eastAsia="Times New Roman"/>
          <w:sz w:val="24"/>
          <w:szCs w:val="24"/>
        </w:rPr>
        <w:t xml:space="preserve"> 0.67 in 2021 </w:t>
      </w:r>
      <w:r w:rsidR="001E144B" w:rsidRPr="00044085">
        <w:rPr>
          <w:rFonts w:eastAsia="Times New Roman"/>
          <w:sz w:val="24"/>
          <w:szCs w:val="24"/>
        </w:rPr>
        <w:t>that</w:t>
      </w:r>
      <w:r w:rsidRPr="00044085">
        <w:rPr>
          <w:rFonts w:eastAsia="Times New Roman"/>
          <w:sz w:val="24"/>
          <w:szCs w:val="24"/>
        </w:rPr>
        <w:t xml:space="preserve"> improved to 0.87 in 2025</w:t>
      </w:r>
      <w:r w:rsidR="001E144B" w:rsidRPr="00044085">
        <w:rPr>
          <w:rFonts w:eastAsia="Times New Roman"/>
          <w:sz w:val="24"/>
          <w:szCs w:val="24"/>
        </w:rPr>
        <w:t xml:space="preserve"> helps </w:t>
      </w:r>
      <w:r w:rsidRPr="00044085">
        <w:rPr>
          <w:rFonts w:eastAsia="Times New Roman"/>
          <w:sz w:val="24"/>
          <w:szCs w:val="24"/>
        </w:rPr>
        <w:t xml:space="preserve">to meet short-term liabilities though conventional standard of 1.0 </w:t>
      </w:r>
      <w:r w:rsidRPr="00044085">
        <w:rPr>
          <w:rFonts w:eastAsia="Times New Roman"/>
          <w:b/>
          <w:bCs/>
          <w:i/>
          <w:iCs/>
          <w:sz w:val="24"/>
          <w:szCs w:val="24"/>
        </w:rPr>
        <w:t>[Refers to Appendix A]</w:t>
      </w:r>
      <w:r w:rsidRPr="00044085">
        <w:rPr>
          <w:rFonts w:eastAsia="Times New Roman"/>
          <w:sz w:val="24"/>
          <w:szCs w:val="24"/>
        </w:rPr>
        <w:t xml:space="preserve">. </w:t>
      </w:r>
      <w:r w:rsidR="001E144B" w:rsidRPr="00044085">
        <w:rPr>
          <w:rFonts w:eastAsia="Times New Roman"/>
          <w:sz w:val="24"/>
          <w:szCs w:val="24"/>
        </w:rPr>
        <w:t xml:space="preserve">Demonstrating a higher proportion of cash to settle immediate obligations lead to </w:t>
      </w:r>
      <w:r w:rsidR="00044085">
        <w:rPr>
          <w:rFonts w:eastAsia="Times New Roman"/>
          <w:sz w:val="24"/>
          <w:szCs w:val="24"/>
        </w:rPr>
        <w:t>demonstrate</w:t>
      </w:r>
      <w:r w:rsidR="001E144B" w:rsidRPr="00044085">
        <w:rPr>
          <w:rFonts w:eastAsia="Times New Roman"/>
          <w:sz w:val="24"/>
          <w:szCs w:val="24"/>
        </w:rPr>
        <w:t xml:space="preserve"> the </w:t>
      </w:r>
      <w:r w:rsidRPr="00044085">
        <w:rPr>
          <w:rFonts w:eastAsia="Times New Roman"/>
          <w:sz w:val="24"/>
          <w:szCs w:val="24"/>
        </w:rPr>
        <w:t xml:space="preserve">cash ratio went up from roughly around 5.35% to around 6.15%. After COVID-19, there were similar liquidity improvements in the hospitality sector. For instance, Hilton Worldwide maintained a large cash holding to manage uncertainty and fund expansion activities. </w:t>
      </w:r>
    </w:p>
    <w:p w14:paraId="1D1B2354"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Efficiency Ratios</w:t>
      </w:r>
    </w:p>
    <w:p w14:paraId="3526FD79"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Efficiency ratios show varying performances during the five-year period. The fall in total asset turnover from 0.633 to 0.547 indicates asset growth exceeding revenue. Receivables turnover has also decreased from 9.17 times to 7.70 times suggesting slower collection from customers’ receivables and longer conversion periods </w:t>
      </w:r>
      <w:r w:rsidRPr="00044085">
        <w:rPr>
          <w:rFonts w:eastAsia="Times New Roman"/>
          <w:b/>
          <w:bCs/>
          <w:i/>
          <w:iCs/>
          <w:sz w:val="24"/>
          <w:szCs w:val="24"/>
        </w:rPr>
        <w:t>[Refers to Appendix A]</w:t>
      </w:r>
      <w:r w:rsidRPr="00044085">
        <w:rPr>
          <w:rFonts w:eastAsia="Times New Roman"/>
          <w:sz w:val="24"/>
          <w:szCs w:val="24"/>
        </w:rPr>
        <w:t>. Nevertheless, fixed asset turnover remained fairly consistent in the range of 2.46 and 2.62 times, indicating the effective utilisation of properties and equipment to generate revenue. The efficiency ratios have declined due to large investments in hotels and foreign expansion projects. Similarly, Hyatt Hotels invested considerable capital in budgeting for asset efficiency. Consequently, asset efficiency has not increased significantly yet.</w:t>
      </w:r>
    </w:p>
    <w:p w14:paraId="33D6C806"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Gearing (Leverage) Ratios</w:t>
      </w:r>
    </w:p>
    <w:p w14:paraId="51C46971"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Throughout the entire period, Choice Hotels was highly leveraged. In our sample, the debt ratio ranged from 0.93 to 1.02, meaning that liabilities financed over 90 per cent of the total assets. The long-term debt level has gone up from $1.48 billion in 2021 to $1.91 billion in 2025. This has resulted in an increase in the debt-equity ratio to 10.52 times in 2025 </w:t>
      </w:r>
      <w:r w:rsidRPr="00044085">
        <w:rPr>
          <w:rFonts w:eastAsia="Times New Roman"/>
          <w:b/>
          <w:bCs/>
          <w:i/>
          <w:iCs/>
          <w:sz w:val="24"/>
          <w:szCs w:val="24"/>
        </w:rPr>
        <w:t>[Refers to Appendix A]</w:t>
      </w:r>
      <w:r w:rsidRPr="00044085">
        <w:rPr>
          <w:rFonts w:eastAsia="Times New Roman"/>
          <w:sz w:val="24"/>
          <w:szCs w:val="24"/>
        </w:rPr>
        <w:t xml:space="preserve">. Negative shareholders’ equity in 2024 has </w:t>
      </w:r>
      <w:r w:rsidRPr="00044085">
        <w:rPr>
          <w:rFonts w:eastAsia="Times New Roman"/>
          <w:sz w:val="24"/>
          <w:szCs w:val="24"/>
        </w:rPr>
        <w:lastRenderedPageBreak/>
        <w:t>produced an abnormal leverage of - 39.07 times. This indicates that the company was undergoing a financial crunch pattern at the time and was unable to raise capital successfully. However, leverage is still common in the hotel sector as franchised business models offer reliable cash flows. Marriott International also uses a lot of debt but remains profitable and pays.</w:t>
      </w:r>
    </w:p>
    <w:p w14:paraId="770DF707"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Investment Ratios</w:t>
      </w:r>
    </w:p>
    <w:p w14:paraId="6DCAC5B8" w14:textId="13257C2A"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The investment ratios improved significantly for the five years showing shareholder value creation. The diluted earnings per share grew from $4.30 in 2021 to $7.90 in 2025, or about 84%. It reflects a higher capacity to generate profits per share for shareholders. Likewise, the management of capital was increasingly effective for Rivian Automotive.  The dividend payout ratio fell from 21.4% to 14.5% whilst the retention ratio increased from 78.6% to 85.5% </w:t>
      </w:r>
      <w:r w:rsidRPr="00044085">
        <w:rPr>
          <w:rFonts w:eastAsia="Times New Roman"/>
          <w:b/>
          <w:bCs/>
          <w:i/>
          <w:iCs/>
          <w:sz w:val="24"/>
          <w:szCs w:val="24"/>
        </w:rPr>
        <w:t>[Refers to Appendix A]</w:t>
      </w:r>
      <w:r w:rsidRPr="00044085">
        <w:rPr>
          <w:rFonts w:eastAsia="Times New Roman"/>
          <w:sz w:val="24"/>
          <w:szCs w:val="24"/>
        </w:rPr>
        <w:t xml:space="preserve">. </w:t>
      </w:r>
      <w:r w:rsidR="001E144B" w:rsidRPr="00044085">
        <w:rPr>
          <w:rFonts w:eastAsia="Times New Roman"/>
          <w:sz w:val="24"/>
          <w:szCs w:val="24"/>
        </w:rPr>
        <w:t xml:space="preserve">Earnings to finance future expansion </w:t>
      </w:r>
      <w:r w:rsidRPr="00044085">
        <w:rPr>
          <w:rFonts w:eastAsia="Times New Roman"/>
          <w:sz w:val="24"/>
          <w:szCs w:val="24"/>
        </w:rPr>
        <w:t xml:space="preserve">suggests that the firm covets a larger proportion of strategic investments (Vuković et al., 2022). As an example, </w:t>
      </w:r>
      <w:r w:rsidR="001E144B" w:rsidRPr="00044085">
        <w:rPr>
          <w:rFonts w:eastAsia="Times New Roman"/>
          <w:sz w:val="24"/>
          <w:szCs w:val="24"/>
        </w:rPr>
        <w:t xml:space="preserve">globalisation opportunities such as </w:t>
      </w:r>
      <w:r w:rsidRPr="00044085">
        <w:rPr>
          <w:rFonts w:eastAsia="Times New Roman"/>
          <w:sz w:val="24"/>
          <w:szCs w:val="24"/>
        </w:rPr>
        <w:t xml:space="preserve">Hilton invests </w:t>
      </w:r>
      <w:r w:rsidR="001E144B" w:rsidRPr="00044085">
        <w:rPr>
          <w:rFonts w:eastAsia="Times New Roman"/>
          <w:sz w:val="24"/>
          <w:szCs w:val="24"/>
        </w:rPr>
        <w:t>to</w:t>
      </w:r>
      <w:r w:rsidRPr="00044085">
        <w:rPr>
          <w:rFonts w:eastAsia="Times New Roman"/>
          <w:sz w:val="24"/>
          <w:szCs w:val="24"/>
        </w:rPr>
        <w:t xml:space="preserve"> retained earnings in its development pipeline, technology, ensuring the long-term enhancement of shareholder value (Derowitsch et al., 2025). </w:t>
      </w:r>
    </w:p>
    <w:p w14:paraId="17101F8E" w14:textId="77777777" w:rsidR="00401998" w:rsidRPr="00044085" w:rsidRDefault="005A0314" w:rsidP="00FE53F0">
      <w:pPr>
        <w:pStyle w:val="Heading2"/>
      </w:pPr>
      <w:bookmarkStart w:id="8" w:name="_Toc234686408"/>
      <w:bookmarkStart w:id="9" w:name="_Toc234689607"/>
      <w:r w:rsidRPr="00044085">
        <w:t>1.3 Identification</w:t>
      </w:r>
      <w:bookmarkEnd w:id="8"/>
      <w:bookmarkEnd w:id="9"/>
      <w:r w:rsidRPr="00044085">
        <w:t xml:space="preserve"> </w:t>
      </w:r>
    </w:p>
    <w:p w14:paraId="609739DD"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Trends</w:t>
      </w:r>
    </w:p>
    <w:p w14:paraId="2493C4BB" w14:textId="66E54F91" w:rsidR="00401998" w:rsidRPr="00044085" w:rsidRDefault="001E144B">
      <w:pPr>
        <w:spacing w:after="200" w:line="360" w:lineRule="auto"/>
        <w:jc w:val="both"/>
        <w:rPr>
          <w:rFonts w:eastAsia="Times New Roman"/>
          <w:sz w:val="24"/>
          <w:szCs w:val="24"/>
        </w:rPr>
      </w:pPr>
      <w:r w:rsidRPr="00044085">
        <w:rPr>
          <w:rFonts w:eastAsia="Times New Roman"/>
          <w:sz w:val="24"/>
          <w:szCs w:val="24"/>
        </w:rPr>
        <w:t xml:space="preserve">Choice Hotels show important trends in the financial ratios over the past five years which is between 2021 and 2025, revenue increased from $1.33 billion to $1.60 billion, while net income rose from $210.0 million to $369.9 million. The profitability ratios improved steadily, as the gross profit margin grew from 38.8% to 55.7%, while the net profit margin increased from 15.8% to 23.2% (Choice Hotels, 2026). The current ratio improved to 0.87 from 0.67 owing to better cash balances thereby improving liquidity. Despite the overall increase in sales, profitability margins have reduced “Lean-Rain,” cushioning the increase in volume with the decline in profit margins. Since total assets are not growing that much, as evident by the ratio above, the numbers are not improving fast enough (Vuković et al., 2022). Throughout the period, leverage remained high, with debt exceeding $1.9 billion and debt ratios consistently above 0.90. The investment ratios rising from $4.30 to $7.90 which highlight positive system that led to highlight earnings per share. Indicating a stronger emphasis on </w:t>
      </w:r>
      <w:r w:rsidRPr="00044085">
        <w:rPr>
          <w:rFonts w:eastAsia="Times New Roman"/>
          <w:sz w:val="24"/>
          <w:szCs w:val="24"/>
        </w:rPr>
        <w:lastRenderedPageBreak/>
        <w:t xml:space="preserve">reinvestment and long-term growth highlight the retention ratios also increased from 78.6% to 85.5%. </w:t>
      </w:r>
    </w:p>
    <w:p w14:paraId="53EEED8F"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Strengths</w:t>
      </w:r>
    </w:p>
    <w:p w14:paraId="101C6690" w14:textId="30206846"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Choice Hotels shows a number of strengths.  The company showed a strong ability to generate revenues and earnings growth consistently with net income almost doubling from 2021 to 2025. Profitability remained healthy with gross, operating and net margins improving (Majka, 2022). </w:t>
      </w:r>
      <w:r w:rsidR="001E144B" w:rsidRPr="00044085">
        <w:rPr>
          <w:rFonts w:eastAsia="Times New Roman"/>
          <w:sz w:val="24"/>
          <w:szCs w:val="24"/>
        </w:rPr>
        <w:t xml:space="preserve">Strong operating performance highlight the ability to generate cash so, the </w:t>
      </w:r>
      <w:r w:rsidRPr="00044085">
        <w:rPr>
          <w:rFonts w:eastAsia="Times New Roman"/>
          <w:sz w:val="24"/>
          <w:szCs w:val="24"/>
        </w:rPr>
        <w:t xml:space="preserve">record adjusted EBITDA of $625.6 million in 2025 </w:t>
      </w:r>
      <w:r w:rsidR="001E144B" w:rsidRPr="00044085">
        <w:rPr>
          <w:rFonts w:eastAsia="Times New Roman"/>
          <w:sz w:val="24"/>
          <w:szCs w:val="24"/>
        </w:rPr>
        <w:t>which highlight</w:t>
      </w:r>
      <w:r w:rsidRPr="00044085">
        <w:rPr>
          <w:rFonts w:eastAsia="Times New Roman"/>
          <w:sz w:val="24"/>
          <w:szCs w:val="24"/>
        </w:rPr>
        <w:t xml:space="preserve"> continued</w:t>
      </w:r>
      <w:r w:rsidR="001E144B" w:rsidRPr="00044085">
        <w:rPr>
          <w:rFonts w:eastAsia="Times New Roman"/>
          <w:sz w:val="24"/>
          <w:szCs w:val="24"/>
        </w:rPr>
        <w:t xml:space="preserve"> investment</w:t>
      </w:r>
      <w:r w:rsidRPr="00044085">
        <w:rPr>
          <w:rFonts w:eastAsia="Times New Roman"/>
          <w:sz w:val="24"/>
          <w:szCs w:val="24"/>
        </w:rPr>
        <w:t>. The hike in earnings per share and retention ratios indicates an effective use of earnings and capital as well as promises to retain capital for future expansion (Park et al., 2025).  The company’s expansion of international room growth, global franchise agreements, and extended-stay leadership provides revenue diversification that enhances long-term competitive positioning.</w:t>
      </w:r>
    </w:p>
    <w:p w14:paraId="2C974D19"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Potential Threats</w:t>
      </w:r>
    </w:p>
    <w:p w14:paraId="4375870E"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The company remains highly leveraged as its capital structure reveals that long-term debt jumped to $1.91 billion. Total liabilities have financed almost 94 per cent of total assets as of 2025. The fall in asset turnover and receivables turnover suggests that assets and working capital are becoming less efficient in generating revenue. Liquidity ratios were still less than 1.0, the generally accepted standard, indicating limited short-term financial flexibility (Dhanya, and Keerthana, 2025). Moreover, management’s forecast of diminished net income in 2026 may emanate from uncertainties surrounding the economy, elevated interest rates, shifts in travel demand and intensifying competition in the worldwide hospitality industry (KODURU, 2026).</w:t>
      </w:r>
    </w:p>
    <w:p w14:paraId="0ECB0F29" w14:textId="77777777" w:rsidR="00401998" w:rsidRPr="00044085" w:rsidRDefault="005A0314" w:rsidP="00FE53F0">
      <w:pPr>
        <w:pStyle w:val="Heading2"/>
      </w:pPr>
      <w:bookmarkStart w:id="10" w:name="_Toc234686409"/>
      <w:bookmarkStart w:id="11" w:name="_Toc234689608"/>
      <w:r w:rsidRPr="00044085">
        <w:t>1.4 Comparison of liquidity ratios with industry benchmarks</w:t>
      </w:r>
      <w:bookmarkEnd w:id="10"/>
      <w:bookmarkEnd w:id="11"/>
    </w:p>
    <w:p w14:paraId="1F116107"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Choice Hotels International has seen a solid improvement in liquidity over the last five years; however, it still fails to meet regular industry levels. The current ratio of the company increased from 0.67 in 2021 to 0.87 in 2025, which shows gradual improvement in its ability to meet short-term obligations (Choice Hotels, 2026). Nonetheless, this ratio is lower than the widely deemed acceptable level of 1.0-1.5 for service and hospitality companies; thereby indicating that current liabilities continue to exceed current assets. Similarly, the cash ratio of the company increased from 0.06 </w:t>
      </w:r>
      <w:r w:rsidRPr="00044085">
        <w:rPr>
          <w:rFonts w:eastAsia="Times New Roman"/>
          <w:sz w:val="24"/>
          <w:szCs w:val="24"/>
        </w:rPr>
        <w:lastRenderedPageBreak/>
        <w:t>to 0.10 implying that only 10% of short-term obligations can be covered immediately by cash and cash equivalents.</w:t>
      </w:r>
    </w:p>
    <w:p w14:paraId="78C407CE"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Choice Hotels, compared to its major competitors, follows an asset-light business model that generally has relatively low liquidity ratios. In the case of Marriott International and Hilton Worldwide had current ratios (the ratio of current assets to current liabilities) below 1.0 for many years at the present time (Marriott, 2026). Because their franchising and management businesses generate stable fee-based cash flows and require less working capital than asset-heavy hotel owners.</w:t>
      </w:r>
    </w:p>
    <w:p w14:paraId="136C67DE"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Choice Hotels produced $270.4 million of operating cash flow in 2025, despite being below traditional thresholds indicating cash generation ability. So, while its liquidity ratios are relatively weak on a conventional basis, the company’s performance is generally in line with the industry trend and indicates confidence in the company’s repeat franchise-based cash flows and operational resilience.</w:t>
      </w:r>
    </w:p>
    <w:p w14:paraId="40D97735" w14:textId="77777777" w:rsidR="00401998" w:rsidRPr="00044085" w:rsidRDefault="005A0314" w:rsidP="00FE53F0">
      <w:pPr>
        <w:pStyle w:val="Heading1"/>
      </w:pPr>
      <w:bookmarkStart w:id="12" w:name="_Toc234686410"/>
      <w:bookmarkStart w:id="13" w:name="_Toc234689609"/>
      <w:r w:rsidRPr="00044085">
        <w:t>2. Working Capital Management Analysis</w:t>
      </w:r>
      <w:bookmarkEnd w:id="12"/>
      <w:bookmarkEnd w:id="13"/>
    </w:p>
    <w:p w14:paraId="71BEF1A3" w14:textId="77777777" w:rsidR="00401998" w:rsidRPr="00044085" w:rsidRDefault="005A0314" w:rsidP="00FE53F0">
      <w:pPr>
        <w:pStyle w:val="Heading2"/>
      </w:pPr>
      <w:bookmarkStart w:id="14" w:name="_Toc234686411"/>
      <w:bookmarkStart w:id="15" w:name="_Toc234689610"/>
      <w:r w:rsidRPr="00044085">
        <w:t>2.1 Cash operating cycle</w:t>
      </w:r>
      <w:bookmarkEnd w:id="14"/>
      <w:bookmarkEnd w:id="15"/>
    </w:p>
    <w:tbl>
      <w:tblPr>
        <w:tblStyle w:val="TableGrid"/>
        <w:tblW w:w="5000" w:type="pct"/>
        <w:tblLook w:val="04A0" w:firstRow="1" w:lastRow="0" w:firstColumn="1" w:lastColumn="0" w:noHBand="0" w:noVBand="1"/>
      </w:tblPr>
      <w:tblGrid>
        <w:gridCol w:w="2351"/>
        <w:gridCol w:w="2513"/>
        <w:gridCol w:w="831"/>
        <w:gridCol w:w="831"/>
        <w:gridCol w:w="831"/>
        <w:gridCol w:w="831"/>
        <w:gridCol w:w="831"/>
      </w:tblGrid>
      <w:tr w:rsidR="00FE53F0" w:rsidRPr="00044085" w14:paraId="72CA836E" w14:textId="77777777" w:rsidTr="00FE53F0">
        <w:trPr>
          <w:trHeight w:val="300"/>
        </w:trPr>
        <w:tc>
          <w:tcPr>
            <w:tcW w:w="1252" w:type="pct"/>
            <w:noWrap/>
            <w:hideMark/>
          </w:tcPr>
          <w:p w14:paraId="0A1A2894"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Particulars</w:t>
            </w:r>
          </w:p>
        </w:tc>
        <w:tc>
          <w:tcPr>
            <w:tcW w:w="1344" w:type="pct"/>
            <w:noWrap/>
            <w:hideMark/>
          </w:tcPr>
          <w:p w14:paraId="2893638C"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Formula</w:t>
            </w:r>
          </w:p>
        </w:tc>
        <w:tc>
          <w:tcPr>
            <w:tcW w:w="481" w:type="pct"/>
            <w:noWrap/>
            <w:hideMark/>
          </w:tcPr>
          <w:p w14:paraId="395ECB06"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2021</w:t>
            </w:r>
          </w:p>
        </w:tc>
        <w:tc>
          <w:tcPr>
            <w:tcW w:w="481" w:type="pct"/>
            <w:noWrap/>
            <w:hideMark/>
          </w:tcPr>
          <w:p w14:paraId="049F84DE"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2022</w:t>
            </w:r>
          </w:p>
        </w:tc>
        <w:tc>
          <w:tcPr>
            <w:tcW w:w="481" w:type="pct"/>
            <w:noWrap/>
            <w:hideMark/>
          </w:tcPr>
          <w:p w14:paraId="76B8EA66"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2023</w:t>
            </w:r>
          </w:p>
        </w:tc>
        <w:tc>
          <w:tcPr>
            <w:tcW w:w="481" w:type="pct"/>
            <w:noWrap/>
            <w:hideMark/>
          </w:tcPr>
          <w:p w14:paraId="2F053C46"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2024</w:t>
            </w:r>
          </w:p>
        </w:tc>
        <w:tc>
          <w:tcPr>
            <w:tcW w:w="481" w:type="pct"/>
            <w:noWrap/>
            <w:hideMark/>
          </w:tcPr>
          <w:p w14:paraId="76E60E96"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2025</w:t>
            </w:r>
          </w:p>
        </w:tc>
      </w:tr>
      <w:tr w:rsidR="00FE53F0" w:rsidRPr="00044085" w14:paraId="7AEE2DE8" w14:textId="77777777" w:rsidTr="00FE53F0">
        <w:trPr>
          <w:trHeight w:val="300"/>
        </w:trPr>
        <w:tc>
          <w:tcPr>
            <w:tcW w:w="2595" w:type="pct"/>
            <w:gridSpan w:val="2"/>
            <w:noWrap/>
            <w:hideMark/>
          </w:tcPr>
          <w:p w14:paraId="5E21056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Revenue</w:t>
            </w:r>
          </w:p>
        </w:tc>
        <w:tc>
          <w:tcPr>
            <w:tcW w:w="481" w:type="pct"/>
            <w:noWrap/>
            <w:hideMark/>
          </w:tcPr>
          <w:p w14:paraId="33D81BC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1,330,000</w:t>
            </w:r>
          </w:p>
        </w:tc>
        <w:tc>
          <w:tcPr>
            <w:tcW w:w="481" w:type="pct"/>
            <w:noWrap/>
            <w:hideMark/>
          </w:tcPr>
          <w:p w14:paraId="04AF5ED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1,410,000</w:t>
            </w:r>
          </w:p>
        </w:tc>
        <w:tc>
          <w:tcPr>
            <w:tcW w:w="481" w:type="pct"/>
            <w:noWrap/>
            <w:hideMark/>
          </w:tcPr>
          <w:p w14:paraId="56D6300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1,500,000</w:t>
            </w:r>
          </w:p>
        </w:tc>
        <w:tc>
          <w:tcPr>
            <w:tcW w:w="481" w:type="pct"/>
            <w:noWrap/>
            <w:hideMark/>
          </w:tcPr>
          <w:p w14:paraId="71FC5E4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1,584,839</w:t>
            </w:r>
          </w:p>
        </w:tc>
        <w:tc>
          <w:tcPr>
            <w:tcW w:w="481" w:type="pct"/>
            <w:noWrap/>
            <w:hideMark/>
          </w:tcPr>
          <w:p w14:paraId="79BA4B7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1,596,793</w:t>
            </w:r>
          </w:p>
        </w:tc>
      </w:tr>
      <w:tr w:rsidR="00FE53F0" w:rsidRPr="00044085" w14:paraId="612B68D5" w14:textId="77777777" w:rsidTr="00FE53F0">
        <w:trPr>
          <w:trHeight w:val="300"/>
        </w:trPr>
        <w:tc>
          <w:tcPr>
            <w:tcW w:w="2595" w:type="pct"/>
            <w:gridSpan w:val="2"/>
            <w:noWrap/>
            <w:hideMark/>
          </w:tcPr>
          <w:p w14:paraId="1E640C1A"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Accounts Receivable</w:t>
            </w:r>
          </w:p>
        </w:tc>
        <w:tc>
          <w:tcPr>
            <w:tcW w:w="481" w:type="pct"/>
            <w:noWrap/>
            <w:hideMark/>
          </w:tcPr>
          <w:p w14:paraId="7F310DC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145,000</w:t>
            </w:r>
          </w:p>
        </w:tc>
        <w:tc>
          <w:tcPr>
            <w:tcW w:w="481" w:type="pct"/>
            <w:noWrap/>
            <w:hideMark/>
          </w:tcPr>
          <w:p w14:paraId="17EB287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155,000</w:t>
            </w:r>
          </w:p>
        </w:tc>
        <w:tc>
          <w:tcPr>
            <w:tcW w:w="481" w:type="pct"/>
            <w:noWrap/>
            <w:hideMark/>
          </w:tcPr>
          <w:p w14:paraId="337C6A0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165,000</w:t>
            </w:r>
          </w:p>
        </w:tc>
        <w:tc>
          <w:tcPr>
            <w:tcW w:w="481" w:type="pct"/>
            <w:noWrap/>
            <w:hideMark/>
          </w:tcPr>
          <w:p w14:paraId="46FC274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176,672</w:t>
            </w:r>
          </w:p>
        </w:tc>
        <w:tc>
          <w:tcPr>
            <w:tcW w:w="481" w:type="pct"/>
            <w:noWrap/>
            <w:hideMark/>
          </w:tcPr>
          <w:p w14:paraId="527B59A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207,491</w:t>
            </w:r>
          </w:p>
        </w:tc>
      </w:tr>
      <w:tr w:rsidR="00FE53F0" w:rsidRPr="00044085" w14:paraId="1762DBB2" w14:textId="77777777" w:rsidTr="00FE53F0">
        <w:trPr>
          <w:trHeight w:val="300"/>
        </w:trPr>
        <w:tc>
          <w:tcPr>
            <w:tcW w:w="2595" w:type="pct"/>
            <w:gridSpan w:val="2"/>
            <w:noWrap/>
            <w:hideMark/>
          </w:tcPr>
          <w:p w14:paraId="5961954F"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Inventory</w:t>
            </w:r>
          </w:p>
        </w:tc>
        <w:tc>
          <w:tcPr>
            <w:tcW w:w="481" w:type="pct"/>
            <w:noWrap/>
            <w:hideMark/>
          </w:tcPr>
          <w:p w14:paraId="0FA9E10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15,610</w:t>
            </w:r>
          </w:p>
        </w:tc>
        <w:tc>
          <w:tcPr>
            <w:tcW w:w="481" w:type="pct"/>
            <w:noWrap/>
            <w:hideMark/>
          </w:tcPr>
          <w:p w14:paraId="032B720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29,640</w:t>
            </w:r>
          </w:p>
        </w:tc>
        <w:tc>
          <w:tcPr>
            <w:tcW w:w="481" w:type="pct"/>
            <w:noWrap/>
            <w:hideMark/>
          </w:tcPr>
          <w:p w14:paraId="34C2939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34,670</w:t>
            </w:r>
          </w:p>
        </w:tc>
        <w:tc>
          <w:tcPr>
            <w:tcW w:w="481" w:type="pct"/>
            <w:noWrap/>
            <w:hideMark/>
          </w:tcPr>
          <w:p w14:paraId="27A4FD4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41,320</w:t>
            </w:r>
          </w:p>
        </w:tc>
        <w:tc>
          <w:tcPr>
            <w:tcW w:w="481" w:type="pct"/>
            <w:noWrap/>
            <w:hideMark/>
          </w:tcPr>
          <w:p w14:paraId="7F9522B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45,370</w:t>
            </w:r>
          </w:p>
        </w:tc>
      </w:tr>
      <w:tr w:rsidR="00FE53F0" w:rsidRPr="00044085" w14:paraId="4D25BB79" w14:textId="77777777" w:rsidTr="00FE53F0">
        <w:trPr>
          <w:trHeight w:val="300"/>
        </w:trPr>
        <w:tc>
          <w:tcPr>
            <w:tcW w:w="2595" w:type="pct"/>
            <w:gridSpan w:val="2"/>
            <w:noWrap/>
            <w:hideMark/>
          </w:tcPr>
          <w:p w14:paraId="4692FB21"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Accounts Payable</w:t>
            </w:r>
          </w:p>
        </w:tc>
        <w:tc>
          <w:tcPr>
            <w:tcW w:w="481" w:type="pct"/>
            <w:noWrap/>
            <w:hideMark/>
          </w:tcPr>
          <w:p w14:paraId="0FB8F51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115,000</w:t>
            </w:r>
          </w:p>
        </w:tc>
        <w:tc>
          <w:tcPr>
            <w:tcW w:w="481" w:type="pct"/>
            <w:noWrap/>
            <w:hideMark/>
          </w:tcPr>
          <w:p w14:paraId="459E12A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120,000</w:t>
            </w:r>
          </w:p>
        </w:tc>
        <w:tc>
          <w:tcPr>
            <w:tcW w:w="481" w:type="pct"/>
            <w:noWrap/>
            <w:hideMark/>
          </w:tcPr>
          <w:p w14:paraId="5C3E27B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128,000</w:t>
            </w:r>
          </w:p>
        </w:tc>
        <w:tc>
          <w:tcPr>
            <w:tcW w:w="481" w:type="pct"/>
            <w:noWrap/>
            <w:hideMark/>
          </w:tcPr>
          <w:p w14:paraId="5787A22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134,865</w:t>
            </w:r>
          </w:p>
        </w:tc>
        <w:tc>
          <w:tcPr>
            <w:tcW w:w="481" w:type="pct"/>
            <w:noWrap/>
            <w:hideMark/>
          </w:tcPr>
          <w:p w14:paraId="09639A5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156,276</w:t>
            </w:r>
          </w:p>
        </w:tc>
      </w:tr>
      <w:tr w:rsidR="00FE53F0" w:rsidRPr="00044085" w14:paraId="380084D8" w14:textId="77777777" w:rsidTr="00FE53F0">
        <w:trPr>
          <w:trHeight w:val="300"/>
        </w:trPr>
        <w:tc>
          <w:tcPr>
            <w:tcW w:w="1252" w:type="pct"/>
            <w:noWrap/>
            <w:hideMark/>
          </w:tcPr>
          <w:p w14:paraId="3B95FB0E"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Days Inventory Outstanding (DIO)</w:t>
            </w:r>
          </w:p>
        </w:tc>
        <w:tc>
          <w:tcPr>
            <w:tcW w:w="1344" w:type="pct"/>
            <w:noWrap/>
            <w:hideMark/>
          </w:tcPr>
          <w:p w14:paraId="03CD29B9" w14:textId="5D6762D4"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(Inventory/Revenue) *365</w:t>
            </w:r>
          </w:p>
        </w:tc>
        <w:tc>
          <w:tcPr>
            <w:tcW w:w="481" w:type="pct"/>
            <w:noWrap/>
            <w:hideMark/>
          </w:tcPr>
          <w:p w14:paraId="70C6455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4.28</w:t>
            </w:r>
          </w:p>
        </w:tc>
        <w:tc>
          <w:tcPr>
            <w:tcW w:w="481" w:type="pct"/>
            <w:noWrap/>
            <w:hideMark/>
          </w:tcPr>
          <w:p w14:paraId="015E2D9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7.67</w:t>
            </w:r>
          </w:p>
        </w:tc>
        <w:tc>
          <w:tcPr>
            <w:tcW w:w="481" w:type="pct"/>
            <w:noWrap/>
            <w:hideMark/>
          </w:tcPr>
          <w:p w14:paraId="1507A26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8.44</w:t>
            </w:r>
          </w:p>
        </w:tc>
        <w:tc>
          <w:tcPr>
            <w:tcW w:w="481" w:type="pct"/>
            <w:noWrap/>
            <w:hideMark/>
          </w:tcPr>
          <w:p w14:paraId="60EDBA6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9.52</w:t>
            </w:r>
          </w:p>
        </w:tc>
        <w:tc>
          <w:tcPr>
            <w:tcW w:w="481" w:type="pct"/>
            <w:noWrap/>
            <w:hideMark/>
          </w:tcPr>
          <w:p w14:paraId="1B160D1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10.37</w:t>
            </w:r>
          </w:p>
        </w:tc>
      </w:tr>
      <w:tr w:rsidR="00FE53F0" w:rsidRPr="00044085" w14:paraId="59D58D43" w14:textId="77777777" w:rsidTr="00FE53F0">
        <w:trPr>
          <w:trHeight w:val="300"/>
        </w:trPr>
        <w:tc>
          <w:tcPr>
            <w:tcW w:w="1252" w:type="pct"/>
            <w:noWrap/>
            <w:hideMark/>
          </w:tcPr>
          <w:p w14:paraId="06F51E6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lastRenderedPageBreak/>
              <w:t>Days Sales Outstanding (DSO)</w:t>
            </w:r>
          </w:p>
        </w:tc>
        <w:tc>
          <w:tcPr>
            <w:tcW w:w="1344" w:type="pct"/>
            <w:noWrap/>
            <w:hideMark/>
          </w:tcPr>
          <w:p w14:paraId="049AFC6E" w14:textId="1B5C8840"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(Accounts Receivable/Revenue) *365</w:t>
            </w:r>
          </w:p>
        </w:tc>
        <w:tc>
          <w:tcPr>
            <w:tcW w:w="481" w:type="pct"/>
            <w:noWrap/>
            <w:hideMark/>
          </w:tcPr>
          <w:p w14:paraId="48D2BA3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39.79</w:t>
            </w:r>
          </w:p>
        </w:tc>
        <w:tc>
          <w:tcPr>
            <w:tcW w:w="481" w:type="pct"/>
            <w:noWrap/>
            <w:hideMark/>
          </w:tcPr>
          <w:p w14:paraId="573F8B6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40.12</w:t>
            </w:r>
          </w:p>
        </w:tc>
        <w:tc>
          <w:tcPr>
            <w:tcW w:w="481" w:type="pct"/>
            <w:noWrap/>
            <w:hideMark/>
          </w:tcPr>
          <w:p w14:paraId="3BD4C99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40.15</w:t>
            </w:r>
          </w:p>
        </w:tc>
        <w:tc>
          <w:tcPr>
            <w:tcW w:w="481" w:type="pct"/>
            <w:noWrap/>
            <w:hideMark/>
          </w:tcPr>
          <w:p w14:paraId="6D45618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40.69</w:t>
            </w:r>
          </w:p>
        </w:tc>
        <w:tc>
          <w:tcPr>
            <w:tcW w:w="481" w:type="pct"/>
            <w:noWrap/>
            <w:hideMark/>
          </w:tcPr>
          <w:p w14:paraId="19BBEF3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47.43</w:t>
            </w:r>
          </w:p>
        </w:tc>
      </w:tr>
      <w:tr w:rsidR="00FE53F0" w:rsidRPr="00044085" w14:paraId="3F35FF18" w14:textId="77777777" w:rsidTr="00FE53F0">
        <w:trPr>
          <w:trHeight w:val="300"/>
        </w:trPr>
        <w:tc>
          <w:tcPr>
            <w:tcW w:w="1252" w:type="pct"/>
            <w:noWrap/>
            <w:hideMark/>
          </w:tcPr>
          <w:p w14:paraId="70993394"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Days Payables Outstanding (DPO)</w:t>
            </w:r>
          </w:p>
        </w:tc>
        <w:tc>
          <w:tcPr>
            <w:tcW w:w="1344" w:type="pct"/>
            <w:noWrap/>
            <w:hideMark/>
          </w:tcPr>
          <w:p w14:paraId="405CB8B7" w14:textId="67D934FE"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(Accounts Payable/Revenue) *365</w:t>
            </w:r>
          </w:p>
        </w:tc>
        <w:tc>
          <w:tcPr>
            <w:tcW w:w="481" w:type="pct"/>
            <w:noWrap/>
            <w:hideMark/>
          </w:tcPr>
          <w:p w14:paraId="4027196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31.56</w:t>
            </w:r>
          </w:p>
        </w:tc>
        <w:tc>
          <w:tcPr>
            <w:tcW w:w="481" w:type="pct"/>
            <w:noWrap/>
            <w:hideMark/>
          </w:tcPr>
          <w:p w14:paraId="370549F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31.06</w:t>
            </w:r>
          </w:p>
        </w:tc>
        <w:tc>
          <w:tcPr>
            <w:tcW w:w="481" w:type="pct"/>
            <w:noWrap/>
            <w:hideMark/>
          </w:tcPr>
          <w:p w14:paraId="60F4987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31.15</w:t>
            </w:r>
          </w:p>
        </w:tc>
        <w:tc>
          <w:tcPr>
            <w:tcW w:w="481" w:type="pct"/>
            <w:noWrap/>
            <w:hideMark/>
          </w:tcPr>
          <w:p w14:paraId="228A35D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31.06</w:t>
            </w:r>
          </w:p>
        </w:tc>
        <w:tc>
          <w:tcPr>
            <w:tcW w:w="481" w:type="pct"/>
            <w:noWrap/>
            <w:hideMark/>
          </w:tcPr>
          <w:p w14:paraId="2B3F874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35.72</w:t>
            </w:r>
          </w:p>
        </w:tc>
      </w:tr>
      <w:tr w:rsidR="00FE53F0" w:rsidRPr="00044085" w14:paraId="6E0790AC" w14:textId="77777777" w:rsidTr="00FE53F0">
        <w:trPr>
          <w:trHeight w:val="300"/>
        </w:trPr>
        <w:tc>
          <w:tcPr>
            <w:tcW w:w="1252" w:type="pct"/>
            <w:noWrap/>
            <w:hideMark/>
          </w:tcPr>
          <w:p w14:paraId="1588141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Cash Operating Cycle (CCC)</w:t>
            </w:r>
          </w:p>
        </w:tc>
        <w:tc>
          <w:tcPr>
            <w:tcW w:w="1344" w:type="pct"/>
            <w:noWrap/>
            <w:hideMark/>
          </w:tcPr>
          <w:p w14:paraId="20766336"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DIO+DSO-DPO</w:t>
            </w:r>
          </w:p>
        </w:tc>
        <w:tc>
          <w:tcPr>
            <w:tcW w:w="481" w:type="pct"/>
            <w:noWrap/>
            <w:hideMark/>
          </w:tcPr>
          <w:p w14:paraId="78C8C75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75.64</w:t>
            </w:r>
          </w:p>
        </w:tc>
        <w:tc>
          <w:tcPr>
            <w:tcW w:w="481" w:type="pct"/>
            <w:noWrap/>
            <w:hideMark/>
          </w:tcPr>
          <w:p w14:paraId="49941B5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78.86</w:t>
            </w:r>
          </w:p>
        </w:tc>
        <w:tc>
          <w:tcPr>
            <w:tcW w:w="481" w:type="pct"/>
            <w:noWrap/>
            <w:hideMark/>
          </w:tcPr>
          <w:p w14:paraId="51E99E1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79.73</w:t>
            </w:r>
          </w:p>
        </w:tc>
        <w:tc>
          <w:tcPr>
            <w:tcW w:w="481" w:type="pct"/>
            <w:noWrap/>
            <w:hideMark/>
          </w:tcPr>
          <w:p w14:paraId="0A61B44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81.27</w:t>
            </w:r>
          </w:p>
        </w:tc>
        <w:tc>
          <w:tcPr>
            <w:tcW w:w="481" w:type="pct"/>
            <w:noWrap/>
            <w:hideMark/>
          </w:tcPr>
          <w:p w14:paraId="614D501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93.52</w:t>
            </w:r>
          </w:p>
        </w:tc>
      </w:tr>
    </w:tbl>
    <w:p w14:paraId="1AA0A2E9" w14:textId="77777777" w:rsidR="00FE53F0" w:rsidRPr="00044085" w:rsidRDefault="00FE53F0">
      <w:pPr>
        <w:spacing w:after="200" w:line="360" w:lineRule="auto"/>
        <w:jc w:val="both"/>
        <w:rPr>
          <w:rFonts w:eastAsia="Times New Roman"/>
          <w:sz w:val="24"/>
          <w:szCs w:val="24"/>
        </w:rPr>
      </w:pPr>
    </w:p>
    <w:p w14:paraId="2CB95A68" w14:textId="1E5E16E2" w:rsidR="00FE53F0" w:rsidRPr="00044085" w:rsidRDefault="00FE53F0" w:rsidP="00FE53F0">
      <w:pPr>
        <w:spacing w:after="200" w:line="360" w:lineRule="auto"/>
        <w:jc w:val="center"/>
        <w:rPr>
          <w:rFonts w:eastAsia="Times New Roman"/>
          <w:b/>
          <w:bCs/>
          <w:sz w:val="24"/>
          <w:szCs w:val="24"/>
        </w:rPr>
      </w:pPr>
      <w:r w:rsidRPr="00044085">
        <w:rPr>
          <w:rFonts w:eastAsia="Times New Roman"/>
          <w:b/>
          <w:bCs/>
          <w:sz w:val="24"/>
          <w:szCs w:val="24"/>
        </w:rPr>
        <w:t>Table 1: Calculation of COC</w:t>
      </w:r>
    </w:p>
    <w:p w14:paraId="50827DD1" w14:textId="6614337B" w:rsidR="00FE53F0" w:rsidRPr="00044085" w:rsidRDefault="00FE53F0" w:rsidP="00FE53F0">
      <w:pPr>
        <w:spacing w:after="200" w:line="360" w:lineRule="auto"/>
        <w:jc w:val="center"/>
        <w:rPr>
          <w:rFonts w:eastAsia="Times New Roman"/>
          <w:sz w:val="24"/>
          <w:szCs w:val="24"/>
        </w:rPr>
      </w:pPr>
      <w:r w:rsidRPr="00044085">
        <w:rPr>
          <w:rFonts w:eastAsia="Times New Roman"/>
          <w:sz w:val="24"/>
          <w:szCs w:val="24"/>
        </w:rPr>
        <w:t>(Source: Self-developed)</w:t>
      </w:r>
    </w:p>
    <w:p w14:paraId="4548DBB2" w14:textId="4B461957" w:rsidR="00401998" w:rsidRPr="00044085" w:rsidRDefault="005A0314">
      <w:pPr>
        <w:spacing w:after="200" w:line="360" w:lineRule="auto"/>
        <w:jc w:val="both"/>
        <w:rPr>
          <w:rFonts w:eastAsia="Times New Roman"/>
          <w:sz w:val="24"/>
          <w:szCs w:val="24"/>
        </w:rPr>
      </w:pPr>
      <w:r w:rsidRPr="00044085">
        <w:rPr>
          <w:rFonts w:eastAsia="Times New Roman"/>
          <w:sz w:val="24"/>
          <w:szCs w:val="24"/>
        </w:rPr>
        <w:t>The cash operating cycle (C</w:t>
      </w:r>
      <w:r w:rsidR="00FE53F0" w:rsidRPr="00044085">
        <w:rPr>
          <w:rFonts w:eastAsia="Times New Roman"/>
          <w:sz w:val="24"/>
          <w:szCs w:val="24"/>
        </w:rPr>
        <w:t>o</w:t>
      </w:r>
      <w:r w:rsidRPr="00044085">
        <w:rPr>
          <w:rFonts w:eastAsia="Times New Roman"/>
          <w:sz w:val="24"/>
          <w:szCs w:val="24"/>
        </w:rPr>
        <w:t>C) of Choice Hotels International went up from 75.64 days in 2021 to 93.52 days in 2025. As a result, the company took longer to convert its working capital investments into cash</w:t>
      </w:r>
      <w:r w:rsidR="001E144B" w:rsidRPr="00044085">
        <w:rPr>
          <w:rFonts w:eastAsia="Times New Roman"/>
          <w:sz w:val="24"/>
          <w:szCs w:val="24"/>
        </w:rPr>
        <w:t>,</w:t>
      </w:r>
      <w:r w:rsidRPr="00044085">
        <w:rPr>
          <w:rFonts w:eastAsia="Times New Roman"/>
          <w:sz w:val="24"/>
          <w:szCs w:val="24"/>
        </w:rPr>
        <w:t xml:space="preserve"> indicat</w:t>
      </w:r>
      <w:r w:rsidR="001E144B" w:rsidRPr="00044085">
        <w:rPr>
          <w:rFonts w:eastAsia="Times New Roman"/>
          <w:sz w:val="24"/>
          <w:szCs w:val="24"/>
        </w:rPr>
        <w:t>ing that</w:t>
      </w:r>
      <w:r w:rsidRPr="00044085">
        <w:rPr>
          <w:rFonts w:eastAsia="Times New Roman"/>
          <w:sz w:val="24"/>
          <w:szCs w:val="24"/>
        </w:rPr>
        <w:t xml:space="preserve"> an increase of around 18 days (23.8%) over the 5 years. </w:t>
      </w:r>
      <w:r w:rsidR="001E144B" w:rsidRPr="00044085">
        <w:rPr>
          <w:rFonts w:eastAsia="Times New Roman"/>
          <w:sz w:val="24"/>
          <w:szCs w:val="24"/>
        </w:rPr>
        <w:t>receivable days saw increases b</w:t>
      </w:r>
      <w:r w:rsidRPr="00044085">
        <w:rPr>
          <w:rFonts w:eastAsia="Times New Roman"/>
          <w:sz w:val="24"/>
          <w:szCs w:val="24"/>
        </w:rPr>
        <w:t>oth inventory days which were the key contributors</w:t>
      </w:r>
      <w:r w:rsidR="001E144B" w:rsidRPr="00044085">
        <w:rPr>
          <w:rFonts w:eastAsia="Times New Roman"/>
          <w:sz w:val="24"/>
          <w:szCs w:val="24"/>
        </w:rPr>
        <w:t xml:space="preserve"> in this factor of the company</w:t>
      </w:r>
      <w:r w:rsidRPr="00044085">
        <w:rPr>
          <w:rFonts w:eastAsia="Times New Roman"/>
          <w:sz w:val="24"/>
          <w:szCs w:val="24"/>
        </w:rPr>
        <w:t xml:space="preserve">.  </w:t>
      </w:r>
      <w:r w:rsidR="001E144B" w:rsidRPr="00044085">
        <w:rPr>
          <w:rFonts w:eastAsia="Times New Roman"/>
          <w:sz w:val="24"/>
          <w:szCs w:val="24"/>
        </w:rPr>
        <w:t xml:space="preserve">whereas DSO increased from 39.79 days to 47.43 days that time the </w:t>
      </w:r>
      <w:r w:rsidRPr="00044085">
        <w:rPr>
          <w:rFonts w:eastAsia="Times New Roman"/>
          <w:sz w:val="24"/>
          <w:szCs w:val="24"/>
        </w:rPr>
        <w:t>DIO grew from 4.28 days to 10.37 days</w:t>
      </w:r>
      <w:r w:rsidR="001E144B" w:rsidRPr="00044085">
        <w:rPr>
          <w:rFonts w:eastAsia="Times New Roman"/>
          <w:sz w:val="24"/>
          <w:szCs w:val="24"/>
        </w:rPr>
        <w:t xml:space="preserve"> that highlight </w:t>
      </w:r>
      <w:r w:rsidRPr="00044085">
        <w:rPr>
          <w:rFonts w:eastAsia="Times New Roman"/>
          <w:sz w:val="24"/>
          <w:szCs w:val="24"/>
        </w:rPr>
        <w:t xml:space="preserve">slower collection of receivables and more significant stock levels </w:t>
      </w:r>
      <w:r w:rsidR="00AB5CEA" w:rsidRPr="00044085">
        <w:rPr>
          <w:rFonts w:eastAsia="Times New Roman"/>
          <w:sz w:val="24"/>
          <w:szCs w:val="24"/>
        </w:rPr>
        <w:t xml:space="preserve">working in the business </w:t>
      </w:r>
      <w:r w:rsidR="00044085">
        <w:rPr>
          <w:rFonts w:eastAsia="Times New Roman"/>
          <w:sz w:val="24"/>
          <w:szCs w:val="24"/>
        </w:rPr>
        <w:t>(Mandipa</w:t>
      </w:r>
      <w:r w:rsidRPr="00044085">
        <w:rPr>
          <w:rFonts w:eastAsia="Times New Roman"/>
          <w:sz w:val="24"/>
          <w:szCs w:val="24"/>
        </w:rPr>
        <w:t xml:space="preserve"> and Sibindi, 2022). The </w:t>
      </w:r>
      <w:r w:rsidR="00AB5CEA" w:rsidRPr="00044085">
        <w:rPr>
          <w:rFonts w:eastAsia="Times New Roman"/>
          <w:sz w:val="24"/>
          <w:szCs w:val="24"/>
        </w:rPr>
        <w:t xml:space="preserve">conversion process as was hoped as DPO so, the </w:t>
      </w:r>
      <w:r w:rsidRPr="00044085">
        <w:rPr>
          <w:rFonts w:eastAsia="Times New Roman"/>
          <w:sz w:val="24"/>
          <w:szCs w:val="24"/>
        </w:rPr>
        <w:t xml:space="preserve">additional supplier credit did not meaningfully impact the cash, </w:t>
      </w:r>
      <w:r w:rsidR="00AB5CEA" w:rsidRPr="00044085">
        <w:rPr>
          <w:rFonts w:eastAsia="Times New Roman"/>
          <w:sz w:val="24"/>
          <w:szCs w:val="24"/>
        </w:rPr>
        <w:t>which</w:t>
      </w:r>
      <w:r w:rsidRPr="00044085">
        <w:rPr>
          <w:rFonts w:eastAsia="Times New Roman"/>
          <w:sz w:val="24"/>
          <w:szCs w:val="24"/>
        </w:rPr>
        <w:t xml:space="preserve"> improved from 31.56 days to 35.72 days.</w:t>
      </w:r>
    </w:p>
    <w:p w14:paraId="172121A5" w14:textId="26965489" w:rsidR="00401998" w:rsidRPr="00044085" w:rsidRDefault="00AB5CEA">
      <w:pPr>
        <w:spacing w:after="200" w:line="360" w:lineRule="auto"/>
        <w:jc w:val="both"/>
        <w:rPr>
          <w:rFonts w:eastAsia="Times New Roman"/>
          <w:sz w:val="24"/>
          <w:szCs w:val="24"/>
        </w:rPr>
      </w:pPr>
      <w:r w:rsidRPr="00044085">
        <w:rPr>
          <w:rFonts w:eastAsia="Times New Roman"/>
          <w:sz w:val="24"/>
          <w:szCs w:val="24"/>
        </w:rPr>
        <w:t>An interest in higher working capital cash operating cycle more pressure for liquidity in the short term that is longer usually signifies. working capital requirements when it expanded internationally that invested in technology which highlight the Marriott International to face a temporary increase in its value (Mazanec, 2022). Choice Hotels is also due to substantial international room growth which is increasing cash operating cycle to maintain the record hotel openings in 2025. It is pointing to higher working capital needs to drive future revenue growth and long-term competitive advantage in line with investments, likely intended.</w:t>
      </w:r>
    </w:p>
    <w:p w14:paraId="47B2B749" w14:textId="77777777" w:rsidR="003C08ED" w:rsidRPr="00044085" w:rsidRDefault="003C08ED" w:rsidP="00723378">
      <w:pPr>
        <w:pStyle w:val="Heading2"/>
        <w:rPr>
          <w:lang w:eastAsia="en-GB"/>
        </w:rPr>
      </w:pPr>
      <w:bookmarkStart w:id="16" w:name="_Toc234686412"/>
      <w:bookmarkStart w:id="17" w:name="_Toc234689611"/>
      <w:r w:rsidRPr="00044085">
        <w:rPr>
          <w:lang w:eastAsia="en-GB"/>
        </w:rPr>
        <w:lastRenderedPageBreak/>
        <w:t>2.2 Recommend Strategies to Improve Liquidity through Working Capital Reforms</w:t>
      </w:r>
      <w:bookmarkEnd w:id="16"/>
      <w:bookmarkEnd w:id="17"/>
      <w:r w:rsidRPr="00044085">
        <w:rPr>
          <w:lang w:eastAsia="en-GB"/>
        </w:rPr>
        <w:t> </w:t>
      </w:r>
    </w:p>
    <w:p w14:paraId="2E2E595E" w14:textId="77777777" w:rsidR="003C08ED" w:rsidRPr="00044085" w:rsidRDefault="003C08ED" w:rsidP="003C08ED">
      <w:pPr>
        <w:spacing w:after="240" w:line="360" w:lineRule="auto"/>
        <w:jc w:val="both"/>
        <w:rPr>
          <w:rFonts w:eastAsia="Times New Roman"/>
          <w:sz w:val="24"/>
          <w:szCs w:val="24"/>
          <w:lang w:eastAsia="en-GB"/>
        </w:rPr>
      </w:pPr>
      <w:r w:rsidRPr="00044085">
        <w:rPr>
          <w:rFonts w:eastAsia="Times New Roman"/>
          <w:color w:val="000000"/>
          <w:sz w:val="24"/>
          <w:szCs w:val="24"/>
          <w:lang w:eastAsia="en-GB"/>
        </w:rPr>
        <w:t xml:space="preserve">Effective implementation of working capital reforms is effective for Choice Hotels International in strengthening its liquidity with the improvement in cash flow and conversion of current assets into cash to meet time requirements. </w:t>
      </w:r>
      <w:r w:rsidRPr="00044085">
        <w:rPr>
          <w:rFonts w:eastAsia="Times New Roman"/>
          <w:b/>
          <w:bCs/>
          <w:i/>
          <w:iCs/>
          <w:color w:val="000000"/>
          <w:sz w:val="24"/>
          <w:szCs w:val="24"/>
          <w:lang w:eastAsia="en-GB"/>
        </w:rPr>
        <w:t xml:space="preserve">Accounts receivable management </w:t>
      </w:r>
      <w:r w:rsidRPr="00044085">
        <w:rPr>
          <w:rFonts w:eastAsia="Times New Roman"/>
          <w:color w:val="000000"/>
          <w:sz w:val="24"/>
          <w:szCs w:val="24"/>
          <w:lang w:eastAsia="en-GB"/>
        </w:rPr>
        <w:t>can be a strategic priority for Choice Hotels International's operations. Slower collection from franchisees and corporate customers is represented through the enhancement in Days Sales Outstanding (DSO) (Van Deventer, 2023). For collection acceleration, there is a requirement for strict credit policies, automated invoicing utilisation, early payment discount offering and a payment reminder system. </w:t>
      </w:r>
    </w:p>
    <w:p w14:paraId="43272990" w14:textId="5C434B8B" w:rsidR="003C08ED" w:rsidRPr="00044085" w:rsidRDefault="003C08ED" w:rsidP="003C08ED">
      <w:pPr>
        <w:spacing w:after="240" w:line="360" w:lineRule="auto"/>
        <w:jc w:val="both"/>
        <w:rPr>
          <w:rFonts w:eastAsia="Times New Roman"/>
          <w:sz w:val="24"/>
          <w:szCs w:val="24"/>
          <w:lang w:eastAsia="en-GB"/>
        </w:rPr>
      </w:pPr>
      <w:r w:rsidRPr="00044085">
        <w:rPr>
          <w:rFonts w:eastAsia="Times New Roman"/>
          <w:b/>
          <w:bCs/>
          <w:i/>
          <w:iCs/>
          <w:color w:val="000000"/>
          <w:sz w:val="24"/>
          <w:szCs w:val="24"/>
          <w:lang w:eastAsia="en-GB"/>
        </w:rPr>
        <w:t>Optimising inventory management</w:t>
      </w:r>
      <w:r w:rsidRPr="00044085">
        <w:rPr>
          <w:rFonts w:eastAsia="Times New Roman"/>
          <w:color w:val="000000"/>
          <w:sz w:val="24"/>
          <w:szCs w:val="24"/>
          <w:lang w:eastAsia="en-GB"/>
        </w:rPr>
        <w:t xml:space="preserve"> is another effective strategy that can be used at Choice Hotels International’s operation for the improvement in its liquidity level. At the current time, the firm’s operation is based on an asset-light franchise model with relatively low inventory requirements. However, opportunities for improvement are reflected through Inventory Outstanding (DIO) (Hänninen, 2024). Excess inventory risk can be reduced with the implementation of AI-based inventory forecasting, just-in-time purchasing and demand planning. Besi</w:t>
      </w:r>
      <w:r w:rsidR="00044085">
        <w:rPr>
          <w:rFonts w:eastAsia="Times New Roman"/>
          <w:color w:val="000000"/>
          <w:sz w:val="24"/>
          <w:szCs w:val="24"/>
          <w:lang w:eastAsia="en-GB"/>
        </w:rPr>
        <w:t>des that, it also helps in main</w:t>
      </w:r>
      <w:r w:rsidRPr="00044085">
        <w:rPr>
          <w:rFonts w:eastAsia="Times New Roman"/>
          <w:color w:val="000000"/>
          <w:sz w:val="24"/>
          <w:szCs w:val="24"/>
          <w:lang w:eastAsia="en-GB"/>
        </w:rPr>
        <w:t>t</w:t>
      </w:r>
      <w:r w:rsidR="00044085">
        <w:rPr>
          <w:rFonts w:eastAsia="Times New Roman"/>
          <w:color w:val="000000"/>
          <w:sz w:val="24"/>
          <w:szCs w:val="24"/>
          <w:lang w:eastAsia="en-GB"/>
        </w:rPr>
        <w:t>ain</w:t>
      </w:r>
      <w:r w:rsidRPr="00044085">
        <w:rPr>
          <w:rFonts w:eastAsia="Times New Roman"/>
          <w:color w:val="000000"/>
          <w:sz w:val="24"/>
          <w:szCs w:val="24"/>
          <w:lang w:eastAsia="en-GB"/>
        </w:rPr>
        <w:t>ing service quality. </w:t>
      </w:r>
    </w:p>
    <w:p w14:paraId="50725EEA" w14:textId="77777777" w:rsidR="003C08ED" w:rsidRPr="00044085" w:rsidRDefault="003C08ED" w:rsidP="003C08ED">
      <w:pPr>
        <w:spacing w:after="240" w:line="360" w:lineRule="auto"/>
        <w:jc w:val="both"/>
        <w:rPr>
          <w:rFonts w:eastAsia="Times New Roman"/>
          <w:sz w:val="24"/>
          <w:szCs w:val="24"/>
          <w:lang w:eastAsia="en-GB"/>
        </w:rPr>
      </w:pPr>
      <w:r w:rsidRPr="00044085">
        <w:rPr>
          <w:rFonts w:eastAsia="Times New Roman"/>
          <w:b/>
          <w:bCs/>
          <w:i/>
          <w:iCs/>
          <w:color w:val="000000"/>
          <w:sz w:val="24"/>
          <w:szCs w:val="24"/>
          <w:lang w:eastAsia="en-GB"/>
        </w:rPr>
        <w:t xml:space="preserve">Supplier payment management </w:t>
      </w:r>
      <w:r w:rsidRPr="00044085">
        <w:rPr>
          <w:rFonts w:eastAsia="Times New Roman"/>
          <w:color w:val="000000"/>
          <w:sz w:val="24"/>
          <w:szCs w:val="24"/>
          <w:lang w:eastAsia="en-GB"/>
        </w:rPr>
        <w:t>improvement also needs to be a key priority in its operations. This approach is effective for ensuring longer payment terms and decreasing the risk of poor relationships with suppliers. For the long run, Choice Hotels International can retain cash and well-aligned cash outflows with incoming receipts when there is the successful application of this approach. However, for the long-term partnership, there is a requirement for careful management of supplier credit.     </w:t>
      </w:r>
    </w:p>
    <w:p w14:paraId="4EB01C89" w14:textId="1404D424" w:rsidR="003C08ED" w:rsidRPr="00044085" w:rsidRDefault="003C08ED" w:rsidP="003C08ED">
      <w:pPr>
        <w:spacing w:after="240" w:line="360" w:lineRule="auto"/>
        <w:jc w:val="both"/>
        <w:rPr>
          <w:rFonts w:eastAsia="Times New Roman"/>
          <w:sz w:val="24"/>
          <w:szCs w:val="24"/>
          <w:lang w:eastAsia="en-GB"/>
        </w:rPr>
      </w:pPr>
      <w:r w:rsidRPr="00044085">
        <w:rPr>
          <w:rFonts w:eastAsia="Times New Roman"/>
          <w:b/>
          <w:bCs/>
          <w:i/>
          <w:iCs/>
          <w:color w:val="000000"/>
          <w:sz w:val="24"/>
          <w:szCs w:val="24"/>
          <w:lang w:eastAsia="en-GB"/>
        </w:rPr>
        <w:t>Cash flow forecasting</w:t>
      </w:r>
      <w:r w:rsidRPr="00044085">
        <w:rPr>
          <w:rFonts w:eastAsia="Times New Roman"/>
          <w:color w:val="000000"/>
          <w:sz w:val="24"/>
          <w:szCs w:val="24"/>
          <w:lang w:eastAsia="en-GB"/>
        </w:rPr>
        <w:t xml:space="preserve"> can be done at Choice Hotels International operation with the use of a digital financial management system. With this system, the firm can be able in effective assessment of the booking trends, seasonal demand and occupancy rates. Real-time planning for liquidity shortages can be done with accurate forecasting, and it also supports more robust financial decisions. In addition, loyalty programs and online reservations are effective for advanced consumer booking. Overall, all these </w:t>
      </w:r>
      <w:r w:rsidRPr="00044085">
        <w:rPr>
          <w:rFonts w:eastAsia="Times New Roman"/>
          <w:color w:val="000000"/>
          <w:sz w:val="24"/>
          <w:szCs w:val="24"/>
          <w:lang w:eastAsia="en-GB"/>
        </w:rPr>
        <w:lastRenderedPageBreak/>
        <w:t>collective approaches strengthen liquidity in operations and achieve sustainable operational growth.    </w:t>
      </w:r>
    </w:p>
    <w:p w14:paraId="55439254" w14:textId="0DB410EC" w:rsidR="003C08ED" w:rsidRPr="00044085" w:rsidRDefault="003C08ED" w:rsidP="00723378">
      <w:pPr>
        <w:pStyle w:val="Heading2"/>
        <w:rPr>
          <w:lang w:eastAsia="en-GB"/>
        </w:rPr>
      </w:pPr>
      <w:bookmarkStart w:id="18" w:name="_Toc234686413"/>
      <w:bookmarkStart w:id="19" w:name="_Toc234689612"/>
      <w:r w:rsidRPr="00044085">
        <w:rPr>
          <w:lang w:eastAsia="en-GB"/>
        </w:rPr>
        <w:t xml:space="preserve">2.3 Compare Short-Term </w:t>
      </w:r>
      <w:r w:rsidR="00723378" w:rsidRPr="00044085">
        <w:rPr>
          <w:lang w:eastAsia="en-GB"/>
        </w:rPr>
        <w:t>Vs</w:t>
      </w:r>
      <w:r w:rsidRPr="00044085">
        <w:rPr>
          <w:lang w:eastAsia="en-GB"/>
        </w:rPr>
        <w:t xml:space="preserve"> Long-Term Financing Options</w:t>
      </w:r>
      <w:bookmarkEnd w:id="18"/>
      <w:bookmarkEnd w:id="19"/>
    </w:p>
    <w:p w14:paraId="021742EC" w14:textId="6C0FDDD0" w:rsidR="00FE53F0" w:rsidRPr="00044085" w:rsidRDefault="003C08ED" w:rsidP="00FE7A5E">
      <w:pPr>
        <w:spacing w:after="240" w:line="360" w:lineRule="auto"/>
        <w:jc w:val="both"/>
        <w:rPr>
          <w:rFonts w:eastAsia="Times New Roman"/>
          <w:sz w:val="24"/>
          <w:szCs w:val="24"/>
          <w:lang w:eastAsia="en-GB"/>
        </w:rPr>
      </w:pPr>
      <w:r w:rsidRPr="00044085">
        <w:rPr>
          <w:rFonts w:eastAsia="Times New Roman"/>
          <w:color w:val="000000"/>
          <w:sz w:val="24"/>
          <w:szCs w:val="24"/>
          <w:lang w:eastAsia="en-GB"/>
        </w:rPr>
        <w:t xml:space="preserve">Both short-term and long-term financing can be effective for Choice Hotels International for financing its working capital. It generally depends on strategic and operational needs. In the </w:t>
      </w:r>
      <w:r w:rsidR="00723378" w:rsidRPr="00044085">
        <w:rPr>
          <w:rFonts w:eastAsia="Times New Roman"/>
          <w:color w:val="000000"/>
          <w:sz w:val="24"/>
          <w:szCs w:val="24"/>
          <w:lang w:eastAsia="en-GB"/>
        </w:rPr>
        <w:t>management</w:t>
      </w:r>
      <w:r w:rsidRPr="00044085">
        <w:rPr>
          <w:rFonts w:eastAsia="Times New Roman"/>
          <w:color w:val="000000"/>
          <w:sz w:val="24"/>
          <w:szCs w:val="24"/>
          <w:lang w:eastAsia="en-GB"/>
        </w:rPr>
        <w:t xml:space="preserve"> of seasonal fluctuations, payroll and other day-to-day operating expenses, there is the suitability of short-term financing like revolving credit facilities, trade credit and bank overdrafts. These sources are generally flexible, and there is a requirement of lower initial cost. However, borrowing that is renewed annually can impose the risk of refinancing and interest rate risk (Gąsiorowski et al., 2026). In contrast, the resources for long-term financing include equity financing and corporate bonds. These approaches are significant for the expansion of hotels, international growth and hotel expansion. Spreading repayments over a long period of time enables the firm to achieve greater financial stability. However, a key risk associated with it is dilution of shareholder ownership and high financing costs. The current ratio of the hotel is below 1.0, and the long-term debt is approximately $1.91 billion in 2025, </w:t>
      </w:r>
      <w:r w:rsidR="00723378" w:rsidRPr="00044085">
        <w:rPr>
          <w:rFonts w:eastAsia="Times New Roman"/>
          <w:color w:val="000000"/>
          <w:sz w:val="24"/>
          <w:szCs w:val="24"/>
          <w:lang w:eastAsia="en-GB"/>
        </w:rPr>
        <w:t>thus</w:t>
      </w:r>
      <w:r w:rsidRPr="00044085">
        <w:rPr>
          <w:rFonts w:eastAsia="Times New Roman"/>
          <w:color w:val="000000"/>
          <w:sz w:val="24"/>
          <w:szCs w:val="24"/>
          <w:lang w:eastAsia="en-GB"/>
        </w:rPr>
        <w:t xml:space="preserve"> there is a requirement for a balanced financial strategy. A balanced approach </w:t>
      </w:r>
      <w:r w:rsidR="009F24E2" w:rsidRPr="00044085">
        <w:rPr>
          <w:rFonts w:eastAsia="Times New Roman"/>
          <w:color w:val="000000"/>
          <w:sz w:val="24"/>
          <w:szCs w:val="24"/>
          <w:lang w:eastAsia="en-GB"/>
        </w:rPr>
        <w:t>supports</w:t>
      </w:r>
      <w:r w:rsidRPr="00044085">
        <w:rPr>
          <w:rFonts w:eastAsia="Times New Roman"/>
          <w:color w:val="000000"/>
          <w:sz w:val="24"/>
          <w:szCs w:val="24"/>
          <w:lang w:eastAsia="en-GB"/>
        </w:rPr>
        <w:t xml:space="preserve"> </w:t>
      </w:r>
      <w:r w:rsidR="00FE7A5E" w:rsidRPr="00044085">
        <w:rPr>
          <w:rFonts w:eastAsia="Times New Roman"/>
          <w:color w:val="000000"/>
          <w:sz w:val="24"/>
          <w:szCs w:val="24"/>
          <w:lang w:eastAsia="en-GB"/>
        </w:rPr>
        <w:t>sustainable</w:t>
      </w:r>
      <w:r w:rsidRPr="00044085">
        <w:rPr>
          <w:rFonts w:eastAsia="Times New Roman"/>
          <w:color w:val="000000"/>
          <w:sz w:val="24"/>
          <w:szCs w:val="24"/>
          <w:lang w:eastAsia="en-GB"/>
        </w:rPr>
        <w:t xml:space="preserve"> </w:t>
      </w:r>
      <w:r w:rsidR="00FE7A5E" w:rsidRPr="00044085">
        <w:rPr>
          <w:rFonts w:eastAsia="Times New Roman"/>
          <w:color w:val="000000"/>
          <w:sz w:val="24"/>
          <w:szCs w:val="24"/>
          <w:lang w:eastAsia="en-GB"/>
        </w:rPr>
        <w:t>growth and</w:t>
      </w:r>
      <w:r w:rsidRPr="00044085">
        <w:rPr>
          <w:rFonts w:eastAsia="Times New Roman"/>
          <w:color w:val="000000"/>
          <w:sz w:val="24"/>
          <w:szCs w:val="24"/>
          <w:lang w:eastAsia="en-GB"/>
        </w:rPr>
        <w:t xml:space="preserve"> strengthen shareholder value. </w:t>
      </w:r>
    </w:p>
    <w:p w14:paraId="6D147295" w14:textId="77777777" w:rsidR="00401998" w:rsidRPr="00044085" w:rsidRDefault="005A0314" w:rsidP="00FE53F0">
      <w:pPr>
        <w:pStyle w:val="Heading1"/>
      </w:pPr>
      <w:bookmarkStart w:id="20" w:name="_Toc234686414"/>
      <w:bookmarkStart w:id="21" w:name="_Toc234689613"/>
      <w:r w:rsidRPr="00044085">
        <w:t>3. Strategic Financial Restructuring Plan</w:t>
      </w:r>
      <w:bookmarkEnd w:id="20"/>
      <w:bookmarkEnd w:id="21"/>
    </w:p>
    <w:p w14:paraId="447CAE72" w14:textId="77777777" w:rsidR="00401998" w:rsidRPr="00044085" w:rsidRDefault="005A0314" w:rsidP="00FE53F0">
      <w:pPr>
        <w:pStyle w:val="Heading2"/>
      </w:pPr>
      <w:bookmarkStart w:id="22" w:name="_Toc234686415"/>
      <w:bookmarkStart w:id="23" w:name="_Toc234689614"/>
      <w:r w:rsidRPr="00044085">
        <w:t>3.1 Financial Restructuring Options</w:t>
      </w:r>
      <w:bookmarkEnd w:id="22"/>
      <w:bookmarkEnd w:id="23"/>
    </w:p>
    <w:p w14:paraId="7E3D300A"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 xml:space="preserve">Divestiture </w:t>
      </w:r>
    </w:p>
    <w:p w14:paraId="0C68EDAA" w14:textId="2D9D81D0"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Choice Hotels may divest their underperforming owned hotel assets and non-core investments in a move to unlock fresh capital while enhancing financial efficiency. The funds raised can be used to lower debt, bolster liquidity, pay for growth capital expenditures and expand into higher-growth segments (McGrath, and O’Neill, 2025). Marriott International shifted to an asset light strategy that makes the company more profitable while incurring less capital expenditure to ensure sustainable </w:t>
      </w:r>
      <w:r w:rsidR="00FE53F0" w:rsidRPr="00044085">
        <w:rPr>
          <w:rFonts w:eastAsia="Times New Roman"/>
          <w:sz w:val="24"/>
          <w:szCs w:val="24"/>
        </w:rPr>
        <w:t>long-term</w:t>
      </w:r>
      <w:r w:rsidRPr="00044085">
        <w:rPr>
          <w:rFonts w:eastAsia="Times New Roman"/>
          <w:sz w:val="24"/>
          <w:szCs w:val="24"/>
        </w:rPr>
        <w:t xml:space="preserve"> growth.</w:t>
      </w:r>
    </w:p>
    <w:p w14:paraId="30725A51"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 xml:space="preserve">Merger </w:t>
      </w:r>
    </w:p>
    <w:p w14:paraId="2DFF9AD0" w14:textId="48303D84" w:rsidR="00401998" w:rsidRPr="00044085" w:rsidRDefault="005A0314">
      <w:pPr>
        <w:spacing w:after="200" w:line="360" w:lineRule="auto"/>
        <w:jc w:val="both"/>
        <w:rPr>
          <w:rFonts w:eastAsia="Times New Roman"/>
          <w:sz w:val="24"/>
          <w:szCs w:val="24"/>
        </w:rPr>
      </w:pPr>
      <w:r w:rsidRPr="00044085">
        <w:rPr>
          <w:rFonts w:eastAsia="Times New Roman"/>
          <w:sz w:val="24"/>
          <w:szCs w:val="24"/>
        </w:rPr>
        <w:lastRenderedPageBreak/>
        <w:t xml:space="preserve">Choice Hotels should consider strategic mergers or acquisitions with regional hotel operators in emerging markets to accelerate international arrival and increase market share. </w:t>
      </w:r>
      <w:r w:rsidR="00AB5CEA" w:rsidRPr="00044085">
        <w:rPr>
          <w:rFonts w:eastAsia="Times New Roman"/>
          <w:sz w:val="24"/>
          <w:szCs w:val="24"/>
        </w:rPr>
        <w:t xml:space="preserve">Improve bargaining power with suppliers in franchisees so, </w:t>
      </w:r>
      <w:r w:rsidRPr="00044085">
        <w:rPr>
          <w:rFonts w:eastAsia="Times New Roman"/>
          <w:sz w:val="24"/>
          <w:szCs w:val="24"/>
        </w:rPr>
        <w:t>Mergers may produce increased efficiencies, strengthen brand portfolios</w:t>
      </w:r>
      <w:r w:rsidR="00AB5CEA" w:rsidRPr="00044085">
        <w:rPr>
          <w:rFonts w:eastAsia="Times New Roman"/>
          <w:sz w:val="24"/>
          <w:szCs w:val="24"/>
        </w:rPr>
        <w:t xml:space="preserve"> </w:t>
      </w:r>
      <w:r w:rsidRPr="00044085">
        <w:rPr>
          <w:rFonts w:eastAsia="Times New Roman"/>
          <w:sz w:val="24"/>
          <w:szCs w:val="24"/>
        </w:rPr>
        <w:t>(Zaramella, 2023). The purchase of Apple Leisure Group by Hyatt Hotels illustrates how business mergers can broaden revenue production and reach a global audience.</w:t>
      </w:r>
    </w:p>
    <w:p w14:paraId="41E2D8AE"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Equity Injection</w:t>
      </w:r>
    </w:p>
    <w:p w14:paraId="369F711D"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The company can improve its debt equity position and reduce its dependence on debt financing by raising additional equity through institutional investors or strategic partners. Increasing funds from shareholders would increase liquidity and strengthen the technological financial injection in the international investment programs (McGrath, and O’Neill, 2025). From time to time, Hilton Worldwide markets equity capital to finance future expansion opportunities while keeping flexible and investors satisfied.</w:t>
      </w:r>
    </w:p>
    <w:p w14:paraId="1DC34093" w14:textId="77777777" w:rsidR="00401998" w:rsidRPr="00044085" w:rsidRDefault="005A0314" w:rsidP="00FE53F0">
      <w:pPr>
        <w:pStyle w:val="Heading2"/>
      </w:pPr>
      <w:bookmarkStart w:id="24" w:name="_Toc234686416"/>
      <w:bookmarkStart w:id="25" w:name="_Toc234689615"/>
      <w:r w:rsidRPr="00044085">
        <w:t>3.2 Evaluate impact on Restructuring Plan</w:t>
      </w:r>
      <w:bookmarkEnd w:id="24"/>
      <w:bookmarkEnd w:id="25"/>
    </w:p>
    <w:p w14:paraId="6691157A"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Shareholder Value</w:t>
      </w:r>
    </w:p>
    <w:p w14:paraId="66F1CD7F" w14:textId="7640CEF2"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Shareholder value can be improved through financial restructuring through profit maximization and financial risk reduction. Selling off assets and reducing debts can bring down the cost of interest and raise EPS rate over time. </w:t>
      </w:r>
      <w:r w:rsidR="00AB5CEA" w:rsidRPr="00044085">
        <w:rPr>
          <w:rFonts w:eastAsia="Times New Roman"/>
          <w:sz w:val="24"/>
          <w:szCs w:val="24"/>
        </w:rPr>
        <w:t>An initial dilutive impact on ownership a</w:t>
      </w:r>
      <w:r w:rsidRPr="00044085">
        <w:rPr>
          <w:rFonts w:eastAsia="Times New Roman"/>
          <w:sz w:val="24"/>
          <w:szCs w:val="24"/>
        </w:rPr>
        <w:t>lthough</w:t>
      </w:r>
      <w:r w:rsidR="00AB5CEA" w:rsidRPr="00044085">
        <w:rPr>
          <w:rFonts w:eastAsia="Times New Roman"/>
          <w:sz w:val="24"/>
          <w:szCs w:val="24"/>
        </w:rPr>
        <w:t xml:space="preserve"> impact on their</w:t>
      </w:r>
      <w:r w:rsidRPr="00044085">
        <w:rPr>
          <w:rFonts w:eastAsia="Times New Roman"/>
          <w:sz w:val="24"/>
          <w:szCs w:val="24"/>
        </w:rPr>
        <w:t xml:space="preserve"> long-term value generation </w:t>
      </w:r>
      <w:r w:rsidR="00AB5CEA" w:rsidRPr="00044085">
        <w:rPr>
          <w:rFonts w:eastAsia="Times New Roman"/>
          <w:sz w:val="24"/>
          <w:szCs w:val="24"/>
        </w:rPr>
        <w:t xml:space="preserve">which </w:t>
      </w:r>
      <w:r w:rsidRPr="00044085">
        <w:rPr>
          <w:rFonts w:eastAsia="Times New Roman"/>
          <w:sz w:val="24"/>
          <w:szCs w:val="24"/>
        </w:rPr>
        <w:t xml:space="preserve">is the objective, equity injections </w:t>
      </w:r>
      <w:r w:rsidR="00AB5CEA" w:rsidRPr="00044085">
        <w:rPr>
          <w:rFonts w:eastAsia="Times New Roman"/>
          <w:sz w:val="24"/>
          <w:szCs w:val="24"/>
        </w:rPr>
        <w:t>in</w:t>
      </w:r>
      <w:r w:rsidRPr="00044085">
        <w:rPr>
          <w:rFonts w:eastAsia="Times New Roman"/>
          <w:sz w:val="24"/>
          <w:szCs w:val="24"/>
        </w:rPr>
        <w:t xml:space="preserve"> strategic mergers often result (Trejo-Pech, and White, 2022). This </w:t>
      </w:r>
      <w:r w:rsidR="00AB5CEA" w:rsidRPr="00044085">
        <w:rPr>
          <w:rFonts w:eastAsia="Times New Roman"/>
          <w:sz w:val="24"/>
          <w:szCs w:val="24"/>
        </w:rPr>
        <w:t xml:space="preserve">stronger competitive positioning </w:t>
      </w:r>
      <w:r w:rsidRPr="00044085">
        <w:rPr>
          <w:rFonts w:eastAsia="Times New Roman"/>
          <w:sz w:val="24"/>
          <w:szCs w:val="24"/>
        </w:rPr>
        <w:t xml:space="preserve">occurs through revenue growth </w:t>
      </w:r>
      <w:r w:rsidR="00AB5CEA" w:rsidRPr="00044085">
        <w:rPr>
          <w:rFonts w:eastAsia="Times New Roman"/>
          <w:sz w:val="24"/>
          <w:szCs w:val="24"/>
        </w:rPr>
        <w:t>which highlight that the c</w:t>
      </w:r>
      <w:r w:rsidRPr="00044085">
        <w:rPr>
          <w:rFonts w:eastAsia="Times New Roman"/>
          <w:sz w:val="24"/>
          <w:szCs w:val="24"/>
        </w:rPr>
        <w:t xml:space="preserve">apacity likely supports higher valuations. </w:t>
      </w:r>
    </w:p>
    <w:p w14:paraId="65657BB8"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Debt Structure</w:t>
      </w:r>
    </w:p>
    <w:p w14:paraId="014821FB" w14:textId="4C4C929E" w:rsidR="00401998" w:rsidRPr="00044085" w:rsidRDefault="00AB5CEA">
      <w:pPr>
        <w:spacing w:after="200" w:line="360" w:lineRule="auto"/>
        <w:jc w:val="both"/>
        <w:rPr>
          <w:rFonts w:eastAsia="Times New Roman"/>
          <w:sz w:val="24"/>
          <w:szCs w:val="24"/>
        </w:rPr>
      </w:pPr>
      <w:r w:rsidRPr="00044085">
        <w:rPr>
          <w:rFonts w:eastAsia="Times New Roman"/>
          <w:sz w:val="24"/>
          <w:szCs w:val="24"/>
        </w:rPr>
        <w:t>Long-term debt exceeding $1.9 billion across Choice Hotels carries a high level of leverage with in 2025. The firm can</w:t>
      </w:r>
      <w:r w:rsidR="00F64F19" w:rsidRPr="00044085">
        <w:rPr>
          <w:rFonts w:eastAsia="Times New Roman"/>
          <w:sz w:val="24"/>
          <w:szCs w:val="24"/>
        </w:rPr>
        <w:t xml:space="preserve"> dependence on debt and improve its debt ratios</w:t>
      </w:r>
      <w:r w:rsidRPr="00044085">
        <w:rPr>
          <w:rFonts w:eastAsia="Times New Roman"/>
          <w:sz w:val="24"/>
          <w:szCs w:val="24"/>
        </w:rPr>
        <w:t xml:space="preserve"> </w:t>
      </w:r>
      <w:r w:rsidR="00F64F19" w:rsidRPr="00044085">
        <w:rPr>
          <w:rFonts w:eastAsia="Times New Roman"/>
          <w:sz w:val="24"/>
          <w:szCs w:val="24"/>
        </w:rPr>
        <w:t xml:space="preserve">that may </w:t>
      </w:r>
      <w:r w:rsidRPr="00044085">
        <w:rPr>
          <w:rFonts w:eastAsia="Times New Roman"/>
          <w:sz w:val="24"/>
          <w:szCs w:val="24"/>
        </w:rPr>
        <w:t xml:space="preserve">offer for sale assets </w:t>
      </w:r>
      <w:r w:rsidR="00F64F19" w:rsidRPr="00044085">
        <w:rPr>
          <w:rFonts w:eastAsia="Times New Roman"/>
          <w:sz w:val="24"/>
          <w:szCs w:val="24"/>
        </w:rPr>
        <w:t>to</w:t>
      </w:r>
      <w:r w:rsidRPr="00044085">
        <w:rPr>
          <w:rFonts w:eastAsia="Times New Roman"/>
          <w:sz w:val="24"/>
          <w:szCs w:val="24"/>
        </w:rPr>
        <w:t xml:space="preserve"> raise equity capital </w:t>
      </w:r>
      <w:r w:rsidR="00F64F19" w:rsidRPr="00044085">
        <w:rPr>
          <w:rFonts w:eastAsia="Times New Roman"/>
          <w:sz w:val="24"/>
          <w:szCs w:val="24"/>
        </w:rPr>
        <w:t>in</w:t>
      </w:r>
      <w:r w:rsidRPr="00044085">
        <w:rPr>
          <w:rFonts w:eastAsia="Times New Roman"/>
          <w:sz w:val="24"/>
          <w:szCs w:val="24"/>
        </w:rPr>
        <w:t xml:space="preserve"> lessen. </w:t>
      </w:r>
      <w:r w:rsidR="00F64F19" w:rsidRPr="00044085">
        <w:rPr>
          <w:rFonts w:eastAsia="Times New Roman"/>
          <w:sz w:val="24"/>
          <w:szCs w:val="24"/>
        </w:rPr>
        <w:t>while improving credit rating in a</w:t>
      </w:r>
      <w:r w:rsidRPr="00044085">
        <w:rPr>
          <w:rFonts w:eastAsia="Times New Roman"/>
          <w:sz w:val="24"/>
          <w:szCs w:val="24"/>
        </w:rPr>
        <w:t xml:space="preserve"> stronger capital structure decreases the risk of refinancing </w:t>
      </w:r>
      <w:r w:rsidR="00F64F19" w:rsidRPr="00044085">
        <w:rPr>
          <w:rFonts w:eastAsia="Times New Roman"/>
          <w:sz w:val="24"/>
          <w:szCs w:val="24"/>
        </w:rPr>
        <w:t>across the</w:t>
      </w:r>
      <w:r w:rsidRPr="00044085">
        <w:rPr>
          <w:rFonts w:eastAsia="Times New Roman"/>
          <w:sz w:val="24"/>
          <w:szCs w:val="24"/>
        </w:rPr>
        <w:t xml:space="preserve"> interest payment (Mazanec, 2022). </w:t>
      </w:r>
      <w:r w:rsidR="00F64F19" w:rsidRPr="00044085">
        <w:rPr>
          <w:rFonts w:eastAsia="Times New Roman"/>
          <w:sz w:val="24"/>
          <w:szCs w:val="24"/>
        </w:rPr>
        <w:t>earnings can fluctuate widely with the economy which is k</w:t>
      </w:r>
      <w:r w:rsidRPr="00044085">
        <w:rPr>
          <w:rFonts w:eastAsia="Times New Roman"/>
          <w:sz w:val="24"/>
          <w:szCs w:val="24"/>
        </w:rPr>
        <w:t>eeping a stable debt structure is especially critical in hospitality.</w:t>
      </w:r>
    </w:p>
    <w:p w14:paraId="474C4F62"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Operational Flexibility</w:t>
      </w:r>
    </w:p>
    <w:p w14:paraId="558E3B18" w14:textId="3DDDEB30" w:rsidR="00401998" w:rsidRPr="00044085" w:rsidRDefault="00F64F19">
      <w:pPr>
        <w:spacing w:after="200" w:line="360" w:lineRule="auto"/>
        <w:jc w:val="both"/>
        <w:rPr>
          <w:rFonts w:eastAsia="Times New Roman"/>
          <w:sz w:val="24"/>
          <w:szCs w:val="24"/>
        </w:rPr>
      </w:pPr>
      <w:r w:rsidRPr="00044085">
        <w:rPr>
          <w:rFonts w:eastAsia="Times New Roman"/>
          <w:sz w:val="24"/>
          <w:szCs w:val="24"/>
        </w:rPr>
        <w:lastRenderedPageBreak/>
        <w:t>Reducing financial constraints in financial restructuring can greatly enhance operational flexibility, increasing resource availability. Management can invest more in tech, international expansion and franchise operations due to lower debt levels (KODURU, 2022). A company’s ability to adapt to changes in the market and economic uncertainty can be also improved by equity funding and strategic partnerships. The company can seize new opportunities and respond to competitive pressures as they arise with improved financial flexibility.</w:t>
      </w:r>
    </w:p>
    <w:p w14:paraId="4C7DDA84" w14:textId="77777777" w:rsidR="00401998" w:rsidRPr="00044085" w:rsidRDefault="005A0314" w:rsidP="00FE53F0">
      <w:pPr>
        <w:pStyle w:val="Heading2"/>
      </w:pPr>
      <w:bookmarkStart w:id="26" w:name="_Toc234686417"/>
      <w:bookmarkStart w:id="27" w:name="_Toc234689616"/>
      <w:r w:rsidRPr="00044085">
        <w:t>3.3 International and Ethical Considerations</w:t>
      </w:r>
      <w:bookmarkEnd w:id="26"/>
      <w:bookmarkEnd w:id="27"/>
    </w:p>
    <w:p w14:paraId="1334C8C8"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Choice Hotels faces exposure to various corporate tax jurisdictions transfer pricing rules and withholding taxes through international expansion. Effective planning of taxes can enhance after-tax profitability and cash flows, while non-compliance may lead to a fine and dent reputation. An organisation must avoid tax evasions and comply with local and international taxation requirements.</w:t>
      </w:r>
    </w:p>
    <w:p w14:paraId="6B07576D" w14:textId="0DF98467"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Thus, As the company expands operations into international markets, </w:t>
      </w:r>
      <w:r w:rsidR="00044085" w:rsidRPr="00044085">
        <w:rPr>
          <w:rFonts w:eastAsia="Times New Roman"/>
          <w:sz w:val="24"/>
          <w:szCs w:val="24"/>
        </w:rPr>
        <w:t>it</w:t>
      </w:r>
      <w:r w:rsidRPr="00044085">
        <w:rPr>
          <w:rFonts w:eastAsia="Times New Roman"/>
          <w:sz w:val="24"/>
          <w:szCs w:val="24"/>
        </w:rPr>
        <w:t xml:space="preserve"> will be more exposed to foreign currencies. The translation of revenues to U.S. dollars could lower reported revenue or profitability due to depreciation in foreign markets (Adedolapo et al., 2024). In order to protect shareholders’ value from financial volatility, Choice Hotels should employ hedging strategies and </w:t>
      </w:r>
      <w:r w:rsidR="00FE53F0" w:rsidRPr="00044085">
        <w:rPr>
          <w:rFonts w:eastAsia="Times New Roman"/>
          <w:sz w:val="24"/>
          <w:szCs w:val="24"/>
        </w:rPr>
        <w:t>spread-out</w:t>
      </w:r>
      <w:r w:rsidRPr="00044085">
        <w:rPr>
          <w:rFonts w:eastAsia="Times New Roman"/>
          <w:sz w:val="24"/>
          <w:szCs w:val="24"/>
        </w:rPr>
        <w:t xml:space="preserve"> operations widely in different geographical regions.</w:t>
      </w:r>
    </w:p>
    <w:p w14:paraId="13B1E856" w14:textId="288543A8"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Persistent inflation raises operating costs, including labour, maintenance and technology (Majka, 2024).  </w:t>
      </w:r>
      <w:r w:rsidR="00F64F19" w:rsidRPr="00044085">
        <w:rPr>
          <w:rFonts w:eastAsia="Times New Roman"/>
          <w:sz w:val="24"/>
          <w:szCs w:val="24"/>
        </w:rPr>
        <w:t>Travel demand h</w:t>
      </w:r>
      <w:r w:rsidRPr="00044085">
        <w:rPr>
          <w:rFonts w:eastAsia="Times New Roman"/>
          <w:sz w:val="24"/>
          <w:szCs w:val="24"/>
        </w:rPr>
        <w:t xml:space="preserve">igher inflation can reduce consumer discretionary spending </w:t>
      </w:r>
      <w:r w:rsidR="00F64F19" w:rsidRPr="00044085">
        <w:rPr>
          <w:rFonts w:eastAsia="Times New Roman"/>
          <w:sz w:val="24"/>
          <w:szCs w:val="24"/>
        </w:rPr>
        <w:t>here as per the system</w:t>
      </w:r>
      <w:r w:rsidRPr="00044085">
        <w:rPr>
          <w:rFonts w:eastAsia="Times New Roman"/>
          <w:sz w:val="24"/>
          <w:szCs w:val="24"/>
        </w:rPr>
        <w:t xml:space="preserve"> (Park et al., 2025). </w:t>
      </w:r>
      <w:r w:rsidR="00F64F19" w:rsidRPr="00044085">
        <w:rPr>
          <w:rFonts w:eastAsia="Times New Roman"/>
          <w:sz w:val="24"/>
          <w:szCs w:val="24"/>
        </w:rPr>
        <w:t xml:space="preserve">pricing strategies, enhance operational efficiencies which lead to </w:t>
      </w:r>
      <w:r w:rsidR="00044085">
        <w:rPr>
          <w:rFonts w:eastAsia="Times New Roman"/>
          <w:sz w:val="24"/>
          <w:szCs w:val="24"/>
        </w:rPr>
        <w:t>demonstrate</w:t>
      </w:r>
      <w:r w:rsidR="00F64F19" w:rsidRPr="00044085">
        <w:rPr>
          <w:rFonts w:eastAsia="Times New Roman"/>
          <w:sz w:val="24"/>
          <w:szCs w:val="24"/>
        </w:rPr>
        <w:t xml:space="preserve"> the c</w:t>
      </w:r>
      <w:r w:rsidRPr="00044085">
        <w:rPr>
          <w:rFonts w:eastAsia="Times New Roman"/>
          <w:sz w:val="24"/>
          <w:szCs w:val="24"/>
        </w:rPr>
        <w:t xml:space="preserve">hoice Hotels must use dynamic </w:t>
      </w:r>
      <w:r w:rsidR="00F64F19" w:rsidRPr="00044085">
        <w:rPr>
          <w:rFonts w:eastAsia="Times New Roman"/>
          <w:sz w:val="24"/>
          <w:szCs w:val="24"/>
        </w:rPr>
        <w:t>to</w:t>
      </w:r>
      <w:r w:rsidRPr="00044085">
        <w:rPr>
          <w:rFonts w:eastAsia="Times New Roman"/>
          <w:sz w:val="24"/>
          <w:szCs w:val="24"/>
        </w:rPr>
        <w:t xml:space="preserve"> maintain disciplined cost managemen</w:t>
      </w:r>
      <w:r w:rsidR="00F64F19" w:rsidRPr="00044085">
        <w:rPr>
          <w:rFonts w:eastAsia="Times New Roman"/>
          <w:sz w:val="24"/>
          <w:szCs w:val="24"/>
        </w:rPr>
        <w:t xml:space="preserve">t. long-term financial performance in the Inflationary environment helps </w:t>
      </w:r>
      <w:r w:rsidRPr="00044085">
        <w:rPr>
          <w:rFonts w:eastAsia="Times New Roman"/>
          <w:sz w:val="24"/>
          <w:szCs w:val="24"/>
        </w:rPr>
        <w:t xml:space="preserve">to protect profit margins </w:t>
      </w:r>
      <w:r w:rsidR="00F64F19" w:rsidRPr="00044085">
        <w:rPr>
          <w:rFonts w:eastAsia="Times New Roman"/>
          <w:sz w:val="24"/>
          <w:szCs w:val="24"/>
        </w:rPr>
        <w:t xml:space="preserve">which highlight that </w:t>
      </w:r>
      <w:r w:rsidRPr="00044085">
        <w:rPr>
          <w:rFonts w:eastAsia="Times New Roman"/>
          <w:sz w:val="24"/>
          <w:szCs w:val="24"/>
        </w:rPr>
        <w:t>sustain</w:t>
      </w:r>
      <w:r w:rsidR="00F64F19" w:rsidRPr="00044085">
        <w:rPr>
          <w:rFonts w:eastAsia="Times New Roman"/>
          <w:sz w:val="24"/>
          <w:szCs w:val="24"/>
        </w:rPr>
        <w:t xml:space="preserve"> system</w:t>
      </w:r>
      <w:r w:rsidRPr="00044085">
        <w:rPr>
          <w:rFonts w:eastAsia="Times New Roman"/>
          <w:sz w:val="24"/>
          <w:szCs w:val="24"/>
        </w:rPr>
        <w:t>.</w:t>
      </w:r>
    </w:p>
    <w:p w14:paraId="2B2AE8E9" w14:textId="0BD60DE0" w:rsidR="00401998" w:rsidRPr="00044085" w:rsidRDefault="005A0314">
      <w:pPr>
        <w:spacing w:after="200" w:line="360" w:lineRule="auto"/>
        <w:jc w:val="both"/>
        <w:rPr>
          <w:rFonts w:eastAsia="Times New Roman"/>
          <w:sz w:val="24"/>
          <w:szCs w:val="24"/>
        </w:rPr>
      </w:pPr>
      <w:r w:rsidRPr="00044085">
        <w:rPr>
          <w:rFonts w:eastAsia="Times New Roman"/>
          <w:sz w:val="24"/>
          <w:szCs w:val="24"/>
        </w:rPr>
        <w:t>The company's</w:t>
      </w:r>
      <w:r w:rsidR="00F64F19" w:rsidRPr="00044085">
        <w:rPr>
          <w:rFonts w:eastAsia="Times New Roman"/>
          <w:sz w:val="24"/>
          <w:szCs w:val="24"/>
        </w:rPr>
        <w:t xml:space="preserve"> consumers' decisions highlight the</w:t>
      </w:r>
      <w:r w:rsidRPr="00044085">
        <w:rPr>
          <w:rFonts w:eastAsia="Times New Roman"/>
          <w:sz w:val="24"/>
          <w:szCs w:val="24"/>
        </w:rPr>
        <w:t xml:space="preserve"> reputation</w:t>
      </w:r>
      <w:r w:rsidR="00F64F19" w:rsidRPr="00044085">
        <w:rPr>
          <w:rFonts w:eastAsia="Times New Roman"/>
          <w:sz w:val="24"/>
          <w:szCs w:val="24"/>
        </w:rPr>
        <w:t xml:space="preserve"> which may</w:t>
      </w:r>
      <w:r w:rsidRPr="00044085">
        <w:rPr>
          <w:rFonts w:eastAsia="Times New Roman"/>
          <w:sz w:val="24"/>
          <w:szCs w:val="24"/>
        </w:rPr>
        <w:t xml:space="preserve"> impacts</w:t>
      </w:r>
      <w:r w:rsidR="00F64F19" w:rsidRPr="00044085">
        <w:rPr>
          <w:rFonts w:eastAsia="Times New Roman"/>
          <w:sz w:val="24"/>
          <w:szCs w:val="24"/>
        </w:rPr>
        <w:t xml:space="preserve"> on their</w:t>
      </w:r>
      <w:r w:rsidRPr="00044085">
        <w:rPr>
          <w:rFonts w:eastAsia="Times New Roman"/>
          <w:sz w:val="24"/>
          <w:szCs w:val="24"/>
        </w:rPr>
        <w:t xml:space="preserve"> investors' </w:t>
      </w:r>
      <w:r w:rsidR="00F64F19" w:rsidRPr="00044085">
        <w:rPr>
          <w:rFonts w:eastAsia="Times New Roman"/>
          <w:sz w:val="24"/>
          <w:szCs w:val="24"/>
        </w:rPr>
        <w:t>that lead to maintain their sytem</w:t>
      </w:r>
      <w:r w:rsidRPr="00044085">
        <w:rPr>
          <w:rFonts w:eastAsia="Times New Roman"/>
          <w:sz w:val="24"/>
          <w:szCs w:val="24"/>
        </w:rPr>
        <w:t xml:space="preserve">.  Choice Hotels must emphasize sustainability operations, energy-efficiency, employee welfare, and responsible governance practices. An organization’s performance on environmental, social, and </w:t>
      </w:r>
      <w:r w:rsidRPr="00044085">
        <w:rPr>
          <w:rFonts w:eastAsia="Times New Roman"/>
          <w:sz w:val="24"/>
          <w:szCs w:val="24"/>
        </w:rPr>
        <w:lastRenderedPageBreak/>
        <w:t>governance (ESG) measures is increasingly influential to its brand and reputation, stakeholder trust, and investment attractiveness.</w:t>
      </w:r>
    </w:p>
    <w:p w14:paraId="2835F8EE" w14:textId="77777777" w:rsidR="00401998" w:rsidRPr="00044085" w:rsidRDefault="005A0314" w:rsidP="00FE53F0">
      <w:pPr>
        <w:pStyle w:val="Heading1"/>
      </w:pPr>
      <w:bookmarkStart w:id="28" w:name="_Toc234686418"/>
      <w:bookmarkStart w:id="29" w:name="_Toc234689617"/>
      <w:r w:rsidRPr="00044085">
        <w:t>4. Investment Appraisal and Capital Budgeting</w:t>
      </w:r>
      <w:bookmarkEnd w:id="28"/>
      <w:bookmarkEnd w:id="29"/>
    </w:p>
    <w:p w14:paraId="399B8479" w14:textId="77777777" w:rsidR="00401998" w:rsidRPr="00044085" w:rsidRDefault="005A0314" w:rsidP="00FE53F0">
      <w:pPr>
        <w:pStyle w:val="Heading2"/>
      </w:pPr>
      <w:bookmarkStart w:id="30" w:name="_Toc234686419"/>
      <w:bookmarkStart w:id="31" w:name="_Toc234689618"/>
      <w:r w:rsidRPr="00044085">
        <w:t>4.1 Investment projects</w:t>
      </w:r>
      <w:bookmarkEnd w:id="30"/>
      <w:bookmarkEnd w:id="31"/>
    </w:p>
    <w:p w14:paraId="1E35F0C6"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Project A</w:t>
      </w:r>
    </w:p>
    <w:p w14:paraId="1662951A"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Project A entails an initial cash outlay of £50 million and total undiscounted cash inflows of £54 million over 5 years The payback period of the project is about 4.92 years, which indicates that the cost will be recovered near the end of the project. When you use straight-line depreciation to zero, annual depreciation equals £10 million (£50m ÷ 5). The project generates an ARR of 43% which indicates its accounting profitability is quite attractive.</w:t>
      </w:r>
    </w:p>
    <w:p w14:paraId="5EFED09F" w14:textId="01D89989" w:rsidR="00401998" w:rsidRPr="00044085" w:rsidRDefault="005A0314">
      <w:pPr>
        <w:spacing w:after="200" w:line="360" w:lineRule="auto"/>
        <w:jc w:val="both"/>
        <w:rPr>
          <w:rFonts w:eastAsia="Times New Roman"/>
          <w:sz w:val="24"/>
          <w:szCs w:val="24"/>
        </w:rPr>
      </w:pPr>
      <w:r w:rsidRPr="00044085">
        <w:rPr>
          <w:rFonts w:eastAsia="Times New Roman"/>
          <w:sz w:val="24"/>
          <w:szCs w:val="24"/>
        </w:rPr>
        <w:t>At the required return of 8 percent, the NPV of the project is negative at £6.54 million. Present values of future cash inflows cannot cover the initial investment and required return (Pere, 2025).  The investment's internal rate of return (IRR) of about 3 % is well below the cost of capital generally considered an inadequate return (Sinaga et al., 2023). The project’s nominal cash inflows are positive, but because there are large amounts received in the later years, they are heavily discounted at 8%.</w:t>
      </w:r>
    </w:p>
    <w:p w14:paraId="70965D38"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From the perspective of shareholder wealth maximisation, the project should be turned down because the firm’s value would diminish as the project generates a negative net present value and does not meet the company’s required rate of return.</w:t>
      </w:r>
    </w:p>
    <w:p w14:paraId="5383180A"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Project B</w:t>
      </w:r>
    </w:p>
    <w:p w14:paraId="673E2AA5"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Project B also requires an initial investment of £50 million, generating stable cash inflows of £11 million per annum for five years, thus a total inflow of £55 million. The project has a payback period of approximately 4.74 years being lower than project A due to consistent cash inflows. Assuming straight-line depreciation to zero, annual depreciation is £10 million per year. The project has an accounting rate of return of 44% which is higher than Project A.</w:t>
      </w:r>
    </w:p>
    <w:p w14:paraId="56F6F52D"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NPV of the project is approximately - £6.08 million at 8 % discount rate which indicates that the present value of future cash receipts is lower than the investment made. </w:t>
      </w:r>
      <w:r w:rsidRPr="00044085">
        <w:rPr>
          <w:rFonts w:eastAsia="Times New Roman"/>
          <w:sz w:val="24"/>
          <w:szCs w:val="24"/>
        </w:rPr>
        <w:lastRenderedPageBreak/>
        <w:t>Additionally, the IRR is around 3%, which is much below the required rate (Pere, 2025). Stable cash inflows lower operational uncertainty and help in more reliable cash forecasting. But they do not compensate investors for the opportunity cost of capital.</w:t>
      </w:r>
    </w:p>
    <w:p w14:paraId="5B289524"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So, Project B looks good on accounting measures and provides predictable annual cash flows, but it does not create economic value. The project should be rejected from the financial management perspective as it fails to meet the required investment criteria of the firm and does not add to the wealth of the shareholders.</w:t>
      </w:r>
    </w:p>
    <w:p w14:paraId="3EEE5F18"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Project C</w:t>
      </w:r>
    </w:p>
    <w:p w14:paraId="59C2ED77"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Project C would require an initial investment of £50 million and would provide total cash inflows of £65 million which is much better than project A and B. The project has a payback period of 3.60 years which recovers the investment much earlier than the other alternatives (Usodan et al., 2025). Assuming straight-line depreciation to zero, depreciation equals £10 million per year. The project has also shown the highest ARR of 52%, which signifies superior accounting profitability and higher earnings potential.</w:t>
      </w:r>
    </w:p>
    <w:p w14:paraId="261CCE97"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The additional analyses, using discounted cash flow measures, further support the project. At the discount rate required of 8%, Project C has a positive NPV of around £0.86 million. In other words, NPV signifies that the present value of the cash inflows exceeds the initial (capital) investment, which adds to shareholder value (Kadam, and Singh, 2025).  The project also generates an IRR of around 9%, which is higher than the company’s hurdle rate and above the cost of capital.</w:t>
      </w:r>
    </w:p>
    <w:p w14:paraId="3A2E40F6"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Although Projects A and B have higher initial cash inflows, project C generates larger cash inflows during years 3 and 4, resulting in higher discounted returns. This is the most financially attractive alternative and therefore, it should be accepted. It will also increase the value of the firm. It has the highest overall investment performance among the three projects.</w:t>
      </w:r>
    </w:p>
    <w:p w14:paraId="1B7EE97F" w14:textId="77777777" w:rsidR="00401998" w:rsidRPr="00044085" w:rsidRDefault="005A0314" w:rsidP="00FE53F0">
      <w:pPr>
        <w:pStyle w:val="Heading2"/>
      </w:pPr>
      <w:bookmarkStart w:id="32" w:name="_Toc234686420"/>
      <w:bookmarkStart w:id="33" w:name="_Toc234689619"/>
      <w:r w:rsidRPr="00044085">
        <w:t>4.2 Justification which one is best and align with company’s financial performance and non-financial risks</w:t>
      </w:r>
      <w:bookmarkEnd w:id="32"/>
      <w:bookmarkEnd w:id="33"/>
    </w:p>
    <w:p w14:paraId="6ED07597"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 xml:space="preserve">Selection </w:t>
      </w:r>
    </w:p>
    <w:p w14:paraId="4E3C147F"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Shareholder value is only created by Project C; therefore, it should be accepted. The positive NPV of £0.86 million and an IRR of 9% which exceeds the company’s required </w:t>
      </w:r>
      <w:r w:rsidRPr="00044085">
        <w:rPr>
          <w:rFonts w:eastAsia="Times New Roman"/>
          <w:sz w:val="24"/>
          <w:szCs w:val="24"/>
        </w:rPr>
        <w:lastRenderedPageBreak/>
        <w:t>return of 8% shows this investment is worth making. Achieving the greatest ARR of 52% and the shortest payback period of 3.60 years enables accelerated recovery of initial investment, thereby reducing exposure to risk. Considering Choice Hotels' high leverage and the current ratio which are below 1.0, Project C would generate a balance of profit and liquidity.</w:t>
      </w:r>
    </w:p>
    <w:p w14:paraId="71EB22AD" w14:textId="77777777" w:rsidR="00401998" w:rsidRPr="00044085" w:rsidRDefault="005A0314">
      <w:pPr>
        <w:spacing w:after="200" w:line="360" w:lineRule="auto"/>
        <w:jc w:val="both"/>
        <w:rPr>
          <w:rFonts w:eastAsia="Times New Roman"/>
          <w:b/>
          <w:bCs/>
          <w:i/>
          <w:iCs/>
          <w:sz w:val="24"/>
          <w:szCs w:val="24"/>
        </w:rPr>
      </w:pPr>
      <w:r w:rsidRPr="00044085">
        <w:rPr>
          <w:rFonts w:eastAsia="Times New Roman"/>
          <w:b/>
          <w:bCs/>
          <w:i/>
          <w:iCs/>
          <w:sz w:val="24"/>
          <w:szCs w:val="24"/>
        </w:rPr>
        <w:t>Justification</w:t>
      </w:r>
    </w:p>
    <w:p w14:paraId="649E3F2E" w14:textId="1AF28A28"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Project C is the preferable investment among the three options and should be recommended for Choice Hotels International. The all-important investment appraisal measures indicate that this project outperforms both Project A and Project B. The project provides a positive net present value (NPV) of £0.86 million, an IRR of around 9% above the company’s required return of 8%, and the highest ARR at 52%. Moreover, the payback period is 3.60 years which is lower than Project A (4.92 years) and Project B (4.74 years). </w:t>
      </w:r>
      <w:r w:rsidR="00FE53F0" w:rsidRPr="00044085">
        <w:rPr>
          <w:rFonts w:eastAsia="Times New Roman"/>
          <w:sz w:val="24"/>
          <w:szCs w:val="24"/>
        </w:rPr>
        <w:t>Thus, the</w:t>
      </w:r>
      <w:r w:rsidRPr="00044085">
        <w:rPr>
          <w:rFonts w:eastAsia="Times New Roman"/>
          <w:sz w:val="24"/>
          <w:szCs w:val="24"/>
        </w:rPr>
        <w:t xml:space="preserve"> company can recover its investment quicker and with less capital exposure.</w:t>
      </w:r>
    </w:p>
    <w:p w14:paraId="25EABD20" w14:textId="75E40931" w:rsidR="00401998" w:rsidRPr="00044085" w:rsidRDefault="005A0314">
      <w:pPr>
        <w:spacing w:after="200" w:line="360" w:lineRule="auto"/>
        <w:jc w:val="both"/>
        <w:rPr>
          <w:rFonts w:eastAsia="Times New Roman"/>
          <w:sz w:val="24"/>
          <w:szCs w:val="24"/>
        </w:rPr>
      </w:pPr>
      <w:r w:rsidRPr="00044085">
        <w:rPr>
          <w:rFonts w:eastAsia="Times New Roman"/>
          <w:sz w:val="24"/>
          <w:szCs w:val="24"/>
        </w:rPr>
        <w:t>The financial performance of the company also supports the recommendation. By the year of 2025, Choice Hotels raked in $369.9 million in net income and a record adjusted EBITDA of $625.6 million. Despite enhancements in liquidity, the current ratio remains under 1.0 (0.87) while long-term debt surged to $1.91 billion. Consequently,</w:t>
      </w:r>
      <w:r w:rsidR="00F64F19" w:rsidRPr="00044085">
        <w:t xml:space="preserve"> </w:t>
      </w:r>
      <w:r w:rsidR="00F64F19" w:rsidRPr="00044085">
        <w:rPr>
          <w:rFonts w:eastAsia="Times New Roman"/>
          <w:sz w:val="24"/>
          <w:szCs w:val="24"/>
        </w:rPr>
        <w:t xml:space="preserve">payback investments that also lower financing risk highlight </w:t>
      </w:r>
      <w:r w:rsidRPr="00044085">
        <w:rPr>
          <w:rFonts w:eastAsia="Times New Roman"/>
          <w:sz w:val="24"/>
          <w:szCs w:val="24"/>
        </w:rPr>
        <w:t>the recommendation is to focus on fast</w:t>
      </w:r>
      <w:r w:rsidR="00F64F19" w:rsidRPr="00044085">
        <w:rPr>
          <w:rFonts w:eastAsia="Times New Roman"/>
          <w:sz w:val="24"/>
          <w:szCs w:val="24"/>
        </w:rPr>
        <w:t xml:space="preserve"> evaluation</w:t>
      </w:r>
      <w:r w:rsidRPr="00044085">
        <w:rPr>
          <w:rFonts w:eastAsia="Times New Roman"/>
          <w:sz w:val="24"/>
          <w:szCs w:val="24"/>
        </w:rPr>
        <w:t xml:space="preserve"> (Usodan et al., 2025). The </w:t>
      </w:r>
      <w:r w:rsidR="00F64F19" w:rsidRPr="00044085">
        <w:rPr>
          <w:rFonts w:eastAsia="Times New Roman"/>
          <w:sz w:val="24"/>
          <w:szCs w:val="24"/>
        </w:rPr>
        <w:t xml:space="preserve">positive NPV with these </w:t>
      </w:r>
      <w:r w:rsidR="00F15A3A" w:rsidRPr="00044085">
        <w:rPr>
          <w:rFonts w:eastAsia="Times New Roman"/>
          <w:sz w:val="24"/>
          <w:szCs w:val="24"/>
        </w:rPr>
        <w:t>goals lead</w:t>
      </w:r>
      <w:r w:rsidR="00F64F19" w:rsidRPr="00044085">
        <w:rPr>
          <w:rFonts w:eastAsia="Times New Roman"/>
          <w:sz w:val="24"/>
          <w:szCs w:val="24"/>
        </w:rPr>
        <w:t xml:space="preserve"> to highlight the </w:t>
      </w:r>
      <w:r w:rsidRPr="00044085">
        <w:rPr>
          <w:rFonts w:eastAsia="Times New Roman"/>
          <w:sz w:val="24"/>
          <w:szCs w:val="24"/>
        </w:rPr>
        <w:t xml:space="preserve">alignment of Project C's shorter payback period </w:t>
      </w:r>
      <w:r w:rsidR="00F64F19" w:rsidRPr="00044085">
        <w:rPr>
          <w:rFonts w:eastAsia="Times New Roman"/>
          <w:sz w:val="24"/>
          <w:szCs w:val="24"/>
        </w:rPr>
        <w:t>in the system</w:t>
      </w:r>
      <w:r w:rsidRPr="00044085">
        <w:rPr>
          <w:rFonts w:eastAsia="Times New Roman"/>
          <w:sz w:val="24"/>
          <w:szCs w:val="24"/>
        </w:rPr>
        <w:t>.</w:t>
      </w:r>
    </w:p>
    <w:p w14:paraId="3966404E" w14:textId="347D1366" w:rsidR="00401998" w:rsidRPr="00044085" w:rsidRDefault="00F64F19">
      <w:pPr>
        <w:spacing w:after="200" w:line="360" w:lineRule="auto"/>
        <w:jc w:val="both"/>
        <w:rPr>
          <w:rFonts w:eastAsia="Times New Roman"/>
          <w:sz w:val="24"/>
          <w:szCs w:val="24"/>
        </w:rPr>
      </w:pPr>
      <w:r w:rsidRPr="00044085">
        <w:rPr>
          <w:rFonts w:eastAsia="Times New Roman"/>
          <w:sz w:val="24"/>
          <w:szCs w:val="24"/>
        </w:rPr>
        <w:t>Political risks due to regulatory changes according to non-financial is faced with and economic uncertainty in overseas markets impacts the hospitality industry (Pere, 2025). In addition, due to rising competition from Marriott, Hilton, and travel websites, customer loyalty is at risk. Project C offers the best financial flexibility and value creation potential to Choice Hotels while simultaneously enhancing its competitive position and managing financial and strategic risks.</w:t>
      </w:r>
    </w:p>
    <w:p w14:paraId="22BDB559" w14:textId="77777777" w:rsidR="00401998" w:rsidRPr="00044085" w:rsidRDefault="005A0314" w:rsidP="00FE53F0">
      <w:pPr>
        <w:pStyle w:val="Heading2"/>
      </w:pPr>
      <w:bookmarkStart w:id="34" w:name="_Toc234686421"/>
      <w:bookmarkStart w:id="35" w:name="_Toc234689620"/>
      <w:r w:rsidRPr="00044085">
        <w:t>4.3 Suggestion by using capital rationing on investing maximum of £100 million</w:t>
      </w:r>
      <w:bookmarkEnd w:id="34"/>
      <w:bookmarkEnd w:id="35"/>
    </w:p>
    <w:p w14:paraId="62E2D5F8"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The B + C combination yields the highest (least negative) combined NPV of –£5.22 million, but all combinations, except Project C alone, generate negative combined </w:t>
      </w:r>
      <w:r w:rsidRPr="00044085">
        <w:rPr>
          <w:rFonts w:eastAsia="Times New Roman"/>
          <w:sz w:val="24"/>
          <w:szCs w:val="24"/>
        </w:rPr>
        <w:lastRenderedPageBreak/>
        <w:t>NPVs. According to NPV theory, firms must accept only the projects with positive NPVs as they increase shareholder’s wealth.  Consequently, the financially optimal choice is to invest in Project C only (£50 million) and retain the other £50 million for future investment opportunities, paying off any debts, or increasing liquidity.</w:t>
      </w:r>
    </w:p>
    <w:p w14:paraId="3337859A"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This suggestion is quite suited to Choice Hotels with the company’s long-term debt of $1.91 billion and a current ratio under 1.0 (0.87).</w:t>
      </w:r>
    </w:p>
    <w:p w14:paraId="740D3E1B" w14:textId="77777777" w:rsidR="00401998" w:rsidRPr="00044085" w:rsidRDefault="005A0314">
      <w:pPr>
        <w:spacing w:after="200" w:line="360" w:lineRule="auto"/>
        <w:jc w:val="both"/>
        <w:rPr>
          <w:rFonts w:eastAsia="Times New Roman"/>
          <w:sz w:val="24"/>
          <w:szCs w:val="24"/>
        </w:rPr>
      </w:pPr>
      <w:r w:rsidRPr="00044085">
        <w:rPr>
          <w:rFonts w:eastAsia="Times New Roman"/>
          <w:sz w:val="24"/>
          <w:szCs w:val="24"/>
        </w:rPr>
        <w:t>Under capital rationing, Choice Hotels has a limit of £100 million to use in investment, enabling the hotelier to undertake two projects or one project leaving some funds unused. These combos (A+B, A+C, B+C) eat up all the budget but have negative all-combo NPVs, which means they destroy shareholder value. On the other hand, only Project C has a positive NPV (£0.86 million) and an IRR (9%) above the 8% cost of capital. Hence, the firm must invest only in Project C and retain the remaining £50 million.</w:t>
      </w:r>
    </w:p>
    <w:p w14:paraId="49E9E399" w14:textId="1EB929F0" w:rsidR="00FE53F0" w:rsidRPr="00044085" w:rsidRDefault="00FE53F0" w:rsidP="00FE53F0">
      <w:pPr>
        <w:pStyle w:val="Heading1"/>
      </w:pPr>
      <w:bookmarkStart w:id="36" w:name="_Toc234686422"/>
      <w:bookmarkStart w:id="37" w:name="_Toc234689621"/>
      <w:r w:rsidRPr="00044085">
        <w:t>5. Critical Reflection on AI Usage</w:t>
      </w:r>
      <w:bookmarkEnd w:id="36"/>
      <w:bookmarkEnd w:id="37"/>
    </w:p>
    <w:p w14:paraId="13F3A9F2" w14:textId="77777777" w:rsidR="00253D73" w:rsidRPr="00044085" w:rsidRDefault="00253D73" w:rsidP="00253D73">
      <w:pPr>
        <w:pStyle w:val="Heading2"/>
      </w:pPr>
      <w:bookmarkStart w:id="38" w:name="_Toc234686423"/>
      <w:bookmarkStart w:id="39" w:name="_Toc234689622"/>
      <w:r w:rsidRPr="00044085">
        <w:t>5.1. Tool Disclosure</w:t>
      </w:r>
      <w:bookmarkEnd w:id="38"/>
      <w:bookmarkEnd w:id="39"/>
    </w:p>
    <w:p w14:paraId="05CB7306" w14:textId="77777777" w:rsidR="00253D73" w:rsidRPr="00044085" w:rsidRDefault="00253D73" w:rsidP="00253D73">
      <w:pPr>
        <w:spacing w:after="200" w:line="360" w:lineRule="auto"/>
        <w:jc w:val="both"/>
        <w:rPr>
          <w:rFonts w:eastAsia="Times New Roman"/>
          <w:sz w:val="24"/>
          <w:szCs w:val="24"/>
        </w:rPr>
      </w:pPr>
      <w:r w:rsidRPr="00044085">
        <w:rPr>
          <w:rFonts w:eastAsia="Times New Roman"/>
          <w:sz w:val="24"/>
          <w:szCs w:val="24"/>
        </w:rPr>
        <w:t xml:space="preserve">Artificial intelligence, specifically ChatGpt has been utilised in this present report as a supporting tool during the preparation of this financial report. This strategic tool has assisted this present study to organise the report structures, refine the academic language, enhance the level of coherence, and ultimately explain the financial management concepts like the ratio analysis, in combination with working capital management, financial restructuring, and investment appraisal techniques. It also assisted the present research in summarising the key information from the annual reports of Choice Hotels International while suggesting the appropriate academic wording. However, this advanced tool has not been utilised to replace the independent analysis or strategic decision-making.  All financial data, ratio calculations, investment appraisals, and strategic recommendations have been developed as well as validated through leveraging the official annual reports, credible academic literature and finally other reliable sources of the industry.  In essence, it can be used that the use of AI has been acknowledged transparently according to the academic integrity and AI usage requirements of the University of Wales. </w:t>
      </w:r>
    </w:p>
    <w:p w14:paraId="690852F1" w14:textId="77777777" w:rsidR="00253D73" w:rsidRPr="00044085" w:rsidRDefault="00253D73" w:rsidP="00253D73">
      <w:pPr>
        <w:pStyle w:val="Heading2"/>
      </w:pPr>
      <w:bookmarkStart w:id="40" w:name="_Toc234686424"/>
      <w:bookmarkStart w:id="41" w:name="_Toc234689623"/>
      <w:r w:rsidRPr="00044085">
        <w:lastRenderedPageBreak/>
        <w:t>5.2 Critical Evaluation of AI Output</w:t>
      </w:r>
      <w:bookmarkEnd w:id="40"/>
      <w:bookmarkEnd w:id="41"/>
    </w:p>
    <w:p w14:paraId="7F62D65E" w14:textId="4FB89F5E" w:rsidR="00253D73" w:rsidRPr="00044085" w:rsidRDefault="00253D73" w:rsidP="00253D73">
      <w:pPr>
        <w:spacing w:after="200" w:line="360" w:lineRule="auto"/>
        <w:jc w:val="both"/>
        <w:rPr>
          <w:rFonts w:eastAsia="Times New Roman"/>
          <w:sz w:val="24"/>
          <w:szCs w:val="24"/>
        </w:rPr>
      </w:pPr>
      <w:r w:rsidRPr="00044085">
        <w:rPr>
          <w:rFonts w:eastAsia="Times New Roman"/>
          <w:sz w:val="24"/>
          <w:szCs w:val="24"/>
        </w:rPr>
        <w:t xml:space="preserve">Though this strategic tool enhanced the effectiveness across drafting as well as organising the report, each AI-powered interpretation has been profoundly examined before being included in the report.  Moreover, the financial figures and values of ratios in combination with investment appraisals calculations have been cross-checked twice against the official annual reports of Choice Hotels International and thus ensured a sense of accuracy and transparency. As AI often produced unsupported assumptions or inconsistent interpretations, </w:t>
      </w:r>
      <w:r w:rsidR="00044085" w:rsidRPr="00044085">
        <w:rPr>
          <w:rFonts w:eastAsia="Times New Roman"/>
          <w:sz w:val="24"/>
          <w:szCs w:val="24"/>
        </w:rPr>
        <w:t>this information’s</w:t>
      </w:r>
      <w:r w:rsidRPr="00044085">
        <w:rPr>
          <w:rFonts w:eastAsia="Times New Roman"/>
          <w:sz w:val="24"/>
          <w:szCs w:val="24"/>
        </w:rPr>
        <w:t xml:space="preserve"> have been identified through the help of manual verifications as well as corrected through closely using the evidence from both the financial statements and published literature as well (Stanford, 2025). Besides that, specific attention has been given towards the profitability, liquidity, leverage and cash flow analysis in order to ensure that the conclusion of this research work accurately discloses the financial positioning of the company. These verification procedures not only diminish the risks of factual inaccuracies and logical inconsistencies but also assure that the final report remains evidence-based, academically reliable, and professionally credible as well. </w:t>
      </w:r>
    </w:p>
    <w:p w14:paraId="0DC6C6CB" w14:textId="77777777" w:rsidR="00253D73" w:rsidRPr="00044085" w:rsidRDefault="00253D73" w:rsidP="00253D73">
      <w:pPr>
        <w:pStyle w:val="Heading2"/>
      </w:pPr>
      <w:bookmarkStart w:id="42" w:name="_Toc234686425"/>
      <w:bookmarkStart w:id="43" w:name="_Toc234689624"/>
      <w:r w:rsidRPr="00044085">
        <w:t>5.3 Contribution Analysis</w:t>
      </w:r>
      <w:bookmarkEnd w:id="42"/>
      <w:bookmarkEnd w:id="43"/>
    </w:p>
    <w:p w14:paraId="50485CE3" w14:textId="1DC509ED" w:rsidR="00FE53F0" w:rsidRPr="00044085" w:rsidRDefault="00253D73" w:rsidP="00253D73">
      <w:pPr>
        <w:spacing w:after="200" w:line="360" w:lineRule="auto"/>
        <w:jc w:val="both"/>
        <w:rPr>
          <w:rFonts w:eastAsia="Times New Roman"/>
          <w:sz w:val="24"/>
          <w:szCs w:val="24"/>
        </w:rPr>
      </w:pPr>
      <w:r w:rsidRPr="00044085">
        <w:rPr>
          <w:rFonts w:eastAsia="Times New Roman"/>
          <w:sz w:val="24"/>
          <w:szCs w:val="24"/>
        </w:rPr>
        <w:t>AI initially contributed through enhancing the overall presentation, organisation and language quality of the report by disclosing the structures, refining the explanations and clarifying the different financial concepts within this research work (Deep and Chen, 2025). However, the critical interpretation of Choice Hotels International’s financial performance, ratio trends, working capital position, restructuring strategy, and investment decisions represents my own academic contribution towards this study. I selected the relevant financial evidence, interpreted five years of data concerning the company’s performance, analysed the restructuring alternatives, justified the recommendation of C and ultimately applied the capital rationing on the basis of the principles of financial management. The final conclusions, along with the strategic recommendations, have been developed with the help of my own critical judgement through aligning the financial evidence, academic literature and industry context as well.</w:t>
      </w:r>
    </w:p>
    <w:p w14:paraId="16A514B4" w14:textId="7EDC3C42" w:rsidR="00FE53F0" w:rsidRPr="00044085" w:rsidRDefault="00FE53F0" w:rsidP="00FE53F0">
      <w:pPr>
        <w:pStyle w:val="Heading2"/>
      </w:pPr>
      <w:bookmarkStart w:id="44" w:name="_Toc234686426"/>
      <w:bookmarkStart w:id="45" w:name="_Toc234689625"/>
      <w:r w:rsidRPr="00044085">
        <w:lastRenderedPageBreak/>
        <w:t>5.4. Ethical &amp; Professional Reflection:</w:t>
      </w:r>
      <w:bookmarkEnd w:id="44"/>
      <w:bookmarkEnd w:id="45"/>
    </w:p>
    <w:p w14:paraId="59FA3A3B" w14:textId="5617FDE7" w:rsidR="00FE53F0" w:rsidRPr="00044085" w:rsidRDefault="00FE53F0" w:rsidP="00FE53F0">
      <w:pPr>
        <w:spacing w:after="200" w:line="360" w:lineRule="auto"/>
        <w:jc w:val="both"/>
        <w:rPr>
          <w:rFonts w:eastAsia="Times New Roman"/>
          <w:sz w:val="24"/>
          <w:szCs w:val="24"/>
        </w:rPr>
      </w:pPr>
      <w:r w:rsidRPr="00044085">
        <w:rPr>
          <w:rFonts w:eastAsia="Times New Roman"/>
          <w:sz w:val="24"/>
          <w:szCs w:val="24"/>
        </w:rPr>
        <w:t>Use of AI in Financial Decision-Making calls for ethical and professional responsibility. It is crucial to have transparency as it is essential for AI to disclose data, analyses and recommendations that can affect business decisions and decisions based on them need to be independently verified. Data privacy must be protected by complying with applicable laws and keeping private financial information confidential. Further, artificial intelligence may lower your professional judgment due to their inaccurate or biased outputs. Executives should treat AI as a decision-support tool and not as a substitute for critical thinking, ensuring strategic financial decisions remain accountable, ethical and evidence-based.</w:t>
      </w:r>
    </w:p>
    <w:p w14:paraId="3B1497DB" w14:textId="77777777" w:rsidR="00401998" w:rsidRPr="00044085" w:rsidRDefault="005A0314" w:rsidP="00FE53F0">
      <w:pPr>
        <w:pStyle w:val="Heading1"/>
      </w:pPr>
      <w:bookmarkStart w:id="46" w:name="_Toc234686427"/>
      <w:bookmarkStart w:id="47" w:name="_Toc234689626"/>
      <w:r w:rsidRPr="00044085">
        <w:t>Conclusion</w:t>
      </w:r>
      <w:bookmarkEnd w:id="46"/>
      <w:bookmarkEnd w:id="47"/>
    </w:p>
    <w:p w14:paraId="201284C0" w14:textId="3D5E0FAA" w:rsidR="00401998" w:rsidRPr="00044085" w:rsidRDefault="005A0314">
      <w:pPr>
        <w:spacing w:after="200" w:line="360" w:lineRule="auto"/>
        <w:jc w:val="both"/>
        <w:rPr>
          <w:rFonts w:eastAsia="Times New Roman"/>
          <w:sz w:val="24"/>
          <w:szCs w:val="24"/>
        </w:rPr>
      </w:pPr>
      <w:r w:rsidRPr="00044085">
        <w:rPr>
          <w:rFonts w:eastAsia="Times New Roman"/>
          <w:sz w:val="24"/>
          <w:szCs w:val="24"/>
        </w:rPr>
        <w:t xml:space="preserve">It can be concluded that Choice Hotels International managed to improve its financial performance over the last five years due to increase in revenue, net income, profitability and earnings per share. Despite some improvement in liquidity, the company is still grappling with high leverage, falling asset efficiency and liquidity ratios lower than the industry average. An extension of the cash operating cycle points to the need for better working capital management. Financial restructuring to enhance long-term financial stability through selective divestiture, equity financing and expansion. </w:t>
      </w:r>
    </w:p>
    <w:p w14:paraId="017B8B93" w14:textId="77777777" w:rsidR="00401998" w:rsidRPr="00044085" w:rsidRDefault="00401998">
      <w:pPr>
        <w:spacing w:after="200" w:line="360" w:lineRule="auto"/>
        <w:jc w:val="both"/>
        <w:rPr>
          <w:rFonts w:eastAsia="Times New Roman"/>
          <w:sz w:val="24"/>
          <w:szCs w:val="24"/>
        </w:rPr>
      </w:pPr>
    </w:p>
    <w:p w14:paraId="7BA6475D" w14:textId="77777777" w:rsidR="00401998" w:rsidRPr="00044085" w:rsidRDefault="005A0314">
      <w:pPr>
        <w:spacing w:after="200" w:line="360" w:lineRule="auto"/>
        <w:jc w:val="both"/>
        <w:rPr>
          <w:rFonts w:eastAsia="Times New Roman"/>
          <w:sz w:val="24"/>
          <w:szCs w:val="24"/>
        </w:rPr>
      </w:pPr>
      <w:r w:rsidRPr="00044085">
        <w:br w:type="page"/>
      </w:r>
    </w:p>
    <w:p w14:paraId="350CA722" w14:textId="77777777" w:rsidR="00401998" w:rsidRPr="00044085" w:rsidRDefault="005A0314" w:rsidP="00FE53F0">
      <w:pPr>
        <w:pStyle w:val="Heading1"/>
      </w:pPr>
      <w:bookmarkStart w:id="48" w:name="_Toc234686428"/>
      <w:bookmarkStart w:id="49" w:name="_Toc234689627"/>
      <w:r w:rsidRPr="00044085">
        <w:lastRenderedPageBreak/>
        <w:t>References</w:t>
      </w:r>
      <w:bookmarkEnd w:id="48"/>
      <w:bookmarkEnd w:id="49"/>
      <w:r w:rsidRPr="00044085">
        <w:t xml:space="preserve"> </w:t>
      </w:r>
    </w:p>
    <w:p w14:paraId="718BBE8B"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Adedolapo, O.A., Oluwatayo, I.O., Solomon, A.N. and Clara, O.A., FOREIGN CURRENCY TRANSLATION METHODS AND THEIR EFFECTS ON FINANCIAL STATEMENTS OF NIGERIAN LISTED MULTINATIONAL CORPORATIONS. Available at:</w:t>
      </w:r>
      <w:hyperlink r:id="rId9">
        <w:r w:rsidRPr="00044085">
          <w:rPr>
            <w:rFonts w:eastAsia="Times New Roman"/>
            <w:sz w:val="24"/>
            <w:szCs w:val="24"/>
          </w:rPr>
          <w:t xml:space="preserve"> </w:t>
        </w:r>
      </w:hyperlink>
      <w:hyperlink r:id="rId10">
        <w:r w:rsidRPr="00044085">
          <w:rPr>
            <w:rFonts w:eastAsia="Times New Roman"/>
            <w:color w:val="1155CC"/>
            <w:sz w:val="24"/>
            <w:szCs w:val="24"/>
            <w:u w:val="single"/>
          </w:rPr>
          <w:t>https://www.shs-conferences.org/articles/shsconf/pdf/2024/08/shsconf_icdde2024_01001.pdf</w:t>
        </w:r>
      </w:hyperlink>
    </w:p>
    <w:p w14:paraId="1919DC33" w14:textId="77777777" w:rsidR="00044085" w:rsidRPr="00044085" w:rsidRDefault="00044085" w:rsidP="00044085">
      <w:pPr>
        <w:spacing w:after="160" w:line="360" w:lineRule="auto"/>
        <w:jc w:val="both"/>
        <w:rPr>
          <w:rFonts w:eastAsia="Times New Roman"/>
          <w:sz w:val="24"/>
          <w:szCs w:val="24"/>
        </w:rPr>
      </w:pPr>
      <w:r w:rsidRPr="00044085">
        <w:rPr>
          <w:rFonts w:eastAsia="Times New Roman"/>
          <w:sz w:val="24"/>
          <w:szCs w:val="24"/>
        </w:rPr>
        <w:t xml:space="preserve">Choice Hotels (2026) </w:t>
      </w:r>
      <w:r w:rsidRPr="00044085">
        <w:rPr>
          <w:rFonts w:eastAsia="Times New Roman"/>
          <w:i/>
          <w:iCs/>
          <w:sz w:val="24"/>
          <w:szCs w:val="24"/>
        </w:rPr>
        <w:t>Accelerates International Expansion with 13% Net Room Growth, Increases Global Franchise Agreements Awarded by 22%.</w:t>
      </w:r>
      <w:r w:rsidRPr="00044085">
        <w:rPr>
          <w:rFonts w:eastAsia="Times New Roman"/>
          <w:sz w:val="24"/>
          <w:szCs w:val="24"/>
        </w:rPr>
        <w:t xml:space="preserve"> Available at:</w:t>
      </w:r>
      <w:hyperlink r:id="rId11">
        <w:r w:rsidRPr="00044085">
          <w:rPr>
            <w:rFonts w:eastAsia="Times New Roman"/>
            <w:sz w:val="24"/>
            <w:szCs w:val="24"/>
          </w:rPr>
          <w:t xml:space="preserve"> </w:t>
        </w:r>
      </w:hyperlink>
      <w:hyperlink r:id="rId12">
        <w:r w:rsidRPr="00044085">
          <w:rPr>
            <w:rFonts w:eastAsia="Times New Roman"/>
            <w:color w:val="1155CC"/>
            <w:sz w:val="24"/>
            <w:szCs w:val="24"/>
            <w:u w:val="single"/>
          </w:rPr>
          <w:t>https://investor.choicehotels.com/news/news-details/2026/Choice-Hotels-International-Reports-Fourth-Quarter-and-Full-Year-2025-Results/default.aspx</w:t>
        </w:r>
      </w:hyperlink>
      <w:r w:rsidRPr="00044085">
        <w:rPr>
          <w:rFonts w:eastAsia="Times New Roman"/>
          <w:sz w:val="24"/>
          <w:szCs w:val="24"/>
        </w:rPr>
        <w:t xml:space="preserve"> (Accessed: 11 July 2026)</w:t>
      </w:r>
    </w:p>
    <w:p w14:paraId="10215431" w14:textId="77777777" w:rsidR="00044085" w:rsidRPr="00044085" w:rsidRDefault="00044085" w:rsidP="00044085">
      <w:pPr>
        <w:spacing w:after="160" w:line="360" w:lineRule="auto"/>
        <w:jc w:val="both"/>
        <w:rPr>
          <w:rFonts w:eastAsia="Times New Roman"/>
          <w:sz w:val="24"/>
          <w:szCs w:val="24"/>
        </w:rPr>
      </w:pPr>
      <w:r w:rsidRPr="00044085">
        <w:rPr>
          <w:rFonts w:eastAsia="Times New Roman"/>
          <w:sz w:val="24"/>
          <w:szCs w:val="24"/>
        </w:rPr>
        <w:t xml:space="preserve">Choice Hotels (2026) </w:t>
      </w:r>
      <w:r w:rsidRPr="00044085">
        <w:rPr>
          <w:rFonts w:eastAsia="Times New Roman"/>
          <w:i/>
          <w:iCs/>
          <w:sz w:val="24"/>
          <w:szCs w:val="24"/>
        </w:rPr>
        <w:t>Annual Reports.</w:t>
      </w:r>
      <w:r w:rsidRPr="00044085">
        <w:rPr>
          <w:rFonts w:eastAsia="Times New Roman"/>
          <w:sz w:val="24"/>
          <w:szCs w:val="24"/>
        </w:rPr>
        <w:t xml:space="preserve"> Available at:</w:t>
      </w:r>
      <w:hyperlink r:id="rId13">
        <w:r w:rsidRPr="00044085">
          <w:rPr>
            <w:rFonts w:eastAsia="Times New Roman"/>
            <w:sz w:val="24"/>
            <w:szCs w:val="24"/>
          </w:rPr>
          <w:t xml:space="preserve"> </w:t>
        </w:r>
      </w:hyperlink>
      <w:hyperlink r:id="rId14">
        <w:r w:rsidRPr="00044085">
          <w:rPr>
            <w:rFonts w:eastAsia="Times New Roman"/>
            <w:color w:val="1155CC"/>
            <w:sz w:val="24"/>
            <w:szCs w:val="24"/>
            <w:u w:val="single"/>
          </w:rPr>
          <w:t>https://investor.choicehotels.com/financials/annual-reports/default.aspx</w:t>
        </w:r>
      </w:hyperlink>
      <w:r w:rsidRPr="00044085">
        <w:rPr>
          <w:rFonts w:eastAsia="Times New Roman"/>
          <w:sz w:val="24"/>
          <w:szCs w:val="24"/>
        </w:rPr>
        <w:t xml:space="preserve"> (Accessed: 11 July 2026)</w:t>
      </w:r>
    </w:p>
    <w:p w14:paraId="69A79019" w14:textId="77777777" w:rsidR="00044085" w:rsidRPr="00044085" w:rsidRDefault="00044085" w:rsidP="00044085">
      <w:pPr>
        <w:spacing w:after="160" w:line="360" w:lineRule="auto"/>
        <w:jc w:val="both"/>
        <w:rPr>
          <w:rFonts w:eastAsia="Times New Roman"/>
          <w:sz w:val="24"/>
          <w:szCs w:val="24"/>
        </w:rPr>
      </w:pPr>
      <w:r w:rsidRPr="00044085">
        <w:rPr>
          <w:rFonts w:eastAsia="Times New Roman"/>
          <w:sz w:val="24"/>
          <w:szCs w:val="24"/>
        </w:rPr>
        <w:t xml:space="preserve">Choice Hotels (2026). </w:t>
      </w:r>
      <w:r w:rsidRPr="00044085">
        <w:rPr>
          <w:rFonts w:eastAsia="Times New Roman"/>
          <w:i/>
          <w:iCs/>
          <w:sz w:val="24"/>
          <w:szCs w:val="24"/>
        </w:rPr>
        <w:t xml:space="preserve">ABOUT CHOICE HOTELS. </w:t>
      </w:r>
      <w:r w:rsidRPr="00044085">
        <w:rPr>
          <w:rFonts w:eastAsia="Times New Roman"/>
          <w:sz w:val="24"/>
          <w:szCs w:val="24"/>
        </w:rPr>
        <w:t>Available at:</w:t>
      </w:r>
      <w:hyperlink r:id="rId15">
        <w:r w:rsidRPr="00044085">
          <w:rPr>
            <w:rFonts w:eastAsia="Times New Roman"/>
            <w:sz w:val="24"/>
            <w:szCs w:val="24"/>
          </w:rPr>
          <w:t xml:space="preserve"> </w:t>
        </w:r>
      </w:hyperlink>
      <w:hyperlink r:id="rId16">
        <w:r w:rsidRPr="00044085">
          <w:rPr>
            <w:rFonts w:eastAsia="Times New Roman"/>
            <w:color w:val="1155CC"/>
            <w:sz w:val="24"/>
            <w:szCs w:val="24"/>
            <w:u w:val="single"/>
          </w:rPr>
          <w:t>https://www.choicehotels.com/en-in/about</w:t>
        </w:r>
      </w:hyperlink>
      <w:r w:rsidRPr="00044085">
        <w:rPr>
          <w:rFonts w:eastAsia="Times New Roman"/>
          <w:sz w:val="24"/>
          <w:szCs w:val="24"/>
        </w:rPr>
        <w:t xml:space="preserve"> (Accessed: 11 July, 2026).</w:t>
      </w:r>
    </w:p>
    <w:p w14:paraId="5C50070A" w14:textId="77777777" w:rsidR="00044085" w:rsidRPr="00044085" w:rsidRDefault="00044085" w:rsidP="00044085">
      <w:pPr>
        <w:pStyle w:val="NormalWeb"/>
        <w:spacing w:before="240" w:beforeAutospacing="0" w:after="240" w:afterAutospacing="0" w:line="360" w:lineRule="auto"/>
        <w:jc w:val="both"/>
        <w:rPr>
          <w:rFonts w:ascii="Arial" w:hAnsi="Arial" w:cs="Arial"/>
          <w:lang w:val="en-GB"/>
        </w:rPr>
      </w:pPr>
      <w:r w:rsidRPr="00044085">
        <w:rPr>
          <w:rFonts w:ascii="Arial" w:hAnsi="Arial" w:cs="Arial"/>
          <w:color w:val="000000"/>
          <w:lang w:val="en-GB"/>
        </w:rPr>
        <w:t xml:space="preserve">Deep, P.D. and Chen, Y. (2025) ‘The role of AI in academic writing: Impacts on writing skills, critical thinking, and integrity in higher education’, </w:t>
      </w:r>
      <w:r w:rsidRPr="00044085">
        <w:rPr>
          <w:rFonts w:ascii="Arial" w:hAnsi="Arial" w:cs="Arial"/>
          <w:i/>
          <w:iCs/>
          <w:color w:val="000000"/>
          <w:lang w:val="en-GB"/>
        </w:rPr>
        <w:t>Societies</w:t>
      </w:r>
      <w:r w:rsidRPr="00044085">
        <w:rPr>
          <w:rFonts w:ascii="Arial" w:hAnsi="Arial" w:cs="Arial"/>
          <w:color w:val="000000"/>
          <w:lang w:val="en-GB"/>
        </w:rPr>
        <w:t>, 15(9), p. 247. Available at:</w:t>
      </w:r>
      <w:hyperlink r:id="rId17" w:history="1">
        <w:r w:rsidRPr="00044085">
          <w:rPr>
            <w:rStyle w:val="Hyperlink"/>
            <w:rFonts w:ascii="Arial" w:hAnsi="Arial" w:cs="Arial"/>
            <w:color w:val="000000"/>
            <w:lang w:val="en-GB"/>
          </w:rPr>
          <w:t xml:space="preserve"> </w:t>
        </w:r>
        <w:r w:rsidRPr="00044085">
          <w:rPr>
            <w:rStyle w:val="Hyperlink"/>
            <w:rFonts w:ascii="Arial" w:hAnsi="Arial" w:cs="Arial"/>
            <w:color w:val="1155CC"/>
            <w:lang w:val="en-GB"/>
          </w:rPr>
          <w:t>https://www.mdpi.com/2075-4698/15/9/247</w:t>
        </w:r>
      </w:hyperlink>
    </w:p>
    <w:p w14:paraId="052B036C" w14:textId="77777777" w:rsidR="00044085" w:rsidRPr="00044085" w:rsidRDefault="00044085" w:rsidP="00044085">
      <w:pPr>
        <w:spacing w:after="160" w:line="360" w:lineRule="auto"/>
        <w:jc w:val="both"/>
        <w:rPr>
          <w:rFonts w:eastAsia="Times New Roman"/>
          <w:sz w:val="24"/>
          <w:szCs w:val="24"/>
        </w:rPr>
      </w:pPr>
      <w:r w:rsidRPr="00044085">
        <w:rPr>
          <w:rFonts w:eastAsia="Times New Roman"/>
          <w:sz w:val="24"/>
          <w:szCs w:val="24"/>
        </w:rPr>
        <w:t>Derowitsch, J., Ngo, T., Katt, T., Henning, M. and Soukup, L., 2025. Strategic Audit: Hilton Worldwide Holdings, Inc. Available at:</w:t>
      </w:r>
      <w:hyperlink r:id="rId18">
        <w:r w:rsidRPr="00044085">
          <w:rPr>
            <w:rFonts w:eastAsia="Times New Roman"/>
            <w:sz w:val="24"/>
            <w:szCs w:val="24"/>
          </w:rPr>
          <w:t xml:space="preserve"> </w:t>
        </w:r>
      </w:hyperlink>
      <w:hyperlink r:id="rId19">
        <w:r w:rsidRPr="00044085">
          <w:rPr>
            <w:rFonts w:eastAsia="Times New Roman"/>
            <w:color w:val="1155CC"/>
            <w:sz w:val="24"/>
            <w:szCs w:val="24"/>
            <w:u w:val="single"/>
          </w:rPr>
          <w:t>https://digitalcommons.unl.edu/cgi/viewcontent.cgi?article=1819&amp;context=honorstheses</w:t>
        </w:r>
      </w:hyperlink>
      <w:r w:rsidRPr="00044085">
        <w:rPr>
          <w:rFonts w:eastAsia="Times New Roman"/>
          <w:sz w:val="24"/>
          <w:szCs w:val="24"/>
        </w:rPr>
        <w:t xml:space="preserve">         </w:t>
      </w:r>
      <w:r w:rsidRPr="00044085">
        <w:rPr>
          <w:rFonts w:eastAsia="Times New Roman"/>
          <w:sz w:val="24"/>
          <w:szCs w:val="24"/>
        </w:rPr>
        <w:tab/>
      </w:r>
    </w:p>
    <w:p w14:paraId="5E2EF237"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Dhanya, K. and Keerthana, C., (2025) ‘An analysis on financial performance of Abbott India’, </w:t>
      </w:r>
      <w:r w:rsidRPr="00044085">
        <w:rPr>
          <w:rFonts w:eastAsia="Times New Roman"/>
          <w:i/>
          <w:iCs/>
          <w:sz w:val="24"/>
          <w:szCs w:val="24"/>
        </w:rPr>
        <w:t>International Journal of Research Publication and Reviews</w:t>
      </w:r>
      <w:r w:rsidRPr="00044085">
        <w:rPr>
          <w:rFonts w:eastAsia="Times New Roman"/>
          <w:sz w:val="24"/>
          <w:szCs w:val="24"/>
        </w:rPr>
        <w:t xml:space="preserve">, </w:t>
      </w:r>
      <w:r w:rsidRPr="00044085">
        <w:rPr>
          <w:rFonts w:eastAsia="Times New Roman"/>
          <w:i/>
          <w:iCs/>
          <w:sz w:val="24"/>
          <w:szCs w:val="24"/>
        </w:rPr>
        <w:t>6</w:t>
      </w:r>
      <w:r w:rsidRPr="00044085">
        <w:rPr>
          <w:rFonts w:eastAsia="Times New Roman"/>
          <w:sz w:val="24"/>
          <w:szCs w:val="24"/>
        </w:rPr>
        <w:t>(9), pp.3177-3182. Available at:</w:t>
      </w:r>
      <w:hyperlink r:id="rId20">
        <w:r w:rsidRPr="00044085">
          <w:rPr>
            <w:rFonts w:eastAsia="Times New Roman"/>
            <w:sz w:val="24"/>
            <w:szCs w:val="24"/>
          </w:rPr>
          <w:t xml:space="preserve"> </w:t>
        </w:r>
      </w:hyperlink>
      <w:hyperlink r:id="rId21">
        <w:r w:rsidRPr="00044085">
          <w:rPr>
            <w:rFonts w:eastAsia="Times New Roman"/>
            <w:color w:val="1155CC"/>
            <w:sz w:val="24"/>
            <w:szCs w:val="24"/>
            <w:u w:val="single"/>
          </w:rPr>
          <w:t>https://www.researchgate.net/profile/Dhanya-k-3/publication/395951655_An_analysis_on_financial_performance_of_Abbott_India/links/69be39de3c6189430668b1ed/An-analysis-on-financial-performance-of-Abbott-India.pdf</w:t>
        </w:r>
      </w:hyperlink>
    </w:p>
    <w:p w14:paraId="4A0F19B9" w14:textId="77777777" w:rsidR="00044085" w:rsidRPr="00044085" w:rsidRDefault="00044085" w:rsidP="00044085">
      <w:pPr>
        <w:spacing w:after="160" w:line="360" w:lineRule="auto"/>
        <w:jc w:val="both"/>
        <w:rPr>
          <w:rFonts w:eastAsia="Times New Roman"/>
          <w:sz w:val="24"/>
          <w:szCs w:val="24"/>
        </w:rPr>
      </w:pPr>
      <w:r w:rsidRPr="00044085">
        <w:rPr>
          <w:rFonts w:eastAsia="Times New Roman"/>
          <w:sz w:val="24"/>
          <w:szCs w:val="24"/>
        </w:rPr>
        <w:lastRenderedPageBreak/>
        <w:t>Finance Yahoo (2026) Choice Hotels International, Inc. (CHH). Available at:</w:t>
      </w:r>
      <w:hyperlink r:id="rId22">
        <w:r w:rsidRPr="00044085">
          <w:rPr>
            <w:rFonts w:eastAsia="Times New Roman"/>
            <w:sz w:val="24"/>
            <w:szCs w:val="24"/>
          </w:rPr>
          <w:t xml:space="preserve"> </w:t>
        </w:r>
      </w:hyperlink>
      <w:hyperlink r:id="rId23">
        <w:r w:rsidRPr="00044085">
          <w:rPr>
            <w:rFonts w:eastAsia="Times New Roman"/>
            <w:color w:val="1155CC"/>
            <w:sz w:val="24"/>
            <w:szCs w:val="24"/>
            <w:u w:val="single"/>
          </w:rPr>
          <w:t>http://finance.yahoo.com/quote/CHH/financials/</w:t>
        </w:r>
      </w:hyperlink>
      <w:r w:rsidRPr="00044085">
        <w:rPr>
          <w:rFonts w:eastAsia="Times New Roman"/>
          <w:sz w:val="24"/>
          <w:szCs w:val="24"/>
        </w:rPr>
        <w:t xml:space="preserve"> (Accessed: 11 July 2026)</w:t>
      </w:r>
    </w:p>
    <w:p w14:paraId="405A9DB5" w14:textId="185FEC0F" w:rsidR="00044085" w:rsidRPr="00044085" w:rsidRDefault="00044085" w:rsidP="00044085">
      <w:pPr>
        <w:pStyle w:val="NormalWeb"/>
        <w:spacing w:before="0" w:beforeAutospacing="0" w:after="240" w:afterAutospacing="0" w:line="360" w:lineRule="auto"/>
        <w:jc w:val="both"/>
        <w:rPr>
          <w:rFonts w:ascii="Arial" w:hAnsi="Arial" w:cs="Arial"/>
          <w:lang w:val="en-GB"/>
        </w:rPr>
      </w:pPr>
      <w:r w:rsidRPr="00044085">
        <w:rPr>
          <w:rFonts w:ascii="Arial" w:hAnsi="Arial" w:cs="Arial"/>
          <w:color w:val="222222"/>
          <w:shd w:val="clear" w:color="auto" w:fill="FFFFFF"/>
          <w:lang w:val="en-GB"/>
        </w:rPr>
        <w:t>Gąsiorowski, P., Skudelny, F., Albanese, A., Baena, A., Banu, E., Catapano, G., Ćirjaković, J., Claussen-Friman, S., de L'Estoile, E., Garcia, T. and Hejlová, H., (2026) ‘Addressing commercial real estate lending risks with borrower-based measures’.</w:t>
      </w:r>
      <w:r>
        <w:rPr>
          <w:rFonts w:ascii="Arial" w:hAnsi="Arial" w:cs="Arial"/>
          <w:color w:val="222222"/>
          <w:shd w:val="clear" w:color="auto" w:fill="FFFFFF"/>
          <w:lang w:val="en-GB"/>
        </w:rPr>
        <w:t xml:space="preserve"> </w:t>
      </w:r>
      <w:r w:rsidRPr="00044085">
        <w:rPr>
          <w:rFonts w:ascii="Arial" w:hAnsi="Arial" w:cs="Arial"/>
          <w:color w:val="000000"/>
          <w:lang w:val="en-GB"/>
        </w:rPr>
        <w:t xml:space="preserve">Available at:  </w:t>
      </w:r>
      <w:hyperlink r:id="rId24" w:history="1">
        <w:r w:rsidRPr="00044085">
          <w:rPr>
            <w:rStyle w:val="Hyperlink"/>
            <w:rFonts w:ascii="Arial" w:hAnsi="Arial" w:cs="Arial"/>
            <w:color w:val="1155CC"/>
            <w:lang w:val="en-GB"/>
          </w:rPr>
          <w:t>https://papers.ssrn.com/sol3/Delivery.cfm?abstractid=6252480</w:t>
        </w:r>
      </w:hyperlink>
    </w:p>
    <w:p w14:paraId="6F60F7E0" w14:textId="77777777" w:rsidR="00044085" w:rsidRPr="00044085" w:rsidRDefault="00044085" w:rsidP="00044085">
      <w:pPr>
        <w:pStyle w:val="NormalWeb"/>
        <w:spacing w:before="0" w:beforeAutospacing="0" w:after="240" w:afterAutospacing="0" w:line="360" w:lineRule="auto"/>
        <w:jc w:val="both"/>
        <w:rPr>
          <w:rFonts w:ascii="Arial" w:hAnsi="Arial" w:cs="Arial"/>
          <w:lang w:val="en-GB"/>
        </w:rPr>
      </w:pPr>
      <w:r w:rsidRPr="00044085">
        <w:rPr>
          <w:rFonts w:ascii="Arial" w:hAnsi="Arial" w:cs="Arial"/>
          <w:color w:val="222222"/>
          <w:shd w:val="clear" w:color="auto" w:fill="FFFFFF"/>
          <w:lang w:val="en-GB"/>
        </w:rPr>
        <w:t>Hänninen, P., (2024) ‘Improving inventory management efficiency: the impact of optimisation’.</w:t>
      </w:r>
      <w:r w:rsidRPr="00044085">
        <w:rPr>
          <w:rFonts w:ascii="Arial" w:hAnsi="Arial" w:cs="Arial"/>
          <w:color w:val="000000"/>
          <w:lang w:val="en-GB"/>
        </w:rPr>
        <w:t xml:space="preserve"> Available at:  </w:t>
      </w:r>
      <w:hyperlink r:id="rId25" w:history="1">
        <w:r w:rsidRPr="00044085">
          <w:rPr>
            <w:rStyle w:val="Hyperlink"/>
            <w:rFonts w:ascii="Arial" w:hAnsi="Arial" w:cs="Arial"/>
            <w:color w:val="1155CC"/>
            <w:lang w:val="en-GB"/>
          </w:rPr>
          <w:t>https://www.theseus.fi/bitstream/handle/10024/858500/Mahamud_Fabio.pdf?sequence=2</w:t>
        </w:r>
      </w:hyperlink>
    </w:p>
    <w:p w14:paraId="76124562"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Kadam, M. and Singh, N., (2025) ‘A Study of Identification of Capital Budgeting Tools Applied in Investment Decision’, </w:t>
      </w:r>
      <w:r w:rsidRPr="00044085">
        <w:rPr>
          <w:rFonts w:eastAsia="Times New Roman"/>
          <w:i/>
          <w:iCs/>
          <w:sz w:val="24"/>
          <w:szCs w:val="24"/>
        </w:rPr>
        <w:t>Bioscan</w:t>
      </w:r>
      <w:r w:rsidRPr="00044085">
        <w:rPr>
          <w:rFonts w:eastAsia="Times New Roman"/>
          <w:sz w:val="24"/>
          <w:szCs w:val="24"/>
        </w:rPr>
        <w:t xml:space="preserve">, </w:t>
      </w:r>
      <w:r w:rsidRPr="00044085">
        <w:rPr>
          <w:rFonts w:eastAsia="Times New Roman"/>
          <w:i/>
          <w:iCs/>
          <w:sz w:val="24"/>
          <w:szCs w:val="24"/>
        </w:rPr>
        <w:t>20</w:t>
      </w:r>
      <w:r w:rsidRPr="00044085">
        <w:rPr>
          <w:rFonts w:eastAsia="Times New Roman"/>
          <w:sz w:val="24"/>
          <w:szCs w:val="24"/>
        </w:rPr>
        <w:t>, pp.671-676. Available at:</w:t>
      </w:r>
      <w:hyperlink r:id="rId26">
        <w:r w:rsidRPr="00044085">
          <w:rPr>
            <w:rFonts w:eastAsia="Times New Roman"/>
            <w:sz w:val="24"/>
            <w:szCs w:val="24"/>
          </w:rPr>
          <w:t xml:space="preserve"> </w:t>
        </w:r>
      </w:hyperlink>
      <w:hyperlink r:id="rId27">
        <w:r w:rsidRPr="00044085">
          <w:rPr>
            <w:rFonts w:eastAsia="Times New Roman"/>
            <w:color w:val="1155CC"/>
            <w:sz w:val="24"/>
            <w:szCs w:val="24"/>
            <w:u w:val="single"/>
          </w:rPr>
          <w:t>https://www.researchgate.net/profile/Madhuri-Kadam-2/publication/390561020_A_Study_of_Identification_of_Capital_Budgeting_Tools_applied_in_Investment_Decision/links/68621f87e4632b045dc87e5d/A-Study-of-Identification-of-Capital-Budgeting-Tools-applied-in-Investment-Decision.pdf</w:t>
        </w:r>
      </w:hyperlink>
    </w:p>
    <w:p w14:paraId="35FCA7EE"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KODURU, D.R.S., (2026) ‘</w:t>
      </w:r>
      <w:r w:rsidRPr="00044085">
        <w:rPr>
          <w:rFonts w:eastAsia="Times New Roman"/>
          <w:i/>
          <w:iCs/>
          <w:sz w:val="24"/>
          <w:szCs w:val="24"/>
        </w:rPr>
        <w:t>FINANCIAL MANAGEMENT IN HOTELS AND RESTAURANT INDUSTRY</w:t>
      </w:r>
      <w:r w:rsidRPr="00044085">
        <w:rPr>
          <w:rFonts w:eastAsia="Times New Roman"/>
          <w:sz w:val="24"/>
          <w:szCs w:val="24"/>
        </w:rPr>
        <w:t>’, Vaagai international publishing house. Available at:</w:t>
      </w:r>
      <w:hyperlink r:id="rId28">
        <w:r w:rsidRPr="00044085">
          <w:rPr>
            <w:rFonts w:eastAsia="Times New Roman"/>
            <w:sz w:val="24"/>
            <w:szCs w:val="24"/>
          </w:rPr>
          <w:t xml:space="preserve"> </w:t>
        </w:r>
      </w:hyperlink>
      <w:hyperlink r:id="rId29">
        <w:r w:rsidRPr="00044085">
          <w:rPr>
            <w:rFonts w:eastAsia="Times New Roman"/>
            <w:color w:val="1155CC"/>
            <w:sz w:val="24"/>
            <w:szCs w:val="24"/>
            <w:u w:val="single"/>
          </w:rPr>
          <w:t>https://books.google.com/books?hl=en&amp;lr=&amp;id=CeKuEQAAQBAJ&amp;oi=fnd&amp;pg=PA1&amp;dq=management%E2%80%99s+forecast+of+diminished+net+income+in+2026+may+emanate+from+uncertainties+surrounding+the+economy,+elevated+interest+rates,+shifts+in+travel+demand+and+intensifying+competition+in+the+worldwide+hospitality+industry&amp;ots=-290M08ZJi&amp;sig=s-7MLk7rBdIwc2TCrkMCHY4J-Gc</w:t>
        </w:r>
      </w:hyperlink>
    </w:p>
    <w:p w14:paraId="38C31B85"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Majka, M., Understanding Profit Margin. Available at:</w:t>
      </w:r>
      <w:hyperlink r:id="rId30">
        <w:r w:rsidRPr="00044085">
          <w:rPr>
            <w:rFonts w:eastAsia="Times New Roman"/>
            <w:sz w:val="24"/>
            <w:szCs w:val="24"/>
          </w:rPr>
          <w:t xml:space="preserve"> </w:t>
        </w:r>
      </w:hyperlink>
      <w:hyperlink r:id="rId31">
        <w:r w:rsidRPr="00044085">
          <w:rPr>
            <w:rFonts w:eastAsia="Times New Roman"/>
            <w:color w:val="1155CC"/>
            <w:sz w:val="24"/>
            <w:szCs w:val="24"/>
            <w:u w:val="single"/>
          </w:rPr>
          <w:t>https://www.researchgate.net/profile/Marcin-Majka-2/publication/381402426_Understanding_Profit_Margin/links/666b659685a4ee7261c0e00d/Understanding-Profit-Margin.pdf</w:t>
        </w:r>
      </w:hyperlink>
    </w:p>
    <w:p w14:paraId="300390CA"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Mandipa, G. and Sibindi, A.B., (2022) ‘Financial performance and working capital management practices in the retail sector: empirical evidence from South Africa’, </w:t>
      </w:r>
      <w:r w:rsidRPr="00044085">
        <w:rPr>
          <w:rFonts w:eastAsia="Times New Roman"/>
          <w:i/>
          <w:iCs/>
          <w:sz w:val="24"/>
          <w:szCs w:val="24"/>
        </w:rPr>
        <w:t>Risks</w:t>
      </w:r>
      <w:r w:rsidRPr="00044085">
        <w:rPr>
          <w:rFonts w:eastAsia="Times New Roman"/>
          <w:sz w:val="24"/>
          <w:szCs w:val="24"/>
        </w:rPr>
        <w:t xml:space="preserve">, </w:t>
      </w:r>
      <w:r w:rsidRPr="00044085">
        <w:rPr>
          <w:rFonts w:eastAsia="Times New Roman"/>
          <w:i/>
          <w:iCs/>
          <w:sz w:val="24"/>
          <w:szCs w:val="24"/>
        </w:rPr>
        <w:t>10</w:t>
      </w:r>
      <w:r w:rsidRPr="00044085">
        <w:rPr>
          <w:rFonts w:eastAsia="Times New Roman"/>
          <w:sz w:val="24"/>
          <w:szCs w:val="24"/>
        </w:rPr>
        <w:t>(3), p.63. Available at:</w:t>
      </w:r>
      <w:hyperlink r:id="rId32">
        <w:r w:rsidRPr="00044085">
          <w:rPr>
            <w:rFonts w:eastAsia="Times New Roman"/>
            <w:sz w:val="24"/>
            <w:szCs w:val="24"/>
          </w:rPr>
          <w:t xml:space="preserve"> </w:t>
        </w:r>
      </w:hyperlink>
      <w:hyperlink r:id="rId33">
        <w:r w:rsidRPr="00044085">
          <w:rPr>
            <w:rFonts w:eastAsia="Times New Roman"/>
            <w:color w:val="1155CC"/>
            <w:sz w:val="24"/>
            <w:szCs w:val="24"/>
            <w:u w:val="single"/>
          </w:rPr>
          <w:t>https://www.mdpi.com/2227-9091/10/3/63</w:t>
        </w:r>
      </w:hyperlink>
    </w:p>
    <w:p w14:paraId="13D65633" w14:textId="77777777" w:rsidR="00044085" w:rsidRPr="00044085" w:rsidRDefault="00044085" w:rsidP="00044085">
      <w:pPr>
        <w:spacing w:after="160" w:line="360" w:lineRule="auto"/>
        <w:jc w:val="both"/>
        <w:rPr>
          <w:rFonts w:eastAsia="Times New Roman"/>
          <w:sz w:val="24"/>
          <w:szCs w:val="24"/>
        </w:rPr>
      </w:pPr>
      <w:r w:rsidRPr="00044085">
        <w:rPr>
          <w:rFonts w:eastAsia="Times New Roman"/>
          <w:sz w:val="24"/>
          <w:szCs w:val="24"/>
        </w:rPr>
        <w:lastRenderedPageBreak/>
        <w:t xml:space="preserve">Marriott (2026) </w:t>
      </w:r>
      <w:r w:rsidRPr="00044085">
        <w:rPr>
          <w:rFonts w:eastAsia="Times New Roman"/>
          <w:i/>
          <w:iCs/>
          <w:sz w:val="24"/>
          <w:szCs w:val="24"/>
        </w:rPr>
        <w:t>Marriott International 2025 Annual Report</w:t>
      </w:r>
      <w:r w:rsidRPr="00044085">
        <w:rPr>
          <w:rFonts w:eastAsia="Times New Roman"/>
          <w:sz w:val="24"/>
          <w:szCs w:val="24"/>
        </w:rPr>
        <w:t>. Available at:</w:t>
      </w:r>
      <w:hyperlink r:id="rId34">
        <w:r w:rsidRPr="00044085">
          <w:rPr>
            <w:rFonts w:eastAsia="Times New Roman"/>
            <w:sz w:val="24"/>
            <w:szCs w:val="24"/>
          </w:rPr>
          <w:t xml:space="preserve"> </w:t>
        </w:r>
      </w:hyperlink>
      <w:hyperlink r:id="rId35">
        <w:r w:rsidRPr="00044085">
          <w:rPr>
            <w:rFonts w:eastAsia="Times New Roman"/>
            <w:color w:val="1155CC"/>
            <w:sz w:val="24"/>
            <w:szCs w:val="24"/>
            <w:u w:val="single"/>
          </w:rPr>
          <w:t>https://marriott.gcs-web.com/static-files/9cf0e9b0-bbfa-48a6-9e21-ffbdbc4b2d78</w:t>
        </w:r>
      </w:hyperlink>
      <w:r w:rsidRPr="00044085">
        <w:rPr>
          <w:rFonts w:eastAsia="Times New Roman"/>
          <w:sz w:val="24"/>
          <w:szCs w:val="24"/>
        </w:rPr>
        <w:t xml:space="preserve"> (Accessed: 11 July 2026)</w:t>
      </w:r>
    </w:p>
    <w:p w14:paraId="20B59A93"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Mazanec, J., (2022) ‘The impact of working capital management on corporate performance in small–medium enterprises in the Visegrad Group’, </w:t>
      </w:r>
      <w:r w:rsidRPr="00044085">
        <w:rPr>
          <w:rFonts w:eastAsia="Times New Roman"/>
          <w:i/>
          <w:iCs/>
          <w:sz w:val="24"/>
          <w:szCs w:val="24"/>
        </w:rPr>
        <w:t>Mathematics</w:t>
      </w:r>
      <w:r w:rsidRPr="00044085">
        <w:rPr>
          <w:rFonts w:eastAsia="Times New Roman"/>
          <w:sz w:val="24"/>
          <w:szCs w:val="24"/>
        </w:rPr>
        <w:t xml:space="preserve">, </w:t>
      </w:r>
      <w:r w:rsidRPr="00044085">
        <w:rPr>
          <w:rFonts w:eastAsia="Times New Roman"/>
          <w:i/>
          <w:iCs/>
          <w:sz w:val="24"/>
          <w:szCs w:val="24"/>
        </w:rPr>
        <w:t>10</w:t>
      </w:r>
      <w:r w:rsidRPr="00044085">
        <w:rPr>
          <w:rFonts w:eastAsia="Times New Roman"/>
          <w:sz w:val="24"/>
          <w:szCs w:val="24"/>
        </w:rPr>
        <w:t>(6), p.951. Available at:</w:t>
      </w:r>
      <w:hyperlink r:id="rId36">
        <w:r w:rsidRPr="00044085">
          <w:rPr>
            <w:rFonts w:eastAsia="Times New Roman"/>
            <w:sz w:val="24"/>
            <w:szCs w:val="24"/>
          </w:rPr>
          <w:t xml:space="preserve"> </w:t>
        </w:r>
      </w:hyperlink>
      <w:hyperlink r:id="rId37">
        <w:r w:rsidRPr="00044085">
          <w:rPr>
            <w:rFonts w:eastAsia="Times New Roman"/>
            <w:color w:val="1155CC"/>
            <w:sz w:val="24"/>
            <w:szCs w:val="24"/>
            <w:u w:val="single"/>
          </w:rPr>
          <w:t>https://www.mdpi.com/2227-7390/10/6/951</w:t>
        </w:r>
      </w:hyperlink>
    </w:p>
    <w:p w14:paraId="71F7CE25"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McGrath, P.J. and O’Neill, H.M., (2025) ‘Release, retain, and reimagine: Lessons in corporate restructuring from spin-off firms’, </w:t>
      </w:r>
      <w:r w:rsidRPr="00044085">
        <w:rPr>
          <w:rFonts w:eastAsia="Times New Roman"/>
          <w:i/>
          <w:iCs/>
          <w:sz w:val="24"/>
          <w:szCs w:val="24"/>
        </w:rPr>
        <w:t>Business Horizons</w:t>
      </w:r>
      <w:r w:rsidRPr="00044085">
        <w:rPr>
          <w:rFonts w:eastAsia="Times New Roman"/>
          <w:sz w:val="24"/>
          <w:szCs w:val="24"/>
        </w:rPr>
        <w:t>. Available at:</w:t>
      </w:r>
      <w:hyperlink r:id="rId38">
        <w:r w:rsidRPr="00044085">
          <w:rPr>
            <w:rFonts w:eastAsia="Times New Roman"/>
            <w:sz w:val="24"/>
            <w:szCs w:val="24"/>
          </w:rPr>
          <w:t xml:space="preserve"> </w:t>
        </w:r>
      </w:hyperlink>
      <w:hyperlink r:id="rId39">
        <w:r w:rsidRPr="00044085">
          <w:rPr>
            <w:rFonts w:eastAsia="Times New Roman"/>
            <w:color w:val="1155CC"/>
            <w:sz w:val="24"/>
            <w:szCs w:val="24"/>
            <w:u w:val="single"/>
          </w:rPr>
          <w:t>https://www.sciencedirect.com/science/article/pii/S0007681325001727</w:t>
        </w:r>
      </w:hyperlink>
    </w:p>
    <w:p w14:paraId="4AAC4BFD"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Park, W., Sernova, E. and Park, C.Y., (2025) ‘From Short-Term Volatility to Long-Term Growth: Restricted Stock Units’ Impact on Earnings per Share and Profit Growth Across Sectors’, </w:t>
      </w:r>
      <w:r w:rsidRPr="00044085">
        <w:rPr>
          <w:rFonts w:eastAsia="Times New Roman"/>
          <w:i/>
          <w:iCs/>
          <w:sz w:val="24"/>
          <w:szCs w:val="24"/>
        </w:rPr>
        <w:t>International Journal of Financial Studies</w:t>
      </w:r>
      <w:r w:rsidRPr="00044085">
        <w:rPr>
          <w:rFonts w:eastAsia="Times New Roman"/>
          <w:sz w:val="24"/>
          <w:szCs w:val="24"/>
        </w:rPr>
        <w:t xml:space="preserve">, </w:t>
      </w:r>
      <w:r w:rsidRPr="00044085">
        <w:rPr>
          <w:rFonts w:eastAsia="Times New Roman"/>
          <w:i/>
          <w:iCs/>
          <w:sz w:val="24"/>
          <w:szCs w:val="24"/>
        </w:rPr>
        <w:t>13</w:t>
      </w:r>
      <w:r w:rsidRPr="00044085">
        <w:rPr>
          <w:rFonts w:eastAsia="Times New Roman"/>
          <w:sz w:val="24"/>
          <w:szCs w:val="24"/>
        </w:rPr>
        <w:t>(2), p.104. Available at:</w:t>
      </w:r>
      <w:hyperlink r:id="rId40">
        <w:r w:rsidRPr="00044085">
          <w:rPr>
            <w:rFonts w:eastAsia="Times New Roman"/>
            <w:sz w:val="24"/>
            <w:szCs w:val="24"/>
          </w:rPr>
          <w:t xml:space="preserve"> </w:t>
        </w:r>
      </w:hyperlink>
      <w:hyperlink r:id="rId41">
        <w:r w:rsidRPr="00044085">
          <w:rPr>
            <w:rFonts w:eastAsia="Times New Roman"/>
            <w:color w:val="1155CC"/>
            <w:sz w:val="24"/>
            <w:szCs w:val="24"/>
            <w:u w:val="single"/>
          </w:rPr>
          <w:t>https://www.mdpi.com/2227-7072/13/2/104</w:t>
        </w:r>
      </w:hyperlink>
    </w:p>
    <w:p w14:paraId="4EEC0E23"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Pere, A., (2025) ‘COST EVALUATION OF CAPITAL EXPENDITURE AND FINANCING’, </w:t>
      </w:r>
      <w:r w:rsidRPr="00044085">
        <w:rPr>
          <w:rFonts w:eastAsia="Times New Roman"/>
          <w:i/>
          <w:iCs/>
          <w:sz w:val="24"/>
          <w:szCs w:val="24"/>
        </w:rPr>
        <w:t>International Journal of Philosophical Accounting Research</w:t>
      </w:r>
      <w:r w:rsidRPr="00044085">
        <w:rPr>
          <w:rFonts w:eastAsia="Times New Roman"/>
          <w:sz w:val="24"/>
          <w:szCs w:val="24"/>
        </w:rPr>
        <w:t>. Available at:</w:t>
      </w:r>
      <w:hyperlink r:id="rId42">
        <w:r w:rsidRPr="00044085">
          <w:rPr>
            <w:rFonts w:eastAsia="Times New Roman"/>
            <w:sz w:val="24"/>
            <w:szCs w:val="24"/>
          </w:rPr>
          <w:t xml:space="preserve"> </w:t>
        </w:r>
      </w:hyperlink>
      <w:hyperlink r:id="rId43">
        <w:r w:rsidRPr="00044085">
          <w:rPr>
            <w:rFonts w:eastAsia="Times New Roman"/>
            <w:color w:val="1155CC"/>
            <w:sz w:val="24"/>
            <w:szCs w:val="24"/>
            <w:u w:val="single"/>
          </w:rPr>
          <w:t>https://www.academia.edu/download/121635065/Cost_evaluation_of_capital_expenditure_and_financing.pdf</w:t>
        </w:r>
      </w:hyperlink>
    </w:p>
    <w:p w14:paraId="50E73DC3"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Sinaga, A.S., Sari, M.M., Hutasuhut, A.A., Zahara, S.T., Amanda, A., Fitri, A. and Caesario, M.A., (2023) ‘Comparison of capital budgeting methods: NPV, IRR, PAYBACK PERIOD’, </w:t>
      </w:r>
      <w:r w:rsidRPr="00044085">
        <w:rPr>
          <w:rFonts w:eastAsia="Times New Roman"/>
          <w:i/>
          <w:iCs/>
          <w:sz w:val="24"/>
          <w:szCs w:val="24"/>
        </w:rPr>
        <w:t>World Journal of Advanced Research and Reviews</w:t>
      </w:r>
      <w:r w:rsidRPr="00044085">
        <w:rPr>
          <w:rFonts w:eastAsia="Times New Roman"/>
          <w:sz w:val="24"/>
          <w:szCs w:val="24"/>
        </w:rPr>
        <w:t xml:space="preserve">, </w:t>
      </w:r>
      <w:r w:rsidRPr="00044085">
        <w:rPr>
          <w:rFonts w:eastAsia="Times New Roman"/>
          <w:i/>
          <w:iCs/>
          <w:sz w:val="24"/>
          <w:szCs w:val="24"/>
        </w:rPr>
        <w:t>19</w:t>
      </w:r>
      <w:r w:rsidRPr="00044085">
        <w:rPr>
          <w:rFonts w:eastAsia="Times New Roman"/>
          <w:sz w:val="24"/>
          <w:szCs w:val="24"/>
        </w:rPr>
        <w:t>(2), pp.1078-1081. Available at:</w:t>
      </w:r>
      <w:hyperlink r:id="rId44">
        <w:r w:rsidRPr="00044085">
          <w:rPr>
            <w:rFonts w:eastAsia="Times New Roman"/>
            <w:sz w:val="24"/>
            <w:szCs w:val="24"/>
          </w:rPr>
          <w:t xml:space="preserve"> </w:t>
        </w:r>
      </w:hyperlink>
      <w:hyperlink r:id="rId45">
        <w:r w:rsidRPr="00044085">
          <w:rPr>
            <w:rFonts w:eastAsia="Times New Roman"/>
            <w:color w:val="1155CC"/>
            <w:sz w:val="24"/>
            <w:szCs w:val="24"/>
            <w:u w:val="single"/>
          </w:rPr>
          <w:t>https://pdfs.semanticscholar.org/35f5/923a958b071288b38d4e960e8268477ec19a.pdf</w:t>
        </w:r>
      </w:hyperlink>
    </w:p>
    <w:p w14:paraId="52395501" w14:textId="77777777" w:rsidR="00044085" w:rsidRPr="00044085" w:rsidRDefault="00044085" w:rsidP="00044085">
      <w:pPr>
        <w:pStyle w:val="NormalWeb"/>
        <w:spacing w:before="240" w:beforeAutospacing="0" w:after="240" w:afterAutospacing="0" w:line="360" w:lineRule="auto"/>
        <w:jc w:val="both"/>
        <w:rPr>
          <w:rFonts w:ascii="Arial" w:hAnsi="Arial" w:cs="Arial"/>
          <w:lang w:val="en-GB"/>
        </w:rPr>
      </w:pPr>
      <w:r w:rsidRPr="00044085">
        <w:rPr>
          <w:rFonts w:ascii="Arial" w:hAnsi="Arial" w:cs="Arial"/>
          <w:color w:val="000000"/>
          <w:lang w:val="en-GB"/>
        </w:rPr>
        <w:t xml:space="preserve">Stanford, J. (2025) ‘How disruptive is AI in students’ academic writing in higher education?’, </w:t>
      </w:r>
      <w:r w:rsidRPr="00044085">
        <w:rPr>
          <w:rFonts w:ascii="Arial" w:hAnsi="Arial" w:cs="Arial"/>
          <w:i/>
          <w:iCs/>
          <w:color w:val="000000"/>
          <w:lang w:val="en-GB"/>
        </w:rPr>
        <w:t>Studies in Technology Enhanced Learning</w:t>
      </w:r>
      <w:r w:rsidRPr="00044085">
        <w:rPr>
          <w:rFonts w:ascii="Arial" w:hAnsi="Arial" w:cs="Arial"/>
          <w:color w:val="000000"/>
          <w:lang w:val="en-GB"/>
        </w:rPr>
        <w:t>, 4(1). Available at:</w:t>
      </w:r>
      <w:hyperlink r:id="rId46" w:history="1">
        <w:r w:rsidRPr="00044085">
          <w:rPr>
            <w:rStyle w:val="Hyperlink"/>
            <w:rFonts w:ascii="Arial" w:hAnsi="Arial" w:cs="Arial"/>
            <w:color w:val="000000"/>
            <w:lang w:val="en-GB"/>
          </w:rPr>
          <w:t xml:space="preserve"> </w:t>
        </w:r>
        <w:r w:rsidRPr="00044085">
          <w:rPr>
            <w:rStyle w:val="Hyperlink"/>
            <w:rFonts w:ascii="Arial" w:hAnsi="Arial" w:cs="Arial"/>
            <w:color w:val="1155CC"/>
            <w:lang w:val="en-GB"/>
          </w:rPr>
          <w:t>https://stel.pubpub.org/pub/04-01-stanford</w:t>
        </w:r>
      </w:hyperlink>
    </w:p>
    <w:p w14:paraId="7C7EE82B"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Trejo-Pech, C.J. and White, S., (2022) ‘Why No Debt? A FRICTO Analysis of the Capital Structure of Cal-Maine Foods Inc’, </w:t>
      </w:r>
      <w:r w:rsidRPr="00044085">
        <w:rPr>
          <w:rFonts w:eastAsia="Times New Roman"/>
          <w:i/>
          <w:iCs/>
          <w:sz w:val="24"/>
          <w:szCs w:val="24"/>
        </w:rPr>
        <w:t xml:space="preserve">Applied Economics Teaching Resources </w:t>
      </w:r>
      <w:r w:rsidRPr="00044085">
        <w:rPr>
          <w:rFonts w:eastAsia="Times New Roman"/>
          <w:i/>
          <w:iCs/>
          <w:sz w:val="24"/>
          <w:szCs w:val="24"/>
        </w:rPr>
        <w:lastRenderedPageBreak/>
        <w:t>(AETR)</w:t>
      </w:r>
      <w:r w:rsidRPr="00044085">
        <w:rPr>
          <w:rFonts w:eastAsia="Times New Roman"/>
          <w:sz w:val="24"/>
          <w:szCs w:val="24"/>
        </w:rPr>
        <w:t xml:space="preserve">, </w:t>
      </w:r>
      <w:r w:rsidRPr="00044085">
        <w:rPr>
          <w:rFonts w:eastAsia="Times New Roman"/>
          <w:i/>
          <w:iCs/>
          <w:sz w:val="24"/>
          <w:szCs w:val="24"/>
        </w:rPr>
        <w:t>4</w:t>
      </w:r>
      <w:r w:rsidRPr="00044085">
        <w:rPr>
          <w:rFonts w:eastAsia="Times New Roman"/>
          <w:sz w:val="24"/>
          <w:szCs w:val="24"/>
        </w:rPr>
        <w:t>(1), pp.49-70. Available at:</w:t>
      </w:r>
      <w:hyperlink r:id="rId47">
        <w:r w:rsidRPr="00044085">
          <w:rPr>
            <w:rFonts w:eastAsia="Times New Roman"/>
            <w:sz w:val="24"/>
            <w:szCs w:val="24"/>
          </w:rPr>
          <w:t xml:space="preserve"> </w:t>
        </w:r>
      </w:hyperlink>
      <w:hyperlink r:id="rId48">
        <w:r w:rsidRPr="00044085">
          <w:rPr>
            <w:rFonts w:eastAsia="Times New Roman"/>
            <w:color w:val="1155CC"/>
            <w:sz w:val="24"/>
            <w:szCs w:val="24"/>
            <w:u w:val="single"/>
          </w:rPr>
          <w:t>https://ageconsearch.umn.edu/record/320048/files/AETR_2021_012RRV4I1.pdf</w:t>
        </w:r>
      </w:hyperlink>
    </w:p>
    <w:p w14:paraId="2B9DAD89"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Usodan, A.K.M., Jalal, F.D.H., Bandera, A.D. and Usman-Macadaag, O.M., (2025) ‘Making the Right Choice: A Literature-Based Analysis on Investment Appraisal’, </w:t>
      </w:r>
      <w:r w:rsidRPr="00044085">
        <w:rPr>
          <w:rFonts w:eastAsia="Times New Roman"/>
          <w:i/>
          <w:iCs/>
          <w:sz w:val="24"/>
          <w:szCs w:val="24"/>
        </w:rPr>
        <w:t>International Research Journal of Economics and Management Studies IRJEMS</w:t>
      </w:r>
      <w:r w:rsidRPr="00044085">
        <w:rPr>
          <w:rFonts w:eastAsia="Times New Roman"/>
          <w:sz w:val="24"/>
          <w:szCs w:val="24"/>
        </w:rPr>
        <w:t xml:space="preserve">, </w:t>
      </w:r>
      <w:r w:rsidRPr="00044085">
        <w:rPr>
          <w:rFonts w:eastAsia="Times New Roman"/>
          <w:i/>
          <w:iCs/>
          <w:sz w:val="24"/>
          <w:szCs w:val="24"/>
        </w:rPr>
        <w:t>4</w:t>
      </w:r>
      <w:r w:rsidRPr="00044085">
        <w:rPr>
          <w:rFonts w:eastAsia="Times New Roman"/>
          <w:sz w:val="24"/>
          <w:szCs w:val="24"/>
        </w:rPr>
        <w:t xml:space="preserve">(11). Available at:  </w:t>
      </w:r>
      <w:hyperlink r:id="rId49">
        <w:r w:rsidRPr="00044085">
          <w:rPr>
            <w:rFonts w:eastAsia="Times New Roman"/>
            <w:color w:val="1155CC"/>
            <w:sz w:val="24"/>
            <w:szCs w:val="24"/>
            <w:u w:val="single"/>
          </w:rPr>
          <w:t>https://irjems.org/Volume-4-Issue-11/IRJEMS-V4I11P113.pdf</w:t>
        </w:r>
      </w:hyperlink>
    </w:p>
    <w:p w14:paraId="5B173A9B" w14:textId="77777777" w:rsidR="00044085" w:rsidRPr="00044085" w:rsidRDefault="00044085" w:rsidP="00044085">
      <w:pPr>
        <w:pStyle w:val="NormalWeb"/>
        <w:spacing w:before="0" w:beforeAutospacing="0" w:after="240" w:afterAutospacing="0" w:line="360" w:lineRule="auto"/>
        <w:jc w:val="both"/>
        <w:rPr>
          <w:rFonts w:ascii="Arial" w:hAnsi="Arial" w:cs="Arial"/>
          <w:lang w:val="en-GB"/>
        </w:rPr>
      </w:pPr>
      <w:r w:rsidRPr="00044085">
        <w:rPr>
          <w:rFonts w:ascii="Arial" w:hAnsi="Arial" w:cs="Arial"/>
          <w:shd w:val="clear" w:color="auto" w:fill="FFFFFF"/>
          <w:lang w:val="en-GB"/>
        </w:rPr>
        <w:t xml:space="preserve">Van Deventer, I.A., (2023) ‘A study of trade credit: Best practices for managing accounts receivable’. </w:t>
      </w:r>
      <w:r w:rsidRPr="00044085">
        <w:rPr>
          <w:rFonts w:ascii="Arial" w:hAnsi="Arial" w:cs="Arial"/>
          <w:i/>
          <w:iCs/>
          <w:shd w:val="clear" w:color="auto" w:fill="FFFFFF"/>
          <w:lang w:val="en-GB"/>
        </w:rPr>
        <w:t>International Journal of Accounting Research</w:t>
      </w:r>
      <w:r w:rsidRPr="00044085">
        <w:rPr>
          <w:rFonts w:ascii="Arial" w:hAnsi="Arial" w:cs="Arial"/>
          <w:shd w:val="clear" w:color="auto" w:fill="FFFFFF"/>
          <w:lang w:val="en-GB"/>
        </w:rPr>
        <w:t xml:space="preserve">, </w:t>
      </w:r>
      <w:r w:rsidRPr="00044085">
        <w:rPr>
          <w:rFonts w:ascii="Arial" w:hAnsi="Arial" w:cs="Arial"/>
          <w:i/>
          <w:iCs/>
          <w:shd w:val="clear" w:color="auto" w:fill="FFFFFF"/>
          <w:lang w:val="en-GB"/>
        </w:rPr>
        <w:t>8</w:t>
      </w:r>
      <w:r w:rsidRPr="00044085">
        <w:rPr>
          <w:rFonts w:ascii="Arial" w:hAnsi="Arial" w:cs="Arial"/>
          <w:shd w:val="clear" w:color="auto" w:fill="FFFFFF"/>
          <w:lang w:val="en-GB"/>
        </w:rPr>
        <w:t>(2), pp.53-58.</w:t>
      </w:r>
      <w:r w:rsidRPr="00044085">
        <w:rPr>
          <w:rFonts w:ascii="Arial" w:hAnsi="Arial" w:cs="Arial"/>
          <w:lang w:val="en-GB"/>
        </w:rPr>
        <w:t xml:space="preserve"> Available at: </w:t>
      </w:r>
      <w:hyperlink r:id="rId50" w:history="1">
        <w:r w:rsidRPr="00044085">
          <w:rPr>
            <w:rStyle w:val="Hyperlink"/>
            <w:rFonts w:ascii="Arial" w:hAnsi="Arial" w:cs="Arial"/>
            <w:color w:val="1155CC"/>
            <w:lang w:val="en-GB"/>
          </w:rPr>
          <w:t>https://j.arabianjbmr.com/index.php/ijar/article/download/1195/1111</w:t>
        </w:r>
      </w:hyperlink>
    </w:p>
    <w:p w14:paraId="25304458"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 xml:space="preserve">Vuković, B., Tica, T. and Jakšić, D., (2022) ‘Sustainable growth rate analysis in Eastern European companies’, </w:t>
      </w:r>
      <w:r w:rsidRPr="00044085">
        <w:rPr>
          <w:rFonts w:eastAsia="Times New Roman"/>
          <w:i/>
          <w:iCs/>
          <w:sz w:val="24"/>
          <w:szCs w:val="24"/>
        </w:rPr>
        <w:t>Sustainability</w:t>
      </w:r>
      <w:r w:rsidRPr="00044085">
        <w:rPr>
          <w:rFonts w:eastAsia="Times New Roman"/>
          <w:sz w:val="24"/>
          <w:szCs w:val="24"/>
        </w:rPr>
        <w:t xml:space="preserve">, </w:t>
      </w:r>
      <w:r w:rsidRPr="00044085">
        <w:rPr>
          <w:rFonts w:eastAsia="Times New Roman"/>
          <w:i/>
          <w:iCs/>
          <w:sz w:val="24"/>
          <w:szCs w:val="24"/>
        </w:rPr>
        <w:t>14</w:t>
      </w:r>
      <w:r w:rsidRPr="00044085">
        <w:rPr>
          <w:rFonts w:eastAsia="Times New Roman"/>
          <w:sz w:val="24"/>
          <w:szCs w:val="24"/>
        </w:rPr>
        <w:t>(17), p.10731. Available at:</w:t>
      </w:r>
      <w:hyperlink r:id="rId51">
        <w:r w:rsidRPr="00044085">
          <w:rPr>
            <w:rFonts w:eastAsia="Times New Roman"/>
            <w:sz w:val="24"/>
            <w:szCs w:val="24"/>
          </w:rPr>
          <w:t xml:space="preserve"> </w:t>
        </w:r>
      </w:hyperlink>
      <w:hyperlink r:id="rId52">
        <w:r w:rsidRPr="00044085">
          <w:rPr>
            <w:rFonts w:eastAsia="Times New Roman"/>
            <w:color w:val="1155CC"/>
            <w:sz w:val="24"/>
            <w:szCs w:val="24"/>
            <w:u w:val="single"/>
          </w:rPr>
          <w:t>https://www.mdpi.com/2071-1050/15/12/9656</w:t>
        </w:r>
      </w:hyperlink>
    </w:p>
    <w:p w14:paraId="47BABD5C" w14:textId="77777777" w:rsidR="00044085" w:rsidRPr="00044085" w:rsidRDefault="00044085" w:rsidP="00044085">
      <w:pPr>
        <w:spacing w:after="160" w:line="360" w:lineRule="auto"/>
        <w:jc w:val="both"/>
        <w:rPr>
          <w:rFonts w:eastAsia="Times New Roman"/>
          <w:sz w:val="24"/>
          <w:szCs w:val="24"/>
        </w:rPr>
      </w:pPr>
      <w:r w:rsidRPr="00044085">
        <w:rPr>
          <w:rFonts w:eastAsia="Times New Roman"/>
          <w:sz w:val="24"/>
          <w:szCs w:val="24"/>
        </w:rPr>
        <w:t xml:space="preserve">Vuković, B., Tica, T. and Jakšić, D., (2022) ‘Sustainable growth rate analysis in Eastern European companies’, </w:t>
      </w:r>
      <w:r w:rsidRPr="00044085">
        <w:rPr>
          <w:rFonts w:eastAsia="Times New Roman"/>
          <w:i/>
          <w:iCs/>
          <w:sz w:val="24"/>
          <w:szCs w:val="24"/>
        </w:rPr>
        <w:t>Sustainability</w:t>
      </w:r>
      <w:r w:rsidRPr="00044085">
        <w:rPr>
          <w:rFonts w:eastAsia="Times New Roman"/>
          <w:sz w:val="24"/>
          <w:szCs w:val="24"/>
        </w:rPr>
        <w:t xml:space="preserve">, </w:t>
      </w:r>
      <w:r w:rsidRPr="00044085">
        <w:rPr>
          <w:rFonts w:eastAsia="Times New Roman"/>
          <w:i/>
          <w:iCs/>
          <w:sz w:val="24"/>
          <w:szCs w:val="24"/>
        </w:rPr>
        <w:t>14</w:t>
      </w:r>
      <w:r w:rsidRPr="00044085">
        <w:rPr>
          <w:rFonts w:eastAsia="Times New Roman"/>
          <w:sz w:val="24"/>
          <w:szCs w:val="24"/>
        </w:rPr>
        <w:t>(17), p.10731. Available at:</w:t>
      </w:r>
      <w:hyperlink r:id="rId53">
        <w:r w:rsidRPr="00044085">
          <w:rPr>
            <w:rFonts w:eastAsia="Times New Roman"/>
            <w:sz w:val="24"/>
            <w:szCs w:val="24"/>
          </w:rPr>
          <w:t xml:space="preserve"> </w:t>
        </w:r>
      </w:hyperlink>
      <w:hyperlink r:id="rId54">
        <w:r w:rsidRPr="00044085">
          <w:rPr>
            <w:rFonts w:eastAsia="Times New Roman"/>
            <w:color w:val="1155CC"/>
            <w:sz w:val="24"/>
            <w:szCs w:val="24"/>
            <w:u w:val="single"/>
          </w:rPr>
          <w:t>https://www.mdpi.com/2071-1050/14/17/10731</w:t>
        </w:r>
      </w:hyperlink>
      <w:r w:rsidRPr="00044085">
        <w:rPr>
          <w:rFonts w:eastAsia="Times New Roman"/>
          <w:sz w:val="24"/>
          <w:szCs w:val="24"/>
        </w:rPr>
        <w:t xml:space="preserve">                     </w:t>
      </w:r>
      <w:r w:rsidRPr="00044085">
        <w:rPr>
          <w:rFonts w:eastAsia="Times New Roman"/>
          <w:sz w:val="24"/>
          <w:szCs w:val="24"/>
        </w:rPr>
        <w:tab/>
      </w:r>
    </w:p>
    <w:p w14:paraId="61FF40A5" w14:textId="77777777" w:rsidR="00044085" w:rsidRPr="00044085" w:rsidRDefault="00044085" w:rsidP="00044085">
      <w:pPr>
        <w:spacing w:after="160" w:line="360" w:lineRule="auto"/>
        <w:jc w:val="both"/>
        <w:rPr>
          <w:rFonts w:eastAsia="Times New Roman"/>
          <w:color w:val="1155CC"/>
          <w:sz w:val="24"/>
          <w:szCs w:val="24"/>
          <w:u w:val="single"/>
        </w:rPr>
      </w:pPr>
      <w:r w:rsidRPr="00044085">
        <w:rPr>
          <w:rFonts w:eastAsia="Times New Roman"/>
          <w:sz w:val="24"/>
          <w:szCs w:val="24"/>
        </w:rPr>
        <w:t>Zaramella, G., (2023) ‘Financial Restructuring: analysis and applications’, Available at:</w:t>
      </w:r>
      <w:hyperlink r:id="rId55">
        <w:r w:rsidRPr="00044085">
          <w:rPr>
            <w:rFonts w:eastAsia="Times New Roman"/>
            <w:sz w:val="24"/>
            <w:szCs w:val="24"/>
          </w:rPr>
          <w:t xml:space="preserve"> </w:t>
        </w:r>
      </w:hyperlink>
      <w:hyperlink r:id="rId56">
        <w:r w:rsidRPr="00044085">
          <w:rPr>
            <w:rFonts w:eastAsia="Times New Roman"/>
            <w:color w:val="1155CC"/>
            <w:sz w:val="24"/>
            <w:szCs w:val="24"/>
            <w:u w:val="single"/>
          </w:rPr>
          <w:t>https://unitesi.unive.it/bitstream/20.500.14247/4284/1/872666-1280209.pdf</w:t>
        </w:r>
      </w:hyperlink>
    </w:p>
    <w:p w14:paraId="3096F014" w14:textId="77777777" w:rsidR="00763EC6" w:rsidRPr="00044085" w:rsidRDefault="00763EC6">
      <w:pPr>
        <w:spacing w:after="160" w:line="360" w:lineRule="auto"/>
        <w:jc w:val="both"/>
        <w:rPr>
          <w:rFonts w:eastAsia="Times New Roman"/>
          <w:color w:val="1155CC"/>
          <w:sz w:val="24"/>
          <w:szCs w:val="24"/>
          <w:u w:val="single"/>
        </w:rPr>
      </w:pPr>
    </w:p>
    <w:p w14:paraId="6DC3E26F" w14:textId="77777777" w:rsidR="00401998" w:rsidRPr="00044085" w:rsidRDefault="00401998">
      <w:pPr>
        <w:spacing w:after="200" w:line="360" w:lineRule="auto"/>
        <w:jc w:val="both"/>
        <w:rPr>
          <w:rFonts w:eastAsia="Times New Roman"/>
          <w:sz w:val="24"/>
          <w:szCs w:val="24"/>
        </w:rPr>
      </w:pPr>
    </w:p>
    <w:p w14:paraId="0ED2B257" w14:textId="6D86C408" w:rsidR="00FE53F0" w:rsidRPr="00044085" w:rsidRDefault="00FE53F0">
      <w:pPr>
        <w:rPr>
          <w:rFonts w:eastAsia="Times New Roman"/>
          <w:sz w:val="24"/>
          <w:szCs w:val="24"/>
        </w:rPr>
      </w:pPr>
      <w:r w:rsidRPr="00044085">
        <w:rPr>
          <w:rFonts w:eastAsia="Times New Roman"/>
          <w:sz w:val="24"/>
          <w:szCs w:val="24"/>
        </w:rPr>
        <w:br w:type="page"/>
      </w:r>
    </w:p>
    <w:p w14:paraId="661B47A4" w14:textId="763DEEB4" w:rsidR="00401998" w:rsidRPr="00044085" w:rsidRDefault="00FE53F0" w:rsidP="00FE53F0">
      <w:pPr>
        <w:pStyle w:val="Heading1"/>
      </w:pPr>
      <w:bookmarkStart w:id="50" w:name="_Toc234686429"/>
      <w:bookmarkStart w:id="51" w:name="_Toc234689628"/>
      <w:r w:rsidRPr="00044085">
        <w:lastRenderedPageBreak/>
        <w:t>Appendices</w:t>
      </w:r>
      <w:bookmarkEnd w:id="50"/>
      <w:bookmarkEnd w:id="51"/>
      <w:r w:rsidRPr="00044085">
        <w:t xml:space="preserve"> </w:t>
      </w:r>
    </w:p>
    <w:p w14:paraId="08E3ACBF" w14:textId="195FDC39" w:rsidR="00FE53F0" w:rsidRPr="00044085" w:rsidRDefault="00FE53F0" w:rsidP="00FE53F0">
      <w:pPr>
        <w:pStyle w:val="Heading2"/>
      </w:pPr>
      <w:bookmarkStart w:id="52" w:name="_Toc234686430"/>
      <w:bookmarkStart w:id="53" w:name="_Toc234689629"/>
      <w:r w:rsidRPr="00044085">
        <w:t>Appendix A: Ratio Tables and Graphs</w:t>
      </w:r>
      <w:bookmarkEnd w:id="52"/>
      <w:bookmarkEnd w:id="53"/>
    </w:p>
    <w:tbl>
      <w:tblPr>
        <w:tblStyle w:val="TableGrid"/>
        <w:tblW w:w="5000" w:type="pct"/>
        <w:tblLook w:val="04A0" w:firstRow="1" w:lastRow="0" w:firstColumn="1" w:lastColumn="0" w:noHBand="0" w:noVBand="1"/>
      </w:tblPr>
      <w:tblGrid>
        <w:gridCol w:w="2039"/>
        <w:gridCol w:w="2710"/>
        <w:gridCol w:w="854"/>
        <w:gridCol w:w="854"/>
        <w:gridCol w:w="854"/>
        <w:gridCol w:w="854"/>
        <w:gridCol w:w="854"/>
      </w:tblGrid>
      <w:tr w:rsidR="00FE53F0" w:rsidRPr="00044085" w14:paraId="36B79CD0" w14:textId="77777777" w:rsidTr="00044085">
        <w:trPr>
          <w:trHeight w:val="300"/>
        </w:trPr>
        <w:tc>
          <w:tcPr>
            <w:tcW w:w="2633" w:type="pct"/>
            <w:gridSpan w:val="2"/>
            <w:noWrap/>
            <w:hideMark/>
          </w:tcPr>
          <w:p w14:paraId="446832C5"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Financial Item</w:t>
            </w:r>
          </w:p>
        </w:tc>
        <w:tc>
          <w:tcPr>
            <w:tcW w:w="473" w:type="pct"/>
            <w:noWrap/>
            <w:hideMark/>
          </w:tcPr>
          <w:p w14:paraId="6C7099F6"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2021</w:t>
            </w:r>
          </w:p>
        </w:tc>
        <w:tc>
          <w:tcPr>
            <w:tcW w:w="473" w:type="pct"/>
            <w:noWrap/>
            <w:hideMark/>
          </w:tcPr>
          <w:p w14:paraId="36CF6FDF"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2022</w:t>
            </w:r>
          </w:p>
        </w:tc>
        <w:tc>
          <w:tcPr>
            <w:tcW w:w="473" w:type="pct"/>
            <w:noWrap/>
            <w:hideMark/>
          </w:tcPr>
          <w:p w14:paraId="4F03A171"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2023</w:t>
            </w:r>
          </w:p>
        </w:tc>
        <w:tc>
          <w:tcPr>
            <w:tcW w:w="473" w:type="pct"/>
            <w:noWrap/>
            <w:hideMark/>
          </w:tcPr>
          <w:p w14:paraId="59554750"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2024</w:t>
            </w:r>
          </w:p>
        </w:tc>
        <w:tc>
          <w:tcPr>
            <w:tcW w:w="473" w:type="pct"/>
            <w:noWrap/>
            <w:hideMark/>
          </w:tcPr>
          <w:p w14:paraId="379DAB0B"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2025</w:t>
            </w:r>
          </w:p>
        </w:tc>
      </w:tr>
      <w:tr w:rsidR="00FE53F0" w:rsidRPr="00044085" w14:paraId="475D0209" w14:textId="77777777" w:rsidTr="00044085">
        <w:trPr>
          <w:trHeight w:val="300"/>
        </w:trPr>
        <w:tc>
          <w:tcPr>
            <w:tcW w:w="2633" w:type="pct"/>
            <w:gridSpan w:val="2"/>
            <w:noWrap/>
            <w:hideMark/>
          </w:tcPr>
          <w:p w14:paraId="3D07ACE8"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Total Revenue</w:t>
            </w:r>
          </w:p>
        </w:tc>
        <w:tc>
          <w:tcPr>
            <w:tcW w:w="473" w:type="pct"/>
            <w:noWrap/>
            <w:hideMark/>
          </w:tcPr>
          <w:p w14:paraId="6A8115D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1,330,000</w:t>
            </w:r>
          </w:p>
        </w:tc>
        <w:tc>
          <w:tcPr>
            <w:tcW w:w="473" w:type="pct"/>
            <w:noWrap/>
            <w:hideMark/>
          </w:tcPr>
          <w:p w14:paraId="7530104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1,410,000</w:t>
            </w:r>
          </w:p>
        </w:tc>
        <w:tc>
          <w:tcPr>
            <w:tcW w:w="473" w:type="pct"/>
            <w:noWrap/>
            <w:hideMark/>
          </w:tcPr>
          <w:p w14:paraId="4FEE5E7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1,500,000</w:t>
            </w:r>
          </w:p>
        </w:tc>
        <w:tc>
          <w:tcPr>
            <w:tcW w:w="473" w:type="pct"/>
            <w:noWrap/>
            <w:hideMark/>
          </w:tcPr>
          <w:p w14:paraId="06AA1AA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1,584,839</w:t>
            </w:r>
          </w:p>
        </w:tc>
        <w:tc>
          <w:tcPr>
            <w:tcW w:w="473" w:type="pct"/>
            <w:noWrap/>
            <w:hideMark/>
          </w:tcPr>
          <w:p w14:paraId="46CD26F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1,596,793</w:t>
            </w:r>
          </w:p>
        </w:tc>
      </w:tr>
      <w:tr w:rsidR="00FE53F0" w:rsidRPr="00044085" w14:paraId="5525CFA5" w14:textId="77777777" w:rsidTr="00044085">
        <w:trPr>
          <w:trHeight w:val="300"/>
        </w:trPr>
        <w:tc>
          <w:tcPr>
            <w:tcW w:w="2633" w:type="pct"/>
            <w:gridSpan w:val="2"/>
            <w:noWrap/>
            <w:hideMark/>
          </w:tcPr>
          <w:p w14:paraId="5623FC78"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Gross Profit</w:t>
            </w:r>
          </w:p>
        </w:tc>
        <w:tc>
          <w:tcPr>
            <w:tcW w:w="473" w:type="pct"/>
            <w:noWrap/>
            <w:hideMark/>
          </w:tcPr>
          <w:p w14:paraId="3D99625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515,700</w:t>
            </w:r>
          </w:p>
        </w:tc>
        <w:tc>
          <w:tcPr>
            <w:tcW w:w="473" w:type="pct"/>
            <w:noWrap/>
            <w:hideMark/>
          </w:tcPr>
          <w:p w14:paraId="405E2F7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627,660</w:t>
            </w:r>
          </w:p>
        </w:tc>
        <w:tc>
          <w:tcPr>
            <w:tcW w:w="473" w:type="pct"/>
            <w:noWrap/>
            <w:hideMark/>
          </w:tcPr>
          <w:p w14:paraId="784EF6B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825,110</w:t>
            </w:r>
          </w:p>
        </w:tc>
        <w:tc>
          <w:tcPr>
            <w:tcW w:w="473" w:type="pct"/>
            <w:noWrap/>
            <w:hideMark/>
          </w:tcPr>
          <w:p w14:paraId="085B9D3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863,500</w:t>
            </w:r>
          </w:p>
        </w:tc>
        <w:tc>
          <w:tcPr>
            <w:tcW w:w="473" w:type="pct"/>
            <w:noWrap/>
            <w:hideMark/>
          </w:tcPr>
          <w:p w14:paraId="3DAA9BB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888,910</w:t>
            </w:r>
          </w:p>
        </w:tc>
      </w:tr>
      <w:tr w:rsidR="00FE53F0" w:rsidRPr="00044085" w14:paraId="6CE63F6B" w14:textId="77777777" w:rsidTr="00044085">
        <w:trPr>
          <w:trHeight w:val="300"/>
        </w:trPr>
        <w:tc>
          <w:tcPr>
            <w:tcW w:w="2633" w:type="pct"/>
            <w:gridSpan w:val="2"/>
            <w:noWrap/>
            <w:hideMark/>
          </w:tcPr>
          <w:p w14:paraId="269BBDF1"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Net Income</w:t>
            </w:r>
          </w:p>
        </w:tc>
        <w:tc>
          <w:tcPr>
            <w:tcW w:w="473" w:type="pct"/>
            <w:noWrap/>
            <w:hideMark/>
          </w:tcPr>
          <w:p w14:paraId="3FD2879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210,000</w:t>
            </w:r>
          </w:p>
        </w:tc>
        <w:tc>
          <w:tcPr>
            <w:tcW w:w="473" w:type="pct"/>
            <w:noWrap/>
            <w:hideMark/>
          </w:tcPr>
          <w:p w14:paraId="0AA878C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235,000</w:t>
            </w:r>
          </w:p>
        </w:tc>
        <w:tc>
          <w:tcPr>
            <w:tcW w:w="473" w:type="pct"/>
            <w:noWrap/>
            <w:hideMark/>
          </w:tcPr>
          <w:p w14:paraId="7C2F659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270,000</w:t>
            </w:r>
          </w:p>
        </w:tc>
        <w:tc>
          <w:tcPr>
            <w:tcW w:w="473" w:type="pct"/>
            <w:noWrap/>
            <w:hideMark/>
          </w:tcPr>
          <w:p w14:paraId="4158CA7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299,665</w:t>
            </w:r>
          </w:p>
        </w:tc>
        <w:tc>
          <w:tcPr>
            <w:tcW w:w="473" w:type="pct"/>
            <w:noWrap/>
            <w:hideMark/>
          </w:tcPr>
          <w:p w14:paraId="065B054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369,946</w:t>
            </w:r>
          </w:p>
        </w:tc>
      </w:tr>
      <w:tr w:rsidR="00FE53F0" w:rsidRPr="00044085" w14:paraId="6110C249" w14:textId="77777777" w:rsidTr="00044085">
        <w:trPr>
          <w:trHeight w:val="300"/>
        </w:trPr>
        <w:tc>
          <w:tcPr>
            <w:tcW w:w="2633" w:type="pct"/>
            <w:gridSpan w:val="2"/>
            <w:noWrap/>
            <w:hideMark/>
          </w:tcPr>
          <w:p w14:paraId="581BE8C7"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Income (EBIT)</w:t>
            </w:r>
          </w:p>
        </w:tc>
        <w:tc>
          <w:tcPr>
            <w:tcW w:w="473" w:type="pct"/>
            <w:noWrap/>
            <w:hideMark/>
          </w:tcPr>
          <w:p w14:paraId="41BDEC5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350,000</w:t>
            </w:r>
          </w:p>
        </w:tc>
        <w:tc>
          <w:tcPr>
            <w:tcW w:w="473" w:type="pct"/>
            <w:noWrap/>
            <w:hideMark/>
          </w:tcPr>
          <w:p w14:paraId="2E209B7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390,000</w:t>
            </w:r>
          </w:p>
        </w:tc>
        <w:tc>
          <w:tcPr>
            <w:tcW w:w="473" w:type="pct"/>
            <w:noWrap/>
            <w:hideMark/>
          </w:tcPr>
          <w:p w14:paraId="33F950F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430,000</w:t>
            </w:r>
          </w:p>
        </w:tc>
        <w:tc>
          <w:tcPr>
            <w:tcW w:w="473" w:type="pct"/>
            <w:noWrap/>
            <w:hideMark/>
          </w:tcPr>
          <w:p w14:paraId="7EA2FB2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463,773</w:t>
            </w:r>
          </w:p>
        </w:tc>
        <w:tc>
          <w:tcPr>
            <w:tcW w:w="473" w:type="pct"/>
            <w:noWrap/>
            <w:hideMark/>
          </w:tcPr>
          <w:p w14:paraId="4D8ACE1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448,399</w:t>
            </w:r>
          </w:p>
        </w:tc>
      </w:tr>
      <w:tr w:rsidR="00FE53F0" w:rsidRPr="00044085" w14:paraId="6684CBEF" w14:textId="77777777" w:rsidTr="00044085">
        <w:trPr>
          <w:trHeight w:val="300"/>
        </w:trPr>
        <w:tc>
          <w:tcPr>
            <w:tcW w:w="2633" w:type="pct"/>
            <w:gridSpan w:val="2"/>
            <w:noWrap/>
            <w:hideMark/>
          </w:tcPr>
          <w:p w14:paraId="5AFA4F5F"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EBITDA</w:t>
            </w:r>
          </w:p>
        </w:tc>
        <w:tc>
          <w:tcPr>
            <w:tcW w:w="473" w:type="pct"/>
            <w:noWrap/>
            <w:hideMark/>
          </w:tcPr>
          <w:p w14:paraId="4FC3DC1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430,000</w:t>
            </w:r>
          </w:p>
        </w:tc>
        <w:tc>
          <w:tcPr>
            <w:tcW w:w="473" w:type="pct"/>
            <w:noWrap/>
            <w:hideMark/>
          </w:tcPr>
          <w:p w14:paraId="27DEF30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470,000</w:t>
            </w:r>
          </w:p>
        </w:tc>
        <w:tc>
          <w:tcPr>
            <w:tcW w:w="473" w:type="pct"/>
            <w:noWrap/>
            <w:hideMark/>
          </w:tcPr>
          <w:p w14:paraId="2F1E7F3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500,000</w:t>
            </w:r>
          </w:p>
        </w:tc>
        <w:tc>
          <w:tcPr>
            <w:tcW w:w="473" w:type="pct"/>
            <w:noWrap/>
            <w:hideMark/>
          </w:tcPr>
          <w:p w14:paraId="4002CD0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515,726</w:t>
            </w:r>
          </w:p>
        </w:tc>
        <w:tc>
          <w:tcPr>
            <w:tcW w:w="473" w:type="pct"/>
            <w:noWrap/>
            <w:hideMark/>
          </w:tcPr>
          <w:p w14:paraId="4681396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508,627</w:t>
            </w:r>
          </w:p>
        </w:tc>
      </w:tr>
      <w:tr w:rsidR="00FE53F0" w:rsidRPr="00044085" w14:paraId="0C4F98BE" w14:textId="77777777" w:rsidTr="00044085">
        <w:trPr>
          <w:trHeight w:val="300"/>
        </w:trPr>
        <w:tc>
          <w:tcPr>
            <w:tcW w:w="2633" w:type="pct"/>
            <w:gridSpan w:val="2"/>
            <w:noWrap/>
            <w:hideMark/>
          </w:tcPr>
          <w:p w14:paraId="0F9078A7"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Cash and Cash Equivalents</w:t>
            </w:r>
          </w:p>
        </w:tc>
        <w:tc>
          <w:tcPr>
            <w:tcW w:w="473" w:type="pct"/>
            <w:noWrap/>
            <w:hideMark/>
          </w:tcPr>
          <w:p w14:paraId="3471569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25,000</w:t>
            </w:r>
          </w:p>
        </w:tc>
        <w:tc>
          <w:tcPr>
            <w:tcW w:w="473" w:type="pct"/>
            <w:noWrap/>
            <w:hideMark/>
          </w:tcPr>
          <w:p w14:paraId="7B12BF7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30,000</w:t>
            </w:r>
          </w:p>
        </w:tc>
        <w:tc>
          <w:tcPr>
            <w:tcW w:w="473" w:type="pct"/>
            <w:noWrap/>
            <w:hideMark/>
          </w:tcPr>
          <w:p w14:paraId="1948C47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35,000</w:t>
            </w:r>
          </w:p>
        </w:tc>
        <w:tc>
          <w:tcPr>
            <w:tcW w:w="473" w:type="pct"/>
            <w:noWrap/>
            <w:hideMark/>
          </w:tcPr>
          <w:p w14:paraId="17A63A4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40,177</w:t>
            </w:r>
          </w:p>
        </w:tc>
        <w:tc>
          <w:tcPr>
            <w:tcW w:w="473" w:type="pct"/>
            <w:noWrap/>
            <w:hideMark/>
          </w:tcPr>
          <w:p w14:paraId="5F16E4A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44,997</w:t>
            </w:r>
          </w:p>
        </w:tc>
      </w:tr>
      <w:tr w:rsidR="00FE53F0" w:rsidRPr="00044085" w14:paraId="5C353E3F" w14:textId="77777777" w:rsidTr="00044085">
        <w:trPr>
          <w:trHeight w:val="300"/>
        </w:trPr>
        <w:tc>
          <w:tcPr>
            <w:tcW w:w="2633" w:type="pct"/>
            <w:gridSpan w:val="2"/>
            <w:noWrap/>
            <w:hideMark/>
          </w:tcPr>
          <w:p w14:paraId="64A366F8"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Accounts Receivable</w:t>
            </w:r>
          </w:p>
        </w:tc>
        <w:tc>
          <w:tcPr>
            <w:tcW w:w="473" w:type="pct"/>
            <w:noWrap/>
            <w:hideMark/>
          </w:tcPr>
          <w:p w14:paraId="6BB22FE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145,000</w:t>
            </w:r>
          </w:p>
        </w:tc>
        <w:tc>
          <w:tcPr>
            <w:tcW w:w="473" w:type="pct"/>
            <w:noWrap/>
            <w:hideMark/>
          </w:tcPr>
          <w:p w14:paraId="2DE49BC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155,000</w:t>
            </w:r>
          </w:p>
        </w:tc>
        <w:tc>
          <w:tcPr>
            <w:tcW w:w="473" w:type="pct"/>
            <w:noWrap/>
            <w:hideMark/>
          </w:tcPr>
          <w:p w14:paraId="363888F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165,000</w:t>
            </w:r>
          </w:p>
        </w:tc>
        <w:tc>
          <w:tcPr>
            <w:tcW w:w="473" w:type="pct"/>
            <w:noWrap/>
            <w:hideMark/>
          </w:tcPr>
          <w:p w14:paraId="31EA5E1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176,672</w:t>
            </w:r>
          </w:p>
        </w:tc>
        <w:tc>
          <w:tcPr>
            <w:tcW w:w="473" w:type="pct"/>
            <w:noWrap/>
            <w:hideMark/>
          </w:tcPr>
          <w:p w14:paraId="0729733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207,491</w:t>
            </w:r>
          </w:p>
        </w:tc>
      </w:tr>
      <w:tr w:rsidR="00FE53F0" w:rsidRPr="00044085" w14:paraId="3581A373" w14:textId="77777777" w:rsidTr="00044085">
        <w:trPr>
          <w:trHeight w:val="300"/>
        </w:trPr>
        <w:tc>
          <w:tcPr>
            <w:tcW w:w="2633" w:type="pct"/>
            <w:gridSpan w:val="2"/>
            <w:noWrap/>
            <w:hideMark/>
          </w:tcPr>
          <w:p w14:paraId="01A1E51C"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Other Current Assets</w:t>
            </w:r>
          </w:p>
        </w:tc>
        <w:tc>
          <w:tcPr>
            <w:tcW w:w="473" w:type="pct"/>
            <w:noWrap/>
            <w:hideMark/>
          </w:tcPr>
          <w:p w14:paraId="3ADF1E1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90,000</w:t>
            </w:r>
          </w:p>
        </w:tc>
        <w:tc>
          <w:tcPr>
            <w:tcW w:w="473" w:type="pct"/>
            <w:noWrap/>
            <w:hideMark/>
          </w:tcPr>
          <w:p w14:paraId="1C91432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100,000</w:t>
            </w:r>
          </w:p>
        </w:tc>
        <w:tc>
          <w:tcPr>
            <w:tcW w:w="473" w:type="pct"/>
            <w:noWrap/>
            <w:hideMark/>
          </w:tcPr>
          <w:p w14:paraId="0BCAE1D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110,000</w:t>
            </w:r>
          </w:p>
        </w:tc>
        <w:tc>
          <w:tcPr>
            <w:tcW w:w="473" w:type="pct"/>
            <w:noWrap/>
            <w:hideMark/>
          </w:tcPr>
          <w:p w14:paraId="01472D2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122,237</w:t>
            </w:r>
          </w:p>
        </w:tc>
        <w:tc>
          <w:tcPr>
            <w:tcW w:w="473" w:type="pct"/>
            <w:noWrap/>
            <w:hideMark/>
          </w:tcPr>
          <w:p w14:paraId="229B290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153,510</w:t>
            </w:r>
          </w:p>
        </w:tc>
      </w:tr>
      <w:tr w:rsidR="00FE53F0" w:rsidRPr="00044085" w14:paraId="57DD4B76" w14:textId="77777777" w:rsidTr="00044085">
        <w:trPr>
          <w:trHeight w:val="300"/>
        </w:trPr>
        <w:tc>
          <w:tcPr>
            <w:tcW w:w="2633" w:type="pct"/>
            <w:gridSpan w:val="2"/>
            <w:noWrap/>
            <w:hideMark/>
          </w:tcPr>
          <w:p w14:paraId="496830B5"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Total Current Assets</w:t>
            </w:r>
          </w:p>
        </w:tc>
        <w:tc>
          <w:tcPr>
            <w:tcW w:w="473" w:type="pct"/>
            <w:noWrap/>
            <w:hideMark/>
          </w:tcPr>
          <w:p w14:paraId="3D215B4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260,000</w:t>
            </w:r>
          </w:p>
        </w:tc>
        <w:tc>
          <w:tcPr>
            <w:tcW w:w="473" w:type="pct"/>
            <w:noWrap/>
            <w:hideMark/>
          </w:tcPr>
          <w:p w14:paraId="43B7B69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285,000</w:t>
            </w:r>
          </w:p>
        </w:tc>
        <w:tc>
          <w:tcPr>
            <w:tcW w:w="473" w:type="pct"/>
            <w:noWrap/>
            <w:hideMark/>
          </w:tcPr>
          <w:p w14:paraId="79E4AC1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310,000</w:t>
            </w:r>
          </w:p>
        </w:tc>
        <w:tc>
          <w:tcPr>
            <w:tcW w:w="473" w:type="pct"/>
            <w:noWrap/>
            <w:hideMark/>
          </w:tcPr>
          <w:p w14:paraId="54AB34D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339,086</w:t>
            </w:r>
          </w:p>
        </w:tc>
        <w:tc>
          <w:tcPr>
            <w:tcW w:w="473" w:type="pct"/>
            <w:noWrap/>
            <w:hideMark/>
          </w:tcPr>
          <w:p w14:paraId="4716FC6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405,998</w:t>
            </w:r>
          </w:p>
        </w:tc>
      </w:tr>
      <w:tr w:rsidR="00FE53F0" w:rsidRPr="00044085" w14:paraId="0159B41C" w14:textId="77777777" w:rsidTr="00044085">
        <w:trPr>
          <w:trHeight w:val="300"/>
        </w:trPr>
        <w:tc>
          <w:tcPr>
            <w:tcW w:w="2633" w:type="pct"/>
            <w:gridSpan w:val="2"/>
            <w:noWrap/>
            <w:hideMark/>
          </w:tcPr>
          <w:p w14:paraId="5FA4E47A"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Property and Equipment</w:t>
            </w:r>
          </w:p>
        </w:tc>
        <w:tc>
          <w:tcPr>
            <w:tcW w:w="473" w:type="pct"/>
            <w:noWrap/>
            <w:hideMark/>
          </w:tcPr>
          <w:p w14:paraId="53DE0AC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520,000</w:t>
            </w:r>
          </w:p>
        </w:tc>
        <w:tc>
          <w:tcPr>
            <w:tcW w:w="473" w:type="pct"/>
            <w:noWrap/>
            <w:hideMark/>
          </w:tcPr>
          <w:p w14:paraId="084FD10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545,000</w:t>
            </w:r>
          </w:p>
        </w:tc>
        <w:tc>
          <w:tcPr>
            <w:tcW w:w="473" w:type="pct"/>
            <w:noWrap/>
            <w:hideMark/>
          </w:tcPr>
          <w:p w14:paraId="7911D7F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575,000</w:t>
            </w:r>
          </w:p>
        </w:tc>
        <w:tc>
          <w:tcPr>
            <w:tcW w:w="473" w:type="pct"/>
            <w:noWrap/>
            <w:hideMark/>
          </w:tcPr>
          <w:p w14:paraId="3C983A2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604,345</w:t>
            </w:r>
          </w:p>
        </w:tc>
        <w:tc>
          <w:tcPr>
            <w:tcW w:w="473" w:type="pct"/>
            <w:noWrap/>
            <w:hideMark/>
          </w:tcPr>
          <w:p w14:paraId="36FC1FB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649,291</w:t>
            </w:r>
          </w:p>
        </w:tc>
      </w:tr>
      <w:tr w:rsidR="00FE53F0" w:rsidRPr="00044085" w14:paraId="44C029AE" w14:textId="77777777" w:rsidTr="00044085">
        <w:trPr>
          <w:trHeight w:val="300"/>
        </w:trPr>
        <w:tc>
          <w:tcPr>
            <w:tcW w:w="2633" w:type="pct"/>
            <w:gridSpan w:val="2"/>
            <w:noWrap/>
            <w:hideMark/>
          </w:tcPr>
          <w:p w14:paraId="695F369D"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Total Assets</w:t>
            </w:r>
          </w:p>
        </w:tc>
        <w:tc>
          <w:tcPr>
            <w:tcW w:w="473" w:type="pct"/>
            <w:noWrap/>
            <w:hideMark/>
          </w:tcPr>
          <w:p w14:paraId="04BF17D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2,100,000</w:t>
            </w:r>
          </w:p>
        </w:tc>
        <w:tc>
          <w:tcPr>
            <w:tcW w:w="473" w:type="pct"/>
            <w:noWrap/>
            <w:hideMark/>
          </w:tcPr>
          <w:p w14:paraId="3201E97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2,220,000</w:t>
            </w:r>
          </w:p>
        </w:tc>
        <w:tc>
          <w:tcPr>
            <w:tcW w:w="473" w:type="pct"/>
            <w:noWrap/>
            <w:hideMark/>
          </w:tcPr>
          <w:p w14:paraId="0E65948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2,360,000</w:t>
            </w:r>
          </w:p>
        </w:tc>
        <w:tc>
          <w:tcPr>
            <w:tcW w:w="473" w:type="pct"/>
            <w:noWrap/>
            <w:hideMark/>
          </w:tcPr>
          <w:p w14:paraId="6A00D2C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2,530,527</w:t>
            </w:r>
          </w:p>
        </w:tc>
        <w:tc>
          <w:tcPr>
            <w:tcW w:w="473" w:type="pct"/>
            <w:noWrap/>
            <w:hideMark/>
          </w:tcPr>
          <w:p w14:paraId="3CA2987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2,918,203</w:t>
            </w:r>
          </w:p>
        </w:tc>
      </w:tr>
      <w:tr w:rsidR="00FE53F0" w:rsidRPr="00044085" w14:paraId="4A6C30AC" w14:textId="77777777" w:rsidTr="00044085">
        <w:trPr>
          <w:trHeight w:val="300"/>
        </w:trPr>
        <w:tc>
          <w:tcPr>
            <w:tcW w:w="2633" w:type="pct"/>
            <w:gridSpan w:val="2"/>
            <w:noWrap/>
            <w:hideMark/>
          </w:tcPr>
          <w:p w14:paraId="1B0BDC3E"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lastRenderedPageBreak/>
              <w:t>Accounts Payable</w:t>
            </w:r>
          </w:p>
        </w:tc>
        <w:tc>
          <w:tcPr>
            <w:tcW w:w="473" w:type="pct"/>
            <w:noWrap/>
            <w:hideMark/>
          </w:tcPr>
          <w:p w14:paraId="310CFCC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115,000</w:t>
            </w:r>
          </w:p>
        </w:tc>
        <w:tc>
          <w:tcPr>
            <w:tcW w:w="473" w:type="pct"/>
            <w:noWrap/>
            <w:hideMark/>
          </w:tcPr>
          <w:p w14:paraId="5A4B533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120,000</w:t>
            </w:r>
          </w:p>
        </w:tc>
        <w:tc>
          <w:tcPr>
            <w:tcW w:w="473" w:type="pct"/>
            <w:noWrap/>
            <w:hideMark/>
          </w:tcPr>
          <w:p w14:paraId="16C4196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128,000</w:t>
            </w:r>
          </w:p>
        </w:tc>
        <w:tc>
          <w:tcPr>
            <w:tcW w:w="473" w:type="pct"/>
            <w:noWrap/>
            <w:hideMark/>
          </w:tcPr>
          <w:p w14:paraId="7C10707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134,865</w:t>
            </w:r>
          </w:p>
        </w:tc>
        <w:tc>
          <w:tcPr>
            <w:tcW w:w="473" w:type="pct"/>
            <w:noWrap/>
            <w:hideMark/>
          </w:tcPr>
          <w:p w14:paraId="1DB8825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156,276</w:t>
            </w:r>
          </w:p>
        </w:tc>
      </w:tr>
      <w:tr w:rsidR="00FE53F0" w:rsidRPr="00044085" w14:paraId="00C1AAA5" w14:textId="77777777" w:rsidTr="00044085">
        <w:trPr>
          <w:trHeight w:val="300"/>
        </w:trPr>
        <w:tc>
          <w:tcPr>
            <w:tcW w:w="2633" w:type="pct"/>
            <w:gridSpan w:val="2"/>
            <w:noWrap/>
            <w:hideMark/>
          </w:tcPr>
          <w:p w14:paraId="339408C2"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Total Current Liabilities</w:t>
            </w:r>
          </w:p>
        </w:tc>
        <w:tc>
          <w:tcPr>
            <w:tcW w:w="473" w:type="pct"/>
            <w:noWrap/>
            <w:hideMark/>
          </w:tcPr>
          <w:p w14:paraId="5120BEE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390,000</w:t>
            </w:r>
          </w:p>
        </w:tc>
        <w:tc>
          <w:tcPr>
            <w:tcW w:w="473" w:type="pct"/>
            <w:noWrap/>
            <w:hideMark/>
          </w:tcPr>
          <w:p w14:paraId="7047DE1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410,000</w:t>
            </w:r>
          </w:p>
        </w:tc>
        <w:tc>
          <w:tcPr>
            <w:tcW w:w="473" w:type="pct"/>
            <w:noWrap/>
            <w:hideMark/>
          </w:tcPr>
          <w:p w14:paraId="101FC0B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435,000</w:t>
            </w:r>
          </w:p>
        </w:tc>
        <w:tc>
          <w:tcPr>
            <w:tcW w:w="473" w:type="pct"/>
            <w:noWrap/>
            <w:hideMark/>
          </w:tcPr>
          <w:p w14:paraId="2D320F4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462,721</w:t>
            </w:r>
          </w:p>
        </w:tc>
        <w:tc>
          <w:tcPr>
            <w:tcW w:w="473" w:type="pct"/>
            <w:noWrap/>
            <w:hideMark/>
          </w:tcPr>
          <w:p w14:paraId="7480802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467,291</w:t>
            </w:r>
          </w:p>
        </w:tc>
      </w:tr>
      <w:tr w:rsidR="00FE53F0" w:rsidRPr="00044085" w14:paraId="2545C75E" w14:textId="77777777" w:rsidTr="00044085">
        <w:trPr>
          <w:trHeight w:val="300"/>
        </w:trPr>
        <w:tc>
          <w:tcPr>
            <w:tcW w:w="2633" w:type="pct"/>
            <w:gridSpan w:val="2"/>
            <w:noWrap/>
            <w:hideMark/>
          </w:tcPr>
          <w:p w14:paraId="20BC3843"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Long-Term Debt</w:t>
            </w:r>
          </w:p>
        </w:tc>
        <w:tc>
          <w:tcPr>
            <w:tcW w:w="473" w:type="pct"/>
            <w:noWrap/>
            <w:hideMark/>
          </w:tcPr>
          <w:p w14:paraId="6FC71E4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1,480,000</w:t>
            </w:r>
          </w:p>
        </w:tc>
        <w:tc>
          <w:tcPr>
            <w:tcW w:w="473" w:type="pct"/>
            <w:noWrap/>
            <w:hideMark/>
          </w:tcPr>
          <w:p w14:paraId="44E1A17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1,560,000</w:t>
            </w:r>
          </w:p>
        </w:tc>
        <w:tc>
          <w:tcPr>
            <w:tcW w:w="473" w:type="pct"/>
            <w:noWrap/>
            <w:hideMark/>
          </w:tcPr>
          <w:p w14:paraId="1EFCF4E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1,660,000</w:t>
            </w:r>
          </w:p>
        </w:tc>
        <w:tc>
          <w:tcPr>
            <w:tcW w:w="473" w:type="pct"/>
            <w:noWrap/>
            <w:hideMark/>
          </w:tcPr>
          <w:p w14:paraId="694B259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1,768,526</w:t>
            </w:r>
          </w:p>
        </w:tc>
        <w:tc>
          <w:tcPr>
            <w:tcW w:w="473" w:type="pct"/>
            <w:noWrap/>
            <w:hideMark/>
          </w:tcPr>
          <w:p w14:paraId="02EEFBF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1,906,122</w:t>
            </w:r>
          </w:p>
        </w:tc>
      </w:tr>
      <w:tr w:rsidR="00FE53F0" w:rsidRPr="00044085" w14:paraId="1E29C507" w14:textId="77777777" w:rsidTr="00044085">
        <w:trPr>
          <w:trHeight w:val="300"/>
        </w:trPr>
        <w:tc>
          <w:tcPr>
            <w:tcW w:w="2633" w:type="pct"/>
            <w:gridSpan w:val="2"/>
            <w:noWrap/>
            <w:hideMark/>
          </w:tcPr>
          <w:p w14:paraId="00FE2C4F"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Total Liabilities</w:t>
            </w:r>
          </w:p>
        </w:tc>
        <w:tc>
          <w:tcPr>
            <w:tcW w:w="473" w:type="pct"/>
            <w:noWrap/>
            <w:hideMark/>
          </w:tcPr>
          <w:p w14:paraId="31F67DE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2,050,000</w:t>
            </w:r>
          </w:p>
        </w:tc>
        <w:tc>
          <w:tcPr>
            <w:tcW w:w="473" w:type="pct"/>
            <w:noWrap/>
            <w:hideMark/>
          </w:tcPr>
          <w:p w14:paraId="584A0C3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2,100,000</w:t>
            </w:r>
          </w:p>
        </w:tc>
        <w:tc>
          <w:tcPr>
            <w:tcW w:w="473" w:type="pct"/>
            <w:noWrap/>
            <w:hideMark/>
          </w:tcPr>
          <w:p w14:paraId="2BC4AAB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2,190,000</w:t>
            </w:r>
          </w:p>
        </w:tc>
        <w:tc>
          <w:tcPr>
            <w:tcW w:w="473" w:type="pct"/>
            <w:noWrap/>
            <w:hideMark/>
          </w:tcPr>
          <w:p w14:paraId="32D6C85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2,575,798</w:t>
            </w:r>
          </w:p>
        </w:tc>
        <w:tc>
          <w:tcPr>
            <w:tcW w:w="473" w:type="pct"/>
            <w:noWrap/>
            <w:hideMark/>
          </w:tcPr>
          <w:p w14:paraId="74D157F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2,736,974</w:t>
            </w:r>
          </w:p>
        </w:tc>
      </w:tr>
      <w:tr w:rsidR="00FE53F0" w:rsidRPr="00044085" w14:paraId="63BCD527" w14:textId="77777777" w:rsidTr="00044085">
        <w:trPr>
          <w:trHeight w:val="300"/>
        </w:trPr>
        <w:tc>
          <w:tcPr>
            <w:tcW w:w="2633" w:type="pct"/>
            <w:gridSpan w:val="2"/>
            <w:noWrap/>
            <w:hideMark/>
          </w:tcPr>
          <w:p w14:paraId="43786CE4"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Shareholders' Equity</w:t>
            </w:r>
          </w:p>
        </w:tc>
        <w:tc>
          <w:tcPr>
            <w:tcW w:w="473" w:type="pct"/>
            <w:noWrap/>
            <w:hideMark/>
          </w:tcPr>
          <w:p w14:paraId="7DF64E6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50,000</w:t>
            </w:r>
          </w:p>
        </w:tc>
        <w:tc>
          <w:tcPr>
            <w:tcW w:w="473" w:type="pct"/>
            <w:noWrap/>
            <w:hideMark/>
          </w:tcPr>
          <w:p w14:paraId="6D29BA2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120,000</w:t>
            </w:r>
          </w:p>
        </w:tc>
        <w:tc>
          <w:tcPr>
            <w:tcW w:w="473" w:type="pct"/>
            <w:noWrap/>
            <w:hideMark/>
          </w:tcPr>
          <w:p w14:paraId="74D6443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170,000</w:t>
            </w:r>
          </w:p>
        </w:tc>
        <w:tc>
          <w:tcPr>
            <w:tcW w:w="473" w:type="pct"/>
            <w:noWrap/>
            <w:hideMark/>
          </w:tcPr>
          <w:p w14:paraId="5B034BF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-45,271</w:t>
            </w:r>
          </w:p>
        </w:tc>
        <w:tc>
          <w:tcPr>
            <w:tcW w:w="473" w:type="pct"/>
            <w:noWrap/>
            <w:hideMark/>
          </w:tcPr>
          <w:p w14:paraId="288725A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181,229</w:t>
            </w:r>
          </w:p>
        </w:tc>
      </w:tr>
      <w:tr w:rsidR="00FE53F0" w:rsidRPr="00044085" w14:paraId="6322ACD5" w14:textId="77777777" w:rsidTr="00044085">
        <w:trPr>
          <w:trHeight w:val="300"/>
        </w:trPr>
        <w:tc>
          <w:tcPr>
            <w:tcW w:w="2633" w:type="pct"/>
            <w:gridSpan w:val="2"/>
            <w:noWrap/>
            <w:hideMark/>
          </w:tcPr>
          <w:p w14:paraId="5E4A36AC"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Cash Flow</w:t>
            </w:r>
          </w:p>
        </w:tc>
        <w:tc>
          <w:tcPr>
            <w:tcW w:w="473" w:type="pct"/>
            <w:noWrap/>
            <w:hideMark/>
          </w:tcPr>
          <w:p w14:paraId="602047D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240,000</w:t>
            </w:r>
          </w:p>
        </w:tc>
        <w:tc>
          <w:tcPr>
            <w:tcW w:w="473" w:type="pct"/>
            <w:noWrap/>
            <w:hideMark/>
          </w:tcPr>
          <w:p w14:paraId="5170D76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260,000</w:t>
            </w:r>
          </w:p>
        </w:tc>
        <w:tc>
          <w:tcPr>
            <w:tcW w:w="473" w:type="pct"/>
            <w:noWrap/>
            <w:hideMark/>
          </w:tcPr>
          <w:p w14:paraId="71044B2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290,000</w:t>
            </w:r>
          </w:p>
        </w:tc>
        <w:tc>
          <w:tcPr>
            <w:tcW w:w="473" w:type="pct"/>
            <w:noWrap/>
            <w:hideMark/>
          </w:tcPr>
          <w:p w14:paraId="4CC414F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319,403</w:t>
            </w:r>
          </w:p>
        </w:tc>
        <w:tc>
          <w:tcPr>
            <w:tcW w:w="473" w:type="pct"/>
            <w:noWrap/>
            <w:hideMark/>
          </w:tcPr>
          <w:p w14:paraId="19656D6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270,447</w:t>
            </w:r>
          </w:p>
        </w:tc>
      </w:tr>
      <w:tr w:rsidR="00FE53F0" w:rsidRPr="00044085" w14:paraId="4083506E" w14:textId="77777777" w:rsidTr="00044085">
        <w:trPr>
          <w:trHeight w:val="300"/>
        </w:trPr>
        <w:tc>
          <w:tcPr>
            <w:tcW w:w="2633" w:type="pct"/>
            <w:gridSpan w:val="2"/>
            <w:noWrap/>
            <w:hideMark/>
          </w:tcPr>
          <w:p w14:paraId="444D4BDC"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Investing Cash Flow</w:t>
            </w:r>
          </w:p>
        </w:tc>
        <w:tc>
          <w:tcPr>
            <w:tcW w:w="473" w:type="pct"/>
            <w:noWrap/>
            <w:hideMark/>
          </w:tcPr>
          <w:p w14:paraId="646400A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-90,000</w:t>
            </w:r>
          </w:p>
        </w:tc>
        <w:tc>
          <w:tcPr>
            <w:tcW w:w="473" w:type="pct"/>
            <w:noWrap/>
            <w:hideMark/>
          </w:tcPr>
          <w:p w14:paraId="6B79D65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-100,000</w:t>
            </w:r>
          </w:p>
        </w:tc>
        <w:tc>
          <w:tcPr>
            <w:tcW w:w="473" w:type="pct"/>
            <w:noWrap/>
            <w:hideMark/>
          </w:tcPr>
          <w:p w14:paraId="3C1FBE7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-95,000</w:t>
            </w:r>
          </w:p>
        </w:tc>
        <w:tc>
          <w:tcPr>
            <w:tcW w:w="473" w:type="pct"/>
            <w:noWrap/>
            <w:hideMark/>
          </w:tcPr>
          <w:p w14:paraId="28DB8BF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-84,571</w:t>
            </w:r>
          </w:p>
        </w:tc>
        <w:tc>
          <w:tcPr>
            <w:tcW w:w="473" w:type="pct"/>
            <w:noWrap/>
            <w:hideMark/>
          </w:tcPr>
          <w:p w14:paraId="0995524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-218,264</w:t>
            </w:r>
          </w:p>
        </w:tc>
      </w:tr>
      <w:tr w:rsidR="00FE53F0" w:rsidRPr="00044085" w14:paraId="4E2031F1" w14:textId="77777777" w:rsidTr="00044085">
        <w:trPr>
          <w:trHeight w:val="300"/>
        </w:trPr>
        <w:tc>
          <w:tcPr>
            <w:tcW w:w="2633" w:type="pct"/>
            <w:gridSpan w:val="2"/>
            <w:noWrap/>
            <w:hideMark/>
          </w:tcPr>
          <w:p w14:paraId="08B15A7D"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Financing Cash Flow</w:t>
            </w:r>
          </w:p>
        </w:tc>
        <w:tc>
          <w:tcPr>
            <w:tcW w:w="473" w:type="pct"/>
            <w:noWrap/>
            <w:hideMark/>
          </w:tcPr>
          <w:p w14:paraId="16E92EA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-120,000</w:t>
            </w:r>
          </w:p>
        </w:tc>
        <w:tc>
          <w:tcPr>
            <w:tcW w:w="473" w:type="pct"/>
            <w:noWrap/>
            <w:hideMark/>
          </w:tcPr>
          <w:p w14:paraId="0AB05E5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-140,000</w:t>
            </w:r>
          </w:p>
        </w:tc>
        <w:tc>
          <w:tcPr>
            <w:tcW w:w="473" w:type="pct"/>
            <w:noWrap/>
            <w:hideMark/>
          </w:tcPr>
          <w:p w14:paraId="2B2011F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-180,000</w:t>
            </w:r>
          </w:p>
        </w:tc>
        <w:tc>
          <w:tcPr>
            <w:tcW w:w="473" w:type="pct"/>
            <w:noWrap/>
            <w:hideMark/>
          </w:tcPr>
          <w:p w14:paraId="085EDD5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-221,710</w:t>
            </w:r>
          </w:p>
        </w:tc>
        <w:tc>
          <w:tcPr>
            <w:tcW w:w="473" w:type="pct"/>
            <w:noWrap/>
            <w:hideMark/>
          </w:tcPr>
          <w:p w14:paraId="3A5E48E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-50,103</w:t>
            </w:r>
          </w:p>
        </w:tc>
      </w:tr>
      <w:tr w:rsidR="00FE53F0" w:rsidRPr="00044085" w14:paraId="75DEBD63" w14:textId="77777777" w:rsidTr="00044085">
        <w:trPr>
          <w:trHeight w:val="300"/>
        </w:trPr>
        <w:tc>
          <w:tcPr>
            <w:tcW w:w="2633" w:type="pct"/>
            <w:gridSpan w:val="2"/>
            <w:noWrap/>
            <w:hideMark/>
          </w:tcPr>
          <w:p w14:paraId="4428CAD5"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Inventory</w:t>
            </w:r>
          </w:p>
        </w:tc>
        <w:tc>
          <w:tcPr>
            <w:tcW w:w="473" w:type="pct"/>
            <w:noWrap/>
            <w:hideMark/>
          </w:tcPr>
          <w:p w14:paraId="6BFA36E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15,610</w:t>
            </w:r>
          </w:p>
        </w:tc>
        <w:tc>
          <w:tcPr>
            <w:tcW w:w="473" w:type="pct"/>
            <w:noWrap/>
            <w:hideMark/>
          </w:tcPr>
          <w:p w14:paraId="791825F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29,640</w:t>
            </w:r>
          </w:p>
        </w:tc>
        <w:tc>
          <w:tcPr>
            <w:tcW w:w="473" w:type="pct"/>
            <w:noWrap/>
            <w:hideMark/>
          </w:tcPr>
          <w:p w14:paraId="2E76231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34,670</w:t>
            </w:r>
          </w:p>
        </w:tc>
        <w:tc>
          <w:tcPr>
            <w:tcW w:w="473" w:type="pct"/>
            <w:noWrap/>
            <w:hideMark/>
          </w:tcPr>
          <w:p w14:paraId="052C1A0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41,320</w:t>
            </w:r>
          </w:p>
        </w:tc>
        <w:tc>
          <w:tcPr>
            <w:tcW w:w="473" w:type="pct"/>
            <w:noWrap/>
            <w:hideMark/>
          </w:tcPr>
          <w:p w14:paraId="07EEF94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45,370</w:t>
            </w:r>
          </w:p>
        </w:tc>
      </w:tr>
      <w:tr w:rsidR="00FE53F0" w:rsidRPr="00044085" w14:paraId="14E497C4" w14:textId="77777777" w:rsidTr="00044085">
        <w:trPr>
          <w:trHeight w:val="300"/>
        </w:trPr>
        <w:tc>
          <w:tcPr>
            <w:tcW w:w="2633" w:type="pct"/>
            <w:gridSpan w:val="2"/>
            <w:noWrap/>
            <w:hideMark/>
          </w:tcPr>
          <w:p w14:paraId="7D14649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Dividends Paid</w:t>
            </w:r>
          </w:p>
        </w:tc>
        <w:tc>
          <w:tcPr>
            <w:tcW w:w="473" w:type="pct"/>
            <w:noWrap/>
            <w:hideMark/>
          </w:tcPr>
          <w:p w14:paraId="1262F43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45,000</w:t>
            </w:r>
          </w:p>
        </w:tc>
        <w:tc>
          <w:tcPr>
            <w:tcW w:w="473" w:type="pct"/>
            <w:noWrap/>
            <w:hideMark/>
          </w:tcPr>
          <w:p w14:paraId="793F4D8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48,000</w:t>
            </w:r>
          </w:p>
        </w:tc>
        <w:tc>
          <w:tcPr>
            <w:tcW w:w="473" w:type="pct"/>
            <w:noWrap/>
            <w:hideMark/>
          </w:tcPr>
          <w:p w14:paraId="0C8DF75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52,000</w:t>
            </w:r>
          </w:p>
        </w:tc>
        <w:tc>
          <w:tcPr>
            <w:tcW w:w="473" w:type="pct"/>
            <w:noWrap/>
            <w:hideMark/>
          </w:tcPr>
          <w:p w14:paraId="3D562FD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55,497</w:t>
            </w:r>
          </w:p>
        </w:tc>
        <w:tc>
          <w:tcPr>
            <w:tcW w:w="473" w:type="pct"/>
            <w:noWrap/>
            <w:hideMark/>
          </w:tcPr>
          <w:p w14:paraId="2E768BF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53,472</w:t>
            </w:r>
          </w:p>
        </w:tc>
      </w:tr>
      <w:tr w:rsidR="00FE53F0" w:rsidRPr="00044085" w14:paraId="44E2DE86" w14:textId="77777777" w:rsidTr="00044085">
        <w:trPr>
          <w:trHeight w:val="300"/>
        </w:trPr>
        <w:tc>
          <w:tcPr>
            <w:tcW w:w="2633" w:type="pct"/>
            <w:gridSpan w:val="2"/>
            <w:noWrap/>
            <w:hideMark/>
          </w:tcPr>
          <w:p w14:paraId="209EF88C"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Diluted EPS ($)</w:t>
            </w:r>
          </w:p>
        </w:tc>
        <w:tc>
          <w:tcPr>
            <w:tcW w:w="473" w:type="pct"/>
            <w:noWrap/>
            <w:hideMark/>
          </w:tcPr>
          <w:p w14:paraId="0DB1CB2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4.3</w:t>
            </w:r>
          </w:p>
        </w:tc>
        <w:tc>
          <w:tcPr>
            <w:tcW w:w="473" w:type="pct"/>
            <w:noWrap/>
            <w:hideMark/>
          </w:tcPr>
          <w:p w14:paraId="78CA9AA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4.9</w:t>
            </w:r>
          </w:p>
        </w:tc>
        <w:tc>
          <w:tcPr>
            <w:tcW w:w="473" w:type="pct"/>
            <w:noWrap/>
            <w:hideMark/>
          </w:tcPr>
          <w:p w14:paraId="0F9B3D6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5.55</w:t>
            </w:r>
          </w:p>
        </w:tc>
        <w:tc>
          <w:tcPr>
            <w:tcW w:w="473" w:type="pct"/>
            <w:noWrap/>
            <w:hideMark/>
          </w:tcPr>
          <w:p w14:paraId="518F585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6.2</w:t>
            </w:r>
          </w:p>
        </w:tc>
        <w:tc>
          <w:tcPr>
            <w:tcW w:w="473" w:type="pct"/>
            <w:noWrap/>
            <w:hideMark/>
          </w:tcPr>
          <w:p w14:paraId="033C8C6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7.9</w:t>
            </w:r>
          </w:p>
        </w:tc>
      </w:tr>
      <w:tr w:rsidR="00FE53F0" w:rsidRPr="00044085" w14:paraId="114625EA" w14:textId="77777777" w:rsidTr="00044085">
        <w:trPr>
          <w:trHeight w:val="300"/>
        </w:trPr>
        <w:tc>
          <w:tcPr>
            <w:tcW w:w="5000" w:type="pct"/>
            <w:gridSpan w:val="7"/>
            <w:noWrap/>
            <w:hideMark/>
          </w:tcPr>
          <w:p w14:paraId="4E7FA0BC"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Profitability Ratios</w:t>
            </w:r>
          </w:p>
        </w:tc>
      </w:tr>
      <w:tr w:rsidR="00FE53F0" w:rsidRPr="00044085" w14:paraId="6FDB9379" w14:textId="77777777" w:rsidTr="00044085">
        <w:trPr>
          <w:trHeight w:val="300"/>
        </w:trPr>
        <w:tc>
          <w:tcPr>
            <w:tcW w:w="1130" w:type="pct"/>
            <w:noWrap/>
            <w:hideMark/>
          </w:tcPr>
          <w:p w14:paraId="4B293EC6"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lastRenderedPageBreak/>
              <w:t>Gross Profit Margin</w:t>
            </w:r>
          </w:p>
        </w:tc>
        <w:tc>
          <w:tcPr>
            <w:tcW w:w="1502" w:type="pct"/>
            <w:noWrap/>
            <w:hideMark/>
          </w:tcPr>
          <w:p w14:paraId="085A17B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Gross Profit/Revenue</w:t>
            </w:r>
          </w:p>
        </w:tc>
        <w:tc>
          <w:tcPr>
            <w:tcW w:w="473" w:type="pct"/>
            <w:noWrap/>
            <w:hideMark/>
          </w:tcPr>
          <w:p w14:paraId="034B61A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0.388</w:t>
            </w:r>
          </w:p>
        </w:tc>
        <w:tc>
          <w:tcPr>
            <w:tcW w:w="473" w:type="pct"/>
            <w:noWrap/>
            <w:hideMark/>
          </w:tcPr>
          <w:p w14:paraId="7DEF002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0.445</w:t>
            </w:r>
          </w:p>
        </w:tc>
        <w:tc>
          <w:tcPr>
            <w:tcW w:w="473" w:type="pct"/>
            <w:noWrap/>
            <w:hideMark/>
          </w:tcPr>
          <w:p w14:paraId="54E62EB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0.550</w:t>
            </w:r>
          </w:p>
        </w:tc>
        <w:tc>
          <w:tcPr>
            <w:tcW w:w="473" w:type="pct"/>
            <w:noWrap/>
            <w:hideMark/>
          </w:tcPr>
          <w:p w14:paraId="1D9A083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0.545</w:t>
            </w:r>
          </w:p>
        </w:tc>
        <w:tc>
          <w:tcPr>
            <w:tcW w:w="473" w:type="pct"/>
            <w:noWrap/>
            <w:hideMark/>
          </w:tcPr>
          <w:p w14:paraId="39398CC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0.557</w:t>
            </w:r>
          </w:p>
        </w:tc>
      </w:tr>
      <w:tr w:rsidR="00FE53F0" w:rsidRPr="00044085" w14:paraId="201560EC" w14:textId="77777777" w:rsidTr="00044085">
        <w:trPr>
          <w:trHeight w:val="300"/>
        </w:trPr>
        <w:tc>
          <w:tcPr>
            <w:tcW w:w="1130" w:type="pct"/>
            <w:noWrap/>
            <w:hideMark/>
          </w:tcPr>
          <w:p w14:paraId="55B58496"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Profit Margin</w:t>
            </w:r>
          </w:p>
        </w:tc>
        <w:tc>
          <w:tcPr>
            <w:tcW w:w="1502" w:type="pct"/>
            <w:noWrap/>
            <w:hideMark/>
          </w:tcPr>
          <w:p w14:paraId="2FAC639B"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Income/Revenue</w:t>
            </w:r>
          </w:p>
        </w:tc>
        <w:tc>
          <w:tcPr>
            <w:tcW w:w="473" w:type="pct"/>
            <w:noWrap/>
            <w:hideMark/>
          </w:tcPr>
          <w:p w14:paraId="0376077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0.263</w:t>
            </w:r>
          </w:p>
        </w:tc>
        <w:tc>
          <w:tcPr>
            <w:tcW w:w="473" w:type="pct"/>
            <w:noWrap/>
            <w:hideMark/>
          </w:tcPr>
          <w:p w14:paraId="6209A8D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0.277</w:t>
            </w:r>
          </w:p>
        </w:tc>
        <w:tc>
          <w:tcPr>
            <w:tcW w:w="473" w:type="pct"/>
            <w:noWrap/>
            <w:hideMark/>
          </w:tcPr>
          <w:p w14:paraId="279E171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0.287</w:t>
            </w:r>
          </w:p>
        </w:tc>
        <w:tc>
          <w:tcPr>
            <w:tcW w:w="473" w:type="pct"/>
            <w:noWrap/>
            <w:hideMark/>
          </w:tcPr>
          <w:p w14:paraId="76E7C96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0.293</w:t>
            </w:r>
          </w:p>
        </w:tc>
        <w:tc>
          <w:tcPr>
            <w:tcW w:w="473" w:type="pct"/>
            <w:noWrap/>
            <w:hideMark/>
          </w:tcPr>
          <w:p w14:paraId="352679A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0.281</w:t>
            </w:r>
          </w:p>
        </w:tc>
      </w:tr>
      <w:tr w:rsidR="00FE53F0" w:rsidRPr="00044085" w14:paraId="2225AAB6" w14:textId="77777777" w:rsidTr="00044085">
        <w:trPr>
          <w:trHeight w:val="300"/>
        </w:trPr>
        <w:tc>
          <w:tcPr>
            <w:tcW w:w="1130" w:type="pct"/>
            <w:noWrap/>
            <w:hideMark/>
          </w:tcPr>
          <w:p w14:paraId="6F33F72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Net Profit Margin</w:t>
            </w:r>
          </w:p>
        </w:tc>
        <w:tc>
          <w:tcPr>
            <w:tcW w:w="1502" w:type="pct"/>
            <w:noWrap/>
            <w:hideMark/>
          </w:tcPr>
          <w:p w14:paraId="379C8C13"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Net Income/Revenue</w:t>
            </w:r>
          </w:p>
        </w:tc>
        <w:tc>
          <w:tcPr>
            <w:tcW w:w="473" w:type="pct"/>
            <w:noWrap/>
            <w:hideMark/>
          </w:tcPr>
          <w:p w14:paraId="0BB67BB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0.158</w:t>
            </w:r>
          </w:p>
        </w:tc>
        <w:tc>
          <w:tcPr>
            <w:tcW w:w="473" w:type="pct"/>
            <w:noWrap/>
            <w:hideMark/>
          </w:tcPr>
          <w:p w14:paraId="72B4C18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0.167</w:t>
            </w:r>
          </w:p>
        </w:tc>
        <w:tc>
          <w:tcPr>
            <w:tcW w:w="473" w:type="pct"/>
            <w:noWrap/>
            <w:hideMark/>
          </w:tcPr>
          <w:p w14:paraId="1B71D5D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0.180</w:t>
            </w:r>
          </w:p>
        </w:tc>
        <w:tc>
          <w:tcPr>
            <w:tcW w:w="473" w:type="pct"/>
            <w:noWrap/>
            <w:hideMark/>
          </w:tcPr>
          <w:p w14:paraId="7924E1E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0.189</w:t>
            </w:r>
          </w:p>
        </w:tc>
        <w:tc>
          <w:tcPr>
            <w:tcW w:w="473" w:type="pct"/>
            <w:noWrap/>
            <w:hideMark/>
          </w:tcPr>
          <w:p w14:paraId="16FA79F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0.232</w:t>
            </w:r>
          </w:p>
        </w:tc>
      </w:tr>
      <w:tr w:rsidR="00FE53F0" w:rsidRPr="00044085" w14:paraId="1336B5AC" w14:textId="77777777" w:rsidTr="00044085">
        <w:trPr>
          <w:trHeight w:val="300"/>
        </w:trPr>
        <w:tc>
          <w:tcPr>
            <w:tcW w:w="1130" w:type="pct"/>
            <w:noWrap/>
            <w:hideMark/>
          </w:tcPr>
          <w:p w14:paraId="1A12C184"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EBITDA Margin</w:t>
            </w:r>
          </w:p>
        </w:tc>
        <w:tc>
          <w:tcPr>
            <w:tcW w:w="1502" w:type="pct"/>
            <w:noWrap/>
            <w:hideMark/>
          </w:tcPr>
          <w:p w14:paraId="5C969DAC"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EBITDA/Revenue</w:t>
            </w:r>
          </w:p>
        </w:tc>
        <w:tc>
          <w:tcPr>
            <w:tcW w:w="473" w:type="pct"/>
            <w:noWrap/>
            <w:hideMark/>
          </w:tcPr>
          <w:p w14:paraId="192BBC9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0.323</w:t>
            </w:r>
          </w:p>
        </w:tc>
        <w:tc>
          <w:tcPr>
            <w:tcW w:w="473" w:type="pct"/>
            <w:noWrap/>
            <w:hideMark/>
          </w:tcPr>
          <w:p w14:paraId="3DEE659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0.333</w:t>
            </w:r>
          </w:p>
        </w:tc>
        <w:tc>
          <w:tcPr>
            <w:tcW w:w="473" w:type="pct"/>
            <w:noWrap/>
            <w:hideMark/>
          </w:tcPr>
          <w:p w14:paraId="7DBC13F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0.333</w:t>
            </w:r>
          </w:p>
        </w:tc>
        <w:tc>
          <w:tcPr>
            <w:tcW w:w="473" w:type="pct"/>
            <w:noWrap/>
            <w:hideMark/>
          </w:tcPr>
          <w:p w14:paraId="3355E65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0.325</w:t>
            </w:r>
          </w:p>
        </w:tc>
        <w:tc>
          <w:tcPr>
            <w:tcW w:w="473" w:type="pct"/>
            <w:noWrap/>
            <w:hideMark/>
          </w:tcPr>
          <w:p w14:paraId="0172265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0.319</w:t>
            </w:r>
          </w:p>
        </w:tc>
      </w:tr>
      <w:tr w:rsidR="00FE53F0" w:rsidRPr="00044085" w14:paraId="545D438D" w14:textId="77777777" w:rsidTr="00044085">
        <w:trPr>
          <w:trHeight w:val="300"/>
        </w:trPr>
        <w:tc>
          <w:tcPr>
            <w:tcW w:w="1130" w:type="pct"/>
            <w:noWrap/>
            <w:hideMark/>
          </w:tcPr>
          <w:p w14:paraId="34E452F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Return on Assets (ROA)</w:t>
            </w:r>
          </w:p>
        </w:tc>
        <w:tc>
          <w:tcPr>
            <w:tcW w:w="1502" w:type="pct"/>
            <w:noWrap/>
            <w:hideMark/>
          </w:tcPr>
          <w:p w14:paraId="364EA328"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Net Income/Total Assets</w:t>
            </w:r>
          </w:p>
        </w:tc>
        <w:tc>
          <w:tcPr>
            <w:tcW w:w="473" w:type="pct"/>
            <w:noWrap/>
            <w:hideMark/>
          </w:tcPr>
          <w:p w14:paraId="01D60F3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0.100</w:t>
            </w:r>
          </w:p>
        </w:tc>
        <w:tc>
          <w:tcPr>
            <w:tcW w:w="473" w:type="pct"/>
            <w:noWrap/>
            <w:hideMark/>
          </w:tcPr>
          <w:p w14:paraId="0C11518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0.106</w:t>
            </w:r>
          </w:p>
        </w:tc>
        <w:tc>
          <w:tcPr>
            <w:tcW w:w="473" w:type="pct"/>
            <w:noWrap/>
            <w:hideMark/>
          </w:tcPr>
          <w:p w14:paraId="0F7228A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0.114</w:t>
            </w:r>
          </w:p>
        </w:tc>
        <w:tc>
          <w:tcPr>
            <w:tcW w:w="473" w:type="pct"/>
            <w:noWrap/>
            <w:hideMark/>
          </w:tcPr>
          <w:p w14:paraId="298F43E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0.118</w:t>
            </w:r>
          </w:p>
        </w:tc>
        <w:tc>
          <w:tcPr>
            <w:tcW w:w="473" w:type="pct"/>
            <w:noWrap/>
            <w:hideMark/>
          </w:tcPr>
          <w:p w14:paraId="782C3E4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0.127</w:t>
            </w:r>
          </w:p>
        </w:tc>
      </w:tr>
      <w:tr w:rsidR="00FE53F0" w:rsidRPr="00044085" w14:paraId="276F1584" w14:textId="77777777" w:rsidTr="00044085">
        <w:trPr>
          <w:trHeight w:val="300"/>
        </w:trPr>
        <w:tc>
          <w:tcPr>
            <w:tcW w:w="1130" w:type="pct"/>
            <w:noWrap/>
            <w:hideMark/>
          </w:tcPr>
          <w:p w14:paraId="18F56B17"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Return on Equity (ROE)</w:t>
            </w:r>
          </w:p>
        </w:tc>
        <w:tc>
          <w:tcPr>
            <w:tcW w:w="1502" w:type="pct"/>
            <w:noWrap/>
            <w:hideMark/>
          </w:tcPr>
          <w:p w14:paraId="1A1A164B"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Net Income/Equity</w:t>
            </w:r>
          </w:p>
        </w:tc>
        <w:tc>
          <w:tcPr>
            <w:tcW w:w="473" w:type="pct"/>
            <w:noWrap/>
            <w:hideMark/>
          </w:tcPr>
          <w:p w14:paraId="75D5F2E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4.200</w:t>
            </w:r>
          </w:p>
        </w:tc>
        <w:tc>
          <w:tcPr>
            <w:tcW w:w="473" w:type="pct"/>
            <w:noWrap/>
            <w:hideMark/>
          </w:tcPr>
          <w:p w14:paraId="2BD4F9A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1.958</w:t>
            </w:r>
          </w:p>
        </w:tc>
        <w:tc>
          <w:tcPr>
            <w:tcW w:w="473" w:type="pct"/>
            <w:noWrap/>
            <w:hideMark/>
          </w:tcPr>
          <w:p w14:paraId="2479BB2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1.588</w:t>
            </w:r>
          </w:p>
        </w:tc>
        <w:tc>
          <w:tcPr>
            <w:tcW w:w="473" w:type="pct"/>
            <w:noWrap/>
            <w:hideMark/>
          </w:tcPr>
          <w:p w14:paraId="6D0DB84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-6.619</w:t>
            </w:r>
          </w:p>
        </w:tc>
        <w:tc>
          <w:tcPr>
            <w:tcW w:w="473" w:type="pct"/>
            <w:noWrap/>
            <w:hideMark/>
          </w:tcPr>
          <w:p w14:paraId="4264932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2.041</w:t>
            </w:r>
          </w:p>
        </w:tc>
      </w:tr>
      <w:tr w:rsidR="00FE53F0" w:rsidRPr="00044085" w14:paraId="71289CFA" w14:textId="77777777" w:rsidTr="00044085">
        <w:trPr>
          <w:trHeight w:val="300"/>
        </w:trPr>
        <w:tc>
          <w:tcPr>
            <w:tcW w:w="5000" w:type="pct"/>
            <w:gridSpan w:val="7"/>
            <w:noWrap/>
            <w:hideMark/>
          </w:tcPr>
          <w:p w14:paraId="6B993F91"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Liquidity Ratios</w:t>
            </w:r>
          </w:p>
        </w:tc>
      </w:tr>
      <w:tr w:rsidR="00FE53F0" w:rsidRPr="00044085" w14:paraId="21CE8E6F" w14:textId="77777777" w:rsidTr="00044085">
        <w:trPr>
          <w:trHeight w:val="300"/>
        </w:trPr>
        <w:tc>
          <w:tcPr>
            <w:tcW w:w="1130" w:type="pct"/>
            <w:noWrap/>
            <w:hideMark/>
          </w:tcPr>
          <w:p w14:paraId="3E1B140A"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Current Ratio</w:t>
            </w:r>
          </w:p>
        </w:tc>
        <w:tc>
          <w:tcPr>
            <w:tcW w:w="1502" w:type="pct"/>
            <w:noWrap/>
            <w:hideMark/>
          </w:tcPr>
          <w:p w14:paraId="2FDC88CB" w14:textId="252AE745"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Current Assets/Current Liabilities</w:t>
            </w:r>
          </w:p>
        </w:tc>
        <w:tc>
          <w:tcPr>
            <w:tcW w:w="473" w:type="pct"/>
            <w:noWrap/>
            <w:hideMark/>
          </w:tcPr>
          <w:p w14:paraId="3A78A05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0.667</w:t>
            </w:r>
          </w:p>
        </w:tc>
        <w:tc>
          <w:tcPr>
            <w:tcW w:w="473" w:type="pct"/>
            <w:noWrap/>
            <w:hideMark/>
          </w:tcPr>
          <w:p w14:paraId="40AB5C0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0.695</w:t>
            </w:r>
          </w:p>
        </w:tc>
        <w:tc>
          <w:tcPr>
            <w:tcW w:w="473" w:type="pct"/>
            <w:noWrap/>
            <w:hideMark/>
          </w:tcPr>
          <w:p w14:paraId="08F75F0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0.713</w:t>
            </w:r>
          </w:p>
        </w:tc>
        <w:tc>
          <w:tcPr>
            <w:tcW w:w="473" w:type="pct"/>
            <w:noWrap/>
            <w:hideMark/>
          </w:tcPr>
          <w:p w14:paraId="15045BA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0.733</w:t>
            </w:r>
          </w:p>
        </w:tc>
        <w:tc>
          <w:tcPr>
            <w:tcW w:w="473" w:type="pct"/>
            <w:noWrap/>
            <w:hideMark/>
          </w:tcPr>
          <w:p w14:paraId="633C77D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0.869</w:t>
            </w:r>
          </w:p>
        </w:tc>
      </w:tr>
      <w:tr w:rsidR="00FE53F0" w:rsidRPr="00044085" w14:paraId="7CFFE3EB" w14:textId="77777777" w:rsidTr="00044085">
        <w:trPr>
          <w:trHeight w:val="300"/>
        </w:trPr>
        <w:tc>
          <w:tcPr>
            <w:tcW w:w="1130" w:type="pct"/>
            <w:noWrap/>
            <w:hideMark/>
          </w:tcPr>
          <w:p w14:paraId="0C3B008F"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Cash Ratio</w:t>
            </w:r>
          </w:p>
        </w:tc>
        <w:tc>
          <w:tcPr>
            <w:tcW w:w="1502" w:type="pct"/>
            <w:noWrap/>
            <w:hideMark/>
          </w:tcPr>
          <w:p w14:paraId="4E912552" w14:textId="79F6FF48"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Cash/Current Liabilities</w:t>
            </w:r>
          </w:p>
        </w:tc>
        <w:tc>
          <w:tcPr>
            <w:tcW w:w="473" w:type="pct"/>
            <w:noWrap/>
            <w:hideMark/>
          </w:tcPr>
          <w:p w14:paraId="31519D8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5.345</w:t>
            </w:r>
          </w:p>
        </w:tc>
        <w:tc>
          <w:tcPr>
            <w:tcW w:w="473" w:type="pct"/>
            <w:noWrap/>
            <w:hideMark/>
          </w:tcPr>
          <w:p w14:paraId="2315C6C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5.342</w:t>
            </w:r>
          </w:p>
        </w:tc>
        <w:tc>
          <w:tcPr>
            <w:tcW w:w="473" w:type="pct"/>
            <w:noWrap/>
            <w:hideMark/>
          </w:tcPr>
          <w:p w14:paraId="1577554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5.346</w:t>
            </w:r>
          </w:p>
        </w:tc>
        <w:tc>
          <w:tcPr>
            <w:tcW w:w="473" w:type="pct"/>
            <w:noWrap/>
            <w:hideMark/>
          </w:tcPr>
          <w:p w14:paraId="1E0F32E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5.379</w:t>
            </w:r>
          </w:p>
        </w:tc>
        <w:tc>
          <w:tcPr>
            <w:tcW w:w="473" w:type="pct"/>
            <w:noWrap/>
            <w:hideMark/>
          </w:tcPr>
          <w:p w14:paraId="481F8A0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6.148</w:t>
            </w:r>
          </w:p>
        </w:tc>
      </w:tr>
      <w:tr w:rsidR="00FE53F0" w:rsidRPr="00044085" w14:paraId="10486F77" w14:textId="77777777" w:rsidTr="00044085">
        <w:trPr>
          <w:trHeight w:val="300"/>
        </w:trPr>
        <w:tc>
          <w:tcPr>
            <w:tcW w:w="5000" w:type="pct"/>
            <w:gridSpan w:val="7"/>
            <w:noWrap/>
            <w:hideMark/>
          </w:tcPr>
          <w:p w14:paraId="7FD7AE58"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Efficiency Ratios</w:t>
            </w:r>
          </w:p>
        </w:tc>
      </w:tr>
      <w:tr w:rsidR="00FE53F0" w:rsidRPr="00044085" w14:paraId="332321F3" w14:textId="77777777" w:rsidTr="00044085">
        <w:trPr>
          <w:trHeight w:val="300"/>
        </w:trPr>
        <w:tc>
          <w:tcPr>
            <w:tcW w:w="1130" w:type="pct"/>
            <w:noWrap/>
            <w:hideMark/>
          </w:tcPr>
          <w:p w14:paraId="45E8E7B2"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Total Asset Turnover</w:t>
            </w:r>
          </w:p>
        </w:tc>
        <w:tc>
          <w:tcPr>
            <w:tcW w:w="1502" w:type="pct"/>
            <w:noWrap/>
            <w:hideMark/>
          </w:tcPr>
          <w:p w14:paraId="130D6BBD"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Revenue/TotalAssets</w:t>
            </w:r>
          </w:p>
        </w:tc>
        <w:tc>
          <w:tcPr>
            <w:tcW w:w="473" w:type="pct"/>
            <w:noWrap/>
            <w:hideMark/>
          </w:tcPr>
          <w:p w14:paraId="04EADD7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0.633</w:t>
            </w:r>
          </w:p>
        </w:tc>
        <w:tc>
          <w:tcPr>
            <w:tcW w:w="473" w:type="pct"/>
            <w:noWrap/>
            <w:hideMark/>
          </w:tcPr>
          <w:p w14:paraId="41400E9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0.635</w:t>
            </w:r>
          </w:p>
        </w:tc>
        <w:tc>
          <w:tcPr>
            <w:tcW w:w="473" w:type="pct"/>
            <w:noWrap/>
            <w:hideMark/>
          </w:tcPr>
          <w:p w14:paraId="517C1B8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0.636</w:t>
            </w:r>
          </w:p>
        </w:tc>
        <w:tc>
          <w:tcPr>
            <w:tcW w:w="473" w:type="pct"/>
            <w:noWrap/>
            <w:hideMark/>
          </w:tcPr>
          <w:p w14:paraId="2138189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0.626</w:t>
            </w:r>
          </w:p>
        </w:tc>
        <w:tc>
          <w:tcPr>
            <w:tcW w:w="473" w:type="pct"/>
            <w:noWrap/>
            <w:hideMark/>
          </w:tcPr>
          <w:p w14:paraId="0014A5A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0.547</w:t>
            </w:r>
          </w:p>
        </w:tc>
      </w:tr>
      <w:tr w:rsidR="00FE53F0" w:rsidRPr="00044085" w14:paraId="5F92D161" w14:textId="77777777" w:rsidTr="00044085">
        <w:trPr>
          <w:trHeight w:val="300"/>
        </w:trPr>
        <w:tc>
          <w:tcPr>
            <w:tcW w:w="1130" w:type="pct"/>
            <w:noWrap/>
            <w:hideMark/>
          </w:tcPr>
          <w:p w14:paraId="65DA48E9"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Receivables Turnover</w:t>
            </w:r>
          </w:p>
        </w:tc>
        <w:tc>
          <w:tcPr>
            <w:tcW w:w="1502" w:type="pct"/>
            <w:noWrap/>
            <w:hideMark/>
          </w:tcPr>
          <w:p w14:paraId="022BEDC3" w14:textId="13AC565C"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Revenue/Accounts Receivable</w:t>
            </w:r>
          </w:p>
        </w:tc>
        <w:tc>
          <w:tcPr>
            <w:tcW w:w="473" w:type="pct"/>
            <w:noWrap/>
            <w:hideMark/>
          </w:tcPr>
          <w:p w14:paraId="6A4D008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9.172</w:t>
            </w:r>
          </w:p>
        </w:tc>
        <w:tc>
          <w:tcPr>
            <w:tcW w:w="473" w:type="pct"/>
            <w:noWrap/>
            <w:hideMark/>
          </w:tcPr>
          <w:p w14:paraId="2719CE6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9.097</w:t>
            </w:r>
          </w:p>
        </w:tc>
        <w:tc>
          <w:tcPr>
            <w:tcW w:w="473" w:type="pct"/>
            <w:noWrap/>
            <w:hideMark/>
          </w:tcPr>
          <w:p w14:paraId="240F247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9.091</w:t>
            </w:r>
          </w:p>
        </w:tc>
        <w:tc>
          <w:tcPr>
            <w:tcW w:w="473" w:type="pct"/>
            <w:noWrap/>
            <w:hideMark/>
          </w:tcPr>
          <w:p w14:paraId="73F7098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8.971</w:t>
            </w:r>
          </w:p>
        </w:tc>
        <w:tc>
          <w:tcPr>
            <w:tcW w:w="473" w:type="pct"/>
            <w:noWrap/>
            <w:hideMark/>
          </w:tcPr>
          <w:p w14:paraId="673461A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7.696</w:t>
            </w:r>
          </w:p>
        </w:tc>
      </w:tr>
      <w:tr w:rsidR="00FE53F0" w:rsidRPr="00044085" w14:paraId="7D4450DD" w14:textId="77777777" w:rsidTr="00044085">
        <w:trPr>
          <w:trHeight w:val="300"/>
        </w:trPr>
        <w:tc>
          <w:tcPr>
            <w:tcW w:w="1130" w:type="pct"/>
            <w:noWrap/>
            <w:hideMark/>
          </w:tcPr>
          <w:p w14:paraId="1E77594C"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Fixed Asset Turnover</w:t>
            </w:r>
          </w:p>
        </w:tc>
        <w:tc>
          <w:tcPr>
            <w:tcW w:w="1502" w:type="pct"/>
            <w:noWrap/>
            <w:hideMark/>
          </w:tcPr>
          <w:p w14:paraId="63A97107"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Revenue/PPE</w:t>
            </w:r>
          </w:p>
        </w:tc>
        <w:tc>
          <w:tcPr>
            <w:tcW w:w="473" w:type="pct"/>
            <w:noWrap/>
            <w:hideMark/>
          </w:tcPr>
          <w:p w14:paraId="7662112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2.558</w:t>
            </w:r>
          </w:p>
        </w:tc>
        <w:tc>
          <w:tcPr>
            <w:tcW w:w="473" w:type="pct"/>
            <w:noWrap/>
            <w:hideMark/>
          </w:tcPr>
          <w:p w14:paraId="2B37F4E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2.587</w:t>
            </w:r>
          </w:p>
        </w:tc>
        <w:tc>
          <w:tcPr>
            <w:tcW w:w="473" w:type="pct"/>
            <w:noWrap/>
            <w:hideMark/>
          </w:tcPr>
          <w:p w14:paraId="1CBC357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2.609</w:t>
            </w:r>
          </w:p>
        </w:tc>
        <w:tc>
          <w:tcPr>
            <w:tcW w:w="473" w:type="pct"/>
            <w:noWrap/>
            <w:hideMark/>
          </w:tcPr>
          <w:p w14:paraId="7B5CCCE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2.622</w:t>
            </w:r>
          </w:p>
        </w:tc>
        <w:tc>
          <w:tcPr>
            <w:tcW w:w="473" w:type="pct"/>
            <w:noWrap/>
            <w:hideMark/>
          </w:tcPr>
          <w:p w14:paraId="322CD71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2.459</w:t>
            </w:r>
          </w:p>
        </w:tc>
      </w:tr>
      <w:tr w:rsidR="00FE53F0" w:rsidRPr="00044085" w14:paraId="4B1039B7" w14:textId="77777777" w:rsidTr="00044085">
        <w:trPr>
          <w:trHeight w:val="300"/>
        </w:trPr>
        <w:tc>
          <w:tcPr>
            <w:tcW w:w="5000" w:type="pct"/>
            <w:gridSpan w:val="7"/>
            <w:noWrap/>
            <w:hideMark/>
          </w:tcPr>
          <w:p w14:paraId="40DF2160"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Gearing (Leverage) Ratios</w:t>
            </w:r>
          </w:p>
        </w:tc>
      </w:tr>
      <w:tr w:rsidR="00FE53F0" w:rsidRPr="00044085" w14:paraId="0D935877" w14:textId="77777777" w:rsidTr="00044085">
        <w:trPr>
          <w:trHeight w:val="300"/>
        </w:trPr>
        <w:tc>
          <w:tcPr>
            <w:tcW w:w="1130" w:type="pct"/>
            <w:noWrap/>
            <w:hideMark/>
          </w:tcPr>
          <w:p w14:paraId="4882F327"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Debt Ratio</w:t>
            </w:r>
          </w:p>
        </w:tc>
        <w:tc>
          <w:tcPr>
            <w:tcW w:w="1502" w:type="pct"/>
            <w:noWrap/>
            <w:hideMark/>
          </w:tcPr>
          <w:p w14:paraId="62B6F88E" w14:textId="5579BBCC"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Total Liabilities/TotalAssets</w:t>
            </w:r>
          </w:p>
        </w:tc>
        <w:tc>
          <w:tcPr>
            <w:tcW w:w="473" w:type="pct"/>
            <w:noWrap/>
            <w:hideMark/>
          </w:tcPr>
          <w:p w14:paraId="206A542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0.98</w:t>
            </w:r>
          </w:p>
        </w:tc>
        <w:tc>
          <w:tcPr>
            <w:tcW w:w="473" w:type="pct"/>
            <w:noWrap/>
            <w:hideMark/>
          </w:tcPr>
          <w:p w14:paraId="2A2C0E1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0.95</w:t>
            </w:r>
          </w:p>
        </w:tc>
        <w:tc>
          <w:tcPr>
            <w:tcW w:w="473" w:type="pct"/>
            <w:noWrap/>
            <w:hideMark/>
          </w:tcPr>
          <w:p w14:paraId="7725C76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0.93</w:t>
            </w:r>
          </w:p>
        </w:tc>
        <w:tc>
          <w:tcPr>
            <w:tcW w:w="473" w:type="pct"/>
            <w:noWrap/>
            <w:hideMark/>
          </w:tcPr>
          <w:p w14:paraId="7F605B1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1.02</w:t>
            </w:r>
          </w:p>
        </w:tc>
        <w:tc>
          <w:tcPr>
            <w:tcW w:w="473" w:type="pct"/>
            <w:noWrap/>
            <w:hideMark/>
          </w:tcPr>
          <w:p w14:paraId="2E94627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0.94</w:t>
            </w:r>
          </w:p>
        </w:tc>
      </w:tr>
      <w:tr w:rsidR="00FE53F0" w:rsidRPr="00044085" w14:paraId="2C52105A" w14:textId="77777777" w:rsidTr="00044085">
        <w:trPr>
          <w:trHeight w:val="300"/>
        </w:trPr>
        <w:tc>
          <w:tcPr>
            <w:tcW w:w="1130" w:type="pct"/>
            <w:noWrap/>
            <w:hideMark/>
          </w:tcPr>
          <w:p w14:paraId="68B574CA"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lastRenderedPageBreak/>
              <w:t>Debt-to-Equity Ratio</w:t>
            </w:r>
          </w:p>
        </w:tc>
        <w:tc>
          <w:tcPr>
            <w:tcW w:w="1502" w:type="pct"/>
            <w:noWrap/>
            <w:hideMark/>
          </w:tcPr>
          <w:p w14:paraId="144E65FE" w14:textId="6C4B1025"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Long Term Debt/Equity</w:t>
            </w:r>
          </w:p>
        </w:tc>
        <w:tc>
          <w:tcPr>
            <w:tcW w:w="473" w:type="pct"/>
            <w:noWrap/>
            <w:hideMark/>
          </w:tcPr>
          <w:p w14:paraId="1EAB776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29.60</w:t>
            </w:r>
          </w:p>
        </w:tc>
        <w:tc>
          <w:tcPr>
            <w:tcW w:w="473" w:type="pct"/>
            <w:noWrap/>
            <w:hideMark/>
          </w:tcPr>
          <w:p w14:paraId="330F56E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13.00</w:t>
            </w:r>
          </w:p>
        </w:tc>
        <w:tc>
          <w:tcPr>
            <w:tcW w:w="473" w:type="pct"/>
            <w:noWrap/>
            <w:hideMark/>
          </w:tcPr>
          <w:p w14:paraId="6E8571C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9.76</w:t>
            </w:r>
          </w:p>
        </w:tc>
        <w:tc>
          <w:tcPr>
            <w:tcW w:w="473" w:type="pct"/>
            <w:noWrap/>
            <w:hideMark/>
          </w:tcPr>
          <w:p w14:paraId="106B7A7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-39.07</w:t>
            </w:r>
          </w:p>
        </w:tc>
        <w:tc>
          <w:tcPr>
            <w:tcW w:w="473" w:type="pct"/>
            <w:noWrap/>
            <w:hideMark/>
          </w:tcPr>
          <w:p w14:paraId="0645517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10.52</w:t>
            </w:r>
          </w:p>
        </w:tc>
      </w:tr>
      <w:tr w:rsidR="00FE53F0" w:rsidRPr="00044085" w14:paraId="43F3B9FE" w14:textId="77777777" w:rsidTr="00044085">
        <w:trPr>
          <w:trHeight w:val="300"/>
        </w:trPr>
        <w:tc>
          <w:tcPr>
            <w:tcW w:w="1130" w:type="pct"/>
            <w:noWrap/>
            <w:hideMark/>
          </w:tcPr>
          <w:p w14:paraId="634A1E4A"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Equity Ratio</w:t>
            </w:r>
          </w:p>
        </w:tc>
        <w:tc>
          <w:tcPr>
            <w:tcW w:w="1502" w:type="pct"/>
            <w:noWrap/>
            <w:hideMark/>
          </w:tcPr>
          <w:p w14:paraId="2D78F5AB" w14:textId="16B7548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Equity/Total Assets</w:t>
            </w:r>
          </w:p>
        </w:tc>
        <w:tc>
          <w:tcPr>
            <w:tcW w:w="473" w:type="pct"/>
            <w:noWrap/>
            <w:hideMark/>
          </w:tcPr>
          <w:p w14:paraId="1475737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0.02</w:t>
            </w:r>
          </w:p>
        </w:tc>
        <w:tc>
          <w:tcPr>
            <w:tcW w:w="473" w:type="pct"/>
            <w:noWrap/>
            <w:hideMark/>
          </w:tcPr>
          <w:p w14:paraId="78DB8DF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0.05</w:t>
            </w:r>
          </w:p>
        </w:tc>
        <w:tc>
          <w:tcPr>
            <w:tcW w:w="473" w:type="pct"/>
            <w:noWrap/>
            <w:hideMark/>
          </w:tcPr>
          <w:p w14:paraId="19E258F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0.07</w:t>
            </w:r>
          </w:p>
        </w:tc>
        <w:tc>
          <w:tcPr>
            <w:tcW w:w="473" w:type="pct"/>
            <w:noWrap/>
            <w:hideMark/>
          </w:tcPr>
          <w:p w14:paraId="1B7B7E3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-0.02</w:t>
            </w:r>
          </w:p>
        </w:tc>
        <w:tc>
          <w:tcPr>
            <w:tcW w:w="473" w:type="pct"/>
            <w:noWrap/>
            <w:hideMark/>
          </w:tcPr>
          <w:p w14:paraId="6BA56A8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0.06</w:t>
            </w:r>
          </w:p>
        </w:tc>
      </w:tr>
      <w:tr w:rsidR="00FE53F0" w:rsidRPr="00044085" w14:paraId="5E095883" w14:textId="77777777" w:rsidTr="00044085">
        <w:trPr>
          <w:trHeight w:val="300"/>
        </w:trPr>
        <w:tc>
          <w:tcPr>
            <w:tcW w:w="5000" w:type="pct"/>
            <w:gridSpan w:val="7"/>
            <w:noWrap/>
            <w:hideMark/>
          </w:tcPr>
          <w:p w14:paraId="78332B19"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Investment Ratios</w:t>
            </w:r>
          </w:p>
        </w:tc>
      </w:tr>
      <w:tr w:rsidR="00FE53F0" w:rsidRPr="00044085" w14:paraId="48524DA3" w14:textId="77777777" w:rsidTr="00044085">
        <w:trPr>
          <w:trHeight w:val="300"/>
        </w:trPr>
        <w:tc>
          <w:tcPr>
            <w:tcW w:w="1130" w:type="pct"/>
            <w:noWrap/>
            <w:hideMark/>
          </w:tcPr>
          <w:p w14:paraId="2795924D"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Earnings per Share ($)</w:t>
            </w:r>
          </w:p>
        </w:tc>
        <w:tc>
          <w:tcPr>
            <w:tcW w:w="1502" w:type="pct"/>
            <w:noWrap/>
            <w:hideMark/>
          </w:tcPr>
          <w:p w14:paraId="301A5F5A" w14:textId="3992586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Net Income/Shares Outstanding</w:t>
            </w:r>
          </w:p>
        </w:tc>
        <w:tc>
          <w:tcPr>
            <w:tcW w:w="473" w:type="pct"/>
            <w:hideMark/>
          </w:tcPr>
          <w:p w14:paraId="7EC8CF3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4.300</w:t>
            </w:r>
          </w:p>
        </w:tc>
        <w:tc>
          <w:tcPr>
            <w:tcW w:w="473" w:type="pct"/>
            <w:hideMark/>
          </w:tcPr>
          <w:p w14:paraId="78C1804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4.900</w:t>
            </w:r>
          </w:p>
        </w:tc>
        <w:tc>
          <w:tcPr>
            <w:tcW w:w="473" w:type="pct"/>
            <w:hideMark/>
          </w:tcPr>
          <w:p w14:paraId="3263698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5.550</w:t>
            </w:r>
          </w:p>
        </w:tc>
        <w:tc>
          <w:tcPr>
            <w:tcW w:w="473" w:type="pct"/>
            <w:hideMark/>
          </w:tcPr>
          <w:p w14:paraId="2AD4475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6.200</w:t>
            </w:r>
          </w:p>
        </w:tc>
        <w:tc>
          <w:tcPr>
            <w:tcW w:w="473" w:type="pct"/>
            <w:hideMark/>
          </w:tcPr>
          <w:p w14:paraId="2CC2CD7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7.900</w:t>
            </w:r>
          </w:p>
        </w:tc>
      </w:tr>
      <w:tr w:rsidR="00FE53F0" w:rsidRPr="00044085" w14:paraId="4A661CF5" w14:textId="77777777" w:rsidTr="00044085">
        <w:trPr>
          <w:trHeight w:val="300"/>
        </w:trPr>
        <w:tc>
          <w:tcPr>
            <w:tcW w:w="1130" w:type="pct"/>
            <w:noWrap/>
            <w:hideMark/>
          </w:tcPr>
          <w:p w14:paraId="18795184"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Dividend Payout Ratio</w:t>
            </w:r>
          </w:p>
        </w:tc>
        <w:tc>
          <w:tcPr>
            <w:tcW w:w="1502" w:type="pct"/>
            <w:noWrap/>
            <w:hideMark/>
          </w:tcPr>
          <w:p w14:paraId="0138ECA1" w14:textId="3E562B14"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Dividends Paid/Net Income</w:t>
            </w:r>
          </w:p>
        </w:tc>
        <w:tc>
          <w:tcPr>
            <w:tcW w:w="473" w:type="pct"/>
            <w:hideMark/>
          </w:tcPr>
          <w:p w14:paraId="7FDA8E6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0.214</w:t>
            </w:r>
          </w:p>
        </w:tc>
        <w:tc>
          <w:tcPr>
            <w:tcW w:w="473" w:type="pct"/>
            <w:hideMark/>
          </w:tcPr>
          <w:p w14:paraId="7E956B1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0.204</w:t>
            </w:r>
          </w:p>
        </w:tc>
        <w:tc>
          <w:tcPr>
            <w:tcW w:w="473" w:type="pct"/>
            <w:hideMark/>
          </w:tcPr>
          <w:p w14:paraId="453B4CB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0.193</w:t>
            </w:r>
          </w:p>
        </w:tc>
        <w:tc>
          <w:tcPr>
            <w:tcW w:w="473" w:type="pct"/>
            <w:hideMark/>
          </w:tcPr>
          <w:p w14:paraId="0EFAFB3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0.185</w:t>
            </w:r>
          </w:p>
        </w:tc>
        <w:tc>
          <w:tcPr>
            <w:tcW w:w="473" w:type="pct"/>
            <w:hideMark/>
          </w:tcPr>
          <w:p w14:paraId="4D838A8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0.145</w:t>
            </w:r>
          </w:p>
        </w:tc>
      </w:tr>
      <w:tr w:rsidR="00FE53F0" w:rsidRPr="00044085" w14:paraId="7BA56281" w14:textId="77777777" w:rsidTr="00044085">
        <w:trPr>
          <w:trHeight w:val="300"/>
        </w:trPr>
        <w:tc>
          <w:tcPr>
            <w:tcW w:w="1130" w:type="pct"/>
            <w:noWrap/>
            <w:hideMark/>
          </w:tcPr>
          <w:p w14:paraId="4A71BA85"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Retention Ratio</w:t>
            </w:r>
          </w:p>
        </w:tc>
        <w:tc>
          <w:tcPr>
            <w:tcW w:w="1502" w:type="pct"/>
            <w:noWrap/>
            <w:hideMark/>
          </w:tcPr>
          <w:p w14:paraId="080D6027"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1-DividendPayoutRatio</w:t>
            </w:r>
          </w:p>
        </w:tc>
        <w:tc>
          <w:tcPr>
            <w:tcW w:w="473" w:type="pct"/>
            <w:hideMark/>
          </w:tcPr>
          <w:p w14:paraId="042E77D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0.786</w:t>
            </w:r>
          </w:p>
        </w:tc>
        <w:tc>
          <w:tcPr>
            <w:tcW w:w="473" w:type="pct"/>
            <w:hideMark/>
          </w:tcPr>
          <w:p w14:paraId="05B8F58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0.796</w:t>
            </w:r>
          </w:p>
        </w:tc>
        <w:tc>
          <w:tcPr>
            <w:tcW w:w="473" w:type="pct"/>
            <w:hideMark/>
          </w:tcPr>
          <w:p w14:paraId="23B04E9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0.807</w:t>
            </w:r>
          </w:p>
        </w:tc>
        <w:tc>
          <w:tcPr>
            <w:tcW w:w="473" w:type="pct"/>
            <w:hideMark/>
          </w:tcPr>
          <w:p w14:paraId="3DC44EE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0.815</w:t>
            </w:r>
          </w:p>
        </w:tc>
        <w:tc>
          <w:tcPr>
            <w:tcW w:w="473" w:type="pct"/>
            <w:hideMark/>
          </w:tcPr>
          <w:p w14:paraId="2F12B48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0.855</w:t>
            </w:r>
          </w:p>
        </w:tc>
      </w:tr>
      <w:tr w:rsidR="00FE53F0" w:rsidRPr="00044085" w14:paraId="0F720769" w14:textId="77777777" w:rsidTr="00044085">
        <w:trPr>
          <w:trHeight w:val="300"/>
        </w:trPr>
        <w:tc>
          <w:tcPr>
            <w:tcW w:w="5000" w:type="pct"/>
            <w:gridSpan w:val="7"/>
            <w:noWrap/>
            <w:hideMark/>
          </w:tcPr>
          <w:p w14:paraId="12C0F48A"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Cash Flow Ratios</w:t>
            </w:r>
          </w:p>
        </w:tc>
      </w:tr>
      <w:tr w:rsidR="00FE53F0" w:rsidRPr="00044085" w14:paraId="7CB9C6E2" w14:textId="77777777" w:rsidTr="00044085">
        <w:trPr>
          <w:trHeight w:val="300"/>
        </w:trPr>
        <w:tc>
          <w:tcPr>
            <w:tcW w:w="1130" w:type="pct"/>
            <w:noWrap/>
            <w:hideMark/>
          </w:tcPr>
          <w:p w14:paraId="2493003E"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Cash Flow Ratio</w:t>
            </w:r>
          </w:p>
        </w:tc>
        <w:tc>
          <w:tcPr>
            <w:tcW w:w="1502" w:type="pct"/>
            <w:noWrap/>
            <w:hideMark/>
          </w:tcPr>
          <w:p w14:paraId="367D0DBC" w14:textId="020155E0"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Cash Flow/Current Liabilities</w:t>
            </w:r>
          </w:p>
        </w:tc>
        <w:tc>
          <w:tcPr>
            <w:tcW w:w="473" w:type="pct"/>
            <w:noWrap/>
            <w:hideMark/>
          </w:tcPr>
          <w:p w14:paraId="7684BC8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0.615</w:t>
            </w:r>
          </w:p>
        </w:tc>
        <w:tc>
          <w:tcPr>
            <w:tcW w:w="473" w:type="pct"/>
            <w:noWrap/>
            <w:hideMark/>
          </w:tcPr>
          <w:p w14:paraId="5D40D7E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0.634</w:t>
            </w:r>
          </w:p>
        </w:tc>
        <w:tc>
          <w:tcPr>
            <w:tcW w:w="473" w:type="pct"/>
            <w:noWrap/>
            <w:hideMark/>
          </w:tcPr>
          <w:p w14:paraId="1BA7FC4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0.667</w:t>
            </w:r>
          </w:p>
        </w:tc>
        <w:tc>
          <w:tcPr>
            <w:tcW w:w="473" w:type="pct"/>
            <w:noWrap/>
            <w:hideMark/>
          </w:tcPr>
          <w:p w14:paraId="1685380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0.690</w:t>
            </w:r>
          </w:p>
        </w:tc>
        <w:tc>
          <w:tcPr>
            <w:tcW w:w="473" w:type="pct"/>
            <w:noWrap/>
            <w:hideMark/>
          </w:tcPr>
          <w:p w14:paraId="0FC4674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0.579</w:t>
            </w:r>
          </w:p>
        </w:tc>
      </w:tr>
      <w:tr w:rsidR="00FE53F0" w:rsidRPr="00044085" w14:paraId="5269912B" w14:textId="77777777" w:rsidTr="00044085">
        <w:trPr>
          <w:trHeight w:val="300"/>
        </w:trPr>
        <w:tc>
          <w:tcPr>
            <w:tcW w:w="1130" w:type="pct"/>
            <w:noWrap/>
            <w:hideMark/>
          </w:tcPr>
          <w:p w14:paraId="7E0FB4A0"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Cash Flow Margin</w:t>
            </w:r>
          </w:p>
        </w:tc>
        <w:tc>
          <w:tcPr>
            <w:tcW w:w="1502" w:type="pct"/>
            <w:noWrap/>
            <w:hideMark/>
          </w:tcPr>
          <w:p w14:paraId="3B9146F3" w14:textId="017910DF"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Cash Flow/Revenue</w:t>
            </w:r>
          </w:p>
        </w:tc>
        <w:tc>
          <w:tcPr>
            <w:tcW w:w="473" w:type="pct"/>
            <w:noWrap/>
            <w:hideMark/>
          </w:tcPr>
          <w:p w14:paraId="4F5BB69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0.180</w:t>
            </w:r>
          </w:p>
        </w:tc>
        <w:tc>
          <w:tcPr>
            <w:tcW w:w="473" w:type="pct"/>
            <w:noWrap/>
            <w:hideMark/>
          </w:tcPr>
          <w:p w14:paraId="0C7972D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0.184</w:t>
            </w:r>
          </w:p>
        </w:tc>
        <w:tc>
          <w:tcPr>
            <w:tcW w:w="473" w:type="pct"/>
            <w:noWrap/>
            <w:hideMark/>
          </w:tcPr>
          <w:p w14:paraId="2A365DD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0.193</w:t>
            </w:r>
          </w:p>
        </w:tc>
        <w:tc>
          <w:tcPr>
            <w:tcW w:w="473" w:type="pct"/>
            <w:noWrap/>
            <w:hideMark/>
          </w:tcPr>
          <w:p w14:paraId="02BBF25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0.202</w:t>
            </w:r>
          </w:p>
        </w:tc>
        <w:tc>
          <w:tcPr>
            <w:tcW w:w="473" w:type="pct"/>
            <w:noWrap/>
            <w:hideMark/>
          </w:tcPr>
          <w:p w14:paraId="7F4D455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0.169</w:t>
            </w:r>
          </w:p>
        </w:tc>
      </w:tr>
      <w:tr w:rsidR="00FE53F0" w:rsidRPr="00044085" w14:paraId="289A5A50" w14:textId="77777777" w:rsidTr="00044085">
        <w:trPr>
          <w:trHeight w:val="300"/>
        </w:trPr>
        <w:tc>
          <w:tcPr>
            <w:tcW w:w="1130" w:type="pct"/>
            <w:noWrap/>
            <w:hideMark/>
          </w:tcPr>
          <w:p w14:paraId="36F2ED85" w14:textId="77777777"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Cash Flow to Debt Ratio</w:t>
            </w:r>
          </w:p>
        </w:tc>
        <w:tc>
          <w:tcPr>
            <w:tcW w:w="1502" w:type="pct"/>
            <w:noWrap/>
            <w:hideMark/>
          </w:tcPr>
          <w:p w14:paraId="208EEB6C" w14:textId="593C613D" w:rsidR="00FE53F0" w:rsidRPr="00044085" w:rsidRDefault="00FE53F0" w:rsidP="00FE53F0">
            <w:pPr>
              <w:spacing w:after="240" w:line="360" w:lineRule="auto"/>
              <w:rPr>
                <w:rFonts w:eastAsia="Times New Roman"/>
                <w:color w:val="000000"/>
                <w:sz w:val="24"/>
                <w:szCs w:val="24"/>
              </w:rPr>
            </w:pPr>
            <w:r w:rsidRPr="00044085">
              <w:rPr>
                <w:rFonts w:eastAsia="Times New Roman"/>
                <w:color w:val="000000"/>
                <w:sz w:val="24"/>
                <w:szCs w:val="24"/>
              </w:rPr>
              <w:t>Operating Cash Flow/Long Term Debt</w:t>
            </w:r>
          </w:p>
        </w:tc>
        <w:tc>
          <w:tcPr>
            <w:tcW w:w="473" w:type="pct"/>
            <w:noWrap/>
            <w:hideMark/>
          </w:tcPr>
          <w:p w14:paraId="25EA5B7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0.162</w:t>
            </w:r>
          </w:p>
        </w:tc>
        <w:tc>
          <w:tcPr>
            <w:tcW w:w="473" w:type="pct"/>
            <w:noWrap/>
            <w:hideMark/>
          </w:tcPr>
          <w:p w14:paraId="2AC4884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0.167</w:t>
            </w:r>
          </w:p>
        </w:tc>
        <w:tc>
          <w:tcPr>
            <w:tcW w:w="473" w:type="pct"/>
            <w:noWrap/>
            <w:hideMark/>
          </w:tcPr>
          <w:p w14:paraId="50ADCD2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0.175</w:t>
            </w:r>
          </w:p>
        </w:tc>
        <w:tc>
          <w:tcPr>
            <w:tcW w:w="473" w:type="pct"/>
            <w:noWrap/>
            <w:hideMark/>
          </w:tcPr>
          <w:p w14:paraId="36A479E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0.181</w:t>
            </w:r>
          </w:p>
        </w:tc>
        <w:tc>
          <w:tcPr>
            <w:tcW w:w="473" w:type="pct"/>
            <w:noWrap/>
            <w:hideMark/>
          </w:tcPr>
          <w:p w14:paraId="5EE5953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0.142</w:t>
            </w:r>
          </w:p>
        </w:tc>
      </w:tr>
    </w:tbl>
    <w:p w14:paraId="656436C6" w14:textId="77777777" w:rsidR="00FE53F0" w:rsidRPr="00044085" w:rsidRDefault="00FE53F0">
      <w:pPr>
        <w:spacing w:after="200" w:line="360" w:lineRule="auto"/>
        <w:jc w:val="both"/>
        <w:rPr>
          <w:rFonts w:eastAsia="Times New Roman"/>
          <w:sz w:val="24"/>
          <w:szCs w:val="24"/>
        </w:rPr>
      </w:pPr>
    </w:p>
    <w:p w14:paraId="44106A61" w14:textId="7C6B4B55" w:rsidR="00FE53F0" w:rsidRPr="00044085" w:rsidRDefault="00FE53F0">
      <w:pPr>
        <w:rPr>
          <w:rFonts w:eastAsia="Times New Roman"/>
          <w:sz w:val="24"/>
          <w:szCs w:val="24"/>
        </w:rPr>
      </w:pPr>
      <w:r w:rsidRPr="00044085">
        <w:rPr>
          <w:rFonts w:eastAsia="Times New Roman"/>
          <w:sz w:val="24"/>
          <w:szCs w:val="24"/>
        </w:rPr>
        <w:br w:type="page"/>
      </w:r>
    </w:p>
    <w:p w14:paraId="3B35E47B" w14:textId="29A826F1" w:rsidR="00401998" w:rsidRPr="00044085" w:rsidRDefault="00FE53F0" w:rsidP="00FE53F0">
      <w:pPr>
        <w:pStyle w:val="Heading2"/>
      </w:pPr>
      <w:bookmarkStart w:id="54" w:name="_Toc234686431"/>
      <w:bookmarkStart w:id="55" w:name="_Toc234689630"/>
      <w:r w:rsidRPr="00044085">
        <w:lastRenderedPageBreak/>
        <w:t>Appendix B: Investment appraisal calculations</w:t>
      </w:r>
      <w:bookmarkEnd w:id="54"/>
      <w:bookmarkEnd w:id="55"/>
    </w:p>
    <w:p w14:paraId="7208517E" w14:textId="781CCED1" w:rsidR="00FE53F0" w:rsidRPr="00044085" w:rsidRDefault="00FE53F0">
      <w:pPr>
        <w:spacing w:after="200" w:line="360" w:lineRule="auto"/>
        <w:jc w:val="both"/>
        <w:rPr>
          <w:rFonts w:eastAsia="Times New Roman"/>
          <w:b/>
          <w:bCs/>
          <w:sz w:val="24"/>
          <w:szCs w:val="24"/>
        </w:rPr>
      </w:pPr>
      <w:r w:rsidRPr="00044085">
        <w:rPr>
          <w:rFonts w:eastAsia="Times New Roman"/>
          <w:b/>
          <w:bCs/>
          <w:sz w:val="24"/>
          <w:szCs w:val="24"/>
        </w:rPr>
        <w:t>Project A</w:t>
      </w:r>
    </w:p>
    <w:tbl>
      <w:tblPr>
        <w:tblStyle w:val="TableGrid"/>
        <w:tblW w:w="5000" w:type="pct"/>
        <w:tblLook w:val="04A0" w:firstRow="1" w:lastRow="0" w:firstColumn="1" w:lastColumn="0" w:noHBand="0" w:noVBand="1"/>
      </w:tblPr>
      <w:tblGrid>
        <w:gridCol w:w="1285"/>
        <w:gridCol w:w="1288"/>
        <w:gridCol w:w="1618"/>
        <w:gridCol w:w="1618"/>
        <w:gridCol w:w="1512"/>
        <w:gridCol w:w="1698"/>
      </w:tblGrid>
      <w:tr w:rsidR="00FE53F0" w:rsidRPr="00044085" w14:paraId="551FF87C" w14:textId="77777777" w:rsidTr="00044085">
        <w:trPr>
          <w:trHeight w:val="900"/>
        </w:trPr>
        <w:tc>
          <w:tcPr>
            <w:tcW w:w="713" w:type="pct"/>
            <w:hideMark/>
          </w:tcPr>
          <w:p w14:paraId="5930649C"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Year</w:t>
            </w:r>
          </w:p>
        </w:tc>
        <w:tc>
          <w:tcPr>
            <w:tcW w:w="714" w:type="pct"/>
            <w:hideMark/>
          </w:tcPr>
          <w:p w14:paraId="309088BE"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Net Cash Flow (£m)</w:t>
            </w:r>
          </w:p>
        </w:tc>
        <w:tc>
          <w:tcPr>
            <w:tcW w:w="897" w:type="pct"/>
            <w:hideMark/>
          </w:tcPr>
          <w:p w14:paraId="33DAB339"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Discount Factor (8%)</w:t>
            </w:r>
          </w:p>
        </w:tc>
        <w:tc>
          <w:tcPr>
            <w:tcW w:w="897" w:type="pct"/>
            <w:hideMark/>
          </w:tcPr>
          <w:p w14:paraId="681A4F25"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Present Value (£m)</w:t>
            </w:r>
          </w:p>
        </w:tc>
        <w:tc>
          <w:tcPr>
            <w:tcW w:w="837" w:type="pct"/>
            <w:hideMark/>
          </w:tcPr>
          <w:p w14:paraId="545B3C8B"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Cumulative Cash Flow (£m)</w:t>
            </w:r>
          </w:p>
        </w:tc>
        <w:tc>
          <w:tcPr>
            <w:tcW w:w="941" w:type="pct"/>
            <w:hideMark/>
          </w:tcPr>
          <w:p w14:paraId="4B2E953C"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Cumulative PV (£m)</w:t>
            </w:r>
          </w:p>
        </w:tc>
      </w:tr>
      <w:tr w:rsidR="00FE53F0" w:rsidRPr="00044085" w14:paraId="09AA8602" w14:textId="77777777" w:rsidTr="00044085">
        <w:trPr>
          <w:trHeight w:val="300"/>
        </w:trPr>
        <w:tc>
          <w:tcPr>
            <w:tcW w:w="713" w:type="pct"/>
            <w:noWrap/>
            <w:hideMark/>
          </w:tcPr>
          <w:p w14:paraId="468C972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w:t>
            </w:r>
          </w:p>
        </w:tc>
        <w:tc>
          <w:tcPr>
            <w:tcW w:w="714" w:type="pct"/>
            <w:noWrap/>
            <w:hideMark/>
          </w:tcPr>
          <w:p w14:paraId="1A8F481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897" w:type="pct"/>
            <w:noWrap/>
            <w:hideMark/>
          </w:tcPr>
          <w:p w14:paraId="05CCCE6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w:t>
            </w:r>
          </w:p>
        </w:tc>
        <w:tc>
          <w:tcPr>
            <w:tcW w:w="897" w:type="pct"/>
            <w:noWrap/>
            <w:hideMark/>
          </w:tcPr>
          <w:p w14:paraId="1D16320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837" w:type="pct"/>
            <w:noWrap/>
            <w:hideMark/>
          </w:tcPr>
          <w:p w14:paraId="778A521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941" w:type="pct"/>
            <w:noWrap/>
            <w:hideMark/>
          </w:tcPr>
          <w:p w14:paraId="107C3FD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r>
      <w:tr w:rsidR="00FE53F0" w:rsidRPr="00044085" w14:paraId="7FA485C1" w14:textId="77777777" w:rsidTr="00044085">
        <w:trPr>
          <w:trHeight w:val="300"/>
        </w:trPr>
        <w:tc>
          <w:tcPr>
            <w:tcW w:w="713" w:type="pct"/>
            <w:noWrap/>
            <w:hideMark/>
          </w:tcPr>
          <w:p w14:paraId="6DE3BF3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w:t>
            </w:r>
          </w:p>
        </w:tc>
        <w:tc>
          <w:tcPr>
            <w:tcW w:w="714" w:type="pct"/>
            <w:noWrap/>
            <w:hideMark/>
          </w:tcPr>
          <w:p w14:paraId="552B553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w:t>
            </w:r>
          </w:p>
        </w:tc>
        <w:tc>
          <w:tcPr>
            <w:tcW w:w="897" w:type="pct"/>
            <w:noWrap/>
            <w:hideMark/>
          </w:tcPr>
          <w:p w14:paraId="7A709CF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0.925925926</w:t>
            </w:r>
          </w:p>
        </w:tc>
        <w:tc>
          <w:tcPr>
            <w:tcW w:w="897" w:type="pct"/>
            <w:noWrap/>
            <w:hideMark/>
          </w:tcPr>
          <w:p w14:paraId="4D42408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9.259259259</w:t>
            </w:r>
          </w:p>
        </w:tc>
        <w:tc>
          <w:tcPr>
            <w:tcW w:w="837" w:type="pct"/>
            <w:noWrap/>
            <w:hideMark/>
          </w:tcPr>
          <w:p w14:paraId="01B1D5C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-40</w:t>
            </w:r>
          </w:p>
        </w:tc>
        <w:tc>
          <w:tcPr>
            <w:tcW w:w="941" w:type="pct"/>
            <w:noWrap/>
            <w:hideMark/>
          </w:tcPr>
          <w:p w14:paraId="1E640F1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-39.07407407</w:t>
            </w:r>
          </w:p>
        </w:tc>
      </w:tr>
      <w:tr w:rsidR="00FE53F0" w:rsidRPr="00044085" w14:paraId="57EC030E" w14:textId="77777777" w:rsidTr="00044085">
        <w:trPr>
          <w:trHeight w:val="300"/>
        </w:trPr>
        <w:tc>
          <w:tcPr>
            <w:tcW w:w="713" w:type="pct"/>
            <w:noWrap/>
            <w:hideMark/>
          </w:tcPr>
          <w:p w14:paraId="65AC332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w:t>
            </w:r>
          </w:p>
        </w:tc>
        <w:tc>
          <w:tcPr>
            <w:tcW w:w="714" w:type="pct"/>
            <w:noWrap/>
            <w:hideMark/>
          </w:tcPr>
          <w:p w14:paraId="1A322FC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12</w:t>
            </w:r>
          </w:p>
        </w:tc>
        <w:tc>
          <w:tcPr>
            <w:tcW w:w="897" w:type="pct"/>
            <w:noWrap/>
            <w:hideMark/>
          </w:tcPr>
          <w:p w14:paraId="125F1D3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0.85733882</w:t>
            </w:r>
          </w:p>
        </w:tc>
        <w:tc>
          <w:tcPr>
            <w:tcW w:w="897" w:type="pct"/>
            <w:noWrap/>
            <w:hideMark/>
          </w:tcPr>
          <w:p w14:paraId="65F0847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10.28806584</w:t>
            </w:r>
          </w:p>
        </w:tc>
        <w:tc>
          <w:tcPr>
            <w:tcW w:w="837" w:type="pct"/>
            <w:noWrap/>
            <w:hideMark/>
          </w:tcPr>
          <w:p w14:paraId="5717DAD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-28</w:t>
            </w:r>
          </w:p>
        </w:tc>
        <w:tc>
          <w:tcPr>
            <w:tcW w:w="941" w:type="pct"/>
            <w:noWrap/>
            <w:hideMark/>
          </w:tcPr>
          <w:p w14:paraId="4933811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-27.14266118</w:t>
            </w:r>
          </w:p>
        </w:tc>
      </w:tr>
      <w:tr w:rsidR="00FE53F0" w:rsidRPr="00044085" w14:paraId="4DDB2AA6" w14:textId="77777777" w:rsidTr="00044085">
        <w:trPr>
          <w:trHeight w:val="300"/>
        </w:trPr>
        <w:tc>
          <w:tcPr>
            <w:tcW w:w="713" w:type="pct"/>
            <w:noWrap/>
            <w:hideMark/>
          </w:tcPr>
          <w:p w14:paraId="143E16A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w:t>
            </w:r>
          </w:p>
        </w:tc>
        <w:tc>
          <w:tcPr>
            <w:tcW w:w="714" w:type="pct"/>
            <w:noWrap/>
            <w:hideMark/>
          </w:tcPr>
          <w:p w14:paraId="2CF844C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w:t>
            </w:r>
          </w:p>
        </w:tc>
        <w:tc>
          <w:tcPr>
            <w:tcW w:w="897" w:type="pct"/>
            <w:noWrap/>
            <w:hideMark/>
          </w:tcPr>
          <w:p w14:paraId="4B73A25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0.793832241</w:t>
            </w:r>
          </w:p>
        </w:tc>
        <w:tc>
          <w:tcPr>
            <w:tcW w:w="897" w:type="pct"/>
            <w:noWrap/>
            <w:hideMark/>
          </w:tcPr>
          <w:p w14:paraId="2E28D7B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11.11365137</w:t>
            </w:r>
          </w:p>
        </w:tc>
        <w:tc>
          <w:tcPr>
            <w:tcW w:w="837" w:type="pct"/>
            <w:noWrap/>
            <w:hideMark/>
          </w:tcPr>
          <w:p w14:paraId="6FE7C8E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w:t>
            </w:r>
          </w:p>
        </w:tc>
        <w:tc>
          <w:tcPr>
            <w:tcW w:w="941" w:type="pct"/>
            <w:noWrap/>
            <w:hideMark/>
          </w:tcPr>
          <w:p w14:paraId="2A139F8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-13.20616776</w:t>
            </w:r>
          </w:p>
        </w:tc>
      </w:tr>
      <w:tr w:rsidR="00FE53F0" w:rsidRPr="00044085" w14:paraId="58A6C219" w14:textId="77777777" w:rsidTr="00044085">
        <w:trPr>
          <w:trHeight w:val="300"/>
        </w:trPr>
        <w:tc>
          <w:tcPr>
            <w:tcW w:w="713" w:type="pct"/>
            <w:noWrap/>
            <w:hideMark/>
          </w:tcPr>
          <w:p w14:paraId="6BFFF5C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w:t>
            </w:r>
          </w:p>
        </w:tc>
        <w:tc>
          <w:tcPr>
            <w:tcW w:w="714" w:type="pct"/>
            <w:noWrap/>
            <w:hideMark/>
          </w:tcPr>
          <w:p w14:paraId="5584941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w:t>
            </w:r>
          </w:p>
        </w:tc>
        <w:tc>
          <w:tcPr>
            <w:tcW w:w="897" w:type="pct"/>
            <w:noWrap/>
            <w:hideMark/>
          </w:tcPr>
          <w:p w14:paraId="5A32AE4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0.735029853</w:t>
            </w:r>
          </w:p>
        </w:tc>
        <w:tc>
          <w:tcPr>
            <w:tcW w:w="897" w:type="pct"/>
            <w:noWrap/>
            <w:hideMark/>
          </w:tcPr>
          <w:p w14:paraId="65554EF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7.350298528</w:t>
            </w:r>
          </w:p>
        </w:tc>
        <w:tc>
          <w:tcPr>
            <w:tcW w:w="837" w:type="pct"/>
            <w:noWrap/>
            <w:hideMark/>
          </w:tcPr>
          <w:p w14:paraId="14C2F36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w:t>
            </w:r>
          </w:p>
        </w:tc>
        <w:tc>
          <w:tcPr>
            <w:tcW w:w="941" w:type="pct"/>
            <w:noWrap/>
            <w:hideMark/>
          </w:tcPr>
          <w:p w14:paraId="1601A86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-3.264970147</w:t>
            </w:r>
          </w:p>
        </w:tc>
      </w:tr>
      <w:tr w:rsidR="00FE53F0" w:rsidRPr="00044085" w14:paraId="2625E5E8" w14:textId="77777777" w:rsidTr="00044085">
        <w:trPr>
          <w:trHeight w:val="300"/>
        </w:trPr>
        <w:tc>
          <w:tcPr>
            <w:tcW w:w="713" w:type="pct"/>
            <w:noWrap/>
            <w:hideMark/>
          </w:tcPr>
          <w:p w14:paraId="10711FE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w:t>
            </w:r>
          </w:p>
        </w:tc>
        <w:tc>
          <w:tcPr>
            <w:tcW w:w="714" w:type="pct"/>
            <w:noWrap/>
            <w:hideMark/>
          </w:tcPr>
          <w:p w14:paraId="5EE1030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w:t>
            </w:r>
          </w:p>
        </w:tc>
        <w:tc>
          <w:tcPr>
            <w:tcW w:w="897" w:type="pct"/>
            <w:noWrap/>
            <w:hideMark/>
          </w:tcPr>
          <w:p w14:paraId="793E334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0.680583197</w:t>
            </w:r>
          </w:p>
        </w:tc>
        <w:tc>
          <w:tcPr>
            <w:tcW w:w="897" w:type="pct"/>
            <w:noWrap/>
            <w:hideMark/>
          </w:tcPr>
          <w:p w14:paraId="62412D4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5.444665576</w:t>
            </w:r>
          </w:p>
        </w:tc>
        <w:tc>
          <w:tcPr>
            <w:tcW w:w="837" w:type="pct"/>
            <w:noWrap/>
            <w:hideMark/>
          </w:tcPr>
          <w:p w14:paraId="7973404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w:t>
            </w:r>
          </w:p>
        </w:tc>
        <w:tc>
          <w:tcPr>
            <w:tcW w:w="941" w:type="pct"/>
            <w:noWrap/>
            <w:hideMark/>
          </w:tcPr>
          <w:p w14:paraId="5575E02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4.680583197</w:t>
            </w:r>
          </w:p>
        </w:tc>
      </w:tr>
      <w:tr w:rsidR="00FE53F0" w:rsidRPr="00044085" w14:paraId="69A4230F" w14:textId="77777777" w:rsidTr="00044085">
        <w:trPr>
          <w:trHeight w:val="300"/>
        </w:trPr>
        <w:tc>
          <w:tcPr>
            <w:tcW w:w="4059" w:type="pct"/>
            <w:gridSpan w:val="5"/>
            <w:noWrap/>
            <w:hideMark/>
          </w:tcPr>
          <w:p w14:paraId="16F1BAAB"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Payback Period (PBP)</w:t>
            </w:r>
          </w:p>
        </w:tc>
        <w:tc>
          <w:tcPr>
            <w:tcW w:w="941" w:type="pct"/>
            <w:noWrap/>
            <w:hideMark/>
          </w:tcPr>
          <w:p w14:paraId="5292ED3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4.918787316</w:t>
            </w:r>
          </w:p>
        </w:tc>
      </w:tr>
      <w:tr w:rsidR="00FE53F0" w:rsidRPr="00044085" w14:paraId="20581F3F" w14:textId="77777777" w:rsidTr="00044085">
        <w:trPr>
          <w:trHeight w:val="300"/>
        </w:trPr>
        <w:tc>
          <w:tcPr>
            <w:tcW w:w="4059" w:type="pct"/>
            <w:gridSpan w:val="5"/>
            <w:noWrap/>
            <w:hideMark/>
          </w:tcPr>
          <w:p w14:paraId="58E1F7D9"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Accounting Rate of Return (ARR)</w:t>
            </w:r>
          </w:p>
        </w:tc>
        <w:tc>
          <w:tcPr>
            <w:tcW w:w="941" w:type="pct"/>
            <w:noWrap/>
            <w:hideMark/>
          </w:tcPr>
          <w:p w14:paraId="6FEE344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43%</w:t>
            </w:r>
          </w:p>
        </w:tc>
      </w:tr>
      <w:tr w:rsidR="00FE53F0" w:rsidRPr="00044085" w14:paraId="18DC8A02" w14:textId="77777777" w:rsidTr="00044085">
        <w:trPr>
          <w:trHeight w:val="300"/>
        </w:trPr>
        <w:tc>
          <w:tcPr>
            <w:tcW w:w="4059" w:type="pct"/>
            <w:gridSpan w:val="5"/>
            <w:noWrap/>
            <w:hideMark/>
          </w:tcPr>
          <w:p w14:paraId="6FB3882E"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Net Present Value (NPV)</w:t>
            </w:r>
          </w:p>
        </w:tc>
        <w:tc>
          <w:tcPr>
            <w:tcW w:w="941" w:type="pct"/>
            <w:noWrap/>
            <w:hideMark/>
          </w:tcPr>
          <w:p w14:paraId="557C33D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FF0000"/>
                <w:sz w:val="24"/>
                <w:szCs w:val="24"/>
              </w:rPr>
              <w:t>($6.54)</w:t>
            </w:r>
          </w:p>
        </w:tc>
      </w:tr>
      <w:tr w:rsidR="00FE53F0" w:rsidRPr="00044085" w14:paraId="43876B20" w14:textId="77777777" w:rsidTr="00044085">
        <w:trPr>
          <w:trHeight w:val="300"/>
        </w:trPr>
        <w:tc>
          <w:tcPr>
            <w:tcW w:w="4059" w:type="pct"/>
            <w:gridSpan w:val="5"/>
            <w:noWrap/>
            <w:hideMark/>
          </w:tcPr>
          <w:p w14:paraId="5FA7213A"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Profitability Index (PI)</w:t>
            </w:r>
          </w:p>
        </w:tc>
        <w:tc>
          <w:tcPr>
            <w:tcW w:w="941" w:type="pct"/>
            <w:noWrap/>
            <w:hideMark/>
          </w:tcPr>
          <w:p w14:paraId="29B2983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1.08</w:t>
            </w:r>
          </w:p>
        </w:tc>
      </w:tr>
      <w:tr w:rsidR="00FE53F0" w:rsidRPr="00044085" w14:paraId="6E5B695C" w14:textId="77777777" w:rsidTr="00044085">
        <w:trPr>
          <w:trHeight w:val="300"/>
        </w:trPr>
        <w:tc>
          <w:tcPr>
            <w:tcW w:w="4059" w:type="pct"/>
            <w:gridSpan w:val="5"/>
            <w:noWrap/>
            <w:hideMark/>
          </w:tcPr>
          <w:p w14:paraId="3D2573FB"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Internal Rate of Return (IRR)</w:t>
            </w:r>
          </w:p>
        </w:tc>
        <w:tc>
          <w:tcPr>
            <w:tcW w:w="941" w:type="pct"/>
            <w:noWrap/>
            <w:hideMark/>
          </w:tcPr>
          <w:p w14:paraId="60DF375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w:t>
            </w:r>
          </w:p>
        </w:tc>
      </w:tr>
    </w:tbl>
    <w:p w14:paraId="52BACF5B" w14:textId="77777777" w:rsidR="00FE53F0" w:rsidRPr="00044085" w:rsidRDefault="00FE53F0">
      <w:pPr>
        <w:spacing w:after="200" w:line="360" w:lineRule="auto"/>
        <w:jc w:val="both"/>
        <w:rPr>
          <w:rFonts w:eastAsia="Times New Roman"/>
          <w:sz w:val="24"/>
          <w:szCs w:val="24"/>
        </w:rPr>
      </w:pPr>
    </w:p>
    <w:p w14:paraId="6F9F8B03" w14:textId="496E77DB" w:rsidR="00FE53F0" w:rsidRPr="00044085" w:rsidRDefault="00FE53F0">
      <w:pPr>
        <w:spacing w:after="200" w:line="360" w:lineRule="auto"/>
        <w:jc w:val="both"/>
        <w:rPr>
          <w:rFonts w:eastAsia="Times New Roman"/>
          <w:b/>
          <w:bCs/>
          <w:sz w:val="24"/>
          <w:szCs w:val="24"/>
        </w:rPr>
      </w:pPr>
      <w:r w:rsidRPr="00044085">
        <w:rPr>
          <w:rFonts w:eastAsia="Times New Roman"/>
          <w:b/>
          <w:bCs/>
          <w:sz w:val="24"/>
          <w:szCs w:val="24"/>
        </w:rPr>
        <w:t>Project B</w:t>
      </w:r>
    </w:p>
    <w:tbl>
      <w:tblPr>
        <w:tblStyle w:val="TableGrid"/>
        <w:tblW w:w="5000" w:type="pct"/>
        <w:tblLook w:val="04A0" w:firstRow="1" w:lastRow="0" w:firstColumn="1" w:lastColumn="0" w:noHBand="0" w:noVBand="1"/>
      </w:tblPr>
      <w:tblGrid>
        <w:gridCol w:w="1285"/>
        <w:gridCol w:w="1288"/>
        <w:gridCol w:w="1618"/>
        <w:gridCol w:w="1618"/>
        <w:gridCol w:w="1512"/>
        <w:gridCol w:w="1698"/>
      </w:tblGrid>
      <w:tr w:rsidR="00FE53F0" w:rsidRPr="00044085" w14:paraId="1B20B997" w14:textId="77777777" w:rsidTr="00044085">
        <w:trPr>
          <w:trHeight w:val="900"/>
        </w:trPr>
        <w:tc>
          <w:tcPr>
            <w:tcW w:w="713" w:type="pct"/>
            <w:hideMark/>
          </w:tcPr>
          <w:p w14:paraId="4622E868"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Year</w:t>
            </w:r>
          </w:p>
        </w:tc>
        <w:tc>
          <w:tcPr>
            <w:tcW w:w="714" w:type="pct"/>
            <w:hideMark/>
          </w:tcPr>
          <w:p w14:paraId="443AC688"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Net Cash Flow (£m)</w:t>
            </w:r>
          </w:p>
        </w:tc>
        <w:tc>
          <w:tcPr>
            <w:tcW w:w="897" w:type="pct"/>
            <w:hideMark/>
          </w:tcPr>
          <w:p w14:paraId="1DDF26B3"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Discount Factor (8%)</w:t>
            </w:r>
          </w:p>
        </w:tc>
        <w:tc>
          <w:tcPr>
            <w:tcW w:w="897" w:type="pct"/>
            <w:hideMark/>
          </w:tcPr>
          <w:p w14:paraId="14DC6BF5"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Present Value (£m)</w:t>
            </w:r>
          </w:p>
        </w:tc>
        <w:tc>
          <w:tcPr>
            <w:tcW w:w="837" w:type="pct"/>
            <w:hideMark/>
          </w:tcPr>
          <w:p w14:paraId="6726620E"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Cumulative Cash Flow (£m)</w:t>
            </w:r>
          </w:p>
        </w:tc>
        <w:tc>
          <w:tcPr>
            <w:tcW w:w="941" w:type="pct"/>
            <w:hideMark/>
          </w:tcPr>
          <w:p w14:paraId="468C9AF0"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Cumulative PV (£m)</w:t>
            </w:r>
          </w:p>
        </w:tc>
      </w:tr>
      <w:tr w:rsidR="00FE53F0" w:rsidRPr="00044085" w14:paraId="609839AB" w14:textId="77777777" w:rsidTr="00044085">
        <w:trPr>
          <w:trHeight w:val="300"/>
        </w:trPr>
        <w:tc>
          <w:tcPr>
            <w:tcW w:w="713" w:type="pct"/>
            <w:noWrap/>
            <w:hideMark/>
          </w:tcPr>
          <w:p w14:paraId="517C858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w:t>
            </w:r>
          </w:p>
        </w:tc>
        <w:tc>
          <w:tcPr>
            <w:tcW w:w="714" w:type="pct"/>
            <w:noWrap/>
            <w:hideMark/>
          </w:tcPr>
          <w:p w14:paraId="311ABA2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897" w:type="pct"/>
            <w:noWrap/>
            <w:hideMark/>
          </w:tcPr>
          <w:p w14:paraId="6964093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w:t>
            </w:r>
          </w:p>
        </w:tc>
        <w:tc>
          <w:tcPr>
            <w:tcW w:w="897" w:type="pct"/>
            <w:noWrap/>
            <w:hideMark/>
          </w:tcPr>
          <w:p w14:paraId="3DC157E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837" w:type="pct"/>
            <w:noWrap/>
            <w:hideMark/>
          </w:tcPr>
          <w:p w14:paraId="3D56B84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941" w:type="pct"/>
            <w:noWrap/>
            <w:hideMark/>
          </w:tcPr>
          <w:p w14:paraId="42E8307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r>
      <w:tr w:rsidR="00FE53F0" w:rsidRPr="00044085" w14:paraId="3D102387" w14:textId="77777777" w:rsidTr="00044085">
        <w:trPr>
          <w:trHeight w:val="300"/>
        </w:trPr>
        <w:tc>
          <w:tcPr>
            <w:tcW w:w="713" w:type="pct"/>
            <w:noWrap/>
            <w:hideMark/>
          </w:tcPr>
          <w:p w14:paraId="4AE9394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lastRenderedPageBreak/>
              <w:t>1</w:t>
            </w:r>
          </w:p>
        </w:tc>
        <w:tc>
          <w:tcPr>
            <w:tcW w:w="714" w:type="pct"/>
            <w:noWrap/>
            <w:hideMark/>
          </w:tcPr>
          <w:p w14:paraId="7048133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w:t>
            </w:r>
          </w:p>
        </w:tc>
        <w:tc>
          <w:tcPr>
            <w:tcW w:w="897" w:type="pct"/>
            <w:noWrap/>
            <w:hideMark/>
          </w:tcPr>
          <w:p w14:paraId="18151EF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0.925925926</w:t>
            </w:r>
          </w:p>
        </w:tc>
        <w:tc>
          <w:tcPr>
            <w:tcW w:w="897" w:type="pct"/>
            <w:noWrap/>
            <w:hideMark/>
          </w:tcPr>
          <w:p w14:paraId="7D50927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10.18518519</w:t>
            </w:r>
          </w:p>
        </w:tc>
        <w:tc>
          <w:tcPr>
            <w:tcW w:w="837" w:type="pct"/>
            <w:noWrap/>
            <w:hideMark/>
          </w:tcPr>
          <w:p w14:paraId="170F985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-39</w:t>
            </w:r>
          </w:p>
        </w:tc>
        <w:tc>
          <w:tcPr>
            <w:tcW w:w="941" w:type="pct"/>
            <w:noWrap/>
            <w:hideMark/>
          </w:tcPr>
          <w:p w14:paraId="4C5391E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-38.07407407</w:t>
            </w:r>
          </w:p>
        </w:tc>
      </w:tr>
      <w:tr w:rsidR="00FE53F0" w:rsidRPr="00044085" w14:paraId="047A224F" w14:textId="77777777" w:rsidTr="00044085">
        <w:trPr>
          <w:trHeight w:val="300"/>
        </w:trPr>
        <w:tc>
          <w:tcPr>
            <w:tcW w:w="713" w:type="pct"/>
            <w:noWrap/>
            <w:hideMark/>
          </w:tcPr>
          <w:p w14:paraId="2F2FD42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w:t>
            </w:r>
          </w:p>
        </w:tc>
        <w:tc>
          <w:tcPr>
            <w:tcW w:w="714" w:type="pct"/>
            <w:noWrap/>
            <w:hideMark/>
          </w:tcPr>
          <w:p w14:paraId="58E9A08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w:t>
            </w:r>
          </w:p>
        </w:tc>
        <w:tc>
          <w:tcPr>
            <w:tcW w:w="897" w:type="pct"/>
            <w:noWrap/>
            <w:hideMark/>
          </w:tcPr>
          <w:p w14:paraId="15C0FB4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0.85733882</w:t>
            </w:r>
          </w:p>
        </w:tc>
        <w:tc>
          <w:tcPr>
            <w:tcW w:w="897" w:type="pct"/>
            <w:noWrap/>
            <w:hideMark/>
          </w:tcPr>
          <w:p w14:paraId="27753D5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9.430727023</w:t>
            </w:r>
          </w:p>
        </w:tc>
        <w:tc>
          <w:tcPr>
            <w:tcW w:w="837" w:type="pct"/>
            <w:noWrap/>
            <w:hideMark/>
          </w:tcPr>
          <w:p w14:paraId="57BE3AC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-28</w:t>
            </w:r>
          </w:p>
        </w:tc>
        <w:tc>
          <w:tcPr>
            <w:tcW w:w="941" w:type="pct"/>
            <w:noWrap/>
            <w:hideMark/>
          </w:tcPr>
          <w:p w14:paraId="37E26CF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-27.14266118</w:t>
            </w:r>
          </w:p>
        </w:tc>
      </w:tr>
      <w:tr w:rsidR="00FE53F0" w:rsidRPr="00044085" w14:paraId="4C03C956" w14:textId="77777777" w:rsidTr="00044085">
        <w:trPr>
          <w:trHeight w:val="300"/>
        </w:trPr>
        <w:tc>
          <w:tcPr>
            <w:tcW w:w="713" w:type="pct"/>
            <w:noWrap/>
            <w:hideMark/>
          </w:tcPr>
          <w:p w14:paraId="5C82F27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w:t>
            </w:r>
          </w:p>
        </w:tc>
        <w:tc>
          <w:tcPr>
            <w:tcW w:w="714" w:type="pct"/>
            <w:noWrap/>
            <w:hideMark/>
          </w:tcPr>
          <w:p w14:paraId="269D6B5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w:t>
            </w:r>
          </w:p>
        </w:tc>
        <w:tc>
          <w:tcPr>
            <w:tcW w:w="897" w:type="pct"/>
            <w:noWrap/>
            <w:hideMark/>
          </w:tcPr>
          <w:p w14:paraId="002AEE5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0.793832241</w:t>
            </w:r>
          </w:p>
        </w:tc>
        <w:tc>
          <w:tcPr>
            <w:tcW w:w="897" w:type="pct"/>
            <w:noWrap/>
            <w:hideMark/>
          </w:tcPr>
          <w:p w14:paraId="0A05AF3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8.732154651</w:t>
            </w:r>
          </w:p>
        </w:tc>
        <w:tc>
          <w:tcPr>
            <w:tcW w:w="837" w:type="pct"/>
            <w:noWrap/>
            <w:hideMark/>
          </w:tcPr>
          <w:p w14:paraId="171F61E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-17</w:t>
            </w:r>
          </w:p>
        </w:tc>
        <w:tc>
          <w:tcPr>
            <w:tcW w:w="941" w:type="pct"/>
            <w:noWrap/>
            <w:hideMark/>
          </w:tcPr>
          <w:p w14:paraId="29FC382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-16.20616776</w:t>
            </w:r>
          </w:p>
        </w:tc>
      </w:tr>
      <w:tr w:rsidR="00FE53F0" w:rsidRPr="00044085" w14:paraId="29EED343" w14:textId="77777777" w:rsidTr="00044085">
        <w:trPr>
          <w:trHeight w:val="300"/>
        </w:trPr>
        <w:tc>
          <w:tcPr>
            <w:tcW w:w="713" w:type="pct"/>
            <w:noWrap/>
            <w:hideMark/>
          </w:tcPr>
          <w:p w14:paraId="484FC62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w:t>
            </w:r>
          </w:p>
        </w:tc>
        <w:tc>
          <w:tcPr>
            <w:tcW w:w="714" w:type="pct"/>
            <w:noWrap/>
            <w:hideMark/>
          </w:tcPr>
          <w:p w14:paraId="37721A3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w:t>
            </w:r>
          </w:p>
        </w:tc>
        <w:tc>
          <w:tcPr>
            <w:tcW w:w="897" w:type="pct"/>
            <w:noWrap/>
            <w:hideMark/>
          </w:tcPr>
          <w:p w14:paraId="2F648B7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0.735029853</w:t>
            </w:r>
          </w:p>
        </w:tc>
        <w:tc>
          <w:tcPr>
            <w:tcW w:w="897" w:type="pct"/>
            <w:noWrap/>
            <w:hideMark/>
          </w:tcPr>
          <w:p w14:paraId="3F474C1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8.085328381</w:t>
            </w:r>
          </w:p>
        </w:tc>
        <w:tc>
          <w:tcPr>
            <w:tcW w:w="837" w:type="pct"/>
            <w:noWrap/>
            <w:hideMark/>
          </w:tcPr>
          <w:p w14:paraId="2D3FE65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-6</w:t>
            </w:r>
          </w:p>
        </w:tc>
        <w:tc>
          <w:tcPr>
            <w:tcW w:w="941" w:type="pct"/>
            <w:noWrap/>
            <w:hideMark/>
          </w:tcPr>
          <w:p w14:paraId="0774E12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-5.264970147</w:t>
            </w:r>
          </w:p>
        </w:tc>
      </w:tr>
      <w:tr w:rsidR="00FE53F0" w:rsidRPr="00044085" w14:paraId="401FB99E" w14:textId="77777777" w:rsidTr="00044085">
        <w:trPr>
          <w:trHeight w:val="300"/>
        </w:trPr>
        <w:tc>
          <w:tcPr>
            <w:tcW w:w="713" w:type="pct"/>
            <w:noWrap/>
            <w:hideMark/>
          </w:tcPr>
          <w:p w14:paraId="4A2B845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w:t>
            </w:r>
          </w:p>
        </w:tc>
        <w:tc>
          <w:tcPr>
            <w:tcW w:w="714" w:type="pct"/>
            <w:noWrap/>
            <w:hideMark/>
          </w:tcPr>
          <w:p w14:paraId="0281A12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w:t>
            </w:r>
          </w:p>
        </w:tc>
        <w:tc>
          <w:tcPr>
            <w:tcW w:w="897" w:type="pct"/>
            <w:noWrap/>
            <w:hideMark/>
          </w:tcPr>
          <w:p w14:paraId="421025F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0.680583197</w:t>
            </w:r>
          </w:p>
        </w:tc>
        <w:tc>
          <w:tcPr>
            <w:tcW w:w="897" w:type="pct"/>
            <w:noWrap/>
            <w:hideMark/>
          </w:tcPr>
          <w:p w14:paraId="008C610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7.486415167</w:t>
            </w:r>
          </w:p>
        </w:tc>
        <w:tc>
          <w:tcPr>
            <w:tcW w:w="837" w:type="pct"/>
            <w:noWrap/>
            <w:hideMark/>
          </w:tcPr>
          <w:p w14:paraId="2473F9A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w:t>
            </w:r>
          </w:p>
        </w:tc>
        <w:tc>
          <w:tcPr>
            <w:tcW w:w="941" w:type="pct"/>
            <w:noWrap/>
            <w:hideMark/>
          </w:tcPr>
          <w:p w14:paraId="103E466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5.680583197</w:t>
            </w:r>
          </w:p>
        </w:tc>
      </w:tr>
      <w:tr w:rsidR="00FE53F0" w:rsidRPr="00044085" w14:paraId="293FCE58" w14:textId="77777777" w:rsidTr="00044085">
        <w:trPr>
          <w:trHeight w:val="300"/>
        </w:trPr>
        <w:tc>
          <w:tcPr>
            <w:tcW w:w="4059" w:type="pct"/>
            <w:gridSpan w:val="5"/>
            <w:noWrap/>
            <w:hideMark/>
          </w:tcPr>
          <w:p w14:paraId="1C20BC94"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Payback Period (PBP)</w:t>
            </w:r>
          </w:p>
        </w:tc>
        <w:tc>
          <w:tcPr>
            <w:tcW w:w="941" w:type="pct"/>
            <w:noWrap/>
            <w:hideMark/>
          </w:tcPr>
          <w:p w14:paraId="2EEF313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4.735029853</w:t>
            </w:r>
          </w:p>
        </w:tc>
      </w:tr>
      <w:tr w:rsidR="00FE53F0" w:rsidRPr="00044085" w14:paraId="22D8C6E0" w14:textId="77777777" w:rsidTr="00044085">
        <w:trPr>
          <w:trHeight w:val="300"/>
        </w:trPr>
        <w:tc>
          <w:tcPr>
            <w:tcW w:w="4059" w:type="pct"/>
            <w:gridSpan w:val="5"/>
            <w:noWrap/>
            <w:hideMark/>
          </w:tcPr>
          <w:p w14:paraId="0FDBC4C3"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Accounting Rate of Return (ARR)</w:t>
            </w:r>
          </w:p>
        </w:tc>
        <w:tc>
          <w:tcPr>
            <w:tcW w:w="941" w:type="pct"/>
            <w:noWrap/>
            <w:hideMark/>
          </w:tcPr>
          <w:p w14:paraId="7D18288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44%</w:t>
            </w:r>
          </w:p>
        </w:tc>
      </w:tr>
      <w:tr w:rsidR="00FE53F0" w:rsidRPr="00044085" w14:paraId="19C3D292" w14:textId="77777777" w:rsidTr="00044085">
        <w:trPr>
          <w:trHeight w:val="300"/>
        </w:trPr>
        <w:tc>
          <w:tcPr>
            <w:tcW w:w="4059" w:type="pct"/>
            <w:gridSpan w:val="5"/>
            <w:noWrap/>
            <w:hideMark/>
          </w:tcPr>
          <w:p w14:paraId="71523971"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Net Present Value (NPV)</w:t>
            </w:r>
          </w:p>
        </w:tc>
        <w:tc>
          <w:tcPr>
            <w:tcW w:w="941" w:type="pct"/>
            <w:noWrap/>
            <w:hideMark/>
          </w:tcPr>
          <w:p w14:paraId="7A729B7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FF0000"/>
                <w:sz w:val="24"/>
                <w:szCs w:val="24"/>
              </w:rPr>
              <w:t>($6.08)</w:t>
            </w:r>
          </w:p>
        </w:tc>
      </w:tr>
      <w:tr w:rsidR="00FE53F0" w:rsidRPr="00044085" w14:paraId="65FF2AE3" w14:textId="77777777" w:rsidTr="00044085">
        <w:trPr>
          <w:trHeight w:val="300"/>
        </w:trPr>
        <w:tc>
          <w:tcPr>
            <w:tcW w:w="4059" w:type="pct"/>
            <w:gridSpan w:val="5"/>
            <w:noWrap/>
            <w:hideMark/>
          </w:tcPr>
          <w:p w14:paraId="0871DB85"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Profitability Index (PI)</w:t>
            </w:r>
          </w:p>
        </w:tc>
        <w:tc>
          <w:tcPr>
            <w:tcW w:w="941" w:type="pct"/>
            <w:noWrap/>
            <w:hideMark/>
          </w:tcPr>
          <w:p w14:paraId="12FF44C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1.1</w:t>
            </w:r>
          </w:p>
        </w:tc>
      </w:tr>
      <w:tr w:rsidR="00FE53F0" w:rsidRPr="00044085" w14:paraId="3FED70F3" w14:textId="77777777" w:rsidTr="00044085">
        <w:trPr>
          <w:trHeight w:val="300"/>
        </w:trPr>
        <w:tc>
          <w:tcPr>
            <w:tcW w:w="4059" w:type="pct"/>
            <w:gridSpan w:val="5"/>
            <w:noWrap/>
            <w:hideMark/>
          </w:tcPr>
          <w:p w14:paraId="091D2C12"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Internal Rate of Return (IRR)</w:t>
            </w:r>
          </w:p>
        </w:tc>
        <w:tc>
          <w:tcPr>
            <w:tcW w:w="941" w:type="pct"/>
            <w:noWrap/>
            <w:hideMark/>
          </w:tcPr>
          <w:p w14:paraId="3F306DB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w:t>
            </w:r>
          </w:p>
        </w:tc>
      </w:tr>
    </w:tbl>
    <w:p w14:paraId="40BCE7F3" w14:textId="77777777" w:rsidR="00FE53F0" w:rsidRPr="00044085" w:rsidRDefault="00FE53F0">
      <w:pPr>
        <w:spacing w:after="200" w:line="360" w:lineRule="auto"/>
        <w:jc w:val="both"/>
        <w:rPr>
          <w:rFonts w:eastAsia="Times New Roman"/>
          <w:sz w:val="24"/>
          <w:szCs w:val="24"/>
        </w:rPr>
      </w:pPr>
    </w:p>
    <w:p w14:paraId="0A65F7AB" w14:textId="1183A175" w:rsidR="00FE53F0" w:rsidRPr="00044085" w:rsidRDefault="00FE53F0">
      <w:pPr>
        <w:spacing w:after="200" w:line="360" w:lineRule="auto"/>
        <w:jc w:val="both"/>
        <w:rPr>
          <w:rFonts w:eastAsia="Times New Roman"/>
          <w:b/>
          <w:bCs/>
          <w:sz w:val="24"/>
          <w:szCs w:val="24"/>
        </w:rPr>
      </w:pPr>
      <w:r w:rsidRPr="00044085">
        <w:rPr>
          <w:rFonts w:eastAsia="Times New Roman"/>
          <w:b/>
          <w:bCs/>
          <w:sz w:val="24"/>
          <w:szCs w:val="24"/>
        </w:rPr>
        <w:t>Project C</w:t>
      </w:r>
    </w:p>
    <w:tbl>
      <w:tblPr>
        <w:tblW w:w="5000" w:type="pct"/>
        <w:tblLook w:val="04A0" w:firstRow="1" w:lastRow="0" w:firstColumn="1" w:lastColumn="0" w:noHBand="0" w:noVBand="1"/>
      </w:tblPr>
      <w:tblGrid>
        <w:gridCol w:w="1285"/>
        <w:gridCol w:w="1288"/>
        <w:gridCol w:w="1618"/>
        <w:gridCol w:w="1618"/>
        <w:gridCol w:w="1512"/>
        <w:gridCol w:w="1698"/>
      </w:tblGrid>
      <w:tr w:rsidR="00FE53F0" w:rsidRPr="00044085" w14:paraId="30E7CBE0" w14:textId="77777777" w:rsidTr="00044085">
        <w:trPr>
          <w:trHeight w:val="900"/>
        </w:trPr>
        <w:tc>
          <w:tcPr>
            <w:tcW w:w="713" w:type="pct"/>
            <w:tcBorders>
              <w:top w:val="single" w:sz="4" w:space="0" w:color="auto"/>
              <w:left w:val="single" w:sz="4" w:space="0" w:color="auto"/>
              <w:bottom w:val="single" w:sz="4" w:space="0" w:color="auto"/>
              <w:right w:val="single" w:sz="4" w:space="0" w:color="auto"/>
            </w:tcBorders>
            <w:vAlign w:val="center"/>
            <w:hideMark/>
          </w:tcPr>
          <w:p w14:paraId="159B1FAC"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Year</w:t>
            </w:r>
          </w:p>
        </w:tc>
        <w:tc>
          <w:tcPr>
            <w:tcW w:w="714" w:type="pct"/>
            <w:tcBorders>
              <w:top w:val="single" w:sz="4" w:space="0" w:color="auto"/>
              <w:left w:val="nil"/>
              <w:bottom w:val="single" w:sz="4" w:space="0" w:color="auto"/>
              <w:right w:val="single" w:sz="4" w:space="0" w:color="auto"/>
            </w:tcBorders>
            <w:vAlign w:val="center"/>
            <w:hideMark/>
          </w:tcPr>
          <w:p w14:paraId="7B1AD5AF"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Net Cash Flow (£m)</w:t>
            </w:r>
          </w:p>
        </w:tc>
        <w:tc>
          <w:tcPr>
            <w:tcW w:w="897" w:type="pct"/>
            <w:tcBorders>
              <w:top w:val="single" w:sz="4" w:space="0" w:color="auto"/>
              <w:left w:val="nil"/>
              <w:bottom w:val="single" w:sz="4" w:space="0" w:color="auto"/>
              <w:right w:val="single" w:sz="4" w:space="0" w:color="auto"/>
            </w:tcBorders>
            <w:vAlign w:val="center"/>
            <w:hideMark/>
          </w:tcPr>
          <w:p w14:paraId="4F84905C"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Discount Factor (8%)</w:t>
            </w:r>
          </w:p>
        </w:tc>
        <w:tc>
          <w:tcPr>
            <w:tcW w:w="897" w:type="pct"/>
            <w:tcBorders>
              <w:top w:val="single" w:sz="4" w:space="0" w:color="auto"/>
              <w:left w:val="nil"/>
              <w:bottom w:val="single" w:sz="4" w:space="0" w:color="auto"/>
              <w:right w:val="single" w:sz="4" w:space="0" w:color="auto"/>
            </w:tcBorders>
            <w:vAlign w:val="center"/>
            <w:hideMark/>
          </w:tcPr>
          <w:p w14:paraId="2BA307F1"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Present Value (£m)</w:t>
            </w:r>
          </w:p>
        </w:tc>
        <w:tc>
          <w:tcPr>
            <w:tcW w:w="837" w:type="pct"/>
            <w:tcBorders>
              <w:top w:val="single" w:sz="4" w:space="0" w:color="auto"/>
              <w:left w:val="nil"/>
              <w:bottom w:val="single" w:sz="4" w:space="0" w:color="auto"/>
              <w:right w:val="single" w:sz="4" w:space="0" w:color="auto"/>
            </w:tcBorders>
            <w:vAlign w:val="center"/>
            <w:hideMark/>
          </w:tcPr>
          <w:p w14:paraId="28747F52"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Cumulative Cash Flow (£m)</w:t>
            </w:r>
          </w:p>
        </w:tc>
        <w:tc>
          <w:tcPr>
            <w:tcW w:w="941" w:type="pct"/>
            <w:tcBorders>
              <w:top w:val="single" w:sz="4" w:space="0" w:color="auto"/>
              <w:left w:val="nil"/>
              <w:bottom w:val="single" w:sz="4" w:space="0" w:color="auto"/>
              <w:right w:val="single" w:sz="4" w:space="0" w:color="auto"/>
            </w:tcBorders>
            <w:vAlign w:val="center"/>
            <w:hideMark/>
          </w:tcPr>
          <w:p w14:paraId="18452D4E" w14:textId="77777777" w:rsidR="00FE53F0" w:rsidRPr="00044085" w:rsidRDefault="00FE53F0" w:rsidP="00FE53F0">
            <w:pPr>
              <w:spacing w:after="240" w:line="360" w:lineRule="auto"/>
              <w:jc w:val="center"/>
              <w:rPr>
                <w:rFonts w:eastAsia="Times New Roman"/>
                <w:b/>
                <w:bCs/>
                <w:i/>
                <w:iCs/>
                <w:color w:val="000000"/>
                <w:sz w:val="24"/>
                <w:szCs w:val="24"/>
              </w:rPr>
            </w:pPr>
            <w:r w:rsidRPr="00044085">
              <w:rPr>
                <w:rFonts w:eastAsia="Times New Roman"/>
                <w:b/>
                <w:bCs/>
                <w:i/>
                <w:iCs/>
                <w:color w:val="000000"/>
                <w:sz w:val="24"/>
                <w:szCs w:val="24"/>
              </w:rPr>
              <w:t>Cumulative PV (£m)</w:t>
            </w:r>
          </w:p>
        </w:tc>
      </w:tr>
      <w:tr w:rsidR="00FE53F0" w:rsidRPr="00044085" w14:paraId="0785AB7B" w14:textId="77777777" w:rsidTr="00044085">
        <w:trPr>
          <w:trHeight w:val="300"/>
        </w:trPr>
        <w:tc>
          <w:tcPr>
            <w:tcW w:w="713" w:type="pct"/>
            <w:tcBorders>
              <w:top w:val="nil"/>
              <w:left w:val="single" w:sz="4" w:space="0" w:color="auto"/>
              <w:bottom w:val="single" w:sz="4" w:space="0" w:color="auto"/>
              <w:right w:val="single" w:sz="4" w:space="0" w:color="auto"/>
            </w:tcBorders>
            <w:noWrap/>
            <w:vAlign w:val="bottom"/>
            <w:hideMark/>
          </w:tcPr>
          <w:p w14:paraId="47850F3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w:t>
            </w:r>
          </w:p>
        </w:tc>
        <w:tc>
          <w:tcPr>
            <w:tcW w:w="714" w:type="pct"/>
            <w:tcBorders>
              <w:top w:val="nil"/>
              <w:left w:val="nil"/>
              <w:bottom w:val="single" w:sz="4" w:space="0" w:color="auto"/>
              <w:right w:val="single" w:sz="4" w:space="0" w:color="auto"/>
            </w:tcBorders>
            <w:noWrap/>
            <w:vAlign w:val="bottom"/>
            <w:hideMark/>
          </w:tcPr>
          <w:p w14:paraId="56A6803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897" w:type="pct"/>
            <w:tcBorders>
              <w:top w:val="nil"/>
              <w:left w:val="nil"/>
              <w:bottom w:val="single" w:sz="4" w:space="0" w:color="auto"/>
              <w:right w:val="single" w:sz="4" w:space="0" w:color="auto"/>
            </w:tcBorders>
            <w:noWrap/>
            <w:vAlign w:val="bottom"/>
            <w:hideMark/>
          </w:tcPr>
          <w:p w14:paraId="4C91646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w:t>
            </w:r>
          </w:p>
        </w:tc>
        <w:tc>
          <w:tcPr>
            <w:tcW w:w="897" w:type="pct"/>
            <w:tcBorders>
              <w:top w:val="nil"/>
              <w:left w:val="nil"/>
              <w:bottom w:val="single" w:sz="4" w:space="0" w:color="auto"/>
              <w:right w:val="single" w:sz="4" w:space="0" w:color="auto"/>
            </w:tcBorders>
            <w:noWrap/>
            <w:vAlign w:val="bottom"/>
            <w:hideMark/>
          </w:tcPr>
          <w:p w14:paraId="00C63DA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837" w:type="pct"/>
            <w:tcBorders>
              <w:top w:val="nil"/>
              <w:left w:val="nil"/>
              <w:bottom w:val="single" w:sz="4" w:space="0" w:color="auto"/>
              <w:right w:val="single" w:sz="4" w:space="0" w:color="auto"/>
            </w:tcBorders>
            <w:noWrap/>
            <w:vAlign w:val="bottom"/>
            <w:hideMark/>
          </w:tcPr>
          <w:p w14:paraId="503909C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c>
          <w:tcPr>
            <w:tcW w:w="941" w:type="pct"/>
            <w:tcBorders>
              <w:top w:val="nil"/>
              <w:left w:val="nil"/>
              <w:bottom w:val="single" w:sz="4" w:space="0" w:color="auto"/>
              <w:right w:val="single" w:sz="4" w:space="0" w:color="auto"/>
            </w:tcBorders>
            <w:noWrap/>
            <w:vAlign w:val="bottom"/>
            <w:hideMark/>
          </w:tcPr>
          <w:p w14:paraId="3738579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-50</w:t>
            </w:r>
          </w:p>
        </w:tc>
      </w:tr>
      <w:tr w:rsidR="00FE53F0" w:rsidRPr="00044085" w14:paraId="60810012" w14:textId="77777777" w:rsidTr="00044085">
        <w:trPr>
          <w:trHeight w:val="300"/>
        </w:trPr>
        <w:tc>
          <w:tcPr>
            <w:tcW w:w="713" w:type="pct"/>
            <w:tcBorders>
              <w:top w:val="nil"/>
              <w:left w:val="single" w:sz="4" w:space="0" w:color="auto"/>
              <w:bottom w:val="single" w:sz="4" w:space="0" w:color="auto"/>
              <w:right w:val="single" w:sz="4" w:space="0" w:color="auto"/>
            </w:tcBorders>
            <w:noWrap/>
            <w:vAlign w:val="bottom"/>
            <w:hideMark/>
          </w:tcPr>
          <w:p w14:paraId="2E103CD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w:t>
            </w:r>
          </w:p>
        </w:tc>
        <w:tc>
          <w:tcPr>
            <w:tcW w:w="714" w:type="pct"/>
            <w:tcBorders>
              <w:top w:val="nil"/>
              <w:left w:val="nil"/>
              <w:bottom w:val="single" w:sz="4" w:space="0" w:color="auto"/>
              <w:right w:val="single" w:sz="4" w:space="0" w:color="auto"/>
            </w:tcBorders>
            <w:noWrap/>
            <w:vAlign w:val="bottom"/>
            <w:hideMark/>
          </w:tcPr>
          <w:p w14:paraId="3FF9DB1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w:t>
            </w:r>
          </w:p>
        </w:tc>
        <w:tc>
          <w:tcPr>
            <w:tcW w:w="897" w:type="pct"/>
            <w:tcBorders>
              <w:top w:val="nil"/>
              <w:left w:val="nil"/>
              <w:bottom w:val="single" w:sz="4" w:space="0" w:color="auto"/>
              <w:right w:val="single" w:sz="4" w:space="0" w:color="auto"/>
            </w:tcBorders>
            <w:noWrap/>
            <w:vAlign w:val="bottom"/>
            <w:hideMark/>
          </w:tcPr>
          <w:p w14:paraId="6F55FD6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0.925925926</w:t>
            </w:r>
          </w:p>
        </w:tc>
        <w:tc>
          <w:tcPr>
            <w:tcW w:w="897" w:type="pct"/>
            <w:tcBorders>
              <w:top w:val="nil"/>
              <w:left w:val="nil"/>
              <w:bottom w:val="single" w:sz="4" w:space="0" w:color="auto"/>
              <w:right w:val="single" w:sz="4" w:space="0" w:color="auto"/>
            </w:tcBorders>
            <w:noWrap/>
            <w:vAlign w:val="bottom"/>
            <w:hideMark/>
          </w:tcPr>
          <w:p w14:paraId="50E75DA4"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4.62962963</w:t>
            </w:r>
          </w:p>
        </w:tc>
        <w:tc>
          <w:tcPr>
            <w:tcW w:w="837" w:type="pct"/>
            <w:tcBorders>
              <w:top w:val="nil"/>
              <w:left w:val="nil"/>
              <w:bottom w:val="single" w:sz="4" w:space="0" w:color="auto"/>
              <w:right w:val="single" w:sz="4" w:space="0" w:color="auto"/>
            </w:tcBorders>
            <w:noWrap/>
            <w:vAlign w:val="bottom"/>
            <w:hideMark/>
          </w:tcPr>
          <w:p w14:paraId="570034E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-45</w:t>
            </w:r>
          </w:p>
        </w:tc>
        <w:tc>
          <w:tcPr>
            <w:tcW w:w="941" w:type="pct"/>
            <w:tcBorders>
              <w:top w:val="nil"/>
              <w:left w:val="nil"/>
              <w:bottom w:val="single" w:sz="4" w:space="0" w:color="auto"/>
              <w:right w:val="single" w:sz="4" w:space="0" w:color="auto"/>
            </w:tcBorders>
            <w:noWrap/>
            <w:vAlign w:val="bottom"/>
            <w:hideMark/>
          </w:tcPr>
          <w:p w14:paraId="3DFAFB2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-44.07407407</w:t>
            </w:r>
          </w:p>
        </w:tc>
      </w:tr>
      <w:tr w:rsidR="00FE53F0" w:rsidRPr="00044085" w14:paraId="76357569" w14:textId="77777777" w:rsidTr="00044085">
        <w:trPr>
          <w:trHeight w:val="300"/>
        </w:trPr>
        <w:tc>
          <w:tcPr>
            <w:tcW w:w="713" w:type="pct"/>
            <w:tcBorders>
              <w:top w:val="nil"/>
              <w:left w:val="single" w:sz="4" w:space="0" w:color="auto"/>
              <w:bottom w:val="single" w:sz="4" w:space="0" w:color="auto"/>
              <w:right w:val="single" w:sz="4" w:space="0" w:color="auto"/>
            </w:tcBorders>
            <w:noWrap/>
            <w:vAlign w:val="bottom"/>
            <w:hideMark/>
          </w:tcPr>
          <w:p w14:paraId="4FEC9FA2"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w:t>
            </w:r>
          </w:p>
        </w:tc>
        <w:tc>
          <w:tcPr>
            <w:tcW w:w="714" w:type="pct"/>
            <w:tcBorders>
              <w:top w:val="nil"/>
              <w:left w:val="nil"/>
              <w:bottom w:val="single" w:sz="4" w:space="0" w:color="auto"/>
              <w:right w:val="single" w:sz="4" w:space="0" w:color="auto"/>
            </w:tcBorders>
            <w:noWrap/>
            <w:vAlign w:val="bottom"/>
            <w:hideMark/>
          </w:tcPr>
          <w:p w14:paraId="43B4F5AC"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w:t>
            </w:r>
          </w:p>
        </w:tc>
        <w:tc>
          <w:tcPr>
            <w:tcW w:w="897" w:type="pct"/>
            <w:tcBorders>
              <w:top w:val="nil"/>
              <w:left w:val="nil"/>
              <w:bottom w:val="single" w:sz="4" w:space="0" w:color="auto"/>
              <w:right w:val="single" w:sz="4" w:space="0" w:color="auto"/>
            </w:tcBorders>
            <w:noWrap/>
            <w:vAlign w:val="bottom"/>
            <w:hideMark/>
          </w:tcPr>
          <w:p w14:paraId="1041AFF0"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0.85733882</w:t>
            </w:r>
          </w:p>
        </w:tc>
        <w:tc>
          <w:tcPr>
            <w:tcW w:w="897" w:type="pct"/>
            <w:tcBorders>
              <w:top w:val="nil"/>
              <w:left w:val="nil"/>
              <w:bottom w:val="single" w:sz="4" w:space="0" w:color="auto"/>
              <w:right w:val="single" w:sz="4" w:space="0" w:color="auto"/>
            </w:tcBorders>
            <w:noWrap/>
            <w:vAlign w:val="bottom"/>
            <w:hideMark/>
          </w:tcPr>
          <w:p w14:paraId="4307459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8.573388203</w:t>
            </w:r>
          </w:p>
        </w:tc>
        <w:tc>
          <w:tcPr>
            <w:tcW w:w="837" w:type="pct"/>
            <w:tcBorders>
              <w:top w:val="nil"/>
              <w:left w:val="nil"/>
              <w:bottom w:val="single" w:sz="4" w:space="0" w:color="auto"/>
              <w:right w:val="single" w:sz="4" w:space="0" w:color="auto"/>
            </w:tcBorders>
            <w:noWrap/>
            <w:vAlign w:val="bottom"/>
            <w:hideMark/>
          </w:tcPr>
          <w:p w14:paraId="090626BA"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-35</w:t>
            </w:r>
          </w:p>
        </w:tc>
        <w:tc>
          <w:tcPr>
            <w:tcW w:w="941" w:type="pct"/>
            <w:tcBorders>
              <w:top w:val="nil"/>
              <w:left w:val="nil"/>
              <w:bottom w:val="single" w:sz="4" w:space="0" w:color="auto"/>
              <w:right w:val="single" w:sz="4" w:space="0" w:color="auto"/>
            </w:tcBorders>
            <w:noWrap/>
            <w:vAlign w:val="bottom"/>
            <w:hideMark/>
          </w:tcPr>
          <w:p w14:paraId="4C0851C3"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-34.14266118</w:t>
            </w:r>
          </w:p>
        </w:tc>
      </w:tr>
      <w:tr w:rsidR="00FE53F0" w:rsidRPr="00044085" w14:paraId="675DE87D" w14:textId="77777777" w:rsidTr="00044085">
        <w:trPr>
          <w:trHeight w:val="300"/>
        </w:trPr>
        <w:tc>
          <w:tcPr>
            <w:tcW w:w="713" w:type="pct"/>
            <w:tcBorders>
              <w:top w:val="nil"/>
              <w:left w:val="single" w:sz="4" w:space="0" w:color="auto"/>
              <w:bottom w:val="single" w:sz="4" w:space="0" w:color="auto"/>
              <w:right w:val="single" w:sz="4" w:space="0" w:color="auto"/>
            </w:tcBorders>
            <w:noWrap/>
            <w:vAlign w:val="bottom"/>
            <w:hideMark/>
          </w:tcPr>
          <w:p w14:paraId="7BE63999"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w:t>
            </w:r>
          </w:p>
        </w:tc>
        <w:tc>
          <w:tcPr>
            <w:tcW w:w="714" w:type="pct"/>
            <w:tcBorders>
              <w:top w:val="nil"/>
              <w:left w:val="nil"/>
              <w:bottom w:val="single" w:sz="4" w:space="0" w:color="auto"/>
              <w:right w:val="single" w:sz="4" w:space="0" w:color="auto"/>
            </w:tcBorders>
            <w:noWrap/>
            <w:vAlign w:val="bottom"/>
            <w:hideMark/>
          </w:tcPr>
          <w:p w14:paraId="4A3C978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20</w:t>
            </w:r>
          </w:p>
        </w:tc>
        <w:tc>
          <w:tcPr>
            <w:tcW w:w="897" w:type="pct"/>
            <w:tcBorders>
              <w:top w:val="nil"/>
              <w:left w:val="nil"/>
              <w:bottom w:val="single" w:sz="4" w:space="0" w:color="auto"/>
              <w:right w:val="single" w:sz="4" w:space="0" w:color="auto"/>
            </w:tcBorders>
            <w:noWrap/>
            <w:vAlign w:val="bottom"/>
            <w:hideMark/>
          </w:tcPr>
          <w:p w14:paraId="118E9E2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0.793832241</w:t>
            </w:r>
          </w:p>
        </w:tc>
        <w:tc>
          <w:tcPr>
            <w:tcW w:w="897" w:type="pct"/>
            <w:tcBorders>
              <w:top w:val="nil"/>
              <w:left w:val="nil"/>
              <w:bottom w:val="single" w:sz="4" w:space="0" w:color="auto"/>
              <w:right w:val="single" w:sz="4" w:space="0" w:color="auto"/>
            </w:tcBorders>
            <w:noWrap/>
            <w:vAlign w:val="bottom"/>
            <w:hideMark/>
          </w:tcPr>
          <w:p w14:paraId="275695F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15.87664482</w:t>
            </w:r>
          </w:p>
        </w:tc>
        <w:tc>
          <w:tcPr>
            <w:tcW w:w="837" w:type="pct"/>
            <w:tcBorders>
              <w:top w:val="nil"/>
              <w:left w:val="nil"/>
              <w:bottom w:val="single" w:sz="4" w:space="0" w:color="auto"/>
              <w:right w:val="single" w:sz="4" w:space="0" w:color="auto"/>
            </w:tcBorders>
            <w:noWrap/>
            <w:vAlign w:val="bottom"/>
            <w:hideMark/>
          </w:tcPr>
          <w:p w14:paraId="3FC3DD0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w:t>
            </w:r>
          </w:p>
        </w:tc>
        <w:tc>
          <w:tcPr>
            <w:tcW w:w="941" w:type="pct"/>
            <w:tcBorders>
              <w:top w:val="nil"/>
              <w:left w:val="nil"/>
              <w:bottom w:val="single" w:sz="4" w:space="0" w:color="auto"/>
              <w:right w:val="single" w:sz="4" w:space="0" w:color="auto"/>
            </w:tcBorders>
            <w:noWrap/>
            <w:vAlign w:val="bottom"/>
            <w:hideMark/>
          </w:tcPr>
          <w:p w14:paraId="580232A6"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-14.20616776</w:t>
            </w:r>
          </w:p>
        </w:tc>
      </w:tr>
      <w:tr w:rsidR="00FE53F0" w:rsidRPr="00044085" w14:paraId="4F187CFB" w14:textId="77777777" w:rsidTr="00044085">
        <w:trPr>
          <w:trHeight w:val="300"/>
        </w:trPr>
        <w:tc>
          <w:tcPr>
            <w:tcW w:w="713" w:type="pct"/>
            <w:tcBorders>
              <w:top w:val="nil"/>
              <w:left w:val="single" w:sz="4" w:space="0" w:color="auto"/>
              <w:bottom w:val="single" w:sz="4" w:space="0" w:color="auto"/>
              <w:right w:val="single" w:sz="4" w:space="0" w:color="auto"/>
            </w:tcBorders>
            <w:noWrap/>
            <w:vAlign w:val="bottom"/>
            <w:hideMark/>
          </w:tcPr>
          <w:p w14:paraId="18ACE99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4</w:t>
            </w:r>
          </w:p>
        </w:tc>
        <w:tc>
          <w:tcPr>
            <w:tcW w:w="714" w:type="pct"/>
            <w:tcBorders>
              <w:top w:val="nil"/>
              <w:left w:val="nil"/>
              <w:bottom w:val="single" w:sz="4" w:space="0" w:color="auto"/>
              <w:right w:val="single" w:sz="4" w:space="0" w:color="auto"/>
            </w:tcBorders>
            <w:noWrap/>
            <w:vAlign w:val="bottom"/>
            <w:hideMark/>
          </w:tcPr>
          <w:p w14:paraId="3C8AFC9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25</w:t>
            </w:r>
          </w:p>
        </w:tc>
        <w:tc>
          <w:tcPr>
            <w:tcW w:w="897" w:type="pct"/>
            <w:tcBorders>
              <w:top w:val="nil"/>
              <w:left w:val="nil"/>
              <w:bottom w:val="single" w:sz="4" w:space="0" w:color="auto"/>
              <w:right w:val="single" w:sz="4" w:space="0" w:color="auto"/>
            </w:tcBorders>
            <w:noWrap/>
            <w:vAlign w:val="bottom"/>
            <w:hideMark/>
          </w:tcPr>
          <w:p w14:paraId="3B08C41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0.735029853</w:t>
            </w:r>
          </w:p>
        </w:tc>
        <w:tc>
          <w:tcPr>
            <w:tcW w:w="897" w:type="pct"/>
            <w:tcBorders>
              <w:top w:val="nil"/>
              <w:left w:val="nil"/>
              <w:bottom w:val="single" w:sz="4" w:space="0" w:color="auto"/>
              <w:right w:val="single" w:sz="4" w:space="0" w:color="auto"/>
            </w:tcBorders>
            <w:noWrap/>
            <w:vAlign w:val="bottom"/>
            <w:hideMark/>
          </w:tcPr>
          <w:p w14:paraId="5A573F4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18.37574632</w:t>
            </w:r>
          </w:p>
        </w:tc>
        <w:tc>
          <w:tcPr>
            <w:tcW w:w="837" w:type="pct"/>
            <w:tcBorders>
              <w:top w:val="nil"/>
              <w:left w:val="nil"/>
              <w:bottom w:val="single" w:sz="4" w:space="0" w:color="auto"/>
              <w:right w:val="single" w:sz="4" w:space="0" w:color="auto"/>
            </w:tcBorders>
            <w:noWrap/>
            <w:vAlign w:val="bottom"/>
            <w:hideMark/>
          </w:tcPr>
          <w:p w14:paraId="60247FD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w:t>
            </w:r>
          </w:p>
        </w:tc>
        <w:tc>
          <w:tcPr>
            <w:tcW w:w="941" w:type="pct"/>
            <w:tcBorders>
              <w:top w:val="nil"/>
              <w:left w:val="nil"/>
              <w:bottom w:val="single" w:sz="4" w:space="0" w:color="auto"/>
              <w:right w:val="single" w:sz="4" w:space="0" w:color="auto"/>
            </w:tcBorders>
            <w:noWrap/>
            <w:vAlign w:val="bottom"/>
            <w:hideMark/>
          </w:tcPr>
          <w:p w14:paraId="7348E8D1"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10.73502985</w:t>
            </w:r>
          </w:p>
        </w:tc>
      </w:tr>
      <w:tr w:rsidR="00FE53F0" w:rsidRPr="00044085" w14:paraId="3CA14CF2" w14:textId="77777777" w:rsidTr="00044085">
        <w:trPr>
          <w:trHeight w:val="300"/>
        </w:trPr>
        <w:tc>
          <w:tcPr>
            <w:tcW w:w="713" w:type="pct"/>
            <w:tcBorders>
              <w:top w:val="nil"/>
              <w:left w:val="single" w:sz="4" w:space="0" w:color="auto"/>
              <w:bottom w:val="single" w:sz="4" w:space="0" w:color="auto"/>
              <w:right w:val="single" w:sz="4" w:space="0" w:color="auto"/>
            </w:tcBorders>
            <w:noWrap/>
            <w:vAlign w:val="bottom"/>
            <w:hideMark/>
          </w:tcPr>
          <w:p w14:paraId="797F881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w:t>
            </w:r>
          </w:p>
        </w:tc>
        <w:tc>
          <w:tcPr>
            <w:tcW w:w="714" w:type="pct"/>
            <w:tcBorders>
              <w:top w:val="nil"/>
              <w:left w:val="nil"/>
              <w:bottom w:val="single" w:sz="4" w:space="0" w:color="auto"/>
              <w:right w:val="single" w:sz="4" w:space="0" w:color="auto"/>
            </w:tcBorders>
            <w:noWrap/>
            <w:vAlign w:val="bottom"/>
            <w:hideMark/>
          </w:tcPr>
          <w:p w14:paraId="2C95C60F"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w:t>
            </w:r>
          </w:p>
        </w:tc>
        <w:tc>
          <w:tcPr>
            <w:tcW w:w="897" w:type="pct"/>
            <w:tcBorders>
              <w:top w:val="nil"/>
              <w:left w:val="nil"/>
              <w:bottom w:val="single" w:sz="4" w:space="0" w:color="auto"/>
              <w:right w:val="single" w:sz="4" w:space="0" w:color="auto"/>
            </w:tcBorders>
            <w:noWrap/>
            <w:vAlign w:val="bottom"/>
            <w:hideMark/>
          </w:tcPr>
          <w:p w14:paraId="08DBFB4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0.680583197</w:t>
            </w:r>
          </w:p>
        </w:tc>
        <w:tc>
          <w:tcPr>
            <w:tcW w:w="897" w:type="pct"/>
            <w:tcBorders>
              <w:top w:val="nil"/>
              <w:left w:val="nil"/>
              <w:bottom w:val="single" w:sz="4" w:space="0" w:color="auto"/>
              <w:right w:val="single" w:sz="4" w:space="0" w:color="auto"/>
            </w:tcBorders>
            <w:noWrap/>
            <w:vAlign w:val="bottom"/>
            <w:hideMark/>
          </w:tcPr>
          <w:p w14:paraId="7A44883E"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3.402915985</w:t>
            </w:r>
          </w:p>
        </w:tc>
        <w:tc>
          <w:tcPr>
            <w:tcW w:w="837" w:type="pct"/>
            <w:tcBorders>
              <w:top w:val="nil"/>
              <w:left w:val="nil"/>
              <w:bottom w:val="single" w:sz="4" w:space="0" w:color="auto"/>
              <w:right w:val="single" w:sz="4" w:space="0" w:color="auto"/>
            </w:tcBorders>
            <w:noWrap/>
            <w:vAlign w:val="bottom"/>
            <w:hideMark/>
          </w:tcPr>
          <w:p w14:paraId="322BB97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w:t>
            </w:r>
          </w:p>
        </w:tc>
        <w:tc>
          <w:tcPr>
            <w:tcW w:w="941" w:type="pct"/>
            <w:tcBorders>
              <w:top w:val="nil"/>
              <w:left w:val="nil"/>
              <w:bottom w:val="single" w:sz="4" w:space="0" w:color="auto"/>
              <w:right w:val="single" w:sz="4" w:space="0" w:color="auto"/>
            </w:tcBorders>
            <w:noWrap/>
            <w:vAlign w:val="bottom"/>
            <w:hideMark/>
          </w:tcPr>
          <w:p w14:paraId="52770FAD"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15.6805832</w:t>
            </w:r>
          </w:p>
        </w:tc>
      </w:tr>
      <w:tr w:rsidR="00FE53F0" w:rsidRPr="00044085" w14:paraId="16116027" w14:textId="77777777" w:rsidTr="00044085">
        <w:trPr>
          <w:trHeight w:val="300"/>
        </w:trPr>
        <w:tc>
          <w:tcPr>
            <w:tcW w:w="4059" w:type="pct"/>
            <w:gridSpan w:val="5"/>
            <w:tcBorders>
              <w:top w:val="single" w:sz="4" w:space="0" w:color="auto"/>
              <w:left w:val="single" w:sz="4" w:space="0" w:color="auto"/>
              <w:bottom w:val="single" w:sz="4" w:space="0" w:color="auto"/>
              <w:right w:val="single" w:sz="4" w:space="0" w:color="auto"/>
            </w:tcBorders>
            <w:noWrap/>
            <w:vAlign w:val="bottom"/>
            <w:hideMark/>
          </w:tcPr>
          <w:p w14:paraId="1311A560"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lastRenderedPageBreak/>
              <w:t>Payback Period (PBP)</w:t>
            </w:r>
          </w:p>
        </w:tc>
        <w:tc>
          <w:tcPr>
            <w:tcW w:w="941" w:type="pct"/>
            <w:tcBorders>
              <w:top w:val="nil"/>
              <w:left w:val="nil"/>
              <w:bottom w:val="single" w:sz="4" w:space="0" w:color="auto"/>
              <w:right w:val="single" w:sz="4" w:space="0" w:color="auto"/>
            </w:tcBorders>
            <w:noWrap/>
            <w:vAlign w:val="bottom"/>
            <w:hideMark/>
          </w:tcPr>
          <w:p w14:paraId="270215F7"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7.675149264</w:t>
            </w:r>
          </w:p>
        </w:tc>
      </w:tr>
      <w:tr w:rsidR="00FE53F0" w:rsidRPr="00044085" w14:paraId="5EB59221" w14:textId="77777777" w:rsidTr="00044085">
        <w:trPr>
          <w:trHeight w:val="300"/>
        </w:trPr>
        <w:tc>
          <w:tcPr>
            <w:tcW w:w="4059" w:type="pct"/>
            <w:gridSpan w:val="5"/>
            <w:tcBorders>
              <w:top w:val="single" w:sz="4" w:space="0" w:color="auto"/>
              <w:left w:val="single" w:sz="4" w:space="0" w:color="auto"/>
              <w:bottom w:val="single" w:sz="4" w:space="0" w:color="auto"/>
              <w:right w:val="single" w:sz="4" w:space="0" w:color="auto"/>
            </w:tcBorders>
            <w:noWrap/>
            <w:vAlign w:val="bottom"/>
            <w:hideMark/>
          </w:tcPr>
          <w:p w14:paraId="33A26D38"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Accounting Rate of Return (ARR)</w:t>
            </w:r>
          </w:p>
        </w:tc>
        <w:tc>
          <w:tcPr>
            <w:tcW w:w="941" w:type="pct"/>
            <w:tcBorders>
              <w:top w:val="nil"/>
              <w:left w:val="nil"/>
              <w:bottom w:val="single" w:sz="4" w:space="0" w:color="auto"/>
              <w:right w:val="single" w:sz="4" w:space="0" w:color="auto"/>
            </w:tcBorders>
            <w:noWrap/>
            <w:vAlign w:val="bottom"/>
            <w:hideMark/>
          </w:tcPr>
          <w:p w14:paraId="7944C7E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52%</w:t>
            </w:r>
          </w:p>
        </w:tc>
      </w:tr>
      <w:tr w:rsidR="00FE53F0" w:rsidRPr="00044085" w14:paraId="4DDD19B9" w14:textId="77777777" w:rsidTr="00044085">
        <w:trPr>
          <w:trHeight w:val="300"/>
        </w:trPr>
        <w:tc>
          <w:tcPr>
            <w:tcW w:w="4059" w:type="pct"/>
            <w:gridSpan w:val="5"/>
            <w:tcBorders>
              <w:top w:val="single" w:sz="4" w:space="0" w:color="auto"/>
              <w:left w:val="single" w:sz="4" w:space="0" w:color="auto"/>
              <w:bottom w:val="single" w:sz="4" w:space="0" w:color="auto"/>
              <w:right w:val="single" w:sz="4" w:space="0" w:color="auto"/>
            </w:tcBorders>
            <w:noWrap/>
            <w:vAlign w:val="bottom"/>
            <w:hideMark/>
          </w:tcPr>
          <w:p w14:paraId="76B3D23A"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Net Present Value (NPV)</w:t>
            </w:r>
          </w:p>
        </w:tc>
        <w:tc>
          <w:tcPr>
            <w:tcW w:w="941" w:type="pct"/>
            <w:tcBorders>
              <w:top w:val="nil"/>
              <w:left w:val="nil"/>
              <w:bottom w:val="single" w:sz="4" w:space="0" w:color="auto"/>
              <w:right w:val="single" w:sz="4" w:space="0" w:color="auto"/>
            </w:tcBorders>
            <w:noWrap/>
            <w:vAlign w:val="bottom"/>
            <w:hideMark/>
          </w:tcPr>
          <w:p w14:paraId="6B94FDE5"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 xml:space="preserve">$0.86 </w:t>
            </w:r>
          </w:p>
        </w:tc>
      </w:tr>
      <w:tr w:rsidR="00FE53F0" w:rsidRPr="00044085" w14:paraId="5EAB190E" w14:textId="77777777" w:rsidTr="00044085">
        <w:trPr>
          <w:trHeight w:val="300"/>
        </w:trPr>
        <w:tc>
          <w:tcPr>
            <w:tcW w:w="4059" w:type="pct"/>
            <w:gridSpan w:val="5"/>
            <w:tcBorders>
              <w:top w:val="single" w:sz="4" w:space="0" w:color="auto"/>
              <w:left w:val="single" w:sz="4" w:space="0" w:color="auto"/>
              <w:bottom w:val="single" w:sz="4" w:space="0" w:color="auto"/>
              <w:right w:val="single" w:sz="4" w:space="0" w:color="auto"/>
            </w:tcBorders>
            <w:noWrap/>
            <w:vAlign w:val="bottom"/>
            <w:hideMark/>
          </w:tcPr>
          <w:p w14:paraId="3630BED3"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Profitability Index (PI)</w:t>
            </w:r>
          </w:p>
        </w:tc>
        <w:tc>
          <w:tcPr>
            <w:tcW w:w="941" w:type="pct"/>
            <w:tcBorders>
              <w:top w:val="nil"/>
              <w:left w:val="nil"/>
              <w:bottom w:val="single" w:sz="4" w:space="0" w:color="auto"/>
              <w:right w:val="single" w:sz="4" w:space="0" w:color="auto"/>
            </w:tcBorders>
            <w:noWrap/>
            <w:vAlign w:val="bottom"/>
            <w:hideMark/>
          </w:tcPr>
          <w:p w14:paraId="07157EB8"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1.3</w:t>
            </w:r>
          </w:p>
        </w:tc>
      </w:tr>
      <w:tr w:rsidR="00FE53F0" w:rsidRPr="00044085" w14:paraId="0167CBAD" w14:textId="77777777" w:rsidTr="00044085">
        <w:trPr>
          <w:trHeight w:val="300"/>
        </w:trPr>
        <w:tc>
          <w:tcPr>
            <w:tcW w:w="4059" w:type="pct"/>
            <w:gridSpan w:val="5"/>
            <w:tcBorders>
              <w:top w:val="single" w:sz="4" w:space="0" w:color="auto"/>
              <w:left w:val="single" w:sz="4" w:space="0" w:color="auto"/>
              <w:bottom w:val="single" w:sz="4" w:space="0" w:color="auto"/>
              <w:right w:val="single" w:sz="4" w:space="0" w:color="auto"/>
            </w:tcBorders>
            <w:noWrap/>
            <w:vAlign w:val="bottom"/>
            <w:hideMark/>
          </w:tcPr>
          <w:p w14:paraId="64ED2179" w14:textId="77777777" w:rsidR="00FE53F0" w:rsidRPr="00044085" w:rsidRDefault="00FE53F0" w:rsidP="00FE53F0">
            <w:pPr>
              <w:spacing w:after="240" w:line="360" w:lineRule="auto"/>
              <w:rPr>
                <w:rFonts w:eastAsia="Times New Roman"/>
                <w:b/>
                <w:bCs/>
                <w:color w:val="000000"/>
                <w:sz w:val="24"/>
                <w:szCs w:val="24"/>
              </w:rPr>
            </w:pPr>
            <w:r w:rsidRPr="00044085">
              <w:rPr>
                <w:rFonts w:eastAsia="Times New Roman"/>
                <w:b/>
                <w:bCs/>
                <w:color w:val="000000"/>
                <w:sz w:val="24"/>
                <w:szCs w:val="24"/>
              </w:rPr>
              <w:t>Internal Rate of Return (IRR)</w:t>
            </w:r>
          </w:p>
        </w:tc>
        <w:tc>
          <w:tcPr>
            <w:tcW w:w="941" w:type="pct"/>
            <w:tcBorders>
              <w:top w:val="nil"/>
              <w:left w:val="nil"/>
              <w:bottom w:val="single" w:sz="4" w:space="0" w:color="auto"/>
              <w:right w:val="single" w:sz="4" w:space="0" w:color="auto"/>
            </w:tcBorders>
            <w:noWrap/>
            <w:vAlign w:val="bottom"/>
            <w:hideMark/>
          </w:tcPr>
          <w:p w14:paraId="782A14AB" w14:textId="77777777" w:rsidR="00FE53F0" w:rsidRPr="00044085" w:rsidRDefault="00FE53F0" w:rsidP="00FE53F0">
            <w:pPr>
              <w:spacing w:after="240" w:line="360" w:lineRule="auto"/>
              <w:jc w:val="right"/>
              <w:rPr>
                <w:rFonts w:eastAsia="Times New Roman"/>
                <w:color w:val="000000"/>
                <w:sz w:val="24"/>
                <w:szCs w:val="24"/>
              </w:rPr>
            </w:pPr>
            <w:r w:rsidRPr="00044085">
              <w:rPr>
                <w:rFonts w:eastAsia="Times New Roman"/>
                <w:color w:val="000000"/>
                <w:sz w:val="24"/>
                <w:szCs w:val="24"/>
              </w:rPr>
              <w:t>9%</w:t>
            </w:r>
          </w:p>
        </w:tc>
      </w:tr>
    </w:tbl>
    <w:p w14:paraId="7F8AE253" w14:textId="77777777" w:rsidR="00FE53F0" w:rsidRPr="00044085" w:rsidRDefault="00FE53F0">
      <w:pPr>
        <w:spacing w:after="200" w:line="360" w:lineRule="auto"/>
        <w:jc w:val="both"/>
        <w:rPr>
          <w:rFonts w:eastAsia="Times New Roman"/>
          <w:sz w:val="24"/>
          <w:szCs w:val="24"/>
        </w:rPr>
      </w:pPr>
    </w:p>
    <w:sectPr w:rsidR="00FE53F0" w:rsidRPr="00044085" w:rsidSect="00044085">
      <w:footerReference w:type="default" r:id="rId5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BF43C" w14:textId="77777777" w:rsidR="00BB5DC8" w:rsidRDefault="00BB5DC8" w:rsidP="00FE53F0">
      <w:pPr>
        <w:spacing w:line="240" w:lineRule="auto"/>
      </w:pPr>
      <w:r>
        <w:separator/>
      </w:r>
    </w:p>
  </w:endnote>
  <w:endnote w:type="continuationSeparator" w:id="0">
    <w:p w14:paraId="3C1E1EAF" w14:textId="77777777" w:rsidR="00BB5DC8" w:rsidRDefault="00BB5DC8" w:rsidP="00FE53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BDFEBFEE-AA3F-4331-93D1-C4D8000C5303}"/>
  </w:font>
  <w:font w:name="Cambria">
    <w:panose1 w:val="02040503050406030204"/>
    <w:charset w:val="00"/>
    <w:family w:val="roman"/>
    <w:pitch w:val="variable"/>
    <w:sig w:usb0="E00006FF" w:usb1="420024FF" w:usb2="02000000" w:usb3="00000000" w:csb0="0000019F" w:csb1="00000000"/>
    <w:embedRegular r:id="rId2" w:fontKey="{4F5B4B6D-0786-4668-A56F-A894608D29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679023993"/>
      <w:docPartObj>
        <w:docPartGallery w:val="Page Numbers (Bottom of Page)"/>
        <w:docPartUnique/>
      </w:docPartObj>
    </w:sdtPr>
    <w:sdtEndPr>
      <w:rPr>
        <w:noProof/>
      </w:rPr>
    </w:sdtEndPr>
    <w:sdtContent>
      <w:p w14:paraId="6F0C026B" w14:textId="0972BA8D" w:rsidR="00044085" w:rsidRPr="00044085" w:rsidRDefault="00044085" w:rsidP="00044085">
        <w:pPr>
          <w:pStyle w:val="Footer"/>
          <w:jc w:val="right"/>
          <w:rPr>
            <w:sz w:val="20"/>
          </w:rPr>
        </w:pPr>
        <w:r w:rsidRPr="00044085">
          <w:rPr>
            <w:sz w:val="20"/>
          </w:rPr>
          <w:fldChar w:fldCharType="begin"/>
        </w:r>
        <w:r w:rsidRPr="00044085">
          <w:rPr>
            <w:sz w:val="20"/>
          </w:rPr>
          <w:instrText xml:space="preserve"> PAGE   \* MERGEFORMAT </w:instrText>
        </w:r>
        <w:r w:rsidRPr="00044085">
          <w:rPr>
            <w:sz w:val="20"/>
          </w:rPr>
          <w:fldChar w:fldCharType="separate"/>
        </w:r>
        <w:r w:rsidR="001417C2">
          <w:rPr>
            <w:noProof/>
            <w:sz w:val="20"/>
          </w:rPr>
          <w:t>22</w:t>
        </w:r>
        <w:r w:rsidRPr="00044085">
          <w:rPr>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89871" w14:textId="77777777" w:rsidR="00BB5DC8" w:rsidRDefault="00BB5DC8" w:rsidP="00FE53F0">
      <w:pPr>
        <w:spacing w:line="240" w:lineRule="auto"/>
      </w:pPr>
      <w:r>
        <w:separator/>
      </w:r>
    </w:p>
  </w:footnote>
  <w:footnote w:type="continuationSeparator" w:id="0">
    <w:p w14:paraId="1C8802A7" w14:textId="77777777" w:rsidR="00BB5DC8" w:rsidRDefault="00BB5DC8" w:rsidP="00FE53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998"/>
    <w:rsid w:val="00044085"/>
    <w:rsid w:val="000D1950"/>
    <w:rsid w:val="001417C2"/>
    <w:rsid w:val="001E144B"/>
    <w:rsid w:val="00207B85"/>
    <w:rsid w:val="00253D73"/>
    <w:rsid w:val="003C08ED"/>
    <w:rsid w:val="003C436E"/>
    <w:rsid w:val="00401998"/>
    <w:rsid w:val="004F3B2C"/>
    <w:rsid w:val="005A0314"/>
    <w:rsid w:val="00723378"/>
    <w:rsid w:val="00763EC6"/>
    <w:rsid w:val="00801E7E"/>
    <w:rsid w:val="009D3BB7"/>
    <w:rsid w:val="009F24E2"/>
    <w:rsid w:val="00AB5CEA"/>
    <w:rsid w:val="00AF5084"/>
    <w:rsid w:val="00BB5DC8"/>
    <w:rsid w:val="00C87B1F"/>
    <w:rsid w:val="00CE5B57"/>
    <w:rsid w:val="00F15A3A"/>
    <w:rsid w:val="00F64F19"/>
    <w:rsid w:val="00F868D9"/>
    <w:rsid w:val="00FB2C88"/>
    <w:rsid w:val="00FE53F0"/>
    <w:rsid w:val="00FE7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2B281"/>
  <w15:docId w15:val="{34914173-E688-4D29-A7A7-E911BC49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3F0"/>
  </w:style>
  <w:style w:type="paragraph" w:styleId="Heading1">
    <w:name w:val="heading 1"/>
    <w:basedOn w:val="Normal"/>
    <w:next w:val="Normal"/>
    <w:uiPriority w:val="9"/>
    <w:qFormat/>
    <w:rsid w:val="00044085"/>
    <w:pPr>
      <w:keepNext/>
      <w:keepLines/>
      <w:spacing w:before="120" w:after="120" w:line="360" w:lineRule="auto"/>
      <w:jc w:val="both"/>
      <w:outlineLvl w:val="0"/>
    </w:pPr>
    <w:rPr>
      <w:b/>
      <w:sz w:val="28"/>
      <w:szCs w:val="40"/>
    </w:rPr>
  </w:style>
  <w:style w:type="paragraph" w:styleId="Heading2">
    <w:name w:val="heading 2"/>
    <w:basedOn w:val="Normal"/>
    <w:next w:val="Normal"/>
    <w:uiPriority w:val="9"/>
    <w:unhideWhenUsed/>
    <w:qFormat/>
    <w:rsid w:val="00044085"/>
    <w:pPr>
      <w:keepNext/>
      <w:keepLines/>
      <w:spacing w:before="12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FE53F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53F0"/>
    <w:pPr>
      <w:tabs>
        <w:tab w:val="center" w:pos="4680"/>
        <w:tab w:val="right" w:pos="9360"/>
      </w:tabs>
      <w:spacing w:line="240" w:lineRule="auto"/>
    </w:pPr>
  </w:style>
  <w:style w:type="character" w:customStyle="1" w:styleId="HeaderChar">
    <w:name w:val="Header Char"/>
    <w:basedOn w:val="DefaultParagraphFont"/>
    <w:link w:val="Header"/>
    <w:uiPriority w:val="99"/>
    <w:rsid w:val="00FE53F0"/>
  </w:style>
  <w:style w:type="paragraph" w:styleId="Footer">
    <w:name w:val="footer"/>
    <w:basedOn w:val="Normal"/>
    <w:link w:val="FooterChar"/>
    <w:uiPriority w:val="99"/>
    <w:unhideWhenUsed/>
    <w:rsid w:val="00FE53F0"/>
    <w:pPr>
      <w:tabs>
        <w:tab w:val="center" w:pos="4680"/>
        <w:tab w:val="right" w:pos="9360"/>
      </w:tabs>
      <w:spacing w:line="240" w:lineRule="auto"/>
    </w:pPr>
  </w:style>
  <w:style w:type="character" w:customStyle="1" w:styleId="FooterChar">
    <w:name w:val="Footer Char"/>
    <w:basedOn w:val="DefaultParagraphFont"/>
    <w:link w:val="Footer"/>
    <w:uiPriority w:val="99"/>
    <w:rsid w:val="00FE53F0"/>
  </w:style>
  <w:style w:type="paragraph" w:styleId="TOCHeading">
    <w:name w:val="TOC Heading"/>
    <w:basedOn w:val="Heading1"/>
    <w:next w:val="Normal"/>
    <w:uiPriority w:val="39"/>
    <w:unhideWhenUsed/>
    <w:qFormat/>
    <w:rsid w:val="000D195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D1950"/>
    <w:pPr>
      <w:spacing w:after="100"/>
    </w:pPr>
  </w:style>
  <w:style w:type="paragraph" w:styleId="TOC2">
    <w:name w:val="toc 2"/>
    <w:basedOn w:val="Normal"/>
    <w:next w:val="Normal"/>
    <w:autoRedefine/>
    <w:uiPriority w:val="39"/>
    <w:unhideWhenUsed/>
    <w:rsid w:val="000D1950"/>
    <w:pPr>
      <w:spacing w:after="100"/>
      <w:ind w:left="220"/>
    </w:pPr>
  </w:style>
  <w:style w:type="character" w:styleId="Hyperlink">
    <w:name w:val="Hyperlink"/>
    <w:basedOn w:val="DefaultParagraphFont"/>
    <w:uiPriority w:val="99"/>
    <w:unhideWhenUsed/>
    <w:rsid w:val="000D1950"/>
    <w:rPr>
      <w:color w:val="0000FF" w:themeColor="hyperlink"/>
      <w:u w:val="single"/>
    </w:rPr>
  </w:style>
  <w:style w:type="paragraph" w:styleId="NormalWeb">
    <w:name w:val="Normal (Web)"/>
    <w:basedOn w:val="Normal"/>
    <w:uiPriority w:val="99"/>
    <w:semiHidden/>
    <w:unhideWhenUsed/>
    <w:rsid w:val="00253D73"/>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463283">
      <w:bodyDiv w:val="1"/>
      <w:marLeft w:val="0"/>
      <w:marRight w:val="0"/>
      <w:marTop w:val="0"/>
      <w:marBottom w:val="0"/>
      <w:divBdr>
        <w:top w:val="none" w:sz="0" w:space="0" w:color="auto"/>
        <w:left w:val="none" w:sz="0" w:space="0" w:color="auto"/>
        <w:bottom w:val="none" w:sz="0" w:space="0" w:color="auto"/>
        <w:right w:val="none" w:sz="0" w:space="0" w:color="auto"/>
      </w:divBdr>
    </w:div>
    <w:div w:id="972634780">
      <w:bodyDiv w:val="1"/>
      <w:marLeft w:val="0"/>
      <w:marRight w:val="0"/>
      <w:marTop w:val="0"/>
      <w:marBottom w:val="0"/>
      <w:divBdr>
        <w:top w:val="none" w:sz="0" w:space="0" w:color="auto"/>
        <w:left w:val="none" w:sz="0" w:space="0" w:color="auto"/>
        <w:bottom w:val="none" w:sz="0" w:space="0" w:color="auto"/>
        <w:right w:val="none" w:sz="0" w:space="0" w:color="auto"/>
      </w:divBdr>
    </w:div>
    <w:div w:id="1199078286">
      <w:bodyDiv w:val="1"/>
      <w:marLeft w:val="0"/>
      <w:marRight w:val="0"/>
      <w:marTop w:val="0"/>
      <w:marBottom w:val="0"/>
      <w:divBdr>
        <w:top w:val="none" w:sz="0" w:space="0" w:color="auto"/>
        <w:left w:val="none" w:sz="0" w:space="0" w:color="auto"/>
        <w:bottom w:val="none" w:sz="0" w:space="0" w:color="auto"/>
        <w:right w:val="none" w:sz="0" w:space="0" w:color="auto"/>
      </w:divBdr>
    </w:div>
    <w:div w:id="1872524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nvestor.choicehotels.com/financials/annual-reports/default.aspx" TargetMode="External" /><Relationship Id="rId18" Type="http://schemas.openxmlformats.org/officeDocument/2006/relationships/hyperlink" Target="https://digitalcommons.unl.edu/cgi/viewcontent.cgi?article=1819&amp;context=honorstheses" TargetMode="External" /><Relationship Id="rId26" Type="http://schemas.openxmlformats.org/officeDocument/2006/relationships/hyperlink" Target="https://www.researchgate.net/profile/Madhuri-Kadam-2/publication/390561020_A_Study_of_Identification_of_Capital_Budgeting_Tools_applied_in_Investment_Decision/links/68621f87e4632b045dc87e5d/A-Study-of-Identification-of-Capital-Budgeting-Tools-applied-in-Investment-Decision.pdf" TargetMode="External" /><Relationship Id="rId39" Type="http://schemas.openxmlformats.org/officeDocument/2006/relationships/hyperlink" Target="https://www.sciencedirect.com/science/article/pii/S0007681325001727" TargetMode="External" /><Relationship Id="rId21" Type="http://schemas.openxmlformats.org/officeDocument/2006/relationships/hyperlink" Target="https://www.researchgate.net/profile/Dhanya-k-3/publication/395951655_An_analysis_on_financial_performance_of_Abbott_India/links/69be39de3c6189430668b1ed/An-analysis-on-financial-performance-of-Abbott-India.pdf" TargetMode="External" /><Relationship Id="rId34" Type="http://schemas.openxmlformats.org/officeDocument/2006/relationships/hyperlink" Target="https://marriott.gcs-web.com/static-files/9cf0e9b0-bbfa-48a6-9e21-ffbdbc4b2d78" TargetMode="External" /><Relationship Id="rId42" Type="http://schemas.openxmlformats.org/officeDocument/2006/relationships/hyperlink" Target="https://www.academia.edu/download/121635065/Cost_evaluation_of_capital_expenditure_and_financing.pdf" TargetMode="External" /><Relationship Id="rId47" Type="http://schemas.openxmlformats.org/officeDocument/2006/relationships/hyperlink" Target="https://ageconsearch.umn.edu/record/320048/files/AETR_2021_012RRV4I1.pdf" TargetMode="External" /><Relationship Id="rId50" Type="http://schemas.openxmlformats.org/officeDocument/2006/relationships/hyperlink" Target="https://j.arabianjbmr.com/index.php/ijar/article/download/1195/1111" TargetMode="External" /><Relationship Id="rId55" Type="http://schemas.openxmlformats.org/officeDocument/2006/relationships/hyperlink" Target="https://unitesi.unive.it/bitstream/20.500.14247/4284/1/872666-1280209.pdf" TargetMode="External" /><Relationship Id="rId7" Type="http://schemas.openxmlformats.org/officeDocument/2006/relationships/image" Target="media/image1.png" /><Relationship Id="rId12" Type="http://schemas.openxmlformats.org/officeDocument/2006/relationships/hyperlink" Target="https://investor.choicehotels.com/news/news-details/2026/Choice-Hotels-International-Reports-Fourth-Quarter-and-Full-Year-2025-Results/default.aspx" TargetMode="External" /><Relationship Id="rId17" Type="http://schemas.openxmlformats.org/officeDocument/2006/relationships/hyperlink" Target="https://www.mdpi.com/2075-4698/15/9/247" TargetMode="External" /><Relationship Id="rId25" Type="http://schemas.openxmlformats.org/officeDocument/2006/relationships/hyperlink" Target="https://www.theseus.fi/bitstream/handle/10024/858500/Mahamud_Fabio.pdf?sequence=2" TargetMode="External" /><Relationship Id="rId33" Type="http://schemas.openxmlformats.org/officeDocument/2006/relationships/hyperlink" Target="https://www.mdpi.com/2227-9091/10/3/63" TargetMode="External" /><Relationship Id="rId38" Type="http://schemas.openxmlformats.org/officeDocument/2006/relationships/hyperlink" Target="https://www.sciencedirect.com/science/article/pii/S0007681325001727" TargetMode="External" /><Relationship Id="rId46" Type="http://schemas.openxmlformats.org/officeDocument/2006/relationships/hyperlink" Target="https://stel.pubpub.org/pub/04-01-stanford" TargetMode="External" /><Relationship Id="rId59"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choicehotels.com/en-in/about" TargetMode="External" /><Relationship Id="rId20" Type="http://schemas.openxmlformats.org/officeDocument/2006/relationships/hyperlink" Target="https://www.researchgate.net/profile/Dhanya-k-3/publication/395951655_An_analysis_on_financial_performance_of_Abbott_India/links/69be39de3c6189430668b1ed/An-analysis-on-financial-performance-of-Abbott-India.pdf" TargetMode="External" /><Relationship Id="rId29" Type="http://schemas.openxmlformats.org/officeDocument/2006/relationships/hyperlink" Target="https://books.google.com/books?hl=en&amp;lr=&amp;id=CeKuEQAAQBAJ&amp;oi=fnd&amp;pg=PA1&amp;dq=management%E2%80%99s+forecast+of+diminished+net+income+in+2026+may+emanate+from+uncertainties+surrounding+the+economy,+elevated+interest+rates,+shifts+in+travel+demand+and+intensifying+competition+in+the+worldwide+hospitality+industry&amp;ots=-290M08ZJi&amp;sig=s-7MLk7rBdIwc2TCrkMCHY4J-Gc" TargetMode="External" /><Relationship Id="rId41" Type="http://schemas.openxmlformats.org/officeDocument/2006/relationships/hyperlink" Target="https://www.mdpi.com/2227-7072/13/2/104" TargetMode="External" /><Relationship Id="rId54" Type="http://schemas.openxmlformats.org/officeDocument/2006/relationships/hyperlink" Target="https://www.mdpi.com/2071-1050/14/17/10731"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investor.choicehotels.com/news/news-details/2026/Choice-Hotels-International-Reports-Fourth-Quarter-and-Full-Year-2025-Results/default.aspx" TargetMode="External" /><Relationship Id="rId24" Type="http://schemas.openxmlformats.org/officeDocument/2006/relationships/hyperlink" Target="https://papers.ssrn.com/sol3/Delivery.cfm?abstractid=6252480" TargetMode="External" /><Relationship Id="rId32" Type="http://schemas.openxmlformats.org/officeDocument/2006/relationships/hyperlink" Target="https://www.mdpi.com/2227-9091/10/3/63" TargetMode="External" /><Relationship Id="rId37" Type="http://schemas.openxmlformats.org/officeDocument/2006/relationships/hyperlink" Target="https://www.mdpi.com/2227-7390/10/6/951" TargetMode="External" /><Relationship Id="rId40" Type="http://schemas.openxmlformats.org/officeDocument/2006/relationships/hyperlink" Target="https://www.mdpi.com/2227-7072/13/2/104" TargetMode="External" /><Relationship Id="rId45" Type="http://schemas.openxmlformats.org/officeDocument/2006/relationships/hyperlink" Target="https://pdfs.semanticscholar.org/35f5/923a958b071288b38d4e960e8268477ec19a.pdf" TargetMode="External" /><Relationship Id="rId53" Type="http://schemas.openxmlformats.org/officeDocument/2006/relationships/hyperlink" Target="https://www.mdpi.com/2071-1050/14/17/10731" TargetMode="External" /><Relationship Id="rId58"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choicehotels.com/en-in/about" TargetMode="External" /><Relationship Id="rId23" Type="http://schemas.openxmlformats.org/officeDocument/2006/relationships/hyperlink" Target="http://finance.yahoo.com/quote/CHH/financials/" TargetMode="External" /><Relationship Id="rId28" Type="http://schemas.openxmlformats.org/officeDocument/2006/relationships/hyperlink" Target="https://books.google.com/books?hl=en&amp;lr=&amp;id=CeKuEQAAQBAJ&amp;oi=fnd&amp;pg=PA1&amp;dq=management%E2%80%99s+forecast+of+diminished+net+income+in+2026+may+emanate+from+uncertainties+surrounding+the+economy,+elevated+interest+rates,+shifts+in+travel+demand+and+intensifying+competition+in+the+worldwide+hospitality+industry&amp;ots=-290M08ZJi&amp;sig=s-7MLk7rBdIwc2TCrkMCHY4J-Gc" TargetMode="External" /><Relationship Id="rId36" Type="http://schemas.openxmlformats.org/officeDocument/2006/relationships/hyperlink" Target="https://www.mdpi.com/2227-7390/10/6/951" TargetMode="External" /><Relationship Id="rId49" Type="http://schemas.openxmlformats.org/officeDocument/2006/relationships/hyperlink" Target="https://irjems.org/Volume-4-Issue-11/IRJEMS-V4I11P113.pdf" TargetMode="External" /><Relationship Id="rId57" Type="http://schemas.openxmlformats.org/officeDocument/2006/relationships/footer" Target="footer1.xml" /><Relationship Id="rId10" Type="http://schemas.openxmlformats.org/officeDocument/2006/relationships/hyperlink" Target="https://www.shs-conferences.org/articles/shsconf/pdf/2024/08/shsconf_icdde2024_01001.pdf" TargetMode="External" /><Relationship Id="rId19" Type="http://schemas.openxmlformats.org/officeDocument/2006/relationships/hyperlink" Target="https://digitalcommons.unl.edu/cgi/viewcontent.cgi?article=1819&amp;context=honorstheses" TargetMode="External" /><Relationship Id="rId31" Type="http://schemas.openxmlformats.org/officeDocument/2006/relationships/hyperlink" Target="https://www.researchgate.net/profile/Marcin-Majka-2/publication/381402426_Understanding_Profit_Margin/links/666b659685a4ee7261c0e00d/Understanding-Profit-Margin.pdf" TargetMode="External" /><Relationship Id="rId44" Type="http://schemas.openxmlformats.org/officeDocument/2006/relationships/hyperlink" Target="https://pdfs.semanticscholar.org/35f5/923a958b071288b38d4e960e8268477ec19a.pdf" TargetMode="External" /><Relationship Id="rId52" Type="http://schemas.openxmlformats.org/officeDocument/2006/relationships/hyperlink" Target="https://www.mdpi.com/2071-1050/15/12/9656" TargetMode="External" /><Relationship Id="rId4" Type="http://schemas.openxmlformats.org/officeDocument/2006/relationships/webSettings" Target="webSettings.xml" /><Relationship Id="rId9" Type="http://schemas.openxmlformats.org/officeDocument/2006/relationships/hyperlink" Target="https://www.shs-conferences.org/articles/shsconf/pdf/2024/08/shsconf_icdde2024_01001.pdf" TargetMode="External" /><Relationship Id="rId14" Type="http://schemas.openxmlformats.org/officeDocument/2006/relationships/hyperlink" Target="https://investor.choicehotels.com/financials/annual-reports/default.aspx" TargetMode="External" /><Relationship Id="rId22" Type="http://schemas.openxmlformats.org/officeDocument/2006/relationships/hyperlink" Target="http://finance.yahoo.com/quote/CHH/financials/" TargetMode="External" /><Relationship Id="rId27" Type="http://schemas.openxmlformats.org/officeDocument/2006/relationships/hyperlink" Target="https://www.researchgate.net/profile/Madhuri-Kadam-2/publication/390561020_A_Study_of_Identification_of_Capital_Budgeting_Tools_applied_in_Investment_Decision/links/68621f87e4632b045dc87e5d/A-Study-of-Identification-of-Capital-Budgeting-Tools-applied-in-Investment-Decision.pdf" TargetMode="External" /><Relationship Id="rId30" Type="http://schemas.openxmlformats.org/officeDocument/2006/relationships/hyperlink" Target="https://www.researchgate.net/profile/Marcin-Majka-2/publication/381402426_Understanding_Profit_Margin/links/666b659685a4ee7261c0e00d/Understanding-Profit-Margin.pdf" TargetMode="External" /><Relationship Id="rId35" Type="http://schemas.openxmlformats.org/officeDocument/2006/relationships/hyperlink" Target="https://marriott.gcs-web.com/static-files/9cf0e9b0-bbfa-48a6-9e21-ffbdbc4b2d78" TargetMode="External" /><Relationship Id="rId43" Type="http://schemas.openxmlformats.org/officeDocument/2006/relationships/hyperlink" Target="https://www.academia.edu/download/121635065/Cost_evaluation_of_capital_expenditure_and_financing.pdf" TargetMode="External" /><Relationship Id="rId48" Type="http://schemas.openxmlformats.org/officeDocument/2006/relationships/hyperlink" Target="https://ageconsearch.umn.edu/record/320048/files/AETR_2021_012RRV4I1.pdf" TargetMode="External" /><Relationship Id="rId56" Type="http://schemas.openxmlformats.org/officeDocument/2006/relationships/hyperlink" Target="https://unitesi.unive.it/bitstream/20.500.14247/4284/1/872666-1280209.pdf" TargetMode="External" /><Relationship Id="rId8" Type="http://schemas.openxmlformats.org/officeDocument/2006/relationships/image" Target="media/image2.png" /><Relationship Id="rId51" Type="http://schemas.openxmlformats.org/officeDocument/2006/relationships/hyperlink" Target="https://www.mdpi.com/2071-1050/15/12/9656" TargetMode="External" /><Relationship Id="rId3" Type="http://schemas.openxmlformats.org/officeDocument/2006/relationships/settings" Target="settings.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F6DD1-40C0-4E0F-B775-9608DF8052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8175</Words>
  <Characters>46601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Neha Yadav</cp:lastModifiedBy>
  <cp:revision>2</cp:revision>
  <dcterms:created xsi:type="dcterms:W3CDTF">2026-08-13T08:47:00Z</dcterms:created>
  <dcterms:modified xsi:type="dcterms:W3CDTF">2026-08-13T08:47:00Z</dcterms:modified>
</cp:coreProperties>
</file>