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6DA5" w:rsidRDefault="00EB6DA5"/>
    <w:p w:rsidR="00EB6DA5" w:rsidRDefault="00785E4B">
      <w:pPr>
        <w:jc w:val="center"/>
        <w:rPr>
          <w:b/>
          <w:bCs/>
          <w:highlight w:val="white"/>
        </w:rPr>
      </w:pPr>
      <w:r>
        <w:rPr>
          <w:b/>
          <w:bCs/>
          <w:noProof/>
          <w:highlight w:val="white"/>
        </w:rPr>
        <w:drawing>
          <wp:inline distT="114300" distB="114300" distL="114300" distR="114300">
            <wp:extent cx="2663663" cy="1061983"/>
            <wp:effectExtent l="0" t="0" r="0" b="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2663663" cy="1061983"/>
                    </a:xfrm>
                    <a:prstGeom prst="rect">
                      <a:avLst/>
                    </a:prstGeom>
                    <a:ln/>
                  </pic:spPr>
                </pic:pic>
              </a:graphicData>
            </a:graphic>
          </wp:inline>
        </w:drawing>
      </w:r>
    </w:p>
    <w:p w:rsidR="00EB6DA5" w:rsidRDefault="00EB6DA5">
      <w:pPr>
        <w:pStyle w:val="Title"/>
      </w:pPr>
      <w:bookmarkStart w:id="0" w:name="_heading=h.pdakuwbd8hom" w:colFirst="0" w:colLast="0"/>
      <w:bookmarkEnd w:id="0"/>
    </w:p>
    <w:p w:rsidR="00EB6DA5" w:rsidRDefault="00785E4B">
      <w:pPr>
        <w:pStyle w:val="Title"/>
      </w:pPr>
      <w:bookmarkStart w:id="1" w:name="_heading=h.5c665u3de9o1" w:colFirst="0" w:colLast="0"/>
      <w:bookmarkEnd w:id="1"/>
      <w:r>
        <w:t xml:space="preserve">MODULE NAME: DISSERTATION </w:t>
      </w:r>
    </w:p>
    <w:p w:rsidR="00EB6DA5" w:rsidRDefault="00785E4B">
      <w:pPr>
        <w:pStyle w:val="Title"/>
      </w:pPr>
      <w:bookmarkStart w:id="2" w:name="_heading=h.i6q09gony42l" w:colFirst="0" w:colLast="0"/>
      <w:bookmarkEnd w:id="2"/>
      <w:r>
        <w:t>MODULE CODE: LCMB7035</w:t>
      </w:r>
    </w:p>
    <w:p w:rsidR="00EB6DA5" w:rsidRDefault="00EB6DA5"/>
    <w:p w:rsidR="00EB6DA5" w:rsidRDefault="00EB6DA5"/>
    <w:p w:rsidR="00EB6DA5" w:rsidRPr="00E61CED" w:rsidRDefault="00785E4B" w:rsidP="00E61CED">
      <w:pPr>
        <w:pStyle w:val="Subtitle"/>
      </w:pPr>
      <w:bookmarkStart w:id="3" w:name="_heading=h.v5k3j0h0ldas" w:colFirst="0" w:colLast="0"/>
      <w:bookmarkEnd w:id="3"/>
      <w:r>
        <w:t>TOPIC: “THE IMPACT OF AI-GENERATED FINANCIAL ADVICE ON INVESTMENT CONFIDENCE AMONG FIRST-TIME INVESTORS IN THE UK”</w:t>
      </w:r>
    </w:p>
    <w:p w:rsidR="00EB6DA5" w:rsidRDefault="00EB6DA5">
      <w:pPr>
        <w:jc w:val="center"/>
        <w:rPr>
          <w:b/>
          <w:bCs/>
          <w:sz w:val="28"/>
          <w:szCs w:val="28"/>
        </w:rPr>
      </w:pPr>
    </w:p>
    <w:p w:rsidR="00EB6DA5" w:rsidRDefault="00785E4B">
      <w:pPr>
        <w:jc w:val="center"/>
        <w:rPr>
          <w:b/>
          <w:bCs/>
          <w:sz w:val="28"/>
          <w:szCs w:val="28"/>
        </w:rPr>
      </w:pPr>
      <w:r>
        <w:rPr>
          <w:b/>
          <w:bCs/>
          <w:sz w:val="28"/>
          <w:szCs w:val="28"/>
        </w:rPr>
        <w:t>Student Name:</w:t>
      </w:r>
      <w:r w:rsidR="00E61CED">
        <w:rPr>
          <w:b/>
          <w:bCs/>
          <w:sz w:val="28"/>
          <w:szCs w:val="28"/>
        </w:rPr>
        <w:t xml:space="preserve"> Vijay Kumar</w:t>
      </w:r>
    </w:p>
    <w:p w:rsidR="00E61CED" w:rsidRDefault="00785E4B">
      <w:pPr>
        <w:jc w:val="center"/>
        <w:rPr>
          <w:b/>
          <w:bCs/>
          <w:sz w:val="28"/>
          <w:szCs w:val="28"/>
        </w:rPr>
      </w:pPr>
      <w:r>
        <w:rPr>
          <w:b/>
          <w:bCs/>
          <w:sz w:val="28"/>
          <w:szCs w:val="28"/>
        </w:rPr>
        <w:t>Student ID:</w:t>
      </w:r>
      <w:r w:rsidR="00E61CED">
        <w:rPr>
          <w:b/>
          <w:bCs/>
          <w:sz w:val="28"/>
          <w:szCs w:val="28"/>
        </w:rPr>
        <w:t xml:space="preserve"> 2433812</w:t>
      </w:r>
    </w:p>
    <w:p w:rsidR="00E61CED" w:rsidRDefault="00E61CED">
      <w:pPr>
        <w:jc w:val="center"/>
        <w:rPr>
          <w:b/>
          <w:bCs/>
          <w:sz w:val="28"/>
          <w:szCs w:val="28"/>
        </w:rPr>
      </w:pPr>
    </w:p>
    <w:p w:rsidR="00E61CED" w:rsidRDefault="00E61CED">
      <w:pPr>
        <w:jc w:val="center"/>
        <w:rPr>
          <w:b/>
          <w:bCs/>
          <w:sz w:val="28"/>
          <w:szCs w:val="28"/>
        </w:rPr>
      </w:pPr>
    </w:p>
    <w:p w:rsidR="00E61CED" w:rsidRDefault="00E61CED">
      <w:pPr>
        <w:jc w:val="center"/>
        <w:rPr>
          <w:b/>
          <w:bCs/>
          <w:sz w:val="28"/>
          <w:szCs w:val="28"/>
        </w:rPr>
      </w:pPr>
    </w:p>
    <w:p w:rsidR="00E61CED" w:rsidRDefault="00E61CED">
      <w:pPr>
        <w:jc w:val="center"/>
        <w:rPr>
          <w:b/>
          <w:bCs/>
          <w:sz w:val="28"/>
          <w:szCs w:val="28"/>
        </w:rPr>
      </w:pPr>
    </w:p>
    <w:p w:rsidR="00E61CED" w:rsidRDefault="00E61CED">
      <w:pPr>
        <w:jc w:val="center"/>
        <w:rPr>
          <w:b/>
          <w:bCs/>
          <w:sz w:val="28"/>
          <w:szCs w:val="28"/>
        </w:rPr>
      </w:pPr>
    </w:p>
    <w:p w:rsidR="00E61CED" w:rsidRDefault="00E61CED">
      <w:pPr>
        <w:jc w:val="center"/>
        <w:rPr>
          <w:b/>
          <w:bCs/>
          <w:sz w:val="28"/>
          <w:szCs w:val="28"/>
        </w:rPr>
      </w:pPr>
    </w:p>
    <w:p w:rsidR="00E61CED" w:rsidRDefault="00E61CED">
      <w:pPr>
        <w:jc w:val="center"/>
        <w:rPr>
          <w:b/>
          <w:bCs/>
          <w:sz w:val="28"/>
          <w:szCs w:val="28"/>
        </w:rPr>
      </w:pPr>
    </w:p>
    <w:p w:rsidR="00E61CED" w:rsidRDefault="00E61CED">
      <w:pPr>
        <w:jc w:val="center"/>
        <w:rPr>
          <w:b/>
          <w:bCs/>
          <w:sz w:val="28"/>
          <w:szCs w:val="28"/>
        </w:rPr>
      </w:pPr>
    </w:p>
    <w:p w:rsidR="00E61CED" w:rsidRDefault="00E61CED">
      <w:pPr>
        <w:jc w:val="center"/>
        <w:rPr>
          <w:b/>
          <w:bCs/>
          <w:sz w:val="28"/>
          <w:szCs w:val="28"/>
        </w:rPr>
      </w:pPr>
    </w:p>
    <w:p w:rsidR="00E61CED" w:rsidRDefault="00E61CED">
      <w:pPr>
        <w:jc w:val="center"/>
        <w:rPr>
          <w:b/>
          <w:bCs/>
          <w:sz w:val="28"/>
          <w:szCs w:val="28"/>
        </w:rPr>
      </w:pPr>
    </w:p>
    <w:p w:rsidR="00E61CED" w:rsidRDefault="00E61CED">
      <w:pPr>
        <w:jc w:val="center"/>
        <w:rPr>
          <w:b/>
          <w:bCs/>
          <w:sz w:val="28"/>
          <w:szCs w:val="28"/>
        </w:rPr>
      </w:pPr>
    </w:p>
    <w:p w:rsidR="00E61CED" w:rsidRDefault="00E61CED">
      <w:pPr>
        <w:jc w:val="center"/>
        <w:rPr>
          <w:b/>
          <w:bCs/>
          <w:sz w:val="28"/>
          <w:szCs w:val="28"/>
        </w:rPr>
      </w:pPr>
    </w:p>
    <w:p w:rsidR="00EB6DA5" w:rsidRDefault="00EB6DA5" w:rsidP="00E61CED"/>
    <w:p w:rsidR="009C689B" w:rsidRDefault="009C689B" w:rsidP="009C689B">
      <w:pPr>
        <w:jc w:val="center"/>
        <w:rPr>
          <w:b/>
          <w:bCs/>
          <w:sz w:val="28"/>
          <w:szCs w:val="28"/>
        </w:rPr>
      </w:pPr>
      <w:r>
        <w:rPr>
          <w:b/>
          <w:bCs/>
          <w:sz w:val="28"/>
          <w:szCs w:val="28"/>
        </w:rPr>
        <w:t>Self-Declaration</w:t>
      </w:r>
    </w:p>
    <w:p w:rsidR="009C689B" w:rsidRPr="009356C2" w:rsidRDefault="009C689B" w:rsidP="009C689B">
      <w:pPr>
        <w:pBdr>
          <w:top w:val="single" w:sz="4" w:space="1" w:color="auto"/>
          <w:left w:val="single" w:sz="4" w:space="4" w:color="auto"/>
          <w:bottom w:val="single" w:sz="4" w:space="1" w:color="auto"/>
          <w:right w:val="single" w:sz="4" w:space="4" w:color="auto"/>
        </w:pBdr>
        <w:spacing w:after="120"/>
        <w:jc w:val="center"/>
        <w:rPr>
          <w:rFonts w:ascii="Arial" w:hAnsi="Arial" w:cs="Arial"/>
        </w:rPr>
      </w:pPr>
      <w:r>
        <w:rPr>
          <w:rFonts w:ascii="Arial" w:hAnsi="Arial" w:cs="Arial"/>
          <w:noProof/>
        </w:rPr>
        <w:drawing>
          <wp:inline distT="0" distB="0" distL="0" distR="0">
            <wp:extent cx="2847975" cy="116205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7975" cy="1162050"/>
                    </a:xfrm>
                    <a:prstGeom prst="rect">
                      <a:avLst/>
                    </a:prstGeom>
                    <a:noFill/>
                    <a:ln>
                      <a:noFill/>
                    </a:ln>
                  </pic:spPr>
                </pic:pic>
              </a:graphicData>
            </a:graphic>
          </wp:inline>
        </w:drawing>
      </w:r>
    </w:p>
    <w:p w:rsidR="009C689B" w:rsidRDefault="009C689B" w:rsidP="009C689B">
      <w:pPr>
        <w:pBdr>
          <w:top w:val="single" w:sz="4" w:space="1" w:color="auto"/>
          <w:left w:val="single" w:sz="4" w:space="4" w:color="auto"/>
          <w:bottom w:val="single" w:sz="4" w:space="1" w:color="auto"/>
          <w:right w:val="single" w:sz="4" w:space="4" w:color="auto"/>
        </w:pBdr>
        <w:spacing w:after="120"/>
        <w:jc w:val="center"/>
        <w:rPr>
          <w:rFonts w:ascii="Arial" w:hAnsi="Arial" w:cs="Arial"/>
          <w:b/>
          <w:sz w:val="28"/>
          <w:szCs w:val="28"/>
        </w:rPr>
      </w:pPr>
    </w:p>
    <w:p w:rsidR="009C689B" w:rsidRPr="004A32A7" w:rsidRDefault="009C689B" w:rsidP="009C689B">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Master’s Degrees by Examination and Dissertation</w:t>
      </w:r>
    </w:p>
    <w:p w:rsidR="009C689B" w:rsidRPr="004A32A7" w:rsidRDefault="009C689B" w:rsidP="009C689B">
      <w:pPr>
        <w:pBdr>
          <w:top w:val="single" w:sz="4" w:space="1" w:color="auto"/>
          <w:left w:val="single" w:sz="4" w:space="4" w:color="auto"/>
          <w:bottom w:val="single" w:sz="4" w:space="1" w:color="auto"/>
          <w:right w:val="single" w:sz="4" w:space="4" w:color="auto"/>
        </w:pBdr>
        <w:spacing w:after="120"/>
        <w:jc w:val="center"/>
        <w:rPr>
          <w:rFonts w:ascii="Arial" w:hAnsi="Arial" w:cs="Arial"/>
          <w:sz w:val="28"/>
          <w:szCs w:val="28"/>
        </w:rPr>
      </w:pPr>
      <w:r w:rsidRPr="004A32A7">
        <w:rPr>
          <w:rFonts w:ascii="Arial" w:hAnsi="Arial" w:cs="Arial"/>
          <w:b/>
          <w:sz w:val="28"/>
          <w:szCs w:val="28"/>
        </w:rPr>
        <w:t>Declaration Form</w:t>
      </w:r>
      <w:r w:rsidRPr="004A32A7">
        <w:rPr>
          <w:rFonts w:ascii="Arial" w:hAnsi="Arial" w:cs="Arial"/>
          <w:sz w:val="28"/>
          <w:szCs w:val="28"/>
        </w:rPr>
        <w:t>.</w:t>
      </w:r>
    </w:p>
    <w:p w:rsidR="009C689B" w:rsidRDefault="009C689B" w:rsidP="009C689B">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rsidR="009C689B" w:rsidRPr="004A32A7" w:rsidRDefault="00E61CED" w:rsidP="009C689B">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Pr>
          <w:rFonts w:ascii="Arial" w:hAnsi="Arial" w:cs="Arial"/>
        </w:rPr>
        <w:t>I, Vijay kumar</w:t>
      </w:r>
      <w:r w:rsidR="009C689B">
        <w:rPr>
          <w:rFonts w:ascii="Arial" w:hAnsi="Arial" w:cs="Arial"/>
        </w:rPr>
        <w:t>,</w:t>
      </w:r>
      <w:r w:rsidR="009C689B" w:rsidRPr="004A32A7">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rsidR="009C689B" w:rsidRPr="004A32A7" w:rsidRDefault="009C689B" w:rsidP="009C689B">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rsidR="009C689B" w:rsidRDefault="009C689B" w:rsidP="009C689B">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sidRPr="004A32A7">
        <w:rPr>
          <w:rFonts w:ascii="Arial" w:hAnsi="Arial" w:cs="Arial"/>
        </w:rPr>
        <w:t xml:space="preserve">Signature: </w:t>
      </w:r>
      <w:r w:rsidR="00E61CED">
        <w:rPr>
          <w:rFonts w:ascii="Arial" w:hAnsi="Arial" w:cs="Arial"/>
        </w:rPr>
        <w:t>Vijay Kumar</w:t>
      </w:r>
    </w:p>
    <w:p w:rsidR="009C689B" w:rsidRPr="004A32A7" w:rsidRDefault="009C689B" w:rsidP="009C689B">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p>
    <w:p w:rsidR="009C689B" w:rsidRDefault="009C689B" w:rsidP="009C689B">
      <w:pPr>
        <w:pBdr>
          <w:top w:val="single" w:sz="4" w:space="1" w:color="auto"/>
          <w:left w:val="single" w:sz="4" w:space="4" w:color="auto"/>
          <w:bottom w:val="single" w:sz="4" w:space="1" w:color="auto"/>
          <w:right w:val="single" w:sz="4" w:space="4" w:color="auto"/>
        </w:pBdr>
        <w:spacing w:after="120" w:line="480" w:lineRule="auto"/>
        <w:rPr>
          <w:rFonts w:ascii="Arial" w:hAnsi="Arial" w:cs="Arial"/>
        </w:rPr>
      </w:pPr>
      <w:r>
        <w:rPr>
          <w:rFonts w:ascii="Arial" w:hAnsi="Arial" w:cs="Arial"/>
        </w:rPr>
        <w:t>Date</w:t>
      </w:r>
      <w:r w:rsidR="00E61CED">
        <w:rPr>
          <w:rFonts w:ascii="Arial" w:hAnsi="Arial" w:cs="Arial"/>
        </w:rPr>
        <w:t>: 24.09.26</w:t>
      </w:r>
    </w:p>
    <w:p w:rsidR="009C689B" w:rsidRDefault="009C689B">
      <w:pPr>
        <w:rPr>
          <w:b/>
          <w:bCs/>
          <w:sz w:val="28"/>
          <w:szCs w:val="28"/>
        </w:rPr>
      </w:pPr>
      <w:r>
        <w:rPr>
          <w:b/>
          <w:bCs/>
          <w:sz w:val="28"/>
          <w:szCs w:val="28"/>
        </w:rPr>
        <w:br w:type="page"/>
      </w:r>
    </w:p>
    <w:p w:rsidR="009C689B" w:rsidRDefault="00CB5082" w:rsidP="00CB5082">
      <w:pPr>
        <w:jc w:val="center"/>
        <w:rPr>
          <w:b/>
          <w:bCs/>
          <w:sz w:val="28"/>
          <w:szCs w:val="28"/>
        </w:rPr>
      </w:pPr>
      <w:r>
        <w:rPr>
          <w:b/>
          <w:bCs/>
          <w:sz w:val="28"/>
          <w:szCs w:val="28"/>
        </w:rPr>
        <w:lastRenderedPageBreak/>
        <w:t>AI Acknow</w:t>
      </w:r>
      <w:r w:rsidR="009C689B">
        <w:rPr>
          <w:b/>
          <w:bCs/>
          <w:sz w:val="28"/>
          <w:szCs w:val="28"/>
        </w:rPr>
        <w:t>ledgement</w:t>
      </w:r>
    </w:p>
    <w:p w:rsidR="00CB5082" w:rsidRDefault="004F49D3" w:rsidP="004F49D3">
      <w:r>
        <w:t>I declare that the dissertation was not prepared, written, analysed, interpreted or completed by an artificial intelligence (AI) tool. I conducted all research, academic writing, analysis and interpretation of findings, and conclusions on my own. The sources used were checked to ensure that they are incorporated into the dissertation, reflecting independent understanding.</w:t>
      </w:r>
      <w:r w:rsidR="00CB5082">
        <w:br w:type="page"/>
      </w:r>
    </w:p>
    <w:p w:rsidR="00EB6DA5" w:rsidRDefault="00785E4B">
      <w:pPr>
        <w:jc w:val="center"/>
        <w:rPr>
          <w:b/>
          <w:bCs/>
          <w:sz w:val="28"/>
          <w:szCs w:val="28"/>
        </w:rPr>
      </w:pPr>
      <w:r>
        <w:rPr>
          <w:b/>
          <w:bCs/>
          <w:sz w:val="28"/>
          <w:szCs w:val="28"/>
        </w:rPr>
        <w:lastRenderedPageBreak/>
        <w:t>Abstract</w:t>
      </w:r>
    </w:p>
    <w:p w:rsidR="00EB6DA5" w:rsidRDefault="00785E4B">
      <w:r>
        <w:t>In this study, the authors investigate the impact of AI-powered financial advice on investment confidence among new investors in the context of early investors. The introduction describes background, motivation, objectives and significance of the research as research background and explains the state of the art of the research area especially, the use of Artificial Intelligence in investment decision making. The literature review benefits from critically assessing the existing body of learning on financial advice in the form of artificial intelligence, uptake, trust, core trust considerations, confidence in the investment decision making process, issues and theories. It also pointed out areas of future research which form an important conceptual framework for the future research methodology. The Research Methodology has also given justification for the selection of the interpretivist philosophy, mono method qualitative research design, an archival strategy and cross sectional time horizon. It has followed the secondary qualitative data collection approach along with a thematic analysis, while ethical aspects were also discussed that impact the credibility, reliability and integrity of the research.</w:t>
      </w:r>
    </w:p>
    <w:p w:rsidR="00714AC4" w:rsidRDefault="00785E4B">
      <w:r>
        <w:t>Four prominent themes from the thematic analysis are introduced regarding strategic adoption of AI-powered financial advice, importance of trust, transparency and investor capability, accuracy, privacy, ethical and psychological risks and the need for responsible AI. The findings indicate the benefits of introducing AI in making support systems more accessible, personalised, efficient, and productive in gaining investor confidence, but the adoption of technology does not guarantee the same. The study brings the conclusion that AI must be used in tandem with human financial acumen, not to replace it. The recommendations thus focus on the importance of greater transparency of AI, explainability, innovative models for human-AI collaboration and governance, and boosting financial and digital AI literacy among new investors.</w:t>
      </w:r>
    </w:p>
    <w:p w:rsidR="00EB6DA5" w:rsidRDefault="00714AC4">
      <w:r w:rsidRPr="00D8422E">
        <w:rPr>
          <w:b/>
          <w:i/>
        </w:rPr>
        <w:t>Keywords:</w:t>
      </w:r>
      <w:r>
        <w:t xml:space="preserve"> AI-generated financial advice, investment confidence, financial technology</w:t>
      </w:r>
      <w:r w:rsidR="00D8422E">
        <w:t xml:space="preserve"> (FinTech)</w:t>
      </w:r>
      <w:r>
        <w:t>, first-time investors, responsible AI, trust in AI, UK investment sector.</w:t>
      </w:r>
      <w:r w:rsidR="00785E4B">
        <w:br w:type="page"/>
      </w:r>
    </w:p>
    <w:p w:rsidR="00EB6DA5" w:rsidRDefault="00785E4B">
      <w:pPr>
        <w:jc w:val="center"/>
        <w:rPr>
          <w:b/>
          <w:bCs/>
          <w:sz w:val="28"/>
          <w:szCs w:val="28"/>
        </w:rPr>
      </w:pPr>
      <w:r>
        <w:rPr>
          <w:b/>
          <w:bCs/>
          <w:sz w:val="28"/>
          <w:szCs w:val="28"/>
        </w:rPr>
        <w:lastRenderedPageBreak/>
        <w:t>Acknowledgements</w:t>
      </w:r>
    </w:p>
    <w:p w:rsidR="00EB6DA5" w:rsidRDefault="00785E4B">
      <w:r>
        <w:t>I would like to say many thanks and gratitude to all those who helped me to carry out this dissertation. The valuable guidance/help by my supervisor, constructive feedback and constant encouragement are greatly used to complete this research which I am very thankful for. My lecturers and my school are also helpful and knowledgeable to me. Lastly, I would like to express my gratitude to my family and friends who have been patient, encouraging and steadfast during the arduous path of my academic career. They were my motivators and gave me the ability to move forward and be confident doing this, which allowed me to succeed in this dissertation from this standpoint.</w:t>
      </w:r>
      <w:r>
        <w:br w:type="page"/>
      </w:r>
    </w:p>
    <w:p w:rsidR="00EB6DA5" w:rsidRDefault="00785E4B">
      <w:pPr>
        <w:keepNext/>
        <w:keepLines/>
        <w:pBdr>
          <w:top w:val="nil"/>
          <w:left w:val="nil"/>
          <w:bottom w:val="nil"/>
          <w:right w:val="nil"/>
          <w:between w:val="nil"/>
        </w:pBdr>
        <w:spacing w:before="480" w:line="276" w:lineRule="auto"/>
        <w:jc w:val="center"/>
        <w:rPr>
          <w:rFonts w:ascii="Calibri" w:eastAsia="Calibri" w:hAnsi="Calibri" w:cs="Calibri"/>
          <w:b/>
          <w:bCs/>
          <w:sz w:val="28"/>
          <w:szCs w:val="28"/>
        </w:rPr>
      </w:pPr>
      <w:bookmarkStart w:id="4" w:name="_heading=h.zsjm8xvkl29" w:colFirst="0" w:colLast="0"/>
      <w:bookmarkEnd w:id="4"/>
      <w:r>
        <w:rPr>
          <w:b/>
          <w:bCs/>
          <w:sz w:val="28"/>
          <w:szCs w:val="28"/>
        </w:rPr>
        <w:lastRenderedPageBreak/>
        <w:t>Table of Contents</w:t>
      </w:r>
    </w:p>
    <w:sdt>
      <w:sdtPr>
        <w:id w:val="1759953926"/>
        <w:docPartObj>
          <w:docPartGallery w:val="Table of Contents"/>
          <w:docPartUnique/>
        </w:docPartObj>
      </w:sdtPr>
      <w:sdtEndPr/>
      <w:sdtContent>
        <w:p w:rsidR="00E61CED" w:rsidRDefault="00F50217">
          <w:pPr>
            <w:pStyle w:val="TOC1"/>
            <w:tabs>
              <w:tab w:val="right" w:leader="dot" w:pos="9019"/>
            </w:tabs>
            <w:rPr>
              <w:rFonts w:asciiTheme="minorHAnsi" w:eastAsiaTheme="minorEastAsia" w:hAnsiTheme="minorHAnsi" w:cstheme="minorBidi"/>
              <w:noProof/>
              <w:sz w:val="22"/>
              <w:szCs w:val="22"/>
            </w:rPr>
          </w:pPr>
          <w:r>
            <w:fldChar w:fldCharType="begin"/>
          </w:r>
          <w:r w:rsidR="00785E4B">
            <w:instrText xml:space="preserve"> TOC \h \u \z \t "Heading 1,1,Heading 2,2,Heading 3,3,"</w:instrText>
          </w:r>
          <w:r>
            <w:fldChar w:fldCharType="separate"/>
          </w:r>
          <w:hyperlink w:anchor="_Toc241178719" w:history="1">
            <w:r w:rsidR="00E61CED" w:rsidRPr="00D548B7">
              <w:rPr>
                <w:rStyle w:val="Hyperlink"/>
                <w:noProof/>
              </w:rPr>
              <w:t>Chapter 1: Introduction</w:t>
            </w:r>
            <w:r w:rsidR="00E61CED">
              <w:rPr>
                <w:noProof/>
                <w:webHidden/>
              </w:rPr>
              <w:tab/>
            </w:r>
            <w:r w:rsidR="00E61CED">
              <w:rPr>
                <w:noProof/>
                <w:webHidden/>
              </w:rPr>
              <w:fldChar w:fldCharType="begin"/>
            </w:r>
            <w:r w:rsidR="00E61CED">
              <w:rPr>
                <w:noProof/>
                <w:webHidden/>
              </w:rPr>
              <w:instrText xml:space="preserve"> PAGEREF _Toc241178719 \h </w:instrText>
            </w:r>
            <w:r w:rsidR="00E61CED">
              <w:rPr>
                <w:noProof/>
                <w:webHidden/>
              </w:rPr>
            </w:r>
            <w:r w:rsidR="00E61CED">
              <w:rPr>
                <w:noProof/>
                <w:webHidden/>
              </w:rPr>
              <w:fldChar w:fldCharType="separate"/>
            </w:r>
            <w:r w:rsidR="00E61CED">
              <w:rPr>
                <w:noProof/>
                <w:webHidden/>
              </w:rPr>
              <w:t>11</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20" w:history="1">
            <w:r w:rsidR="00E61CED" w:rsidRPr="00D548B7">
              <w:rPr>
                <w:rStyle w:val="Hyperlink"/>
                <w:noProof/>
              </w:rPr>
              <w:t>1.1 Background</w:t>
            </w:r>
            <w:r w:rsidR="00E61CED">
              <w:rPr>
                <w:noProof/>
                <w:webHidden/>
              </w:rPr>
              <w:tab/>
            </w:r>
            <w:r w:rsidR="00E61CED">
              <w:rPr>
                <w:noProof/>
                <w:webHidden/>
              </w:rPr>
              <w:fldChar w:fldCharType="begin"/>
            </w:r>
            <w:r w:rsidR="00E61CED">
              <w:rPr>
                <w:noProof/>
                <w:webHidden/>
              </w:rPr>
              <w:instrText xml:space="preserve"> PAGEREF _Toc241178720 \h </w:instrText>
            </w:r>
            <w:r w:rsidR="00E61CED">
              <w:rPr>
                <w:noProof/>
                <w:webHidden/>
              </w:rPr>
            </w:r>
            <w:r w:rsidR="00E61CED">
              <w:rPr>
                <w:noProof/>
                <w:webHidden/>
              </w:rPr>
              <w:fldChar w:fldCharType="separate"/>
            </w:r>
            <w:r w:rsidR="00E61CED">
              <w:rPr>
                <w:noProof/>
                <w:webHidden/>
              </w:rPr>
              <w:t>11</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21" w:history="1">
            <w:r w:rsidR="00E61CED" w:rsidRPr="00D548B7">
              <w:rPr>
                <w:rStyle w:val="Hyperlink"/>
                <w:noProof/>
              </w:rPr>
              <w:t>1.2 Research Rationale</w:t>
            </w:r>
            <w:r w:rsidR="00E61CED">
              <w:rPr>
                <w:noProof/>
                <w:webHidden/>
              </w:rPr>
              <w:tab/>
            </w:r>
            <w:r w:rsidR="00E61CED">
              <w:rPr>
                <w:noProof/>
                <w:webHidden/>
              </w:rPr>
              <w:fldChar w:fldCharType="begin"/>
            </w:r>
            <w:r w:rsidR="00E61CED">
              <w:rPr>
                <w:noProof/>
                <w:webHidden/>
              </w:rPr>
              <w:instrText xml:space="preserve"> PAGEREF _Toc241178721 \h </w:instrText>
            </w:r>
            <w:r w:rsidR="00E61CED">
              <w:rPr>
                <w:noProof/>
                <w:webHidden/>
              </w:rPr>
            </w:r>
            <w:r w:rsidR="00E61CED">
              <w:rPr>
                <w:noProof/>
                <w:webHidden/>
              </w:rPr>
              <w:fldChar w:fldCharType="separate"/>
            </w:r>
            <w:r w:rsidR="00E61CED">
              <w:rPr>
                <w:noProof/>
                <w:webHidden/>
              </w:rPr>
              <w:t>13</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22" w:history="1">
            <w:r w:rsidR="00E61CED" w:rsidRPr="00D548B7">
              <w:rPr>
                <w:rStyle w:val="Hyperlink"/>
                <w:noProof/>
              </w:rPr>
              <w:t>1.3 Problem Statement</w:t>
            </w:r>
            <w:r w:rsidR="00E61CED">
              <w:rPr>
                <w:noProof/>
                <w:webHidden/>
              </w:rPr>
              <w:tab/>
            </w:r>
            <w:r w:rsidR="00E61CED">
              <w:rPr>
                <w:noProof/>
                <w:webHidden/>
              </w:rPr>
              <w:fldChar w:fldCharType="begin"/>
            </w:r>
            <w:r w:rsidR="00E61CED">
              <w:rPr>
                <w:noProof/>
                <w:webHidden/>
              </w:rPr>
              <w:instrText xml:space="preserve"> PAGEREF _Toc241178722 \h </w:instrText>
            </w:r>
            <w:r w:rsidR="00E61CED">
              <w:rPr>
                <w:noProof/>
                <w:webHidden/>
              </w:rPr>
            </w:r>
            <w:r w:rsidR="00E61CED">
              <w:rPr>
                <w:noProof/>
                <w:webHidden/>
              </w:rPr>
              <w:fldChar w:fldCharType="separate"/>
            </w:r>
            <w:r w:rsidR="00E61CED">
              <w:rPr>
                <w:noProof/>
                <w:webHidden/>
              </w:rPr>
              <w:t>14</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23" w:history="1">
            <w:r w:rsidR="00E61CED" w:rsidRPr="00D548B7">
              <w:rPr>
                <w:rStyle w:val="Hyperlink"/>
                <w:noProof/>
              </w:rPr>
              <w:t>1.4 Research Aim and Objectives</w:t>
            </w:r>
            <w:r w:rsidR="00E61CED">
              <w:rPr>
                <w:noProof/>
                <w:webHidden/>
              </w:rPr>
              <w:tab/>
            </w:r>
            <w:r w:rsidR="00E61CED">
              <w:rPr>
                <w:noProof/>
                <w:webHidden/>
              </w:rPr>
              <w:fldChar w:fldCharType="begin"/>
            </w:r>
            <w:r w:rsidR="00E61CED">
              <w:rPr>
                <w:noProof/>
                <w:webHidden/>
              </w:rPr>
              <w:instrText xml:space="preserve"> PAGEREF _Toc241178723 \h </w:instrText>
            </w:r>
            <w:r w:rsidR="00E61CED">
              <w:rPr>
                <w:noProof/>
                <w:webHidden/>
              </w:rPr>
            </w:r>
            <w:r w:rsidR="00E61CED">
              <w:rPr>
                <w:noProof/>
                <w:webHidden/>
              </w:rPr>
              <w:fldChar w:fldCharType="separate"/>
            </w:r>
            <w:r w:rsidR="00E61CED">
              <w:rPr>
                <w:noProof/>
                <w:webHidden/>
              </w:rPr>
              <w:t>14</w:t>
            </w:r>
            <w:r w:rsidR="00E61CED">
              <w:rPr>
                <w:noProof/>
                <w:webHidden/>
              </w:rPr>
              <w:fldChar w:fldCharType="end"/>
            </w:r>
          </w:hyperlink>
        </w:p>
        <w:p w:rsidR="00E61CED" w:rsidRDefault="00AB6FE7">
          <w:pPr>
            <w:pStyle w:val="TOC3"/>
            <w:tabs>
              <w:tab w:val="right" w:leader="dot" w:pos="9019"/>
            </w:tabs>
            <w:rPr>
              <w:rFonts w:asciiTheme="minorHAnsi" w:eastAsiaTheme="minorEastAsia" w:hAnsiTheme="minorHAnsi" w:cstheme="minorBidi"/>
              <w:noProof/>
              <w:sz w:val="22"/>
              <w:szCs w:val="22"/>
            </w:rPr>
          </w:pPr>
          <w:hyperlink w:anchor="_Toc241178724" w:history="1">
            <w:r w:rsidR="00E61CED" w:rsidRPr="00D548B7">
              <w:rPr>
                <w:rStyle w:val="Hyperlink"/>
                <w:noProof/>
              </w:rPr>
              <w:t>1.4.1 Aim</w:t>
            </w:r>
            <w:r w:rsidR="00E61CED">
              <w:rPr>
                <w:noProof/>
                <w:webHidden/>
              </w:rPr>
              <w:tab/>
            </w:r>
            <w:r w:rsidR="00E61CED">
              <w:rPr>
                <w:noProof/>
                <w:webHidden/>
              </w:rPr>
              <w:fldChar w:fldCharType="begin"/>
            </w:r>
            <w:r w:rsidR="00E61CED">
              <w:rPr>
                <w:noProof/>
                <w:webHidden/>
              </w:rPr>
              <w:instrText xml:space="preserve"> PAGEREF _Toc241178724 \h </w:instrText>
            </w:r>
            <w:r w:rsidR="00E61CED">
              <w:rPr>
                <w:noProof/>
                <w:webHidden/>
              </w:rPr>
            </w:r>
            <w:r w:rsidR="00E61CED">
              <w:rPr>
                <w:noProof/>
                <w:webHidden/>
              </w:rPr>
              <w:fldChar w:fldCharType="separate"/>
            </w:r>
            <w:r w:rsidR="00E61CED">
              <w:rPr>
                <w:noProof/>
                <w:webHidden/>
              </w:rPr>
              <w:t>14</w:t>
            </w:r>
            <w:r w:rsidR="00E61CED">
              <w:rPr>
                <w:noProof/>
                <w:webHidden/>
              </w:rPr>
              <w:fldChar w:fldCharType="end"/>
            </w:r>
          </w:hyperlink>
        </w:p>
        <w:p w:rsidR="00E61CED" w:rsidRDefault="00AB6FE7">
          <w:pPr>
            <w:pStyle w:val="TOC3"/>
            <w:tabs>
              <w:tab w:val="right" w:leader="dot" w:pos="9019"/>
            </w:tabs>
            <w:rPr>
              <w:rFonts w:asciiTheme="minorHAnsi" w:eastAsiaTheme="minorEastAsia" w:hAnsiTheme="minorHAnsi" w:cstheme="minorBidi"/>
              <w:noProof/>
              <w:sz w:val="22"/>
              <w:szCs w:val="22"/>
            </w:rPr>
          </w:pPr>
          <w:hyperlink w:anchor="_Toc241178725" w:history="1">
            <w:r w:rsidR="00E61CED" w:rsidRPr="00D548B7">
              <w:rPr>
                <w:rStyle w:val="Hyperlink"/>
                <w:noProof/>
              </w:rPr>
              <w:t>1.4.2 Objectives</w:t>
            </w:r>
            <w:r w:rsidR="00E61CED">
              <w:rPr>
                <w:noProof/>
                <w:webHidden/>
              </w:rPr>
              <w:tab/>
            </w:r>
            <w:r w:rsidR="00E61CED">
              <w:rPr>
                <w:noProof/>
                <w:webHidden/>
              </w:rPr>
              <w:fldChar w:fldCharType="begin"/>
            </w:r>
            <w:r w:rsidR="00E61CED">
              <w:rPr>
                <w:noProof/>
                <w:webHidden/>
              </w:rPr>
              <w:instrText xml:space="preserve"> PAGEREF _Toc241178725 \h </w:instrText>
            </w:r>
            <w:r w:rsidR="00E61CED">
              <w:rPr>
                <w:noProof/>
                <w:webHidden/>
              </w:rPr>
            </w:r>
            <w:r w:rsidR="00E61CED">
              <w:rPr>
                <w:noProof/>
                <w:webHidden/>
              </w:rPr>
              <w:fldChar w:fldCharType="separate"/>
            </w:r>
            <w:r w:rsidR="00E61CED">
              <w:rPr>
                <w:noProof/>
                <w:webHidden/>
              </w:rPr>
              <w:t>14</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26" w:history="1">
            <w:r w:rsidR="00E61CED" w:rsidRPr="00D548B7">
              <w:rPr>
                <w:rStyle w:val="Hyperlink"/>
                <w:noProof/>
              </w:rPr>
              <w:t>1.5 Research Questions</w:t>
            </w:r>
            <w:r w:rsidR="00E61CED">
              <w:rPr>
                <w:noProof/>
                <w:webHidden/>
              </w:rPr>
              <w:tab/>
            </w:r>
            <w:r w:rsidR="00E61CED">
              <w:rPr>
                <w:noProof/>
                <w:webHidden/>
              </w:rPr>
              <w:fldChar w:fldCharType="begin"/>
            </w:r>
            <w:r w:rsidR="00E61CED">
              <w:rPr>
                <w:noProof/>
                <w:webHidden/>
              </w:rPr>
              <w:instrText xml:space="preserve"> PAGEREF _Toc241178726 \h </w:instrText>
            </w:r>
            <w:r w:rsidR="00E61CED">
              <w:rPr>
                <w:noProof/>
                <w:webHidden/>
              </w:rPr>
            </w:r>
            <w:r w:rsidR="00E61CED">
              <w:rPr>
                <w:noProof/>
                <w:webHidden/>
              </w:rPr>
              <w:fldChar w:fldCharType="separate"/>
            </w:r>
            <w:r w:rsidR="00E61CED">
              <w:rPr>
                <w:noProof/>
                <w:webHidden/>
              </w:rPr>
              <w:t>15</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27" w:history="1">
            <w:r w:rsidR="00E61CED" w:rsidRPr="00D548B7">
              <w:rPr>
                <w:rStyle w:val="Hyperlink"/>
                <w:noProof/>
              </w:rPr>
              <w:t>1.6 Significance</w:t>
            </w:r>
            <w:r w:rsidR="00E61CED">
              <w:rPr>
                <w:noProof/>
                <w:webHidden/>
              </w:rPr>
              <w:tab/>
            </w:r>
            <w:r w:rsidR="00E61CED">
              <w:rPr>
                <w:noProof/>
                <w:webHidden/>
              </w:rPr>
              <w:fldChar w:fldCharType="begin"/>
            </w:r>
            <w:r w:rsidR="00E61CED">
              <w:rPr>
                <w:noProof/>
                <w:webHidden/>
              </w:rPr>
              <w:instrText xml:space="preserve"> PAGEREF _Toc241178727 \h </w:instrText>
            </w:r>
            <w:r w:rsidR="00E61CED">
              <w:rPr>
                <w:noProof/>
                <w:webHidden/>
              </w:rPr>
            </w:r>
            <w:r w:rsidR="00E61CED">
              <w:rPr>
                <w:noProof/>
                <w:webHidden/>
              </w:rPr>
              <w:fldChar w:fldCharType="separate"/>
            </w:r>
            <w:r w:rsidR="00E61CED">
              <w:rPr>
                <w:noProof/>
                <w:webHidden/>
              </w:rPr>
              <w:t>15</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28" w:history="1">
            <w:r w:rsidR="00E61CED" w:rsidRPr="00D548B7">
              <w:rPr>
                <w:rStyle w:val="Hyperlink"/>
                <w:noProof/>
              </w:rPr>
              <w:t xml:space="preserve">1.7 </w:t>
            </w:r>
            <w:r w:rsidR="00E61CED" w:rsidRPr="00D548B7">
              <w:rPr>
                <w:rStyle w:val="Hyperlink"/>
                <w:noProof/>
                <w:shd w:val="clear" w:color="auto" w:fill="FFFFFF"/>
              </w:rPr>
              <w:t>Summary of literature review</w:t>
            </w:r>
            <w:r w:rsidR="00E61CED">
              <w:rPr>
                <w:noProof/>
                <w:webHidden/>
              </w:rPr>
              <w:tab/>
            </w:r>
            <w:r w:rsidR="00E61CED">
              <w:rPr>
                <w:noProof/>
                <w:webHidden/>
              </w:rPr>
              <w:fldChar w:fldCharType="begin"/>
            </w:r>
            <w:r w:rsidR="00E61CED">
              <w:rPr>
                <w:noProof/>
                <w:webHidden/>
              </w:rPr>
              <w:instrText xml:space="preserve"> PAGEREF _Toc241178728 \h </w:instrText>
            </w:r>
            <w:r w:rsidR="00E61CED">
              <w:rPr>
                <w:noProof/>
                <w:webHidden/>
              </w:rPr>
            </w:r>
            <w:r w:rsidR="00E61CED">
              <w:rPr>
                <w:noProof/>
                <w:webHidden/>
              </w:rPr>
              <w:fldChar w:fldCharType="separate"/>
            </w:r>
            <w:r w:rsidR="00E61CED">
              <w:rPr>
                <w:noProof/>
                <w:webHidden/>
              </w:rPr>
              <w:t>15</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29" w:history="1">
            <w:r w:rsidR="00E61CED" w:rsidRPr="00D548B7">
              <w:rPr>
                <w:rStyle w:val="Hyperlink"/>
                <w:noProof/>
              </w:rPr>
              <w:t>1.8 Summary of method</w:t>
            </w:r>
            <w:r w:rsidR="00E61CED">
              <w:rPr>
                <w:noProof/>
                <w:webHidden/>
              </w:rPr>
              <w:tab/>
            </w:r>
            <w:r w:rsidR="00E61CED">
              <w:rPr>
                <w:noProof/>
                <w:webHidden/>
              </w:rPr>
              <w:fldChar w:fldCharType="begin"/>
            </w:r>
            <w:r w:rsidR="00E61CED">
              <w:rPr>
                <w:noProof/>
                <w:webHidden/>
              </w:rPr>
              <w:instrText xml:space="preserve"> PAGEREF _Toc241178729 \h </w:instrText>
            </w:r>
            <w:r w:rsidR="00E61CED">
              <w:rPr>
                <w:noProof/>
                <w:webHidden/>
              </w:rPr>
            </w:r>
            <w:r w:rsidR="00E61CED">
              <w:rPr>
                <w:noProof/>
                <w:webHidden/>
              </w:rPr>
              <w:fldChar w:fldCharType="separate"/>
            </w:r>
            <w:r w:rsidR="00E61CED">
              <w:rPr>
                <w:noProof/>
                <w:webHidden/>
              </w:rPr>
              <w:t>16</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30" w:history="1">
            <w:r w:rsidR="00E61CED" w:rsidRPr="00D548B7">
              <w:rPr>
                <w:rStyle w:val="Hyperlink"/>
                <w:noProof/>
              </w:rPr>
              <w:t xml:space="preserve">1.9 </w:t>
            </w:r>
            <w:r w:rsidR="00E61CED" w:rsidRPr="00D548B7">
              <w:rPr>
                <w:rStyle w:val="Hyperlink"/>
                <w:noProof/>
                <w:shd w:val="clear" w:color="auto" w:fill="FFFFFF"/>
              </w:rPr>
              <w:t>Main findings of data analysis</w:t>
            </w:r>
            <w:r w:rsidR="00E61CED">
              <w:rPr>
                <w:noProof/>
                <w:webHidden/>
              </w:rPr>
              <w:tab/>
            </w:r>
            <w:r w:rsidR="00E61CED">
              <w:rPr>
                <w:noProof/>
                <w:webHidden/>
              </w:rPr>
              <w:fldChar w:fldCharType="begin"/>
            </w:r>
            <w:r w:rsidR="00E61CED">
              <w:rPr>
                <w:noProof/>
                <w:webHidden/>
              </w:rPr>
              <w:instrText xml:space="preserve"> PAGEREF _Toc241178730 \h </w:instrText>
            </w:r>
            <w:r w:rsidR="00E61CED">
              <w:rPr>
                <w:noProof/>
                <w:webHidden/>
              </w:rPr>
            </w:r>
            <w:r w:rsidR="00E61CED">
              <w:rPr>
                <w:noProof/>
                <w:webHidden/>
              </w:rPr>
              <w:fldChar w:fldCharType="separate"/>
            </w:r>
            <w:r w:rsidR="00E61CED">
              <w:rPr>
                <w:noProof/>
                <w:webHidden/>
              </w:rPr>
              <w:t>16</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31" w:history="1">
            <w:r w:rsidR="00E61CED" w:rsidRPr="00D548B7">
              <w:rPr>
                <w:rStyle w:val="Hyperlink"/>
                <w:noProof/>
              </w:rPr>
              <w:t>1.10 Structure of Dissertation</w:t>
            </w:r>
            <w:r w:rsidR="00E61CED">
              <w:rPr>
                <w:noProof/>
                <w:webHidden/>
              </w:rPr>
              <w:tab/>
            </w:r>
            <w:r w:rsidR="00E61CED">
              <w:rPr>
                <w:noProof/>
                <w:webHidden/>
              </w:rPr>
              <w:fldChar w:fldCharType="begin"/>
            </w:r>
            <w:r w:rsidR="00E61CED">
              <w:rPr>
                <w:noProof/>
                <w:webHidden/>
              </w:rPr>
              <w:instrText xml:space="preserve"> PAGEREF _Toc241178731 \h </w:instrText>
            </w:r>
            <w:r w:rsidR="00E61CED">
              <w:rPr>
                <w:noProof/>
                <w:webHidden/>
              </w:rPr>
            </w:r>
            <w:r w:rsidR="00E61CED">
              <w:rPr>
                <w:noProof/>
                <w:webHidden/>
              </w:rPr>
              <w:fldChar w:fldCharType="separate"/>
            </w:r>
            <w:r w:rsidR="00E61CED">
              <w:rPr>
                <w:noProof/>
                <w:webHidden/>
              </w:rPr>
              <w:t>17</w:t>
            </w:r>
            <w:r w:rsidR="00E61CED">
              <w:rPr>
                <w:noProof/>
                <w:webHidden/>
              </w:rPr>
              <w:fldChar w:fldCharType="end"/>
            </w:r>
          </w:hyperlink>
        </w:p>
        <w:p w:rsidR="00E61CED" w:rsidRDefault="00AB6FE7">
          <w:pPr>
            <w:pStyle w:val="TOC1"/>
            <w:tabs>
              <w:tab w:val="right" w:leader="dot" w:pos="9019"/>
            </w:tabs>
            <w:rPr>
              <w:rFonts w:asciiTheme="minorHAnsi" w:eastAsiaTheme="minorEastAsia" w:hAnsiTheme="minorHAnsi" w:cstheme="minorBidi"/>
              <w:noProof/>
              <w:sz w:val="22"/>
              <w:szCs w:val="22"/>
            </w:rPr>
          </w:pPr>
          <w:hyperlink w:anchor="_Toc241178732" w:history="1">
            <w:r w:rsidR="00E61CED" w:rsidRPr="00D548B7">
              <w:rPr>
                <w:rStyle w:val="Hyperlink"/>
                <w:noProof/>
              </w:rPr>
              <w:t>Chapter 2: Literature Review</w:t>
            </w:r>
            <w:r w:rsidR="00E61CED">
              <w:rPr>
                <w:noProof/>
                <w:webHidden/>
              </w:rPr>
              <w:tab/>
            </w:r>
            <w:r w:rsidR="00E61CED">
              <w:rPr>
                <w:noProof/>
                <w:webHidden/>
              </w:rPr>
              <w:fldChar w:fldCharType="begin"/>
            </w:r>
            <w:r w:rsidR="00E61CED">
              <w:rPr>
                <w:noProof/>
                <w:webHidden/>
              </w:rPr>
              <w:instrText xml:space="preserve"> PAGEREF _Toc241178732 \h </w:instrText>
            </w:r>
            <w:r w:rsidR="00E61CED">
              <w:rPr>
                <w:noProof/>
                <w:webHidden/>
              </w:rPr>
            </w:r>
            <w:r w:rsidR="00E61CED">
              <w:rPr>
                <w:noProof/>
                <w:webHidden/>
              </w:rPr>
              <w:fldChar w:fldCharType="separate"/>
            </w:r>
            <w:r w:rsidR="00E61CED">
              <w:rPr>
                <w:noProof/>
                <w:webHidden/>
              </w:rPr>
              <w:t>19</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33" w:history="1">
            <w:r w:rsidR="00E61CED" w:rsidRPr="00D548B7">
              <w:rPr>
                <w:rStyle w:val="Hyperlink"/>
                <w:noProof/>
              </w:rPr>
              <w:t>2.1 Introduction</w:t>
            </w:r>
            <w:r w:rsidR="00E61CED">
              <w:rPr>
                <w:noProof/>
                <w:webHidden/>
              </w:rPr>
              <w:tab/>
            </w:r>
            <w:r w:rsidR="00E61CED">
              <w:rPr>
                <w:noProof/>
                <w:webHidden/>
              </w:rPr>
              <w:fldChar w:fldCharType="begin"/>
            </w:r>
            <w:r w:rsidR="00E61CED">
              <w:rPr>
                <w:noProof/>
                <w:webHidden/>
              </w:rPr>
              <w:instrText xml:space="preserve"> PAGEREF _Toc241178733 \h </w:instrText>
            </w:r>
            <w:r w:rsidR="00E61CED">
              <w:rPr>
                <w:noProof/>
                <w:webHidden/>
              </w:rPr>
            </w:r>
            <w:r w:rsidR="00E61CED">
              <w:rPr>
                <w:noProof/>
                <w:webHidden/>
              </w:rPr>
              <w:fldChar w:fldCharType="separate"/>
            </w:r>
            <w:r w:rsidR="00E61CED">
              <w:rPr>
                <w:noProof/>
                <w:webHidden/>
              </w:rPr>
              <w:t>19</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34" w:history="1">
            <w:r w:rsidR="00E61CED" w:rsidRPr="00D548B7">
              <w:rPr>
                <w:rStyle w:val="Hyperlink"/>
                <w:noProof/>
              </w:rPr>
              <w:t>2.2 Overview of Artificial Intelligence (AI) in Financial Services</w:t>
            </w:r>
            <w:r w:rsidR="00E61CED">
              <w:rPr>
                <w:noProof/>
                <w:webHidden/>
              </w:rPr>
              <w:tab/>
            </w:r>
            <w:r w:rsidR="00E61CED">
              <w:rPr>
                <w:noProof/>
                <w:webHidden/>
              </w:rPr>
              <w:fldChar w:fldCharType="begin"/>
            </w:r>
            <w:r w:rsidR="00E61CED">
              <w:rPr>
                <w:noProof/>
                <w:webHidden/>
              </w:rPr>
              <w:instrText xml:space="preserve"> PAGEREF _Toc241178734 \h </w:instrText>
            </w:r>
            <w:r w:rsidR="00E61CED">
              <w:rPr>
                <w:noProof/>
                <w:webHidden/>
              </w:rPr>
            </w:r>
            <w:r w:rsidR="00E61CED">
              <w:rPr>
                <w:noProof/>
                <w:webHidden/>
              </w:rPr>
              <w:fldChar w:fldCharType="separate"/>
            </w:r>
            <w:r w:rsidR="00E61CED">
              <w:rPr>
                <w:noProof/>
                <w:webHidden/>
              </w:rPr>
              <w:t>19</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35" w:history="1">
            <w:r w:rsidR="00E61CED" w:rsidRPr="00D548B7">
              <w:rPr>
                <w:rStyle w:val="Hyperlink"/>
                <w:noProof/>
              </w:rPr>
              <w:t>2.3 About AI-Generated Financial Advice for First-Time Investors</w:t>
            </w:r>
            <w:r w:rsidR="00E61CED">
              <w:rPr>
                <w:noProof/>
                <w:webHidden/>
              </w:rPr>
              <w:tab/>
            </w:r>
            <w:r w:rsidR="00E61CED">
              <w:rPr>
                <w:noProof/>
                <w:webHidden/>
              </w:rPr>
              <w:fldChar w:fldCharType="begin"/>
            </w:r>
            <w:r w:rsidR="00E61CED">
              <w:rPr>
                <w:noProof/>
                <w:webHidden/>
              </w:rPr>
              <w:instrText xml:space="preserve"> PAGEREF _Toc241178735 \h </w:instrText>
            </w:r>
            <w:r w:rsidR="00E61CED">
              <w:rPr>
                <w:noProof/>
                <w:webHidden/>
              </w:rPr>
            </w:r>
            <w:r w:rsidR="00E61CED">
              <w:rPr>
                <w:noProof/>
                <w:webHidden/>
              </w:rPr>
              <w:fldChar w:fldCharType="separate"/>
            </w:r>
            <w:r w:rsidR="00E61CED">
              <w:rPr>
                <w:noProof/>
                <w:webHidden/>
              </w:rPr>
              <w:t>20</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36" w:history="1">
            <w:r w:rsidR="00E61CED" w:rsidRPr="00D548B7">
              <w:rPr>
                <w:rStyle w:val="Hyperlink"/>
                <w:noProof/>
              </w:rPr>
              <w:t>2.4 Analysis of the Adoption of AI-Generated Financial Advice in the Investment Sector</w:t>
            </w:r>
            <w:r w:rsidR="00E61CED">
              <w:rPr>
                <w:noProof/>
                <w:webHidden/>
              </w:rPr>
              <w:tab/>
            </w:r>
            <w:r w:rsidR="00E61CED">
              <w:rPr>
                <w:noProof/>
                <w:webHidden/>
              </w:rPr>
              <w:fldChar w:fldCharType="begin"/>
            </w:r>
            <w:r w:rsidR="00E61CED">
              <w:rPr>
                <w:noProof/>
                <w:webHidden/>
              </w:rPr>
              <w:instrText xml:space="preserve"> PAGEREF _Toc241178736 \h </w:instrText>
            </w:r>
            <w:r w:rsidR="00E61CED">
              <w:rPr>
                <w:noProof/>
                <w:webHidden/>
              </w:rPr>
            </w:r>
            <w:r w:rsidR="00E61CED">
              <w:rPr>
                <w:noProof/>
                <w:webHidden/>
              </w:rPr>
              <w:fldChar w:fldCharType="separate"/>
            </w:r>
            <w:r w:rsidR="00E61CED">
              <w:rPr>
                <w:noProof/>
                <w:webHidden/>
              </w:rPr>
              <w:t>22</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37" w:history="1">
            <w:r w:rsidR="00E61CED" w:rsidRPr="00D548B7">
              <w:rPr>
                <w:rStyle w:val="Hyperlink"/>
                <w:noProof/>
              </w:rPr>
              <w:t>2.5 Factors Influencing Trust of First-Time Investors in AI-Generated Financial Advice</w:t>
            </w:r>
            <w:r w:rsidR="00E61CED">
              <w:rPr>
                <w:noProof/>
                <w:webHidden/>
              </w:rPr>
              <w:tab/>
            </w:r>
            <w:r w:rsidR="00E61CED">
              <w:rPr>
                <w:noProof/>
                <w:webHidden/>
              </w:rPr>
              <w:fldChar w:fldCharType="begin"/>
            </w:r>
            <w:r w:rsidR="00E61CED">
              <w:rPr>
                <w:noProof/>
                <w:webHidden/>
              </w:rPr>
              <w:instrText xml:space="preserve"> PAGEREF _Toc241178737 \h </w:instrText>
            </w:r>
            <w:r w:rsidR="00E61CED">
              <w:rPr>
                <w:noProof/>
                <w:webHidden/>
              </w:rPr>
            </w:r>
            <w:r w:rsidR="00E61CED">
              <w:rPr>
                <w:noProof/>
                <w:webHidden/>
              </w:rPr>
              <w:fldChar w:fldCharType="separate"/>
            </w:r>
            <w:r w:rsidR="00E61CED">
              <w:rPr>
                <w:noProof/>
                <w:webHidden/>
              </w:rPr>
              <w:t>23</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38" w:history="1">
            <w:r w:rsidR="00E61CED" w:rsidRPr="00D548B7">
              <w:rPr>
                <w:rStyle w:val="Hyperlink"/>
                <w:noProof/>
              </w:rPr>
              <w:t>2.6 Relationship Between AI-Created Financial Advice and Investment Confidence</w:t>
            </w:r>
            <w:r w:rsidR="00E61CED">
              <w:rPr>
                <w:noProof/>
                <w:webHidden/>
              </w:rPr>
              <w:tab/>
            </w:r>
            <w:r w:rsidR="00E61CED">
              <w:rPr>
                <w:noProof/>
                <w:webHidden/>
              </w:rPr>
              <w:fldChar w:fldCharType="begin"/>
            </w:r>
            <w:r w:rsidR="00E61CED">
              <w:rPr>
                <w:noProof/>
                <w:webHidden/>
              </w:rPr>
              <w:instrText xml:space="preserve"> PAGEREF _Toc241178738 \h </w:instrText>
            </w:r>
            <w:r w:rsidR="00E61CED">
              <w:rPr>
                <w:noProof/>
                <w:webHidden/>
              </w:rPr>
            </w:r>
            <w:r w:rsidR="00E61CED">
              <w:rPr>
                <w:noProof/>
                <w:webHidden/>
              </w:rPr>
              <w:fldChar w:fldCharType="separate"/>
            </w:r>
            <w:r w:rsidR="00E61CED">
              <w:rPr>
                <w:noProof/>
                <w:webHidden/>
              </w:rPr>
              <w:t>24</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39" w:history="1">
            <w:r w:rsidR="00E61CED" w:rsidRPr="00D548B7">
              <w:rPr>
                <w:rStyle w:val="Hyperlink"/>
                <w:noProof/>
              </w:rPr>
              <w:t>2.7 Challenges of AI-Generated Financial Advice Affecting Confidence of First-Time Users</w:t>
            </w:r>
            <w:r w:rsidR="00E61CED">
              <w:rPr>
                <w:noProof/>
                <w:webHidden/>
              </w:rPr>
              <w:tab/>
            </w:r>
            <w:r w:rsidR="00E61CED">
              <w:rPr>
                <w:noProof/>
                <w:webHidden/>
              </w:rPr>
              <w:fldChar w:fldCharType="begin"/>
            </w:r>
            <w:r w:rsidR="00E61CED">
              <w:rPr>
                <w:noProof/>
                <w:webHidden/>
              </w:rPr>
              <w:instrText xml:space="preserve"> PAGEREF _Toc241178739 \h </w:instrText>
            </w:r>
            <w:r w:rsidR="00E61CED">
              <w:rPr>
                <w:noProof/>
                <w:webHidden/>
              </w:rPr>
            </w:r>
            <w:r w:rsidR="00E61CED">
              <w:rPr>
                <w:noProof/>
                <w:webHidden/>
              </w:rPr>
              <w:fldChar w:fldCharType="separate"/>
            </w:r>
            <w:r w:rsidR="00E61CED">
              <w:rPr>
                <w:noProof/>
                <w:webHidden/>
              </w:rPr>
              <w:t>26</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40" w:history="1">
            <w:r w:rsidR="00E61CED" w:rsidRPr="00D548B7">
              <w:rPr>
                <w:rStyle w:val="Hyperlink"/>
                <w:noProof/>
              </w:rPr>
              <w:t>2.8 Strategies for Responsible AI-Generated Financial Advice in the UK Investment Sector</w:t>
            </w:r>
            <w:r w:rsidR="00E61CED">
              <w:rPr>
                <w:noProof/>
                <w:webHidden/>
              </w:rPr>
              <w:tab/>
            </w:r>
            <w:r w:rsidR="00E61CED">
              <w:rPr>
                <w:noProof/>
                <w:webHidden/>
              </w:rPr>
              <w:fldChar w:fldCharType="begin"/>
            </w:r>
            <w:r w:rsidR="00E61CED">
              <w:rPr>
                <w:noProof/>
                <w:webHidden/>
              </w:rPr>
              <w:instrText xml:space="preserve"> PAGEREF _Toc241178740 \h </w:instrText>
            </w:r>
            <w:r w:rsidR="00E61CED">
              <w:rPr>
                <w:noProof/>
                <w:webHidden/>
              </w:rPr>
            </w:r>
            <w:r w:rsidR="00E61CED">
              <w:rPr>
                <w:noProof/>
                <w:webHidden/>
              </w:rPr>
              <w:fldChar w:fldCharType="separate"/>
            </w:r>
            <w:r w:rsidR="00E61CED">
              <w:rPr>
                <w:noProof/>
                <w:webHidden/>
              </w:rPr>
              <w:t>28</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41" w:history="1">
            <w:r w:rsidR="00E61CED" w:rsidRPr="00D548B7">
              <w:rPr>
                <w:rStyle w:val="Hyperlink"/>
                <w:noProof/>
              </w:rPr>
              <w:t>2.9 Theoretical Understanding</w:t>
            </w:r>
            <w:r w:rsidR="00E61CED">
              <w:rPr>
                <w:noProof/>
                <w:webHidden/>
              </w:rPr>
              <w:tab/>
            </w:r>
            <w:r w:rsidR="00E61CED">
              <w:rPr>
                <w:noProof/>
                <w:webHidden/>
              </w:rPr>
              <w:fldChar w:fldCharType="begin"/>
            </w:r>
            <w:r w:rsidR="00E61CED">
              <w:rPr>
                <w:noProof/>
                <w:webHidden/>
              </w:rPr>
              <w:instrText xml:space="preserve"> PAGEREF _Toc241178741 \h </w:instrText>
            </w:r>
            <w:r w:rsidR="00E61CED">
              <w:rPr>
                <w:noProof/>
                <w:webHidden/>
              </w:rPr>
            </w:r>
            <w:r w:rsidR="00E61CED">
              <w:rPr>
                <w:noProof/>
                <w:webHidden/>
              </w:rPr>
              <w:fldChar w:fldCharType="separate"/>
            </w:r>
            <w:r w:rsidR="00E61CED">
              <w:rPr>
                <w:noProof/>
                <w:webHidden/>
              </w:rPr>
              <w:t>29</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42" w:history="1">
            <w:r w:rsidR="00E61CED" w:rsidRPr="00D548B7">
              <w:rPr>
                <w:rStyle w:val="Hyperlink"/>
                <w:noProof/>
              </w:rPr>
              <w:t>2.10 Conceptual Framework</w:t>
            </w:r>
            <w:r w:rsidR="00E61CED">
              <w:rPr>
                <w:noProof/>
                <w:webHidden/>
              </w:rPr>
              <w:tab/>
            </w:r>
            <w:r w:rsidR="00E61CED">
              <w:rPr>
                <w:noProof/>
                <w:webHidden/>
              </w:rPr>
              <w:fldChar w:fldCharType="begin"/>
            </w:r>
            <w:r w:rsidR="00E61CED">
              <w:rPr>
                <w:noProof/>
                <w:webHidden/>
              </w:rPr>
              <w:instrText xml:space="preserve"> PAGEREF _Toc241178742 \h </w:instrText>
            </w:r>
            <w:r w:rsidR="00E61CED">
              <w:rPr>
                <w:noProof/>
                <w:webHidden/>
              </w:rPr>
            </w:r>
            <w:r w:rsidR="00E61CED">
              <w:rPr>
                <w:noProof/>
                <w:webHidden/>
              </w:rPr>
              <w:fldChar w:fldCharType="separate"/>
            </w:r>
            <w:r w:rsidR="00E61CED">
              <w:rPr>
                <w:noProof/>
                <w:webHidden/>
              </w:rPr>
              <w:t>31</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43" w:history="1">
            <w:r w:rsidR="00E61CED" w:rsidRPr="00D548B7">
              <w:rPr>
                <w:rStyle w:val="Hyperlink"/>
                <w:noProof/>
              </w:rPr>
              <w:t>2.11 Literature Gap</w:t>
            </w:r>
            <w:r w:rsidR="00E61CED">
              <w:rPr>
                <w:noProof/>
                <w:webHidden/>
              </w:rPr>
              <w:tab/>
            </w:r>
            <w:r w:rsidR="00E61CED">
              <w:rPr>
                <w:noProof/>
                <w:webHidden/>
              </w:rPr>
              <w:fldChar w:fldCharType="begin"/>
            </w:r>
            <w:r w:rsidR="00E61CED">
              <w:rPr>
                <w:noProof/>
                <w:webHidden/>
              </w:rPr>
              <w:instrText xml:space="preserve"> PAGEREF _Toc241178743 \h </w:instrText>
            </w:r>
            <w:r w:rsidR="00E61CED">
              <w:rPr>
                <w:noProof/>
                <w:webHidden/>
              </w:rPr>
            </w:r>
            <w:r w:rsidR="00E61CED">
              <w:rPr>
                <w:noProof/>
                <w:webHidden/>
              </w:rPr>
              <w:fldChar w:fldCharType="separate"/>
            </w:r>
            <w:r w:rsidR="00E61CED">
              <w:rPr>
                <w:noProof/>
                <w:webHidden/>
              </w:rPr>
              <w:t>31</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44" w:history="1">
            <w:r w:rsidR="00E61CED" w:rsidRPr="00D548B7">
              <w:rPr>
                <w:rStyle w:val="Hyperlink"/>
                <w:noProof/>
              </w:rPr>
              <w:t>2.12 Summary</w:t>
            </w:r>
            <w:r w:rsidR="00E61CED">
              <w:rPr>
                <w:noProof/>
                <w:webHidden/>
              </w:rPr>
              <w:tab/>
            </w:r>
            <w:r w:rsidR="00E61CED">
              <w:rPr>
                <w:noProof/>
                <w:webHidden/>
              </w:rPr>
              <w:fldChar w:fldCharType="begin"/>
            </w:r>
            <w:r w:rsidR="00E61CED">
              <w:rPr>
                <w:noProof/>
                <w:webHidden/>
              </w:rPr>
              <w:instrText xml:space="preserve"> PAGEREF _Toc241178744 \h </w:instrText>
            </w:r>
            <w:r w:rsidR="00E61CED">
              <w:rPr>
                <w:noProof/>
                <w:webHidden/>
              </w:rPr>
            </w:r>
            <w:r w:rsidR="00E61CED">
              <w:rPr>
                <w:noProof/>
                <w:webHidden/>
              </w:rPr>
              <w:fldChar w:fldCharType="separate"/>
            </w:r>
            <w:r w:rsidR="00E61CED">
              <w:rPr>
                <w:noProof/>
                <w:webHidden/>
              </w:rPr>
              <w:t>32</w:t>
            </w:r>
            <w:r w:rsidR="00E61CED">
              <w:rPr>
                <w:noProof/>
                <w:webHidden/>
              </w:rPr>
              <w:fldChar w:fldCharType="end"/>
            </w:r>
          </w:hyperlink>
        </w:p>
        <w:p w:rsidR="00E61CED" w:rsidRDefault="00AB6FE7">
          <w:pPr>
            <w:pStyle w:val="TOC1"/>
            <w:tabs>
              <w:tab w:val="right" w:leader="dot" w:pos="9019"/>
            </w:tabs>
            <w:rPr>
              <w:rFonts w:asciiTheme="minorHAnsi" w:eastAsiaTheme="minorEastAsia" w:hAnsiTheme="minorHAnsi" w:cstheme="minorBidi"/>
              <w:noProof/>
              <w:sz w:val="22"/>
              <w:szCs w:val="22"/>
            </w:rPr>
          </w:pPr>
          <w:hyperlink w:anchor="_Toc241178745" w:history="1">
            <w:r w:rsidR="00E61CED" w:rsidRPr="00D548B7">
              <w:rPr>
                <w:rStyle w:val="Hyperlink"/>
                <w:noProof/>
              </w:rPr>
              <w:t>Chapter 3: Methodology</w:t>
            </w:r>
            <w:r w:rsidR="00E61CED">
              <w:rPr>
                <w:noProof/>
                <w:webHidden/>
              </w:rPr>
              <w:tab/>
            </w:r>
            <w:r w:rsidR="00E61CED">
              <w:rPr>
                <w:noProof/>
                <w:webHidden/>
              </w:rPr>
              <w:fldChar w:fldCharType="begin"/>
            </w:r>
            <w:r w:rsidR="00E61CED">
              <w:rPr>
                <w:noProof/>
                <w:webHidden/>
              </w:rPr>
              <w:instrText xml:space="preserve"> PAGEREF _Toc241178745 \h </w:instrText>
            </w:r>
            <w:r w:rsidR="00E61CED">
              <w:rPr>
                <w:noProof/>
                <w:webHidden/>
              </w:rPr>
            </w:r>
            <w:r w:rsidR="00E61CED">
              <w:rPr>
                <w:noProof/>
                <w:webHidden/>
              </w:rPr>
              <w:fldChar w:fldCharType="separate"/>
            </w:r>
            <w:r w:rsidR="00E61CED">
              <w:rPr>
                <w:noProof/>
                <w:webHidden/>
              </w:rPr>
              <w:t>33</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46" w:history="1">
            <w:r w:rsidR="00E61CED" w:rsidRPr="00D548B7">
              <w:rPr>
                <w:rStyle w:val="Hyperlink"/>
                <w:noProof/>
              </w:rPr>
              <w:t>3.1 Introduction</w:t>
            </w:r>
            <w:r w:rsidR="00E61CED">
              <w:rPr>
                <w:noProof/>
                <w:webHidden/>
              </w:rPr>
              <w:tab/>
            </w:r>
            <w:r w:rsidR="00E61CED">
              <w:rPr>
                <w:noProof/>
                <w:webHidden/>
              </w:rPr>
              <w:fldChar w:fldCharType="begin"/>
            </w:r>
            <w:r w:rsidR="00E61CED">
              <w:rPr>
                <w:noProof/>
                <w:webHidden/>
              </w:rPr>
              <w:instrText xml:space="preserve"> PAGEREF _Toc241178746 \h </w:instrText>
            </w:r>
            <w:r w:rsidR="00E61CED">
              <w:rPr>
                <w:noProof/>
                <w:webHidden/>
              </w:rPr>
            </w:r>
            <w:r w:rsidR="00E61CED">
              <w:rPr>
                <w:noProof/>
                <w:webHidden/>
              </w:rPr>
              <w:fldChar w:fldCharType="separate"/>
            </w:r>
            <w:r w:rsidR="00E61CED">
              <w:rPr>
                <w:noProof/>
                <w:webHidden/>
              </w:rPr>
              <w:t>33</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47" w:history="1">
            <w:r w:rsidR="00E61CED" w:rsidRPr="00D548B7">
              <w:rPr>
                <w:rStyle w:val="Hyperlink"/>
                <w:noProof/>
              </w:rPr>
              <w:t>3.2 Philosophy</w:t>
            </w:r>
            <w:r w:rsidR="00E61CED">
              <w:rPr>
                <w:noProof/>
                <w:webHidden/>
              </w:rPr>
              <w:tab/>
            </w:r>
            <w:r w:rsidR="00E61CED">
              <w:rPr>
                <w:noProof/>
                <w:webHidden/>
              </w:rPr>
              <w:fldChar w:fldCharType="begin"/>
            </w:r>
            <w:r w:rsidR="00E61CED">
              <w:rPr>
                <w:noProof/>
                <w:webHidden/>
              </w:rPr>
              <w:instrText xml:space="preserve"> PAGEREF _Toc241178747 \h </w:instrText>
            </w:r>
            <w:r w:rsidR="00E61CED">
              <w:rPr>
                <w:noProof/>
                <w:webHidden/>
              </w:rPr>
            </w:r>
            <w:r w:rsidR="00E61CED">
              <w:rPr>
                <w:noProof/>
                <w:webHidden/>
              </w:rPr>
              <w:fldChar w:fldCharType="separate"/>
            </w:r>
            <w:r w:rsidR="00E61CED">
              <w:rPr>
                <w:noProof/>
                <w:webHidden/>
              </w:rPr>
              <w:t>33</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48" w:history="1">
            <w:r w:rsidR="00E61CED" w:rsidRPr="00D548B7">
              <w:rPr>
                <w:rStyle w:val="Hyperlink"/>
                <w:noProof/>
              </w:rPr>
              <w:t>3.3 Approach</w:t>
            </w:r>
            <w:r w:rsidR="00E61CED">
              <w:rPr>
                <w:noProof/>
                <w:webHidden/>
              </w:rPr>
              <w:tab/>
            </w:r>
            <w:r w:rsidR="00E61CED">
              <w:rPr>
                <w:noProof/>
                <w:webHidden/>
              </w:rPr>
              <w:fldChar w:fldCharType="begin"/>
            </w:r>
            <w:r w:rsidR="00E61CED">
              <w:rPr>
                <w:noProof/>
                <w:webHidden/>
              </w:rPr>
              <w:instrText xml:space="preserve"> PAGEREF _Toc241178748 \h </w:instrText>
            </w:r>
            <w:r w:rsidR="00E61CED">
              <w:rPr>
                <w:noProof/>
                <w:webHidden/>
              </w:rPr>
            </w:r>
            <w:r w:rsidR="00E61CED">
              <w:rPr>
                <w:noProof/>
                <w:webHidden/>
              </w:rPr>
              <w:fldChar w:fldCharType="separate"/>
            </w:r>
            <w:r w:rsidR="00E61CED">
              <w:rPr>
                <w:noProof/>
                <w:webHidden/>
              </w:rPr>
              <w:t>34</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49" w:history="1">
            <w:r w:rsidR="00E61CED" w:rsidRPr="00D548B7">
              <w:rPr>
                <w:rStyle w:val="Hyperlink"/>
                <w:noProof/>
              </w:rPr>
              <w:t>3.4 Choice</w:t>
            </w:r>
            <w:r w:rsidR="00E61CED">
              <w:rPr>
                <w:noProof/>
                <w:webHidden/>
              </w:rPr>
              <w:tab/>
            </w:r>
            <w:r w:rsidR="00E61CED">
              <w:rPr>
                <w:noProof/>
                <w:webHidden/>
              </w:rPr>
              <w:fldChar w:fldCharType="begin"/>
            </w:r>
            <w:r w:rsidR="00E61CED">
              <w:rPr>
                <w:noProof/>
                <w:webHidden/>
              </w:rPr>
              <w:instrText xml:space="preserve"> PAGEREF _Toc241178749 \h </w:instrText>
            </w:r>
            <w:r w:rsidR="00E61CED">
              <w:rPr>
                <w:noProof/>
                <w:webHidden/>
              </w:rPr>
            </w:r>
            <w:r w:rsidR="00E61CED">
              <w:rPr>
                <w:noProof/>
                <w:webHidden/>
              </w:rPr>
              <w:fldChar w:fldCharType="separate"/>
            </w:r>
            <w:r w:rsidR="00E61CED">
              <w:rPr>
                <w:noProof/>
                <w:webHidden/>
              </w:rPr>
              <w:t>35</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50" w:history="1">
            <w:r w:rsidR="00E61CED" w:rsidRPr="00D548B7">
              <w:rPr>
                <w:rStyle w:val="Hyperlink"/>
                <w:noProof/>
              </w:rPr>
              <w:t>3.5 Strategy</w:t>
            </w:r>
            <w:r w:rsidR="00E61CED">
              <w:rPr>
                <w:noProof/>
                <w:webHidden/>
              </w:rPr>
              <w:tab/>
            </w:r>
            <w:r w:rsidR="00E61CED">
              <w:rPr>
                <w:noProof/>
                <w:webHidden/>
              </w:rPr>
              <w:fldChar w:fldCharType="begin"/>
            </w:r>
            <w:r w:rsidR="00E61CED">
              <w:rPr>
                <w:noProof/>
                <w:webHidden/>
              </w:rPr>
              <w:instrText xml:space="preserve"> PAGEREF _Toc241178750 \h </w:instrText>
            </w:r>
            <w:r w:rsidR="00E61CED">
              <w:rPr>
                <w:noProof/>
                <w:webHidden/>
              </w:rPr>
            </w:r>
            <w:r w:rsidR="00E61CED">
              <w:rPr>
                <w:noProof/>
                <w:webHidden/>
              </w:rPr>
              <w:fldChar w:fldCharType="separate"/>
            </w:r>
            <w:r w:rsidR="00E61CED">
              <w:rPr>
                <w:noProof/>
                <w:webHidden/>
              </w:rPr>
              <w:t>35</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51" w:history="1">
            <w:r w:rsidR="00E61CED" w:rsidRPr="00D548B7">
              <w:rPr>
                <w:rStyle w:val="Hyperlink"/>
                <w:noProof/>
              </w:rPr>
              <w:t>3.6 Time Horizon</w:t>
            </w:r>
            <w:r w:rsidR="00E61CED">
              <w:rPr>
                <w:noProof/>
                <w:webHidden/>
              </w:rPr>
              <w:tab/>
            </w:r>
            <w:r w:rsidR="00E61CED">
              <w:rPr>
                <w:noProof/>
                <w:webHidden/>
              </w:rPr>
              <w:fldChar w:fldCharType="begin"/>
            </w:r>
            <w:r w:rsidR="00E61CED">
              <w:rPr>
                <w:noProof/>
                <w:webHidden/>
              </w:rPr>
              <w:instrText xml:space="preserve"> PAGEREF _Toc241178751 \h </w:instrText>
            </w:r>
            <w:r w:rsidR="00E61CED">
              <w:rPr>
                <w:noProof/>
                <w:webHidden/>
              </w:rPr>
            </w:r>
            <w:r w:rsidR="00E61CED">
              <w:rPr>
                <w:noProof/>
                <w:webHidden/>
              </w:rPr>
              <w:fldChar w:fldCharType="separate"/>
            </w:r>
            <w:r w:rsidR="00E61CED">
              <w:rPr>
                <w:noProof/>
                <w:webHidden/>
              </w:rPr>
              <w:t>36</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52" w:history="1">
            <w:r w:rsidR="00E61CED" w:rsidRPr="00D548B7">
              <w:rPr>
                <w:rStyle w:val="Hyperlink"/>
                <w:noProof/>
              </w:rPr>
              <w:t>3.7 Data Collection Method</w:t>
            </w:r>
            <w:r w:rsidR="00E61CED">
              <w:rPr>
                <w:noProof/>
                <w:webHidden/>
              </w:rPr>
              <w:tab/>
            </w:r>
            <w:r w:rsidR="00E61CED">
              <w:rPr>
                <w:noProof/>
                <w:webHidden/>
              </w:rPr>
              <w:fldChar w:fldCharType="begin"/>
            </w:r>
            <w:r w:rsidR="00E61CED">
              <w:rPr>
                <w:noProof/>
                <w:webHidden/>
              </w:rPr>
              <w:instrText xml:space="preserve"> PAGEREF _Toc241178752 \h </w:instrText>
            </w:r>
            <w:r w:rsidR="00E61CED">
              <w:rPr>
                <w:noProof/>
                <w:webHidden/>
              </w:rPr>
            </w:r>
            <w:r w:rsidR="00E61CED">
              <w:rPr>
                <w:noProof/>
                <w:webHidden/>
              </w:rPr>
              <w:fldChar w:fldCharType="separate"/>
            </w:r>
            <w:r w:rsidR="00E61CED">
              <w:rPr>
                <w:noProof/>
                <w:webHidden/>
              </w:rPr>
              <w:t>37</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53" w:history="1">
            <w:r w:rsidR="00E61CED" w:rsidRPr="00D548B7">
              <w:rPr>
                <w:rStyle w:val="Hyperlink"/>
                <w:noProof/>
              </w:rPr>
              <w:t>3.8 Data Analysis Technique</w:t>
            </w:r>
            <w:r w:rsidR="00E61CED">
              <w:rPr>
                <w:noProof/>
                <w:webHidden/>
              </w:rPr>
              <w:tab/>
            </w:r>
            <w:r w:rsidR="00E61CED">
              <w:rPr>
                <w:noProof/>
                <w:webHidden/>
              </w:rPr>
              <w:fldChar w:fldCharType="begin"/>
            </w:r>
            <w:r w:rsidR="00E61CED">
              <w:rPr>
                <w:noProof/>
                <w:webHidden/>
              </w:rPr>
              <w:instrText xml:space="preserve"> PAGEREF _Toc241178753 \h </w:instrText>
            </w:r>
            <w:r w:rsidR="00E61CED">
              <w:rPr>
                <w:noProof/>
                <w:webHidden/>
              </w:rPr>
            </w:r>
            <w:r w:rsidR="00E61CED">
              <w:rPr>
                <w:noProof/>
                <w:webHidden/>
              </w:rPr>
              <w:fldChar w:fldCharType="separate"/>
            </w:r>
            <w:r w:rsidR="00E61CED">
              <w:rPr>
                <w:noProof/>
                <w:webHidden/>
              </w:rPr>
              <w:t>38</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54" w:history="1">
            <w:r w:rsidR="00E61CED" w:rsidRPr="00D548B7">
              <w:rPr>
                <w:rStyle w:val="Hyperlink"/>
                <w:noProof/>
              </w:rPr>
              <w:t>3.9 Ethical Considerations</w:t>
            </w:r>
            <w:r w:rsidR="00E61CED">
              <w:rPr>
                <w:noProof/>
                <w:webHidden/>
              </w:rPr>
              <w:tab/>
            </w:r>
            <w:r w:rsidR="00E61CED">
              <w:rPr>
                <w:noProof/>
                <w:webHidden/>
              </w:rPr>
              <w:fldChar w:fldCharType="begin"/>
            </w:r>
            <w:r w:rsidR="00E61CED">
              <w:rPr>
                <w:noProof/>
                <w:webHidden/>
              </w:rPr>
              <w:instrText xml:space="preserve"> PAGEREF _Toc241178754 \h </w:instrText>
            </w:r>
            <w:r w:rsidR="00E61CED">
              <w:rPr>
                <w:noProof/>
                <w:webHidden/>
              </w:rPr>
            </w:r>
            <w:r w:rsidR="00E61CED">
              <w:rPr>
                <w:noProof/>
                <w:webHidden/>
              </w:rPr>
              <w:fldChar w:fldCharType="separate"/>
            </w:r>
            <w:r w:rsidR="00E61CED">
              <w:rPr>
                <w:noProof/>
                <w:webHidden/>
              </w:rPr>
              <w:t>39</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55" w:history="1">
            <w:r w:rsidR="00E61CED" w:rsidRPr="00D548B7">
              <w:rPr>
                <w:rStyle w:val="Hyperlink"/>
                <w:noProof/>
              </w:rPr>
              <w:t>3.10 Summary</w:t>
            </w:r>
            <w:r w:rsidR="00E61CED">
              <w:rPr>
                <w:noProof/>
                <w:webHidden/>
              </w:rPr>
              <w:tab/>
            </w:r>
            <w:r w:rsidR="00E61CED">
              <w:rPr>
                <w:noProof/>
                <w:webHidden/>
              </w:rPr>
              <w:fldChar w:fldCharType="begin"/>
            </w:r>
            <w:r w:rsidR="00E61CED">
              <w:rPr>
                <w:noProof/>
                <w:webHidden/>
              </w:rPr>
              <w:instrText xml:space="preserve"> PAGEREF _Toc241178755 \h </w:instrText>
            </w:r>
            <w:r w:rsidR="00E61CED">
              <w:rPr>
                <w:noProof/>
                <w:webHidden/>
              </w:rPr>
            </w:r>
            <w:r w:rsidR="00E61CED">
              <w:rPr>
                <w:noProof/>
                <w:webHidden/>
              </w:rPr>
              <w:fldChar w:fldCharType="separate"/>
            </w:r>
            <w:r w:rsidR="00E61CED">
              <w:rPr>
                <w:noProof/>
                <w:webHidden/>
              </w:rPr>
              <w:t>39</w:t>
            </w:r>
            <w:r w:rsidR="00E61CED">
              <w:rPr>
                <w:noProof/>
                <w:webHidden/>
              </w:rPr>
              <w:fldChar w:fldCharType="end"/>
            </w:r>
          </w:hyperlink>
        </w:p>
        <w:p w:rsidR="00E61CED" w:rsidRDefault="00AB6FE7">
          <w:pPr>
            <w:pStyle w:val="TOC1"/>
            <w:tabs>
              <w:tab w:val="right" w:leader="dot" w:pos="9019"/>
            </w:tabs>
            <w:rPr>
              <w:rFonts w:asciiTheme="minorHAnsi" w:eastAsiaTheme="minorEastAsia" w:hAnsiTheme="minorHAnsi" w:cstheme="minorBidi"/>
              <w:noProof/>
              <w:sz w:val="22"/>
              <w:szCs w:val="22"/>
            </w:rPr>
          </w:pPr>
          <w:hyperlink w:anchor="_Toc241178756" w:history="1">
            <w:r w:rsidR="00E61CED" w:rsidRPr="00D548B7">
              <w:rPr>
                <w:rStyle w:val="Hyperlink"/>
                <w:noProof/>
              </w:rPr>
              <w:t>Chapter 4: Findings and Discussion</w:t>
            </w:r>
            <w:r w:rsidR="00E61CED">
              <w:rPr>
                <w:noProof/>
                <w:webHidden/>
              </w:rPr>
              <w:tab/>
            </w:r>
            <w:r w:rsidR="00E61CED">
              <w:rPr>
                <w:noProof/>
                <w:webHidden/>
              </w:rPr>
              <w:fldChar w:fldCharType="begin"/>
            </w:r>
            <w:r w:rsidR="00E61CED">
              <w:rPr>
                <w:noProof/>
                <w:webHidden/>
              </w:rPr>
              <w:instrText xml:space="preserve"> PAGEREF _Toc241178756 \h </w:instrText>
            </w:r>
            <w:r w:rsidR="00E61CED">
              <w:rPr>
                <w:noProof/>
                <w:webHidden/>
              </w:rPr>
            </w:r>
            <w:r w:rsidR="00E61CED">
              <w:rPr>
                <w:noProof/>
                <w:webHidden/>
              </w:rPr>
              <w:fldChar w:fldCharType="separate"/>
            </w:r>
            <w:r w:rsidR="00E61CED">
              <w:rPr>
                <w:noProof/>
                <w:webHidden/>
              </w:rPr>
              <w:t>41</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57" w:history="1">
            <w:r w:rsidR="00E61CED" w:rsidRPr="00D548B7">
              <w:rPr>
                <w:rStyle w:val="Hyperlink"/>
                <w:noProof/>
              </w:rPr>
              <w:t>4.1 Introduction</w:t>
            </w:r>
            <w:r w:rsidR="00E61CED">
              <w:rPr>
                <w:noProof/>
                <w:webHidden/>
              </w:rPr>
              <w:tab/>
            </w:r>
            <w:r w:rsidR="00E61CED">
              <w:rPr>
                <w:noProof/>
                <w:webHidden/>
              </w:rPr>
              <w:fldChar w:fldCharType="begin"/>
            </w:r>
            <w:r w:rsidR="00E61CED">
              <w:rPr>
                <w:noProof/>
                <w:webHidden/>
              </w:rPr>
              <w:instrText xml:space="preserve"> PAGEREF _Toc241178757 \h </w:instrText>
            </w:r>
            <w:r w:rsidR="00E61CED">
              <w:rPr>
                <w:noProof/>
                <w:webHidden/>
              </w:rPr>
            </w:r>
            <w:r w:rsidR="00E61CED">
              <w:rPr>
                <w:noProof/>
                <w:webHidden/>
              </w:rPr>
              <w:fldChar w:fldCharType="separate"/>
            </w:r>
            <w:r w:rsidR="00E61CED">
              <w:rPr>
                <w:noProof/>
                <w:webHidden/>
              </w:rPr>
              <w:t>41</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58" w:history="1">
            <w:r w:rsidR="00E61CED" w:rsidRPr="00D548B7">
              <w:rPr>
                <w:rStyle w:val="Hyperlink"/>
                <w:noProof/>
              </w:rPr>
              <w:t>4.2 Thematic Analysis</w:t>
            </w:r>
            <w:r w:rsidR="00E61CED">
              <w:rPr>
                <w:noProof/>
                <w:webHidden/>
              </w:rPr>
              <w:tab/>
            </w:r>
            <w:r w:rsidR="00E61CED">
              <w:rPr>
                <w:noProof/>
                <w:webHidden/>
              </w:rPr>
              <w:fldChar w:fldCharType="begin"/>
            </w:r>
            <w:r w:rsidR="00E61CED">
              <w:rPr>
                <w:noProof/>
                <w:webHidden/>
              </w:rPr>
              <w:instrText xml:space="preserve"> PAGEREF _Toc241178758 \h </w:instrText>
            </w:r>
            <w:r w:rsidR="00E61CED">
              <w:rPr>
                <w:noProof/>
                <w:webHidden/>
              </w:rPr>
            </w:r>
            <w:r w:rsidR="00E61CED">
              <w:rPr>
                <w:noProof/>
                <w:webHidden/>
              </w:rPr>
              <w:fldChar w:fldCharType="separate"/>
            </w:r>
            <w:r w:rsidR="00E61CED">
              <w:rPr>
                <w:noProof/>
                <w:webHidden/>
              </w:rPr>
              <w:t>41</w:t>
            </w:r>
            <w:r w:rsidR="00E61CED">
              <w:rPr>
                <w:noProof/>
                <w:webHidden/>
              </w:rPr>
              <w:fldChar w:fldCharType="end"/>
            </w:r>
          </w:hyperlink>
        </w:p>
        <w:p w:rsidR="00E61CED" w:rsidRDefault="00AB6FE7">
          <w:pPr>
            <w:pStyle w:val="TOC3"/>
            <w:tabs>
              <w:tab w:val="right" w:leader="dot" w:pos="9019"/>
            </w:tabs>
            <w:rPr>
              <w:rFonts w:asciiTheme="minorHAnsi" w:eastAsiaTheme="minorEastAsia" w:hAnsiTheme="minorHAnsi" w:cstheme="minorBidi"/>
              <w:noProof/>
              <w:sz w:val="22"/>
              <w:szCs w:val="22"/>
            </w:rPr>
          </w:pPr>
          <w:hyperlink w:anchor="_Toc241178759" w:history="1">
            <w:r w:rsidR="00E61CED" w:rsidRPr="00D548B7">
              <w:rPr>
                <w:rStyle w:val="Hyperlink"/>
                <w:noProof/>
              </w:rPr>
              <w:t>4.2.1 Theme 1: Emerging adoption of AI-enabled financial advice and investment services</w:t>
            </w:r>
            <w:r w:rsidR="00E61CED">
              <w:rPr>
                <w:noProof/>
                <w:webHidden/>
              </w:rPr>
              <w:tab/>
            </w:r>
            <w:r w:rsidR="00E61CED">
              <w:rPr>
                <w:noProof/>
                <w:webHidden/>
              </w:rPr>
              <w:fldChar w:fldCharType="begin"/>
            </w:r>
            <w:r w:rsidR="00E61CED">
              <w:rPr>
                <w:noProof/>
                <w:webHidden/>
              </w:rPr>
              <w:instrText xml:space="preserve"> PAGEREF _Toc241178759 \h </w:instrText>
            </w:r>
            <w:r w:rsidR="00E61CED">
              <w:rPr>
                <w:noProof/>
                <w:webHidden/>
              </w:rPr>
            </w:r>
            <w:r w:rsidR="00E61CED">
              <w:rPr>
                <w:noProof/>
                <w:webHidden/>
              </w:rPr>
              <w:fldChar w:fldCharType="separate"/>
            </w:r>
            <w:r w:rsidR="00E61CED">
              <w:rPr>
                <w:noProof/>
                <w:webHidden/>
              </w:rPr>
              <w:t>41</w:t>
            </w:r>
            <w:r w:rsidR="00E61CED">
              <w:rPr>
                <w:noProof/>
                <w:webHidden/>
              </w:rPr>
              <w:fldChar w:fldCharType="end"/>
            </w:r>
          </w:hyperlink>
        </w:p>
        <w:p w:rsidR="00E61CED" w:rsidRDefault="00AB6FE7">
          <w:pPr>
            <w:pStyle w:val="TOC3"/>
            <w:tabs>
              <w:tab w:val="right" w:leader="dot" w:pos="9019"/>
            </w:tabs>
            <w:rPr>
              <w:rFonts w:asciiTheme="minorHAnsi" w:eastAsiaTheme="minorEastAsia" w:hAnsiTheme="minorHAnsi" w:cstheme="minorBidi"/>
              <w:noProof/>
              <w:sz w:val="22"/>
              <w:szCs w:val="22"/>
            </w:rPr>
          </w:pPr>
          <w:hyperlink w:anchor="_Toc241178760" w:history="1">
            <w:r w:rsidR="00E61CED" w:rsidRPr="00D548B7">
              <w:rPr>
                <w:rStyle w:val="Hyperlink"/>
                <w:noProof/>
              </w:rPr>
              <w:t>4.2.2 Theme 2: Trust depends on AI competence, transparency, and investor capability</w:t>
            </w:r>
            <w:r w:rsidR="00E61CED">
              <w:rPr>
                <w:noProof/>
                <w:webHidden/>
              </w:rPr>
              <w:tab/>
            </w:r>
            <w:r w:rsidR="00E61CED">
              <w:rPr>
                <w:noProof/>
                <w:webHidden/>
              </w:rPr>
              <w:fldChar w:fldCharType="begin"/>
            </w:r>
            <w:r w:rsidR="00E61CED">
              <w:rPr>
                <w:noProof/>
                <w:webHidden/>
              </w:rPr>
              <w:instrText xml:space="preserve"> PAGEREF _Toc241178760 \h </w:instrText>
            </w:r>
            <w:r w:rsidR="00E61CED">
              <w:rPr>
                <w:noProof/>
                <w:webHidden/>
              </w:rPr>
            </w:r>
            <w:r w:rsidR="00E61CED">
              <w:rPr>
                <w:noProof/>
                <w:webHidden/>
              </w:rPr>
              <w:fldChar w:fldCharType="separate"/>
            </w:r>
            <w:r w:rsidR="00E61CED">
              <w:rPr>
                <w:noProof/>
                <w:webHidden/>
              </w:rPr>
              <w:t>42</w:t>
            </w:r>
            <w:r w:rsidR="00E61CED">
              <w:rPr>
                <w:noProof/>
                <w:webHidden/>
              </w:rPr>
              <w:fldChar w:fldCharType="end"/>
            </w:r>
          </w:hyperlink>
        </w:p>
        <w:p w:rsidR="00E61CED" w:rsidRDefault="00AB6FE7">
          <w:pPr>
            <w:pStyle w:val="TOC3"/>
            <w:tabs>
              <w:tab w:val="right" w:leader="dot" w:pos="9019"/>
            </w:tabs>
            <w:rPr>
              <w:rFonts w:asciiTheme="minorHAnsi" w:eastAsiaTheme="minorEastAsia" w:hAnsiTheme="minorHAnsi" w:cstheme="minorBidi"/>
              <w:noProof/>
              <w:sz w:val="22"/>
              <w:szCs w:val="22"/>
            </w:rPr>
          </w:pPr>
          <w:hyperlink w:anchor="_Toc241178761" w:history="1">
            <w:r w:rsidR="00E61CED" w:rsidRPr="00D548B7">
              <w:rPr>
                <w:rStyle w:val="Hyperlink"/>
                <w:noProof/>
              </w:rPr>
              <w:t>4.2.3 Theme 3: Accuracy, privacy, ethical and psychological risks can trigger investor confidence</w:t>
            </w:r>
            <w:r w:rsidR="00E61CED">
              <w:rPr>
                <w:noProof/>
                <w:webHidden/>
              </w:rPr>
              <w:tab/>
            </w:r>
            <w:r w:rsidR="00E61CED">
              <w:rPr>
                <w:noProof/>
                <w:webHidden/>
              </w:rPr>
              <w:fldChar w:fldCharType="begin"/>
            </w:r>
            <w:r w:rsidR="00E61CED">
              <w:rPr>
                <w:noProof/>
                <w:webHidden/>
              </w:rPr>
              <w:instrText xml:space="preserve"> PAGEREF _Toc241178761 \h </w:instrText>
            </w:r>
            <w:r w:rsidR="00E61CED">
              <w:rPr>
                <w:noProof/>
                <w:webHidden/>
              </w:rPr>
            </w:r>
            <w:r w:rsidR="00E61CED">
              <w:rPr>
                <w:noProof/>
                <w:webHidden/>
              </w:rPr>
              <w:fldChar w:fldCharType="separate"/>
            </w:r>
            <w:r w:rsidR="00E61CED">
              <w:rPr>
                <w:noProof/>
                <w:webHidden/>
              </w:rPr>
              <w:t>43</w:t>
            </w:r>
            <w:r w:rsidR="00E61CED">
              <w:rPr>
                <w:noProof/>
                <w:webHidden/>
              </w:rPr>
              <w:fldChar w:fldCharType="end"/>
            </w:r>
          </w:hyperlink>
        </w:p>
        <w:p w:rsidR="00E61CED" w:rsidRDefault="00AB6FE7">
          <w:pPr>
            <w:pStyle w:val="TOC3"/>
            <w:tabs>
              <w:tab w:val="right" w:leader="dot" w:pos="9019"/>
            </w:tabs>
            <w:rPr>
              <w:rFonts w:asciiTheme="minorHAnsi" w:eastAsiaTheme="minorEastAsia" w:hAnsiTheme="minorHAnsi" w:cstheme="minorBidi"/>
              <w:noProof/>
              <w:sz w:val="22"/>
              <w:szCs w:val="22"/>
            </w:rPr>
          </w:pPr>
          <w:hyperlink w:anchor="_Toc241178762" w:history="1">
            <w:r w:rsidR="00E61CED" w:rsidRPr="00D548B7">
              <w:rPr>
                <w:rStyle w:val="Hyperlink"/>
                <w:noProof/>
              </w:rPr>
              <w:t>4.2.4 Theme 4: Responsible AI requires governance, transparency, literacy and human oversight</w:t>
            </w:r>
            <w:r w:rsidR="00E61CED">
              <w:rPr>
                <w:noProof/>
                <w:webHidden/>
              </w:rPr>
              <w:tab/>
            </w:r>
            <w:r w:rsidR="00E61CED">
              <w:rPr>
                <w:noProof/>
                <w:webHidden/>
              </w:rPr>
              <w:fldChar w:fldCharType="begin"/>
            </w:r>
            <w:r w:rsidR="00E61CED">
              <w:rPr>
                <w:noProof/>
                <w:webHidden/>
              </w:rPr>
              <w:instrText xml:space="preserve"> PAGEREF _Toc241178762 \h </w:instrText>
            </w:r>
            <w:r w:rsidR="00E61CED">
              <w:rPr>
                <w:noProof/>
                <w:webHidden/>
              </w:rPr>
            </w:r>
            <w:r w:rsidR="00E61CED">
              <w:rPr>
                <w:noProof/>
                <w:webHidden/>
              </w:rPr>
              <w:fldChar w:fldCharType="separate"/>
            </w:r>
            <w:r w:rsidR="00E61CED">
              <w:rPr>
                <w:noProof/>
                <w:webHidden/>
              </w:rPr>
              <w:t>44</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63" w:history="1">
            <w:r w:rsidR="00E61CED" w:rsidRPr="00D548B7">
              <w:rPr>
                <w:rStyle w:val="Hyperlink"/>
                <w:noProof/>
              </w:rPr>
              <w:t>4.3 Findings</w:t>
            </w:r>
            <w:r w:rsidR="00E61CED">
              <w:rPr>
                <w:noProof/>
                <w:webHidden/>
              </w:rPr>
              <w:tab/>
            </w:r>
            <w:r w:rsidR="00E61CED">
              <w:rPr>
                <w:noProof/>
                <w:webHidden/>
              </w:rPr>
              <w:fldChar w:fldCharType="begin"/>
            </w:r>
            <w:r w:rsidR="00E61CED">
              <w:rPr>
                <w:noProof/>
                <w:webHidden/>
              </w:rPr>
              <w:instrText xml:space="preserve"> PAGEREF _Toc241178763 \h </w:instrText>
            </w:r>
            <w:r w:rsidR="00E61CED">
              <w:rPr>
                <w:noProof/>
                <w:webHidden/>
              </w:rPr>
            </w:r>
            <w:r w:rsidR="00E61CED">
              <w:rPr>
                <w:noProof/>
                <w:webHidden/>
              </w:rPr>
              <w:fldChar w:fldCharType="separate"/>
            </w:r>
            <w:r w:rsidR="00E61CED">
              <w:rPr>
                <w:noProof/>
                <w:webHidden/>
              </w:rPr>
              <w:t>45</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64" w:history="1">
            <w:r w:rsidR="00E61CED" w:rsidRPr="00D548B7">
              <w:rPr>
                <w:rStyle w:val="Hyperlink"/>
                <w:noProof/>
              </w:rPr>
              <w:t>4.4 Discussion</w:t>
            </w:r>
            <w:r w:rsidR="00E61CED">
              <w:rPr>
                <w:noProof/>
                <w:webHidden/>
              </w:rPr>
              <w:tab/>
            </w:r>
            <w:r w:rsidR="00E61CED">
              <w:rPr>
                <w:noProof/>
                <w:webHidden/>
              </w:rPr>
              <w:fldChar w:fldCharType="begin"/>
            </w:r>
            <w:r w:rsidR="00E61CED">
              <w:rPr>
                <w:noProof/>
                <w:webHidden/>
              </w:rPr>
              <w:instrText xml:space="preserve"> PAGEREF _Toc241178764 \h </w:instrText>
            </w:r>
            <w:r w:rsidR="00E61CED">
              <w:rPr>
                <w:noProof/>
                <w:webHidden/>
              </w:rPr>
            </w:r>
            <w:r w:rsidR="00E61CED">
              <w:rPr>
                <w:noProof/>
                <w:webHidden/>
              </w:rPr>
              <w:fldChar w:fldCharType="separate"/>
            </w:r>
            <w:r w:rsidR="00E61CED">
              <w:rPr>
                <w:noProof/>
                <w:webHidden/>
              </w:rPr>
              <w:t>47</w:t>
            </w:r>
            <w:r w:rsidR="00E61CED">
              <w:rPr>
                <w:noProof/>
                <w:webHidden/>
              </w:rPr>
              <w:fldChar w:fldCharType="end"/>
            </w:r>
          </w:hyperlink>
        </w:p>
        <w:p w:rsidR="00E61CED" w:rsidRDefault="00AB6FE7">
          <w:pPr>
            <w:pStyle w:val="TOC3"/>
            <w:tabs>
              <w:tab w:val="right" w:leader="dot" w:pos="9019"/>
            </w:tabs>
            <w:rPr>
              <w:rFonts w:asciiTheme="minorHAnsi" w:eastAsiaTheme="minorEastAsia" w:hAnsiTheme="minorHAnsi" w:cstheme="minorBidi"/>
              <w:noProof/>
              <w:sz w:val="22"/>
              <w:szCs w:val="22"/>
            </w:rPr>
          </w:pPr>
          <w:hyperlink w:anchor="_Toc241178765" w:history="1">
            <w:r w:rsidR="00E61CED" w:rsidRPr="00D548B7">
              <w:rPr>
                <w:rStyle w:val="Hyperlink"/>
                <w:noProof/>
              </w:rPr>
              <w:t>4.4.1 Increasing Adoption of AI-driven financial advice in financial sector</w:t>
            </w:r>
            <w:r w:rsidR="00E61CED">
              <w:rPr>
                <w:noProof/>
                <w:webHidden/>
              </w:rPr>
              <w:tab/>
            </w:r>
            <w:r w:rsidR="00E61CED">
              <w:rPr>
                <w:noProof/>
                <w:webHidden/>
              </w:rPr>
              <w:fldChar w:fldCharType="begin"/>
            </w:r>
            <w:r w:rsidR="00E61CED">
              <w:rPr>
                <w:noProof/>
                <w:webHidden/>
              </w:rPr>
              <w:instrText xml:space="preserve"> PAGEREF _Toc241178765 \h </w:instrText>
            </w:r>
            <w:r w:rsidR="00E61CED">
              <w:rPr>
                <w:noProof/>
                <w:webHidden/>
              </w:rPr>
            </w:r>
            <w:r w:rsidR="00E61CED">
              <w:rPr>
                <w:noProof/>
                <w:webHidden/>
              </w:rPr>
              <w:fldChar w:fldCharType="separate"/>
            </w:r>
            <w:r w:rsidR="00E61CED">
              <w:rPr>
                <w:noProof/>
                <w:webHidden/>
              </w:rPr>
              <w:t>47</w:t>
            </w:r>
            <w:r w:rsidR="00E61CED">
              <w:rPr>
                <w:noProof/>
                <w:webHidden/>
              </w:rPr>
              <w:fldChar w:fldCharType="end"/>
            </w:r>
          </w:hyperlink>
        </w:p>
        <w:p w:rsidR="00E61CED" w:rsidRDefault="00AB6FE7">
          <w:pPr>
            <w:pStyle w:val="TOC3"/>
            <w:tabs>
              <w:tab w:val="right" w:leader="dot" w:pos="9019"/>
            </w:tabs>
            <w:rPr>
              <w:rFonts w:asciiTheme="minorHAnsi" w:eastAsiaTheme="minorEastAsia" w:hAnsiTheme="minorHAnsi" w:cstheme="minorBidi"/>
              <w:noProof/>
              <w:sz w:val="22"/>
              <w:szCs w:val="22"/>
            </w:rPr>
          </w:pPr>
          <w:hyperlink w:anchor="_Toc241178766" w:history="1">
            <w:r w:rsidR="00E61CED" w:rsidRPr="00D548B7">
              <w:rPr>
                <w:rStyle w:val="Hyperlink"/>
                <w:noProof/>
              </w:rPr>
              <w:t>4.4.2 Trust depends on AI competence, transparency and investor capability</w:t>
            </w:r>
            <w:r w:rsidR="00E61CED">
              <w:rPr>
                <w:noProof/>
                <w:webHidden/>
              </w:rPr>
              <w:tab/>
            </w:r>
            <w:r w:rsidR="00E61CED">
              <w:rPr>
                <w:noProof/>
                <w:webHidden/>
              </w:rPr>
              <w:fldChar w:fldCharType="begin"/>
            </w:r>
            <w:r w:rsidR="00E61CED">
              <w:rPr>
                <w:noProof/>
                <w:webHidden/>
              </w:rPr>
              <w:instrText xml:space="preserve"> PAGEREF _Toc241178766 \h </w:instrText>
            </w:r>
            <w:r w:rsidR="00E61CED">
              <w:rPr>
                <w:noProof/>
                <w:webHidden/>
              </w:rPr>
            </w:r>
            <w:r w:rsidR="00E61CED">
              <w:rPr>
                <w:noProof/>
                <w:webHidden/>
              </w:rPr>
              <w:fldChar w:fldCharType="separate"/>
            </w:r>
            <w:r w:rsidR="00E61CED">
              <w:rPr>
                <w:noProof/>
                <w:webHidden/>
              </w:rPr>
              <w:t>47</w:t>
            </w:r>
            <w:r w:rsidR="00E61CED">
              <w:rPr>
                <w:noProof/>
                <w:webHidden/>
              </w:rPr>
              <w:fldChar w:fldCharType="end"/>
            </w:r>
          </w:hyperlink>
        </w:p>
        <w:p w:rsidR="00E61CED" w:rsidRDefault="00AB6FE7">
          <w:pPr>
            <w:pStyle w:val="TOC3"/>
            <w:tabs>
              <w:tab w:val="right" w:leader="dot" w:pos="9019"/>
            </w:tabs>
            <w:rPr>
              <w:rFonts w:asciiTheme="minorHAnsi" w:eastAsiaTheme="minorEastAsia" w:hAnsiTheme="minorHAnsi" w:cstheme="minorBidi"/>
              <w:noProof/>
              <w:sz w:val="22"/>
              <w:szCs w:val="22"/>
            </w:rPr>
          </w:pPr>
          <w:hyperlink w:anchor="_Toc241178767" w:history="1">
            <w:r w:rsidR="00E61CED" w:rsidRPr="00D548B7">
              <w:rPr>
                <w:rStyle w:val="Hyperlink"/>
                <w:noProof/>
              </w:rPr>
              <w:t>4.4.3 Accuracy, privacy, ethical and psychological risks weaken investors’ confidence</w:t>
            </w:r>
            <w:r w:rsidR="00E61CED">
              <w:rPr>
                <w:noProof/>
                <w:webHidden/>
              </w:rPr>
              <w:tab/>
            </w:r>
            <w:r w:rsidR="00E61CED">
              <w:rPr>
                <w:noProof/>
                <w:webHidden/>
              </w:rPr>
              <w:fldChar w:fldCharType="begin"/>
            </w:r>
            <w:r w:rsidR="00E61CED">
              <w:rPr>
                <w:noProof/>
                <w:webHidden/>
              </w:rPr>
              <w:instrText xml:space="preserve"> PAGEREF _Toc241178767 \h </w:instrText>
            </w:r>
            <w:r w:rsidR="00E61CED">
              <w:rPr>
                <w:noProof/>
                <w:webHidden/>
              </w:rPr>
            </w:r>
            <w:r w:rsidR="00E61CED">
              <w:rPr>
                <w:noProof/>
                <w:webHidden/>
              </w:rPr>
              <w:fldChar w:fldCharType="separate"/>
            </w:r>
            <w:r w:rsidR="00E61CED">
              <w:rPr>
                <w:noProof/>
                <w:webHidden/>
              </w:rPr>
              <w:t>48</w:t>
            </w:r>
            <w:r w:rsidR="00E61CED">
              <w:rPr>
                <w:noProof/>
                <w:webHidden/>
              </w:rPr>
              <w:fldChar w:fldCharType="end"/>
            </w:r>
          </w:hyperlink>
        </w:p>
        <w:p w:rsidR="00E61CED" w:rsidRDefault="00AB6FE7">
          <w:pPr>
            <w:pStyle w:val="TOC3"/>
            <w:tabs>
              <w:tab w:val="right" w:leader="dot" w:pos="9019"/>
            </w:tabs>
            <w:rPr>
              <w:rFonts w:asciiTheme="minorHAnsi" w:eastAsiaTheme="minorEastAsia" w:hAnsiTheme="minorHAnsi" w:cstheme="minorBidi"/>
              <w:noProof/>
              <w:sz w:val="22"/>
              <w:szCs w:val="22"/>
            </w:rPr>
          </w:pPr>
          <w:hyperlink w:anchor="_Toc241178768" w:history="1">
            <w:r w:rsidR="00E61CED" w:rsidRPr="00D548B7">
              <w:rPr>
                <w:rStyle w:val="Hyperlink"/>
                <w:noProof/>
              </w:rPr>
              <w:t>4.4.4 Responsible AI seeks governance, transparency, literacy and human oversight</w:t>
            </w:r>
            <w:r w:rsidR="00E61CED">
              <w:rPr>
                <w:noProof/>
                <w:webHidden/>
              </w:rPr>
              <w:tab/>
            </w:r>
            <w:r w:rsidR="00E61CED">
              <w:rPr>
                <w:noProof/>
                <w:webHidden/>
              </w:rPr>
              <w:fldChar w:fldCharType="begin"/>
            </w:r>
            <w:r w:rsidR="00E61CED">
              <w:rPr>
                <w:noProof/>
                <w:webHidden/>
              </w:rPr>
              <w:instrText xml:space="preserve"> PAGEREF _Toc241178768 \h </w:instrText>
            </w:r>
            <w:r w:rsidR="00E61CED">
              <w:rPr>
                <w:noProof/>
                <w:webHidden/>
              </w:rPr>
            </w:r>
            <w:r w:rsidR="00E61CED">
              <w:rPr>
                <w:noProof/>
                <w:webHidden/>
              </w:rPr>
              <w:fldChar w:fldCharType="separate"/>
            </w:r>
            <w:r w:rsidR="00E61CED">
              <w:rPr>
                <w:noProof/>
                <w:webHidden/>
              </w:rPr>
              <w:t>49</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69" w:history="1">
            <w:r w:rsidR="00E61CED" w:rsidRPr="00D548B7">
              <w:rPr>
                <w:rStyle w:val="Hyperlink"/>
                <w:noProof/>
              </w:rPr>
              <w:t>4.5 Chapter Summary</w:t>
            </w:r>
            <w:r w:rsidR="00E61CED">
              <w:rPr>
                <w:noProof/>
                <w:webHidden/>
              </w:rPr>
              <w:tab/>
            </w:r>
            <w:r w:rsidR="00E61CED">
              <w:rPr>
                <w:noProof/>
                <w:webHidden/>
              </w:rPr>
              <w:fldChar w:fldCharType="begin"/>
            </w:r>
            <w:r w:rsidR="00E61CED">
              <w:rPr>
                <w:noProof/>
                <w:webHidden/>
              </w:rPr>
              <w:instrText xml:space="preserve"> PAGEREF _Toc241178769 \h </w:instrText>
            </w:r>
            <w:r w:rsidR="00E61CED">
              <w:rPr>
                <w:noProof/>
                <w:webHidden/>
              </w:rPr>
            </w:r>
            <w:r w:rsidR="00E61CED">
              <w:rPr>
                <w:noProof/>
                <w:webHidden/>
              </w:rPr>
              <w:fldChar w:fldCharType="separate"/>
            </w:r>
            <w:r w:rsidR="00E61CED">
              <w:rPr>
                <w:noProof/>
                <w:webHidden/>
              </w:rPr>
              <w:t>50</w:t>
            </w:r>
            <w:r w:rsidR="00E61CED">
              <w:rPr>
                <w:noProof/>
                <w:webHidden/>
              </w:rPr>
              <w:fldChar w:fldCharType="end"/>
            </w:r>
          </w:hyperlink>
        </w:p>
        <w:p w:rsidR="00E61CED" w:rsidRDefault="00AB6FE7">
          <w:pPr>
            <w:pStyle w:val="TOC1"/>
            <w:tabs>
              <w:tab w:val="right" w:leader="dot" w:pos="9019"/>
            </w:tabs>
            <w:rPr>
              <w:rFonts w:asciiTheme="minorHAnsi" w:eastAsiaTheme="minorEastAsia" w:hAnsiTheme="minorHAnsi" w:cstheme="minorBidi"/>
              <w:noProof/>
              <w:sz w:val="22"/>
              <w:szCs w:val="22"/>
            </w:rPr>
          </w:pPr>
          <w:hyperlink w:anchor="_Toc241178770" w:history="1">
            <w:r w:rsidR="00E61CED" w:rsidRPr="00D548B7">
              <w:rPr>
                <w:rStyle w:val="Hyperlink"/>
                <w:noProof/>
              </w:rPr>
              <w:t>Chapter 5: Conclusion</w:t>
            </w:r>
            <w:r w:rsidR="00E61CED">
              <w:rPr>
                <w:noProof/>
                <w:webHidden/>
              </w:rPr>
              <w:tab/>
            </w:r>
            <w:r w:rsidR="00E61CED">
              <w:rPr>
                <w:noProof/>
                <w:webHidden/>
              </w:rPr>
              <w:fldChar w:fldCharType="begin"/>
            </w:r>
            <w:r w:rsidR="00E61CED">
              <w:rPr>
                <w:noProof/>
                <w:webHidden/>
              </w:rPr>
              <w:instrText xml:space="preserve"> PAGEREF _Toc241178770 \h </w:instrText>
            </w:r>
            <w:r w:rsidR="00E61CED">
              <w:rPr>
                <w:noProof/>
                <w:webHidden/>
              </w:rPr>
            </w:r>
            <w:r w:rsidR="00E61CED">
              <w:rPr>
                <w:noProof/>
                <w:webHidden/>
              </w:rPr>
              <w:fldChar w:fldCharType="separate"/>
            </w:r>
            <w:r w:rsidR="00E61CED">
              <w:rPr>
                <w:noProof/>
                <w:webHidden/>
              </w:rPr>
              <w:t>51</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71" w:history="1">
            <w:r w:rsidR="00E61CED" w:rsidRPr="00D548B7">
              <w:rPr>
                <w:rStyle w:val="Hyperlink"/>
                <w:noProof/>
              </w:rPr>
              <w:t>5.1 Conclusion</w:t>
            </w:r>
            <w:r w:rsidR="00E61CED">
              <w:rPr>
                <w:noProof/>
                <w:webHidden/>
              </w:rPr>
              <w:tab/>
            </w:r>
            <w:r w:rsidR="00E61CED">
              <w:rPr>
                <w:noProof/>
                <w:webHidden/>
              </w:rPr>
              <w:fldChar w:fldCharType="begin"/>
            </w:r>
            <w:r w:rsidR="00E61CED">
              <w:rPr>
                <w:noProof/>
                <w:webHidden/>
              </w:rPr>
              <w:instrText xml:space="preserve"> PAGEREF _Toc241178771 \h </w:instrText>
            </w:r>
            <w:r w:rsidR="00E61CED">
              <w:rPr>
                <w:noProof/>
                <w:webHidden/>
              </w:rPr>
            </w:r>
            <w:r w:rsidR="00E61CED">
              <w:rPr>
                <w:noProof/>
                <w:webHidden/>
              </w:rPr>
              <w:fldChar w:fldCharType="separate"/>
            </w:r>
            <w:r w:rsidR="00E61CED">
              <w:rPr>
                <w:noProof/>
                <w:webHidden/>
              </w:rPr>
              <w:t>51</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72" w:history="1">
            <w:r w:rsidR="00E61CED" w:rsidRPr="00D548B7">
              <w:rPr>
                <w:rStyle w:val="Hyperlink"/>
                <w:noProof/>
              </w:rPr>
              <w:t>5.2 Linking with objectives</w:t>
            </w:r>
            <w:r w:rsidR="00E61CED">
              <w:rPr>
                <w:noProof/>
                <w:webHidden/>
              </w:rPr>
              <w:tab/>
            </w:r>
            <w:r w:rsidR="00E61CED">
              <w:rPr>
                <w:noProof/>
                <w:webHidden/>
              </w:rPr>
              <w:fldChar w:fldCharType="begin"/>
            </w:r>
            <w:r w:rsidR="00E61CED">
              <w:rPr>
                <w:noProof/>
                <w:webHidden/>
              </w:rPr>
              <w:instrText xml:space="preserve"> PAGEREF _Toc241178772 \h </w:instrText>
            </w:r>
            <w:r w:rsidR="00E61CED">
              <w:rPr>
                <w:noProof/>
                <w:webHidden/>
              </w:rPr>
            </w:r>
            <w:r w:rsidR="00E61CED">
              <w:rPr>
                <w:noProof/>
                <w:webHidden/>
              </w:rPr>
              <w:fldChar w:fldCharType="separate"/>
            </w:r>
            <w:r w:rsidR="00E61CED">
              <w:rPr>
                <w:noProof/>
                <w:webHidden/>
              </w:rPr>
              <w:t>51</w:t>
            </w:r>
            <w:r w:rsidR="00E61CED">
              <w:rPr>
                <w:noProof/>
                <w:webHidden/>
              </w:rPr>
              <w:fldChar w:fldCharType="end"/>
            </w:r>
          </w:hyperlink>
        </w:p>
        <w:p w:rsidR="00E61CED" w:rsidRDefault="00AB6FE7">
          <w:pPr>
            <w:pStyle w:val="TOC3"/>
            <w:tabs>
              <w:tab w:val="right" w:leader="dot" w:pos="9019"/>
            </w:tabs>
            <w:rPr>
              <w:rFonts w:asciiTheme="minorHAnsi" w:eastAsiaTheme="minorEastAsia" w:hAnsiTheme="minorHAnsi" w:cstheme="minorBidi"/>
              <w:noProof/>
              <w:sz w:val="22"/>
              <w:szCs w:val="22"/>
            </w:rPr>
          </w:pPr>
          <w:hyperlink w:anchor="_Toc241178773" w:history="1">
            <w:r w:rsidR="00E61CED" w:rsidRPr="00D548B7">
              <w:rPr>
                <w:rStyle w:val="Hyperlink"/>
                <w:noProof/>
              </w:rPr>
              <w:t>5.2.1 Linking with Objective 1</w:t>
            </w:r>
            <w:r w:rsidR="00E61CED">
              <w:rPr>
                <w:noProof/>
                <w:webHidden/>
              </w:rPr>
              <w:tab/>
            </w:r>
            <w:r w:rsidR="00E61CED">
              <w:rPr>
                <w:noProof/>
                <w:webHidden/>
              </w:rPr>
              <w:fldChar w:fldCharType="begin"/>
            </w:r>
            <w:r w:rsidR="00E61CED">
              <w:rPr>
                <w:noProof/>
                <w:webHidden/>
              </w:rPr>
              <w:instrText xml:space="preserve"> PAGEREF _Toc241178773 \h </w:instrText>
            </w:r>
            <w:r w:rsidR="00E61CED">
              <w:rPr>
                <w:noProof/>
                <w:webHidden/>
              </w:rPr>
            </w:r>
            <w:r w:rsidR="00E61CED">
              <w:rPr>
                <w:noProof/>
                <w:webHidden/>
              </w:rPr>
              <w:fldChar w:fldCharType="separate"/>
            </w:r>
            <w:r w:rsidR="00E61CED">
              <w:rPr>
                <w:noProof/>
                <w:webHidden/>
              </w:rPr>
              <w:t>51</w:t>
            </w:r>
            <w:r w:rsidR="00E61CED">
              <w:rPr>
                <w:noProof/>
                <w:webHidden/>
              </w:rPr>
              <w:fldChar w:fldCharType="end"/>
            </w:r>
          </w:hyperlink>
        </w:p>
        <w:p w:rsidR="00E61CED" w:rsidRDefault="00AB6FE7">
          <w:pPr>
            <w:pStyle w:val="TOC3"/>
            <w:tabs>
              <w:tab w:val="right" w:leader="dot" w:pos="9019"/>
            </w:tabs>
            <w:rPr>
              <w:rFonts w:asciiTheme="minorHAnsi" w:eastAsiaTheme="minorEastAsia" w:hAnsiTheme="minorHAnsi" w:cstheme="minorBidi"/>
              <w:noProof/>
              <w:sz w:val="22"/>
              <w:szCs w:val="22"/>
            </w:rPr>
          </w:pPr>
          <w:hyperlink w:anchor="_Toc241178774" w:history="1">
            <w:r w:rsidR="00E61CED" w:rsidRPr="00D548B7">
              <w:rPr>
                <w:rStyle w:val="Hyperlink"/>
                <w:noProof/>
              </w:rPr>
              <w:t>5.2.2 Linking with Objective 2</w:t>
            </w:r>
            <w:r w:rsidR="00E61CED">
              <w:rPr>
                <w:noProof/>
                <w:webHidden/>
              </w:rPr>
              <w:tab/>
            </w:r>
            <w:r w:rsidR="00E61CED">
              <w:rPr>
                <w:noProof/>
                <w:webHidden/>
              </w:rPr>
              <w:fldChar w:fldCharType="begin"/>
            </w:r>
            <w:r w:rsidR="00E61CED">
              <w:rPr>
                <w:noProof/>
                <w:webHidden/>
              </w:rPr>
              <w:instrText xml:space="preserve"> PAGEREF _Toc241178774 \h </w:instrText>
            </w:r>
            <w:r w:rsidR="00E61CED">
              <w:rPr>
                <w:noProof/>
                <w:webHidden/>
              </w:rPr>
            </w:r>
            <w:r w:rsidR="00E61CED">
              <w:rPr>
                <w:noProof/>
                <w:webHidden/>
              </w:rPr>
              <w:fldChar w:fldCharType="separate"/>
            </w:r>
            <w:r w:rsidR="00E61CED">
              <w:rPr>
                <w:noProof/>
                <w:webHidden/>
              </w:rPr>
              <w:t>52</w:t>
            </w:r>
            <w:r w:rsidR="00E61CED">
              <w:rPr>
                <w:noProof/>
                <w:webHidden/>
              </w:rPr>
              <w:fldChar w:fldCharType="end"/>
            </w:r>
          </w:hyperlink>
        </w:p>
        <w:p w:rsidR="00E61CED" w:rsidRDefault="00AB6FE7">
          <w:pPr>
            <w:pStyle w:val="TOC3"/>
            <w:tabs>
              <w:tab w:val="right" w:leader="dot" w:pos="9019"/>
            </w:tabs>
            <w:rPr>
              <w:rFonts w:asciiTheme="minorHAnsi" w:eastAsiaTheme="minorEastAsia" w:hAnsiTheme="minorHAnsi" w:cstheme="minorBidi"/>
              <w:noProof/>
              <w:sz w:val="22"/>
              <w:szCs w:val="22"/>
            </w:rPr>
          </w:pPr>
          <w:hyperlink w:anchor="_Toc241178775" w:history="1">
            <w:r w:rsidR="00E61CED" w:rsidRPr="00D548B7">
              <w:rPr>
                <w:rStyle w:val="Hyperlink"/>
                <w:noProof/>
              </w:rPr>
              <w:t>5.2.3 Linking with Objective 3</w:t>
            </w:r>
            <w:r w:rsidR="00E61CED">
              <w:rPr>
                <w:noProof/>
                <w:webHidden/>
              </w:rPr>
              <w:tab/>
            </w:r>
            <w:r w:rsidR="00E61CED">
              <w:rPr>
                <w:noProof/>
                <w:webHidden/>
              </w:rPr>
              <w:fldChar w:fldCharType="begin"/>
            </w:r>
            <w:r w:rsidR="00E61CED">
              <w:rPr>
                <w:noProof/>
                <w:webHidden/>
              </w:rPr>
              <w:instrText xml:space="preserve"> PAGEREF _Toc241178775 \h </w:instrText>
            </w:r>
            <w:r w:rsidR="00E61CED">
              <w:rPr>
                <w:noProof/>
                <w:webHidden/>
              </w:rPr>
            </w:r>
            <w:r w:rsidR="00E61CED">
              <w:rPr>
                <w:noProof/>
                <w:webHidden/>
              </w:rPr>
              <w:fldChar w:fldCharType="separate"/>
            </w:r>
            <w:r w:rsidR="00E61CED">
              <w:rPr>
                <w:noProof/>
                <w:webHidden/>
              </w:rPr>
              <w:t>52</w:t>
            </w:r>
            <w:r w:rsidR="00E61CED">
              <w:rPr>
                <w:noProof/>
                <w:webHidden/>
              </w:rPr>
              <w:fldChar w:fldCharType="end"/>
            </w:r>
          </w:hyperlink>
        </w:p>
        <w:p w:rsidR="00E61CED" w:rsidRDefault="00AB6FE7">
          <w:pPr>
            <w:pStyle w:val="TOC3"/>
            <w:tabs>
              <w:tab w:val="right" w:leader="dot" w:pos="9019"/>
            </w:tabs>
            <w:rPr>
              <w:rFonts w:asciiTheme="minorHAnsi" w:eastAsiaTheme="minorEastAsia" w:hAnsiTheme="minorHAnsi" w:cstheme="minorBidi"/>
              <w:noProof/>
              <w:sz w:val="22"/>
              <w:szCs w:val="22"/>
            </w:rPr>
          </w:pPr>
          <w:hyperlink w:anchor="_Toc241178776" w:history="1">
            <w:r w:rsidR="00E61CED" w:rsidRPr="00D548B7">
              <w:rPr>
                <w:rStyle w:val="Hyperlink"/>
                <w:noProof/>
              </w:rPr>
              <w:t>5.2.4 Linking with Objective 4</w:t>
            </w:r>
            <w:r w:rsidR="00E61CED">
              <w:rPr>
                <w:noProof/>
                <w:webHidden/>
              </w:rPr>
              <w:tab/>
            </w:r>
            <w:r w:rsidR="00E61CED">
              <w:rPr>
                <w:noProof/>
                <w:webHidden/>
              </w:rPr>
              <w:fldChar w:fldCharType="begin"/>
            </w:r>
            <w:r w:rsidR="00E61CED">
              <w:rPr>
                <w:noProof/>
                <w:webHidden/>
              </w:rPr>
              <w:instrText xml:space="preserve"> PAGEREF _Toc241178776 \h </w:instrText>
            </w:r>
            <w:r w:rsidR="00E61CED">
              <w:rPr>
                <w:noProof/>
                <w:webHidden/>
              </w:rPr>
            </w:r>
            <w:r w:rsidR="00E61CED">
              <w:rPr>
                <w:noProof/>
                <w:webHidden/>
              </w:rPr>
              <w:fldChar w:fldCharType="separate"/>
            </w:r>
            <w:r w:rsidR="00E61CED">
              <w:rPr>
                <w:noProof/>
                <w:webHidden/>
              </w:rPr>
              <w:t>53</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77" w:history="1">
            <w:r w:rsidR="00E61CED" w:rsidRPr="00D548B7">
              <w:rPr>
                <w:rStyle w:val="Hyperlink"/>
                <w:noProof/>
              </w:rPr>
              <w:t>5.3 Limitations</w:t>
            </w:r>
            <w:r w:rsidR="00E61CED">
              <w:rPr>
                <w:noProof/>
                <w:webHidden/>
              </w:rPr>
              <w:tab/>
            </w:r>
            <w:r w:rsidR="00E61CED">
              <w:rPr>
                <w:noProof/>
                <w:webHidden/>
              </w:rPr>
              <w:fldChar w:fldCharType="begin"/>
            </w:r>
            <w:r w:rsidR="00E61CED">
              <w:rPr>
                <w:noProof/>
                <w:webHidden/>
              </w:rPr>
              <w:instrText xml:space="preserve"> PAGEREF _Toc241178777 \h </w:instrText>
            </w:r>
            <w:r w:rsidR="00E61CED">
              <w:rPr>
                <w:noProof/>
                <w:webHidden/>
              </w:rPr>
            </w:r>
            <w:r w:rsidR="00E61CED">
              <w:rPr>
                <w:noProof/>
                <w:webHidden/>
              </w:rPr>
              <w:fldChar w:fldCharType="separate"/>
            </w:r>
            <w:r w:rsidR="00E61CED">
              <w:rPr>
                <w:noProof/>
                <w:webHidden/>
              </w:rPr>
              <w:t>53</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78" w:history="1">
            <w:r w:rsidR="00E61CED" w:rsidRPr="00D548B7">
              <w:rPr>
                <w:rStyle w:val="Hyperlink"/>
                <w:noProof/>
              </w:rPr>
              <w:t>5.4 Recommendations</w:t>
            </w:r>
            <w:r w:rsidR="00E61CED">
              <w:rPr>
                <w:noProof/>
                <w:webHidden/>
              </w:rPr>
              <w:tab/>
            </w:r>
            <w:r w:rsidR="00E61CED">
              <w:rPr>
                <w:noProof/>
                <w:webHidden/>
              </w:rPr>
              <w:fldChar w:fldCharType="begin"/>
            </w:r>
            <w:r w:rsidR="00E61CED">
              <w:rPr>
                <w:noProof/>
                <w:webHidden/>
              </w:rPr>
              <w:instrText xml:space="preserve"> PAGEREF _Toc241178778 \h </w:instrText>
            </w:r>
            <w:r w:rsidR="00E61CED">
              <w:rPr>
                <w:noProof/>
                <w:webHidden/>
              </w:rPr>
            </w:r>
            <w:r w:rsidR="00E61CED">
              <w:rPr>
                <w:noProof/>
                <w:webHidden/>
              </w:rPr>
              <w:fldChar w:fldCharType="separate"/>
            </w:r>
            <w:r w:rsidR="00E61CED">
              <w:rPr>
                <w:noProof/>
                <w:webHidden/>
              </w:rPr>
              <w:t>53</w:t>
            </w:r>
            <w:r w:rsidR="00E61CED">
              <w:rPr>
                <w:noProof/>
                <w:webHidden/>
              </w:rPr>
              <w:fldChar w:fldCharType="end"/>
            </w:r>
          </w:hyperlink>
        </w:p>
        <w:p w:rsidR="00E61CED" w:rsidRDefault="00AB6FE7">
          <w:pPr>
            <w:pStyle w:val="TOC3"/>
            <w:tabs>
              <w:tab w:val="right" w:leader="dot" w:pos="9019"/>
            </w:tabs>
            <w:rPr>
              <w:rFonts w:asciiTheme="minorHAnsi" w:eastAsiaTheme="minorEastAsia" w:hAnsiTheme="minorHAnsi" w:cstheme="minorBidi"/>
              <w:noProof/>
              <w:sz w:val="22"/>
              <w:szCs w:val="22"/>
            </w:rPr>
          </w:pPr>
          <w:hyperlink w:anchor="_Toc241178779" w:history="1">
            <w:r w:rsidR="00E61CED" w:rsidRPr="00D548B7">
              <w:rPr>
                <w:rStyle w:val="Hyperlink"/>
                <w:noProof/>
              </w:rPr>
              <w:t>5.4.1 Recommendation 1: Strengthen AI Transparency and Explainability</w:t>
            </w:r>
            <w:r w:rsidR="00E61CED">
              <w:rPr>
                <w:noProof/>
                <w:webHidden/>
              </w:rPr>
              <w:tab/>
            </w:r>
            <w:r w:rsidR="00E61CED">
              <w:rPr>
                <w:noProof/>
                <w:webHidden/>
              </w:rPr>
              <w:fldChar w:fldCharType="begin"/>
            </w:r>
            <w:r w:rsidR="00E61CED">
              <w:rPr>
                <w:noProof/>
                <w:webHidden/>
              </w:rPr>
              <w:instrText xml:space="preserve"> PAGEREF _Toc241178779 \h </w:instrText>
            </w:r>
            <w:r w:rsidR="00E61CED">
              <w:rPr>
                <w:noProof/>
                <w:webHidden/>
              </w:rPr>
            </w:r>
            <w:r w:rsidR="00E61CED">
              <w:rPr>
                <w:noProof/>
                <w:webHidden/>
              </w:rPr>
              <w:fldChar w:fldCharType="separate"/>
            </w:r>
            <w:r w:rsidR="00E61CED">
              <w:rPr>
                <w:noProof/>
                <w:webHidden/>
              </w:rPr>
              <w:t>53</w:t>
            </w:r>
            <w:r w:rsidR="00E61CED">
              <w:rPr>
                <w:noProof/>
                <w:webHidden/>
              </w:rPr>
              <w:fldChar w:fldCharType="end"/>
            </w:r>
          </w:hyperlink>
        </w:p>
        <w:p w:rsidR="00E61CED" w:rsidRDefault="00AB6FE7">
          <w:pPr>
            <w:pStyle w:val="TOC3"/>
            <w:tabs>
              <w:tab w:val="right" w:leader="dot" w:pos="9019"/>
            </w:tabs>
            <w:rPr>
              <w:rFonts w:asciiTheme="minorHAnsi" w:eastAsiaTheme="minorEastAsia" w:hAnsiTheme="minorHAnsi" w:cstheme="minorBidi"/>
              <w:noProof/>
              <w:sz w:val="22"/>
              <w:szCs w:val="22"/>
            </w:rPr>
          </w:pPr>
          <w:hyperlink w:anchor="_Toc241178780" w:history="1">
            <w:r w:rsidR="00E61CED" w:rsidRPr="00D548B7">
              <w:rPr>
                <w:rStyle w:val="Hyperlink"/>
                <w:noProof/>
              </w:rPr>
              <w:t>5.4.2 Recommendation 2: Develop Human-AI Hybrid Advisory and Strengthen Governance</w:t>
            </w:r>
            <w:r w:rsidR="00E61CED">
              <w:rPr>
                <w:noProof/>
                <w:webHidden/>
              </w:rPr>
              <w:tab/>
            </w:r>
            <w:r w:rsidR="00E61CED">
              <w:rPr>
                <w:noProof/>
                <w:webHidden/>
              </w:rPr>
              <w:fldChar w:fldCharType="begin"/>
            </w:r>
            <w:r w:rsidR="00E61CED">
              <w:rPr>
                <w:noProof/>
                <w:webHidden/>
              </w:rPr>
              <w:instrText xml:space="preserve"> PAGEREF _Toc241178780 \h </w:instrText>
            </w:r>
            <w:r w:rsidR="00E61CED">
              <w:rPr>
                <w:noProof/>
                <w:webHidden/>
              </w:rPr>
            </w:r>
            <w:r w:rsidR="00E61CED">
              <w:rPr>
                <w:noProof/>
                <w:webHidden/>
              </w:rPr>
              <w:fldChar w:fldCharType="separate"/>
            </w:r>
            <w:r w:rsidR="00E61CED">
              <w:rPr>
                <w:noProof/>
                <w:webHidden/>
              </w:rPr>
              <w:t>54</w:t>
            </w:r>
            <w:r w:rsidR="00E61CED">
              <w:rPr>
                <w:noProof/>
                <w:webHidden/>
              </w:rPr>
              <w:fldChar w:fldCharType="end"/>
            </w:r>
          </w:hyperlink>
        </w:p>
        <w:p w:rsidR="00E61CED" w:rsidRDefault="00AB6FE7">
          <w:pPr>
            <w:pStyle w:val="TOC3"/>
            <w:tabs>
              <w:tab w:val="right" w:leader="dot" w:pos="9019"/>
            </w:tabs>
            <w:rPr>
              <w:rFonts w:asciiTheme="minorHAnsi" w:eastAsiaTheme="minorEastAsia" w:hAnsiTheme="minorHAnsi" w:cstheme="minorBidi"/>
              <w:noProof/>
              <w:sz w:val="22"/>
              <w:szCs w:val="22"/>
            </w:rPr>
          </w:pPr>
          <w:hyperlink w:anchor="_Toc241178781" w:history="1">
            <w:r w:rsidR="00E61CED" w:rsidRPr="00D548B7">
              <w:rPr>
                <w:rStyle w:val="Hyperlink"/>
                <w:noProof/>
              </w:rPr>
              <w:t>5.4.3 Recommendation 3: Improve financial and digital AI literacy</w:t>
            </w:r>
            <w:r w:rsidR="00E61CED">
              <w:rPr>
                <w:noProof/>
                <w:webHidden/>
              </w:rPr>
              <w:tab/>
            </w:r>
            <w:r w:rsidR="00E61CED">
              <w:rPr>
                <w:noProof/>
                <w:webHidden/>
              </w:rPr>
              <w:fldChar w:fldCharType="begin"/>
            </w:r>
            <w:r w:rsidR="00E61CED">
              <w:rPr>
                <w:noProof/>
                <w:webHidden/>
              </w:rPr>
              <w:instrText xml:space="preserve"> PAGEREF _Toc241178781 \h </w:instrText>
            </w:r>
            <w:r w:rsidR="00E61CED">
              <w:rPr>
                <w:noProof/>
                <w:webHidden/>
              </w:rPr>
            </w:r>
            <w:r w:rsidR="00E61CED">
              <w:rPr>
                <w:noProof/>
                <w:webHidden/>
              </w:rPr>
              <w:fldChar w:fldCharType="separate"/>
            </w:r>
            <w:r w:rsidR="00E61CED">
              <w:rPr>
                <w:noProof/>
                <w:webHidden/>
              </w:rPr>
              <w:t>54</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82" w:history="1">
            <w:r w:rsidR="00E61CED" w:rsidRPr="00D548B7">
              <w:rPr>
                <w:rStyle w:val="Hyperlink"/>
                <w:noProof/>
              </w:rPr>
              <w:t>5.5 Future Scope</w:t>
            </w:r>
            <w:r w:rsidR="00E61CED">
              <w:rPr>
                <w:noProof/>
                <w:webHidden/>
              </w:rPr>
              <w:tab/>
            </w:r>
            <w:r w:rsidR="00E61CED">
              <w:rPr>
                <w:noProof/>
                <w:webHidden/>
              </w:rPr>
              <w:fldChar w:fldCharType="begin"/>
            </w:r>
            <w:r w:rsidR="00E61CED">
              <w:rPr>
                <w:noProof/>
                <w:webHidden/>
              </w:rPr>
              <w:instrText xml:space="preserve"> PAGEREF _Toc241178782 \h </w:instrText>
            </w:r>
            <w:r w:rsidR="00E61CED">
              <w:rPr>
                <w:noProof/>
                <w:webHidden/>
              </w:rPr>
            </w:r>
            <w:r w:rsidR="00E61CED">
              <w:rPr>
                <w:noProof/>
                <w:webHidden/>
              </w:rPr>
              <w:fldChar w:fldCharType="separate"/>
            </w:r>
            <w:r w:rsidR="00E61CED">
              <w:rPr>
                <w:noProof/>
                <w:webHidden/>
              </w:rPr>
              <w:t>54</w:t>
            </w:r>
            <w:r w:rsidR="00E61CED">
              <w:rPr>
                <w:noProof/>
                <w:webHidden/>
              </w:rPr>
              <w:fldChar w:fldCharType="end"/>
            </w:r>
          </w:hyperlink>
        </w:p>
        <w:p w:rsidR="00E61CED" w:rsidRDefault="00AB6FE7">
          <w:pPr>
            <w:pStyle w:val="TOC1"/>
            <w:tabs>
              <w:tab w:val="right" w:leader="dot" w:pos="9019"/>
            </w:tabs>
            <w:rPr>
              <w:rFonts w:asciiTheme="minorHAnsi" w:eastAsiaTheme="minorEastAsia" w:hAnsiTheme="minorHAnsi" w:cstheme="minorBidi"/>
              <w:noProof/>
              <w:sz w:val="22"/>
              <w:szCs w:val="22"/>
            </w:rPr>
          </w:pPr>
          <w:hyperlink w:anchor="_Toc241178783" w:history="1">
            <w:r w:rsidR="00E61CED" w:rsidRPr="00D548B7">
              <w:rPr>
                <w:rStyle w:val="Hyperlink"/>
                <w:noProof/>
              </w:rPr>
              <w:t>References</w:t>
            </w:r>
            <w:r w:rsidR="00E61CED">
              <w:rPr>
                <w:noProof/>
                <w:webHidden/>
              </w:rPr>
              <w:tab/>
            </w:r>
            <w:r w:rsidR="00E61CED">
              <w:rPr>
                <w:noProof/>
                <w:webHidden/>
              </w:rPr>
              <w:fldChar w:fldCharType="begin"/>
            </w:r>
            <w:r w:rsidR="00E61CED">
              <w:rPr>
                <w:noProof/>
                <w:webHidden/>
              </w:rPr>
              <w:instrText xml:space="preserve"> PAGEREF _Toc241178783 \h </w:instrText>
            </w:r>
            <w:r w:rsidR="00E61CED">
              <w:rPr>
                <w:noProof/>
                <w:webHidden/>
              </w:rPr>
            </w:r>
            <w:r w:rsidR="00E61CED">
              <w:rPr>
                <w:noProof/>
                <w:webHidden/>
              </w:rPr>
              <w:fldChar w:fldCharType="separate"/>
            </w:r>
            <w:r w:rsidR="00E61CED">
              <w:rPr>
                <w:noProof/>
                <w:webHidden/>
              </w:rPr>
              <w:t>56</w:t>
            </w:r>
            <w:r w:rsidR="00E61CED">
              <w:rPr>
                <w:noProof/>
                <w:webHidden/>
              </w:rPr>
              <w:fldChar w:fldCharType="end"/>
            </w:r>
          </w:hyperlink>
        </w:p>
        <w:p w:rsidR="00E61CED" w:rsidRDefault="00AB6FE7">
          <w:pPr>
            <w:pStyle w:val="TOC1"/>
            <w:tabs>
              <w:tab w:val="right" w:leader="dot" w:pos="9019"/>
            </w:tabs>
            <w:rPr>
              <w:rFonts w:asciiTheme="minorHAnsi" w:eastAsiaTheme="minorEastAsia" w:hAnsiTheme="minorHAnsi" w:cstheme="minorBidi"/>
              <w:noProof/>
              <w:sz w:val="22"/>
              <w:szCs w:val="22"/>
            </w:rPr>
          </w:pPr>
          <w:hyperlink w:anchor="_Toc241178784" w:history="1">
            <w:r w:rsidR="00E61CED" w:rsidRPr="00D548B7">
              <w:rPr>
                <w:rStyle w:val="Hyperlink"/>
                <w:noProof/>
              </w:rPr>
              <w:t>Appendices</w:t>
            </w:r>
            <w:r w:rsidR="00E61CED">
              <w:rPr>
                <w:noProof/>
                <w:webHidden/>
              </w:rPr>
              <w:tab/>
            </w:r>
            <w:r w:rsidR="00E61CED">
              <w:rPr>
                <w:noProof/>
                <w:webHidden/>
              </w:rPr>
              <w:fldChar w:fldCharType="begin"/>
            </w:r>
            <w:r w:rsidR="00E61CED">
              <w:rPr>
                <w:noProof/>
                <w:webHidden/>
              </w:rPr>
              <w:instrText xml:space="preserve"> PAGEREF _Toc241178784 \h </w:instrText>
            </w:r>
            <w:r w:rsidR="00E61CED">
              <w:rPr>
                <w:noProof/>
                <w:webHidden/>
              </w:rPr>
            </w:r>
            <w:r w:rsidR="00E61CED">
              <w:rPr>
                <w:noProof/>
                <w:webHidden/>
              </w:rPr>
              <w:fldChar w:fldCharType="separate"/>
            </w:r>
            <w:r w:rsidR="00E61CED">
              <w:rPr>
                <w:noProof/>
                <w:webHidden/>
              </w:rPr>
              <w:t>70</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85" w:history="1">
            <w:r w:rsidR="00E61CED" w:rsidRPr="00D548B7">
              <w:rPr>
                <w:rStyle w:val="Hyperlink"/>
                <w:noProof/>
              </w:rPr>
              <w:t>Appendix 1: Coding Table</w:t>
            </w:r>
            <w:r w:rsidR="00E61CED">
              <w:rPr>
                <w:noProof/>
                <w:webHidden/>
              </w:rPr>
              <w:tab/>
            </w:r>
            <w:r w:rsidR="00E61CED">
              <w:rPr>
                <w:noProof/>
                <w:webHidden/>
              </w:rPr>
              <w:fldChar w:fldCharType="begin"/>
            </w:r>
            <w:r w:rsidR="00E61CED">
              <w:rPr>
                <w:noProof/>
                <w:webHidden/>
              </w:rPr>
              <w:instrText xml:space="preserve"> PAGEREF _Toc241178785 \h </w:instrText>
            </w:r>
            <w:r w:rsidR="00E61CED">
              <w:rPr>
                <w:noProof/>
                <w:webHidden/>
              </w:rPr>
            </w:r>
            <w:r w:rsidR="00E61CED">
              <w:rPr>
                <w:noProof/>
                <w:webHidden/>
              </w:rPr>
              <w:fldChar w:fldCharType="separate"/>
            </w:r>
            <w:r w:rsidR="00E61CED">
              <w:rPr>
                <w:noProof/>
                <w:webHidden/>
              </w:rPr>
              <w:t>70</w:t>
            </w:r>
            <w:r w:rsidR="00E61CED">
              <w:rPr>
                <w:noProof/>
                <w:webHidden/>
              </w:rPr>
              <w:fldChar w:fldCharType="end"/>
            </w:r>
          </w:hyperlink>
        </w:p>
        <w:p w:rsidR="00E61CED" w:rsidRDefault="00AB6FE7">
          <w:pPr>
            <w:pStyle w:val="TOC2"/>
            <w:tabs>
              <w:tab w:val="right" w:leader="dot" w:pos="9019"/>
            </w:tabs>
            <w:rPr>
              <w:rFonts w:asciiTheme="minorHAnsi" w:eastAsiaTheme="minorEastAsia" w:hAnsiTheme="minorHAnsi" w:cstheme="minorBidi"/>
              <w:noProof/>
              <w:sz w:val="22"/>
              <w:szCs w:val="22"/>
            </w:rPr>
          </w:pPr>
          <w:hyperlink w:anchor="_Toc241178786" w:history="1">
            <w:r w:rsidR="00E61CED" w:rsidRPr="00D548B7">
              <w:rPr>
                <w:rStyle w:val="Hyperlink"/>
                <w:noProof/>
              </w:rPr>
              <w:t>Appendix 2: Ethics Form</w:t>
            </w:r>
            <w:r w:rsidR="00E61CED">
              <w:rPr>
                <w:noProof/>
                <w:webHidden/>
              </w:rPr>
              <w:tab/>
            </w:r>
            <w:r w:rsidR="00E61CED">
              <w:rPr>
                <w:noProof/>
                <w:webHidden/>
              </w:rPr>
              <w:fldChar w:fldCharType="begin"/>
            </w:r>
            <w:r w:rsidR="00E61CED">
              <w:rPr>
                <w:noProof/>
                <w:webHidden/>
              </w:rPr>
              <w:instrText xml:space="preserve"> PAGEREF _Toc241178786 \h </w:instrText>
            </w:r>
            <w:r w:rsidR="00E61CED">
              <w:rPr>
                <w:noProof/>
                <w:webHidden/>
              </w:rPr>
            </w:r>
            <w:r w:rsidR="00E61CED">
              <w:rPr>
                <w:noProof/>
                <w:webHidden/>
              </w:rPr>
              <w:fldChar w:fldCharType="separate"/>
            </w:r>
            <w:r w:rsidR="00E61CED">
              <w:rPr>
                <w:noProof/>
                <w:webHidden/>
              </w:rPr>
              <w:t>95</w:t>
            </w:r>
            <w:r w:rsidR="00E61CED">
              <w:rPr>
                <w:noProof/>
                <w:webHidden/>
              </w:rPr>
              <w:fldChar w:fldCharType="end"/>
            </w:r>
          </w:hyperlink>
        </w:p>
        <w:p w:rsidR="00E61CED" w:rsidRDefault="00AB6FE7">
          <w:pPr>
            <w:pStyle w:val="TOC1"/>
            <w:tabs>
              <w:tab w:val="right" w:leader="dot" w:pos="9019"/>
            </w:tabs>
            <w:rPr>
              <w:rFonts w:asciiTheme="minorHAnsi" w:eastAsiaTheme="minorEastAsia" w:hAnsiTheme="minorHAnsi" w:cstheme="minorBidi"/>
              <w:noProof/>
              <w:sz w:val="22"/>
              <w:szCs w:val="22"/>
            </w:rPr>
          </w:pPr>
          <w:hyperlink w:anchor="_Toc241178787" w:history="1">
            <w:r w:rsidR="00E61CED" w:rsidRPr="00D548B7">
              <w:rPr>
                <w:rStyle w:val="Hyperlink"/>
                <w:rFonts w:ascii="Arial" w:hAnsi="Arial" w:cs="Arial"/>
                <w:noProof/>
              </w:rPr>
              <w:t>Outline any anticipated risksthat may adversely affect any of the participants, the researchers and/or the University, and the steps that will be taken to address them.</w:t>
            </w:r>
            <w:r w:rsidR="00E61CED">
              <w:rPr>
                <w:noProof/>
                <w:webHidden/>
              </w:rPr>
              <w:tab/>
            </w:r>
            <w:r w:rsidR="00E61CED">
              <w:rPr>
                <w:noProof/>
                <w:webHidden/>
              </w:rPr>
              <w:fldChar w:fldCharType="begin"/>
            </w:r>
            <w:r w:rsidR="00E61CED">
              <w:rPr>
                <w:noProof/>
                <w:webHidden/>
              </w:rPr>
              <w:instrText xml:space="preserve"> PAGEREF _Toc241178787 \h </w:instrText>
            </w:r>
            <w:r w:rsidR="00E61CED">
              <w:rPr>
                <w:noProof/>
                <w:webHidden/>
              </w:rPr>
            </w:r>
            <w:r w:rsidR="00E61CED">
              <w:rPr>
                <w:noProof/>
                <w:webHidden/>
              </w:rPr>
              <w:fldChar w:fldCharType="separate"/>
            </w:r>
            <w:r w:rsidR="00E61CED">
              <w:rPr>
                <w:noProof/>
                <w:webHidden/>
              </w:rPr>
              <w:t>103</w:t>
            </w:r>
            <w:r w:rsidR="00E61CED">
              <w:rPr>
                <w:noProof/>
                <w:webHidden/>
              </w:rPr>
              <w:fldChar w:fldCharType="end"/>
            </w:r>
          </w:hyperlink>
        </w:p>
        <w:p w:rsidR="00EB6DA5" w:rsidRDefault="00F50217">
          <w:r>
            <w:fldChar w:fldCharType="end"/>
          </w:r>
        </w:p>
      </w:sdtContent>
    </w:sdt>
    <w:p w:rsidR="00EB6DA5" w:rsidRDefault="00785E4B">
      <w:pPr>
        <w:jc w:val="center"/>
      </w:pPr>
      <w:r>
        <w:br w:type="page"/>
      </w:r>
    </w:p>
    <w:p w:rsidR="00EB6DA5" w:rsidRDefault="00785E4B">
      <w:pPr>
        <w:jc w:val="center"/>
        <w:rPr>
          <w:b/>
          <w:bCs/>
          <w:sz w:val="28"/>
          <w:szCs w:val="28"/>
        </w:rPr>
      </w:pPr>
      <w:r>
        <w:rPr>
          <w:b/>
          <w:bCs/>
          <w:sz w:val="28"/>
          <w:szCs w:val="28"/>
        </w:rPr>
        <w:lastRenderedPageBreak/>
        <w:t>List of Figures</w:t>
      </w:r>
    </w:p>
    <w:sdt>
      <w:sdtPr>
        <w:id w:val="-474307363"/>
        <w:docPartObj>
          <w:docPartGallery w:val="Table of Contents"/>
          <w:docPartUnique/>
        </w:docPartObj>
      </w:sdtPr>
      <w:sdtEndPr/>
      <w:sdtContent>
        <w:p w:rsidR="00EB6DA5" w:rsidRDefault="00F50217">
          <w:pPr>
            <w:pBdr>
              <w:top w:val="nil"/>
              <w:left w:val="nil"/>
              <w:bottom w:val="nil"/>
              <w:right w:val="nil"/>
              <w:between w:val="nil"/>
            </w:pBdr>
            <w:tabs>
              <w:tab w:val="right" w:pos="9019"/>
            </w:tabs>
            <w:rPr>
              <w:color w:val="000000"/>
            </w:rPr>
          </w:pPr>
          <w:r>
            <w:fldChar w:fldCharType="begin"/>
          </w:r>
          <w:r w:rsidR="00785E4B">
            <w:instrText xml:space="preserve"> TOC \h \u \z \t "Heading 1,1,Heading 2,2,Heading 3,3,Heading 4,4,Heading 5,5,Heading 6,6,"</w:instrText>
          </w:r>
          <w:r>
            <w:fldChar w:fldCharType="separate"/>
          </w:r>
          <w:hyperlink w:anchor="_heading=h.p33f66usf5lm">
            <w:r w:rsidR="00785E4B">
              <w:rPr>
                <w:color w:val="000000"/>
              </w:rPr>
              <w:t>Figure 1.1: AI in the UK Finance Market</w:t>
            </w:r>
            <w:r w:rsidR="00785E4B">
              <w:rPr>
                <w:color w:val="000000"/>
              </w:rPr>
              <w:tab/>
              <w:t>8</w:t>
            </w:r>
          </w:hyperlink>
        </w:p>
        <w:p w:rsidR="00EB6DA5" w:rsidRDefault="00AB6FE7">
          <w:pPr>
            <w:pBdr>
              <w:top w:val="nil"/>
              <w:left w:val="nil"/>
              <w:bottom w:val="nil"/>
              <w:right w:val="nil"/>
              <w:between w:val="nil"/>
            </w:pBdr>
            <w:tabs>
              <w:tab w:val="right" w:pos="9019"/>
            </w:tabs>
            <w:rPr>
              <w:color w:val="000000"/>
            </w:rPr>
          </w:pPr>
          <w:hyperlink w:anchor="_heading=h.m7twj65x9ez2">
            <w:r w:rsidR="00785E4B">
              <w:rPr>
                <w:color w:val="000000"/>
              </w:rPr>
              <w:t>Figure 1.2: Data Breaches in the UK</w:t>
            </w:r>
            <w:r w:rsidR="00785E4B">
              <w:rPr>
                <w:color w:val="000000"/>
              </w:rPr>
              <w:tab/>
              <w:t>10</w:t>
            </w:r>
          </w:hyperlink>
        </w:p>
        <w:p w:rsidR="00EB6DA5" w:rsidRDefault="00AB6FE7">
          <w:pPr>
            <w:pBdr>
              <w:top w:val="nil"/>
              <w:left w:val="nil"/>
              <w:bottom w:val="nil"/>
              <w:right w:val="nil"/>
              <w:between w:val="nil"/>
            </w:pBdr>
            <w:tabs>
              <w:tab w:val="right" w:pos="9019"/>
            </w:tabs>
            <w:rPr>
              <w:color w:val="000000"/>
            </w:rPr>
          </w:pPr>
          <w:hyperlink w:anchor="_heading=h.5u5wd28zlmzp">
            <w:r w:rsidR="00785E4B">
              <w:rPr>
                <w:color w:val="000000"/>
              </w:rPr>
              <w:t>Figure 1.3: Dissertation Structure</w:t>
            </w:r>
            <w:r w:rsidR="00785E4B">
              <w:rPr>
                <w:color w:val="000000"/>
              </w:rPr>
              <w:tab/>
              <w:t>13</w:t>
            </w:r>
          </w:hyperlink>
        </w:p>
        <w:p w:rsidR="00EB6DA5" w:rsidRDefault="00AB6FE7">
          <w:pPr>
            <w:pBdr>
              <w:top w:val="nil"/>
              <w:left w:val="nil"/>
              <w:bottom w:val="nil"/>
              <w:right w:val="nil"/>
              <w:between w:val="nil"/>
            </w:pBdr>
            <w:tabs>
              <w:tab w:val="right" w:pos="9019"/>
            </w:tabs>
            <w:rPr>
              <w:color w:val="000000"/>
            </w:rPr>
          </w:pPr>
          <w:hyperlink w:anchor="_heading=h.4q52pe9pcwvv">
            <w:r w:rsidR="00785E4B">
              <w:rPr>
                <w:color w:val="000000"/>
              </w:rPr>
              <w:t>Figure 2.1: Conceptual Framework</w:t>
            </w:r>
            <w:r w:rsidR="00785E4B">
              <w:rPr>
                <w:color w:val="000000"/>
              </w:rPr>
              <w:tab/>
              <w:t>27</w:t>
            </w:r>
          </w:hyperlink>
        </w:p>
        <w:p w:rsidR="00EB6DA5" w:rsidRDefault="00AB6FE7">
          <w:pPr>
            <w:pBdr>
              <w:top w:val="nil"/>
              <w:left w:val="nil"/>
              <w:bottom w:val="nil"/>
              <w:right w:val="nil"/>
              <w:between w:val="nil"/>
            </w:pBdr>
            <w:tabs>
              <w:tab w:val="right" w:pos="9019"/>
            </w:tabs>
            <w:rPr>
              <w:color w:val="000000"/>
            </w:rPr>
          </w:pPr>
          <w:hyperlink w:anchor="_heading=h.9pd51ax7vktz">
            <w:r w:rsidR="00785E4B">
              <w:rPr>
                <w:color w:val="000000"/>
              </w:rPr>
              <w:t>Figure 3.1: Research Onion</w:t>
            </w:r>
            <w:r w:rsidR="00785E4B">
              <w:rPr>
                <w:color w:val="000000"/>
              </w:rPr>
              <w:tab/>
              <w:t>29</w:t>
            </w:r>
          </w:hyperlink>
          <w:r w:rsidR="00F50217">
            <w:fldChar w:fldCharType="end"/>
          </w:r>
        </w:p>
      </w:sdtContent>
    </w:sdt>
    <w:p w:rsidR="00E61CED" w:rsidRDefault="00E61CED" w:rsidP="00E61CED"/>
    <w:p w:rsidR="00E61CED" w:rsidRDefault="00E61CED" w:rsidP="00E61CED"/>
    <w:p w:rsidR="00EB6DA5" w:rsidRDefault="00E61CED" w:rsidP="00E61CED">
      <w:pPr>
        <w:rPr>
          <w:b/>
          <w:bCs/>
          <w:sz w:val="28"/>
          <w:szCs w:val="28"/>
        </w:rPr>
      </w:pPr>
      <w:r>
        <w:t xml:space="preserve">                                                         </w:t>
      </w:r>
      <w:r w:rsidR="00785E4B">
        <w:rPr>
          <w:b/>
          <w:bCs/>
          <w:sz w:val="28"/>
          <w:szCs w:val="28"/>
        </w:rPr>
        <w:t>List of Tables</w:t>
      </w:r>
    </w:p>
    <w:p w:rsidR="00E61CED" w:rsidRPr="00E61CED" w:rsidRDefault="00E61CED" w:rsidP="00E61CED">
      <w:pPr>
        <w:rPr>
          <w:sz w:val="28"/>
          <w:szCs w:val="28"/>
        </w:rPr>
      </w:pPr>
    </w:p>
    <w:sdt>
      <w:sdtPr>
        <w:id w:val="-595503273"/>
        <w:docPartObj>
          <w:docPartGallery w:val="Table of Contents"/>
          <w:docPartUnique/>
        </w:docPartObj>
      </w:sdtPr>
      <w:sdtEndPr/>
      <w:sdtContent>
        <w:p w:rsidR="00EB6DA5" w:rsidRDefault="00F50217">
          <w:pPr>
            <w:pBdr>
              <w:top w:val="nil"/>
              <w:left w:val="nil"/>
              <w:bottom w:val="nil"/>
              <w:right w:val="nil"/>
              <w:between w:val="nil"/>
            </w:pBdr>
            <w:tabs>
              <w:tab w:val="right" w:pos="9019"/>
            </w:tabs>
            <w:rPr>
              <w:rFonts w:ascii="Cambria" w:eastAsia="Cambria" w:hAnsi="Cambria" w:cs="Cambria"/>
              <w:color w:val="000000"/>
              <w:sz w:val="22"/>
              <w:szCs w:val="22"/>
            </w:rPr>
          </w:pPr>
          <w:r>
            <w:fldChar w:fldCharType="begin"/>
          </w:r>
          <w:r w:rsidR="00785E4B">
            <w:instrText xml:space="preserve"> TOC \h \u \z \t "Heading 1,1,Heading 2,2,Heading 3,3,Heading 4,4,Heading 5,5,Heading 6,6,"</w:instrText>
          </w:r>
          <w:r>
            <w:fldChar w:fldCharType="separate"/>
          </w:r>
          <w:hyperlink w:anchor="_heading=h.21uomnwgutk0">
            <w:r w:rsidR="00785E4B">
              <w:rPr>
                <w:color w:val="000000"/>
              </w:rPr>
              <w:t>Table 3.1: Exclusion and Inclusion Criteria</w:t>
            </w:r>
            <w:r w:rsidR="00785E4B">
              <w:rPr>
                <w:color w:val="000000"/>
              </w:rPr>
              <w:tab/>
              <w:t>34</w:t>
            </w:r>
          </w:hyperlink>
        </w:p>
        <w:p w:rsidR="00EB6DA5" w:rsidRDefault="00AB6FE7">
          <w:pPr>
            <w:pBdr>
              <w:top w:val="nil"/>
              <w:left w:val="nil"/>
              <w:bottom w:val="nil"/>
              <w:right w:val="nil"/>
              <w:between w:val="nil"/>
            </w:pBdr>
            <w:tabs>
              <w:tab w:val="right" w:pos="9019"/>
            </w:tabs>
            <w:rPr>
              <w:rFonts w:ascii="Cambria" w:eastAsia="Cambria" w:hAnsi="Cambria" w:cs="Cambria"/>
              <w:color w:val="000000"/>
              <w:sz w:val="22"/>
              <w:szCs w:val="22"/>
            </w:rPr>
          </w:pPr>
          <w:hyperlink w:anchor="_heading=h.1iabum8bni3l">
            <w:r w:rsidR="00785E4B">
              <w:rPr>
                <w:color w:val="000000"/>
              </w:rPr>
              <w:t>Table 4.1: Thematic Coding</w:t>
            </w:r>
            <w:r w:rsidR="00785E4B">
              <w:rPr>
                <w:color w:val="000000"/>
              </w:rPr>
              <w:tab/>
              <w:t>42</w:t>
            </w:r>
          </w:hyperlink>
          <w:r w:rsidR="00F50217">
            <w:fldChar w:fldCharType="end"/>
          </w:r>
        </w:p>
      </w:sdtContent>
    </w:sdt>
    <w:p w:rsidR="00EB6DA5" w:rsidRDefault="00EB6DA5">
      <w:pPr>
        <w:widowControl w:val="0"/>
        <w:pBdr>
          <w:top w:val="nil"/>
          <w:left w:val="nil"/>
          <w:bottom w:val="nil"/>
          <w:right w:val="nil"/>
          <w:between w:val="nil"/>
        </w:pBdr>
        <w:spacing w:line="276" w:lineRule="auto"/>
        <w:jc w:val="left"/>
        <w:rPr>
          <w:rFonts w:ascii="Cambria" w:eastAsia="Cambria" w:hAnsi="Cambria" w:cs="Cambria"/>
          <w:color w:val="000000"/>
          <w:sz w:val="22"/>
          <w:szCs w:val="22"/>
        </w:rPr>
      </w:pPr>
    </w:p>
    <w:sdt>
      <w:sdtPr>
        <w:id w:val="1173173080"/>
        <w:docPartObj>
          <w:docPartGallery w:val="Table of Contents"/>
          <w:docPartUnique/>
        </w:docPartObj>
      </w:sdtPr>
      <w:sdtEndPr/>
      <w:sdtContent>
        <w:p w:rsidR="00EB6DA5" w:rsidRDefault="00F50217">
          <w:pPr>
            <w:pBdr>
              <w:top w:val="nil"/>
              <w:left w:val="nil"/>
              <w:bottom w:val="nil"/>
              <w:right w:val="nil"/>
              <w:between w:val="nil"/>
            </w:pBdr>
            <w:tabs>
              <w:tab w:val="right" w:pos="9019"/>
            </w:tabs>
            <w:rPr>
              <w:rFonts w:ascii="Cambria" w:eastAsia="Cambria" w:hAnsi="Cambria" w:cs="Cambria"/>
              <w:color w:val="000000"/>
              <w:sz w:val="22"/>
              <w:szCs w:val="22"/>
            </w:rPr>
          </w:pPr>
          <w:r>
            <w:fldChar w:fldCharType="begin"/>
          </w:r>
          <w:r w:rsidR="00785E4B">
            <w:instrText xml:space="preserve"> TOC \h \u \z \t "Heading 1,1,Heading 2,2,Heading 3,3,Heading 4,4,Heading 5,5,Heading 6,6,"</w:instrText>
          </w:r>
          <w:r>
            <w:fldChar w:fldCharType="end"/>
          </w:r>
        </w:p>
      </w:sdtContent>
    </w:sdt>
    <w:p w:rsidR="00EB6DA5" w:rsidRDefault="00AE264E" w:rsidP="00E61CED">
      <w:pPr>
        <w:rPr>
          <w:b/>
          <w:bCs/>
          <w:sz w:val="28"/>
          <w:szCs w:val="28"/>
        </w:rPr>
      </w:pPr>
      <w:r>
        <w:t xml:space="preserve">                                                         </w:t>
      </w:r>
      <w:r w:rsidR="00785E4B">
        <w:rPr>
          <w:b/>
          <w:bCs/>
          <w:sz w:val="28"/>
          <w:szCs w:val="28"/>
        </w:rPr>
        <w:t>List of Abbreviations</w:t>
      </w:r>
    </w:p>
    <w:p w:rsidR="00AE264E" w:rsidRPr="00E61CED" w:rsidRDefault="00AE264E" w:rsidP="00E61CED">
      <w:pPr>
        <w:rPr>
          <w:sz w:val="28"/>
          <w:szCs w:val="28"/>
        </w:rPr>
      </w:pPr>
    </w:p>
    <w:p w:rsidR="00EB6DA5" w:rsidRDefault="00785E4B">
      <w:r>
        <w:t>AI - Artificial Intelligence</w:t>
      </w:r>
    </w:p>
    <w:p w:rsidR="00EB6DA5" w:rsidRDefault="00785E4B">
      <w:r>
        <w:t>NLP - Natural Language Processing</w:t>
      </w:r>
    </w:p>
    <w:p w:rsidR="00EB6DA5" w:rsidRDefault="00785E4B">
      <w:r>
        <w:t>FinTech - Financial Technology</w:t>
      </w:r>
    </w:p>
    <w:p w:rsidR="00EB6DA5" w:rsidRDefault="00785E4B">
      <w:r>
        <w:t>CAGR - Compound Annual Growth Rate</w:t>
      </w:r>
    </w:p>
    <w:p w:rsidR="00EB6DA5" w:rsidRDefault="00785E4B">
      <w:r>
        <w:t>FTIs - First-Time Investors</w:t>
      </w:r>
    </w:p>
    <w:p w:rsidR="00EB6DA5" w:rsidRDefault="00785E4B">
      <w:r>
        <w:t>GDPR - General Data Protection Regulation</w:t>
      </w:r>
    </w:p>
    <w:p w:rsidR="00EB6DA5" w:rsidRDefault="00785E4B">
      <w:r>
        <w:t>GPT - Generative Pre-trained Transformer</w:t>
      </w:r>
    </w:p>
    <w:p w:rsidR="00EB6DA5" w:rsidRDefault="00785E4B">
      <w:r>
        <w:t>FCA - Financial Conduct Authority</w:t>
      </w:r>
    </w:p>
    <w:p w:rsidR="00EB6DA5" w:rsidRDefault="00785E4B">
      <w:r>
        <w:t>IRA - Investment Risk Appetite</w:t>
      </w:r>
    </w:p>
    <w:p w:rsidR="00EB6DA5" w:rsidRDefault="00785E4B">
      <w:r>
        <w:t>LLMs</w:t>
      </w:r>
      <w:r>
        <w:tab/>
        <w:t>Large Language Models</w:t>
      </w:r>
    </w:p>
    <w:p w:rsidR="00EB6DA5" w:rsidRDefault="00785E4B">
      <w:r>
        <w:t>ML - Machine Learning</w:t>
      </w:r>
    </w:p>
    <w:p w:rsidR="00EB6DA5" w:rsidRDefault="00785E4B">
      <w:r>
        <w:t>RPA - Robotic Process Automation</w:t>
      </w:r>
    </w:p>
    <w:p w:rsidR="00EB6DA5" w:rsidRDefault="00785E4B">
      <w:r>
        <w:t>TAM - Technology Acceptance Model</w:t>
      </w:r>
    </w:p>
    <w:p w:rsidR="00EB6DA5" w:rsidRDefault="00785E4B">
      <w:r>
        <w:t>UK - United Kingdom.</w:t>
      </w:r>
    </w:p>
    <w:p w:rsidR="00EB6DA5" w:rsidRDefault="00785E4B">
      <w:r>
        <w:br w:type="page"/>
      </w:r>
    </w:p>
    <w:p w:rsidR="00EB6DA5" w:rsidRDefault="00785E4B">
      <w:pPr>
        <w:pStyle w:val="Heading1"/>
      </w:pPr>
      <w:bookmarkStart w:id="5" w:name="_Toc241178719"/>
      <w:r>
        <w:lastRenderedPageBreak/>
        <w:t>Chapter 1: Introduction</w:t>
      </w:r>
      <w:bookmarkEnd w:id="5"/>
    </w:p>
    <w:p w:rsidR="00EB6DA5" w:rsidRDefault="00785E4B">
      <w:pPr>
        <w:pStyle w:val="Heading2"/>
      </w:pPr>
      <w:bookmarkStart w:id="6" w:name="_Toc241178720"/>
      <w:r>
        <w:t>1.1 Background</w:t>
      </w:r>
      <w:bookmarkEnd w:id="6"/>
    </w:p>
    <w:p w:rsidR="00EB6DA5" w:rsidRDefault="00785E4B">
      <w:r>
        <w:t>One of the most impactful technology advancements assisting the global financial services industry is Artificial Intelligence (AI). Financial institutions are deploying machine learning (ML), natural language processing (NLP), predictive analytics and generative AI to drive investment analysis, portfolio management, risk assessment and even customer advisory services. AI-powered financial advice contrasts with the conventional approach of relying on human skills and in-person consultations, delivering instant, data-driven, personalized guidance that can exist at lower costs (Aldasoro</w:t>
      </w:r>
      <w:r>
        <w:rPr>
          <w:i/>
          <w:iCs/>
        </w:rPr>
        <w:t>et al.</w:t>
      </w:r>
      <w:r>
        <w:t>, 2025). As a result, AI has greatly enhanced financial knowledge and investment advice, especially for micro-investors lacking in finance expertise.</w:t>
      </w:r>
    </w:p>
    <w:p w:rsidR="00EB6DA5" w:rsidRDefault="00785E4B">
      <w:r>
        <w:t>The UK is known as one of the leading players in financial technology (FinTech) and the wave of digital innovation has left its impact on financial services and investment. AI's swift adoption in UK financial institutions is a testament to the nation's dedication to financial innovation and technological progress. As of 2026, almost 75% of the financial services sector in the UK currently has AI implemented, demonstrating broad adoption and integration of AI within financial operations (Government of the UK, 2026). It is primarily used to enhance dimensions of data analytics, fraud detection, customer engagement, operational efficiency, and investment-related decision support.</w:t>
      </w:r>
    </w:p>
    <w:p w:rsidR="00EB6DA5" w:rsidRDefault="00785E4B">
      <w:pPr>
        <w:jc w:val="center"/>
      </w:pPr>
      <w:r>
        <w:rPr>
          <w:noProof/>
        </w:rPr>
        <w:drawing>
          <wp:inline distT="114300" distB="114300" distL="114300" distR="114300">
            <wp:extent cx="5414963" cy="2563562"/>
            <wp:effectExtent l="12700" t="12700" r="12700" b="12700"/>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414963" cy="2563562"/>
                    </a:xfrm>
                    <a:prstGeom prst="rect">
                      <a:avLst/>
                    </a:prstGeom>
                    <a:ln w="12700">
                      <a:solidFill>
                        <a:srgbClr val="000000"/>
                      </a:solidFill>
                      <a:prstDash val="solid"/>
                    </a:ln>
                  </pic:spPr>
                </pic:pic>
              </a:graphicData>
            </a:graphic>
          </wp:inline>
        </w:drawing>
      </w:r>
    </w:p>
    <w:p w:rsidR="00EB6DA5" w:rsidRDefault="00785E4B">
      <w:pPr>
        <w:pStyle w:val="Heading4"/>
      </w:pPr>
      <w:bookmarkStart w:id="7" w:name="_heading=h.p33f66usf5lm" w:colFirst="0" w:colLast="0"/>
      <w:bookmarkEnd w:id="7"/>
      <w:r>
        <w:t>Figure 1.1: AI in the UK Finance Market</w:t>
      </w:r>
    </w:p>
    <w:p w:rsidR="00EB6DA5" w:rsidRDefault="00785E4B">
      <w:pPr>
        <w:jc w:val="center"/>
      </w:pPr>
      <w:r>
        <w:t>(Source: Imarc, 2026)</w:t>
      </w:r>
    </w:p>
    <w:p w:rsidR="00EB6DA5" w:rsidRDefault="00785E4B">
      <w:r>
        <w:t xml:space="preserve">In addition to the changes in institutional behaviour, consumers' behaviours towards financial services have also significantly shifted. The UK AI financial market has been emerging in a </w:t>
      </w:r>
      <w:r>
        <w:lastRenderedPageBreak/>
        <w:t>rapid manner and is forecasted to reach $12.6 billion by 2034, with a growth rate (CAGR) of 22.85% between 2026 and 2034 (Imarc, 2026). Barriers to investing have diminished with the advent of digital investment platforms, mobile investment apps, robo-advisers, and generative artificial intelligence tools, allowing more UK people to engage in the investment process. There is a chronic ‘financial advice gap’ since only about 9% of UK adults access regulated financial advice, as many consumers find financial advice expensive and inaccessible (Panjwani, Makinson and Booth, 2026). Therefore, consumers are turning to digital assets and AI-powered apps for investment information within the country. On the other hand, approximately 26% of all consumers trust general-purpose AI systems, such as ChatGPT, Claude, Gemini, and others, even as these tools operate outside the UK’s regulated financial advice framework (UK Government, 2026).</w:t>
      </w:r>
    </w:p>
    <w:p w:rsidR="00EB6DA5" w:rsidRDefault="00785E4B">
      <w:r>
        <w:t>Investment confidence is one of the important behavioural factors that influence the investment attitudes of individuals. This is the positive attitude that an investor has with regard to their decision-making processes and financial risk management (Bouteska, Harasheh and Abedin, 2023). Investment confidence tends to reflect stronger engagement with the financial markets, while low confidence may result in delays in investment decision-making, or even investment opportunities being completely missed. As first-time investors usually lack practical experience, the quality and trustworthiness of that information can make a significant difference in their level of confidence in investing.</w:t>
      </w:r>
    </w:p>
    <w:p w:rsidR="00EB6DA5" w:rsidRDefault="00785E4B">
      <w:r>
        <w:t xml:space="preserve">Compared to experienced investors, first-time investors often have less financial literacy, a limited understanding of how markets behave, and are more unsure about investment opportunities. Because of this, this type of user tends to lean on external information sources before deciding anything (Mahmood </w:t>
      </w:r>
      <w:r>
        <w:rPr>
          <w:i/>
          <w:iCs/>
        </w:rPr>
        <w:t>et al.</w:t>
      </w:r>
      <w:r>
        <w:t>, 2024). So AI-generated financial advice might work as an easier educational aid, by simplifying complicated finance concepts, outlining investment risks, and producing tailored recommendations.</w:t>
      </w:r>
    </w:p>
    <w:p w:rsidR="00EB6DA5" w:rsidRDefault="00785E4B">
      <w:pPr>
        <w:jc w:val="center"/>
      </w:pPr>
      <w:r>
        <w:rPr>
          <w:noProof/>
        </w:rPr>
        <w:lastRenderedPageBreak/>
        <w:drawing>
          <wp:inline distT="114300" distB="114300" distL="114300" distR="114300">
            <wp:extent cx="4911563" cy="3071959"/>
            <wp:effectExtent l="12700" t="12700" r="12700" b="12700"/>
            <wp:docPr id="1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911563" cy="3071959"/>
                    </a:xfrm>
                    <a:prstGeom prst="rect">
                      <a:avLst/>
                    </a:prstGeom>
                    <a:ln w="12700">
                      <a:solidFill>
                        <a:srgbClr val="000000"/>
                      </a:solidFill>
                      <a:prstDash val="solid"/>
                    </a:ln>
                  </pic:spPr>
                </pic:pic>
              </a:graphicData>
            </a:graphic>
          </wp:inline>
        </w:drawing>
      </w:r>
    </w:p>
    <w:p w:rsidR="00EB6DA5" w:rsidRDefault="00785E4B">
      <w:pPr>
        <w:pStyle w:val="Heading4"/>
      </w:pPr>
      <w:bookmarkStart w:id="8" w:name="_heading=h.m7twj65x9ez2" w:colFirst="0" w:colLast="0"/>
      <w:bookmarkEnd w:id="8"/>
      <w:r>
        <w:t>Figure 1.2: Data Breaches in the UK</w:t>
      </w:r>
    </w:p>
    <w:p w:rsidR="00EB6DA5" w:rsidRDefault="00785E4B">
      <w:pPr>
        <w:jc w:val="center"/>
      </w:pPr>
      <w:r>
        <w:t>(Source: Statista, 2025)</w:t>
      </w:r>
    </w:p>
    <w:p w:rsidR="00EB6DA5" w:rsidRDefault="00785E4B">
      <w:r>
        <w:t>Despite all these benefits and opportunities stated earlier, there are also challenges associated with AI-driven financial advice in the UK. Historical data and algorithmic models drive the recommendations in generative AI systems, which sometimes lead to inaccurate, biased, or incomplete suggestions (Afreen, Mohaghegh and Doborjeh, 2025). In addition, these systems cannot necessarily make all the assumptions that reflect an individual's real as well as financial status, investment goals and tolerance for risk. Moreover, the incidents of data breaches have reached over 4.4 million as of 2024, indicating that there is a sense of threat regarding the increasing use of AI in financial investment guidance (Statista, 2025). To address these concerns, the responsible use of AI in financial services, considering transparency, explainability, accountability, cybersecurity, and consumer protection are essential.</w:t>
      </w:r>
    </w:p>
    <w:p w:rsidR="00EB6DA5" w:rsidRDefault="00785E4B">
      <w:r>
        <w:t>While the use of AI in finance has increased, there is a lack of specific academic study focusing on the effect of AI-driven investment advice on the level of confidence among First-Time Investors (FTIs). Therefore, this current study focuses on exploring the effects of investment-related guidance using AI specifically for new investors in the UK.</w:t>
      </w:r>
    </w:p>
    <w:p w:rsidR="00EB6DA5" w:rsidRDefault="00785E4B">
      <w:pPr>
        <w:pStyle w:val="Heading2"/>
      </w:pPr>
      <w:bookmarkStart w:id="9" w:name="_Toc241178721"/>
      <w:r>
        <w:t>1.2 Research Rationale</w:t>
      </w:r>
      <w:bookmarkEnd w:id="9"/>
    </w:p>
    <w:p w:rsidR="00EB6DA5" w:rsidRDefault="00785E4B">
      <w:r>
        <w:t xml:space="preserve">As generative AI progresses at a fast rate, the financial advice industry has also been growing through adopting new approaches like providing investors with personalised investment guidance using conversational AI platforms and digital investment applications. Advisory tools equipped with AI are increasingly becoming essential for UK financial institutions and FinTech </w:t>
      </w:r>
      <w:r>
        <w:lastRenderedPageBreak/>
        <w:t xml:space="preserve">firms to improve customer experience, broaden access to investments, and reduce the expenses associated with advisory services (Pattnaik, Ray and Raman, 2024). Despite such developments, there has been a lack of academic research specifically focused on understanding the impact of the financial advice provided by AI on the investment confidence of novice investors in the UK. </w:t>
      </w:r>
    </w:p>
    <w:p w:rsidR="00EB6DA5" w:rsidRDefault="00785E4B">
      <w:r>
        <w:t>Current pieces of research focus predominantly on the adoption of robo-advisors, financial technology adoption, or algorithmic trading, while comparatively less attention has been given to modern generative AI systems and personalised financial recommendations. Approximately 11 million UK adults are likely to use autonomous AI agents to manage their personal financial aspects in the future, illustrating the emerging significance of AI-aided financial decision-making (FCA, 2026). With the spreading adoption of AI, there has been a growing need to examine whether AI investment guidance actually builds confidence or leads to disregard. Therefore, this study offers a comprehensive overview of the potential influence of AI-generated financial advice on building investor confidence, especially for the initial investors in the UK.</w:t>
      </w:r>
    </w:p>
    <w:p w:rsidR="00EB6DA5" w:rsidRPr="00AE264E" w:rsidRDefault="00785E4B">
      <w:pPr>
        <w:pStyle w:val="Heading2"/>
        <w:rPr>
          <w:color w:val="000000" w:themeColor="text1"/>
        </w:rPr>
      </w:pPr>
      <w:bookmarkStart w:id="10" w:name="_Toc241178722"/>
      <w:r>
        <w:t>1</w:t>
      </w:r>
      <w:r w:rsidRPr="00AE264E">
        <w:rPr>
          <w:color w:val="000000" w:themeColor="text1"/>
        </w:rPr>
        <w:t>.3 Problem Statement</w:t>
      </w:r>
      <w:bookmarkEnd w:id="10"/>
    </w:p>
    <w:p w:rsidR="00EB6DA5" w:rsidRPr="00AE264E" w:rsidRDefault="00785E4B">
      <w:pPr>
        <w:rPr>
          <w:color w:val="000000" w:themeColor="text1"/>
        </w:rPr>
      </w:pPr>
      <w:r w:rsidRPr="00AE264E">
        <w:rPr>
          <w:color w:val="000000" w:themeColor="text1"/>
        </w:rPr>
        <w:t>While AI-powered financial advice is becoming widely available in the UK on digital investment platforms, there has been little research on how financial confidence in investing has been affected by AI amongst first-time investors. The absence of evidence raises questions about the influence of AI on informed investing decision-making, or even the possibility that it may lead to over-reliance on automated financial advice.</w:t>
      </w:r>
    </w:p>
    <w:p w:rsidR="00EB6DA5" w:rsidRPr="00AE264E" w:rsidRDefault="00785E4B">
      <w:pPr>
        <w:pStyle w:val="Heading2"/>
        <w:rPr>
          <w:color w:val="000000" w:themeColor="text1"/>
        </w:rPr>
      </w:pPr>
      <w:bookmarkStart w:id="11" w:name="_Toc241178723"/>
      <w:r w:rsidRPr="00AE264E">
        <w:rPr>
          <w:color w:val="000000" w:themeColor="text1"/>
        </w:rPr>
        <w:t>1.4 Research Aim and Objectives</w:t>
      </w:r>
      <w:bookmarkEnd w:id="11"/>
    </w:p>
    <w:p w:rsidR="00EB6DA5" w:rsidRPr="00AE264E" w:rsidRDefault="00785E4B" w:rsidP="00AE264E">
      <w:pPr>
        <w:pStyle w:val="Heading3"/>
        <w:tabs>
          <w:tab w:val="left" w:pos="2967"/>
        </w:tabs>
        <w:rPr>
          <w:color w:val="000000" w:themeColor="text1"/>
        </w:rPr>
      </w:pPr>
      <w:bookmarkStart w:id="12" w:name="_Toc241178724"/>
      <w:r w:rsidRPr="00AE264E">
        <w:rPr>
          <w:color w:val="000000" w:themeColor="text1"/>
        </w:rPr>
        <w:t>1.4.1 Aim</w:t>
      </w:r>
      <w:bookmarkEnd w:id="12"/>
      <w:r w:rsidR="00AE264E" w:rsidRPr="00AE264E">
        <w:rPr>
          <w:color w:val="000000" w:themeColor="text1"/>
        </w:rPr>
        <w:tab/>
      </w:r>
    </w:p>
    <w:p w:rsidR="00EB6DA5" w:rsidRPr="00AE264E" w:rsidRDefault="00785E4B">
      <w:pPr>
        <w:rPr>
          <w:color w:val="000000" w:themeColor="text1"/>
        </w:rPr>
      </w:pPr>
      <w:r w:rsidRPr="00AE264E">
        <w:rPr>
          <w:color w:val="000000" w:themeColor="text1"/>
        </w:rPr>
        <w:t>To assess how AI-generated financial advice affects first-time UK investors' investment confidence.</w:t>
      </w:r>
    </w:p>
    <w:p w:rsidR="00EB6DA5" w:rsidRPr="00AE264E" w:rsidRDefault="00785E4B">
      <w:pPr>
        <w:pStyle w:val="Heading3"/>
        <w:rPr>
          <w:color w:val="000000" w:themeColor="text1"/>
        </w:rPr>
      </w:pPr>
      <w:bookmarkStart w:id="13" w:name="_Toc241178725"/>
      <w:r w:rsidRPr="00AE264E">
        <w:rPr>
          <w:color w:val="000000" w:themeColor="text1"/>
        </w:rPr>
        <w:t>1.4.2 Objectives</w:t>
      </w:r>
      <w:bookmarkEnd w:id="13"/>
    </w:p>
    <w:p w:rsidR="00EB6DA5" w:rsidRPr="00AE264E" w:rsidRDefault="00785E4B">
      <w:pPr>
        <w:numPr>
          <w:ilvl w:val="0"/>
          <w:numId w:val="1"/>
        </w:numPr>
        <w:rPr>
          <w:color w:val="000000" w:themeColor="text1"/>
        </w:rPr>
      </w:pPr>
      <w:r w:rsidRPr="00AE264E">
        <w:rPr>
          <w:color w:val="000000" w:themeColor="text1"/>
        </w:rPr>
        <w:t>To investigate the adoption of AI-created financial advice within the investment sector in the UK.</w:t>
      </w:r>
    </w:p>
    <w:p w:rsidR="00EB6DA5" w:rsidRPr="00AE264E" w:rsidRDefault="00785E4B">
      <w:pPr>
        <w:numPr>
          <w:ilvl w:val="0"/>
          <w:numId w:val="1"/>
        </w:numPr>
        <w:rPr>
          <w:color w:val="000000" w:themeColor="text1"/>
        </w:rPr>
      </w:pPr>
      <w:r w:rsidRPr="00AE264E">
        <w:rPr>
          <w:color w:val="000000" w:themeColor="text1"/>
        </w:rPr>
        <w:t>To evaluate factors that increase the trust of first-time investors in AI-generated financial advice.</w:t>
      </w:r>
    </w:p>
    <w:p w:rsidR="00EB6DA5" w:rsidRPr="00AE264E" w:rsidRDefault="00785E4B">
      <w:pPr>
        <w:numPr>
          <w:ilvl w:val="0"/>
          <w:numId w:val="1"/>
        </w:numPr>
        <w:rPr>
          <w:color w:val="000000" w:themeColor="text1"/>
        </w:rPr>
      </w:pPr>
      <w:r w:rsidRPr="00AE264E">
        <w:rPr>
          <w:color w:val="000000" w:themeColor="text1"/>
        </w:rPr>
        <w:t>To identify major challenges related to AI-generated financial advice to uplift first-time investors’ confidence.</w:t>
      </w:r>
    </w:p>
    <w:p w:rsidR="00EB6DA5" w:rsidRPr="00AE264E" w:rsidRDefault="00785E4B">
      <w:pPr>
        <w:numPr>
          <w:ilvl w:val="0"/>
          <w:numId w:val="1"/>
        </w:numPr>
        <w:rPr>
          <w:color w:val="000000" w:themeColor="text1"/>
        </w:rPr>
      </w:pPr>
      <w:r w:rsidRPr="00AE264E">
        <w:rPr>
          <w:color w:val="000000" w:themeColor="text1"/>
        </w:rPr>
        <w:t>To provide potential recommendations for improving the responsible use of AI-aided financial advice in the UK investment industry.</w:t>
      </w:r>
    </w:p>
    <w:p w:rsidR="00EB6DA5" w:rsidRPr="00AE264E" w:rsidRDefault="00785E4B">
      <w:pPr>
        <w:pStyle w:val="Heading2"/>
        <w:rPr>
          <w:color w:val="000000" w:themeColor="text1"/>
        </w:rPr>
      </w:pPr>
      <w:bookmarkStart w:id="14" w:name="_Toc241178726"/>
      <w:r w:rsidRPr="00AE264E">
        <w:rPr>
          <w:color w:val="000000" w:themeColor="text1"/>
        </w:rPr>
        <w:lastRenderedPageBreak/>
        <w:t>1.5 Research Questions</w:t>
      </w:r>
      <w:bookmarkEnd w:id="14"/>
    </w:p>
    <w:p w:rsidR="00EB6DA5" w:rsidRPr="00AE264E" w:rsidRDefault="00785E4B">
      <w:pPr>
        <w:rPr>
          <w:color w:val="000000" w:themeColor="text1"/>
        </w:rPr>
      </w:pPr>
      <w:r w:rsidRPr="00AE264E">
        <w:rPr>
          <w:color w:val="000000" w:themeColor="text1"/>
        </w:rPr>
        <w:t>Q. How does AI-generated financial advice influence investment confidence among first-time investors in the UK?</w:t>
      </w:r>
    </w:p>
    <w:p w:rsidR="00EB6DA5" w:rsidRPr="00AE264E" w:rsidRDefault="00785E4B">
      <w:pPr>
        <w:rPr>
          <w:b/>
          <w:bCs/>
          <w:color w:val="000000" w:themeColor="text1"/>
        </w:rPr>
      </w:pPr>
      <w:r w:rsidRPr="00AE264E">
        <w:rPr>
          <w:b/>
          <w:bCs/>
          <w:color w:val="000000" w:themeColor="text1"/>
        </w:rPr>
        <w:t>Sub questions:</w:t>
      </w:r>
    </w:p>
    <w:p w:rsidR="00EB6DA5" w:rsidRPr="00AE264E" w:rsidRDefault="00785E4B">
      <w:pPr>
        <w:rPr>
          <w:color w:val="000000" w:themeColor="text1"/>
        </w:rPr>
      </w:pPr>
      <w:r w:rsidRPr="00AE264E">
        <w:rPr>
          <w:color w:val="000000" w:themeColor="text1"/>
        </w:rPr>
        <w:t>Q1. How is AI-generated financial advice being adopted within the UK investment sector particularly for services accessible to first-time investors?</w:t>
      </w:r>
    </w:p>
    <w:p w:rsidR="00EB6DA5" w:rsidRPr="00AE264E" w:rsidRDefault="00785E4B">
      <w:pPr>
        <w:rPr>
          <w:color w:val="000000" w:themeColor="text1"/>
        </w:rPr>
      </w:pPr>
      <w:r w:rsidRPr="00AE264E">
        <w:rPr>
          <w:color w:val="000000" w:themeColor="text1"/>
        </w:rPr>
        <w:t>Q2. What are the trends in the investment industry around AI and financial advice in the UK?</w:t>
      </w:r>
    </w:p>
    <w:p w:rsidR="00EB6DA5" w:rsidRPr="00AE264E" w:rsidRDefault="00785E4B">
      <w:pPr>
        <w:rPr>
          <w:color w:val="000000" w:themeColor="text1"/>
        </w:rPr>
      </w:pPr>
      <w:r w:rsidRPr="00AE264E">
        <w:rPr>
          <w:color w:val="000000" w:themeColor="text1"/>
        </w:rPr>
        <w:t>Q3. Which variables need to be considered as impacting the trust that first-time investors can have in an AI-based financial solutions guide?</w:t>
      </w:r>
    </w:p>
    <w:p w:rsidR="00EB6DA5" w:rsidRPr="00AE264E" w:rsidRDefault="00785E4B">
      <w:pPr>
        <w:rPr>
          <w:color w:val="000000" w:themeColor="text1"/>
        </w:rPr>
      </w:pPr>
      <w:r w:rsidRPr="00AE264E">
        <w:rPr>
          <w:color w:val="000000" w:themeColor="text1"/>
        </w:rPr>
        <w:t>Q4. How can responsible adoption of AI-driven financial advice be enhanced among financial services role players in the UK?</w:t>
      </w:r>
    </w:p>
    <w:p w:rsidR="00EB6DA5" w:rsidRPr="00AE264E" w:rsidRDefault="00785E4B">
      <w:pPr>
        <w:pStyle w:val="Heading2"/>
        <w:rPr>
          <w:color w:val="000000" w:themeColor="text1"/>
        </w:rPr>
      </w:pPr>
      <w:bookmarkStart w:id="15" w:name="_Toc241178727"/>
      <w:r w:rsidRPr="00AE264E">
        <w:rPr>
          <w:color w:val="000000" w:themeColor="text1"/>
        </w:rPr>
        <w:t>1.6 Significance</w:t>
      </w:r>
      <w:bookmarkEnd w:id="15"/>
    </w:p>
    <w:p w:rsidR="00EB6DA5" w:rsidRPr="00AE264E" w:rsidRDefault="00785E4B">
      <w:pPr>
        <w:rPr>
          <w:color w:val="000000" w:themeColor="text1"/>
        </w:rPr>
      </w:pPr>
      <w:r w:rsidRPr="00AE264E">
        <w:rPr>
          <w:color w:val="000000" w:themeColor="text1"/>
        </w:rPr>
        <w:t>This study is important as it explores the effects of AI-driven financial advice on first-time investors in the UK, a topic which has been largely overlooked in the academic literature. The study adds a perspective to the existing body of knowledge in the fields of artificial intelligence, financial markets technology (FinTech) and behavioural economics on the issue of investor trust in AI-driven financial advice.</w:t>
      </w:r>
    </w:p>
    <w:p w:rsidR="00EB6DA5" w:rsidRPr="00AE264E" w:rsidRDefault="00785E4B">
      <w:pPr>
        <w:rPr>
          <w:color w:val="000000" w:themeColor="text1"/>
        </w:rPr>
      </w:pPr>
      <w:r w:rsidRPr="00AE264E">
        <w:rPr>
          <w:color w:val="000000" w:themeColor="text1"/>
        </w:rPr>
        <w:t>On a practical level, the observations could inform FinTech companies, digital investment platforms, and financial advisers on understanding how AI advice is influencing investing among the new investor, and their creation of more transparent, trustworthy and user-friendly investment advice systems. In addition, the study offers insights and tools for policy makers and regulators (FCA in the UK) that could facilitate their process of making responsible AI regulation, consumer protection and algorithm transparency a reality. Consequently, the results from the research could also be used to improve financial literacy, inform investment decisions and enable new investors to stay more engaged in financial markets in the UK which could open up opportunities and challenges.</w:t>
      </w:r>
    </w:p>
    <w:p w:rsidR="009C689B" w:rsidRPr="00AE264E" w:rsidRDefault="009C689B" w:rsidP="009C689B">
      <w:pPr>
        <w:pStyle w:val="Heading2"/>
        <w:rPr>
          <w:color w:val="000000" w:themeColor="text1"/>
          <w:shd w:val="clear" w:color="auto" w:fill="FFFFFF"/>
        </w:rPr>
      </w:pPr>
      <w:bookmarkStart w:id="16" w:name="_Toc241178728"/>
      <w:r w:rsidRPr="00AE264E">
        <w:rPr>
          <w:color w:val="000000" w:themeColor="text1"/>
        </w:rPr>
        <w:t xml:space="preserve">1.7 </w:t>
      </w:r>
      <w:r w:rsidRPr="00AE264E">
        <w:rPr>
          <w:color w:val="000000" w:themeColor="text1"/>
          <w:shd w:val="clear" w:color="auto" w:fill="FFFFFF"/>
        </w:rPr>
        <w:t>Summary of literature review</w:t>
      </w:r>
      <w:bookmarkEnd w:id="16"/>
    </w:p>
    <w:p w:rsidR="004F49D3" w:rsidRPr="00AE264E" w:rsidRDefault="004F49D3" w:rsidP="004F49D3">
      <w:pPr>
        <w:rPr>
          <w:color w:val="000000" w:themeColor="text1"/>
        </w:rPr>
      </w:pPr>
      <w:r w:rsidRPr="00AE264E">
        <w:rPr>
          <w:color w:val="000000" w:themeColor="text1"/>
        </w:rPr>
        <w:t xml:space="preserve">The concept used in this study is based on the Theory of Technology Acceptance (TAM) and Trust Theories. In this context, TAM provides insight into the relationship among perceived usefulness, perceived ease of use, and individual acceptance and use of AI-generated financial advice. As applied to first-time investors, the model can shed some light on whether or not investors believe the advice from AI can be of value, accessible, and understandable to them when making investment choices. Trust Theory complements TAM by emphasising the relationship between trust and ability, benevolence and integrity in building confidence in an </w:t>
      </w:r>
      <w:r w:rsidRPr="00AE264E">
        <w:rPr>
          <w:color w:val="000000" w:themeColor="text1"/>
        </w:rPr>
        <w:lastRenderedPageBreak/>
        <w:t>Artificial Intelligence-based system. The study uses these theories to better understand investors' trust and purchase intentions for features like reliability, transparency, accuracy and explainability. The combination of TAM and Trust Theory actually offers a theoretical lens for the study of the technical and behavioral aspects of AI-driven finance advice.</w:t>
      </w:r>
    </w:p>
    <w:p w:rsidR="009C689B" w:rsidRPr="00AE264E" w:rsidRDefault="009C689B" w:rsidP="009C689B">
      <w:pPr>
        <w:pStyle w:val="Heading2"/>
        <w:rPr>
          <w:color w:val="000000" w:themeColor="text1"/>
        </w:rPr>
      </w:pPr>
      <w:bookmarkStart w:id="17" w:name="_Toc241178729"/>
      <w:r w:rsidRPr="00AE264E">
        <w:rPr>
          <w:color w:val="000000" w:themeColor="text1"/>
        </w:rPr>
        <w:t>1.8 Summary of method</w:t>
      </w:r>
      <w:bookmarkEnd w:id="17"/>
    </w:p>
    <w:p w:rsidR="009C689B" w:rsidRPr="00AE264E" w:rsidRDefault="009C689B" w:rsidP="009C689B">
      <w:pPr>
        <w:rPr>
          <w:color w:val="000000" w:themeColor="text1"/>
        </w:rPr>
      </w:pPr>
      <w:r w:rsidRPr="00AE264E">
        <w:rPr>
          <w:color w:val="000000" w:themeColor="text1"/>
        </w:rPr>
        <w:t>This study is based on secondary qualitative data obtained from relevant academic studies and credible published sources related to AI-driven financial advice, investors' trust in AI, and investors' investment confidence and responsible AI. It follows an interpretivism philosophy to understand the relationship between AI generated financial advice and investment attitudes of first-time investors in the UK. Data analysis is carried out using a mono-method qualitative research design, with archival research as a research approach and cross-sectional time. Evidence gathered is analysed through thematic analysis which allows to identify patterns, relationships and key themes that are interpreted in the light of the aim of the research. The methodology also takes into account relevant ethical principles such as responsible use of secondary sources, where evidence is represented accurately, academic integrity and the appropriate citation of evidence. These methodological decisions offer a framework for analyzing the intricate connection between AI-driven financial advice and investor trust.</w:t>
      </w:r>
    </w:p>
    <w:p w:rsidR="009C689B" w:rsidRPr="00AE264E" w:rsidRDefault="009C689B" w:rsidP="009C689B">
      <w:pPr>
        <w:pStyle w:val="Heading2"/>
        <w:rPr>
          <w:color w:val="000000" w:themeColor="text1"/>
          <w:shd w:val="clear" w:color="auto" w:fill="FFFFFF"/>
        </w:rPr>
      </w:pPr>
      <w:bookmarkStart w:id="18" w:name="_Toc241178730"/>
      <w:r w:rsidRPr="00AE264E">
        <w:rPr>
          <w:color w:val="000000" w:themeColor="text1"/>
        </w:rPr>
        <w:t xml:space="preserve">1.9 </w:t>
      </w:r>
      <w:r w:rsidRPr="00AE264E">
        <w:rPr>
          <w:color w:val="000000" w:themeColor="text1"/>
          <w:shd w:val="clear" w:color="auto" w:fill="FFFFFF"/>
        </w:rPr>
        <w:t>Main findings of data analysis</w:t>
      </w:r>
      <w:bookmarkEnd w:id="18"/>
    </w:p>
    <w:p w:rsidR="004F49D3" w:rsidRPr="00AE264E" w:rsidRDefault="004F49D3" w:rsidP="004F49D3">
      <w:pPr>
        <w:rPr>
          <w:color w:val="000000" w:themeColor="text1"/>
        </w:rPr>
      </w:pPr>
      <w:r w:rsidRPr="00AE264E">
        <w:rPr>
          <w:color w:val="000000" w:themeColor="text1"/>
        </w:rPr>
        <w:t>The four themes that emerged from the thematic analysis were related to financial advice and investment confidence among first-time investors in the UK when provided with AI-generated advice. Firstly, the use of AI for financial advising is becoming widespread in financial services due to its ability to offer personalized, efficient, and easily accessible financial support. Second, trust relies on AI expertise, transparency, and investor capacity as the ability to explain AI's purpose and deliver credible recommendations creates a level of trust for investors. Thirdly, when AI-driven recommendations are inaccurate, biased or hard to comprehend, they can lead to investor mistrust regarding accuracy, privacy concerns, ethical issues, and psychological risks. Lastly, the results suggest the need for good governance, transparency, financial and digital AI literacy and human oversight for responsible AI. The broader picture is that AI-driven financial tips can assist first-time investors in boosting accessibility and delivering personalised suggestions, though this doesn't ensure investor trust in technology.</w:t>
      </w:r>
    </w:p>
    <w:p w:rsidR="00EB6DA5" w:rsidRPr="00AE264E" w:rsidRDefault="009C689B">
      <w:pPr>
        <w:pStyle w:val="Heading2"/>
        <w:rPr>
          <w:color w:val="000000" w:themeColor="text1"/>
        </w:rPr>
      </w:pPr>
      <w:bookmarkStart w:id="19" w:name="_Toc241178731"/>
      <w:r w:rsidRPr="00AE264E">
        <w:rPr>
          <w:color w:val="000000" w:themeColor="text1"/>
        </w:rPr>
        <w:lastRenderedPageBreak/>
        <w:t>1.10</w:t>
      </w:r>
      <w:r w:rsidR="00785E4B" w:rsidRPr="00AE264E">
        <w:rPr>
          <w:color w:val="000000" w:themeColor="text1"/>
        </w:rPr>
        <w:t xml:space="preserve"> Structure of Dissertation</w:t>
      </w:r>
      <w:bookmarkEnd w:id="19"/>
    </w:p>
    <w:p w:rsidR="00EB6DA5" w:rsidRPr="00AE264E" w:rsidRDefault="00785E4B">
      <w:pPr>
        <w:jc w:val="center"/>
        <w:rPr>
          <w:b/>
          <w:bCs/>
          <w:color w:val="000000" w:themeColor="text1"/>
        </w:rPr>
      </w:pPr>
      <w:r w:rsidRPr="00AE264E">
        <w:rPr>
          <w:b/>
          <w:bCs/>
          <w:noProof/>
          <w:color w:val="000000" w:themeColor="text1"/>
        </w:rPr>
        <w:drawing>
          <wp:inline distT="114300" distB="114300" distL="114300" distR="114300">
            <wp:extent cx="4147594" cy="5218770"/>
            <wp:effectExtent l="12700" t="12700" r="12700" b="12700"/>
            <wp:docPr id="1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cstate="print"/>
                    <a:srcRect r="861"/>
                    <a:stretch>
                      <a:fillRect/>
                    </a:stretch>
                  </pic:blipFill>
                  <pic:spPr>
                    <a:xfrm>
                      <a:off x="0" y="0"/>
                      <a:ext cx="4147594" cy="5218770"/>
                    </a:xfrm>
                    <a:prstGeom prst="rect">
                      <a:avLst/>
                    </a:prstGeom>
                    <a:ln w="12700">
                      <a:solidFill>
                        <a:srgbClr val="000000"/>
                      </a:solidFill>
                      <a:prstDash val="solid"/>
                    </a:ln>
                  </pic:spPr>
                </pic:pic>
              </a:graphicData>
            </a:graphic>
          </wp:inline>
        </w:drawing>
      </w:r>
    </w:p>
    <w:p w:rsidR="00EB6DA5" w:rsidRPr="00AE264E" w:rsidRDefault="00785E4B">
      <w:pPr>
        <w:pStyle w:val="Heading4"/>
        <w:rPr>
          <w:color w:val="000000" w:themeColor="text1"/>
        </w:rPr>
      </w:pPr>
      <w:bookmarkStart w:id="20" w:name="_heading=h.5u5wd28zlmzp" w:colFirst="0" w:colLast="0"/>
      <w:bookmarkEnd w:id="20"/>
      <w:r w:rsidRPr="00AE264E">
        <w:rPr>
          <w:color w:val="000000" w:themeColor="text1"/>
        </w:rPr>
        <w:t>Figure 1.3: Dissertation Structure</w:t>
      </w:r>
    </w:p>
    <w:p w:rsidR="00EB6DA5" w:rsidRPr="00AE264E" w:rsidRDefault="00785E4B">
      <w:pPr>
        <w:jc w:val="center"/>
        <w:rPr>
          <w:color w:val="000000" w:themeColor="text1"/>
        </w:rPr>
      </w:pPr>
      <w:r w:rsidRPr="00AE264E">
        <w:rPr>
          <w:color w:val="000000" w:themeColor="text1"/>
        </w:rPr>
        <w:t>(Source: Self-created)</w:t>
      </w:r>
    </w:p>
    <w:p w:rsidR="00EB6DA5" w:rsidRPr="00AE264E" w:rsidRDefault="00785E4B" w:rsidP="009C689B">
      <w:pPr>
        <w:rPr>
          <w:color w:val="000000" w:themeColor="text1"/>
        </w:rPr>
      </w:pPr>
      <w:r w:rsidRPr="00AE264E">
        <w:rPr>
          <w:color w:val="000000" w:themeColor="text1"/>
        </w:rPr>
        <w:t xml:space="preserve">There are five chapters in this dissertation, starting with Chapter One introducing the research by presenting the background, research rationale, problem statement, aim, objectives, research questions, and significance of the research. Chapter Two analyzes the current literature and discusses the interconnections among the literature available on AI-generated financial advice, investment confidence, trust in AI, theoretical views and the research gaps. In Chapter Three, the research methodology is explained, which includes research philosophy, approach, design, data collection, data analysis, and ethical considerations. The findings from the thematic analysis are presented and discussed in relation to the research objectives and literature in Chapter Four. Chapter Five is the study's concluding chapter in which the significant findings </w:t>
      </w:r>
      <w:r w:rsidRPr="00AE264E">
        <w:rPr>
          <w:color w:val="000000" w:themeColor="text1"/>
        </w:rPr>
        <w:lastRenderedPageBreak/>
        <w:t>from the study, implications, limitations and recommendations to practitioners, policymakers and future researchers are summarised.</w:t>
      </w:r>
    </w:p>
    <w:p w:rsidR="00EB6DA5" w:rsidRPr="00AE264E" w:rsidRDefault="00785E4B">
      <w:pPr>
        <w:pStyle w:val="Heading1"/>
        <w:rPr>
          <w:color w:val="000000" w:themeColor="text1"/>
        </w:rPr>
      </w:pPr>
      <w:bookmarkStart w:id="21" w:name="_heading=h.kjn0vf10bvvl" w:colFirst="0" w:colLast="0"/>
      <w:bookmarkEnd w:id="21"/>
      <w:r w:rsidRPr="00AE264E">
        <w:rPr>
          <w:color w:val="000000" w:themeColor="text1"/>
        </w:rPr>
        <w:br w:type="page"/>
      </w:r>
    </w:p>
    <w:p w:rsidR="00EB6DA5" w:rsidRPr="00AE264E" w:rsidRDefault="00785E4B">
      <w:pPr>
        <w:pStyle w:val="Heading1"/>
        <w:rPr>
          <w:color w:val="000000" w:themeColor="text1"/>
        </w:rPr>
      </w:pPr>
      <w:bookmarkStart w:id="22" w:name="_Toc241178732"/>
      <w:r w:rsidRPr="00AE264E">
        <w:rPr>
          <w:color w:val="000000" w:themeColor="text1"/>
        </w:rPr>
        <w:lastRenderedPageBreak/>
        <w:t>Chapter 2: Literature Review</w:t>
      </w:r>
      <w:bookmarkEnd w:id="22"/>
    </w:p>
    <w:p w:rsidR="00EB6DA5" w:rsidRPr="00AE264E" w:rsidRDefault="00785E4B">
      <w:pPr>
        <w:pStyle w:val="Heading2"/>
        <w:rPr>
          <w:color w:val="000000" w:themeColor="text1"/>
        </w:rPr>
      </w:pPr>
      <w:bookmarkStart w:id="23" w:name="_Toc241178733"/>
      <w:r w:rsidRPr="00AE264E">
        <w:rPr>
          <w:color w:val="000000" w:themeColor="text1"/>
        </w:rPr>
        <w:t>2.1 Introduction</w:t>
      </w:r>
      <w:bookmarkEnd w:id="23"/>
    </w:p>
    <w:p w:rsidR="00EB6DA5" w:rsidRPr="00AE264E" w:rsidRDefault="00785E4B">
      <w:pPr>
        <w:rPr>
          <w:color w:val="000000" w:themeColor="text1"/>
        </w:rPr>
      </w:pPr>
      <w:r w:rsidRPr="00AE264E">
        <w:rPr>
          <w:color w:val="000000" w:themeColor="text1"/>
        </w:rPr>
        <w:t>The literature review discusses critical issues of Artificial Intelligence, AI financial advice, investors' trust and investment confidence and the responsible use of AI in the UK investment service. Financial technology and artificial intelligence (AI) are rapidly changing the landscape of financial services, and an understanding of how these new technologies affect first-time investors is more important than ever to researchers and practitioners. This chapter aims to synthesise findings from relevant academic journals to assess financial advising through AI, factors boosting investor trust, along with the hurdles encountered in the implementation of AI. In addition, the chapter analyses the strategies to encourage the responsible use of AI in financial advisory services, articulated both theoretically and practically, highlights existing research gaps, and formulates a conceptual framework for the present research.</w:t>
      </w:r>
    </w:p>
    <w:p w:rsidR="00EB6DA5" w:rsidRPr="00AE264E" w:rsidRDefault="00785E4B">
      <w:pPr>
        <w:pStyle w:val="Heading2"/>
        <w:rPr>
          <w:color w:val="000000" w:themeColor="text1"/>
        </w:rPr>
      </w:pPr>
      <w:bookmarkStart w:id="24" w:name="_Toc241178734"/>
      <w:r w:rsidRPr="00AE264E">
        <w:rPr>
          <w:color w:val="000000" w:themeColor="text1"/>
        </w:rPr>
        <w:t>2.2 Overview of Artificial Intelligence (AI) in Financial Services</w:t>
      </w:r>
      <w:bookmarkEnd w:id="24"/>
    </w:p>
    <w:p w:rsidR="00EB6DA5" w:rsidRPr="00AE264E" w:rsidRDefault="00785E4B">
      <w:pPr>
        <w:rPr>
          <w:color w:val="000000" w:themeColor="text1"/>
        </w:rPr>
      </w:pPr>
      <w:r w:rsidRPr="00AE264E">
        <w:rPr>
          <w:color w:val="000000" w:themeColor="text1"/>
        </w:rPr>
        <w:t>The realm of money and banking has witnessed a remarkable transformation with the advent of Artificial Intelligence (AI). Artificial Intelligence (AI) has become a revolutionary technology in the financial sector, steering financial institutions to automated decision-making, handling intricate data, and providing personalized financial services. AI is described by Collins et al. (2021) as a system capable of assisting in the completion of tasks which normally require human intelligence, reasoning, learning, problem solving and decision making. On the other hand, Li and Tian (2026) define AI as a group of technologies that mimic cognitive capabilities to enhance their organization's performance and decision-making. The sample definitions show that AI is more than an automation solution; it is being used to strategically improve financial services.</w:t>
      </w:r>
    </w:p>
    <w:p w:rsidR="00EB6DA5" w:rsidRPr="00AE264E" w:rsidRDefault="00785E4B">
      <w:pPr>
        <w:rPr>
          <w:color w:val="000000" w:themeColor="text1"/>
        </w:rPr>
      </w:pPr>
      <w:r w:rsidRPr="00AE264E">
        <w:rPr>
          <w:color w:val="000000" w:themeColor="text1"/>
        </w:rPr>
        <w:t xml:space="preserve">One of the fundamental methods of these earlier AI systems was to discover a sequence of rules, and to then apply these rules. AI has had a significant impact on finance applications. According to Surur et al. (2025), improvements in machine learning (ML), natural language processing (NLP), and predictive analytics allow AI systems to evolve over time in order to identify complex patterns and continuously enhance their decision-making accuracy. The advent of generative AI with the help of large language models (LLMs) has brought conversational features into the fold that enable financial institutions to engage with customers naturally using language and deliver customised financial information. As mentioned by Grudniewicz and Ślepaczuk (2023), in the investment management sector, AI can serve various functions, such as creating an optimal investment portfolio, algorithmic trading, forecasting </w:t>
      </w:r>
      <w:r w:rsidRPr="00AE264E">
        <w:rPr>
          <w:color w:val="000000" w:themeColor="text1"/>
        </w:rPr>
        <w:lastRenderedPageBreak/>
        <w:t>market movements and assessing investment risk. The second point of application for AI in the financial sector is its use for analysing investors' preferences and offering custom-made financial suggestions. The examples show that AI has gone beyond merely automating operations to providing strategic support to the decision-making process in the Financial Services sector.</w:t>
      </w:r>
    </w:p>
    <w:p w:rsidR="00EB6DA5" w:rsidRPr="00AE264E" w:rsidRDefault="00785E4B">
      <w:pPr>
        <w:rPr>
          <w:color w:val="000000" w:themeColor="text1"/>
        </w:rPr>
      </w:pPr>
      <w:r w:rsidRPr="00AE264E">
        <w:rPr>
          <w:color w:val="000000" w:themeColor="text1"/>
        </w:rPr>
        <w:t>While most academics are satisfied with the advance of AI, there is disagreement on how it is being put to use. Kassa and Worku (2025) reported that AI increases productivity by streamlining repetitive processes and enabling timely, data-driven decisions. As a result, AI can enhance the quality of services because it can provide more analysis and enhance the capabilities of the services that improve the efficiency of operations. On the other hand, the study of Ghosh (2025) suggests that the increasing reliance on AI systems creates ethical concerns such as problems with transparency, accountability, fairness and algorithmic bias. Similarly, advanced algorithms and models, particularly AI models that are generative, can yield incorrect and misleading results because they are based on the probability patterns they are trained on from input sources. These factors, in this context, highlight the necessity for an element of caution in considering AI to be infallible, despite its technological prowess.</w:t>
      </w:r>
    </w:p>
    <w:p w:rsidR="00EB6DA5" w:rsidRPr="00AE264E" w:rsidRDefault="00785E4B">
      <w:pPr>
        <w:rPr>
          <w:color w:val="000000" w:themeColor="text1"/>
        </w:rPr>
      </w:pPr>
      <w:r w:rsidRPr="00AE264E">
        <w:rPr>
          <w:color w:val="000000" w:themeColor="text1"/>
        </w:rPr>
        <w:t>As per Kiškis (2026), while AI can assist in making these decisions, financial transactions require humans to have a level of ethics, context, and emotional intelligence that goes beyond what a machine can provide. Therefore, it must go hand in hand with human decision-makers, rather than replacing human decision-makers in financial services. Alawamleh</w:t>
      </w:r>
      <w:r w:rsidRPr="00AE264E">
        <w:rPr>
          <w:i/>
          <w:iCs/>
          <w:color w:val="000000" w:themeColor="text1"/>
        </w:rPr>
        <w:t>et al.</w:t>
      </w:r>
      <w:r w:rsidRPr="00AE264E">
        <w:rPr>
          <w:color w:val="000000" w:themeColor="text1"/>
        </w:rPr>
        <w:t xml:space="preserve"> (2024) countered this by stating that although AI has proven to be of great benefit in terms of computational power, there is a need for human expertise when it comes to interpreting complex investment scenarios. Thus, it shows that AI has made a significant impact on financial services, and that its applications have broadened the scope of its transformative potential.</w:t>
      </w:r>
    </w:p>
    <w:p w:rsidR="00EB6DA5" w:rsidRPr="00AE264E" w:rsidRDefault="00785E4B">
      <w:pPr>
        <w:pStyle w:val="Heading2"/>
        <w:rPr>
          <w:color w:val="000000" w:themeColor="text1"/>
        </w:rPr>
      </w:pPr>
      <w:bookmarkStart w:id="25" w:name="_Toc241178735"/>
      <w:r w:rsidRPr="00AE264E">
        <w:rPr>
          <w:color w:val="000000" w:themeColor="text1"/>
        </w:rPr>
        <w:t>2.3 About AI-Generated Financial Advice for First-Time Investors</w:t>
      </w:r>
      <w:bookmarkEnd w:id="25"/>
    </w:p>
    <w:p w:rsidR="00EB6DA5" w:rsidRPr="00AE264E" w:rsidRDefault="00785E4B">
      <w:pPr>
        <w:rPr>
          <w:color w:val="000000" w:themeColor="text1"/>
        </w:rPr>
      </w:pPr>
      <w:r w:rsidRPr="00AE264E">
        <w:rPr>
          <w:color w:val="000000" w:themeColor="text1"/>
        </w:rPr>
        <w:t xml:space="preserve">AI-generated financial advice is any guidance about finance or financial recommendations that's made using AI tools instead of financial advice provided by financial advisors. Nahidi (2026a) describes AI financial advice as the automated advice provided with the help of machine learning, predictive analysis and natural language processing to an individual's financial goals and investment choices. Yaiprasert and Hidayanto (2024) argued that AI-driven advice lends recommendations that are personalized, consistent, quick, and at a relatively low cost, vastly different from the personalized advice that can be achieved through professional </w:t>
      </w:r>
      <w:r w:rsidRPr="00AE264E">
        <w:rPr>
          <w:color w:val="000000" w:themeColor="text1"/>
        </w:rPr>
        <w:lastRenderedPageBreak/>
        <w:t>expertise. As a result, AI is becoming more prominent to assist those looking to invest in the stock market, especially retail investors.</w:t>
      </w:r>
    </w:p>
    <w:p w:rsidR="00EB6DA5" w:rsidRPr="00AE264E" w:rsidRDefault="00785E4B">
      <w:pPr>
        <w:rPr>
          <w:b/>
          <w:bCs/>
          <w:i/>
          <w:iCs/>
          <w:color w:val="000000" w:themeColor="text1"/>
        </w:rPr>
      </w:pPr>
      <w:r w:rsidRPr="00AE264E">
        <w:rPr>
          <w:b/>
          <w:bCs/>
          <w:i/>
          <w:iCs/>
          <w:color w:val="000000" w:themeColor="text1"/>
        </w:rPr>
        <w:t>Evolution from robo-advisor to Generative AI</w:t>
      </w:r>
    </w:p>
    <w:p w:rsidR="00EB6DA5" w:rsidRPr="00AE264E" w:rsidRDefault="00785E4B">
      <w:pPr>
        <w:rPr>
          <w:color w:val="000000" w:themeColor="text1"/>
        </w:rPr>
      </w:pPr>
      <w:r w:rsidRPr="00AE264E">
        <w:rPr>
          <w:color w:val="000000" w:themeColor="text1"/>
        </w:rPr>
        <w:t>AI-fueled financial guidance started with the rise of robo-advisors, which automated financial portfolio management by means of algorithm-based investment strategies. As explained by Nourallah</w:t>
      </w:r>
      <w:r w:rsidRPr="00AE264E">
        <w:rPr>
          <w:i/>
          <w:iCs/>
          <w:color w:val="000000" w:themeColor="text1"/>
        </w:rPr>
        <w:t>et al.</w:t>
      </w:r>
      <w:r w:rsidRPr="00AE264E">
        <w:rPr>
          <w:color w:val="000000" w:themeColor="text1"/>
        </w:rPr>
        <w:t xml:space="preserve"> (2026), robo-advisors have been developed to make investments more accessible by alleviating the cost of advisory services and automatic investment portfolio allocation, based on investor characteristics. However, these systems used a fixed questionnaire and a predetermined algorithm, and thus were limited in their ability to discuss long or complex financial matters. In contrast, Mariani, Hashemi and Wirtz (2023) cite that conversational AI systems, powered by large language models, can read natural language queries, elaborate financial concepts, and produce individualized responses, making the advisory journey more interactive and personalised. As a result, this change is a step from automated investment management to intelligent financial support.</w:t>
      </w:r>
    </w:p>
    <w:p w:rsidR="00EB6DA5" w:rsidRPr="00AE264E" w:rsidRDefault="00785E4B">
      <w:pPr>
        <w:rPr>
          <w:b/>
          <w:bCs/>
          <w:i/>
          <w:iCs/>
          <w:color w:val="000000" w:themeColor="text1"/>
        </w:rPr>
      </w:pPr>
      <w:r w:rsidRPr="00AE264E">
        <w:rPr>
          <w:b/>
          <w:bCs/>
          <w:i/>
          <w:iCs/>
          <w:color w:val="000000" w:themeColor="text1"/>
        </w:rPr>
        <w:t>Relevance of AI-Generated Advice to First-Time Investors</w:t>
      </w:r>
    </w:p>
    <w:p w:rsidR="00EB6DA5" w:rsidRPr="00AE264E" w:rsidRDefault="00785E4B">
      <w:pPr>
        <w:rPr>
          <w:color w:val="000000" w:themeColor="text1"/>
        </w:rPr>
      </w:pPr>
      <w:r w:rsidRPr="00AE264E">
        <w:rPr>
          <w:color w:val="000000" w:themeColor="text1"/>
        </w:rPr>
        <w:t>The field offers some clear advantages for condo investors with AI-generated financial advice, yet there are also potential drawbacks. According to Darwish (2025), investors are often viewed as having gaps in their administration capability and not enough investment knowledge, making them susceptible to making loans decisions. These problems can be addressed with AI advisory software, which can provide financial education to everyone, explain investment risks, and give customized investment strategies according to the preferences of people. On the other hand, Ridzuan et al. (2024) think that AI can assist in decision-making processes as it can process vast volumes of financial data that humans would find difficult to handle. This transformation therefore represents a major progress from the manual management of investments to AI-driven financial advice.</w:t>
      </w:r>
    </w:p>
    <w:p w:rsidR="00EB6DA5" w:rsidRPr="00AE264E" w:rsidRDefault="00785E4B">
      <w:pPr>
        <w:rPr>
          <w:color w:val="000000" w:themeColor="text1"/>
        </w:rPr>
      </w:pPr>
      <w:r w:rsidRPr="00AE264E">
        <w:rPr>
          <w:color w:val="000000" w:themeColor="text1"/>
        </w:rPr>
        <w:t xml:space="preserve">This can be beneficial, but scientists are worrying about how accurate the financial advice AI can give is. According to scholars like De and Bechler (2024), AI diminishes emotional judgment, therefore possibly enhancing financial commitment choices, since it means a data-driven investigation.  Generative AI systems might respond with misleading or wrong results as they build their answers from patterns in the data they are trained on, yet do not necessarily have a true understanding of the financial situation. However, Ebrahimi </w:t>
      </w:r>
      <w:r w:rsidRPr="00AE264E">
        <w:rPr>
          <w:i/>
          <w:iCs/>
          <w:color w:val="000000" w:themeColor="text1"/>
        </w:rPr>
        <w:t>et al.</w:t>
      </w:r>
      <w:r w:rsidRPr="00AE264E">
        <w:rPr>
          <w:color w:val="000000" w:themeColor="text1"/>
        </w:rPr>
        <w:t xml:space="preserve"> (2024) state that poor transparency, algorithmic bias and lack of explainability further decrease users' confidence in the AI-generated recommendations. First-time investors may be more susceptible </w:t>
      </w:r>
      <w:r w:rsidRPr="00AE264E">
        <w:rPr>
          <w:color w:val="000000" w:themeColor="text1"/>
        </w:rPr>
        <w:lastRenderedPageBreak/>
        <w:t>to these concerns as they are usually not experts when it comes to examining financial information on their own.</w:t>
      </w:r>
    </w:p>
    <w:p w:rsidR="00EB6DA5" w:rsidRPr="00AE264E" w:rsidRDefault="00785E4B">
      <w:pPr>
        <w:rPr>
          <w:color w:val="000000" w:themeColor="text1"/>
        </w:rPr>
      </w:pPr>
      <w:r w:rsidRPr="00AE264E">
        <w:rPr>
          <w:color w:val="000000" w:themeColor="text1"/>
        </w:rPr>
        <w:t>In general, the use of AI-driven financial tips as an innovative advance that can result in enhanced investment access, customization, and financial education. However, its effectiveness does not depend only on technological performance, yet also on the user's trust in the accuracy, transparency, and reliability of AI-aided recommendations.</w:t>
      </w:r>
    </w:p>
    <w:p w:rsidR="00EB6DA5" w:rsidRPr="00AE264E" w:rsidRDefault="00785E4B">
      <w:pPr>
        <w:pStyle w:val="Heading2"/>
        <w:rPr>
          <w:color w:val="000000" w:themeColor="text1"/>
        </w:rPr>
      </w:pPr>
      <w:bookmarkStart w:id="26" w:name="_Toc241178736"/>
      <w:r w:rsidRPr="00AE264E">
        <w:rPr>
          <w:color w:val="000000" w:themeColor="text1"/>
        </w:rPr>
        <w:t>2.4 Analysis of the Adoption of AI-Generated Financial Advice in the Investment Sector</w:t>
      </w:r>
      <w:bookmarkEnd w:id="26"/>
    </w:p>
    <w:p w:rsidR="00EB6DA5" w:rsidRPr="00AE264E" w:rsidRDefault="00785E4B">
      <w:pPr>
        <w:rPr>
          <w:color w:val="000000" w:themeColor="text1"/>
        </w:rPr>
      </w:pPr>
      <w:r w:rsidRPr="00AE264E">
        <w:rPr>
          <w:color w:val="000000" w:themeColor="text1"/>
        </w:rPr>
        <w:t xml:space="preserve">As financial institutions and FinTech companies come to rely on AI to enhance the financial advice process, its use in investment advice has surged significantly. As per Zhu, Vigren and Söderberg (2024), financial advice generated using AI involves using AI technology to analyse financial data, take into account the investor's characteristics, and deliver personalised investment recommendations with little to no human involvement. On the other hand, Guthrie </w:t>
      </w:r>
      <w:r w:rsidRPr="00AE264E">
        <w:rPr>
          <w:i/>
          <w:iCs/>
          <w:color w:val="000000" w:themeColor="text1"/>
        </w:rPr>
        <w:t>et al.</w:t>
      </w:r>
      <w:r w:rsidRPr="00AE264E">
        <w:rPr>
          <w:color w:val="000000" w:themeColor="text1"/>
        </w:rPr>
        <w:t xml:space="preserve"> (2025) argued that while AI will boost efficiency and analysis, human touch will still have a role in understanding intricate financial issues and making ethical decisions. Hence, this technological development has changed the game of investment advising in many aspects, as it brought a superior level of efficiency, cost reduction and accessibility of investment platforms for retail investors.</w:t>
      </w:r>
    </w:p>
    <w:p w:rsidR="00EB6DA5" w:rsidRPr="00AE264E" w:rsidRDefault="00785E4B">
      <w:pPr>
        <w:rPr>
          <w:b/>
          <w:bCs/>
          <w:i/>
          <w:iCs/>
          <w:color w:val="000000" w:themeColor="text1"/>
        </w:rPr>
      </w:pPr>
      <w:r w:rsidRPr="00AE264E">
        <w:rPr>
          <w:b/>
          <w:bCs/>
          <w:i/>
          <w:iCs/>
          <w:color w:val="000000" w:themeColor="text1"/>
        </w:rPr>
        <w:t>Drivers of AI Adoption in Investment Services</w:t>
      </w:r>
    </w:p>
    <w:p w:rsidR="00EB6DA5" w:rsidRPr="00AE264E" w:rsidRDefault="00785E4B">
      <w:pPr>
        <w:rPr>
          <w:color w:val="000000" w:themeColor="text1"/>
        </w:rPr>
      </w:pPr>
      <w:r w:rsidRPr="00AE264E">
        <w:rPr>
          <w:color w:val="000000" w:themeColor="text1"/>
        </w:rPr>
        <w:t>Financial Technology (FinTech): One of the areas suggested for the more and more widespread use of AI in investment is financial technology (FinTech). Perifanis (2023) say that digital innovation has revolutionised financial services in numerous ways, and organisations are adopting AI in their financial operations. Vărzaru and Bocean (2024) state that the modern personalized advice offered by investment firms, and the customer experience they provide, have been made possible due to increased digitalisation, but that such investment advice is more automated today. In the midst of fierce competition in financial services, the statistics point to the need to enhance the quality of the services offered and respond to changing customer expectations, as being the main push for the adoption of AI.</w:t>
      </w:r>
    </w:p>
    <w:p w:rsidR="00EB6DA5" w:rsidRPr="00AE264E" w:rsidRDefault="00785E4B">
      <w:pPr>
        <w:rPr>
          <w:color w:val="000000" w:themeColor="text1"/>
        </w:rPr>
      </w:pPr>
      <w:r w:rsidRPr="00AE264E">
        <w:rPr>
          <w:color w:val="000000" w:themeColor="text1"/>
        </w:rPr>
        <w:t xml:space="preserve">There are several studies emphasizing the beneficial effects of AI-guided financial advising on access to investment products particularly with regard to retail and individual investors. According to Merter and Balcıoğlu (2025), the conventional financial advisory service is often based on a minimum investment amount and fees are high, making it impossible to get professional and competent advice to many people. One way AI investment platforms are seeking to address these issues is by providing affordable and easy-to-access financial advice and guidance. However, Vuković, Pašalić and Lukačević (2026) noted that as every financial </w:t>
      </w:r>
      <w:r w:rsidRPr="00AE264E">
        <w:rPr>
          <w:color w:val="000000" w:themeColor="text1"/>
        </w:rPr>
        <w:lastRenderedPageBreak/>
        <w:t>inclusion has been enhanced by AI, and by enabling investors with no investing knowledge to make investment decisions, namely investment recommendations are now available. Not only that, though if users don't believe AI systems are trustworthy and reliable to follow their suggestions, they won't be effectively used.</w:t>
      </w:r>
    </w:p>
    <w:p w:rsidR="00EB6DA5" w:rsidRPr="00AE264E" w:rsidRDefault="00785E4B">
      <w:pPr>
        <w:rPr>
          <w:b/>
          <w:bCs/>
          <w:i/>
          <w:iCs/>
          <w:color w:val="000000" w:themeColor="text1"/>
        </w:rPr>
      </w:pPr>
      <w:r w:rsidRPr="00AE264E">
        <w:rPr>
          <w:b/>
          <w:bCs/>
          <w:i/>
          <w:iCs/>
          <w:color w:val="000000" w:themeColor="text1"/>
        </w:rPr>
        <w:t>Human-AI advisory models and generative AI</w:t>
      </w:r>
    </w:p>
    <w:p w:rsidR="00EB6DA5" w:rsidRPr="00AE264E" w:rsidRDefault="00785E4B">
      <w:pPr>
        <w:rPr>
          <w:color w:val="000000" w:themeColor="text1"/>
        </w:rPr>
      </w:pPr>
      <w:r w:rsidRPr="00AE264E">
        <w:rPr>
          <w:color w:val="000000" w:themeColor="text1"/>
        </w:rPr>
        <w:t xml:space="preserve">With the advent of generative AI, it has been another catalyst in terms of adoption in the investment space. According to Lee et al. (2024), generative AI systems have the ability to initiate communication with the platform, provide the investors with personalized explanations in response to their questions, offer extensive financial data in a natural language interface. This new capability has actually broadened the potential for AI-powered monetary assistance to financial training and financing guidance. However, as per Brüggen </w:t>
      </w:r>
      <w:r w:rsidRPr="00AE264E">
        <w:rPr>
          <w:i/>
          <w:iCs/>
          <w:color w:val="000000" w:themeColor="text1"/>
        </w:rPr>
        <w:t>et al.</w:t>
      </w:r>
      <w:r w:rsidRPr="00AE264E">
        <w:rPr>
          <w:color w:val="000000" w:themeColor="text1"/>
        </w:rPr>
        <w:t xml:space="preserve"> (2024), there are conflicting views on how much of the job should be handed over to AI instead of the traditional financial adviser. The comparison indicates that there is potential for improving outcomes with hybrid advisory models that combine AI with human expertise, when compared with purely automated advisory systems.</w:t>
      </w:r>
    </w:p>
    <w:p w:rsidR="00EB6DA5" w:rsidRPr="00AE264E" w:rsidRDefault="00785E4B">
      <w:pPr>
        <w:rPr>
          <w:color w:val="000000" w:themeColor="text1"/>
        </w:rPr>
      </w:pPr>
      <w:r w:rsidRPr="00AE264E">
        <w:rPr>
          <w:color w:val="000000" w:themeColor="text1"/>
        </w:rPr>
        <w:t>In sum, the use of AI-financial advice has been inspired by technological innovation, the digital transformation and an increase in the demand for a more accessible financial service for investing.</w:t>
      </w:r>
    </w:p>
    <w:p w:rsidR="00EB6DA5" w:rsidRPr="00AE264E" w:rsidRDefault="00785E4B">
      <w:pPr>
        <w:pStyle w:val="Heading2"/>
        <w:rPr>
          <w:color w:val="000000" w:themeColor="text1"/>
        </w:rPr>
      </w:pPr>
      <w:bookmarkStart w:id="27" w:name="_Toc241178737"/>
      <w:r w:rsidRPr="00AE264E">
        <w:rPr>
          <w:color w:val="000000" w:themeColor="text1"/>
        </w:rPr>
        <w:t>2.5 Factors Influencing Trust of First-Time Investors in AI-Generated Financial Advice</w:t>
      </w:r>
      <w:bookmarkEnd w:id="27"/>
    </w:p>
    <w:p w:rsidR="00EB6DA5" w:rsidRPr="00AE264E" w:rsidRDefault="00785E4B">
      <w:pPr>
        <w:rPr>
          <w:color w:val="000000" w:themeColor="text1"/>
        </w:rPr>
      </w:pPr>
      <w:r w:rsidRPr="00AE264E">
        <w:rPr>
          <w:color w:val="000000" w:themeColor="text1"/>
        </w:rPr>
        <w:t>One of the most crucial factors in determining if new investors are accepting and depending on financial advice provided by AI is trust. As discussed by Sungkarungsri and Kiattisin (2026a), a person's readiness to rely on others as a result of his or her judgement of their competence, reliability and integrity. In the context of AI in finance, trust means when investors believe that AI tools give them realistic and impartial investment advice and recommendations. Scholars like Xu, Zhai and Zhang (2025) countered that issues of privacy protection and biases arising from algorithms can deter AI use among first-time financial investors. Thus, trust is especially crucial when first-time investors face investment-related decisions and are often hesitant to make them due to a lack of investment knowledge.</w:t>
      </w:r>
    </w:p>
    <w:p w:rsidR="00EB6DA5" w:rsidRPr="00AE264E" w:rsidRDefault="00785E4B">
      <w:pPr>
        <w:rPr>
          <w:b/>
          <w:bCs/>
          <w:i/>
          <w:iCs/>
          <w:color w:val="000000" w:themeColor="text1"/>
        </w:rPr>
      </w:pPr>
      <w:r w:rsidRPr="00AE264E">
        <w:rPr>
          <w:b/>
          <w:bCs/>
          <w:i/>
          <w:iCs/>
          <w:color w:val="000000" w:themeColor="text1"/>
        </w:rPr>
        <w:t>Perceived Usefulness</w:t>
      </w:r>
    </w:p>
    <w:p w:rsidR="00EB6DA5" w:rsidRPr="00AE264E" w:rsidRDefault="00785E4B">
      <w:pPr>
        <w:rPr>
          <w:color w:val="000000" w:themeColor="text1"/>
        </w:rPr>
      </w:pPr>
      <w:r w:rsidRPr="00AE264E">
        <w:rPr>
          <w:color w:val="000000" w:themeColor="text1"/>
        </w:rPr>
        <w:t>According to Song, Qiu and Liu (2025), if a person thinks that using a technology will help improve his or her performance or his or her decisions, that is when he or she will choose to use it. For financial services, AI-driven recommendations are seen as helpful if they deliver timely information about the market, investment analysis, and help investors choose suitable financial products. In contrast, Mavlutova</w:t>
      </w:r>
      <w:r w:rsidRPr="00AE264E">
        <w:rPr>
          <w:i/>
          <w:iCs/>
          <w:color w:val="000000" w:themeColor="text1"/>
        </w:rPr>
        <w:t>et al.</w:t>
      </w:r>
      <w:r w:rsidRPr="00AE264E">
        <w:rPr>
          <w:color w:val="000000" w:themeColor="text1"/>
        </w:rPr>
        <w:t xml:space="preserve"> (2022) state that those technologies that have </w:t>
      </w:r>
      <w:r w:rsidRPr="00AE264E">
        <w:rPr>
          <w:color w:val="000000" w:themeColor="text1"/>
        </w:rPr>
        <w:lastRenderedPageBreak/>
        <w:t>identified benefits are more successfully accepted in financial service guidance. However, usefulness does not mean trust as investors also have to take account of the credibility of the AI-generated recommendations.</w:t>
      </w:r>
    </w:p>
    <w:p w:rsidR="00EB6DA5" w:rsidRPr="00AE264E" w:rsidRDefault="00785E4B">
      <w:pPr>
        <w:rPr>
          <w:b/>
          <w:bCs/>
          <w:i/>
          <w:iCs/>
          <w:color w:val="000000" w:themeColor="text1"/>
        </w:rPr>
      </w:pPr>
      <w:r w:rsidRPr="00AE264E">
        <w:rPr>
          <w:b/>
          <w:bCs/>
          <w:i/>
          <w:iCs/>
          <w:color w:val="000000" w:themeColor="text1"/>
        </w:rPr>
        <w:t>Accuracy, Transparency and Explainability</w:t>
      </w:r>
    </w:p>
    <w:p w:rsidR="00EB6DA5" w:rsidRPr="00AE264E" w:rsidRDefault="00785E4B">
      <w:pPr>
        <w:rPr>
          <w:color w:val="000000" w:themeColor="text1"/>
        </w:rPr>
      </w:pPr>
      <w:r w:rsidRPr="00AE264E">
        <w:rPr>
          <w:color w:val="000000" w:themeColor="text1"/>
        </w:rPr>
        <w:t xml:space="preserve">Another significant factor is the consumers' sense of accuracy and reliability as an AI system could be more efficient than humans in extracting insights from data that is far too large to be handled by people. Cerchione, Liccardo and Passaro (2025) state that due to the lack of logical processes involved in its generation, the information produced by generative AI can sometimes be inaccurate or even misleading. This can make it difficult to gain confidence, especially for those who are unfamiliar with investing. On the other hand, as per Guo and Polak (2026), transparency and explainability are essential as users are more inclined to trust AI systems if the ways of generating the investment recommendations are clear. Likewise, use of explainable AI can increase accountability as investors can review the logic underlying AI-driven recommendations. </w:t>
      </w:r>
    </w:p>
    <w:p w:rsidR="00EB6DA5" w:rsidRPr="00AE264E" w:rsidRDefault="00785E4B">
      <w:pPr>
        <w:rPr>
          <w:b/>
          <w:bCs/>
          <w:i/>
          <w:iCs/>
          <w:color w:val="000000" w:themeColor="text1"/>
        </w:rPr>
      </w:pPr>
      <w:r w:rsidRPr="00AE264E">
        <w:rPr>
          <w:b/>
          <w:bCs/>
          <w:i/>
          <w:iCs/>
          <w:color w:val="000000" w:themeColor="text1"/>
        </w:rPr>
        <w:t>Financial Literacy, Privacy, and Regulatory Assurance</w:t>
      </w:r>
    </w:p>
    <w:p w:rsidR="00EB6DA5" w:rsidRPr="00AE264E" w:rsidRDefault="00785E4B">
      <w:pPr>
        <w:rPr>
          <w:color w:val="000000" w:themeColor="text1"/>
        </w:rPr>
      </w:pPr>
      <w:r w:rsidRPr="00AE264E">
        <w:rPr>
          <w:color w:val="000000" w:themeColor="text1"/>
        </w:rPr>
        <w:t xml:space="preserve">Apart from that, Khan, Rabbani and Kadoya (2020) stated that financially literate people are more able to evaluate potential financial investments. Hence, financial criteria, such as financial literacy, data security, and regulatory guarantees, have an important impact on confidence. However, Yu </w:t>
      </w:r>
      <w:r w:rsidRPr="00AE264E">
        <w:rPr>
          <w:i/>
          <w:iCs/>
          <w:color w:val="000000" w:themeColor="text1"/>
        </w:rPr>
        <w:t>et al.</w:t>
      </w:r>
      <w:r w:rsidRPr="00AE264E">
        <w:rPr>
          <w:color w:val="000000" w:themeColor="text1"/>
        </w:rPr>
        <w:t xml:space="preserve"> (2025) conversely stated that opaque or “black-box” algorithms tend to deter people’s trust because the reasoning behind financial recommendations is unknown to them. Hence, scholars recommend robust and ethical data protection and governance mechanisms, effective regulation, and increased trust in AI-driven financial advice.</w:t>
      </w:r>
    </w:p>
    <w:p w:rsidR="00EB6DA5" w:rsidRPr="00AE264E" w:rsidRDefault="00785E4B">
      <w:pPr>
        <w:rPr>
          <w:color w:val="000000" w:themeColor="text1"/>
        </w:rPr>
      </w:pPr>
      <w:r w:rsidRPr="00AE264E">
        <w:rPr>
          <w:color w:val="000000" w:themeColor="text1"/>
        </w:rPr>
        <w:t>In general, these studies suggest that technological performance, perceptions, and institutional protection are significant influences on trust.</w:t>
      </w:r>
    </w:p>
    <w:p w:rsidR="00EB6DA5" w:rsidRPr="00AE264E" w:rsidRDefault="00785E4B">
      <w:pPr>
        <w:pStyle w:val="Heading2"/>
        <w:rPr>
          <w:color w:val="000000" w:themeColor="text1"/>
        </w:rPr>
      </w:pPr>
      <w:bookmarkStart w:id="28" w:name="_Toc241178738"/>
      <w:r w:rsidRPr="00AE264E">
        <w:rPr>
          <w:color w:val="000000" w:themeColor="text1"/>
        </w:rPr>
        <w:t>2.6 Relationship Between AI-Created Financial Advice and Investment Confidence</w:t>
      </w:r>
      <w:bookmarkEnd w:id="28"/>
    </w:p>
    <w:p w:rsidR="00EB6DA5" w:rsidRPr="00AE264E" w:rsidRDefault="00785E4B">
      <w:pPr>
        <w:rPr>
          <w:color w:val="000000" w:themeColor="text1"/>
        </w:rPr>
      </w:pPr>
      <w:r w:rsidRPr="00AE264E">
        <w:rPr>
          <w:color w:val="000000" w:themeColor="text1"/>
        </w:rPr>
        <w:t>Confidence in investments is the conviction that an investor has in his/her decisions based on uncertainty in the stock market and financial risk. It affects the decision of a person to invest, sustaining investments in volatile times, and making wise financial choices.</w:t>
      </w:r>
    </w:p>
    <w:p w:rsidR="00EB6DA5" w:rsidRPr="00AE264E" w:rsidRDefault="00785E4B">
      <w:pPr>
        <w:rPr>
          <w:color w:val="000000" w:themeColor="text1"/>
        </w:rPr>
      </w:pPr>
      <w:r w:rsidRPr="00AE264E">
        <w:rPr>
          <w:color w:val="000000" w:themeColor="text1"/>
        </w:rPr>
        <w:t xml:space="preserve">Better information accessibility stands out as one of the significant impact areas of AI-driven financial advice on investment confidence. Buczynski </w:t>
      </w:r>
      <w:r w:rsidRPr="00AE264E">
        <w:rPr>
          <w:i/>
          <w:iCs/>
          <w:color w:val="000000" w:themeColor="text1"/>
        </w:rPr>
        <w:t>et al.</w:t>
      </w:r>
      <w:r w:rsidRPr="00AE264E">
        <w:rPr>
          <w:color w:val="000000" w:themeColor="text1"/>
        </w:rPr>
        <w:t xml:space="preserve"> (2025) explained that often, conventional investment guidance is limited by appointment availability, cost of counseling and location, whereas AI advisory platforms easily allow access to financial data and investment advice. While scholars like Nogueira, Almeida and Tavares (2025) countered that more accessible financial information allows people to plan their finances actively and builds </w:t>
      </w:r>
      <w:r w:rsidRPr="00AE264E">
        <w:rPr>
          <w:color w:val="000000" w:themeColor="text1"/>
        </w:rPr>
        <w:lastRenderedPageBreak/>
        <w:t>their confidence in financial planning. Having investment advice available immediately brings down the pressure on investors with no experience and helps them to feel more at ease making investment decisions with or without relying solely on financial professionals.</w:t>
      </w:r>
    </w:p>
    <w:p w:rsidR="00EB6DA5" w:rsidRPr="00AE264E" w:rsidRDefault="00785E4B">
      <w:pPr>
        <w:rPr>
          <w:color w:val="000000" w:themeColor="text1"/>
        </w:rPr>
      </w:pPr>
      <w:r w:rsidRPr="00AE264E">
        <w:rPr>
          <w:color w:val="000000" w:themeColor="text1"/>
        </w:rPr>
        <w:t>Another important aspect related to the relationship is one between the personalisation of financial advice and borrowers' characteristics. These systems utilize AI to analyze a user's monetary objectives, investments, investing strategies, and danger tolerance, offering individualized guidance for their monetary choices. Zungu et al. 2025 argues that customisation would be more valuable with an AI service as there would be a more personalized approach than a one-size-fits all model when giving advice to users. Scholars Qaysi and Sulphey (2026), concluding that the personalised guidance is one of the tools in investment management that guides the novice investors in selecting investment. As a result, investors would be better off feeling secure when it is on the investor's own capital, not on a specific market.</w:t>
      </w:r>
    </w:p>
    <w:p w:rsidR="00EB6DA5" w:rsidRPr="00AE264E" w:rsidRDefault="00785E4B">
      <w:pPr>
        <w:rPr>
          <w:color w:val="000000" w:themeColor="text1"/>
        </w:rPr>
      </w:pPr>
      <w:r w:rsidRPr="00AE264E">
        <w:rPr>
          <w:color w:val="000000" w:themeColor="text1"/>
        </w:rPr>
        <w:t>AI-powered guidance results can likewise assist in reducing the emotional hurdles that frequently make it tough to make informed investment choices. Overconfidence, loss aversion, confirmation bias and herd behavior are some of the cognitive and emotional biases that can affect investors as described by Sharma and Negi (2025). According to the researchers Hsu, Wang and Ting (2025), AI systems focus on data analysis rather than emotions, and they can offer investment recommendations based on facts and evidence, which are not influenced by emotions. AI's analytical capability can help make investing decisions more rational, which could lead to more uniform investments and less erratic decision-making in the future, potentially creating more trust among investors.</w:t>
      </w:r>
    </w:p>
    <w:p w:rsidR="00EB6DA5" w:rsidRPr="00AE264E" w:rsidRDefault="00785E4B">
      <w:pPr>
        <w:rPr>
          <w:color w:val="000000" w:themeColor="text1"/>
        </w:rPr>
      </w:pPr>
      <w:r w:rsidRPr="00AE264E">
        <w:rPr>
          <w:color w:val="000000" w:themeColor="text1"/>
        </w:rPr>
        <w:t xml:space="preserve">The connection between AI-informed financial recommendations and confidence in investing is not always favourable. Loss of confidence could hamper investments if they feel the advice given by the AI systems is not aligned with their expectations or the results of the investment are not as expected. Romeo and Conti (2025) present the claim that overreliance on automation could cause automation bias, that is, overrely on or improperly reject automated recommendations. In either case, Liu </w:t>
      </w:r>
      <w:r w:rsidRPr="00AE264E">
        <w:rPr>
          <w:i/>
          <w:iCs/>
          <w:color w:val="000000" w:themeColor="text1"/>
        </w:rPr>
        <w:t>et al.</w:t>
      </w:r>
      <w:r w:rsidRPr="00AE264E">
        <w:rPr>
          <w:color w:val="000000" w:themeColor="text1"/>
        </w:rPr>
        <w:t xml:space="preserve"> (2024) countered that when a proposed investment strategy differs from the investor's intuition, seasoned players may also find AI-driven suggestions confusing if they do not align with their established expertise. Newer investors could find themselves scratching their heads about the reports coming in from different AI platforms.</w:t>
      </w:r>
    </w:p>
    <w:p w:rsidR="00EB6DA5" w:rsidRPr="00AE264E" w:rsidRDefault="00785E4B">
      <w:pPr>
        <w:rPr>
          <w:color w:val="000000" w:themeColor="text1"/>
        </w:rPr>
      </w:pPr>
      <w:r w:rsidRPr="00AE264E">
        <w:rPr>
          <w:color w:val="000000" w:themeColor="text1"/>
        </w:rPr>
        <w:t>The overall results reveal that AI capability is not the sole determinant of investor confidence, yet also the behavioural reaction of investors to use AI in financial decision-making.</w:t>
      </w:r>
    </w:p>
    <w:p w:rsidR="00EB6DA5" w:rsidRPr="00AE264E" w:rsidRDefault="00785E4B">
      <w:pPr>
        <w:pStyle w:val="Heading2"/>
        <w:rPr>
          <w:color w:val="000000" w:themeColor="text1"/>
        </w:rPr>
      </w:pPr>
      <w:bookmarkStart w:id="29" w:name="_Toc241178739"/>
      <w:r w:rsidRPr="00AE264E">
        <w:rPr>
          <w:color w:val="000000" w:themeColor="text1"/>
        </w:rPr>
        <w:lastRenderedPageBreak/>
        <w:t>2.7 Challenges of AI-Generated Financial Advice Affecting Confidence of First-Time Users</w:t>
      </w:r>
      <w:bookmarkEnd w:id="29"/>
    </w:p>
    <w:p w:rsidR="00EB6DA5" w:rsidRPr="00AE264E" w:rsidRDefault="00785E4B">
      <w:pPr>
        <w:rPr>
          <w:color w:val="000000" w:themeColor="text1"/>
        </w:rPr>
      </w:pPr>
      <w:r w:rsidRPr="00AE264E">
        <w:rPr>
          <w:color w:val="000000" w:themeColor="text1"/>
        </w:rPr>
        <w:t>As AI-generated financial advice presents a great opportunity to enhance investment decision-making, there are some potential challenges to investors' confidence in such advice, especially among the primary investor group, first-time investors.</w:t>
      </w:r>
    </w:p>
    <w:p w:rsidR="00EB6DA5" w:rsidRPr="00AE264E" w:rsidRDefault="00785E4B">
      <w:pPr>
        <w:rPr>
          <w:b/>
          <w:bCs/>
          <w:color w:val="000000" w:themeColor="text1"/>
        </w:rPr>
      </w:pPr>
      <w:r w:rsidRPr="00AE264E">
        <w:rPr>
          <w:b/>
          <w:bCs/>
          <w:color w:val="000000" w:themeColor="text1"/>
        </w:rPr>
        <w:t>Accuracy and Reliability</w:t>
      </w:r>
    </w:p>
    <w:p w:rsidR="00EB6DA5" w:rsidRPr="00AE264E" w:rsidRDefault="00785E4B">
      <w:pPr>
        <w:rPr>
          <w:color w:val="000000" w:themeColor="text1"/>
        </w:rPr>
      </w:pPr>
      <w:r w:rsidRPr="00AE264E">
        <w:rPr>
          <w:color w:val="000000" w:themeColor="text1"/>
        </w:rPr>
        <w:t xml:space="preserve">The reliability and precision of AI content from financial advisors is one of the most widely experienced and rapidly arising issues. As per Rohan </w:t>
      </w:r>
      <w:r w:rsidRPr="00AE264E">
        <w:rPr>
          <w:i/>
          <w:iCs/>
          <w:color w:val="000000" w:themeColor="text1"/>
        </w:rPr>
        <w:t>et al.</w:t>
      </w:r>
      <w:r w:rsidRPr="00AE264E">
        <w:rPr>
          <w:color w:val="000000" w:themeColor="text1"/>
        </w:rPr>
        <w:t xml:space="preserve"> (2026), AI systems can thoroughly analyze financial data and provide recommendations, all in a blink of an eye, considering historical patterns and predictive models. Nevertheless, the recommendations produced by an AI rely heavily on the amount of accuracy of training info and algorithm design. On the contrary, Olatokun and Oladokun (2026) countered that generative AI models can sometimes hallucinate or produce false or fabricated information due to statistical prediction rather than genuine reasoning. When it comes to recommending funds for investment, false predictions can put first-timers at risk of entering markets with potentially damaging investment risks and diminish confidence in AI-driven financial advice. As such, the accuracy aspect continues to be one of the crucial challenges for financial institutions that are using AI technologies.</w:t>
      </w:r>
    </w:p>
    <w:p w:rsidR="00EB6DA5" w:rsidRPr="00AE264E" w:rsidRDefault="00785E4B">
      <w:pPr>
        <w:rPr>
          <w:b/>
          <w:bCs/>
          <w:color w:val="000000" w:themeColor="text1"/>
        </w:rPr>
      </w:pPr>
      <w:r w:rsidRPr="00AE264E">
        <w:rPr>
          <w:b/>
          <w:bCs/>
          <w:color w:val="000000" w:themeColor="text1"/>
        </w:rPr>
        <w:t>Transparency and Algorithm Bias</w:t>
      </w:r>
    </w:p>
    <w:p w:rsidR="00EB6DA5" w:rsidRPr="00AE264E" w:rsidRDefault="00785E4B">
      <w:pPr>
        <w:rPr>
          <w:color w:val="000000" w:themeColor="text1"/>
        </w:rPr>
      </w:pPr>
      <w:r w:rsidRPr="00AE264E">
        <w:rPr>
          <w:color w:val="000000" w:themeColor="text1"/>
        </w:rPr>
        <w:t xml:space="preserve">The lack of transparency and explainability in AI systems is another major challenge as numerous AI models are "black-box" models, which makes it difficult to comprehend how they make predictions about investments. As per Schilke and Reimann (2025), limited transparency has a negative impact on users' trust in the recommendation source due to the reduced ability to trust recommendations that are not clearly explained. Likewise, the use of explainable AI would further improve accountability by providing users with insight into the logic behind AI-driven decision-making. Frederiks </w:t>
      </w:r>
      <w:r w:rsidRPr="00AE264E">
        <w:rPr>
          <w:i/>
          <w:iCs/>
          <w:color w:val="000000" w:themeColor="text1"/>
        </w:rPr>
        <w:t>et al.</w:t>
      </w:r>
      <w:r w:rsidRPr="00AE264E">
        <w:rPr>
          <w:color w:val="000000" w:themeColor="text1"/>
        </w:rPr>
        <w:t xml:space="preserve"> (2022) argued that for new investors, who often need to know that the information they are receiving is accurate before making any investment moves, this could create uncertainty and discourage technology adoption. Hence, explainability is one of the significant demands raised to increase investor faith and aid responsible AI utilization.</w:t>
      </w:r>
    </w:p>
    <w:p w:rsidR="00EB6DA5" w:rsidRPr="00AE264E" w:rsidRDefault="00785E4B">
      <w:pPr>
        <w:rPr>
          <w:color w:val="000000" w:themeColor="text1"/>
        </w:rPr>
      </w:pPr>
      <w:r w:rsidRPr="00AE264E">
        <w:rPr>
          <w:color w:val="000000" w:themeColor="text1"/>
        </w:rPr>
        <w:t xml:space="preserve">Other issues raised in the literature that are critical to the successful uptake of AI-driven financial advice are algorithmic bias and ethical issues. Historical financial and behavioral data, along with any possible inherent biases, may be incorporated into the data used for training AI systems. According to Pagano et al. (2023), the probability of data bias is likely to give rise to biased and discriminatory or unfair investment recommendations which will negatively impact </w:t>
      </w:r>
      <w:r w:rsidRPr="00AE264E">
        <w:rPr>
          <w:color w:val="000000" w:themeColor="text1"/>
        </w:rPr>
        <w:lastRenderedPageBreak/>
        <w:t>the interests of specific fearless investors. Furthermore, the idea of ethical issues might be raised if there is no information about the potential hazard or conflict of interest is included in the AI system's recommendation. However, Sungkarungsri and Kiattisin (2026b) argued that the absence of fairness, accountability, and ethics in the monitoring process might erode the trust of people in financial advising with AI. As a result, the importance of responsible AI governance grows ever more significant when it comes to ensuring that AI systems make investment recommendations in an objective and unbiased manner.</w:t>
      </w:r>
    </w:p>
    <w:p w:rsidR="00EB6DA5" w:rsidRPr="00AE264E" w:rsidRDefault="00785E4B">
      <w:pPr>
        <w:rPr>
          <w:b/>
          <w:bCs/>
          <w:i/>
          <w:iCs/>
          <w:color w:val="000000" w:themeColor="text1"/>
        </w:rPr>
      </w:pPr>
      <w:r w:rsidRPr="00AE264E">
        <w:rPr>
          <w:b/>
          <w:bCs/>
          <w:i/>
          <w:iCs/>
          <w:color w:val="000000" w:themeColor="text1"/>
        </w:rPr>
        <w:t>Use of human judgement and emotional support</w:t>
      </w:r>
    </w:p>
    <w:p w:rsidR="00EB6DA5" w:rsidRPr="00AE264E" w:rsidRDefault="00785E4B">
      <w:pPr>
        <w:rPr>
          <w:color w:val="000000" w:themeColor="text1"/>
        </w:rPr>
      </w:pPr>
      <w:r w:rsidRPr="00AE264E">
        <w:rPr>
          <w:color w:val="000000" w:themeColor="text1"/>
        </w:rPr>
        <w:t>The other great difficulty is the difficulty of AI systems to achieve human judgment and sensitivity. While AI tools are great for analysing financial data and identifying investment trends, they don't have the ability to understand the individual's personal situation, feelings and moral issues which can shape an individual's investment selections. As cited by Ioannou et al (2026), some elements of financial decision-making can be automated, but others like nuanced understanding, empathy and interpersonal interaction remain enigmatic domains for AI to excede. Human planners can shove through it when the markets are shaky and detail the intricacies of investments, and modify financial strategies to accommodate shifting personal needs.</w:t>
      </w:r>
    </w:p>
    <w:p w:rsidR="00EB6DA5" w:rsidRPr="00AE264E" w:rsidRDefault="00785E4B">
      <w:pPr>
        <w:rPr>
          <w:color w:val="000000" w:themeColor="text1"/>
        </w:rPr>
      </w:pPr>
      <w:r w:rsidRPr="00AE264E">
        <w:rPr>
          <w:color w:val="000000" w:themeColor="text1"/>
        </w:rPr>
        <w:t xml:space="preserve">Then, in comparison, Hanna </w:t>
      </w:r>
      <w:r w:rsidRPr="00AE264E">
        <w:rPr>
          <w:i/>
          <w:iCs/>
          <w:color w:val="000000" w:themeColor="text1"/>
        </w:rPr>
        <w:t>et al.</w:t>
      </w:r>
      <w:r w:rsidRPr="00AE264E">
        <w:rPr>
          <w:color w:val="000000" w:themeColor="text1"/>
        </w:rPr>
        <w:t xml:space="preserve"> (2024) stated that the more AI systems work, the more their outcomes are algorithmic, and this might not support the initial investors' psychological needs. Therefore, it can be understood that AI should be used as a supplement to rather than a replacement for human financial advisors. While there were numerous examples in the literature of AI's accuracy and effectiveness in providing financial advice, there were also some challenges regarding the use of AI-based financial advice affecting the level of investors' trust.</w:t>
      </w:r>
    </w:p>
    <w:p w:rsidR="00EB6DA5" w:rsidRPr="00AE264E" w:rsidRDefault="00785E4B">
      <w:pPr>
        <w:pStyle w:val="Heading2"/>
        <w:rPr>
          <w:color w:val="000000" w:themeColor="text1"/>
        </w:rPr>
      </w:pPr>
      <w:bookmarkStart w:id="30" w:name="_Toc241178740"/>
      <w:r w:rsidRPr="00AE264E">
        <w:rPr>
          <w:color w:val="000000" w:themeColor="text1"/>
        </w:rPr>
        <w:t>2.8 Strategies for Responsible AI-Generated Financial Advice in the UK Investment Sector</w:t>
      </w:r>
      <w:bookmarkEnd w:id="30"/>
    </w:p>
    <w:p w:rsidR="00EB6DA5" w:rsidRPr="00AE264E" w:rsidRDefault="00785E4B">
      <w:pPr>
        <w:rPr>
          <w:color w:val="000000" w:themeColor="text1"/>
        </w:rPr>
      </w:pPr>
      <w:r w:rsidRPr="00AE264E">
        <w:rPr>
          <w:color w:val="000000" w:themeColor="text1"/>
        </w:rPr>
        <w:t xml:space="preserve">As more people turn to AI-driven financial advice now, there are great possibilities to enhance decision-making in financial investments, yet there is also a need for AI to be responsibly upheld and grown. </w:t>
      </w:r>
    </w:p>
    <w:p w:rsidR="00EB6DA5" w:rsidRPr="00AE264E" w:rsidRDefault="00785E4B">
      <w:pPr>
        <w:rPr>
          <w:b/>
          <w:bCs/>
          <w:color w:val="000000" w:themeColor="text1"/>
        </w:rPr>
      </w:pPr>
      <w:r w:rsidRPr="00AE264E">
        <w:rPr>
          <w:b/>
          <w:bCs/>
          <w:color w:val="000000" w:themeColor="text1"/>
        </w:rPr>
        <w:t>Explainability and Transparency</w:t>
      </w:r>
    </w:p>
    <w:p w:rsidR="00EB6DA5" w:rsidRPr="00AE264E" w:rsidRDefault="00785E4B">
      <w:pPr>
        <w:rPr>
          <w:color w:val="000000" w:themeColor="text1"/>
        </w:rPr>
      </w:pPr>
      <w:r w:rsidRPr="00AE264E">
        <w:rPr>
          <w:color w:val="000000" w:themeColor="text1"/>
        </w:rPr>
        <w:t>Leveraging the insights from the identified literature, one of the key approaches proposed is making financial advice produced by artificial intelligence systems more transparent and explainable. Using Explanatory AI, users can understand how the investment recommendations are created before deciding to go along with them. Nastoska</w:t>
      </w:r>
      <w:r w:rsidRPr="00AE264E">
        <w:rPr>
          <w:i/>
          <w:iCs/>
          <w:color w:val="000000" w:themeColor="text1"/>
        </w:rPr>
        <w:t>et al.</w:t>
      </w:r>
      <w:r w:rsidRPr="00AE264E">
        <w:rPr>
          <w:color w:val="000000" w:themeColor="text1"/>
        </w:rPr>
        <w:t xml:space="preserve"> (2025) point out that explainability secures user trust because investors would feel more confident when their choice </w:t>
      </w:r>
      <w:r w:rsidRPr="00AE264E">
        <w:rPr>
          <w:color w:val="000000" w:themeColor="text1"/>
        </w:rPr>
        <w:lastRenderedPageBreak/>
        <w:t xml:space="preserve">of AI decision process is comprehensible to them. Likewise, transparency helps build accountability within the financial sector as financial institutions will be able to explain their automated advice. Addo </w:t>
      </w:r>
      <w:r w:rsidRPr="00AE264E">
        <w:rPr>
          <w:i/>
          <w:iCs/>
          <w:color w:val="000000" w:themeColor="text1"/>
        </w:rPr>
        <w:t>et al.</w:t>
      </w:r>
      <w:r w:rsidRPr="00AE264E">
        <w:rPr>
          <w:color w:val="000000" w:themeColor="text1"/>
        </w:rPr>
        <w:t xml:space="preserve"> (2025) argued that Invest with Confidence provides novice investors with clear investment insights, such as risk, allocation and explanations for the recommendations, minimizing the uncertainty that often underlies new investors' decision-making. For this reason, explainability is believed to be a key element in responsible adoption of AI systems.</w:t>
      </w:r>
    </w:p>
    <w:p w:rsidR="00EB6DA5" w:rsidRPr="00AE264E" w:rsidRDefault="00785E4B">
      <w:pPr>
        <w:rPr>
          <w:b/>
          <w:bCs/>
          <w:color w:val="000000" w:themeColor="text1"/>
        </w:rPr>
      </w:pPr>
      <w:r w:rsidRPr="00AE264E">
        <w:rPr>
          <w:b/>
          <w:bCs/>
          <w:color w:val="000000" w:themeColor="text1"/>
        </w:rPr>
        <w:t>Governance, Regulations and Accountability</w:t>
      </w:r>
    </w:p>
    <w:p w:rsidR="00EB6DA5" w:rsidRPr="00AE264E" w:rsidRDefault="00785E4B">
      <w:pPr>
        <w:rPr>
          <w:color w:val="000000" w:themeColor="text1"/>
        </w:rPr>
      </w:pPr>
      <w:r w:rsidRPr="00AE264E">
        <w:rPr>
          <w:color w:val="000000" w:themeColor="text1"/>
        </w:rPr>
        <w:t>Focusing on strengthening regulatory compliance and governance is another key strategy as financial services are highly regulated, and the companies that provide them operate in an environment that requires consumer protection. As posited by Barucci</w:t>
      </w:r>
      <w:r w:rsidRPr="00AE264E">
        <w:rPr>
          <w:i/>
          <w:iCs/>
          <w:color w:val="000000" w:themeColor="text1"/>
        </w:rPr>
        <w:t>et al.</w:t>
      </w:r>
      <w:r w:rsidRPr="00AE264E">
        <w:rPr>
          <w:color w:val="000000" w:themeColor="text1"/>
        </w:rPr>
        <w:t xml:space="preserve"> (2026), ensuring AI systems are fairly and responsibly operated, and encouraging innovation, requires effective regulatory frameworks to promote them. For investment in the UK, governance frameworks should incorporate the use of AI systems to be periodically monitored, independent audits, and transparent ownership of automated decisions. On the other hand, as per Pang and Szliter (2026), this supervision ensures AI-driven financial suggestions adhere to legal and ethical requirements, minimise possible misleading and promote the integrity of the financial landscape. Therefore, good governance structures are called for to ensure that investors are assured of the technology.</w:t>
      </w:r>
    </w:p>
    <w:p w:rsidR="00EB6DA5" w:rsidRPr="00AE264E" w:rsidRDefault="00785E4B">
      <w:pPr>
        <w:rPr>
          <w:b/>
          <w:bCs/>
          <w:color w:val="000000" w:themeColor="text1"/>
        </w:rPr>
      </w:pPr>
      <w:r w:rsidRPr="00AE264E">
        <w:rPr>
          <w:b/>
          <w:bCs/>
          <w:color w:val="000000" w:themeColor="text1"/>
        </w:rPr>
        <w:t>Fairness and Bias Mitigation</w:t>
      </w:r>
    </w:p>
    <w:p w:rsidR="00EB6DA5" w:rsidRPr="00AE264E" w:rsidRDefault="00785E4B">
      <w:pPr>
        <w:rPr>
          <w:color w:val="000000" w:themeColor="text1"/>
        </w:rPr>
      </w:pPr>
      <w:r w:rsidRPr="00AE264E">
        <w:rPr>
          <w:color w:val="000000" w:themeColor="text1"/>
        </w:rPr>
        <w:t>There is also the challenge of minimising algorithmic bias and promoting fairness, which has been noted in the literature. AI systems use past data sets which can potentially include social, demographic or behavioural biases. According to Svetlova (2022), biases not addressed can lead to unfair recommendations in the financial advice given by AI systems that may have a negative effect on certain investment groups. Companies need to routinely test AI models for bias and claim that they should make sure that the training data they use clearly reflects a diversity of investors. However, Yang and Lee (2024) suggest that AI algorithms should be continually tested and updated to guarantee fairness and the reliability of financial recommendations. As a result, these practices lead to better investment services and also increase public trust in AI technologies.</w:t>
      </w:r>
    </w:p>
    <w:p w:rsidR="00EB6DA5" w:rsidRPr="00AE264E" w:rsidRDefault="00785E4B">
      <w:pPr>
        <w:rPr>
          <w:b/>
          <w:bCs/>
          <w:color w:val="000000" w:themeColor="text1"/>
        </w:rPr>
      </w:pPr>
      <w:r w:rsidRPr="00AE264E">
        <w:rPr>
          <w:b/>
          <w:bCs/>
          <w:color w:val="000000" w:themeColor="text1"/>
        </w:rPr>
        <w:t>Human-AI Hybrid Advisory Models</w:t>
      </w:r>
    </w:p>
    <w:p w:rsidR="00EB6DA5" w:rsidRPr="00AE264E" w:rsidRDefault="00785E4B">
      <w:pPr>
        <w:rPr>
          <w:color w:val="000000" w:themeColor="text1"/>
        </w:rPr>
      </w:pPr>
      <w:r w:rsidRPr="00AE264E">
        <w:rPr>
          <w:color w:val="000000" w:themeColor="text1"/>
        </w:rPr>
        <w:t xml:space="preserve">Many scholars advocate the integration of AI’s functions with human experts in hybrid advisory models. As per Charles, Emrouznejad and Kunz (2025), while AI has enabled more precise analysis of financial data and the understanding of market trends, the contextuality, </w:t>
      </w:r>
      <w:r w:rsidRPr="00AE264E">
        <w:rPr>
          <w:color w:val="000000" w:themeColor="text1"/>
        </w:rPr>
        <w:lastRenderedPageBreak/>
        <w:t xml:space="preserve">ethics and emotional support that a human adviser brings cannot be completely replicated by AI. Conversely, Kou </w:t>
      </w:r>
      <w:r w:rsidRPr="00AE264E">
        <w:rPr>
          <w:i/>
          <w:iCs/>
          <w:color w:val="000000" w:themeColor="text1"/>
        </w:rPr>
        <w:t>et al.</w:t>
      </w:r>
      <w:r w:rsidRPr="00AE264E">
        <w:rPr>
          <w:color w:val="000000" w:themeColor="text1"/>
        </w:rPr>
        <w:t xml:space="preserve"> (2026) stated in the literature that AI's ability to execute analytical work and financial professionals' interpretation of advice and response to investor questions and thoughts can be combined to create a hybrid model.</w:t>
      </w:r>
    </w:p>
    <w:p w:rsidR="00EB6DA5" w:rsidRPr="00AE264E" w:rsidRDefault="00785E4B">
      <w:pPr>
        <w:rPr>
          <w:color w:val="000000" w:themeColor="text1"/>
        </w:rPr>
      </w:pPr>
      <w:r w:rsidRPr="00AE264E">
        <w:rPr>
          <w:color w:val="000000" w:themeColor="text1"/>
        </w:rPr>
        <w:t>Together, these approaches can boost users' confidence in AI-driven financial guidance and foster trust in the AI.</w:t>
      </w:r>
    </w:p>
    <w:p w:rsidR="00EB6DA5" w:rsidRPr="00AE264E" w:rsidRDefault="00785E4B">
      <w:pPr>
        <w:pStyle w:val="Heading2"/>
        <w:rPr>
          <w:color w:val="000000" w:themeColor="text1"/>
        </w:rPr>
      </w:pPr>
      <w:bookmarkStart w:id="31" w:name="_Toc241178741"/>
      <w:r w:rsidRPr="00AE264E">
        <w:rPr>
          <w:color w:val="000000" w:themeColor="text1"/>
        </w:rPr>
        <w:t>2.9 Theoretical Understanding</w:t>
      </w:r>
      <w:bookmarkEnd w:id="31"/>
    </w:p>
    <w:p w:rsidR="00EB6DA5" w:rsidRPr="00AE264E" w:rsidRDefault="00785E4B">
      <w:pPr>
        <w:rPr>
          <w:color w:val="000000" w:themeColor="text1"/>
        </w:rPr>
      </w:pPr>
      <w:r w:rsidRPr="00AE264E">
        <w:rPr>
          <w:color w:val="000000" w:themeColor="text1"/>
        </w:rPr>
        <w:t>The theories that underpin this study are the Technology Acceptance Model (TAM) and the Trust Theory to explain the relationship between investment confidence and financial advice generated by artificial intelligence for first-time investors. These theories offer a holistic perspective on how investors assess and value AI-driven financial advice and how that appraisal impacts their trust in their investment choices.</w:t>
      </w:r>
    </w:p>
    <w:p w:rsidR="00EB6DA5" w:rsidRPr="00AE264E" w:rsidRDefault="00785E4B">
      <w:pPr>
        <w:rPr>
          <w:b/>
          <w:bCs/>
          <w:i/>
          <w:iCs/>
          <w:color w:val="000000" w:themeColor="text1"/>
        </w:rPr>
      </w:pPr>
      <w:r w:rsidRPr="00AE264E">
        <w:rPr>
          <w:b/>
          <w:bCs/>
          <w:i/>
          <w:iCs/>
          <w:color w:val="000000" w:themeColor="text1"/>
        </w:rPr>
        <w:t>Technology Acceptance Model (TAM)</w:t>
      </w:r>
    </w:p>
    <w:p w:rsidR="00EB6DA5" w:rsidRPr="00AE264E" w:rsidRDefault="00785E4B">
      <w:pPr>
        <w:rPr>
          <w:color w:val="000000" w:themeColor="text1"/>
        </w:rPr>
      </w:pPr>
      <w:r w:rsidRPr="00AE264E">
        <w:rPr>
          <w:color w:val="000000" w:themeColor="text1"/>
        </w:rPr>
        <w:t>One of the most widely tested models explaining users' acceptance and use of new technologies is the Technology Acceptance Model (TAM) developed by Davis. The model suggests that the factors that are important for the adoption of technology are perceived usefulness and perceived ease of use (Davis, 1985). Perceived usefulness is defined as the subjective individual's perception of the usefulness of technology in improving performance and perceived ease of use is defined as the degree to which the individual thinks the technology is easy to use.</w:t>
      </w:r>
    </w:p>
    <w:p w:rsidR="00EB6DA5" w:rsidRPr="00AE264E" w:rsidRDefault="00785E4B">
      <w:pPr>
        <w:rPr>
          <w:color w:val="000000" w:themeColor="text1"/>
        </w:rPr>
      </w:pPr>
      <w:r w:rsidRPr="00AE264E">
        <w:rPr>
          <w:color w:val="000000" w:themeColor="text1"/>
        </w:rPr>
        <w:t>The literature shows that TAM has indeed been widely used in research investigating the use of AI solutions in financial services. Urbanova</w:t>
      </w:r>
      <w:r w:rsidRPr="00AE264E">
        <w:rPr>
          <w:i/>
          <w:iCs/>
          <w:color w:val="000000" w:themeColor="text1"/>
        </w:rPr>
        <w:t>et al.</w:t>
      </w:r>
      <w:r w:rsidRPr="00AE264E">
        <w:rPr>
          <w:color w:val="000000" w:themeColor="text1"/>
        </w:rPr>
        <w:t xml:space="preserve"> (2023) state that people use digital technologies more often if they believe that the technology is helpful and easy to use. Infrequent investors are more likely to utilize AI-powered systems when they trust in the system's capability to enhance investment risk-making and feel the guidance is comprehensible. However, as per Lee, Ramasamy and Subbarao (2025), the key strengths of TAM are its description of the technological attributes and its low attention to emotional, ethical and trust-based components that also play a part in financial decision-making. Nevertheless, TAM is important for its ability to predict the behavioral intention of adopting AI-based financial advice, even though we can see this as a limitation.</w:t>
      </w:r>
    </w:p>
    <w:p w:rsidR="00EB6DA5" w:rsidRPr="00AE264E" w:rsidRDefault="00785E4B">
      <w:pPr>
        <w:rPr>
          <w:b/>
          <w:bCs/>
          <w:i/>
          <w:iCs/>
          <w:color w:val="000000" w:themeColor="text1"/>
        </w:rPr>
      </w:pPr>
      <w:r w:rsidRPr="00AE264E">
        <w:rPr>
          <w:b/>
          <w:bCs/>
          <w:i/>
          <w:iCs/>
          <w:color w:val="000000" w:themeColor="text1"/>
        </w:rPr>
        <w:t>Trust Theory</w:t>
      </w:r>
    </w:p>
    <w:p w:rsidR="00EB6DA5" w:rsidRPr="00AE264E" w:rsidRDefault="00785E4B">
      <w:pPr>
        <w:rPr>
          <w:color w:val="000000" w:themeColor="text1"/>
        </w:rPr>
      </w:pPr>
      <w:r w:rsidRPr="00AE264E">
        <w:rPr>
          <w:color w:val="000000" w:themeColor="text1"/>
        </w:rPr>
        <w:t xml:space="preserve">The Trust Theory depicts the impact of trust on people's decisions to rely on another party when they are in a state of uncertainty and face risk. According to the theory, the three most critical aspects of trust are ability, benevolence and integrity (Mayer, Davis and Schoorman, 1995). </w:t>
      </w:r>
      <w:r w:rsidRPr="00AE264E">
        <w:rPr>
          <w:color w:val="000000" w:themeColor="text1"/>
        </w:rPr>
        <w:lastRenderedPageBreak/>
        <w:t>These dimensions can be utilized in financial decision-making to assess the competence, reliability and ability of AI systems to offer investment guidance.</w:t>
      </w:r>
    </w:p>
    <w:p w:rsidR="00EB6DA5" w:rsidRPr="00AE264E" w:rsidRDefault="00785E4B">
      <w:pPr>
        <w:rPr>
          <w:color w:val="000000" w:themeColor="text1"/>
        </w:rPr>
      </w:pPr>
      <w:r w:rsidRPr="00AE264E">
        <w:rPr>
          <w:color w:val="000000" w:themeColor="text1"/>
        </w:rPr>
        <w:t>In the financial sector, as trust-related uncertainty plays a crucial role in making investment choices, trust becomes especially critical in the context of Artificial Intelligence, according to researchers. Glassberg, Ilan and Zwilling (2025) suggest that transparency, fairness and accountability foster trust and trust in AI-generated recommendations. On the other hand, Nahidi (2026b) argued that potential algorithmic biases, wrong predictions, and a lack of explainability will erode investors' confidence and trust in AI-based investment guidance. Hence, Trust Theory was found to be complementary in TAM because it considers the psychological and behavioral factors that affect the acceptance of investors other than the technological aspect.</w:t>
      </w:r>
    </w:p>
    <w:p w:rsidR="00EB6DA5" w:rsidRPr="00AE264E" w:rsidRDefault="00785E4B">
      <w:pPr>
        <w:rPr>
          <w:color w:val="000000" w:themeColor="text1"/>
        </w:rPr>
      </w:pPr>
      <w:r w:rsidRPr="00AE264E">
        <w:rPr>
          <w:color w:val="000000" w:themeColor="text1"/>
        </w:rPr>
        <w:t>TAM is associated with the extent to which a first-time investor feels that financial advice generated with AI is useful and usable, while Trust Theory is related to the perception of reliability, integrity and transparency of the AI systems. This merger of these two theories offers a robust theoretical framework to study the effects of AI financial advice on investment confidence among novice investors in the UK.</w:t>
      </w:r>
    </w:p>
    <w:p w:rsidR="00EB6DA5" w:rsidRPr="00AE264E" w:rsidRDefault="00785E4B">
      <w:pPr>
        <w:pStyle w:val="Heading2"/>
        <w:rPr>
          <w:color w:val="000000" w:themeColor="text1"/>
        </w:rPr>
      </w:pPr>
      <w:bookmarkStart w:id="32" w:name="_Toc241178742"/>
      <w:r w:rsidRPr="00AE264E">
        <w:rPr>
          <w:color w:val="000000" w:themeColor="text1"/>
        </w:rPr>
        <w:t>2.10 Conceptual Framework</w:t>
      </w:r>
      <w:bookmarkEnd w:id="32"/>
    </w:p>
    <w:p w:rsidR="00EB6DA5" w:rsidRPr="00AE264E" w:rsidRDefault="00785E4B">
      <w:pPr>
        <w:jc w:val="center"/>
        <w:rPr>
          <w:b/>
          <w:bCs/>
          <w:color w:val="000000" w:themeColor="text1"/>
        </w:rPr>
      </w:pPr>
      <w:r w:rsidRPr="00AE264E">
        <w:rPr>
          <w:b/>
          <w:bCs/>
          <w:noProof/>
          <w:color w:val="000000" w:themeColor="text1"/>
        </w:rPr>
        <w:drawing>
          <wp:inline distT="114300" distB="114300" distL="114300" distR="114300">
            <wp:extent cx="5462857" cy="3121633"/>
            <wp:effectExtent l="12700" t="12700" r="12700" b="12700"/>
            <wp:docPr id="1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cstate="print"/>
                    <a:srcRect b="14157"/>
                    <a:stretch>
                      <a:fillRect/>
                    </a:stretch>
                  </pic:blipFill>
                  <pic:spPr>
                    <a:xfrm>
                      <a:off x="0" y="0"/>
                      <a:ext cx="5462857" cy="3121633"/>
                    </a:xfrm>
                    <a:prstGeom prst="rect">
                      <a:avLst/>
                    </a:prstGeom>
                    <a:ln w="12700">
                      <a:solidFill>
                        <a:srgbClr val="000000"/>
                      </a:solidFill>
                      <a:prstDash val="solid"/>
                    </a:ln>
                  </pic:spPr>
                </pic:pic>
              </a:graphicData>
            </a:graphic>
          </wp:inline>
        </w:drawing>
      </w:r>
    </w:p>
    <w:p w:rsidR="00EB6DA5" w:rsidRPr="00AE264E" w:rsidRDefault="00785E4B">
      <w:pPr>
        <w:pStyle w:val="Heading4"/>
        <w:rPr>
          <w:color w:val="000000" w:themeColor="text1"/>
        </w:rPr>
      </w:pPr>
      <w:bookmarkStart w:id="33" w:name="_heading=h.4q52pe9pcwvv" w:colFirst="0" w:colLast="0"/>
      <w:bookmarkEnd w:id="33"/>
      <w:r w:rsidRPr="00AE264E">
        <w:rPr>
          <w:color w:val="000000" w:themeColor="text1"/>
        </w:rPr>
        <w:t>Figure 2.1: Conceptual Framework</w:t>
      </w:r>
    </w:p>
    <w:p w:rsidR="00EB6DA5" w:rsidRPr="00AE264E" w:rsidRDefault="00785E4B">
      <w:pPr>
        <w:jc w:val="center"/>
        <w:rPr>
          <w:color w:val="000000" w:themeColor="text1"/>
        </w:rPr>
      </w:pPr>
      <w:r w:rsidRPr="00AE264E">
        <w:rPr>
          <w:color w:val="000000" w:themeColor="text1"/>
        </w:rPr>
        <w:t>(Source: Self-created)</w:t>
      </w:r>
    </w:p>
    <w:p w:rsidR="00EB6DA5" w:rsidRPr="00AE264E" w:rsidRDefault="00785E4B">
      <w:pPr>
        <w:rPr>
          <w:color w:val="000000" w:themeColor="text1"/>
        </w:rPr>
      </w:pPr>
      <w:r w:rsidRPr="00AE264E">
        <w:rPr>
          <w:color w:val="000000" w:themeColor="text1"/>
        </w:rPr>
        <w:t xml:space="preserve">The conceptual framework shows the relationship between the independent variable (AI-generated financial advice) and the dependent variable (confidence of first-time investors) in </w:t>
      </w:r>
      <w:r w:rsidRPr="00AE264E">
        <w:rPr>
          <w:color w:val="000000" w:themeColor="text1"/>
        </w:rPr>
        <w:lastRenderedPageBreak/>
        <w:t>the investment process. The framework suggests that investors' trust in the investment decision process depends on the features of AI-powered financial advice such as personalisation, accessibility, perceived usefulness, accuracy, transparency and reliability. Meanwhile, other elements like trust, financial knowledge, privacy worries, and perceived threat influence investors' interpretation and implementation of AI-generated suggestions. The model draws on two theories, such as the TAM and Trust Theory, giving it a theoretical foundation that allows for an investigation of the impact of AI-based financial advice on the investment confidence of first-time investors in the UK.</w:t>
      </w:r>
    </w:p>
    <w:p w:rsidR="00EB6DA5" w:rsidRPr="00AE264E" w:rsidRDefault="00785E4B">
      <w:pPr>
        <w:pStyle w:val="Heading2"/>
        <w:rPr>
          <w:color w:val="000000" w:themeColor="text1"/>
        </w:rPr>
      </w:pPr>
      <w:bookmarkStart w:id="34" w:name="_Toc241178743"/>
      <w:r w:rsidRPr="00AE264E">
        <w:rPr>
          <w:color w:val="000000" w:themeColor="text1"/>
        </w:rPr>
        <w:t>2.11 Literature Gap</w:t>
      </w:r>
      <w:bookmarkEnd w:id="34"/>
    </w:p>
    <w:p w:rsidR="00EB6DA5" w:rsidRPr="00AE264E" w:rsidRDefault="00785E4B">
      <w:pPr>
        <w:rPr>
          <w:color w:val="000000" w:themeColor="text1"/>
        </w:rPr>
      </w:pPr>
      <w:r w:rsidRPr="00AE264E">
        <w:rPr>
          <w:color w:val="000000" w:themeColor="text1"/>
        </w:rPr>
        <w:t>The literature shows that AI-recommended financial suggestions have brought enhancements in accessibility and efficiency for investing, as well as obstacles to trust, transparency, and accuracy, in addition to privacy concerns. Several areas of research are still to be filled, however. Abundant literature is already available on the technological capabilities and the adoption of AI technologies in financial services, yet limited studies exist regarding how capabilities and technologies affect investment confidence, specifically from the perspective of first-time investors. Second, existing research has mainly focused on robo-advisors and algorithm-based platforms for financial investment, while ignoring relatively new tools like ChatGPT and other conversational AI tools. Third, numerous studies examine the adoption of AI within the financial sector as a whole rather than for first-time investors in the UK. Lastly, there has been minimal effort to combine and apply technology acceptance and trust constructs to understand the impact of AI-designed monetary recommendations on investment self-confidence. This tackles these deficiencies and investigates the effect of AI-made monetary recommendations on the financial self-confidence of novice investors in the UK.</w:t>
      </w:r>
    </w:p>
    <w:p w:rsidR="00EB6DA5" w:rsidRPr="00AE264E" w:rsidRDefault="00785E4B">
      <w:pPr>
        <w:pStyle w:val="Heading2"/>
        <w:rPr>
          <w:color w:val="000000" w:themeColor="text1"/>
        </w:rPr>
      </w:pPr>
      <w:bookmarkStart w:id="35" w:name="_Toc241178744"/>
      <w:r w:rsidRPr="00AE264E">
        <w:rPr>
          <w:color w:val="000000" w:themeColor="text1"/>
        </w:rPr>
        <w:t>2.12 Summary</w:t>
      </w:r>
      <w:bookmarkEnd w:id="35"/>
    </w:p>
    <w:p w:rsidR="00EB6DA5" w:rsidRPr="00AE264E" w:rsidRDefault="00785E4B">
      <w:pPr>
        <w:rPr>
          <w:color w:val="000000" w:themeColor="text1"/>
        </w:rPr>
      </w:pPr>
      <w:r w:rsidRPr="00AE264E">
        <w:rPr>
          <w:color w:val="000000" w:themeColor="text1"/>
        </w:rPr>
        <w:t>This chapter critically examined the current literature on the topic and examined how confident first-time investors have become with AI-generated financial investment guidance. Addressed the evolution of AI in financial services, the rise of AI-produced financial information, how financial services organizations are using AI, and investor trust. Additionally, it addressed the interplay between AI-driven financial recommendations and investor confidence while exploring some of the challenges and strategies of responsible AI usage. Moreover, the chapter provided a theoretical grounding for the study, namely TAM Trust theory, and important gaps in the literature were derived as a result. These conversations cover the full spectrum of a conceptual base for the research through examining the effects of AI-generated financial advice for real investors to increase investment confidence for first-time investors in the UK.</w:t>
      </w:r>
    </w:p>
    <w:p w:rsidR="00EB6DA5" w:rsidRPr="00AE264E" w:rsidRDefault="00785E4B">
      <w:pPr>
        <w:pStyle w:val="Heading1"/>
        <w:rPr>
          <w:color w:val="000000" w:themeColor="text1"/>
        </w:rPr>
      </w:pPr>
      <w:bookmarkStart w:id="36" w:name="_Toc241178745"/>
      <w:bookmarkStart w:id="37" w:name="_GoBack"/>
      <w:bookmarkEnd w:id="37"/>
      <w:r w:rsidRPr="00AE264E">
        <w:rPr>
          <w:color w:val="000000" w:themeColor="text1"/>
        </w:rPr>
        <w:lastRenderedPageBreak/>
        <w:t>Chapter 3: Methodology</w:t>
      </w:r>
      <w:bookmarkEnd w:id="36"/>
    </w:p>
    <w:p w:rsidR="00EB6DA5" w:rsidRPr="00AE264E" w:rsidRDefault="00785E4B">
      <w:pPr>
        <w:pStyle w:val="Heading2"/>
        <w:rPr>
          <w:color w:val="000000" w:themeColor="text1"/>
        </w:rPr>
      </w:pPr>
      <w:bookmarkStart w:id="38" w:name="_Toc241178746"/>
      <w:r w:rsidRPr="00AE264E">
        <w:rPr>
          <w:color w:val="000000" w:themeColor="text1"/>
        </w:rPr>
        <w:t>3.1 Introduction</w:t>
      </w:r>
      <w:bookmarkEnd w:id="38"/>
    </w:p>
    <w:p w:rsidR="00EB6DA5" w:rsidRPr="00AE264E" w:rsidRDefault="00785E4B">
      <w:pPr>
        <w:rPr>
          <w:color w:val="000000" w:themeColor="text1"/>
        </w:rPr>
      </w:pPr>
      <w:r w:rsidRPr="00AE264E">
        <w:rPr>
          <w:color w:val="000000" w:themeColor="text1"/>
        </w:rPr>
        <w:t>The methodological approach taken to examine the effects of AI-generated financial information on investors' confidence in investing for the first time in the UK is provided in this chapter. The study has utilised the research onion framework provided by Saunders to outline the methodological aspects in this study (Saunders, Lewis and Thornhill, 2007). These methodological decisions are linked with the research goals that seek to understand how first-time investors perceive and interpret AI-generated financial advice rather than establishing statistical correlation. The chapter also provides an explanation for the rationale of the selection of each methodological component, discusses the advantages of the selected methodological components, and justifies the coherence, credibility and consistency.</w:t>
      </w:r>
    </w:p>
    <w:p w:rsidR="00EB6DA5" w:rsidRPr="00AE264E" w:rsidRDefault="00785E4B">
      <w:pPr>
        <w:jc w:val="center"/>
        <w:rPr>
          <w:b/>
          <w:bCs/>
          <w:color w:val="000000" w:themeColor="text1"/>
        </w:rPr>
      </w:pPr>
      <w:r w:rsidRPr="00AE264E">
        <w:rPr>
          <w:b/>
          <w:bCs/>
          <w:noProof/>
          <w:color w:val="000000" w:themeColor="text1"/>
        </w:rPr>
        <w:drawing>
          <wp:inline distT="114300" distB="114300" distL="114300" distR="114300">
            <wp:extent cx="5348099" cy="3689282"/>
            <wp:effectExtent l="12700" t="12700" r="12700" b="1270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r="1993"/>
                    <a:stretch>
                      <a:fillRect/>
                    </a:stretch>
                  </pic:blipFill>
                  <pic:spPr>
                    <a:xfrm>
                      <a:off x="0" y="0"/>
                      <a:ext cx="5348099" cy="3689282"/>
                    </a:xfrm>
                    <a:prstGeom prst="rect">
                      <a:avLst/>
                    </a:prstGeom>
                    <a:ln w="12700">
                      <a:solidFill>
                        <a:srgbClr val="000000"/>
                      </a:solidFill>
                      <a:prstDash val="solid"/>
                    </a:ln>
                  </pic:spPr>
                </pic:pic>
              </a:graphicData>
            </a:graphic>
          </wp:inline>
        </w:drawing>
      </w:r>
    </w:p>
    <w:p w:rsidR="00EB6DA5" w:rsidRPr="00AE264E" w:rsidRDefault="00785E4B">
      <w:pPr>
        <w:pStyle w:val="Heading4"/>
        <w:rPr>
          <w:color w:val="000000" w:themeColor="text1"/>
        </w:rPr>
      </w:pPr>
      <w:bookmarkStart w:id="39" w:name="_heading=h.9pd51ax7vktz" w:colFirst="0" w:colLast="0"/>
      <w:bookmarkEnd w:id="39"/>
      <w:r w:rsidRPr="00AE264E">
        <w:rPr>
          <w:color w:val="000000" w:themeColor="text1"/>
        </w:rPr>
        <w:t>Figure 3.1: Research Onion</w:t>
      </w:r>
    </w:p>
    <w:p w:rsidR="00EB6DA5" w:rsidRPr="00AE264E" w:rsidRDefault="00785E4B">
      <w:pPr>
        <w:jc w:val="center"/>
        <w:rPr>
          <w:color w:val="000000" w:themeColor="text1"/>
        </w:rPr>
      </w:pPr>
      <w:r w:rsidRPr="00AE264E">
        <w:rPr>
          <w:color w:val="000000" w:themeColor="text1"/>
        </w:rPr>
        <w:t>(Source: Mbedzi, Poll and Poll, 2021)</w:t>
      </w:r>
    </w:p>
    <w:p w:rsidR="00EB6DA5" w:rsidRPr="00AE264E" w:rsidRDefault="00785E4B">
      <w:pPr>
        <w:pStyle w:val="Heading2"/>
        <w:rPr>
          <w:color w:val="000000" w:themeColor="text1"/>
        </w:rPr>
      </w:pPr>
      <w:bookmarkStart w:id="40" w:name="_Toc241178747"/>
      <w:r w:rsidRPr="00AE264E">
        <w:rPr>
          <w:color w:val="000000" w:themeColor="text1"/>
        </w:rPr>
        <w:t>3.2 Philosophy</w:t>
      </w:r>
      <w:bookmarkEnd w:id="40"/>
    </w:p>
    <w:p w:rsidR="00EB6DA5" w:rsidRPr="00AE264E" w:rsidRDefault="00785E4B">
      <w:pPr>
        <w:rPr>
          <w:color w:val="000000" w:themeColor="text1"/>
        </w:rPr>
      </w:pPr>
      <w:r w:rsidRPr="00AE264E">
        <w:rPr>
          <w:color w:val="000000" w:themeColor="text1"/>
        </w:rPr>
        <w:t xml:space="preserve">The interpretivism philosophy has been followed in this study to explore the influence of AI-generated financial advice on the investment confidence of new investors. The philosophy states that social reality is subjective and constructed intimately with the social experience, meaning, and interaction of people, avoiding being a unique, single objective truth (Fischer, 2025). Investment confidence is a psychological and behavioural phenomenon shaped by </w:t>
      </w:r>
      <w:r w:rsidRPr="00AE264E">
        <w:rPr>
          <w:color w:val="000000" w:themeColor="text1"/>
        </w:rPr>
        <w:lastRenderedPageBreak/>
        <w:t>investors' trust, risk, and technological acceptance, making it the most suitable philosophical concept to understand how first-time investors interpret AI-aided financial advice.</w:t>
      </w:r>
    </w:p>
    <w:p w:rsidR="00EB6DA5" w:rsidRPr="00AE264E" w:rsidRDefault="00785E4B">
      <w:pPr>
        <w:rPr>
          <w:color w:val="000000" w:themeColor="text1"/>
        </w:rPr>
      </w:pPr>
      <w:r w:rsidRPr="00AE264E">
        <w:rPr>
          <w:color w:val="000000" w:themeColor="text1"/>
        </w:rPr>
        <w:t xml:space="preserve">One of the primary strengths of interpretivism is the ability to give rich and contextual insights to explain complex social phenomena that cannot be captured with numerical measurement alone (Sanchez </w:t>
      </w:r>
      <w:r w:rsidRPr="00AE264E">
        <w:rPr>
          <w:i/>
          <w:iCs/>
          <w:color w:val="000000" w:themeColor="text1"/>
        </w:rPr>
        <w:t>et al.</w:t>
      </w:r>
      <w:r w:rsidRPr="00AE264E">
        <w:rPr>
          <w:color w:val="000000" w:themeColor="text1"/>
        </w:rPr>
        <w:t>, 2023). AI investment suggestions are deciphered differently based on investors' investment experience, digital financial platform trust, and the transparency of algorithms. Therefore, an interpretivist approach has allowed for further understanding of these 'subjective' experiences by consolidating the findings of the different qualitative literature searches and industry reports.</w:t>
      </w:r>
    </w:p>
    <w:p w:rsidR="00EB6DA5" w:rsidRPr="00AE264E" w:rsidRDefault="00785E4B">
      <w:pPr>
        <w:rPr>
          <w:color w:val="000000" w:themeColor="text1"/>
        </w:rPr>
      </w:pPr>
      <w:r w:rsidRPr="00AE264E">
        <w:rPr>
          <w:color w:val="000000" w:themeColor="text1"/>
        </w:rPr>
        <w:t>Other philosophies, such as positivism, have seemed to be less effective as it focuses on objective measurement and hypothesis testing, while pragmatism supports mixed-method research considering both qualitative and quantitative insights (Lim, 2023). Hence, the chosen philosophy has provided the most appropriate philosophical foundation, offering a detailed understanding of AI-generated financial advice shaping investment confidence among first-time investors in the United Kingdom (UK).</w:t>
      </w:r>
    </w:p>
    <w:p w:rsidR="00EB6DA5" w:rsidRPr="00AE264E" w:rsidRDefault="00785E4B">
      <w:pPr>
        <w:pStyle w:val="Heading2"/>
        <w:rPr>
          <w:color w:val="000000" w:themeColor="text1"/>
        </w:rPr>
      </w:pPr>
      <w:bookmarkStart w:id="41" w:name="_Toc241178748"/>
      <w:r w:rsidRPr="00AE264E">
        <w:rPr>
          <w:color w:val="000000" w:themeColor="text1"/>
        </w:rPr>
        <w:t>3.3 Approach</w:t>
      </w:r>
      <w:bookmarkEnd w:id="41"/>
    </w:p>
    <w:p w:rsidR="00EB6DA5" w:rsidRPr="00AE264E" w:rsidRDefault="00785E4B">
      <w:pPr>
        <w:rPr>
          <w:color w:val="000000" w:themeColor="text1"/>
        </w:rPr>
      </w:pPr>
      <w:r w:rsidRPr="00AE264E">
        <w:rPr>
          <w:color w:val="000000" w:themeColor="text1"/>
        </w:rPr>
        <w:t>In this dissertation, an inductive research approach has been taken into consideration to gather relevant pieces of information. In this approach, new concepts, ideas and generalizations are elaborated from observed evidence, patterns and observations, which differs from the testing of hypotheses (Kim, 2021). As AI-generated financial advice is a growing field of behavioural finance and financial technology (FinTech), an inductive approach is particularly appropriate to explore the existing evidence explaining changes in investment confidence among first-time investors in the UK.</w:t>
      </w:r>
    </w:p>
    <w:p w:rsidR="00EB6DA5" w:rsidRPr="00AE264E" w:rsidRDefault="00785E4B">
      <w:pPr>
        <w:rPr>
          <w:color w:val="000000" w:themeColor="text1"/>
        </w:rPr>
      </w:pPr>
      <w:r w:rsidRPr="00AE264E">
        <w:rPr>
          <w:color w:val="000000" w:themeColor="text1"/>
        </w:rPr>
        <w:t>A strength of the induction method is its use in exploring new phenomena for which theories are still evolving (Laari, 2025). Rather than imposing rigid assumptions, this approach helps to obtain recurring themes from previously conducted empirical investigations, regulatory reports and industry publications. The insights gained from these can then be pieced together inductively to create a deeper understanding of how AI affects investor confidence.</w:t>
      </w:r>
    </w:p>
    <w:p w:rsidR="00EB6DA5" w:rsidRPr="00AE264E" w:rsidRDefault="00785E4B">
      <w:pPr>
        <w:rPr>
          <w:color w:val="000000" w:themeColor="text1"/>
        </w:rPr>
      </w:pPr>
      <w:r w:rsidRPr="00AE264E">
        <w:rPr>
          <w:color w:val="000000" w:themeColor="text1"/>
        </w:rPr>
        <w:t>However, a deductive approach was deemed unfit since it aims at testing already established theories and hypotheses from quantitative data (Bucher, 2021). Since this dissertation intends to explore and interpret an emergent behaviour phenomenon by employing secondary qualitative evidence, an inductive approach was suitable for more flexibility in analysis and gaining richer insights. Therefore, the inductive approach was properly coupled to the research aims and enhances the methodological consistency of the research in the study.</w:t>
      </w:r>
    </w:p>
    <w:p w:rsidR="00EB6DA5" w:rsidRPr="00AE264E" w:rsidRDefault="00785E4B">
      <w:pPr>
        <w:pStyle w:val="Heading2"/>
        <w:rPr>
          <w:color w:val="000000" w:themeColor="text1"/>
        </w:rPr>
      </w:pPr>
      <w:bookmarkStart w:id="42" w:name="_Toc241178749"/>
      <w:r w:rsidRPr="00AE264E">
        <w:rPr>
          <w:color w:val="000000" w:themeColor="text1"/>
        </w:rPr>
        <w:lastRenderedPageBreak/>
        <w:t>3.4 Choice</w:t>
      </w:r>
      <w:bookmarkEnd w:id="42"/>
    </w:p>
    <w:p w:rsidR="00EB6DA5" w:rsidRPr="00AE264E" w:rsidRDefault="00785E4B">
      <w:pPr>
        <w:rPr>
          <w:color w:val="000000" w:themeColor="text1"/>
        </w:rPr>
      </w:pPr>
      <w:r w:rsidRPr="00AE264E">
        <w:rPr>
          <w:color w:val="000000" w:themeColor="text1"/>
        </w:rPr>
        <w:t>The study has utilised the mono-method qualitative research choice to find out the effect of AI-generated financial advice on investment confidence among first-timers in the UK. In a mono-method approach, the same research method is used for the entire duration of the study, thus ensuring consistency within the data collection, analysis and interpretation (Bracio and Szarucki, 2020).</w:t>
      </w:r>
    </w:p>
    <w:p w:rsidR="00EB6DA5" w:rsidRPr="00AE264E" w:rsidRDefault="00785E4B">
      <w:pPr>
        <w:rPr>
          <w:color w:val="000000" w:themeColor="text1"/>
        </w:rPr>
      </w:pPr>
      <w:r w:rsidRPr="00AE264E">
        <w:rPr>
          <w:color w:val="000000" w:themeColor="text1"/>
        </w:rPr>
        <w:t>The prime strengths of the mono-method (qualitative) research design are that it facilitates the generation of an understanding of complex behavioural and social phenomena in depth. Subjective factors like the confidence and credibility of AI algorithms, the financial literacy and personal attitudes toward technology innovation, influence investment confidence. At times, these factors may not be satisfactorily illustrated by a set of figures, making it essential to interpret qualitative insights gathered from academic sources. Thus, the chosen research voice was justified to provide a holistic understanding of the impact of AI-driven financial advice on investor trust across various environments.</w:t>
      </w:r>
    </w:p>
    <w:p w:rsidR="00EB6DA5" w:rsidRPr="00AE264E" w:rsidRDefault="00785E4B">
      <w:pPr>
        <w:rPr>
          <w:color w:val="000000" w:themeColor="text1"/>
        </w:rPr>
      </w:pPr>
      <w:r w:rsidRPr="00AE264E">
        <w:rPr>
          <w:color w:val="000000" w:themeColor="text1"/>
        </w:rPr>
        <w:t>In contrast, other research methods, such as mono-method quantitative research and mixed methods research, were deemed less appropriate. Mixed methods demand lots of primary data collection and a combination of qualitative and quantitative results, which goes beyond the scope of this dissertation (Liu, 2022). Similarly, a quantitative method would mainly quantify the interaction between variables and not be able to detect the subtle perceptions and experiences of confidence in investment. As a result, it became the best-suited and academically sound design to meet the purpose of the study.</w:t>
      </w:r>
    </w:p>
    <w:p w:rsidR="00EB6DA5" w:rsidRPr="00AE264E" w:rsidRDefault="00785E4B">
      <w:pPr>
        <w:pStyle w:val="Heading2"/>
        <w:rPr>
          <w:color w:val="000000" w:themeColor="text1"/>
        </w:rPr>
      </w:pPr>
      <w:bookmarkStart w:id="43" w:name="_Toc241178750"/>
      <w:r w:rsidRPr="00AE264E">
        <w:rPr>
          <w:color w:val="000000" w:themeColor="text1"/>
        </w:rPr>
        <w:t>3.5 Strategy</w:t>
      </w:r>
      <w:bookmarkEnd w:id="43"/>
    </w:p>
    <w:p w:rsidR="00EB6DA5" w:rsidRPr="00AE264E" w:rsidRDefault="00785E4B">
      <w:pPr>
        <w:rPr>
          <w:color w:val="000000" w:themeColor="text1"/>
        </w:rPr>
      </w:pPr>
      <w:r w:rsidRPr="00AE264E">
        <w:rPr>
          <w:color w:val="000000" w:themeColor="text1"/>
        </w:rPr>
        <w:t>The study has adopted an archival research strategy, which examines systematic and interpretive documents that exist, aimed at producing new knowledge. With qualitative research, the use of archival methods involves utilizing existing published academic papers, government documents, regulatory papers, policy documents, industry documents or other legitimate secondary sources to examine a research problem (Forde, 2022). Hence, this approach works well where there is enough good-quality evidence available and the aim is to summarise and integrate previous collective evidence instead of collecting primary evidence.</w:t>
      </w:r>
    </w:p>
    <w:p w:rsidR="00EB6DA5" w:rsidRPr="00AE264E" w:rsidRDefault="00785E4B">
      <w:pPr>
        <w:rPr>
          <w:color w:val="000000" w:themeColor="text1"/>
        </w:rPr>
      </w:pPr>
      <w:r w:rsidRPr="00AE264E">
        <w:rPr>
          <w:color w:val="000000" w:themeColor="text1"/>
        </w:rPr>
        <w:t xml:space="preserve">An archival strategy offers many benefits, including access to large amounts of data from reliable and authoritative sources, and it has fewer time, financial and logistical constraints as compared to the primary data collection strategy. In this context, archival data has been obtained from peer-reviewed journal articles and reports from reputable data sources. These sources have provided insight into the UK retail investors' appetite for investment advice </w:t>
      </w:r>
      <w:r w:rsidRPr="00AE264E">
        <w:rPr>
          <w:color w:val="000000" w:themeColor="text1"/>
        </w:rPr>
        <w:lastRenderedPageBreak/>
        <w:t>created by AI, investing behaviours, financial technology and on-the-ground confidence in investment decisions, strengthening the credibility of the findings of the research.</w:t>
      </w:r>
    </w:p>
    <w:p w:rsidR="00EB6DA5" w:rsidRPr="00AE264E" w:rsidRDefault="00785E4B">
      <w:pPr>
        <w:rPr>
          <w:color w:val="000000" w:themeColor="text1"/>
        </w:rPr>
      </w:pPr>
      <w:r w:rsidRPr="00AE264E">
        <w:rPr>
          <w:color w:val="000000" w:themeColor="text1"/>
        </w:rPr>
        <w:t xml:space="preserve">On the contrary, alternative research strategies such as surveys, interviews, case studies and experiments generally seek primary data collection from direct sources. These methods can provide original empirical evidence, yet require extensive time invested, financial resources, approval by ethics committees and recruitment of participants (Sun </w:t>
      </w:r>
      <w:r w:rsidRPr="00AE264E">
        <w:rPr>
          <w:i/>
          <w:iCs/>
          <w:color w:val="000000" w:themeColor="text1"/>
        </w:rPr>
        <w:t>et al.</w:t>
      </w:r>
      <w:r w:rsidRPr="00AE264E">
        <w:rPr>
          <w:color w:val="000000" w:themeColor="text1"/>
        </w:rPr>
        <w:t>, 2025). Thus, these strategies were less suitable for the type of research presented in this study, which required a critical interpretation and synthesis of already available qualitative evidence as opposed to new responses obtained from novice investors.</w:t>
      </w:r>
    </w:p>
    <w:p w:rsidR="00EB6DA5" w:rsidRPr="00AE264E" w:rsidRDefault="00785E4B">
      <w:pPr>
        <w:pStyle w:val="Heading2"/>
        <w:rPr>
          <w:color w:val="000000" w:themeColor="text1"/>
        </w:rPr>
      </w:pPr>
      <w:bookmarkStart w:id="44" w:name="_Toc241178751"/>
      <w:r w:rsidRPr="00AE264E">
        <w:rPr>
          <w:color w:val="000000" w:themeColor="text1"/>
        </w:rPr>
        <w:t>3.6 Time Horizon</w:t>
      </w:r>
      <w:bookmarkEnd w:id="44"/>
    </w:p>
    <w:p w:rsidR="00EB6DA5" w:rsidRPr="00AE264E" w:rsidRDefault="00785E4B">
      <w:pPr>
        <w:rPr>
          <w:color w:val="000000" w:themeColor="text1"/>
        </w:rPr>
      </w:pPr>
      <w:r w:rsidRPr="00AE264E">
        <w:rPr>
          <w:color w:val="000000" w:themeColor="text1"/>
        </w:rPr>
        <w:t>This research has followed a cross-sectional time horizon, in which data is gathered from varied sources at a particular period of time to see a present phenomenon. Rather than considering changes over extended periods, a cross-sectional study provides a comprehensive picture of the current state of knowledge through investigating current trends, patterns and relationships within a specific time frame (Wang and Cheng, 2020).</w:t>
      </w:r>
    </w:p>
    <w:p w:rsidR="00EB6DA5" w:rsidRPr="00AE264E" w:rsidRDefault="00785E4B">
      <w:pPr>
        <w:rPr>
          <w:color w:val="000000" w:themeColor="text1"/>
        </w:rPr>
      </w:pPr>
      <w:r w:rsidRPr="00AE264E">
        <w:rPr>
          <w:color w:val="000000" w:themeColor="text1"/>
        </w:rPr>
        <w:t>The most important benefit of a cross-sectional time horizon is that it encourages analysis of a relatively wide array of current research without having to wait for a lengthy data collection process. This method is especially well suited for research on emerging subjects like AI in the financial sector, where technological advances, regulations, and investor habits are constantly evolving. By analysing recent secondary sources of data, the study has captured the latest innovations in AI-driven financial advice, robo-advisory and investment trusts for UK first-time investors. The use of recent evidence has also improved the relevance and applicability to the contemporary financial environment.</w:t>
      </w:r>
    </w:p>
    <w:p w:rsidR="00EB6DA5" w:rsidRPr="00AE264E" w:rsidRDefault="00785E4B">
      <w:pPr>
        <w:rPr>
          <w:color w:val="000000" w:themeColor="text1"/>
        </w:rPr>
      </w:pPr>
      <w:r w:rsidRPr="00AE264E">
        <w:rPr>
          <w:color w:val="000000" w:themeColor="text1"/>
        </w:rPr>
        <w:t xml:space="preserve">The other time frame is the longitudinal approach, which examines the changes in the phenomenon over time by making repeated observations (Guerrero </w:t>
      </w:r>
      <w:r w:rsidRPr="00AE264E">
        <w:rPr>
          <w:i/>
          <w:iCs/>
          <w:color w:val="000000" w:themeColor="text1"/>
        </w:rPr>
        <w:t>et al.</w:t>
      </w:r>
      <w:r w:rsidRPr="00AE264E">
        <w:rPr>
          <w:color w:val="000000" w:themeColor="text1"/>
        </w:rPr>
        <w:t>, 2024). Although a longitudinal study can give rich data on how behavior changes and what long-term trends exist, it is a time-, money-, and data-intensive process. This has made this time horizon less suitable in the present dissertation, where the time frame is only a few years, and the data available is limited to secondary qualitative data.</w:t>
      </w:r>
    </w:p>
    <w:p w:rsidR="00EB6DA5" w:rsidRPr="00AE264E" w:rsidRDefault="00785E4B">
      <w:pPr>
        <w:rPr>
          <w:color w:val="000000" w:themeColor="text1"/>
        </w:rPr>
      </w:pPr>
      <w:r w:rsidRPr="00AE264E">
        <w:rPr>
          <w:color w:val="000000" w:themeColor="text1"/>
        </w:rPr>
        <w:t>Therefore, this method has offered a holistic, real-time understanding of the reasons behind heightened investment confidence in AI-fuelled financial advice for first-time investors in the UK.</w:t>
      </w:r>
    </w:p>
    <w:p w:rsidR="00EB6DA5" w:rsidRPr="00AE264E" w:rsidRDefault="00785E4B">
      <w:pPr>
        <w:pStyle w:val="Heading2"/>
        <w:rPr>
          <w:color w:val="000000" w:themeColor="text1"/>
        </w:rPr>
      </w:pPr>
      <w:bookmarkStart w:id="45" w:name="_Toc241178752"/>
      <w:r w:rsidRPr="00AE264E">
        <w:rPr>
          <w:color w:val="000000" w:themeColor="text1"/>
        </w:rPr>
        <w:lastRenderedPageBreak/>
        <w:t>3.7 Data Collection Method</w:t>
      </w:r>
      <w:bookmarkEnd w:id="45"/>
    </w:p>
    <w:p w:rsidR="00EB6DA5" w:rsidRPr="00AE264E" w:rsidRDefault="00785E4B">
      <w:pPr>
        <w:rPr>
          <w:color w:val="000000" w:themeColor="text1"/>
        </w:rPr>
      </w:pPr>
      <w:r w:rsidRPr="00AE264E">
        <w:rPr>
          <w:color w:val="000000" w:themeColor="text1"/>
        </w:rPr>
        <w:t xml:space="preserve">This study has used a secondary qualitative data collection method by collecting qualitative data from previously collected data from other researchers and trustworthy organisations. In the secondary data collection method, relevant pieces of information are collected indirectly from already established academic sources (Cheong </w:t>
      </w:r>
      <w:r w:rsidRPr="00AE264E">
        <w:rPr>
          <w:i/>
          <w:iCs/>
          <w:color w:val="000000" w:themeColor="text1"/>
        </w:rPr>
        <w:t>et al.</w:t>
      </w:r>
      <w:r w:rsidRPr="00AE264E">
        <w:rPr>
          <w:color w:val="000000" w:themeColor="text1"/>
        </w:rPr>
        <w:t xml:space="preserve">, 2023). Hence, it has synthesised existing data and evidence to gain a fuller understanding of the impact of AI-produced financial information and advice on the investment confidence of UK first-time investors. </w:t>
      </w:r>
    </w:p>
    <w:p w:rsidR="00EB6DA5" w:rsidRPr="00AE264E" w:rsidRDefault="00785E4B">
      <w:pPr>
        <w:rPr>
          <w:color w:val="000000" w:themeColor="text1"/>
        </w:rPr>
      </w:pPr>
      <w:r w:rsidRPr="00AE264E">
        <w:rPr>
          <w:color w:val="000000" w:themeColor="text1"/>
        </w:rPr>
        <w:t>One important benefit of using secondary qualitative data is that it gives much more substantial, credible and diverse evidence from many sources, allowing examination of a particular research problem from a variety of angles. Compared to the primary data collection method, the secondary method is cheaper, easily accessible and quicker to collect, enabling the incorporation of findings from large-scale studies (Kelly, Peters and Farber, 2024). Therefore, various peer-reviewed journal articles have been considered to collect data in this dissertation from authentic databases like Scopus, Web of Science, ScienceDirect, Emerald Insight, SpringerLink, and Taylor and Francis Online.</w:t>
      </w:r>
    </w:p>
    <w:tbl>
      <w:tblPr>
        <w:tblW w:w="9245"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43"/>
        <w:gridCol w:w="4451"/>
        <w:gridCol w:w="3251"/>
      </w:tblGrid>
      <w:tr w:rsidR="00EB6DA5" w:rsidRPr="00AE264E">
        <w:tc>
          <w:tcPr>
            <w:tcW w:w="1543" w:type="dxa"/>
          </w:tcPr>
          <w:p w:rsidR="00EB6DA5" w:rsidRPr="00AE264E" w:rsidRDefault="00785E4B">
            <w:pPr>
              <w:jc w:val="center"/>
              <w:rPr>
                <w:b/>
                <w:bCs/>
                <w:color w:val="000000" w:themeColor="text1"/>
              </w:rPr>
            </w:pPr>
            <w:r w:rsidRPr="00AE264E">
              <w:rPr>
                <w:b/>
                <w:bCs/>
                <w:color w:val="000000" w:themeColor="text1"/>
              </w:rPr>
              <w:t>Criteria</w:t>
            </w:r>
          </w:p>
        </w:tc>
        <w:tc>
          <w:tcPr>
            <w:tcW w:w="4451" w:type="dxa"/>
          </w:tcPr>
          <w:p w:rsidR="00EB6DA5" w:rsidRPr="00AE264E" w:rsidRDefault="00785E4B">
            <w:pPr>
              <w:jc w:val="center"/>
              <w:rPr>
                <w:b/>
                <w:bCs/>
                <w:color w:val="000000" w:themeColor="text1"/>
              </w:rPr>
            </w:pPr>
            <w:r w:rsidRPr="00AE264E">
              <w:rPr>
                <w:b/>
                <w:bCs/>
                <w:color w:val="000000" w:themeColor="text1"/>
              </w:rPr>
              <w:t>Inclusion</w:t>
            </w:r>
          </w:p>
        </w:tc>
        <w:tc>
          <w:tcPr>
            <w:tcW w:w="3251" w:type="dxa"/>
          </w:tcPr>
          <w:p w:rsidR="00EB6DA5" w:rsidRPr="00AE264E" w:rsidRDefault="00785E4B">
            <w:pPr>
              <w:jc w:val="center"/>
              <w:rPr>
                <w:b/>
                <w:bCs/>
                <w:color w:val="000000" w:themeColor="text1"/>
              </w:rPr>
            </w:pPr>
            <w:r w:rsidRPr="00AE264E">
              <w:rPr>
                <w:b/>
                <w:bCs/>
                <w:color w:val="000000" w:themeColor="text1"/>
              </w:rPr>
              <w:t>Exclusion</w:t>
            </w:r>
          </w:p>
        </w:tc>
      </w:tr>
      <w:tr w:rsidR="00EB6DA5" w:rsidRPr="00AE264E">
        <w:tc>
          <w:tcPr>
            <w:tcW w:w="1543" w:type="dxa"/>
          </w:tcPr>
          <w:p w:rsidR="00EB6DA5" w:rsidRPr="00AE264E" w:rsidRDefault="00785E4B">
            <w:pPr>
              <w:rPr>
                <w:i/>
                <w:iCs/>
                <w:color w:val="000000" w:themeColor="text1"/>
              </w:rPr>
            </w:pPr>
            <w:r w:rsidRPr="00AE264E">
              <w:rPr>
                <w:i/>
                <w:iCs/>
                <w:color w:val="000000" w:themeColor="text1"/>
              </w:rPr>
              <w:t>Publication year</w:t>
            </w:r>
          </w:p>
        </w:tc>
        <w:tc>
          <w:tcPr>
            <w:tcW w:w="4451" w:type="dxa"/>
          </w:tcPr>
          <w:p w:rsidR="00EB6DA5" w:rsidRPr="00AE264E" w:rsidRDefault="00785E4B">
            <w:pPr>
              <w:rPr>
                <w:color w:val="000000" w:themeColor="text1"/>
              </w:rPr>
            </w:pPr>
            <w:r w:rsidRPr="00AE264E">
              <w:rPr>
                <w:color w:val="000000" w:themeColor="text1"/>
              </w:rPr>
              <w:t>Studies published 2020–2026</w:t>
            </w:r>
          </w:p>
        </w:tc>
        <w:tc>
          <w:tcPr>
            <w:tcW w:w="3251" w:type="dxa"/>
          </w:tcPr>
          <w:p w:rsidR="00EB6DA5" w:rsidRPr="00AE264E" w:rsidRDefault="00785E4B">
            <w:pPr>
              <w:rPr>
                <w:color w:val="000000" w:themeColor="text1"/>
              </w:rPr>
            </w:pPr>
            <w:r w:rsidRPr="00AE264E">
              <w:rPr>
                <w:color w:val="000000" w:themeColor="text1"/>
              </w:rPr>
              <w:t>Studies before 2020</w:t>
            </w:r>
          </w:p>
        </w:tc>
      </w:tr>
      <w:tr w:rsidR="00EB6DA5" w:rsidRPr="00AE264E">
        <w:tc>
          <w:tcPr>
            <w:tcW w:w="1543" w:type="dxa"/>
          </w:tcPr>
          <w:p w:rsidR="00EB6DA5" w:rsidRPr="00AE264E" w:rsidRDefault="00785E4B">
            <w:pPr>
              <w:rPr>
                <w:i/>
                <w:iCs/>
                <w:color w:val="000000" w:themeColor="text1"/>
              </w:rPr>
            </w:pPr>
            <w:r w:rsidRPr="00AE264E">
              <w:rPr>
                <w:i/>
                <w:iCs/>
                <w:color w:val="000000" w:themeColor="text1"/>
              </w:rPr>
              <w:t>Language</w:t>
            </w:r>
          </w:p>
        </w:tc>
        <w:tc>
          <w:tcPr>
            <w:tcW w:w="4451" w:type="dxa"/>
          </w:tcPr>
          <w:p w:rsidR="00EB6DA5" w:rsidRPr="00AE264E" w:rsidRDefault="00785E4B">
            <w:pPr>
              <w:rPr>
                <w:color w:val="000000" w:themeColor="text1"/>
              </w:rPr>
            </w:pPr>
            <w:r w:rsidRPr="00AE264E">
              <w:rPr>
                <w:color w:val="000000" w:themeColor="text1"/>
              </w:rPr>
              <w:t>English-language studies</w:t>
            </w:r>
          </w:p>
        </w:tc>
        <w:tc>
          <w:tcPr>
            <w:tcW w:w="3251" w:type="dxa"/>
          </w:tcPr>
          <w:p w:rsidR="00EB6DA5" w:rsidRPr="00AE264E" w:rsidRDefault="00785E4B">
            <w:pPr>
              <w:rPr>
                <w:color w:val="000000" w:themeColor="text1"/>
              </w:rPr>
            </w:pPr>
            <w:r w:rsidRPr="00AE264E">
              <w:rPr>
                <w:color w:val="000000" w:themeColor="text1"/>
              </w:rPr>
              <w:t>Non-English studies</w:t>
            </w:r>
          </w:p>
        </w:tc>
      </w:tr>
      <w:tr w:rsidR="00EB6DA5" w:rsidRPr="00AE264E">
        <w:tc>
          <w:tcPr>
            <w:tcW w:w="1543" w:type="dxa"/>
          </w:tcPr>
          <w:p w:rsidR="00EB6DA5" w:rsidRPr="00AE264E" w:rsidRDefault="00785E4B">
            <w:pPr>
              <w:rPr>
                <w:i/>
                <w:iCs/>
                <w:color w:val="000000" w:themeColor="text1"/>
              </w:rPr>
            </w:pPr>
            <w:r w:rsidRPr="00AE264E">
              <w:rPr>
                <w:i/>
                <w:iCs/>
                <w:color w:val="000000" w:themeColor="text1"/>
              </w:rPr>
              <w:t>Source type</w:t>
            </w:r>
          </w:p>
        </w:tc>
        <w:tc>
          <w:tcPr>
            <w:tcW w:w="4451" w:type="dxa"/>
          </w:tcPr>
          <w:p w:rsidR="00EB6DA5" w:rsidRPr="00AE264E" w:rsidRDefault="00785E4B">
            <w:pPr>
              <w:rPr>
                <w:color w:val="000000" w:themeColor="text1"/>
              </w:rPr>
            </w:pPr>
            <w:r w:rsidRPr="00AE264E">
              <w:rPr>
                <w:color w:val="000000" w:themeColor="text1"/>
              </w:rPr>
              <w:t>Articles from peer-review journals and authoritative reports.</w:t>
            </w:r>
          </w:p>
        </w:tc>
        <w:tc>
          <w:tcPr>
            <w:tcW w:w="3251" w:type="dxa"/>
          </w:tcPr>
          <w:p w:rsidR="00EB6DA5" w:rsidRPr="00AE264E" w:rsidRDefault="00785E4B">
            <w:pPr>
              <w:rPr>
                <w:color w:val="000000" w:themeColor="text1"/>
              </w:rPr>
            </w:pPr>
            <w:r w:rsidRPr="00AE264E">
              <w:rPr>
                <w:color w:val="000000" w:themeColor="text1"/>
              </w:rPr>
              <w:t>Blogs, opinions and promotional sources</w:t>
            </w:r>
          </w:p>
        </w:tc>
      </w:tr>
      <w:tr w:rsidR="00EB6DA5" w:rsidRPr="00AE264E">
        <w:tc>
          <w:tcPr>
            <w:tcW w:w="1543" w:type="dxa"/>
          </w:tcPr>
          <w:p w:rsidR="00EB6DA5" w:rsidRPr="00AE264E" w:rsidRDefault="00785E4B">
            <w:pPr>
              <w:rPr>
                <w:i/>
                <w:iCs/>
                <w:color w:val="000000" w:themeColor="text1"/>
              </w:rPr>
            </w:pPr>
            <w:r w:rsidRPr="00AE264E">
              <w:rPr>
                <w:i/>
                <w:iCs/>
                <w:color w:val="000000" w:themeColor="text1"/>
              </w:rPr>
              <w:t>Topic</w:t>
            </w:r>
          </w:p>
        </w:tc>
        <w:tc>
          <w:tcPr>
            <w:tcW w:w="4451" w:type="dxa"/>
          </w:tcPr>
          <w:p w:rsidR="00EB6DA5" w:rsidRPr="00AE264E" w:rsidRDefault="00785E4B">
            <w:pPr>
              <w:rPr>
                <w:color w:val="000000" w:themeColor="text1"/>
              </w:rPr>
            </w:pPr>
            <w:r w:rsidRPr="00AE264E">
              <w:rPr>
                <w:color w:val="000000" w:themeColor="text1"/>
              </w:rPr>
              <w:t>Driven by technology, AI gives advices, builds trust and stimulates investment confidence.</w:t>
            </w:r>
          </w:p>
        </w:tc>
        <w:tc>
          <w:tcPr>
            <w:tcW w:w="3251" w:type="dxa"/>
          </w:tcPr>
          <w:p w:rsidR="00EB6DA5" w:rsidRPr="00AE264E" w:rsidRDefault="00785E4B">
            <w:pPr>
              <w:rPr>
                <w:color w:val="000000" w:themeColor="text1"/>
              </w:rPr>
            </w:pPr>
            <w:r w:rsidRPr="00AE264E">
              <w:rPr>
                <w:color w:val="000000" w:themeColor="text1"/>
              </w:rPr>
              <w:t>Unrelated AI/finance studies</w:t>
            </w:r>
          </w:p>
        </w:tc>
      </w:tr>
      <w:tr w:rsidR="00EB6DA5" w:rsidRPr="00AE264E">
        <w:tc>
          <w:tcPr>
            <w:tcW w:w="1543" w:type="dxa"/>
          </w:tcPr>
          <w:p w:rsidR="00EB6DA5" w:rsidRPr="00AE264E" w:rsidRDefault="00785E4B">
            <w:pPr>
              <w:rPr>
                <w:i/>
                <w:iCs/>
                <w:color w:val="000000" w:themeColor="text1"/>
              </w:rPr>
            </w:pPr>
            <w:r w:rsidRPr="00AE264E">
              <w:rPr>
                <w:i/>
                <w:iCs/>
                <w:color w:val="000000" w:themeColor="text1"/>
              </w:rPr>
              <w:t>Context</w:t>
            </w:r>
          </w:p>
        </w:tc>
        <w:tc>
          <w:tcPr>
            <w:tcW w:w="4451" w:type="dxa"/>
          </w:tcPr>
          <w:p w:rsidR="00EB6DA5" w:rsidRPr="00AE264E" w:rsidRDefault="00785E4B">
            <w:pPr>
              <w:rPr>
                <w:color w:val="000000" w:themeColor="text1"/>
              </w:rPr>
            </w:pPr>
            <w:r w:rsidRPr="00AE264E">
              <w:rPr>
                <w:color w:val="000000" w:themeColor="text1"/>
              </w:rPr>
              <w:t>First-time Investors, especially UK investors.</w:t>
            </w:r>
          </w:p>
        </w:tc>
        <w:tc>
          <w:tcPr>
            <w:tcW w:w="3251" w:type="dxa"/>
          </w:tcPr>
          <w:p w:rsidR="00EB6DA5" w:rsidRPr="00AE264E" w:rsidRDefault="00785E4B">
            <w:pPr>
              <w:rPr>
                <w:color w:val="000000" w:themeColor="text1"/>
              </w:rPr>
            </w:pPr>
            <w:r w:rsidRPr="00AE264E">
              <w:rPr>
                <w:color w:val="000000" w:themeColor="text1"/>
              </w:rPr>
              <w:t>Unrelated populations/contexts</w:t>
            </w:r>
          </w:p>
        </w:tc>
      </w:tr>
      <w:tr w:rsidR="00EB6DA5" w:rsidRPr="00AE264E">
        <w:tc>
          <w:tcPr>
            <w:tcW w:w="1543" w:type="dxa"/>
          </w:tcPr>
          <w:p w:rsidR="00EB6DA5" w:rsidRPr="00AE264E" w:rsidRDefault="00785E4B">
            <w:pPr>
              <w:rPr>
                <w:i/>
                <w:iCs/>
                <w:color w:val="000000" w:themeColor="text1"/>
              </w:rPr>
            </w:pPr>
            <w:r w:rsidRPr="00AE264E">
              <w:rPr>
                <w:i/>
                <w:iCs/>
                <w:color w:val="000000" w:themeColor="text1"/>
              </w:rPr>
              <w:t>Quality</w:t>
            </w:r>
          </w:p>
        </w:tc>
        <w:tc>
          <w:tcPr>
            <w:tcW w:w="4451" w:type="dxa"/>
          </w:tcPr>
          <w:p w:rsidR="00EB6DA5" w:rsidRPr="00AE264E" w:rsidRDefault="00785E4B">
            <w:pPr>
              <w:rPr>
                <w:color w:val="000000" w:themeColor="text1"/>
              </w:rPr>
            </w:pPr>
            <w:r w:rsidRPr="00AE264E">
              <w:rPr>
                <w:color w:val="000000" w:themeColor="text1"/>
              </w:rPr>
              <w:t>Well-developed methodology, authorship and publication information.</w:t>
            </w:r>
          </w:p>
        </w:tc>
        <w:tc>
          <w:tcPr>
            <w:tcW w:w="3251" w:type="dxa"/>
          </w:tcPr>
          <w:p w:rsidR="00EB6DA5" w:rsidRPr="00AE264E" w:rsidRDefault="00785E4B">
            <w:pPr>
              <w:rPr>
                <w:color w:val="000000" w:themeColor="text1"/>
              </w:rPr>
            </w:pPr>
            <w:r w:rsidRPr="00AE264E">
              <w:rPr>
                <w:color w:val="000000" w:themeColor="text1"/>
              </w:rPr>
              <w:t>Sources with little documentation or verification</w:t>
            </w:r>
          </w:p>
        </w:tc>
      </w:tr>
      <w:tr w:rsidR="00EB6DA5" w:rsidRPr="00AE264E">
        <w:tc>
          <w:tcPr>
            <w:tcW w:w="1543" w:type="dxa"/>
          </w:tcPr>
          <w:p w:rsidR="00EB6DA5" w:rsidRPr="00AE264E" w:rsidRDefault="00785E4B">
            <w:pPr>
              <w:rPr>
                <w:i/>
                <w:iCs/>
                <w:color w:val="000000" w:themeColor="text1"/>
              </w:rPr>
            </w:pPr>
            <w:r w:rsidRPr="00AE264E">
              <w:rPr>
                <w:i/>
                <w:iCs/>
                <w:color w:val="000000" w:themeColor="text1"/>
              </w:rPr>
              <w:t>Duplication</w:t>
            </w:r>
          </w:p>
        </w:tc>
        <w:tc>
          <w:tcPr>
            <w:tcW w:w="4451" w:type="dxa"/>
          </w:tcPr>
          <w:p w:rsidR="00EB6DA5" w:rsidRPr="00AE264E" w:rsidRDefault="00785E4B">
            <w:pPr>
              <w:rPr>
                <w:color w:val="000000" w:themeColor="text1"/>
              </w:rPr>
            </w:pPr>
            <w:r w:rsidRPr="00AE264E">
              <w:rPr>
                <w:color w:val="000000" w:themeColor="text1"/>
              </w:rPr>
              <w:t>Unique, complete sources</w:t>
            </w:r>
          </w:p>
        </w:tc>
        <w:tc>
          <w:tcPr>
            <w:tcW w:w="3251" w:type="dxa"/>
          </w:tcPr>
          <w:p w:rsidR="00EB6DA5" w:rsidRPr="00AE264E" w:rsidRDefault="00785E4B">
            <w:pPr>
              <w:rPr>
                <w:color w:val="000000" w:themeColor="text1"/>
              </w:rPr>
            </w:pPr>
            <w:r w:rsidRPr="00AE264E">
              <w:rPr>
                <w:color w:val="000000" w:themeColor="text1"/>
              </w:rPr>
              <w:t>Duplicate studies/records</w:t>
            </w:r>
          </w:p>
        </w:tc>
      </w:tr>
    </w:tbl>
    <w:p w:rsidR="00EB6DA5" w:rsidRPr="00AE264E" w:rsidRDefault="00785E4B">
      <w:pPr>
        <w:pStyle w:val="Heading5"/>
        <w:rPr>
          <w:color w:val="000000" w:themeColor="text1"/>
        </w:rPr>
      </w:pPr>
      <w:bookmarkStart w:id="46" w:name="_heading=h.21uomnwgutk0" w:colFirst="0" w:colLast="0"/>
      <w:bookmarkEnd w:id="46"/>
      <w:r w:rsidRPr="00AE264E">
        <w:rPr>
          <w:color w:val="000000" w:themeColor="text1"/>
        </w:rPr>
        <w:t>Table 3.1: Exclusion and Inclusion Criteria</w:t>
      </w:r>
    </w:p>
    <w:p w:rsidR="00EB6DA5" w:rsidRPr="00AE264E" w:rsidRDefault="00785E4B">
      <w:pPr>
        <w:jc w:val="center"/>
        <w:rPr>
          <w:color w:val="000000" w:themeColor="text1"/>
        </w:rPr>
      </w:pPr>
      <w:r w:rsidRPr="00AE264E">
        <w:rPr>
          <w:color w:val="000000" w:themeColor="text1"/>
        </w:rPr>
        <w:t>(Source: Self-developed)</w:t>
      </w:r>
    </w:p>
    <w:p w:rsidR="00EB6DA5" w:rsidRPr="00AE264E" w:rsidRDefault="00785E4B">
      <w:pPr>
        <w:jc w:val="center"/>
        <w:rPr>
          <w:color w:val="000000" w:themeColor="text1"/>
        </w:rPr>
      </w:pPr>
      <w:r w:rsidRPr="00AE264E">
        <w:rPr>
          <w:color w:val="000000" w:themeColor="text1"/>
        </w:rPr>
        <w:tab/>
      </w:r>
      <w:r w:rsidRPr="00AE264E">
        <w:rPr>
          <w:color w:val="000000" w:themeColor="text1"/>
        </w:rPr>
        <w:tab/>
      </w:r>
    </w:p>
    <w:p w:rsidR="00EB6DA5" w:rsidRPr="00AE264E" w:rsidRDefault="00785E4B">
      <w:pPr>
        <w:rPr>
          <w:color w:val="000000" w:themeColor="text1"/>
        </w:rPr>
      </w:pPr>
      <w:r w:rsidRPr="00AE264E">
        <w:rPr>
          <w:color w:val="000000" w:themeColor="text1"/>
        </w:rPr>
        <w:lastRenderedPageBreak/>
        <w:t>Inclusion and exclusion criteria have been used to make sure that the data collected were reliable and relevant. The inclusion criteria considered studies published between 2020 and 2026 only in the English language, to capture the fast-paced evolution of generative AI and its impact on financial advisory services. Peer-reviewed journal articles with proper DOI numbers, authors' names, publishers' names and publication dates were considered for gathering information. On the other hand, papers published before the year 2020 in any other regional languages with improper information were excluded from this research. Consequently, non-peer-reviewed journal articles, blogs, opinion pieces, and studies that have been published multiple times and lack methodology were ignored to maintain academic quality and limit bias.</w:t>
      </w:r>
    </w:p>
    <w:p w:rsidR="00EB6DA5" w:rsidRPr="00AE264E" w:rsidRDefault="00785E4B">
      <w:pPr>
        <w:rPr>
          <w:color w:val="000000" w:themeColor="text1"/>
        </w:rPr>
      </w:pPr>
      <w:r w:rsidRPr="00AE264E">
        <w:rPr>
          <w:color w:val="000000" w:themeColor="text1"/>
        </w:rPr>
        <w:t>On the other hand, primary qualitative methods, like interviews and focus groups, offer fresh insights from the perspective of the participants, yet involve risks related to ethical biases as they include participant recruitment (Irvine, 2023). These aspects made it less suited for the current study, which aims to work towards synthesizing and interpreting prior knowledge. So, the second qualitative data collection method has been the best method to be used through a comprehensive and evidence-based examination of the impact of AI financial advice on first-time investors' investment confidence in the UK.</w:t>
      </w:r>
    </w:p>
    <w:p w:rsidR="00EB6DA5" w:rsidRPr="00AE264E" w:rsidRDefault="00785E4B">
      <w:pPr>
        <w:pStyle w:val="Heading2"/>
        <w:rPr>
          <w:color w:val="000000" w:themeColor="text1"/>
        </w:rPr>
      </w:pPr>
      <w:bookmarkStart w:id="47" w:name="_Toc241178753"/>
      <w:r w:rsidRPr="00AE264E">
        <w:rPr>
          <w:color w:val="000000" w:themeColor="text1"/>
        </w:rPr>
        <w:t>3.8 Data Analysis Technique</w:t>
      </w:r>
      <w:bookmarkEnd w:id="47"/>
    </w:p>
    <w:p w:rsidR="00EB6DA5" w:rsidRPr="00AE264E" w:rsidRDefault="00785E4B">
      <w:pPr>
        <w:rPr>
          <w:color w:val="000000" w:themeColor="text1"/>
        </w:rPr>
      </w:pPr>
      <w:r w:rsidRPr="00AE264E">
        <w:rPr>
          <w:color w:val="000000" w:themeColor="text1"/>
        </w:rPr>
        <w:t xml:space="preserve">This study has employed a thematic data analysis technique to systematically organise, interpret, and spot meaningful insights from the data collected. Thematic analysis is a widely used qualitative analysis technique, which involves finding and developing patterns, or themes, within the textual evidence (Ahmed </w:t>
      </w:r>
      <w:r w:rsidRPr="00AE264E">
        <w:rPr>
          <w:i/>
          <w:iCs/>
          <w:color w:val="000000" w:themeColor="text1"/>
        </w:rPr>
        <w:t>et al.</w:t>
      </w:r>
      <w:r w:rsidRPr="00AE264E">
        <w:rPr>
          <w:color w:val="000000" w:themeColor="text1"/>
        </w:rPr>
        <w:t>, 2025). Thematic analysis is especially suited to considering secondary qualitative research, allowing for the integration of the findings of any number of academic investigations and professional reports, while maintaining the context of the evidence.</w:t>
      </w:r>
    </w:p>
    <w:p w:rsidR="00EB6DA5" w:rsidRPr="00AE264E" w:rsidRDefault="00785E4B">
      <w:pPr>
        <w:rPr>
          <w:color w:val="000000" w:themeColor="text1"/>
        </w:rPr>
      </w:pPr>
      <w:r w:rsidRPr="00AE264E">
        <w:rPr>
          <w:color w:val="000000" w:themeColor="text1"/>
        </w:rPr>
        <w:t>One of the major benefits of using thematic analysis is its flexibility and capability of analysing complex behavioural phenomena without the restriction of being limited to previously assumed theories (Braun and Clarke, 2022). Hence, this analysis technique has facilitated the identification of any reported patterns in the themes of financial advice and investment confidence around AI-generated advice among first-time investors in the UK. The potential themes included trust in AI suggestions, the accuracy and reliability of AI-driven financial advice, algorithmic transparency, financial education and literacy, risk perception, the acceptance of technology, and ethical considerations like data privacy and algorithmic bias. Themes have grown out of the repeated investigation of selected literature and have not been imposed in advance of investigation.</w:t>
      </w:r>
    </w:p>
    <w:p w:rsidR="00EB6DA5" w:rsidRPr="00AE264E" w:rsidRDefault="00785E4B">
      <w:pPr>
        <w:rPr>
          <w:color w:val="000000" w:themeColor="text1"/>
        </w:rPr>
      </w:pPr>
      <w:r w:rsidRPr="00AE264E">
        <w:rPr>
          <w:color w:val="000000" w:themeColor="text1"/>
        </w:rPr>
        <w:lastRenderedPageBreak/>
        <w:t>The six-stage framework proposed by Braun and Clarke has been followed to guide the analytical process (Braun and Clarke, 2006). The process started with the familiarisation of the gathered data and coding as per their meaning and relevance to the research objectives. Broadly similar codes were grouped into themes and were considered, developed and clearly defined prior to interpretation of their meaning in relation to the study. This was a systematic method in which increased analytical clarity, consistency and credibility of findings could be achieved.</w:t>
      </w:r>
    </w:p>
    <w:p w:rsidR="00EB6DA5" w:rsidRPr="00AE264E" w:rsidRDefault="00785E4B">
      <w:pPr>
        <w:rPr>
          <w:color w:val="000000" w:themeColor="text1"/>
        </w:rPr>
      </w:pPr>
      <w:r w:rsidRPr="00AE264E">
        <w:rPr>
          <w:color w:val="000000" w:themeColor="text1"/>
        </w:rPr>
        <w:t>On the contrary, alternative data analysis techniques, like content analysis, meta-analysis, or statistical modeling, were less suitable. Content analysis mainly analyses the content of texts, while meta-analysis entails a comparable quantitative data set, making them less appropriate for this study (). Therefore, thematic analysis was proven to be the best method for analysing qualitative data and constructing a broad understanding of the impact of financial advice given based on AI on new investors' confidence in the UK.</w:t>
      </w:r>
    </w:p>
    <w:p w:rsidR="00EB6DA5" w:rsidRPr="00AE264E" w:rsidRDefault="00785E4B">
      <w:pPr>
        <w:pStyle w:val="Heading2"/>
        <w:rPr>
          <w:color w:val="000000" w:themeColor="text1"/>
        </w:rPr>
      </w:pPr>
      <w:bookmarkStart w:id="48" w:name="_Toc241178754"/>
      <w:r w:rsidRPr="00AE264E">
        <w:rPr>
          <w:color w:val="000000" w:themeColor="text1"/>
        </w:rPr>
        <w:t>3.9 Ethical Considerations</w:t>
      </w:r>
      <w:bookmarkEnd w:id="48"/>
    </w:p>
    <w:p w:rsidR="00EB6DA5" w:rsidRPr="00AE264E" w:rsidRDefault="00785E4B">
      <w:pPr>
        <w:rPr>
          <w:color w:val="000000" w:themeColor="text1"/>
        </w:rPr>
      </w:pPr>
      <w:r w:rsidRPr="00AE264E">
        <w:rPr>
          <w:color w:val="000000" w:themeColor="text1"/>
        </w:rPr>
        <w:t>The study has maintained all the ethical standards and guidelines provided by the university to maintain the quality and authenticity of the research. Since this dissertation study was entirely based on secondary qualitative data, there was no involvement with human participants, resulting in no risk of risks for informed consent issues, participant confidentiality and physical and psychological harm. Nevertheless, ethical standards remained a necessary part of research to address the validity of the research findings.</w:t>
      </w:r>
    </w:p>
    <w:p w:rsidR="00EB6DA5" w:rsidRPr="00AE264E" w:rsidRDefault="00785E4B">
      <w:pPr>
        <w:rPr>
          <w:color w:val="000000" w:themeColor="text1"/>
        </w:rPr>
      </w:pPr>
      <w:r w:rsidRPr="00AE264E">
        <w:rPr>
          <w:color w:val="000000" w:themeColor="text1"/>
        </w:rPr>
        <w:t>It has followed the principles of the General Data Protection and Regulation (GDPR) and avoided any kind of data manipulation as well as data commercialisation. All ideas, facts and concepts from peer-reviewed journal articles, books and institutional publications have been properly referenced in the Harvard style, avoiding plagiarism and intellectual property rights issues. Only reputable and accessible data from academic databases and reputable institutions have been collected in this study. The collected pieces of information were securely stored in the university folder with a strong password and will be deleted after the completion of the research. Moreover, a critical evaluation of the quality, relevance and potential bias of each source before inclusion was considered to ensure balanced interpretation.</w:t>
      </w:r>
    </w:p>
    <w:p w:rsidR="00EB6DA5" w:rsidRPr="00AE264E" w:rsidRDefault="00785E4B">
      <w:pPr>
        <w:pStyle w:val="Heading2"/>
        <w:rPr>
          <w:color w:val="000000" w:themeColor="text1"/>
        </w:rPr>
      </w:pPr>
      <w:bookmarkStart w:id="49" w:name="_Toc241178755"/>
      <w:r w:rsidRPr="00AE264E">
        <w:rPr>
          <w:color w:val="000000" w:themeColor="text1"/>
        </w:rPr>
        <w:t>3.10 Summary</w:t>
      </w:r>
      <w:bookmarkEnd w:id="49"/>
    </w:p>
    <w:p w:rsidR="00EB6DA5" w:rsidRPr="00AE264E" w:rsidRDefault="00785E4B">
      <w:pPr>
        <w:rPr>
          <w:color w:val="000000" w:themeColor="text1"/>
        </w:rPr>
      </w:pPr>
      <w:r w:rsidRPr="00AE264E">
        <w:rPr>
          <w:color w:val="000000" w:themeColor="text1"/>
        </w:rPr>
        <w:t xml:space="preserve">In this chapter, the methodological approach taken to explore the impact of AI-financial advice on the resilience of first-time investors in the UK has been outlined. An interpretivist philosophy was chosen to discuss subjective perceptions of behavior and a bottom-up (inductive) approach was used to provide the foundation for the insights to build from. Methodologically consistent and relevant to the modern financial market situation in the UK, </w:t>
      </w:r>
      <w:r w:rsidRPr="00AE264E">
        <w:rPr>
          <w:color w:val="000000" w:themeColor="text1"/>
        </w:rPr>
        <w:lastRenderedPageBreak/>
        <w:t>the study was of a mono-method qualitative study type and based on an archival research strategy design. The insights were gained from secondary qualitative sources including peer-reviewed journal articles and reports from reputable academic, regulatory and industry organizations. Primary data were analysed thematically, applying the thematic Analysis approach developed by Braun &amp; Clarke, a systematic method which was developed to highlight key themes/patterns. Finally, matters of integrity, transparency, objectivity and referencing have been adhered to throughout the research. All the methodological patterns together have provided good and solid foundations for the research to reach the objectives and goal, thus making the research study valid and legitimate.</w:t>
      </w:r>
      <w:r w:rsidRPr="00AE264E">
        <w:rPr>
          <w:color w:val="000000" w:themeColor="text1"/>
        </w:rPr>
        <w:br w:type="page"/>
      </w:r>
    </w:p>
    <w:p w:rsidR="00EB6DA5" w:rsidRPr="00AE264E" w:rsidRDefault="00785E4B">
      <w:pPr>
        <w:pStyle w:val="Heading1"/>
        <w:rPr>
          <w:color w:val="000000" w:themeColor="text1"/>
        </w:rPr>
      </w:pPr>
      <w:bookmarkStart w:id="50" w:name="_Toc241178756"/>
      <w:r w:rsidRPr="00AE264E">
        <w:rPr>
          <w:color w:val="000000" w:themeColor="text1"/>
        </w:rPr>
        <w:lastRenderedPageBreak/>
        <w:t>Chapter 4: Findings and Discussion</w:t>
      </w:r>
      <w:bookmarkEnd w:id="50"/>
    </w:p>
    <w:p w:rsidR="00EB6DA5" w:rsidRPr="00AE264E" w:rsidRDefault="00785E4B">
      <w:pPr>
        <w:pStyle w:val="Heading2"/>
        <w:rPr>
          <w:color w:val="000000" w:themeColor="text1"/>
        </w:rPr>
      </w:pPr>
      <w:bookmarkStart w:id="51" w:name="_Toc241178757"/>
      <w:r w:rsidRPr="00AE264E">
        <w:rPr>
          <w:color w:val="000000" w:themeColor="text1"/>
        </w:rPr>
        <w:t>4.1 Introduction</w:t>
      </w:r>
      <w:bookmarkEnd w:id="51"/>
    </w:p>
    <w:p w:rsidR="00EB6DA5" w:rsidRPr="00AE264E" w:rsidRDefault="00785E4B">
      <w:pPr>
        <w:rPr>
          <w:color w:val="000000" w:themeColor="text1"/>
        </w:rPr>
      </w:pPr>
      <w:r w:rsidRPr="00AE264E">
        <w:rPr>
          <w:color w:val="000000" w:themeColor="text1"/>
        </w:rPr>
        <w:t>The findings obtained using thematic analysis of the selected secondary literature on AI-driven financial advice and first-time investors' trust in investing in the United Kingdom are presented and discussed in this chapter. The analysis is done along the four research goals set in Chapter 1 and the methodological perspective in Chapter 3. The code from 12 peer-reviewed studies was grouped under four general themes, considering the emerging adoption of AI-powered financial advice, trust building around AI competence, transparency and investor capability, and responsible AI accounting. The results are then analyzed in relation to the literature analysed in Chapter 2 and findings achieved from the thematic analysis.</w:t>
      </w:r>
    </w:p>
    <w:p w:rsidR="00EB6DA5" w:rsidRPr="00AE264E" w:rsidRDefault="00785E4B">
      <w:pPr>
        <w:pStyle w:val="Heading2"/>
        <w:rPr>
          <w:rFonts w:ascii="Arial" w:eastAsia="Arial" w:hAnsi="Arial" w:cs="Arial"/>
          <w:color w:val="000000" w:themeColor="text1"/>
        </w:rPr>
      </w:pPr>
      <w:bookmarkStart w:id="52" w:name="_Toc241178758"/>
      <w:r w:rsidRPr="00AE264E">
        <w:rPr>
          <w:color w:val="000000" w:themeColor="text1"/>
        </w:rPr>
        <w:t>4.2 Thematic Analysis</w:t>
      </w:r>
      <w:bookmarkEnd w:id="52"/>
    </w:p>
    <w:p w:rsidR="00EB6DA5" w:rsidRPr="00AE264E" w:rsidRDefault="00785E4B">
      <w:pPr>
        <w:pStyle w:val="Heading3"/>
        <w:rPr>
          <w:color w:val="000000" w:themeColor="text1"/>
        </w:rPr>
      </w:pPr>
      <w:bookmarkStart w:id="53" w:name="_heading=h.1iabum8bni3l" w:colFirst="0" w:colLast="0"/>
      <w:bookmarkStart w:id="54" w:name="_Toc241178759"/>
      <w:bookmarkEnd w:id="53"/>
      <w:r w:rsidRPr="00AE264E">
        <w:rPr>
          <w:color w:val="000000" w:themeColor="text1"/>
        </w:rPr>
        <w:t>4.2.1 Theme 1: Emerging adoption of AI-enabled financial advice and investment services</w:t>
      </w:r>
      <w:bookmarkEnd w:id="54"/>
    </w:p>
    <w:p w:rsidR="00EB6DA5" w:rsidRPr="00AE264E" w:rsidRDefault="00785E4B">
      <w:pPr>
        <w:rPr>
          <w:color w:val="000000" w:themeColor="text1"/>
        </w:rPr>
      </w:pPr>
      <w:r w:rsidRPr="00AE264E">
        <w:rPr>
          <w:color w:val="000000" w:themeColor="text1"/>
        </w:rPr>
        <w:t>The first theme shows how AI is finding its way into financial services and investments, albeit with uneven roll-out from being available to consumer adoption. Vuković, Dekpo-Adza and Matović (2025) present the change of integration and the role of AI technologies in financial services as a great deal of transformation of financial services. Financial services are increasingly supported by technologies such as machine learning, natural language processing and similar technologies in the areas of credit scoring, fraud detection, robo-advisory, insurance and financial inclusion. Importantly, for this research, robo-advisory is considered one of the key places where AI directly infiltrates investment-related decision-making. The results then suggest that AI is no longer confined to supporting back-office business processes, yet has been making more significant strides towards customer-facing financial services and investment decisions. Buchanan and Wright (2021) offer a very relevant set of evidence for the UK financial-services environment. Different types of financial processes that utilize machine learning algorithms are widespread within financial institutions in the UK, as shown by their analysis, such as robo-advisory and algorithmic trading. The findings also show that AI/ML use cases range from fraud detection to compliance, credit assessment to wealth management, portfolio construction to customer support, and investment activities. The result indicates that robo-platforms could offer users relatively easy and affordable investment entry, potentially being applicable to people who might otherwise not be able to access traditional financial advice.</w:t>
      </w:r>
    </w:p>
    <w:p w:rsidR="00EB6DA5" w:rsidRPr="00AE264E" w:rsidRDefault="00785E4B">
      <w:pPr>
        <w:rPr>
          <w:b/>
          <w:bCs/>
          <w:i/>
          <w:iCs/>
          <w:color w:val="000000" w:themeColor="text1"/>
        </w:rPr>
      </w:pPr>
      <w:r w:rsidRPr="00AE264E">
        <w:rPr>
          <w:color w:val="000000" w:themeColor="text1"/>
        </w:rPr>
        <w:t xml:space="preserve">The insight gained in Wang et al (2026) indicates that their ability to optimise, customise and emulate human behaviour positively affects intention to adopt AI financial advisors indirectly </w:t>
      </w:r>
      <w:r w:rsidRPr="00AE264E">
        <w:rPr>
          <w:color w:val="000000" w:themeColor="text1"/>
        </w:rPr>
        <w:lastRenderedPageBreak/>
        <w:t xml:space="preserve">via consumer technology vulnerability. Self-efficacy and consumer innovativeness are other factors that influence consumer response to AI affordances. This indicates that it does not rely on accessibility or the complexity of AI to decide on adoption. Rather than this, customers must feel that AI financial recommendations are useful, versatile and accessible enough to them. On the other hand, adoption does not translate to a general trust and acceptance of AI-led advice for all first-time investors. Vuković et al. (2025) highlight that regulatory and ethical issues remain challenging, while Wang et al. (2026) demonstrate that psychological aspects impact adoption. Similarly, Buchanan and Wright (2021) highlight the value of governance and accountability as AI is integrated into financial services. Overall, Theme 1 shows that AI-supported financial advice is in transition, becoming a more mainstream element of digital financial services. Its key advantages are accessibility, affordability, personalisation, speed and handling massive financial data volumes, when it comes to major gains of its adoption to first-time investors. The evidence indicates that the value of AI needs to be underpinned by consumer ability, trust and responsible governance prior to investment confidence in AI adoption. </w:t>
      </w:r>
      <w:r w:rsidRPr="00AE264E">
        <w:rPr>
          <w:b/>
          <w:bCs/>
          <w:i/>
          <w:iCs/>
          <w:color w:val="000000" w:themeColor="text1"/>
        </w:rPr>
        <w:t>This theme directly addresses Objective 1.</w:t>
      </w:r>
    </w:p>
    <w:p w:rsidR="00EB6DA5" w:rsidRPr="00AE264E" w:rsidRDefault="00785E4B">
      <w:pPr>
        <w:pStyle w:val="Heading3"/>
        <w:rPr>
          <w:color w:val="000000" w:themeColor="text1"/>
        </w:rPr>
      </w:pPr>
      <w:bookmarkStart w:id="55" w:name="_Toc241178760"/>
      <w:r w:rsidRPr="00AE264E">
        <w:rPr>
          <w:color w:val="000000" w:themeColor="text1"/>
        </w:rPr>
        <w:t>4.2.2 Theme 2: Trust depends on AI competence, transparency, and investor capability</w:t>
      </w:r>
      <w:bookmarkEnd w:id="55"/>
    </w:p>
    <w:p w:rsidR="00EB6DA5" w:rsidRPr="00AE264E" w:rsidRDefault="00785E4B">
      <w:pPr>
        <w:rPr>
          <w:color w:val="000000" w:themeColor="text1"/>
        </w:rPr>
      </w:pPr>
      <w:r w:rsidRPr="00AE264E">
        <w:rPr>
          <w:color w:val="000000" w:themeColor="text1"/>
        </w:rPr>
        <w:t>The second theme highlights that the success of AI tools in financial advice would depend on building trust as a key element of the relationship between the technology, the investors, and the end product. The results indicate that investors are unlikely to rely on AI merely because it is technologically sophisticated. Rather, investors rely on confidence if they feel the system is capable, credible, and comprehensible and possesses recommendations that are suitable to their situation. This result supports the notions of the Trust Theory used in this research, namely that in uncertain situations, people rely on perceived ability, integrity and reliability to make a choice. Chang, Park and Dinh (2026) provide direct evidence of the credibility and benevolence aspects of trust in AI financial services. Credibility-based trust has to do with perceived competencies, and benevolence-based trust with perceived goodwill. In this study, they also discovered that trust is significant in promoting vicarious learning, financial self-efficacy and adoption of AI-powered financial services. A sense of confidence in the trustworthiness and competence of an AI financial advisor can reinforce investor confidence in their ability to comprehend and manage financial choices.</w:t>
      </w:r>
    </w:p>
    <w:p w:rsidR="00EB6DA5" w:rsidRPr="00AE264E" w:rsidRDefault="00785E4B">
      <w:pPr>
        <w:rPr>
          <w:color w:val="000000" w:themeColor="text1"/>
        </w:rPr>
      </w:pPr>
      <w:r w:rsidRPr="00AE264E">
        <w:rPr>
          <w:color w:val="000000" w:themeColor="text1"/>
        </w:rPr>
        <w:t xml:space="preserve">Maier et al. (2022) also show that trust is impacted by perceived performance and transparency with AI. The investment simulation revealed that when human and AI capabilities were compared, differences in performance illustrate a moderate indication of change in trust. Most importantly, low transparency might ensure that the biases of human-AI interaction are </w:t>
      </w:r>
      <w:r w:rsidRPr="00AE264E">
        <w:rPr>
          <w:color w:val="000000" w:themeColor="text1"/>
        </w:rPr>
        <w:lastRenderedPageBreak/>
        <w:t>reproduced. As a result, this shows that even if the output is correct, confidence cannot be built up just from that. For first-time investors, this is especially crucial as they might not have extensive financial expertise to assess AI suggestions on their own. As such, explainability is more than a mere technical attribute, as it is a way for everyday investors to determine the authenticity of AI expert advice. A study by Vijayananth and Saravanabhavan (2026) supports this perspective as they have found that trust in algorithms does not lead to investment behaviour. They discovered that perceived algorithmic trust was associated with sustainable investment behaviour and financial resilience, and human-AI interaction competency was associated with how trust is linked to behaviour. This necessitates that users must have enough ability to comprehend and utilize the content generated by AI.</w:t>
      </w:r>
    </w:p>
    <w:p w:rsidR="00EB6DA5" w:rsidRPr="00AE264E" w:rsidRDefault="00785E4B">
      <w:pPr>
        <w:rPr>
          <w:color w:val="000000" w:themeColor="text1"/>
        </w:rPr>
      </w:pPr>
      <w:r w:rsidRPr="00AE264E">
        <w:rPr>
          <w:color w:val="000000" w:themeColor="text1"/>
        </w:rPr>
        <w:t xml:space="preserve">Hence, Theme 2 proposes that investment confidence is not created with the use of Artificial Intelligence (AI) functionality. Confidence is gained through the combination of perceived competence, transparent communication, output reliability and investor capability. Explainability and financial knowledge, especially for newcomers, help to address standard information asymmetry, empowering clients to make more educated decisions when evaluating AI suggestions. </w:t>
      </w:r>
      <w:r w:rsidRPr="00AE264E">
        <w:rPr>
          <w:b/>
          <w:bCs/>
          <w:i/>
          <w:iCs/>
          <w:color w:val="000000" w:themeColor="text1"/>
        </w:rPr>
        <w:t>This theme directly addresses Objective 2.</w:t>
      </w:r>
    </w:p>
    <w:p w:rsidR="00EB6DA5" w:rsidRPr="00AE264E" w:rsidRDefault="00785E4B">
      <w:pPr>
        <w:pStyle w:val="Heading3"/>
        <w:rPr>
          <w:color w:val="000000" w:themeColor="text1"/>
        </w:rPr>
      </w:pPr>
      <w:bookmarkStart w:id="56" w:name="_Toc241178761"/>
      <w:r w:rsidRPr="00AE264E">
        <w:rPr>
          <w:color w:val="000000" w:themeColor="text1"/>
        </w:rPr>
        <w:t>4.2.3 Theme 3: Accuracy, privacy, ethical and psychological risks can trigger investor confidence</w:t>
      </w:r>
      <w:bookmarkEnd w:id="56"/>
    </w:p>
    <w:p w:rsidR="00EB6DA5" w:rsidRPr="00AE264E" w:rsidRDefault="00785E4B">
      <w:pPr>
        <w:rPr>
          <w:color w:val="000000" w:themeColor="text1"/>
        </w:rPr>
      </w:pPr>
      <w:r w:rsidRPr="00AE264E">
        <w:rPr>
          <w:color w:val="000000" w:themeColor="text1"/>
        </w:rPr>
        <w:t xml:space="preserve">The third theme shows that the rise of AI-powered financial guidance can have the opposite effect and lead investors to doubt the financial advice that is being recommended. Verma et al. (2025) state that although financial robo-advisors are gaining popularity, there is evidence of functional and psychological barriers that impact resistance to financial robo-advisors. They discovered that complexity, perceived or not, is of secondary importance, alongside the risk of privacy leaks in the data collection, overconfidence and the inertia effect. The findings are significant for people who are investing for the first time and there are many who have e never fully grasped the complexities and uncertainties of the financial landscape. In the case of AI financial services, it has to deal with potentially sensitive personal and financial data such as wages, expenditure habits, targets for savings and investment and risk tolerance. If users are not sure about how this information is collected, stored or used, they might not be willing to trust the AI-generated recommendations.  This is confirmed by Verma et al. (2025), who find that ‘data privacy risk' is another factor that leads to resistance toward a robo-advisory service. This presents an additional challenge in terms of accuracy and reliability, as information handling and rapid processing are capabilities of generative and predictive AI. For the novice </w:t>
      </w:r>
      <w:r w:rsidRPr="00AE264E">
        <w:rPr>
          <w:color w:val="000000" w:themeColor="text1"/>
        </w:rPr>
        <w:lastRenderedPageBreak/>
        <w:t>investor, a bad recommendation could have a disproportionate effect on their psychology due to the fact that they often do not know how to identify it.</w:t>
      </w:r>
    </w:p>
    <w:p w:rsidR="00EB6DA5" w:rsidRPr="00AE264E" w:rsidRDefault="00785E4B">
      <w:pPr>
        <w:rPr>
          <w:color w:val="000000" w:themeColor="text1"/>
        </w:rPr>
      </w:pPr>
      <w:r w:rsidRPr="00AE264E">
        <w:rPr>
          <w:color w:val="000000" w:themeColor="text1"/>
        </w:rPr>
        <w:t>As outlined by Wei et al (2025), there is a wider lens on the issue, with an analysis of the risks of infringement of AI. The findings link an impact on their reputation and ability to protect their IP rights to litigation, regulatory focus, and greater investor uncertainty stemming from AI. The study examines more general AI-related risks and how they impact financial perceptions and uncertainty but does not directly examine first-time investors or AI for financial advice. It is helpful context that the daily working issues of responsible AI could be more than just ensuring the accuracy of recommendations for the individual and could encompass issues throughout the organisation, and financial issues as well. A similar study is provided by Alruwaili and Mgammal (2025), which highlights the need for consideration of the ethical and organisational impact of AI adoption. However, the study's overall implications could be useful because it provides insight into the broader implications of the use of AI in finance-related professional occupations and complements governance, accountability and human capability aspects.</w:t>
      </w:r>
    </w:p>
    <w:p w:rsidR="00EB6DA5" w:rsidRPr="00AE264E" w:rsidRDefault="00785E4B">
      <w:pPr>
        <w:rPr>
          <w:color w:val="000000" w:themeColor="text1"/>
        </w:rPr>
      </w:pPr>
      <w:r w:rsidRPr="00AE264E">
        <w:rPr>
          <w:color w:val="000000" w:themeColor="text1"/>
        </w:rPr>
        <w:t xml:space="preserve">Theme 3 is overall a conclusion that when considering responsible adoption, technical performance is not enough. To maintain high levels of accuracy, privacy, transparency, ethical protection, and investor education becomes essential as each of these sections will dampen investor confidence and trust if not upheld. </w:t>
      </w:r>
      <w:r w:rsidRPr="00AE264E">
        <w:rPr>
          <w:b/>
          <w:bCs/>
          <w:i/>
          <w:iCs/>
          <w:color w:val="000000" w:themeColor="text1"/>
        </w:rPr>
        <w:t>This theme directly addresses Objective 3.</w:t>
      </w:r>
    </w:p>
    <w:p w:rsidR="00EB6DA5" w:rsidRPr="00AE264E" w:rsidRDefault="00785E4B">
      <w:pPr>
        <w:pStyle w:val="Heading3"/>
        <w:rPr>
          <w:color w:val="000000" w:themeColor="text1"/>
        </w:rPr>
      </w:pPr>
      <w:bookmarkStart w:id="57" w:name="_Toc241178762"/>
      <w:r w:rsidRPr="00AE264E">
        <w:rPr>
          <w:color w:val="000000" w:themeColor="text1"/>
        </w:rPr>
        <w:t>4.2.4 Theme 4: Responsible AI requires governance, transparency, literacy and human oversight</w:t>
      </w:r>
      <w:bookmarkEnd w:id="57"/>
    </w:p>
    <w:p w:rsidR="00EB6DA5" w:rsidRPr="00AE264E" w:rsidRDefault="00785E4B">
      <w:pPr>
        <w:rPr>
          <w:color w:val="000000" w:themeColor="text1"/>
        </w:rPr>
      </w:pPr>
      <w:r w:rsidRPr="00AE264E">
        <w:rPr>
          <w:color w:val="000000" w:themeColor="text1"/>
        </w:rPr>
        <w:t xml:space="preserve">The fourth theme looks at the need for an integrated approach for organizations to adopt AI responsibly, including governance frameworks, information transparency, financial literacy, digital literacy and capacities, and the human role in AI. A study by Alnora et al. (2026) emphasizes the financial analysis's positive implications from using AI. The study concludes that the use of AI is linked to a positive and statistically significant relationship between its use and financial-analysis performance, such as efficiency, forecasting and cost-effectiveness. The successful implementation of this shows the real-world application of AI and how efficient it is. The results also reveal that the adoption of technology is not just about getting the devices bought into an organisation, yet also about their capabilities. The study by Fundira and Mbohwa (2025) identifies areas for research in AI ethics, as the systematic and bibliometric review they carried out has identified regulatory and consumer perspectives. The study underscores the importance of ethical governance aware of the role of AI in financial services. Similarly, Vuković et al. (2025) call for the application of transparency, fairness and accountability with </w:t>
      </w:r>
      <w:r w:rsidRPr="00AE264E">
        <w:rPr>
          <w:color w:val="000000" w:themeColor="text1"/>
        </w:rPr>
        <w:lastRenderedPageBreak/>
        <w:t>the use of explainable AI and stimulating governance frameworks. They conduct a systematic review of the literature and find that there are no common AI implementation frameworks to be identified and this remains persistent. This discovery has ramifications for the UK investment landscape as there is not always consistency when managing AI, which may instill confusion in consumers and financial institutions.</w:t>
      </w:r>
    </w:p>
    <w:p w:rsidR="00EB6DA5" w:rsidRPr="00AE264E" w:rsidRDefault="00785E4B">
      <w:pPr>
        <w:rPr>
          <w:color w:val="000000" w:themeColor="text1"/>
        </w:rPr>
      </w:pPr>
      <w:r w:rsidRPr="00AE264E">
        <w:rPr>
          <w:color w:val="000000" w:themeColor="text1"/>
        </w:rPr>
        <w:t>A group of researchers has proposed a more general mapping of the research fields of AI and finance in order to pinpoint the key areas that deserve further focus. In the study by Lim (2024) on responsible AI, states that key categories of finance-related AI research include trading or investment, ESG disclosure and governance, risk management, forecasting and valuation, and data. More importantly, responsible AI is recognized as one of the areas that has more potential, in spite of a lower number of publications as it is an emerging area. The use of responsible terms is slowly becoming a stand-alone research and management need rather than an after-thought moralistic consideration. Vijayananth and Saravanabhavan (2026) show that the ability of human-AI hybrids brings the translation of algorithmic trust to people's investment behaviour. Another crucial factor is financial skills. New investors should have adequate investment knowledge about the risks involved, challenge improper investment suggestions and be aware of the restrictions of AI investment advice. Responsible AI adoption will not just be a technical endeavour, but one which also requires investor education. To assist in this process, transparency in the interface and clear risk disclosures and accessible explanations can help.</w:t>
      </w:r>
    </w:p>
    <w:p w:rsidR="00EB6DA5" w:rsidRPr="00AE264E" w:rsidRDefault="00785E4B">
      <w:pPr>
        <w:rPr>
          <w:color w:val="000000" w:themeColor="text1"/>
        </w:rPr>
      </w:pPr>
      <w:r w:rsidRPr="00AE264E">
        <w:rPr>
          <w:color w:val="000000" w:themeColor="text1"/>
        </w:rPr>
        <w:t xml:space="preserve">Therefore, in Theme 4, it is clear that in the field of responsible AI it is important to have more layers to a framework. Developing efficiency and analytical capacity with technology, making it accountable and transparent, and developing human oversight should provide contextual judgement. </w:t>
      </w:r>
      <w:r w:rsidRPr="00AE264E">
        <w:rPr>
          <w:b/>
          <w:bCs/>
          <w:i/>
          <w:iCs/>
          <w:color w:val="000000" w:themeColor="text1"/>
        </w:rPr>
        <w:t>This theme directly addresses Objective 4.</w:t>
      </w:r>
    </w:p>
    <w:p w:rsidR="00EB6DA5" w:rsidRPr="00AE264E" w:rsidRDefault="00785E4B">
      <w:pPr>
        <w:pStyle w:val="Heading2"/>
        <w:rPr>
          <w:color w:val="000000" w:themeColor="text1"/>
        </w:rPr>
      </w:pPr>
      <w:bookmarkStart w:id="58" w:name="_Toc241178763"/>
      <w:r w:rsidRPr="00AE264E">
        <w:rPr>
          <w:color w:val="000000" w:themeColor="text1"/>
        </w:rPr>
        <w:t>4.3 Findings</w:t>
      </w:r>
      <w:bookmarkEnd w:id="58"/>
    </w:p>
    <w:p w:rsidR="00EB6DA5" w:rsidRPr="00AE264E" w:rsidRDefault="00785E4B">
      <w:pPr>
        <w:rPr>
          <w:color w:val="000000" w:themeColor="text1"/>
        </w:rPr>
      </w:pPr>
      <w:r w:rsidRPr="00AE264E">
        <w:rPr>
          <w:color w:val="000000" w:themeColor="text1"/>
        </w:rPr>
        <w:t xml:space="preserve">The thematic analysis identified the following four serving as interrelated findings relating to the investment confidence of the emerging investors when using AI financial advice. The findings reveal that AI has the potential to foster investors' trust and, depending on their mindset and the investment-tech relationship, encourage increased investor participation in investments. The analysis highlights the different ways that AI can help investors make decisions, as it can analyse information very quickly, recommending different targets, automation of various processes, and making money more accessible to others. It can be helpful for slow-sellers that are not new investors, as they may be intimidated by the lack of experience. At the same time, it indicates that as AI becomes more ubiquitous, so does the adoption of it </w:t>
      </w:r>
      <w:r w:rsidRPr="00AE264E">
        <w:rPr>
          <w:color w:val="000000" w:themeColor="text1"/>
        </w:rPr>
        <w:lastRenderedPageBreak/>
        <w:t>although without a guarantee that everyone will use it. To get the technology to incorporate in their investment, investors should be able to see how the technology would be useful, relevant and easy to understand.</w:t>
      </w:r>
    </w:p>
    <w:p w:rsidR="00EB6DA5" w:rsidRPr="00AE264E" w:rsidRDefault="00785E4B">
      <w:pPr>
        <w:rPr>
          <w:color w:val="000000" w:themeColor="text1"/>
        </w:rPr>
      </w:pPr>
      <w:r w:rsidRPr="00AE264E">
        <w:rPr>
          <w:color w:val="000000" w:themeColor="text1"/>
        </w:rPr>
        <w:t>Results show that when people know the rationale behind suggestions and have adequate financial and tech resources to interpret the recommendations from AI, their relationship of trust with the AI strengthens. The more investors believe that AI is sufficient to deliver relevant recommendations and are held accountable by it, the more they are willing to rely on its advice. However, it cannot be simply about building confidence as it is about the technical complexity of AI that does the job. Therefore, there is also a firm link between investors' capability and trust, and individual financial and technological literacy is closely linked with the capacity to comprehend AI output and take decisions.</w:t>
      </w:r>
    </w:p>
    <w:p w:rsidR="00EB6DA5" w:rsidRPr="00AE264E" w:rsidRDefault="00785E4B">
      <w:pPr>
        <w:rPr>
          <w:color w:val="000000" w:themeColor="text1"/>
        </w:rPr>
      </w:pPr>
      <w:r w:rsidRPr="00AE264E">
        <w:rPr>
          <w:color w:val="000000" w:themeColor="text1"/>
        </w:rPr>
        <w:t>The third result is the possibility of creating risks that have the opposite effect of boosting investor trust, via AI. Some concerns are singled out: resistance to technological change, overconfidence, privacy, complexity, accuracy, and ethics. The dangers are higher for any investor who is new to investing and is lacking experience in investment. This may prevent them from carefully considering whether an investment approach that is backed by AI is suitable for them. However, the rampant application of AI could also give a false sense of security, or concerns about data privacy and transparency in decision-making processes may sway investors against embracing AI.</w:t>
      </w:r>
    </w:p>
    <w:p w:rsidR="00EB6DA5" w:rsidRPr="00AE264E" w:rsidRDefault="00785E4B">
      <w:pPr>
        <w:rPr>
          <w:color w:val="000000" w:themeColor="text1"/>
        </w:rPr>
      </w:pPr>
      <w:r w:rsidRPr="00AE264E">
        <w:rPr>
          <w:color w:val="000000" w:themeColor="text1"/>
        </w:rPr>
        <w:t>Fourth, the findings highlight the governance, transparency, and the need for investor human oversight of AI. The findings reveal that good financial advice is about more than just reducing the time and effort involved in application of advice and being analytically efficient. Implementing transparency, governance, investor education, data protection, explainability and human oversight is essential for ensuring that AI is used to help, rather than mislead. As investment decisions are becoming more complex and/or investors find it necessary to get some contextual information that is not easily provided by automated systems, human involvement becomes crucial.</w:t>
      </w:r>
    </w:p>
    <w:p w:rsidR="00EB6DA5" w:rsidRPr="00AE264E" w:rsidRDefault="00785E4B">
      <w:pPr>
        <w:rPr>
          <w:color w:val="000000" w:themeColor="text1"/>
        </w:rPr>
      </w:pPr>
      <w:r w:rsidRPr="00AE264E">
        <w:rPr>
          <w:color w:val="000000" w:themeColor="text1"/>
        </w:rPr>
        <w:t>The outcomes indicate that the impact of AI-engaged finance advices on first-time investors' confidence levels is not uniform. Instead, it depends more on responsible governance, investor belief and perceived risk in the field of AI, and their beliefs. It is easy to instill confidence when investors feel that the advice being given is useful, reliable, risks are communicated, and they have enough information/human resources to assess the advice.</w:t>
      </w:r>
    </w:p>
    <w:p w:rsidR="00EB6DA5" w:rsidRPr="00AE264E" w:rsidRDefault="00785E4B">
      <w:pPr>
        <w:pStyle w:val="Heading2"/>
        <w:rPr>
          <w:color w:val="000000" w:themeColor="text1"/>
        </w:rPr>
      </w:pPr>
      <w:bookmarkStart w:id="59" w:name="_Toc241178764"/>
      <w:r w:rsidRPr="00AE264E">
        <w:rPr>
          <w:color w:val="000000" w:themeColor="text1"/>
        </w:rPr>
        <w:lastRenderedPageBreak/>
        <w:t>4.4 Discussion</w:t>
      </w:r>
      <w:bookmarkEnd w:id="59"/>
    </w:p>
    <w:p w:rsidR="00EB6DA5" w:rsidRPr="00AE264E" w:rsidRDefault="00785E4B">
      <w:pPr>
        <w:pStyle w:val="Heading3"/>
        <w:rPr>
          <w:color w:val="000000" w:themeColor="text1"/>
        </w:rPr>
      </w:pPr>
      <w:bookmarkStart w:id="60" w:name="_Toc241178765"/>
      <w:r w:rsidRPr="00AE264E">
        <w:rPr>
          <w:color w:val="000000" w:themeColor="text1"/>
        </w:rPr>
        <w:t>4.4.1 Increasing Adoption of AI-driven financial advice in financial sector</w:t>
      </w:r>
      <w:bookmarkEnd w:id="60"/>
    </w:p>
    <w:p w:rsidR="00EB6DA5" w:rsidRPr="00AE264E" w:rsidRDefault="00785E4B">
      <w:pPr>
        <w:rPr>
          <w:color w:val="000000" w:themeColor="text1"/>
        </w:rPr>
      </w:pPr>
      <w:r w:rsidRPr="00AE264E">
        <w:rPr>
          <w:color w:val="000000" w:themeColor="text1"/>
        </w:rPr>
        <w:t xml:space="preserve">The financial services is significantly impacted by AI, notably for advising consumers over the internet, the application of robots as financial advisors, predictive analysis and personalized investment guidance. Yaiprasert and Hidayanto (2024) explore the shift in financial systems and how AI is enhancing analytical insights and decision-making, highlighting the significance of AI in finance. On the other hand, Buchanan and Wright (2021) illustrate the pervasive rise of machine learning, robo-advisory and algorithmic trading across the UK financial landscape. In turn, Vuković et al (2025) list machine learning, natural language processing and robo-advisory as significant applications that are also playing a key role in ushering in financial inclusion and financial decision-making. </w:t>
      </w:r>
    </w:p>
    <w:p w:rsidR="00EB6DA5" w:rsidRPr="00AE264E" w:rsidRDefault="00785E4B">
      <w:pPr>
        <w:rPr>
          <w:color w:val="000000" w:themeColor="text1"/>
        </w:rPr>
      </w:pPr>
      <w:r w:rsidRPr="00AE264E">
        <w:rPr>
          <w:color w:val="000000" w:themeColor="text1"/>
        </w:rPr>
        <w:t>The thematic findings give a more nuanced interpretation of the nature of the adoption than does the literature research. The insights provided by Perifanis (2023) in the literature explore technical and operational advantages of AI tools, such as greater efficiencies, accessibility and personalisation. On the other hand, Wang et al. (2025) show that consumers' robustness to information technology, self-efficacy, information optimisation and human-like features affect preparing to use AI monetary advisors. Thus, the literature is extended by the thematic analysis since it revealed that the adoption process of first-time investors is a behavioural process. This finding corroborates the one presented in the literature review related to the Technology Acceptance Model. Davis (1989) suggests that the perceived usefulness and the perceived ease of use (PEOU) have impacts on technology acceptance. However, the thematic results show that first-time investors are more inclined to interact with AI when they feel it offers some benefit and relevance to them. Although usefulness might help them start using the tool, trust and perceived risk would play a role in whether they were willing to put money in the recommendations based on AI.</w:t>
      </w:r>
    </w:p>
    <w:p w:rsidR="00EB6DA5" w:rsidRPr="00AE264E" w:rsidRDefault="00785E4B">
      <w:pPr>
        <w:rPr>
          <w:color w:val="000000" w:themeColor="text1"/>
        </w:rPr>
      </w:pPr>
      <w:r w:rsidRPr="00AE264E">
        <w:rPr>
          <w:color w:val="000000" w:themeColor="text1"/>
        </w:rPr>
        <w:t>While the growth of AI adoption seems to be understood fairly consistently from the literature to the findings presented in this theme, the latter also gives additional emphasis on the attitude of investors. This is key as the literature gap outlined that there is limited research focusing on the adoption of AI, yet not specifically among investors for the first time in the UK. Overall, AI adoption is increasing, while successful adoption requires technological usefulness, accessibility, confidence and trust in the user.</w:t>
      </w:r>
    </w:p>
    <w:p w:rsidR="00EB6DA5" w:rsidRPr="00AE264E" w:rsidRDefault="00785E4B">
      <w:pPr>
        <w:pStyle w:val="Heading3"/>
        <w:rPr>
          <w:color w:val="000000" w:themeColor="text1"/>
        </w:rPr>
      </w:pPr>
      <w:bookmarkStart w:id="61" w:name="_Toc241178766"/>
      <w:r w:rsidRPr="00AE264E">
        <w:rPr>
          <w:color w:val="000000" w:themeColor="text1"/>
        </w:rPr>
        <w:t>4.4.2 Trust depends on AI competence, transparency and investor capability</w:t>
      </w:r>
      <w:bookmarkEnd w:id="61"/>
    </w:p>
    <w:p w:rsidR="00EB6DA5" w:rsidRPr="00AE264E" w:rsidRDefault="00785E4B">
      <w:pPr>
        <w:rPr>
          <w:color w:val="000000" w:themeColor="text1"/>
        </w:rPr>
      </w:pPr>
      <w:r w:rsidRPr="00AE264E">
        <w:rPr>
          <w:color w:val="000000" w:themeColor="text1"/>
        </w:rPr>
        <w:t xml:space="preserve">It has been found that one of the key factors that would influence investor willingness to take and trust AI-generated financial advice is trust. Guo and Polak (2026) in the literature review </w:t>
      </w:r>
      <w:r w:rsidRPr="00AE264E">
        <w:rPr>
          <w:color w:val="000000" w:themeColor="text1"/>
        </w:rPr>
        <w:lastRenderedPageBreak/>
        <w:t>explain that transparency, fairness and accountability can enhance investor confidence in AI recommendations. On the contrary, Chang, Park and Dinh (2026) argued that algorithmic bias, wrong predictions and low levels of explainability can harm investor confidence. Thus, it shows the multidimensional nature of the construct ‘trust', namely in terms of competence, reliability, transparency and integrity. Likewise, for the formation of trust, Maier, Menold and McComb (2022) view AI performance as an important element of trust building, as well as perceived capability, transparency and automation bias. This aligns with the insights presented by Schilke and Reimann (2025), who state that trust is lowered due to limited transparency since customers are not able to comprehend the recommendations that are not explained. The agreement between the insights strengthens the argument that explainability is especially vital for first-time investors because of the agreement that has been established between these sources.</w:t>
      </w:r>
    </w:p>
    <w:p w:rsidR="00EB6DA5" w:rsidRPr="00AE264E" w:rsidRDefault="00785E4B">
      <w:pPr>
        <w:rPr>
          <w:color w:val="000000" w:themeColor="text1"/>
        </w:rPr>
      </w:pPr>
      <w:r w:rsidRPr="00AE264E">
        <w:rPr>
          <w:color w:val="000000" w:themeColor="text1"/>
        </w:rPr>
        <w:t xml:space="preserve">Competencies like Human-AI Interaction and Algorithm trust and monetary uncertainty are identified by Vijayananth and Saravanabhavan (2026) as key intersectors that impact investment behaviour. This complements the insights of Kou </w:t>
      </w:r>
      <w:r w:rsidRPr="00AE264E">
        <w:rPr>
          <w:i/>
          <w:iCs/>
          <w:color w:val="000000" w:themeColor="text1"/>
        </w:rPr>
        <w:t>et al.</w:t>
      </w:r>
      <w:r w:rsidRPr="00AE264E">
        <w:rPr>
          <w:color w:val="000000" w:themeColor="text1"/>
        </w:rPr>
        <w:t xml:space="preserve"> (2026) in the literature, explaining that investors seek sufficient financial and digital capability to also question and interpret AI recommendations. As a result, the thematic findings show that the use of an AI platform does not always have to be trusted. Then, confidence, transparency, and integrity in the IT system create and build confidence and sustained loyalty, whereas perceived usefulness can lead to adoption. This is an important contribution to the literature and fills a gap in the research literature on the sparse integration of constructs in technology acceptance and trust.</w:t>
      </w:r>
    </w:p>
    <w:p w:rsidR="00EB6DA5" w:rsidRPr="00AE264E" w:rsidRDefault="00785E4B">
      <w:pPr>
        <w:pStyle w:val="Heading3"/>
        <w:rPr>
          <w:color w:val="000000" w:themeColor="text1"/>
        </w:rPr>
      </w:pPr>
      <w:bookmarkStart w:id="62" w:name="_Toc241178767"/>
      <w:r w:rsidRPr="00AE264E">
        <w:rPr>
          <w:color w:val="000000" w:themeColor="text1"/>
        </w:rPr>
        <w:t>4.4.3 Accuracy, privacy, ethical and psychological risks weaken investors’ confidence</w:t>
      </w:r>
      <w:bookmarkEnd w:id="62"/>
    </w:p>
    <w:p w:rsidR="00EB6DA5" w:rsidRPr="00AE264E" w:rsidRDefault="00785E4B">
      <w:pPr>
        <w:rPr>
          <w:color w:val="000000" w:themeColor="text1"/>
        </w:rPr>
      </w:pPr>
      <w:r w:rsidRPr="00AE264E">
        <w:rPr>
          <w:color w:val="000000" w:themeColor="text1"/>
        </w:rPr>
        <w:t xml:space="preserve">There are several issues that may make it harder for investors to have trust in AI-driven financial advice. Rohan </w:t>
      </w:r>
      <w:r w:rsidRPr="00AE264E">
        <w:rPr>
          <w:i/>
          <w:iCs/>
          <w:color w:val="000000" w:themeColor="text1"/>
        </w:rPr>
        <w:t>et al.</w:t>
      </w:r>
      <w:r w:rsidRPr="00AE264E">
        <w:rPr>
          <w:color w:val="000000" w:themeColor="text1"/>
        </w:rPr>
        <w:t xml:space="preserve"> (2026) recognise in the literature review that AI can analyse large volumes of financial data while generating recommendations based on historical information. On the contrary, Wei et al (2025) point to the potential of generative AI generating false or fabricated information. The thematic analysis further substantiates this dynamic, highlighting the fact that accuracy is a key factor deciding investor compliance with AI-generated recommendations. Similarly, according to Frederiks et al. (2022), limited transparency has a detrimental effect on investment trust, and lack of explanations can lead to investor uncertainty. Another factor highlighted in the thematic analysis is the need for transparency and explainability, as first-time investors may not thoroughly evaluate recommendations from AI tools. Thus, the results highlight that a correct message that is not comprehensible can yet have a negative impact on confidence and trust.</w:t>
      </w:r>
    </w:p>
    <w:p w:rsidR="00EB6DA5" w:rsidRPr="00AE264E" w:rsidRDefault="00785E4B">
      <w:pPr>
        <w:rPr>
          <w:color w:val="000000" w:themeColor="text1"/>
        </w:rPr>
      </w:pPr>
      <w:r w:rsidRPr="00AE264E">
        <w:rPr>
          <w:color w:val="000000" w:themeColor="text1"/>
        </w:rPr>
        <w:lastRenderedPageBreak/>
        <w:t xml:space="preserve">Based on biased historical datasets, Pagano </w:t>
      </w:r>
      <w:r w:rsidRPr="00AE264E">
        <w:rPr>
          <w:i/>
          <w:iCs/>
          <w:color w:val="000000" w:themeColor="text1"/>
        </w:rPr>
        <w:t>et al.</w:t>
      </w:r>
      <w:r w:rsidRPr="00AE264E">
        <w:rPr>
          <w:color w:val="000000" w:themeColor="text1"/>
        </w:rPr>
        <w:t xml:space="preserve"> (2023) state that it is possible to offer unfair or discriminatory investment recommendations, and the concept of fairness, accountability and ethical monitoring is important. In contrast, the findings by Verma et al. (2025) discussed that the identification of privacy risk, overconfidence, resistance, regulatory scrutiny, security concerns, legal requirements and moral evaluation are significant challenges. However, the results and observations that have been found in the theme add to the literature by drawing attention to psychological barriers. Wei et al (2025) highlight two other resistance factors, such as "overconfidence" and “the technical riskiness of AI”, stating that investors can have negative reactions to robo-advisors due to their own psychological makeup. However, as per Sungkarungsri and Kiattisin (2026b), both underconfidence and overconfidence can cause investors to decline to incorporate or depend on AI-determined recommendations. The thematic analysis shows that accuracy, privacy, bias and ethics are not three different technical issues, as they affect each other to shape investor perceptions. These risks are especially critical to first-timers as they may not have the financial expertise to independently confirm these risks. As a result, AI can help to diminish the unknown by delivering information that is easy to access, yet simultaneously generate the unknown with regard to how accurate, fair and secure information will be.</w:t>
      </w:r>
    </w:p>
    <w:p w:rsidR="00EB6DA5" w:rsidRPr="00AE264E" w:rsidRDefault="00785E4B">
      <w:pPr>
        <w:pStyle w:val="Heading3"/>
        <w:rPr>
          <w:color w:val="000000" w:themeColor="text1"/>
        </w:rPr>
      </w:pPr>
      <w:bookmarkStart w:id="63" w:name="_Toc241178768"/>
      <w:r w:rsidRPr="00AE264E">
        <w:rPr>
          <w:color w:val="000000" w:themeColor="text1"/>
        </w:rPr>
        <w:t>4.4.4 Responsible AI seeks governance, transparency, literacy and human oversight</w:t>
      </w:r>
      <w:bookmarkEnd w:id="63"/>
    </w:p>
    <w:p w:rsidR="00EB6DA5" w:rsidRPr="00AE264E" w:rsidRDefault="00785E4B">
      <w:pPr>
        <w:rPr>
          <w:color w:val="000000" w:themeColor="text1"/>
        </w:rPr>
      </w:pPr>
      <w:r w:rsidRPr="00AE264E">
        <w:rPr>
          <w:color w:val="000000" w:themeColor="text1"/>
        </w:rPr>
        <w:t>The literature review and themed findings provide a strong consistency overall in terms of our understanding of the importance of responsible AI. Brüggen et al. (2024) emphasise the ethical aspects of financial advice provided by artificial intelligence, while Barucci</w:t>
      </w:r>
      <w:r w:rsidRPr="00AE264E">
        <w:rPr>
          <w:i/>
          <w:iCs/>
          <w:color w:val="000000" w:themeColor="text1"/>
        </w:rPr>
        <w:t>et al.</w:t>
      </w:r>
      <w:r w:rsidRPr="00AE264E">
        <w:rPr>
          <w:color w:val="000000" w:themeColor="text1"/>
        </w:rPr>
        <w:t xml:space="preserve"> (2026) underscore the increasing critical role of regulation in investment management. Other important conditions highlighted in the literature for the proper implementation of AI systems are explainability, fairness, accountability and human judgement. Alnor et al (2026) show how AI positively contributes to the performance of financial analysis by making it more efficient, predictive and economical. This directly supports the argument in the literature provided by Pang and Szliter (2026) that AI should be kept in the financial services sector. However, the thematic findings have introduced an important aspect that organisational adoption should not be solely evaluated as per efficiency. Alongside the necessary forms of governance and accountability, AI is not to be applied without the organisational support necessary for its implementation.</w:t>
      </w:r>
    </w:p>
    <w:p w:rsidR="00EB6DA5" w:rsidRPr="00AE264E" w:rsidRDefault="00785E4B">
      <w:pPr>
        <w:rPr>
          <w:color w:val="000000" w:themeColor="text1"/>
        </w:rPr>
      </w:pPr>
      <w:bookmarkStart w:id="64" w:name="_heading=h.gomufdchvcrr" w:colFirst="0" w:colLast="0"/>
      <w:bookmarkEnd w:id="64"/>
      <w:r w:rsidRPr="00AE264E">
        <w:rPr>
          <w:color w:val="000000" w:themeColor="text1"/>
        </w:rPr>
        <w:t xml:space="preserve">It is clear that one area of overlap is between the human factor and supervision. The key aspects of the literature review, such as the findings of Ioannou et al. (2026) and Hanna et al. (2024), emphasize that AI is not always capable of capturing the nuanced aspects of interpersonal </w:t>
      </w:r>
      <w:r w:rsidRPr="00AE264E">
        <w:rPr>
          <w:color w:val="000000" w:themeColor="text1"/>
        </w:rPr>
        <w:lastRenderedPageBreak/>
        <w:t>communication, empathy, and context. This aligns with the thematic results, highlighted by Vijayananth and Saravanabhavan (2026) in their findings on “cultivating competency in human-AI interaction in order to directly connect the trust level in algorithms and investment behaviour. However, the thematic analysis also fills the gaps in the literature by incorporating both governance and human supervision along with investor literacy. First-time investors need some financial and digital literacy to spot improper advice, comprehend investment risks and be aware of the benefits of AI. This should embrace clear interfaces, disclosures of risk, explanations of the nature of recommended action, security of the data and governance and access to human assistance, all within the context of responsible AI.</w:t>
      </w:r>
    </w:p>
    <w:p w:rsidR="00EB6DA5" w:rsidRPr="00AE264E" w:rsidRDefault="00785E4B">
      <w:pPr>
        <w:pStyle w:val="Heading2"/>
        <w:rPr>
          <w:color w:val="000000" w:themeColor="text1"/>
        </w:rPr>
      </w:pPr>
      <w:bookmarkStart w:id="65" w:name="_Toc241178769"/>
      <w:r w:rsidRPr="00AE264E">
        <w:rPr>
          <w:color w:val="000000" w:themeColor="text1"/>
        </w:rPr>
        <w:t>4.5 Chapter Summary</w:t>
      </w:r>
      <w:bookmarkEnd w:id="65"/>
    </w:p>
    <w:p w:rsidR="00EB6DA5" w:rsidRPr="00AE264E" w:rsidRDefault="00785E4B">
      <w:pPr>
        <w:rPr>
          <w:color w:val="000000" w:themeColor="text1"/>
        </w:rPr>
      </w:pPr>
      <w:r w:rsidRPr="00AE264E">
        <w:rPr>
          <w:color w:val="000000" w:themeColor="text1"/>
        </w:rPr>
        <w:t>In summary, adoption of AI is becoming more achievable by becoming accessible, personalised, and more efficient at analysis. However, trust relies on a combination of AI competence, transparency of AI, reliability of AI and investor capability. Meanwhile, inaccurate data and privacy, ethical issues, and psychological obstacles can undermine the confidence of new investors. The results also show that the calm need control, transparency, financial knowledge and supervision. Therefore, Investor capacity and responsible governance around humans and trust in technology utility are most likely to boost investor confidence with AI in the first-time investor segment.</w:t>
      </w:r>
    </w:p>
    <w:p w:rsidR="00EB6DA5" w:rsidRPr="00AE264E" w:rsidRDefault="00785E4B">
      <w:pPr>
        <w:pStyle w:val="Heading1"/>
        <w:rPr>
          <w:color w:val="000000" w:themeColor="text1"/>
        </w:rPr>
      </w:pPr>
      <w:bookmarkStart w:id="66" w:name="_heading=h.h2v2jctv15o1" w:colFirst="0" w:colLast="0"/>
      <w:bookmarkEnd w:id="66"/>
      <w:r w:rsidRPr="00AE264E">
        <w:rPr>
          <w:color w:val="000000" w:themeColor="text1"/>
        </w:rPr>
        <w:br w:type="page"/>
      </w:r>
    </w:p>
    <w:p w:rsidR="00EB6DA5" w:rsidRPr="00AE264E" w:rsidRDefault="00785E4B">
      <w:pPr>
        <w:pStyle w:val="Heading1"/>
        <w:rPr>
          <w:color w:val="000000" w:themeColor="text1"/>
        </w:rPr>
      </w:pPr>
      <w:bookmarkStart w:id="67" w:name="_Toc241178770"/>
      <w:r w:rsidRPr="00AE264E">
        <w:rPr>
          <w:color w:val="000000" w:themeColor="text1"/>
        </w:rPr>
        <w:lastRenderedPageBreak/>
        <w:t>Chapter 5: Conclusion</w:t>
      </w:r>
      <w:bookmarkEnd w:id="67"/>
    </w:p>
    <w:p w:rsidR="00EB6DA5" w:rsidRPr="00AE264E" w:rsidRDefault="00785E4B">
      <w:pPr>
        <w:pStyle w:val="Heading2"/>
        <w:rPr>
          <w:color w:val="000000" w:themeColor="text1"/>
        </w:rPr>
      </w:pPr>
      <w:bookmarkStart w:id="68" w:name="_Toc241178771"/>
      <w:r w:rsidRPr="00AE264E">
        <w:rPr>
          <w:color w:val="000000" w:themeColor="text1"/>
        </w:rPr>
        <w:t>5.1 Conclusion</w:t>
      </w:r>
      <w:bookmarkEnd w:id="68"/>
    </w:p>
    <w:p w:rsidR="00EB6DA5" w:rsidRPr="00AE264E" w:rsidRDefault="00785E4B">
      <w:pPr>
        <w:rPr>
          <w:color w:val="000000" w:themeColor="text1"/>
        </w:rPr>
      </w:pPr>
      <w:r w:rsidRPr="00AE264E">
        <w:rPr>
          <w:color w:val="000000" w:themeColor="text1"/>
          <w:highlight w:val="white"/>
        </w:rPr>
        <w:t>This study aimed to investigate the attitude of the first-time investor towards the effect of AI financial advice on their investment confidence, when investing in the UK's national capital market. The research responded to four research objectives that centered on the adoption of AI-supported financial advice, factors affecting investor trust, challenges for investor trust building and responsible approaches in implementing AI. A methodological approach following thematic analysis is applied when searching for relevant studies and the potential of AI to transform novice investors' perception and use of financial advice is illustrated. The results show that AI is becoming more commonplace in financial services as robo-advisors, automated investment assistance, predictive analytics, and personalised financial advice. Easy access, rapidity, customization to accommodate massive size of data may remove some of the hurdles of novice investors. Logically, adopting and trusting technology is more than just about availability, investors must know the benefits, understand and figure out how AI plays in their financial picture.</w:t>
      </w:r>
    </w:p>
    <w:p w:rsidR="00EB6DA5" w:rsidRPr="00AE264E" w:rsidRDefault="00785E4B">
      <w:pPr>
        <w:rPr>
          <w:color w:val="000000" w:themeColor="text1"/>
        </w:rPr>
      </w:pPr>
      <w:r w:rsidRPr="00AE264E">
        <w:rPr>
          <w:color w:val="000000" w:themeColor="text1"/>
        </w:rPr>
        <w:t>Trust emerged as a dominant theme and correlated with the level of confidence when people invested in AI. If the investor thinks that AI powered recommendations are competent, accurate, transparent and reliable, they are more likely to trust the recommended product or service. Financial and digital literacy enable individuals to consider AI suggestions and conclusions, rather than simply accepting them on faith. The study also uncovered inaccuracies in the outputs, concerns about privacy and the lack of privacy, algorithmic bias, ethical issues, and technological complexity on the automated output recommendation. So, in addition to reducing uncertainty, AI can also add to technological and informational uncertainty by helping people to access financial information. In general, AI, coupled with trust, transparency, investor literacy, and responsible governance and human oversight, can help to improve the overall confidence of investors in its use the first time they invest. Henceforth, AI must be considered as a tool to assist in making decisions and not a replacement for financial knowledge.</w:t>
      </w:r>
    </w:p>
    <w:p w:rsidR="00EB6DA5" w:rsidRPr="00AE264E" w:rsidRDefault="00785E4B">
      <w:pPr>
        <w:pStyle w:val="Heading2"/>
        <w:rPr>
          <w:color w:val="000000" w:themeColor="text1"/>
        </w:rPr>
      </w:pPr>
      <w:bookmarkStart w:id="69" w:name="_Toc241178772"/>
      <w:r w:rsidRPr="00AE264E">
        <w:rPr>
          <w:color w:val="000000" w:themeColor="text1"/>
        </w:rPr>
        <w:t>5.2 Linking with objectives</w:t>
      </w:r>
      <w:bookmarkEnd w:id="69"/>
    </w:p>
    <w:p w:rsidR="00EB6DA5" w:rsidRPr="00AE264E" w:rsidRDefault="00785E4B">
      <w:pPr>
        <w:pStyle w:val="Heading3"/>
        <w:rPr>
          <w:color w:val="000000" w:themeColor="text1"/>
        </w:rPr>
      </w:pPr>
      <w:bookmarkStart w:id="70" w:name="_Toc241178773"/>
      <w:r w:rsidRPr="00AE264E">
        <w:rPr>
          <w:color w:val="000000" w:themeColor="text1"/>
        </w:rPr>
        <w:t>5.2.1 Linking with Objective 1</w:t>
      </w:r>
      <w:bookmarkEnd w:id="70"/>
    </w:p>
    <w:p w:rsidR="00EB6DA5" w:rsidRPr="00AE264E" w:rsidRDefault="00785E4B">
      <w:pPr>
        <w:rPr>
          <w:color w:val="000000" w:themeColor="text1"/>
        </w:rPr>
      </w:pPr>
      <w:r w:rsidRPr="00AE264E">
        <w:rPr>
          <w:color w:val="000000" w:themeColor="text1"/>
        </w:rPr>
        <w:t xml:space="preserve">The first one was done by establishing that financial advising is a key component of today's investment service space – and now AI-powered. The intense AI usage boundaries are found instantly, such as robo-advisory services, automatic financial providers and it is possible to report services, the usage of machine learning and personalised financial investment </w:t>
      </w:r>
      <w:r w:rsidRPr="00AE264E">
        <w:rPr>
          <w:color w:val="000000" w:themeColor="text1"/>
        </w:rPr>
        <w:lastRenderedPageBreak/>
        <w:t>suggestions. AI can make financial advice more accessible: AI can quickly process information and remember as much knowledge as possible, and give individually tailored financial advice to financially knowledgeable people to help them make better investment decisions. These elements can be particularly beneficial for the beginner investors that have less financial knowledge and don't have the advice which learned investors might have. This study also revealed that investors' interaction with AI is motivated by usefulness of AI, ease of using AI, and self-majing ability and confidence. Therefore, the goal is achieved by showing that adoption of AI is growing, but hinges on investor perceptions and capabilities.</w:t>
      </w:r>
    </w:p>
    <w:p w:rsidR="00EB6DA5" w:rsidRPr="00AE264E" w:rsidRDefault="00785E4B">
      <w:pPr>
        <w:pStyle w:val="Heading3"/>
        <w:rPr>
          <w:color w:val="000000" w:themeColor="text1"/>
        </w:rPr>
      </w:pPr>
      <w:bookmarkStart w:id="71" w:name="_Toc241178774"/>
      <w:r w:rsidRPr="00AE264E">
        <w:rPr>
          <w:color w:val="000000" w:themeColor="text1"/>
        </w:rPr>
        <w:t>5.2.2 Linking with Objective 2</w:t>
      </w:r>
      <w:bookmarkEnd w:id="71"/>
    </w:p>
    <w:p w:rsidR="00EB6DA5" w:rsidRPr="00AE264E" w:rsidRDefault="00785E4B">
      <w:pPr>
        <w:rPr>
          <w:color w:val="000000" w:themeColor="text1"/>
        </w:rPr>
      </w:pPr>
      <w:r w:rsidRPr="00AE264E">
        <w:rPr>
          <w:color w:val="000000" w:themeColor="text1"/>
        </w:rPr>
        <w:t>The second objective was met by highlighting competence, reliability, transparency and explainability as key factors of investor capability, which act as major determinants in establishing trust. The results reveal that investors will be more inclined to trust an AI when it gives them correct and suitable suggestions, and the logic for its advice can be explained. New investors must also have a certain degree of financial and tech savvy to understand AI-generated content. Usefulness can help facilitate someone’s first engagement with this AI, yet trust is a different issue and that will determine whether investors are willing to take the recommendations that the AI science gives. Therefore, research suggests that this phenomenon of informed trust is especially considered as important as opposed to blind trust. The objective is achieved by articulating the relationships of competence and transparency in the field of AI with investor capability and how this chain of interaction affects investors' trust levels.</w:t>
      </w:r>
    </w:p>
    <w:p w:rsidR="00EB6DA5" w:rsidRPr="00AE264E" w:rsidRDefault="00785E4B">
      <w:pPr>
        <w:pStyle w:val="Heading3"/>
        <w:rPr>
          <w:color w:val="000000" w:themeColor="text1"/>
        </w:rPr>
      </w:pPr>
      <w:bookmarkStart w:id="72" w:name="_Toc241178775"/>
      <w:r w:rsidRPr="00AE264E">
        <w:rPr>
          <w:color w:val="000000" w:themeColor="text1"/>
        </w:rPr>
        <w:t>5.2.3 Linking with Objective 3</w:t>
      </w:r>
      <w:bookmarkEnd w:id="72"/>
    </w:p>
    <w:p w:rsidR="00EB6DA5" w:rsidRPr="00AE264E" w:rsidRDefault="00785E4B">
      <w:pPr>
        <w:rPr>
          <w:color w:val="000000" w:themeColor="text1"/>
        </w:rPr>
      </w:pPr>
      <w:r w:rsidRPr="00AE264E">
        <w:rPr>
          <w:color w:val="000000" w:themeColor="text1"/>
          <w:highlight w:val="white"/>
        </w:rPr>
        <w:t>The third objective was accomplished by the identification of technological, ethical and psychological barriers which may reduce confidence. Inaccurate/misleading outputs, privacy issues, algorithmic bias, lack of transparency, complexity, inertia and overconfidence were identified as important issues for analysis. The risks may be especially pronounced for first-time investors who might not have the knowledge and resources to confirm the advisability of recommendations based on AI decisions. Constant lack of privacy in the scenarios can lead to a reduction of trustworthiness, while too much trust can result in an AI guidance dependency. This means that in situations where investors have a high degree of confidence, the results indicate that being exposed to this information increases the confidence of investors. Hence, this objective is achieved by showing that investor confidence is reliant on the benefits and perceived risks of AI-generated advice.</w:t>
      </w:r>
    </w:p>
    <w:p w:rsidR="00EB6DA5" w:rsidRPr="00AE264E" w:rsidRDefault="00785E4B">
      <w:pPr>
        <w:pStyle w:val="Heading3"/>
        <w:rPr>
          <w:color w:val="000000" w:themeColor="text1"/>
        </w:rPr>
      </w:pPr>
      <w:bookmarkStart w:id="73" w:name="_Toc241178776"/>
      <w:r w:rsidRPr="00AE264E">
        <w:rPr>
          <w:color w:val="000000" w:themeColor="text1"/>
        </w:rPr>
        <w:lastRenderedPageBreak/>
        <w:t>5.2.4 Linking with Objective 4</w:t>
      </w:r>
      <w:bookmarkEnd w:id="73"/>
    </w:p>
    <w:p w:rsidR="00EB6DA5" w:rsidRPr="00AE264E" w:rsidRDefault="00785E4B">
      <w:pPr>
        <w:rPr>
          <w:color w:val="000000" w:themeColor="text1"/>
        </w:rPr>
      </w:pPr>
      <w:r w:rsidRPr="00AE264E">
        <w:rPr>
          <w:color w:val="000000" w:themeColor="text1"/>
        </w:rPr>
        <w:t>The fourth objective was accomplished through the determination of the measures of implementation that may contribute to enhancing investor confidence around AI. The results show that there is a need for transparency, explainability, sound governance, investor awareness, data protection, monitoring of the risks of bias, and proper human oversight for the responsible use of AI. Financial institutions should take up the responsibility to provide transparent explanations for the reasons behind and risks associated with the recommended decisions, on top of the recommendation itself, in AI tools. A financial and digital literacy program should also be provided to first-time investors to enable them to critically evaluate recommendations. There are situations and decisions where human advisers are still needed, considering complex decisions that involve contextual and ethical judgement. The aim is to establish the need for responsible AI as a technological, organisational and behavioural need.</w:t>
      </w:r>
    </w:p>
    <w:p w:rsidR="00EB6DA5" w:rsidRPr="00AE264E" w:rsidRDefault="00785E4B">
      <w:pPr>
        <w:pStyle w:val="Heading2"/>
        <w:rPr>
          <w:color w:val="000000" w:themeColor="text1"/>
        </w:rPr>
      </w:pPr>
      <w:bookmarkStart w:id="74" w:name="_Toc241178777"/>
      <w:r w:rsidRPr="00AE264E">
        <w:rPr>
          <w:color w:val="000000" w:themeColor="text1"/>
        </w:rPr>
        <w:t>5.3 Limitations</w:t>
      </w:r>
      <w:bookmarkEnd w:id="74"/>
    </w:p>
    <w:p w:rsidR="00EB6DA5" w:rsidRPr="00AE264E" w:rsidRDefault="00785E4B">
      <w:pPr>
        <w:rPr>
          <w:color w:val="000000" w:themeColor="text1"/>
        </w:rPr>
      </w:pPr>
      <w:r w:rsidRPr="00AE264E">
        <w:rPr>
          <w:color w:val="000000" w:themeColor="text1"/>
        </w:rPr>
        <w:t>There are a few issues that need to be recognised, as this study was based on secondary, rather than primary, qualitative data and was not collected directly from first-time UK investors. These findings are not the same as a snapshot of the UK investors' experience, yet an interpretation of evidence that already exists. Furthermore, the geographical range of the research is UK-specific, while some studies selected were completed in other locations. Hence, their results give helpful supporting evidence that is not necessarily generalisable to the UK investment population. Additionally, AI is in a state of constant change, with technologies evolving quickly, along with the expectations and attitudes of regulators and consumers. Moreover, the process of thematic analysis involves thorough interpretations, indicating that other researchers may tend to recognize rather different trends or give other focus to the literature examined. Lastly, the study concentrated on AI-generated financial advice and first-time investors, which restricts its applicability to more experienced investors or other financial-service scenarios.</w:t>
      </w:r>
    </w:p>
    <w:p w:rsidR="00EB6DA5" w:rsidRPr="00AE264E" w:rsidRDefault="00785E4B">
      <w:pPr>
        <w:pStyle w:val="Heading2"/>
        <w:rPr>
          <w:color w:val="000000" w:themeColor="text1"/>
        </w:rPr>
      </w:pPr>
      <w:bookmarkStart w:id="75" w:name="_Toc241178778"/>
      <w:r w:rsidRPr="00AE264E">
        <w:rPr>
          <w:color w:val="000000" w:themeColor="text1"/>
        </w:rPr>
        <w:t>5.4 Recommendations</w:t>
      </w:r>
      <w:bookmarkEnd w:id="75"/>
    </w:p>
    <w:p w:rsidR="00EB6DA5" w:rsidRPr="00AE264E" w:rsidRDefault="00785E4B">
      <w:pPr>
        <w:pStyle w:val="Heading3"/>
        <w:rPr>
          <w:color w:val="000000" w:themeColor="text1"/>
        </w:rPr>
      </w:pPr>
      <w:bookmarkStart w:id="76" w:name="_Toc241178779"/>
      <w:r w:rsidRPr="00AE264E">
        <w:rPr>
          <w:color w:val="000000" w:themeColor="text1"/>
        </w:rPr>
        <w:t>5.4.1 Recommendation 1: Strengthen AI Transparency and Explainability</w:t>
      </w:r>
      <w:bookmarkEnd w:id="76"/>
    </w:p>
    <w:p w:rsidR="00EB6DA5" w:rsidRPr="00AE264E" w:rsidRDefault="00785E4B">
      <w:pPr>
        <w:rPr>
          <w:color w:val="000000" w:themeColor="text1"/>
        </w:rPr>
      </w:pPr>
      <w:r w:rsidRPr="00AE264E">
        <w:rPr>
          <w:color w:val="000000" w:themeColor="text1"/>
        </w:rPr>
        <w:t>Financial institutions need to make financial recommendations by AI more transparent and explainable. AI platforms should be transparent in explaining their recommendations, what data has been factored in and the risks that exist with suggested investment products</w:t>
      </w:r>
      <w:r w:rsidR="00D8422E" w:rsidRPr="00AE264E">
        <w:rPr>
          <w:color w:val="000000" w:themeColor="text1"/>
        </w:rPr>
        <w:t>(Sutiene</w:t>
      </w:r>
      <w:r w:rsidR="00D8422E" w:rsidRPr="00AE264E">
        <w:rPr>
          <w:i/>
          <w:iCs/>
          <w:color w:val="000000" w:themeColor="text1"/>
        </w:rPr>
        <w:t>et al.</w:t>
      </w:r>
      <w:r w:rsidR="00D8422E" w:rsidRPr="00AE264E">
        <w:rPr>
          <w:color w:val="000000" w:themeColor="text1"/>
        </w:rPr>
        <w:t>, 2024)</w:t>
      </w:r>
      <w:r w:rsidRPr="00AE264E">
        <w:rPr>
          <w:color w:val="000000" w:themeColor="text1"/>
        </w:rPr>
        <w:t xml:space="preserve">. This is especially relevant for novice investors, who might not have the necessary financial expertise to make accurate evaluations about complex recommendations. Investors can gain confidence and trust in an algorithm rather than blind faith in its output by providing </w:t>
      </w:r>
      <w:r w:rsidRPr="00AE264E">
        <w:rPr>
          <w:color w:val="000000" w:themeColor="text1"/>
        </w:rPr>
        <w:lastRenderedPageBreak/>
        <w:t>clear explanations (Tuge and Msweli, 2026). Therefore, the financial service provider ought to create user-friendly interfaces that offer recommendations along with understandable explanations, information about risk and suitable disclaimers. Increased transparency could bolster investor trust and aid in fostering more responsible use of AI-powered investment guidance.</w:t>
      </w:r>
    </w:p>
    <w:p w:rsidR="00EB6DA5" w:rsidRPr="00AE264E" w:rsidRDefault="00785E4B">
      <w:pPr>
        <w:pStyle w:val="Heading3"/>
        <w:rPr>
          <w:color w:val="000000" w:themeColor="text1"/>
        </w:rPr>
      </w:pPr>
      <w:bookmarkStart w:id="77" w:name="_Toc241178780"/>
      <w:r w:rsidRPr="00AE264E">
        <w:rPr>
          <w:color w:val="000000" w:themeColor="text1"/>
        </w:rPr>
        <w:t>5.4.2 Recommendation 2: Develop Human-AI Hybrid Advisory and Strengthen Governance</w:t>
      </w:r>
      <w:bookmarkEnd w:id="77"/>
    </w:p>
    <w:p w:rsidR="00EB6DA5" w:rsidRPr="00AE264E" w:rsidRDefault="00785E4B">
      <w:pPr>
        <w:rPr>
          <w:color w:val="000000" w:themeColor="text1"/>
        </w:rPr>
      </w:pPr>
      <w:r w:rsidRPr="00AE264E">
        <w:rPr>
          <w:color w:val="000000" w:themeColor="text1"/>
          <w:highlight w:val="white"/>
        </w:rPr>
        <w:t xml:space="preserve">The combination of both human intelligence and AI competence can create greater opportunities rather than replacing human activities with AI. </w:t>
      </w:r>
      <w:r w:rsidR="00D8422E" w:rsidRPr="00AE264E">
        <w:rPr>
          <w:color w:val="000000" w:themeColor="text1"/>
          <w:highlight w:val="white"/>
        </w:rPr>
        <w:t xml:space="preserve">It is necessary </w:t>
      </w:r>
      <w:r w:rsidRPr="00AE264E">
        <w:rPr>
          <w:color w:val="000000" w:themeColor="text1"/>
          <w:highlight w:val="white"/>
        </w:rPr>
        <w:t>to enhance efficiency and information uptake, yet suggest that human judgment is still indispensable for interpreting content in a meaningful manner, caring for ethical considerations and calming investors</w:t>
      </w:r>
      <w:r w:rsidR="00D8422E" w:rsidRPr="00AE264E">
        <w:rPr>
          <w:color w:val="000000" w:themeColor="text1"/>
        </w:rPr>
        <w:t xml:space="preserve">(Wang </w:t>
      </w:r>
      <w:r w:rsidR="00D8422E" w:rsidRPr="00AE264E">
        <w:rPr>
          <w:i/>
          <w:iCs/>
          <w:color w:val="000000" w:themeColor="text1"/>
        </w:rPr>
        <w:t>et al.</w:t>
      </w:r>
      <w:r w:rsidR="00D8422E" w:rsidRPr="00AE264E">
        <w:rPr>
          <w:color w:val="000000" w:themeColor="text1"/>
        </w:rPr>
        <w:t>, 2023)</w:t>
      </w:r>
      <w:r w:rsidRPr="00AE264E">
        <w:rPr>
          <w:color w:val="000000" w:themeColor="text1"/>
          <w:highlight w:val="white"/>
        </w:rPr>
        <w:t>. Besides the human supervision, it is necessary for organisations to establish a more effective procedure for monitoring the recommendations generated by the AI, as well as identify the algorithmic bias (Aksu, Morandini and Pietrantoni, 2026). Financial advice services should not be wholly driven by automated systems, and there should be clear accountability within organisation to ensure that financial advice is provided. This can assist in achieving a balance among AI's effectiveness and human accountability and judgement.</w:t>
      </w:r>
    </w:p>
    <w:p w:rsidR="00EB6DA5" w:rsidRPr="00AE264E" w:rsidRDefault="00785E4B">
      <w:pPr>
        <w:pStyle w:val="Heading3"/>
        <w:rPr>
          <w:color w:val="000000" w:themeColor="text1"/>
        </w:rPr>
      </w:pPr>
      <w:bookmarkStart w:id="78" w:name="_Toc241178781"/>
      <w:r w:rsidRPr="00AE264E">
        <w:rPr>
          <w:color w:val="000000" w:themeColor="text1"/>
        </w:rPr>
        <w:t>5.4.3 Recommendation 3: Improve financial and digital AI literacy</w:t>
      </w:r>
      <w:bookmarkEnd w:id="78"/>
    </w:p>
    <w:p w:rsidR="00EB6DA5" w:rsidRPr="00AE264E" w:rsidRDefault="00785E4B">
      <w:pPr>
        <w:rPr>
          <w:color w:val="000000" w:themeColor="text1"/>
        </w:rPr>
      </w:pPr>
      <w:r w:rsidRPr="00AE264E">
        <w:rPr>
          <w:color w:val="000000" w:themeColor="text1"/>
        </w:rPr>
        <w:t>For first-time investors, financial institutions and stakeholders in the industry should offer support in terms of financial and digital AI literacy. Educational materials should also address the mechanics of AI-enabled advice, benefits, limitations, privacy concerns, and should share lessons on the need to carefully consider AI-generated recommendations</w:t>
      </w:r>
      <w:r w:rsidR="00D8422E" w:rsidRPr="00AE264E">
        <w:rPr>
          <w:color w:val="000000" w:themeColor="text1"/>
        </w:rPr>
        <w:t>(Shamaileh</w:t>
      </w:r>
      <w:r w:rsidR="00D8422E" w:rsidRPr="00AE264E">
        <w:rPr>
          <w:i/>
          <w:iCs/>
          <w:color w:val="000000" w:themeColor="text1"/>
        </w:rPr>
        <w:t>et al.</w:t>
      </w:r>
      <w:r w:rsidR="00D8422E" w:rsidRPr="00AE264E">
        <w:rPr>
          <w:color w:val="000000" w:themeColor="text1"/>
        </w:rPr>
        <w:t>, 2026)</w:t>
      </w:r>
      <w:r w:rsidRPr="00AE264E">
        <w:rPr>
          <w:color w:val="000000" w:themeColor="text1"/>
        </w:rPr>
        <w:t>. This can assist investors in comparing useful information for decision-making and identifying recommendations that may need further verification (Hanson and Ott, 2026). There were two seemingly divergent issues evident from the findings, including excessive reliance on AI due to overconfidence and too much apprehension due to technological uncertainty. By building investor competence alongside tech competence, there will be greater investor-capable AI-powered financial advice that is more informed, responsible, and sustainable.</w:t>
      </w:r>
    </w:p>
    <w:p w:rsidR="00EB6DA5" w:rsidRPr="00AE264E" w:rsidRDefault="00785E4B">
      <w:pPr>
        <w:pStyle w:val="Heading2"/>
        <w:rPr>
          <w:color w:val="000000" w:themeColor="text1"/>
        </w:rPr>
      </w:pPr>
      <w:bookmarkStart w:id="79" w:name="_Toc241178782"/>
      <w:r w:rsidRPr="00AE264E">
        <w:rPr>
          <w:color w:val="000000" w:themeColor="text1"/>
        </w:rPr>
        <w:t>5.5 Future Scope</w:t>
      </w:r>
      <w:bookmarkEnd w:id="79"/>
    </w:p>
    <w:p w:rsidR="00EB6DA5" w:rsidRPr="00AE264E" w:rsidRDefault="00785E4B">
      <w:pPr>
        <w:rPr>
          <w:color w:val="000000" w:themeColor="text1"/>
        </w:rPr>
      </w:pPr>
      <w:r w:rsidRPr="00AE264E">
        <w:rPr>
          <w:color w:val="000000" w:themeColor="text1"/>
        </w:rPr>
        <w:t>This study could be expanded in future by secondary empirical research with first-time UK investors. Surveys might assess the relationship between perceived usefulness, trust, financial literacy and investors' investment confidence, and interviews can help uncover more insights into investors' experience with investing advice produced by AI. Furthermore, a longitudinal study would also be beneficial, as investors' perceptions and trust could evolve over time as they become more familiar with investment platforms leveraging AI. Differences between first-</w:t>
      </w:r>
      <w:r w:rsidRPr="00AE264E">
        <w:rPr>
          <w:color w:val="000000" w:themeColor="text1"/>
        </w:rPr>
        <w:lastRenderedPageBreak/>
        <w:t>time investors and experienced investors or between the UK and other markets could be examined. A second avenue for future research would be to examine specific applications of generative AI, since the capabilities and risks of each of these may be different. Lastly, a subsequent study could explore how regulatory changes and the responsible-AI principles in the UK shape consumer confidence and the future of AI-driven financial advice.</w:t>
      </w:r>
      <w:r w:rsidRPr="00AE264E">
        <w:rPr>
          <w:color w:val="000000" w:themeColor="text1"/>
        </w:rPr>
        <w:br w:type="page"/>
      </w:r>
    </w:p>
    <w:p w:rsidR="00EB6DA5" w:rsidRPr="00AE264E" w:rsidRDefault="00785E4B">
      <w:pPr>
        <w:pStyle w:val="Heading1"/>
        <w:rPr>
          <w:color w:val="000000" w:themeColor="text1"/>
        </w:rPr>
      </w:pPr>
      <w:bookmarkStart w:id="80" w:name="_Toc241178783"/>
      <w:r w:rsidRPr="00AE264E">
        <w:rPr>
          <w:color w:val="000000" w:themeColor="text1"/>
        </w:rPr>
        <w:lastRenderedPageBreak/>
        <w:t>References</w:t>
      </w:r>
      <w:bookmarkEnd w:id="80"/>
    </w:p>
    <w:p w:rsidR="00D8422E" w:rsidRPr="00AE264E" w:rsidRDefault="00D8422E">
      <w:pPr>
        <w:spacing w:after="240"/>
        <w:rPr>
          <w:color w:val="000000" w:themeColor="text1"/>
        </w:rPr>
      </w:pPr>
      <w:r w:rsidRPr="00AE264E">
        <w:rPr>
          <w:color w:val="000000" w:themeColor="text1"/>
        </w:rPr>
        <w:t xml:space="preserve">Addo, J.O., Cúg, J., Keelson, S.A., Amoah, J. and Petráková, Z. (2025) “Behavioral risk management in Investment strategies: Analyzing investor psychology,” </w:t>
      </w:r>
      <w:r w:rsidRPr="00AE264E">
        <w:rPr>
          <w:i/>
          <w:iCs/>
          <w:color w:val="000000" w:themeColor="text1"/>
        </w:rPr>
        <w:t>International journal of Financial studies</w:t>
      </w:r>
      <w:r w:rsidRPr="00AE264E">
        <w:rPr>
          <w:color w:val="000000" w:themeColor="text1"/>
        </w:rPr>
        <w:t xml:space="preserve">, 13(2), p. 53. Available at: </w:t>
      </w:r>
      <w:hyperlink r:id="rId16" w:history="1">
        <w:r w:rsidRPr="003C5F27">
          <w:rPr>
            <w:rStyle w:val="Hyperlink"/>
          </w:rPr>
          <w:t>https://doi.org/10.3390/ijfs13020053.</w:t>
        </w:r>
      </w:hyperlink>
    </w:p>
    <w:p w:rsidR="00D8422E" w:rsidRPr="00AE264E" w:rsidRDefault="00D8422E">
      <w:pPr>
        <w:spacing w:after="240"/>
        <w:rPr>
          <w:color w:val="000000" w:themeColor="text1"/>
        </w:rPr>
      </w:pPr>
      <w:r w:rsidRPr="00AE264E">
        <w:rPr>
          <w:color w:val="000000" w:themeColor="text1"/>
        </w:rPr>
        <w:t xml:space="preserve">Afreen, J., Mohaghegh, M. and Doborjeh, M. (2025) “Systematic literature review on bias mitigation in generative AI,” </w:t>
      </w:r>
      <w:r w:rsidRPr="00AE264E">
        <w:rPr>
          <w:i/>
          <w:iCs/>
          <w:color w:val="000000" w:themeColor="text1"/>
        </w:rPr>
        <w:t>AI and ethics</w:t>
      </w:r>
      <w:r w:rsidRPr="00AE264E">
        <w:rPr>
          <w:color w:val="000000" w:themeColor="text1"/>
        </w:rPr>
        <w:t xml:space="preserve"> [Preprint]. Available at: </w:t>
      </w:r>
      <w:hyperlink r:id="rId17" w:history="1">
        <w:r w:rsidRPr="003C5F27">
          <w:rPr>
            <w:rStyle w:val="Hyperlink"/>
          </w:rPr>
          <w:t>https://doi.org/10.1007/s43681-025-00721-9.</w:t>
        </w:r>
      </w:hyperlink>
    </w:p>
    <w:p w:rsidR="00D8422E" w:rsidRPr="00AE264E" w:rsidRDefault="00D8422E">
      <w:pPr>
        <w:spacing w:after="240"/>
        <w:rPr>
          <w:color w:val="000000" w:themeColor="text1"/>
        </w:rPr>
      </w:pPr>
      <w:r w:rsidRPr="00AE264E">
        <w:rPr>
          <w:color w:val="000000" w:themeColor="text1"/>
        </w:rPr>
        <w:t xml:space="preserve">Ahmed, S.K., Mohammed, R.A., Nashwan, A.J., Ibrahim, R.H., Abdalla, A.Q., Ameen, B.M.M. and Khidhir, R.M. (2025) “Using thematic analysis in qualitative research,” </w:t>
      </w:r>
      <w:r w:rsidRPr="00AE264E">
        <w:rPr>
          <w:i/>
          <w:iCs/>
          <w:color w:val="000000" w:themeColor="text1"/>
        </w:rPr>
        <w:t>Journal of Medicine, Surgery, and Public Health</w:t>
      </w:r>
      <w:r w:rsidRPr="00AE264E">
        <w:rPr>
          <w:color w:val="000000" w:themeColor="text1"/>
        </w:rPr>
        <w:t xml:space="preserve">, 6(6), p. 100198. Available at: </w:t>
      </w:r>
      <w:hyperlink r:id="rId18" w:history="1">
        <w:r w:rsidRPr="003C5F27">
          <w:rPr>
            <w:rStyle w:val="Hyperlink"/>
          </w:rPr>
          <w:t>https://doi.org/https://doi.org/10.1016/j.glmedi.2025.100198.</w:t>
        </w:r>
      </w:hyperlink>
    </w:p>
    <w:p w:rsidR="00D8422E" w:rsidRPr="00AE264E" w:rsidRDefault="00D8422E">
      <w:pPr>
        <w:spacing w:after="240"/>
        <w:rPr>
          <w:color w:val="000000" w:themeColor="text1"/>
        </w:rPr>
      </w:pPr>
      <w:r w:rsidRPr="00AE264E">
        <w:rPr>
          <w:color w:val="000000" w:themeColor="text1"/>
        </w:rPr>
        <w:t xml:space="preserve">Aksu, F., Morandini, S. and Pietrantoni, L. (2026) “Human–AI teams for decision-making in banking and finance: A systematic scoping review,” </w:t>
      </w:r>
      <w:r w:rsidRPr="00AE264E">
        <w:rPr>
          <w:i/>
          <w:iCs/>
          <w:color w:val="000000" w:themeColor="text1"/>
        </w:rPr>
        <w:t>Human Systems Management</w:t>
      </w:r>
      <w:r w:rsidRPr="00AE264E">
        <w:rPr>
          <w:color w:val="000000" w:themeColor="text1"/>
        </w:rPr>
        <w:t xml:space="preserve"> [Preprint]. Available at: </w:t>
      </w:r>
      <w:hyperlink r:id="rId19" w:history="1">
        <w:r w:rsidRPr="003C5F27">
          <w:rPr>
            <w:rStyle w:val="Hyperlink"/>
          </w:rPr>
          <w:t>https://doi.org/10.1177/01672533261461402.</w:t>
        </w:r>
      </w:hyperlink>
    </w:p>
    <w:p w:rsidR="00D8422E" w:rsidRPr="00AE264E" w:rsidRDefault="00D8422E">
      <w:pPr>
        <w:spacing w:after="240"/>
        <w:rPr>
          <w:color w:val="000000" w:themeColor="text1"/>
        </w:rPr>
      </w:pPr>
      <w:r w:rsidRPr="00AE264E">
        <w:rPr>
          <w:color w:val="000000" w:themeColor="text1"/>
        </w:rPr>
        <w:t xml:space="preserve">Alawamleh, M., Shammas, N., Alawamleh, K. and Bani Ismail, L. (2024) “Examining the limitations of AI in business and the need for human insights using interpretive structural modelling,” </w:t>
      </w:r>
      <w:r w:rsidRPr="00AE264E">
        <w:rPr>
          <w:i/>
          <w:iCs/>
          <w:color w:val="000000" w:themeColor="text1"/>
        </w:rPr>
        <w:t>Journal of open innovation: Technology, market, and complexity</w:t>
      </w:r>
      <w:r w:rsidRPr="00AE264E">
        <w:rPr>
          <w:color w:val="000000" w:themeColor="text1"/>
        </w:rPr>
        <w:t xml:space="preserve">, 10(3), p. 100338. Available at: </w:t>
      </w:r>
      <w:hyperlink r:id="rId20" w:history="1">
        <w:r w:rsidRPr="003C5F27">
          <w:rPr>
            <w:rStyle w:val="Hyperlink"/>
          </w:rPr>
          <w:t>https://doi.org/10.1016/j.joitmc.2024.100338.</w:t>
        </w:r>
      </w:hyperlink>
    </w:p>
    <w:p w:rsidR="00D8422E" w:rsidRPr="00AE264E" w:rsidRDefault="00D8422E">
      <w:pPr>
        <w:spacing w:after="240"/>
        <w:rPr>
          <w:color w:val="000000" w:themeColor="text1"/>
        </w:rPr>
      </w:pPr>
      <w:r w:rsidRPr="00AE264E">
        <w:rPr>
          <w:color w:val="000000" w:themeColor="text1"/>
        </w:rPr>
        <w:t xml:space="preserve">Aldasoro, I., Gambacorta, L., Korinek, A., Shreeti, V. and Stein, M. (2025) “Intelligent financial system: How AI is transforming finance,” </w:t>
      </w:r>
      <w:r w:rsidRPr="00AE264E">
        <w:rPr>
          <w:i/>
          <w:iCs/>
          <w:color w:val="000000" w:themeColor="text1"/>
        </w:rPr>
        <w:t>Journal of Financial stability</w:t>
      </w:r>
      <w:r w:rsidRPr="00AE264E">
        <w:rPr>
          <w:color w:val="000000" w:themeColor="text1"/>
        </w:rPr>
        <w:t>, p. 101472. Available at</w:t>
      </w:r>
      <w:hyperlink r:id="rId21" w:history="1">
        <w:r w:rsidRPr="003C5F27">
          <w:rPr>
            <w:rStyle w:val="Hyperlink"/>
          </w:rPr>
          <w:t>: https://doi.org/10.1016/j.jfs.2025.101472.</w:t>
        </w:r>
      </w:hyperlink>
    </w:p>
    <w:p w:rsidR="00D8422E" w:rsidRPr="00AE264E" w:rsidRDefault="00D8422E">
      <w:pPr>
        <w:spacing w:after="240"/>
        <w:rPr>
          <w:color w:val="000000" w:themeColor="text1"/>
        </w:rPr>
      </w:pPr>
      <w:r w:rsidRPr="00AE264E">
        <w:rPr>
          <w:color w:val="000000" w:themeColor="text1"/>
        </w:rPr>
        <w:t xml:space="preserve">Alnor, N.H.A., Al-Matari, E.M., Mohammed, O.A.A., Eltahir, I.A.E. and Eisa, M.I.A. (2026) “The impact of artificial intelligence in improving the efficiency of financial analysis,” </w:t>
      </w:r>
      <w:r w:rsidRPr="00AE264E">
        <w:rPr>
          <w:i/>
          <w:iCs/>
          <w:color w:val="000000" w:themeColor="text1"/>
        </w:rPr>
        <w:t>Cogent Business &amp;amp; Management</w:t>
      </w:r>
      <w:r w:rsidRPr="00AE264E">
        <w:rPr>
          <w:color w:val="000000" w:themeColor="text1"/>
        </w:rPr>
        <w:t xml:space="preserve">, 13(1). Available at: </w:t>
      </w:r>
      <w:hyperlink r:id="rId22" w:history="1">
        <w:r w:rsidRPr="003C5F27">
          <w:rPr>
            <w:rStyle w:val="Hyperlink"/>
          </w:rPr>
          <w:t>https://doi.org/10.1080/23311975.2026.2651475.</w:t>
        </w:r>
      </w:hyperlink>
    </w:p>
    <w:p w:rsidR="00D8422E" w:rsidRPr="00AE264E" w:rsidRDefault="00D8422E">
      <w:pPr>
        <w:spacing w:after="240"/>
        <w:rPr>
          <w:color w:val="000000" w:themeColor="text1"/>
        </w:rPr>
      </w:pPr>
      <w:r w:rsidRPr="00AE264E">
        <w:rPr>
          <w:color w:val="000000" w:themeColor="text1"/>
        </w:rPr>
        <w:t xml:space="preserve">Alruwaili, T.F. and Mgammal, M.H. (2025) “The impact of artificial intelligence on accounting practices: An academic perspective,” </w:t>
      </w:r>
      <w:r w:rsidRPr="00AE264E">
        <w:rPr>
          <w:i/>
          <w:iCs/>
          <w:color w:val="000000" w:themeColor="text1"/>
        </w:rPr>
        <w:t>Humanities and Social Sciences Communications</w:t>
      </w:r>
      <w:r w:rsidRPr="00AE264E">
        <w:rPr>
          <w:color w:val="000000" w:themeColor="text1"/>
        </w:rPr>
        <w:t>, 12(1). Available at</w:t>
      </w:r>
      <w:hyperlink r:id="rId23" w:history="1">
        <w:r w:rsidRPr="003C5F27">
          <w:rPr>
            <w:rStyle w:val="Hyperlink"/>
          </w:rPr>
          <w:t>: https://doi.org/10.1057/s41599-025-05004-6.</w:t>
        </w:r>
      </w:hyperlink>
    </w:p>
    <w:p w:rsidR="00D8422E" w:rsidRPr="00AE264E" w:rsidRDefault="00D8422E">
      <w:pPr>
        <w:spacing w:after="240"/>
        <w:rPr>
          <w:color w:val="000000" w:themeColor="text1"/>
        </w:rPr>
      </w:pPr>
      <w:r w:rsidRPr="00AE264E">
        <w:rPr>
          <w:color w:val="000000" w:themeColor="text1"/>
        </w:rPr>
        <w:lastRenderedPageBreak/>
        <w:t xml:space="preserve">Barucci, A., Colcelli, V., De Masi, S., Falconi, M., Leo, M.C., Marzola, A., Romagnuolo, I., Sforzi, C. and Pini, R. (2026) “Ethical and regulatory frameworks for Artificial intelligence in clinical research: A european perspective on the artificial intelligence act for Ethics committees and researchers,” </w:t>
      </w:r>
      <w:r w:rsidRPr="00AE264E">
        <w:rPr>
          <w:i/>
          <w:iCs/>
          <w:color w:val="000000" w:themeColor="text1"/>
        </w:rPr>
        <w:t>European cardiology review</w:t>
      </w:r>
      <w:r w:rsidRPr="00AE264E">
        <w:rPr>
          <w:color w:val="000000" w:themeColor="text1"/>
        </w:rPr>
        <w:t xml:space="preserve"> [Preprint]. Available at: </w:t>
      </w:r>
      <w:hyperlink r:id="rId24" w:history="1">
        <w:r w:rsidRPr="003C5F27">
          <w:rPr>
            <w:rStyle w:val="Hyperlink"/>
          </w:rPr>
          <w:t>https://doi.org/10.15420/ecr.2025.59.</w:t>
        </w:r>
      </w:hyperlink>
    </w:p>
    <w:p w:rsidR="00D8422E" w:rsidRPr="00AE264E" w:rsidRDefault="00D8422E">
      <w:pPr>
        <w:spacing w:after="240"/>
        <w:rPr>
          <w:color w:val="000000" w:themeColor="text1"/>
        </w:rPr>
      </w:pPr>
      <w:r w:rsidRPr="00AE264E">
        <w:rPr>
          <w:color w:val="000000" w:themeColor="text1"/>
        </w:rPr>
        <w:t xml:space="preserve">Bouteska, A., Harasheh, M. and Abedin, M.Z. (2023) “Revisiting overconfidence in investment decision-making: Further evidence from the U.S. market,” </w:t>
      </w:r>
      <w:r w:rsidRPr="00AE264E">
        <w:rPr>
          <w:i/>
          <w:iCs/>
          <w:color w:val="000000" w:themeColor="text1"/>
        </w:rPr>
        <w:t>Research in International business and finance</w:t>
      </w:r>
      <w:r w:rsidRPr="00AE264E">
        <w:rPr>
          <w:color w:val="000000" w:themeColor="text1"/>
        </w:rPr>
        <w:t xml:space="preserve">, 66, p. 102028. Available at: </w:t>
      </w:r>
      <w:hyperlink r:id="rId25" w:history="1">
        <w:r w:rsidRPr="003C5F27">
          <w:rPr>
            <w:rStyle w:val="Hyperlink"/>
          </w:rPr>
          <w:t>https://doi.org/10.1016/j.ribaf.2023.102028.</w:t>
        </w:r>
      </w:hyperlink>
    </w:p>
    <w:p w:rsidR="00D8422E" w:rsidRPr="00AE264E" w:rsidRDefault="00D8422E">
      <w:pPr>
        <w:spacing w:after="240"/>
        <w:rPr>
          <w:color w:val="000000" w:themeColor="text1"/>
        </w:rPr>
      </w:pPr>
      <w:r w:rsidRPr="00AE264E">
        <w:rPr>
          <w:color w:val="000000" w:themeColor="text1"/>
        </w:rPr>
        <w:t xml:space="preserve">Bracio, K. and Szarucki, M. (2020) “Mixed methods utilisation in innovation management research: A systematic literature review and meta-summary,” </w:t>
      </w:r>
      <w:r w:rsidRPr="00AE264E">
        <w:rPr>
          <w:i/>
          <w:iCs/>
          <w:color w:val="000000" w:themeColor="text1"/>
        </w:rPr>
        <w:t>Journal of Risk and Financial Management</w:t>
      </w:r>
      <w:r w:rsidRPr="00AE264E">
        <w:rPr>
          <w:color w:val="000000" w:themeColor="text1"/>
        </w:rPr>
        <w:t xml:space="preserve">, 13(11), pp. 1–27. Available at: </w:t>
      </w:r>
      <w:hyperlink r:id="rId26" w:history="1">
        <w:r w:rsidRPr="003C5F27">
          <w:rPr>
            <w:rStyle w:val="Hyperlink"/>
          </w:rPr>
          <w:t>https://doi.org/10.3390/jrfm13110252.</w:t>
        </w:r>
      </w:hyperlink>
    </w:p>
    <w:p w:rsidR="00D8422E" w:rsidRPr="00AE264E" w:rsidRDefault="00D8422E">
      <w:pPr>
        <w:spacing w:after="240"/>
        <w:rPr>
          <w:color w:val="000000" w:themeColor="text1"/>
        </w:rPr>
      </w:pPr>
      <w:r w:rsidRPr="00AE264E">
        <w:rPr>
          <w:color w:val="000000" w:themeColor="text1"/>
        </w:rPr>
        <w:t xml:space="preserve">Braun, V. and Clarke, V. (2006) “Using thematic analysis in psychology,” </w:t>
      </w:r>
      <w:r w:rsidRPr="00AE264E">
        <w:rPr>
          <w:i/>
          <w:iCs/>
          <w:color w:val="000000" w:themeColor="text1"/>
        </w:rPr>
        <w:t>Qualitative Research in Psychology</w:t>
      </w:r>
      <w:r w:rsidRPr="00AE264E">
        <w:rPr>
          <w:color w:val="000000" w:themeColor="text1"/>
        </w:rPr>
        <w:t xml:space="preserve">, 3(2), pp. 77–101. Available at: </w:t>
      </w:r>
      <w:hyperlink r:id="rId27" w:history="1">
        <w:r w:rsidRPr="003C5F27">
          <w:rPr>
            <w:rStyle w:val="Hyperlink"/>
          </w:rPr>
          <w:t>https://doi.org/10.1191/1478088706qp063oa</w:t>
        </w:r>
      </w:hyperlink>
      <w:r w:rsidRPr="00AE264E">
        <w:rPr>
          <w:color w:val="000000" w:themeColor="text1"/>
        </w:rPr>
        <w:t>.</w:t>
      </w:r>
    </w:p>
    <w:p w:rsidR="00D8422E" w:rsidRPr="00AE264E" w:rsidRDefault="00D8422E">
      <w:pPr>
        <w:spacing w:after="240"/>
        <w:rPr>
          <w:color w:val="000000" w:themeColor="text1"/>
        </w:rPr>
      </w:pPr>
      <w:r w:rsidRPr="00AE264E">
        <w:rPr>
          <w:color w:val="000000" w:themeColor="text1"/>
        </w:rPr>
        <w:t xml:space="preserve">Braun, V. and Clarke, V. (2022) “Toward good practice in thematic analysis: Avoiding common problems and BE(com)ing a knowing researcher,” </w:t>
      </w:r>
      <w:r w:rsidRPr="00AE264E">
        <w:rPr>
          <w:i/>
          <w:iCs/>
          <w:color w:val="000000" w:themeColor="text1"/>
        </w:rPr>
        <w:t>International Journal of Transgender Health</w:t>
      </w:r>
      <w:r w:rsidRPr="00AE264E">
        <w:rPr>
          <w:color w:val="000000" w:themeColor="text1"/>
        </w:rPr>
        <w:t xml:space="preserve">, 24(1), pp. 1–6. Available at: </w:t>
      </w:r>
      <w:hyperlink r:id="rId28" w:history="1">
        <w:r w:rsidRPr="003C5F27">
          <w:rPr>
            <w:rStyle w:val="Hyperlink"/>
          </w:rPr>
          <w:t>https://doi.org/https://doi.org/10.1080/26895269.2022.2129597.</w:t>
        </w:r>
      </w:hyperlink>
    </w:p>
    <w:p w:rsidR="00D8422E" w:rsidRPr="00AE264E" w:rsidRDefault="00D8422E">
      <w:pPr>
        <w:spacing w:after="240"/>
        <w:rPr>
          <w:color w:val="000000" w:themeColor="text1"/>
        </w:rPr>
      </w:pPr>
      <w:r w:rsidRPr="00AE264E">
        <w:rPr>
          <w:color w:val="000000" w:themeColor="text1"/>
        </w:rPr>
        <w:t xml:space="preserve">Brüggen, L., Gianni, R., Haan, F. de, Hogreve, J., Meacham, D., Post, T. and Werf, M. van der (2024) “Express: AI-based financial advice: An ethical discourse on AI-based financial advice and ethical reflection framework,” </w:t>
      </w:r>
      <w:r w:rsidRPr="00AE264E">
        <w:rPr>
          <w:i/>
          <w:iCs/>
          <w:color w:val="000000" w:themeColor="text1"/>
        </w:rPr>
        <w:t>Journal of Public policy &amp; marketing</w:t>
      </w:r>
      <w:r w:rsidRPr="00AE264E">
        <w:rPr>
          <w:color w:val="000000" w:themeColor="text1"/>
        </w:rPr>
        <w:t xml:space="preserve"> [Preprint]. Available at: </w:t>
      </w:r>
      <w:hyperlink r:id="rId29" w:history="1">
        <w:r w:rsidRPr="003C5F27">
          <w:rPr>
            <w:rStyle w:val="Hyperlink"/>
          </w:rPr>
          <w:t>https://doi.org/10.1177/07439156241302279.</w:t>
        </w:r>
      </w:hyperlink>
    </w:p>
    <w:p w:rsidR="00D8422E" w:rsidRPr="00AE264E" w:rsidRDefault="00D8422E">
      <w:pPr>
        <w:spacing w:after="240"/>
        <w:rPr>
          <w:color w:val="000000" w:themeColor="text1"/>
        </w:rPr>
      </w:pPr>
      <w:r w:rsidRPr="00AE264E">
        <w:rPr>
          <w:color w:val="000000" w:themeColor="text1"/>
        </w:rPr>
        <w:t xml:space="preserve">Buchanan, B.G. and Wright, D. (2021) “The impact of machine learning on UK financial services,” </w:t>
      </w:r>
      <w:r w:rsidRPr="00AE264E">
        <w:rPr>
          <w:i/>
          <w:iCs/>
          <w:color w:val="000000" w:themeColor="text1"/>
        </w:rPr>
        <w:t>Oxford Review of Economic Policy</w:t>
      </w:r>
      <w:r w:rsidRPr="00AE264E">
        <w:rPr>
          <w:color w:val="000000" w:themeColor="text1"/>
        </w:rPr>
        <w:t xml:space="preserve">, 37(3), pp. 537–563. Available at: </w:t>
      </w:r>
      <w:hyperlink r:id="rId30" w:history="1">
        <w:r w:rsidRPr="003C5F27">
          <w:rPr>
            <w:rStyle w:val="Hyperlink"/>
          </w:rPr>
          <w:t>https://doi.org/10.1093/oxrep/grab016</w:t>
        </w:r>
      </w:hyperlink>
      <w:r w:rsidRPr="00AE264E">
        <w:rPr>
          <w:color w:val="000000" w:themeColor="text1"/>
        </w:rPr>
        <w:t>.</w:t>
      </w:r>
    </w:p>
    <w:p w:rsidR="00D8422E" w:rsidRPr="00AE264E" w:rsidRDefault="00D8422E">
      <w:pPr>
        <w:spacing w:after="240"/>
        <w:rPr>
          <w:color w:val="000000" w:themeColor="text1"/>
        </w:rPr>
      </w:pPr>
      <w:r w:rsidRPr="00AE264E">
        <w:rPr>
          <w:color w:val="000000" w:themeColor="text1"/>
        </w:rPr>
        <w:t xml:space="preserve">Bucher, J. (2021) “Inductive reasoning,” </w:t>
      </w:r>
      <w:r w:rsidRPr="00AE264E">
        <w:rPr>
          <w:i/>
          <w:iCs/>
          <w:color w:val="000000" w:themeColor="text1"/>
        </w:rPr>
        <w:t>The Encyclopedia of Research Methods in Criminology and Criminal Justice</w:t>
      </w:r>
      <w:r w:rsidRPr="00AE264E">
        <w:rPr>
          <w:color w:val="000000" w:themeColor="text1"/>
        </w:rPr>
        <w:t xml:space="preserve">, pp. 200–204. Available at: </w:t>
      </w:r>
      <w:hyperlink r:id="rId31" w:history="1">
        <w:r w:rsidRPr="003C5F27">
          <w:rPr>
            <w:rStyle w:val="Hyperlink"/>
          </w:rPr>
          <w:t>https://doi.org/10.1002/9781119111931.ch36.</w:t>
        </w:r>
      </w:hyperlink>
    </w:p>
    <w:p w:rsidR="00D8422E" w:rsidRPr="00AE264E" w:rsidRDefault="00D8422E">
      <w:pPr>
        <w:spacing w:after="240"/>
        <w:rPr>
          <w:color w:val="000000" w:themeColor="text1"/>
        </w:rPr>
      </w:pPr>
      <w:r w:rsidRPr="00AE264E">
        <w:rPr>
          <w:color w:val="000000" w:themeColor="text1"/>
        </w:rPr>
        <w:lastRenderedPageBreak/>
        <w:t xml:space="preserve">Buczynski, W., Steffek, F., Jamnik, M., Cuzzolin, F. and Sahakian, B. (2025) “Future themes in regulating artificial intelligence in investment management,” </w:t>
      </w:r>
      <w:r w:rsidRPr="00AE264E">
        <w:rPr>
          <w:i/>
          <w:iCs/>
          <w:color w:val="000000" w:themeColor="text1"/>
        </w:rPr>
        <w:t>Computer law &amp; security review</w:t>
      </w:r>
      <w:r w:rsidRPr="00AE264E">
        <w:rPr>
          <w:color w:val="000000" w:themeColor="text1"/>
        </w:rPr>
        <w:t xml:space="preserve">, 56, p. 106111. Available at: </w:t>
      </w:r>
      <w:hyperlink r:id="rId32" w:history="1">
        <w:r w:rsidRPr="003C5F27">
          <w:rPr>
            <w:rStyle w:val="Hyperlink"/>
          </w:rPr>
          <w:t>https://doi.org/10.1016/j.clsr.2025.106111.</w:t>
        </w:r>
      </w:hyperlink>
    </w:p>
    <w:p w:rsidR="00D8422E" w:rsidRPr="00AE264E" w:rsidRDefault="00D8422E">
      <w:pPr>
        <w:spacing w:after="240"/>
        <w:rPr>
          <w:color w:val="000000" w:themeColor="text1"/>
        </w:rPr>
      </w:pPr>
      <w:r w:rsidRPr="00AE264E">
        <w:rPr>
          <w:color w:val="000000" w:themeColor="text1"/>
        </w:rPr>
        <w:t xml:space="preserve">Cerchione, R., Liccardo, G. and Passaro, R. (2025) “Artificial knowledge generation: Investigating the revolutionary role of generative AI in knowledge management,” </w:t>
      </w:r>
      <w:r w:rsidRPr="00AE264E">
        <w:rPr>
          <w:i/>
          <w:iCs/>
          <w:color w:val="000000" w:themeColor="text1"/>
        </w:rPr>
        <w:t>Journal of Innovation &amp; knowledge</w:t>
      </w:r>
      <w:r w:rsidRPr="00AE264E">
        <w:rPr>
          <w:color w:val="000000" w:themeColor="text1"/>
        </w:rPr>
        <w:t xml:space="preserve">, 11, pp. 100866–100866. Available at: </w:t>
      </w:r>
      <w:hyperlink r:id="rId33" w:history="1">
        <w:r w:rsidRPr="003C5F27">
          <w:rPr>
            <w:rStyle w:val="Hyperlink"/>
          </w:rPr>
          <w:t>https://doi.org/10.1016/j.jik.2025.100866.</w:t>
        </w:r>
      </w:hyperlink>
    </w:p>
    <w:p w:rsidR="00D8422E" w:rsidRPr="00AE264E" w:rsidRDefault="00D8422E">
      <w:pPr>
        <w:spacing w:after="240"/>
        <w:rPr>
          <w:color w:val="000000" w:themeColor="text1"/>
        </w:rPr>
      </w:pPr>
      <w:r w:rsidRPr="00AE264E">
        <w:rPr>
          <w:color w:val="000000" w:themeColor="text1"/>
        </w:rPr>
        <w:t xml:space="preserve">Chang, C.-Y.M., Park, S.S. and Dinh, M.C. (2025) “Advice by algorithms: Dual dimensions of trust in AI financial service adoption,” </w:t>
      </w:r>
      <w:r w:rsidRPr="00AE264E">
        <w:rPr>
          <w:i/>
          <w:iCs/>
          <w:color w:val="000000" w:themeColor="text1"/>
        </w:rPr>
        <w:t>Journal of Retailing and Consumer Services</w:t>
      </w:r>
      <w:r w:rsidRPr="00AE264E">
        <w:rPr>
          <w:color w:val="000000" w:themeColor="text1"/>
        </w:rPr>
        <w:t xml:space="preserve">, 88, p. 104537. Available at: </w:t>
      </w:r>
      <w:hyperlink r:id="rId34" w:history="1">
        <w:r w:rsidRPr="003C5F27">
          <w:rPr>
            <w:rStyle w:val="Hyperlink"/>
          </w:rPr>
          <w:t>https://doi.org/10.1016/j.jretconser.2025.104537.</w:t>
        </w:r>
      </w:hyperlink>
    </w:p>
    <w:p w:rsidR="00D8422E" w:rsidRPr="00AE264E" w:rsidRDefault="00D8422E">
      <w:pPr>
        <w:spacing w:after="240"/>
        <w:rPr>
          <w:color w:val="000000" w:themeColor="text1"/>
        </w:rPr>
      </w:pPr>
      <w:r w:rsidRPr="00AE264E">
        <w:rPr>
          <w:color w:val="000000" w:themeColor="text1"/>
        </w:rPr>
        <w:t xml:space="preserve">Charles, V., Emrouznejad, A. and Kunz, W.H. (2025) “Advancements in Artificial intelligence-based prescriptive and cognitive analytics for business performance: A special issue editorial,” </w:t>
      </w:r>
      <w:r w:rsidRPr="00AE264E">
        <w:rPr>
          <w:i/>
          <w:iCs/>
          <w:color w:val="000000" w:themeColor="text1"/>
        </w:rPr>
        <w:t>Journal of Business research</w:t>
      </w:r>
      <w:r w:rsidRPr="00AE264E">
        <w:rPr>
          <w:color w:val="000000" w:themeColor="text1"/>
        </w:rPr>
        <w:t xml:space="preserve">, 200, p. 115576. Available at: </w:t>
      </w:r>
      <w:hyperlink r:id="rId35" w:history="1">
        <w:r w:rsidRPr="003C5F27">
          <w:rPr>
            <w:rStyle w:val="Hyperlink"/>
          </w:rPr>
          <w:t>https://doi.org/10.1016/j.jbusres.2025.115576</w:t>
        </w:r>
      </w:hyperlink>
      <w:r w:rsidRPr="00AE264E">
        <w:rPr>
          <w:color w:val="000000" w:themeColor="text1"/>
        </w:rPr>
        <w:t>.</w:t>
      </w:r>
    </w:p>
    <w:p w:rsidR="00D8422E" w:rsidRPr="00AE264E" w:rsidRDefault="00D8422E">
      <w:pPr>
        <w:spacing w:after="240"/>
        <w:rPr>
          <w:color w:val="000000" w:themeColor="text1"/>
        </w:rPr>
      </w:pPr>
      <w:r w:rsidRPr="00AE264E">
        <w:rPr>
          <w:color w:val="000000" w:themeColor="text1"/>
        </w:rPr>
        <w:t xml:space="preserve">Cheong, H., Lyons, A., Houghton, R. and Majumdar, A. (2023) “Secondary qualitative research methodology using online data within the context of social sciences,” </w:t>
      </w:r>
      <w:r w:rsidRPr="00AE264E">
        <w:rPr>
          <w:i/>
          <w:iCs/>
          <w:color w:val="000000" w:themeColor="text1"/>
        </w:rPr>
        <w:t>International Journal of Qualitative Methods</w:t>
      </w:r>
      <w:r w:rsidRPr="00AE264E">
        <w:rPr>
          <w:color w:val="000000" w:themeColor="text1"/>
        </w:rPr>
        <w:t xml:space="preserve">, 22(1), pp. 1–19. Available at: </w:t>
      </w:r>
      <w:hyperlink r:id="rId36" w:history="1">
        <w:r w:rsidRPr="003C5F27">
          <w:rPr>
            <w:rStyle w:val="Hyperlink"/>
          </w:rPr>
          <w:t>https://doi.org/https://doi.org/10.1177/16094069231180160</w:t>
        </w:r>
      </w:hyperlink>
      <w:r w:rsidRPr="00AE264E">
        <w:rPr>
          <w:color w:val="000000" w:themeColor="text1"/>
        </w:rPr>
        <w:t>.</w:t>
      </w:r>
    </w:p>
    <w:p w:rsidR="00D8422E" w:rsidRPr="00AE264E" w:rsidRDefault="00D8422E">
      <w:pPr>
        <w:spacing w:after="240"/>
        <w:rPr>
          <w:color w:val="000000" w:themeColor="text1"/>
        </w:rPr>
      </w:pPr>
      <w:r w:rsidRPr="00AE264E">
        <w:rPr>
          <w:color w:val="000000" w:themeColor="text1"/>
        </w:rPr>
        <w:t xml:space="preserve">Collins, C., Dennehy, D., Conboy, K. and Mikalef, P. (2021) “Artificial intelligence in Information systems research: A systematic literature review and research agenda,” </w:t>
      </w:r>
      <w:r w:rsidRPr="00AE264E">
        <w:rPr>
          <w:i/>
          <w:iCs/>
          <w:color w:val="000000" w:themeColor="text1"/>
        </w:rPr>
        <w:t>International journal of Information management</w:t>
      </w:r>
      <w:r w:rsidRPr="00AE264E">
        <w:rPr>
          <w:color w:val="000000" w:themeColor="text1"/>
        </w:rPr>
        <w:t xml:space="preserve">, 60(102383). Available at: </w:t>
      </w:r>
      <w:hyperlink r:id="rId37" w:history="1">
        <w:r w:rsidRPr="003C5F27">
          <w:rPr>
            <w:rStyle w:val="Hyperlink"/>
          </w:rPr>
          <w:t>https://doi.org/10.1016/j.ijinfomgt.2021.102383.</w:t>
        </w:r>
      </w:hyperlink>
    </w:p>
    <w:p w:rsidR="00D8422E" w:rsidRPr="00AE264E" w:rsidRDefault="00D8422E">
      <w:pPr>
        <w:spacing w:after="240"/>
        <w:rPr>
          <w:color w:val="000000" w:themeColor="text1"/>
        </w:rPr>
      </w:pPr>
      <w:r w:rsidRPr="00AE264E">
        <w:rPr>
          <w:color w:val="000000" w:themeColor="text1"/>
        </w:rPr>
        <w:t xml:space="preserve">Darwish, F.S.M. (2025) “Financial literacy and investment decision: An empirical study from the Palestine stock exchange,” </w:t>
      </w:r>
      <w:r w:rsidRPr="00AE264E">
        <w:rPr>
          <w:i/>
          <w:iCs/>
          <w:color w:val="000000" w:themeColor="text1"/>
        </w:rPr>
        <w:t>Frontiers in behavioral economics</w:t>
      </w:r>
      <w:r w:rsidRPr="00AE264E">
        <w:rPr>
          <w:color w:val="000000" w:themeColor="text1"/>
        </w:rPr>
        <w:t xml:space="preserve">, 4. Available at: </w:t>
      </w:r>
      <w:hyperlink r:id="rId38" w:history="1">
        <w:r w:rsidRPr="003C5F27">
          <w:rPr>
            <w:rStyle w:val="Hyperlink"/>
          </w:rPr>
          <w:t>https://doi.org/10.3389/frbhe.2025.1444022.</w:t>
        </w:r>
      </w:hyperlink>
    </w:p>
    <w:p w:rsidR="00D8422E" w:rsidRPr="00AE264E" w:rsidRDefault="00D8422E">
      <w:pPr>
        <w:spacing w:after="240"/>
        <w:rPr>
          <w:color w:val="000000" w:themeColor="text1"/>
        </w:rPr>
      </w:pPr>
      <w:r w:rsidRPr="00AE264E">
        <w:rPr>
          <w:color w:val="000000" w:themeColor="text1"/>
        </w:rPr>
        <w:t xml:space="preserve">Davis, F. D (1985) </w:t>
      </w:r>
      <w:r w:rsidRPr="00AE264E">
        <w:rPr>
          <w:i/>
          <w:iCs/>
          <w:color w:val="000000" w:themeColor="text1"/>
        </w:rPr>
        <w:t>A technology acceptance model for Empirically testing new end-user information systems</w:t>
      </w:r>
      <w:r w:rsidRPr="00AE264E">
        <w:rPr>
          <w:color w:val="000000" w:themeColor="text1"/>
        </w:rPr>
        <w:t>. Massachusetts Institute of Technology.</w:t>
      </w:r>
    </w:p>
    <w:p w:rsidR="00D8422E" w:rsidRPr="00AE264E" w:rsidRDefault="00D8422E">
      <w:pPr>
        <w:spacing w:after="240"/>
        <w:rPr>
          <w:color w:val="000000" w:themeColor="text1"/>
        </w:rPr>
      </w:pPr>
      <w:r w:rsidRPr="00AE264E">
        <w:rPr>
          <w:color w:val="000000" w:themeColor="text1"/>
        </w:rPr>
        <w:lastRenderedPageBreak/>
        <w:t xml:space="preserve">De, W. and Bechler, C.J. (2024) “Unveiling the adverse effects of artificial intelligence on financial decisions via the ai-impact model,” </w:t>
      </w:r>
      <w:r w:rsidRPr="00AE264E">
        <w:rPr>
          <w:i/>
          <w:iCs/>
          <w:color w:val="000000" w:themeColor="text1"/>
        </w:rPr>
        <w:t>Current opinion in psychology</w:t>
      </w:r>
      <w:r w:rsidRPr="00AE264E">
        <w:rPr>
          <w:color w:val="000000" w:themeColor="text1"/>
        </w:rPr>
        <w:t>, 58, pp. 101843–101843. Available at: https</w:t>
      </w:r>
      <w:hyperlink r:id="rId39" w:history="1">
        <w:r w:rsidRPr="003C5F27">
          <w:rPr>
            <w:rStyle w:val="Hyperlink"/>
          </w:rPr>
          <w:t>://doi.org/10.1016/j.copsyc.2024.101843.</w:t>
        </w:r>
      </w:hyperlink>
    </w:p>
    <w:p w:rsidR="00D8422E" w:rsidRPr="00AE264E" w:rsidRDefault="00D8422E">
      <w:pPr>
        <w:spacing w:after="240"/>
        <w:rPr>
          <w:color w:val="000000" w:themeColor="text1"/>
        </w:rPr>
      </w:pPr>
      <w:r w:rsidRPr="00AE264E">
        <w:rPr>
          <w:color w:val="000000" w:themeColor="text1"/>
        </w:rPr>
        <w:t xml:space="preserve">Ebrahimi, S., Abdelhalim, E., Hassanein, K. and Head, M. (2024) “Reducing the incidence of Biased algorithmic decisions through feature importance transparency: An empirical study,” </w:t>
      </w:r>
      <w:r w:rsidRPr="00AE264E">
        <w:rPr>
          <w:i/>
          <w:iCs/>
          <w:color w:val="000000" w:themeColor="text1"/>
        </w:rPr>
        <w:t>European journal of Information systems</w:t>
      </w:r>
      <w:r w:rsidRPr="00AE264E">
        <w:rPr>
          <w:color w:val="000000" w:themeColor="text1"/>
        </w:rPr>
        <w:t xml:space="preserve">, 34(4), pp. 1–29. Available at: </w:t>
      </w:r>
      <w:hyperlink r:id="rId40" w:history="1">
        <w:r w:rsidRPr="00AD5780">
          <w:rPr>
            <w:rStyle w:val="Hyperlink"/>
          </w:rPr>
          <w:t>https://doi.org/10.1080/0960085x.2024.2395531.</w:t>
        </w:r>
      </w:hyperlink>
    </w:p>
    <w:p w:rsidR="00D8422E" w:rsidRPr="00AE264E" w:rsidRDefault="00D8422E">
      <w:pPr>
        <w:spacing w:after="240"/>
        <w:rPr>
          <w:color w:val="000000" w:themeColor="text1"/>
        </w:rPr>
      </w:pPr>
      <w:r w:rsidRPr="00AE264E">
        <w:rPr>
          <w:color w:val="000000" w:themeColor="text1"/>
        </w:rPr>
        <w:t xml:space="preserve">FCA (2026) </w:t>
      </w:r>
      <w:r w:rsidRPr="00AE264E">
        <w:rPr>
          <w:i/>
          <w:iCs/>
          <w:color w:val="000000" w:themeColor="text1"/>
        </w:rPr>
        <w:t>FCA publishes landmark review into impact of AI on retail financial services</w:t>
      </w:r>
      <w:r w:rsidRPr="00AE264E">
        <w:rPr>
          <w:color w:val="000000" w:themeColor="text1"/>
        </w:rPr>
        <w:t xml:space="preserve">, </w:t>
      </w:r>
      <w:r w:rsidRPr="00AE264E">
        <w:rPr>
          <w:i/>
          <w:iCs/>
          <w:color w:val="000000" w:themeColor="text1"/>
        </w:rPr>
        <w:t>FCA</w:t>
      </w:r>
      <w:r w:rsidRPr="00AE264E">
        <w:rPr>
          <w:color w:val="000000" w:themeColor="text1"/>
        </w:rPr>
        <w:t xml:space="preserve">. Available at: </w:t>
      </w:r>
      <w:hyperlink r:id="rId41" w:history="1">
        <w:r w:rsidRPr="00AD5780">
          <w:rPr>
            <w:rStyle w:val="Hyperlink"/>
          </w:rPr>
          <w:t>https://www.fca.org.uk/news/press-releases/fca-publishes-landmark-review-impact-ai-retail-financial-services</w:t>
        </w:r>
      </w:hyperlink>
      <w:r w:rsidRPr="00AE264E">
        <w:rPr>
          <w:color w:val="000000" w:themeColor="text1"/>
        </w:rPr>
        <w:t xml:space="preserve"> (Accessed: July 18, 2026).</w:t>
      </w:r>
    </w:p>
    <w:p w:rsidR="00D8422E" w:rsidRPr="00AE264E" w:rsidRDefault="00D8422E">
      <w:pPr>
        <w:spacing w:after="240"/>
        <w:rPr>
          <w:color w:val="000000" w:themeColor="text1"/>
        </w:rPr>
      </w:pPr>
      <w:r w:rsidRPr="00AE264E">
        <w:rPr>
          <w:color w:val="000000" w:themeColor="text1"/>
        </w:rPr>
        <w:t xml:space="preserve">Fischer, F. (2025) “Interpretivism vs. positivism in policy studies: Is there common ground?,” </w:t>
      </w:r>
      <w:r w:rsidRPr="00AE264E">
        <w:rPr>
          <w:i/>
          <w:iCs/>
          <w:color w:val="000000" w:themeColor="text1"/>
        </w:rPr>
        <w:t>Critical Policy Studies</w:t>
      </w:r>
      <w:r w:rsidRPr="00AE264E">
        <w:rPr>
          <w:color w:val="000000" w:themeColor="text1"/>
        </w:rPr>
        <w:t xml:space="preserve">, pp. 1–6. Available at: </w:t>
      </w:r>
      <w:hyperlink r:id="rId42" w:history="1">
        <w:r w:rsidRPr="00AD5780">
          <w:rPr>
            <w:rStyle w:val="Hyperlink"/>
          </w:rPr>
          <w:t>https://doi.org/10.1080/19460171.2025.2536645.</w:t>
        </w:r>
      </w:hyperlink>
    </w:p>
    <w:p w:rsidR="00D8422E" w:rsidRPr="00AE264E" w:rsidRDefault="00D8422E">
      <w:pPr>
        <w:spacing w:after="240"/>
        <w:rPr>
          <w:color w:val="000000" w:themeColor="text1"/>
        </w:rPr>
      </w:pPr>
      <w:r w:rsidRPr="00AE264E">
        <w:rPr>
          <w:color w:val="000000" w:themeColor="text1"/>
        </w:rPr>
        <w:t xml:space="preserve">Forde, C. (2022) “The potential of archival methods in industrial relations, sociology of work, management and HRM Research: A case study of the relationship between temporary employment agencies and the state in the UK during the 1980s,” </w:t>
      </w:r>
      <w:r w:rsidRPr="00AE264E">
        <w:rPr>
          <w:i/>
          <w:iCs/>
          <w:color w:val="000000" w:themeColor="text1"/>
        </w:rPr>
        <w:t>Labour and Industry</w:t>
      </w:r>
      <w:r w:rsidRPr="00AE264E">
        <w:rPr>
          <w:color w:val="000000" w:themeColor="text1"/>
        </w:rPr>
        <w:t>, pp. 1–19. Available at</w:t>
      </w:r>
      <w:hyperlink r:id="rId43" w:history="1">
        <w:r w:rsidRPr="00AD5780">
          <w:rPr>
            <w:rStyle w:val="Hyperlink"/>
          </w:rPr>
          <w:t>: https://doi.org/https://doi.org/10.1080/10301763.2022.2158436.</w:t>
        </w:r>
      </w:hyperlink>
    </w:p>
    <w:p w:rsidR="00D8422E" w:rsidRPr="00AE264E" w:rsidRDefault="00D8422E">
      <w:pPr>
        <w:spacing w:after="240"/>
        <w:rPr>
          <w:color w:val="000000" w:themeColor="text1"/>
        </w:rPr>
      </w:pPr>
      <w:r w:rsidRPr="00AE264E">
        <w:rPr>
          <w:color w:val="000000" w:themeColor="text1"/>
        </w:rPr>
        <w:t xml:space="preserve">Frederiks, A.J., Costa, S., Hulst, B. and Groen, A.J. (2022) “The early bird catches the worm: The role of regulatory uncertainty in early adoption of blockchain’s cryptocurrency by fintech ventures,” </w:t>
      </w:r>
      <w:r w:rsidRPr="00AE264E">
        <w:rPr>
          <w:i/>
          <w:iCs/>
          <w:color w:val="000000" w:themeColor="text1"/>
        </w:rPr>
        <w:t>Journal of Small business management</w:t>
      </w:r>
      <w:r w:rsidRPr="00AE264E">
        <w:rPr>
          <w:color w:val="000000" w:themeColor="text1"/>
        </w:rPr>
        <w:t xml:space="preserve">, 62(2), pp. 1–34. Available at: </w:t>
      </w:r>
      <w:hyperlink r:id="rId44" w:history="1">
        <w:r w:rsidRPr="00AD5780">
          <w:rPr>
            <w:rStyle w:val="Hyperlink"/>
          </w:rPr>
          <w:t>https://doi.org/10.1080/00472778.2022.2089355.</w:t>
        </w:r>
      </w:hyperlink>
    </w:p>
    <w:p w:rsidR="00D8422E" w:rsidRPr="00AE264E" w:rsidRDefault="00D8422E">
      <w:pPr>
        <w:spacing w:after="240"/>
        <w:rPr>
          <w:color w:val="000000" w:themeColor="text1"/>
        </w:rPr>
      </w:pPr>
      <w:r w:rsidRPr="00AE264E">
        <w:rPr>
          <w:color w:val="000000" w:themeColor="text1"/>
        </w:rPr>
        <w:t xml:space="preserve">Fundira, M. and Mbohwa, C. (2025) “AI ethics in banking services: A systematic and bibliometric review of regulatory and consumer perspectives,” </w:t>
      </w:r>
      <w:r w:rsidRPr="00AE264E">
        <w:rPr>
          <w:i/>
          <w:iCs/>
          <w:color w:val="000000" w:themeColor="text1"/>
        </w:rPr>
        <w:t>Discover Artificial Intelligence</w:t>
      </w:r>
      <w:r w:rsidRPr="00AE264E">
        <w:rPr>
          <w:color w:val="000000" w:themeColor="text1"/>
        </w:rPr>
        <w:t>, 5(1). Available at: https</w:t>
      </w:r>
      <w:hyperlink r:id="rId45" w:history="1">
        <w:r w:rsidRPr="00AD5780">
          <w:rPr>
            <w:rStyle w:val="Hyperlink"/>
          </w:rPr>
          <w:t>://doi.org/10.1007/s44163-025-00432-4.</w:t>
        </w:r>
      </w:hyperlink>
    </w:p>
    <w:p w:rsidR="00D8422E" w:rsidRPr="00AE264E" w:rsidRDefault="00D8422E">
      <w:pPr>
        <w:spacing w:after="240"/>
        <w:rPr>
          <w:color w:val="000000" w:themeColor="text1"/>
        </w:rPr>
      </w:pPr>
      <w:r w:rsidRPr="00AE264E">
        <w:rPr>
          <w:color w:val="000000" w:themeColor="text1"/>
        </w:rPr>
        <w:t xml:space="preserve">Ghosh, M. (2025) “Artificial intelligence (AI) and ethical concerns: A review and research agenda,” </w:t>
      </w:r>
      <w:r w:rsidRPr="00AE264E">
        <w:rPr>
          <w:i/>
          <w:iCs/>
          <w:color w:val="000000" w:themeColor="text1"/>
        </w:rPr>
        <w:t>Cogent business &amp; management</w:t>
      </w:r>
      <w:r w:rsidRPr="00AE264E">
        <w:rPr>
          <w:color w:val="000000" w:themeColor="text1"/>
        </w:rPr>
        <w:t xml:space="preserve">, 12(1). Available at: </w:t>
      </w:r>
      <w:hyperlink r:id="rId46" w:history="1">
        <w:r w:rsidRPr="00AD5780">
          <w:rPr>
            <w:rStyle w:val="Hyperlink"/>
          </w:rPr>
          <w:t>https://doi.org/10.1080/23311975.2025.2551809.</w:t>
        </w:r>
      </w:hyperlink>
    </w:p>
    <w:p w:rsidR="00D8422E" w:rsidRPr="00AE264E" w:rsidRDefault="00D8422E">
      <w:pPr>
        <w:spacing w:after="240"/>
        <w:rPr>
          <w:color w:val="000000" w:themeColor="text1"/>
        </w:rPr>
      </w:pPr>
      <w:r w:rsidRPr="00AE264E">
        <w:rPr>
          <w:color w:val="000000" w:themeColor="text1"/>
        </w:rPr>
        <w:lastRenderedPageBreak/>
        <w:t xml:space="preserve">Glassberg, I., Ilan, Y.B. and Zwilling, M. (2025) “The key role of design and transparency in enhancing trust in AI-powered digital agents,” </w:t>
      </w:r>
      <w:r w:rsidRPr="00AE264E">
        <w:rPr>
          <w:i/>
          <w:iCs/>
          <w:color w:val="000000" w:themeColor="text1"/>
        </w:rPr>
        <w:t>Journal of Innovation &amp; knowledge</w:t>
      </w:r>
      <w:r w:rsidRPr="00AE264E">
        <w:rPr>
          <w:color w:val="000000" w:themeColor="text1"/>
        </w:rPr>
        <w:t>, 10(5), pp. 100770–100770. Available at</w:t>
      </w:r>
      <w:hyperlink r:id="rId47" w:history="1">
        <w:r w:rsidRPr="00AD5780">
          <w:rPr>
            <w:rStyle w:val="Hyperlink"/>
          </w:rPr>
          <w:t>: https://doi.org/10.1016/j.jik.2025.100770.</w:t>
        </w:r>
      </w:hyperlink>
    </w:p>
    <w:p w:rsidR="00D8422E" w:rsidRPr="00AE264E" w:rsidRDefault="00D8422E">
      <w:pPr>
        <w:spacing w:after="240"/>
        <w:rPr>
          <w:color w:val="000000" w:themeColor="text1"/>
        </w:rPr>
      </w:pPr>
      <w:r w:rsidRPr="00AE264E">
        <w:rPr>
          <w:color w:val="000000" w:themeColor="text1"/>
        </w:rPr>
        <w:t xml:space="preserve">Government of the UK (2026) </w:t>
      </w:r>
      <w:r w:rsidRPr="00AE264E">
        <w:rPr>
          <w:i/>
          <w:iCs/>
          <w:color w:val="000000" w:themeColor="text1"/>
        </w:rPr>
        <w:t>Current approach to AI in financial services risks serious harm to consumers and wider system - committees - UK parliament</w:t>
      </w:r>
      <w:r w:rsidRPr="00AE264E">
        <w:rPr>
          <w:color w:val="000000" w:themeColor="text1"/>
        </w:rPr>
        <w:t xml:space="preserve">, </w:t>
      </w:r>
      <w:r w:rsidRPr="00AE264E">
        <w:rPr>
          <w:i/>
          <w:iCs/>
          <w:color w:val="000000" w:themeColor="text1"/>
        </w:rPr>
        <w:t>Parliament.uk</w:t>
      </w:r>
      <w:r w:rsidRPr="00AE264E">
        <w:rPr>
          <w:color w:val="000000" w:themeColor="text1"/>
        </w:rPr>
        <w:t xml:space="preserve">. Available at: </w:t>
      </w:r>
      <w:hyperlink r:id="rId48" w:history="1">
        <w:r w:rsidRPr="00AD5780">
          <w:rPr>
            <w:rStyle w:val="Hyperlink"/>
          </w:rPr>
          <w:t>https://committees.parliament.uk/committee/158/treasury-committee/news/211401/current-approach-to-ai-in-financial-services-risks-serious-harm-to-consumers-and-wider-system/ (Accessed: July 17, 2026).</w:t>
        </w:r>
      </w:hyperlink>
    </w:p>
    <w:p w:rsidR="00D8422E" w:rsidRPr="00AE264E" w:rsidRDefault="00D8422E">
      <w:pPr>
        <w:spacing w:after="240"/>
        <w:rPr>
          <w:color w:val="000000" w:themeColor="text1"/>
        </w:rPr>
      </w:pPr>
      <w:r w:rsidRPr="00AE264E">
        <w:rPr>
          <w:color w:val="000000" w:themeColor="text1"/>
        </w:rPr>
        <w:t xml:space="preserve">Grudniewicz, J. and Ślepaczuk, R. (2023) “Application of machine learning in algorithmic investment strategies on global stock markets,” </w:t>
      </w:r>
      <w:r w:rsidRPr="00AE264E">
        <w:rPr>
          <w:i/>
          <w:iCs/>
          <w:color w:val="000000" w:themeColor="text1"/>
        </w:rPr>
        <w:t>Research in International business and finance</w:t>
      </w:r>
      <w:r w:rsidRPr="00AE264E">
        <w:rPr>
          <w:color w:val="000000" w:themeColor="text1"/>
        </w:rPr>
        <w:t>, 66, p. 102052. Available at</w:t>
      </w:r>
      <w:hyperlink r:id="rId49" w:history="1">
        <w:r w:rsidRPr="00AD5780">
          <w:rPr>
            <w:rStyle w:val="Hyperlink"/>
          </w:rPr>
          <w:t>: https://doi.org/10.1016/j.ribaf.2023.102052.</w:t>
        </w:r>
      </w:hyperlink>
    </w:p>
    <w:p w:rsidR="00D8422E" w:rsidRPr="00AE264E" w:rsidRDefault="00D8422E">
      <w:pPr>
        <w:spacing w:after="240"/>
        <w:rPr>
          <w:color w:val="000000" w:themeColor="text1"/>
        </w:rPr>
      </w:pPr>
      <w:r w:rsidRPr="00AE264E">
        <w:rPr>
          <w:color w:val="000000" w:themeColor="text1"/>
        </w:rPr>
        <w:t xml:space="preserve">Guerrero, E.E.P., Medina, M.R.G., Sandoval, F.M., Cruz, J.M.V., Arreola, M.P.G., Méndez, M.A.R., Velázquez, J.A.A. and Hurtado, I.A.G. (2024) “Methodological and statistical considerations for cross-sectional, case–control, and cohort studies,” </w:t>
      </w:r>
      <w:r w:rsidRPr="00AE264E">
        <w:rPr>
          <w:i/>
          <w:iCs/>
          <w:color w:val="000000" w:themeColor="text1"/>
        </w:rPr>
        <w:t>Journal of Clinical Medicine</w:t>
      </w:r>
      <w:r w:rsidRPr="00AE264E">
        <w:rPr>
          <w:color w:val="000000" w:themeColor="text1"/>
        </w:rPr>
        <w:t>, 13(14), p. 4005. Available at</w:t>
      </w:r>
      <w:hyperlink r:id="rId50" w:history="1">
        <w:r w:rsidRPr="00AD5780">
          <w:rPr>
            <w:rStyle w:val="Hyperlink"/>
          </w:rPr>
          <w:t xml:space="preserve">: </w:t>
        </w:r>
        <w:r w:rsidR="00AD5780" w:rsidRPr="00AD5780">
          <w:rPr>
            <w:rStyle w:val="Hyperlink"/>
          </w:rPr>
          <w:t>https://doi.org/10.3390/jcm13144005</w:t>
        </w:r>
        <w:r w:rsidRPr="00AD5780">
          <w:rPr>
            <w:rStyle w:val="Hyperlink"/>
          </w:rPr>
          <w:t>.</w:t>
        </w:r>
      </w:hyperlink>
    </w:p>
    <w:p w:rsidR="00D8422E" w:rsidRPr="00AE264E" w:rsidRDefault="00D8422E">
      <w:pPr>
        <w:spacing w:after="240"/>
        <w:rPr>
          <w:color w:val="000000" w:themeColor="text1"/>
        </w:rPr>
      </w:pPr>
      <w:r w:rsidRPr="00AE264E">
        <w:rPr>
          <w:color w:val="000000" w:themeColor="text1"/>
        </w:rPr>
        <w:t xml:space="preserve">Guo, H. and Polak, P. (2026) “Building trustworthy artificial intelligence through transparency explainability uncertainty and trust calibration,” </w:t>
      </w:r>
      <w:r w:rsidRPr="00AE264E">
        <w:rPr>
          <w:i/>
          <w:iCs/>
          <w:color w:val="000000" w:themeColor="text1"/>
        </w:rPr>
        <w:t>Discover artificial intelligence</w:t>
      </w:r>
      <w:r w:rsidRPr="00AE264E">
        <w:rPr>
          <w:color w:val="000000" w:themeColor="text1"/>
        </w:rPr>
        <w:t xml:space="preserve"> [Preprint]. Available at: </w:t>
      </w:r>
      <w:hyperlink r:id="rId51" w:history="1">
        <w:r w:rsidRPr="00AD5780">
          <w:rPr>
            <w:rStyle w:val="Hyperlink"/>
          </w:rPr>
          <w:t>https://doi.org/10.1007/s44163-026-01219-x</w:t>
        </w:r>
      </w:hyperlink>
      <w:r w:rsidRPr="00AE264E">
        <w:rPr>
          <w:color w:val="000000" w:themeColor="text1"/>
        </w:rPr>
        <w:t>.</w:t>
      </w:r>
    </w:p>
    <w:p w:rsidR="00D8422E" w:rsidRPr="00AE264E" w:rsidRDefault="00D8422E">
      <w:pPr>
        <w:spacing w:after="240"/>
        <w:rPr>
          <w:color w:val="000000" w:themeColor="text1"/>
        </w:rPr>
      </w:pPr>
      <w:r w:rsidRPr="00AE264E">
        <w:rPr>
          <w:color w:val="000000" w:themeColor="text1"/>
        </w:rPr>
        <w:t xml:space="preserve">Guthrie, C.H., Fosso-Wamba, S., Queiroz, M.M. and Cai, H. (2025) “The impact of Artificial intelligence capabilities on Decision-Making performance:,” </w:t>
      </w:r>
      <w:r w:rsidRPr="00AE264E">
        <w:rPr>
          <w:i/>
          <w:iCs/>
          <w:color w:val="000000" w:themeColor="text1"/>
        </w:rPr>
        <w:t>Journal of Global information management</w:t>
      </w:r>
      <w:r w:rsidRPr="00AE264E">
        <w:rPr>
          <w:color w:val="000000" w:themeColor="text1"/>
        </w:rPr>
        <w:t xml:space="preserve">, 33(1). Available at: </w:t>
      </w:r>
      <w:hyperlink r:id="rId52" w:history="1">
        <w:r w:rsidRPr="00AD5780">
          <w:rPr>
            <w:rStyle w:val="Hyperlink"/>
          </w:rPr>
          <w:t>https://doi.org/10.4018/JGIM.395344</w:t>
        </w:r>
      </w:hyperlink>
      <w:r w:rsidRPr="00AE264E">
        <w:rPr>
          <w:color w:val="000000" w:themeColor="text1"/>
        </w:rPr>
        <w:t>.</w:t>
      </w:r>
    </w:p>
    <w:p w:rsidR="00D8422E" w:rsidRPr="00AE264E" w:rsidRDefault="00D8422E">
      <w:pPr>
        <w:spacing w:after="240"/>
        <w:rPr>
          <w:color w:val="000000" w:themeColor="text1"/>
        </w:rPr>
      </w:pPr>
      <w:r w:rsidRPr="00AE264E">
        <w:rPr>
          <w:color w:val="000000" w:themeColor="text1"/>
        </w:rPr>
        <w:t xml:space="preserve">Hanna, M., Pantanowitz, L., Jackson, B., Palmer, O., Visweswaran, S., Pantanowitz, J., Deebajah, M. and Rashidi, H. (2024) “Ethical and bias considerations in Artificial intelligence/machine learning,” </w:t>
      </w:r>
      <w:r w:rsidRPr="00AE264E">
        <w:rPr>
          <w:i/>
          <w:iCs/>
          <w:color w:val="000000" w:themeColor="text1"/>
        </w:rPr>
        <w:t>Modern pathology</w:t>
      </w:r>
      <w:r w:rsidRPr="00AE264E">
        <w:rPr>
          <w:color w:val="000000" w:themeColor="text1"/>
        </w:rPr>
        <w:t xml:space="preserve">, 38(3), pp. 1–13. Available at: </w:t>
      </w:r>
      <w:hyperlink r:id="rId53" w:history="1">
        <w:r w:rsidRPr="00AD5780">
          <w:rPr>
            <w:rStyle w:val="Hyperlink"/>
          </w:rPr>
          <w:t>https://doi.org/10.1016/j.modpat.2024.100686</w:t>
        </w:r>
      </w:hyperlink>
      <w:r w:rsidRPr="00AE264E">
        <w:rPr>
          <w:color w:val="000000" w:themeColor="text1"/>
        </w:rPr>
        <w:t>.</w:t>
      </w:r>
    </w:p>
    <w:p w:rsidR="00D8422E" w:rsidRPr="00AE264E" w:rsidRDefault="00D8422E">
      <w:pPr>
        <w:spacing w:after="240"/>
        <w:rPr>
          <w:color w:val="000000" w:themeColor="text1"/>
        </w:rPr>
      </w:pPr>
      <w:r w:rsidRPr="00AE264E">
        <w:rPr>
          <w:color w:val="000000" w:themeColor="text1"/>
        </w:rPr>
        <w:t xml:space="preserve">Hanson, T.A. and Ott, C. (2026) “Trust in financial technology: The role of financial literacy, Digital Financial literacy, technological literacy, and trust in artificial intelligence,” </w:t>
      </w:r>
      <w:r w:rsidRPr="00AE264E">
        <w:rPr>
          <w:i/>
          <w:iCs/>
          <w:color w:val="000000" w:themeColor="text1"/>
        </w:rPr>
        <w:t>Journal of Risk and Financial Management</w:t>
      </w:r>
      <w:r w:rsidRPr="00AE264E">
        <w:rPr>
          <w:color w:val="000000" w:themeColor="text1"/>
        </w:rPr>
        <w:t xml:space="preserve">, 19(2), p. 97. Available at: </w:t>
      </w:r>
      <w:hyperlink r:id="rId54" w:history="1">
        <w:r w:rsidRPr="00AD5780">
          <w:rPr>
            <w:rStyle w:val="Hyperlink"/>
          </w:rPr>
          <w:t>https://doi.org/10.3390/jrfm19020097.</w:t>
        </w:r>
      </w:hyperlink>
    </w:p>
    <w:p w:rsidR="00D8422E" w:rsidRPr="00AE264E" w:rsidRDefault="00D8422E">
      <w:pPr>
        <w:spacing w:after="240"/>
        <w:rPr>
          <w:color w:val="000000" w:themeColor="text1"/>
        </w:rPr>
      </w:pPr>
      <w:r w:rsidRPr="00AE264E">
        <w:rPr>
          <w:color w:val="000000" w:themeColor="text1"/>
        </w:rPr>
        <w:lastRenderedPageBreak/>
        <w:t xml:space="preserve">Hsu, W.-C., Wang, M.-C. and Ting, H.-I. (2025) “Reducing emotional bias in investment decisions: The role of GPT-4 in financial analysis,” </w:t>
      </w:r>
      <w:r w:rsidRPr="00AE264E">
        <w:rPr>
          <w:i/>
          <w:iCs/>
          <w:color w:val="000000" w:themeColor="text1"/>
        </w:rPr>
        <w:t>Asia-Pacific journal of Business administration</w:t>
      </w:r>
      <w:r w:rsidRPr="00AE264E">
        <w:rPr>
          <w:color w:val="000000" w:themeColor="text1"/>
        </w:rPr>
        <w:t>, pp. 1–26. Available at</w:t>
      </w:r>
      <w:hyperlink r:id="rId55" w:history="1">
        <w:r w:rsidRPr="00AD5780">
          <w:rPr>
            <w:rStyle w:val="Hyperlink"/>
          </w:rPr>
          <w:t>: https://doi.org/10.1108/apjba-03-2025-0181.</w:t>
        </w:r>
      </w:hyperlink>
    </w:p>
    <w:p w:rsidR="00D8422E" w:rsidRPr="00AE264E" w:rsidRDefault="00D8422E">
      <w:pPr>
        <w:spacing w:after="240"/>
        <w:rPr>
          <w:color w:val="000000" w:themeColor="text1"/>
        </w:rPr>
      </w:pPr>
      <w:r w:rsidRPr="00AE264E">
        <w:rPr>
          <w:color w:val="000000" w:themeColor="text1"/>
        </w:rPr>
        <w:t xml:space="preserve">Imarc (2026) </w:t>
      </w:r>
      <w:r w:rsidRPr="00AE264E">
        <w:rPr>
          <w:i/>
          <w:iCs/>
          <w:color w:val="000000" w:themeColor="text1"/>
        </w:rPr>
        <w:t>UK artificial intelligence in finance market report by component (solutions, services), deployment mode (on-premises, cloud-based, hybrid), organization size (large enterprises, small and medium enterprises (smes)), technology (machine learning (ML), natural language processing (NLP), robotic process automation (RPA), computer vision, predictive analytics, and others), application (risk management, fraud detection and prevention, investment/portfolio management, credit scoring and underwriting, personalized banking and customer support, regulatory compliance, and others), end use (banking, insurance, fintech, and others), and region 2026-2034</w:t>
      </w:r>
      <w:r w:rsidRPr="00AE264E">
        <w:rPr>
          <w:color w:val="000000" w:themeColor="text1"/>
        </w:rPr>
        <w:t xml:space="preserve">, </w:t>
      </w:r>
      <w:r w:rsidRPr="00AE264E">
        <w:rPr>
          <w:i/>
          <w:iCs/>
          <w:color w:val="000000" w:themeColor="text1"/>
        </w:rPr>
        <w:t>Imarcgroup.com</w:t>
      </w:r>
      <w:r w:rsidRPr="00AE264E">
        <w:rPr>
          <w:color w:val="000000" w:themeColor="text1"/>
        </w:rPr>
        <w:t xml:space="preserve">. IMARC Group. Available at: </w:t>
      </w:r>
      <w:hyperlink r:id="rId56" w:history="1">
        <w:r w:rsidRPr="00AD5780">
          <w:rPr>
            <w:rStyle w:val="Hyperlink"/>
          </w:rPr>
          <w:t>https://www.imarcgroup.com/uk-artificial-intelligence-in-finance-market</w:t>
        </w:r>
      </w:hyperlink>
      <w:r w:rsidRPr="00AE264E">
        <w:rPr>
          <w:color w:val="000000" w:themeColor="text1"/>
        </w:rPr>
        <w:t xml:space="preserve"> (Accessed: July 16, 2026).</w:t>
      </w:r>
    </w:p>
    <w:p w:rsidR="00D8422E" w:rsidRPr="00AE264E" w:rsidRDefault="00D8422E">
      <w:pPr>
        <w:spacing w:after="240"/>
        <w:rPr>
          <w:color w:val="000000" w:themeColor="text1"/>
        </w:rPr>
      </w:pPr>
      <w:r w:rsidRPr="00AE264E">
        <w:rPr>
          <w:color w:val="000000" w:themeColor="text1"/>
        </w:rPr>
        <w:t xml:space="preserve">Ioannou, A., Tavalaei, M.M., Vatn, D. and Mikalef, P. (2026) “The role of Explainability in AI-Driven financial decision making,” </w:t>
      </w:r>
      <w:r w:rsidRPr="00AE264E">
        <w:rPr>
          <w:i/>
          <w:iCs/>
          <w:color w:val="000000" w:themeColor="text1"/>
        </w:rPr>
        <w:t>Information systems frontiers</w:t>
      </w:r>
      <w:r w:rsidRPr="00AE264E">
        <w:rPr>
          <w:color w:val="000000" w:themeColor="text1"/>
        </w:rPr>
        <w:t xml:space="preserve"> [Preprint]. Available at: </w:t>
      </w:r>
      <w:hyperlink r:id="rId57" w:history="1">
        <w:r w:rsidRPr="00AD5780">
          <w:rPr>
            <w:rStyle w:val="Hyperlink"/>
          </w:rPr>
          <w:t>https://doi.org/10.1007/s10796-026-10727-1.</w:t>
        </w:r>
      </w:hyperlink>
    </w:p>
    <w:p w:rsidR="00D8422E" w:rsidRPr="00AE264E" w:rsidRDefault="00D8422E">
      <w:pPr>
        <w:spacing w:after="240"/>
        <w:rPr>
          <w:color w:val="000000" w:themeColor="text1"/>
        </w:rPr>
      </w:pPr>
      <w:r w:rsidRPr="00AE264E">
        <w:rPr>
          <w:color w:val="000000" w:themeColor="text1"/>
        </w:rPr>
        <w:t xml:space="preserve">Irvine, A. (2023) “First steps in qualitative secondary analysis: Experiences of engaging with the primary research team,” </w:t>
      </w:r>
      <w:r w:rsidRPr="00AE264E">
        <w:rPr>
          <w:i/>
          <w:iCs/>
          <w:color w:val="000000" w:themeColor="text1"/>
        </w:rPr>
        <w:t>International Journal of Social Research Methodology</w:t>
      </w:r>
      <w:r w:rsidRPr="00AE264E">
        <w:rPr>
          <w:color w:val="000000" w:themeColor="text1"/>
        </w:rPr>
        <w:t xml:space="preserve">, 27(6), pp. 1–13. Available at: </w:t>
      </w:r>
      <w:hyperlink r:id="rId58" w:history="1">
        <w:r w:rsidRPr="00AD5780">
          <w:rPr>
            <w:rStyle w:val="Hyperlink"/>
          </w:rPr>
          <w:t>https://doi.org/10.1080/13645579.2023.2267836.</w:t>
        </w:r>
      </w:hyperlink>
    </w:p>
    <w:p w:rsidR="00D8422E" w:rsidRPr="00AE264E" w:rsidRDefault="00D8422E">
      <w:pPr>
        <w:spacing w:after="240"/>
        <w:rPr>
          <w:color w:val="000000" w:themeColor="text1"/>
        </w:rPr>
      </w:pPr>
      <w:r w:rsidRPr="00AE264E">
        <w:rPr>
          <w:color w:val="000000" w:themeColor="text1"/>
        </w:rPr>
        <w:t xml:space="preserve">Kassa, B.Y. and Worku, E.K. (2025) “The impact of Artificial intelligence on organizational performance: The mediating role of Employee productivity,” </w:t>
      </w:r>
      <w:r w:rsidRPr="00AE264E">
        <w:rPr>
          <w:i/>
          <w:iCs/>
          <w:color w:val="000000" w:themeColor="text1"/>
        </w:rPr>
        <w:t>Journal of Open innovation: Technology, market, and complexity</w:t>
      </w:r>
      <w:r w:rsidRPr="00AE264E">
        <w:rPr>
          <w:color w:val="000000" w:themeColor="text1"/>
        </w:rPr>
        <w:t xml:space="preserve">, 11(1), p. 100474. Available at: </w:t>
      </w:r>
      <w:hyperlink r:id="rId59" w:history="1">
        <w:r w:rsidRPr="00AD5780">
          <w:rPr>
            <w:rStyle w:val="Hyperlink"/>
          </w:rPr>
          <w:t>https://doi.org/10.1016/j.joitmc.2025.100474.</w:t>
        </w:r>
      </w:hyperlink>
    </w:p>
    <w:p w:rsidR="00AD5780" w:rsidRPr="00AE264E" w:rsidRDefault="00D8422E" w:rsidP="00AD5780">
      <w:pPr>
        <w:spacing w:after="240"/>
        <w:rPr>
          <w:color w:val="000000" w:themeColor="text1"/>
        </w:rPr>
      </w:pPr>
      <w:r w:rsidRPr="00AE264E">
        <w:rPr>
          <w:color w:val="000000" w:themeColor="text1"/>
        </w:rPr>
        <w:t xml:space="preserve">Kelly, M.M., Peters, T.M. and Farber, J.S. (2024) “Secondary data analysis: Using existing data to answer new questions,” </w:t>
      </w:r>
      <w:r w:rsidRPr="00AE264E">
        <w:rPr>
          <w:i/>
          <w:iCs/>
          <w:color w:val="000000" w:themeColor="text1"/>
        </w:rPr>
        <w:t>Journal of Pediatric Health Care</w:t>
      </w:r>
      <w:r w:rsidRPr="00AE264E">
        <w:rPr>
          <w:color w:val="000000" w:themeColor="text1"/>
        </w:rPr>
        <w:t>, 38(4), pp. 615–618. Available at</w:t>
      </w:r>
      <w:r w:rsidR="00AD5780" w:rsidRPr="00AE264E">
        <w:rPr>
          <w:color w:val="000000" w:themeColor="text1"/>
        </w:rPr>
        <w:t xml:space="preserve">: </w:t>
      </w:r>
      <w:hyperlink r:id="rId60" w:history="1">
        <w:r w:rsidR="00AD5780" w:rsidRPr="00AD5780">
          <w:rPr>
            <w:rStyle w:val="Hyperlink"/>
          </w:rPr>
          <w:t>https://doi.org/https://doi.org/10.1016/j.pedhc.2024.03.005.</w:t>
        </w:r>
      </w:hyperlink>
    </w:p>
    <w:p w:rsidR="00D8422E" w:rsidRPr="00AE264E" w:rsidRDefault="00D8422E">
      <w:pPr>
        <w:spacing w:after="240"/>
        <w:rPr>
          <w:color w:val="000000" w:themeColor="text1"/>
        </w:rPr>
      </w:pPr>
      <w:r w:rsidRPr="00AE264E">
        <w:rPr>
          <w:color w:val="000000" w:themeColor="text1"/>
        </w:rPr>
        <w:t xml:space="preserve">Khan, M.S.R., Rabbani, N. and Kadoya, Y. (2020) “Is financial literacy associated with investment in Financial markets in the united states?,” </w:t>
      </w:r>
      <w:r w:rsidRPr="00AE264E">
        <w:rPr>
          <w:i/>
          <w:iCs/>
          <w:color w:val="000000" w:themeColor="text1"/>
        </w:rPr>
        <w:t>Sustainability</w:t>
      </w:r>
      <w:r w:rsidRPr="00AE264E">
        <w:rPr>
          <w:color w:val="000000" w:themeColor="text1"/>
        </w:rPr>
        <w:t xml:space="preserve">, 12(18), p. 7370. Available at: </w:t>
      </w:r>
      <w:hyperlink r:id="rId61" w:history="1">
        <w:r w:rsidRPr="00AD5780">
          <w:rPr>
            <w:rStyle w:val="Hyperlink"/>
          </w:rPr>
          <w:t>https://doi.org/10.3390/su12187370.</w:t>
        </w:r>
      </w:hyperlink>
    </w:p>
    <w:p w:rsidR="00D8422E" w:rsidRPr="00AE264E" w:rsidRDefault="00D8422E">
      <w:pPr>
        <w:spacing w:after="240"/>
        <w:rPr>
          <w:color w:val="000000" w:themeColor="text1"/>
        </w:rPr>
      </w:pPr>
      <w:r w:rsidRPr="00AE264E">
        <w:rPr>
          <w:color w:val="000000" w:themeColor="text1"/>
        </w:rPr>
        <w:lastRenderedPageBreak/>
        <w:t xml:space="preserve">Kim, S.M. (2021) “Inductive or deductive? Research by maxillofacial surgeons,” </w:t>
      </w:r>
      <w:r w:rsidRPr="00AE264E">
        <w:rPr>
          <w:i/>
          <w:iCs/>
          <w:color w:val="000000" w:themeColor="text1"/>
        </w:rPr>
        <w:t>Journal of the Korean Association of Oral and Maxillofacial Surgeons</w:t>
      </w:r>
      <w:r w:rsidRPr="00AE264E">
        <w:rPr>
          <w:color w:val="000000" w:themeColor="text1"/>
        </w:rPr>
        <w:t xml:space="preserve">, 47(3), pp. 151–152. Available at: </w:t>
      </w:r>
      <w:hyperlink r:id="rId62" w:history="1">
        <w:r w:rsidRPr="00AD5780">
          <w:rPr>
            <w:rStyle w:val="Hyperlink"/>
          </w:rPr>
          <w:t>https://doi.org/10.5125/jkaoms.2021.47.3.151.</w:t>
        </w:r>
      </w:hyperlink>
    </w:p>
    <w:p w:rsidR="00D8422E" w:rsidRPr="00AE264E" w:rsidRDefault="00D8422E">
      <w:pPr>
        <w:spacing w:after="240"/>
        <w:rPr>
          <w:color w:val="000000" w:themeColor="text1"/>
        </w:rPr>
      </w:pPr>
      <w:r w:rsidRPr="00AE264E">
        <w:rPr>
          <w:color w:val="000000" w:themeColor="text1"/>
        </w:rPr>
        <w:t xml:space="preserve">Kiškis, M. (2026) “AI on the path to good decisions,” </w:t>
      </w:r>
      <w:r w:rsidRPr="00AE264E">
        <w:rPr>
          <w:i/>
          <w:iCs/>
          <w:color w:val="000000" w:themeColor="text1"/>
        </w:rPr>
        <w:t>Sustainable futures</w:t>
      </w:r>
      <w:r w:rsidRPr="00AE264E">
        <w:rPr>
          <w:color w:val="000000" w:themeColor="text1"/>
        </w:rPr>
        <w:t xml:space="preserve">, 11, p. 101644. Available at: </w:t>
      </w:r>
      <w:hyperlink r:id="rId63" w:history="1">
        <w:r w:rsidRPr="00AD5780">
          <w:rPr>
            <w:rStyle w:val="Hyperlink"/>
          </w:rPr>
          <w:t>https://doi.org/10.1016/j.sftr.2026.101644.</w:t>
        </w:r>
      </w:hyperlink>
    </w:p>
    <w:p w:rsidR="00D8422E" w:rsidRPr="00AE264E" w:rsidRDefault="00D8422E">
      <w:pPr>
        <w:spacing w:after="240"/>
        <w:rPr>
          <w:color w:val="000000" w:themeColor="text1"/>
        </w:rPr>
      </w:pPr>
      <w:r w:rsidRPr="00AE264E">
        <w:rPr>
          <w:color w:val="000000" w:themeColor="text1"/>
        </w:rPr>
        <w:t xml:space="preserve">Kou, G., Li, Y., Wang, H. and Wang, X. (2026) “Human–AI hybrid finance: From AI tools to decision systems,” </w:t>
      </w:r>
      <w:r w:rsidRPr="00AE264E">
        <w:rPr>
          <w:i/>
          <w:iCs/>
          <w:color w:val="000000" w:themeColor="text1"/>
        </w:rPr>
        <w:t>Financial innovation</w:t>
      </w:r>
      <w:r w:rsidRPr="00AE264E">
        <w:rPr>
          <w:color w:val="000000" w:themeColor="text1"/>
        </w:rPr>
        <w:t xml:space="preserve">, 12(1). Available at: </w:t>
      </w:r>
      <w:hyperlink r:id="rId64" w:history="1">
        <w:r w:rsidRPr="00AD5780">
          <w:rPr>
            <w:rStyle w:val="Hyperlink"/>
          </w:rPr>
          <w:t>https://doi.org/10.1186/s40854-026-00941-w.</w:t>
        </w:r>
      </w:hyperlink>
    </w:p>
    <w:p w:rsidR="00D8422E" w:rsidRPr="00AE264E" w:rsidRDefault="00D8422E">
      <w:pPr>
        <w:spacing w:after="240"/>
        <w:rPr>
          <w:color w:val="000000" w:themeColor="text1"/>
        </w:rPr>
      </w:pPr>
      <w:r w:rsidRPr="00AE264E">
        <w:rPr>
          <w:color w:val="000000" w:themeColor="text1"/>
        </w:rPr>
        <w:t xml:space="preserve">Laari, L. (2025) “Inductive-deductive qualitative data analysis logic in health sciences research: A framework for analysing qualitative data,” </w:t>
      </w:r>
      <w:r w:rsidRPr="00AE264E">
        <w:rPr>
          <w:i/>
          <w:iCs/>
          <w:color w:val="000000" w:themeColor="text1"/>
        </w:rPr>
        <w:t>International Journal of Qualitative Methods</w:t>
      </w:r>
      <w:r w:rsidRPr="00AE264E">
        <w:rPr>
          <w:color w:val="000000" w:themeColor="text1"/>
        </w:rPr>
        <w:t xml:space="preserve">, 24. Available at: </w:t>
      </w:r>
      <w:hyperlink r:id="rId65" w:history="1">
        <w:r w:rsidRPr="00AD5780">
          <w:rPr>
            <w:rStyle w:val="Hyperlink"/>
          </w:rPr>
          <w:t>https://doi.org/10.1177/16094069251381706</w:t>
        </w:r>
      </w:hyperlink>
      <w:r w:rsidRPr="00AE264E">
        <w:rPr>
          <w:color w:val="000000" w:themeColor="text1"/>
        </w:rPr>
        <w:t>.</w:t>
      </w:r>
    </w:p>
    <w:p w:rsidR="00D8422E" w:rsidRPr="00AE264E" w:rsidRDefault="00D8422E">
      <w:pPr>
        <w:spacing w:after="240"/>
        <w:rPr>
          <w:color w:val="000000" w:themeColor="text1"/>
        </w:rPr>
      </w:pPr>
      <w:r w:rsidRPr="00AE264E">
        <w:rPr>
          <w:color w:val="000000" w:themeColor="text1"/>
        </w:rPr>
        <w:t xml:space="preserve">Lee, A.T., Ramasamy, R.K. and Subbarao, A. (2025) “Understanding psychosocial barriers to Healthcare technology adoption: A review of TAM technology acceptance model and unified theory of Acceptance and use of Technology and utaut frameworks,” </w:t>
      </w:r>
      <w:r w:rsidRPr="00AE264E">
        <w:rPr>
          <w:i/>
          <w:iCs/>
          <w:color w:val="000000" w:themeColor="text1"/>
        </w:rPr>
        <w:t>Healthcare</w:t>
      </w:r>
      <w:r w:rsidRPr="00AE264E">
        <w:rPr>
          <w:color w:val="000000" w:themeColor="text1"/>
        </w:rPr>
        <w:t xml:space="preserve">, 13(3), p. 250. Available at: </w:t>
      </w:r>
      <w:hyperlink r:id="rId66" w:history="1">
        <w:r w:rsidRPr="00AD5780">
          <w:rPr>
            <w:rStyle w:val="Hyperlink"/>
          </w:rPr>
          <w:t>https://doi.org/https://doi.org/10.3390/healthcare13030250.</w:t>
        </w:r>
      </w:hyperlink>
    </w:p>
    <w:p w:rsidR="00D8422E" w:rsidRPr="00AE264E" w:rsidRDefault="00D8422E" w:rsidP="00AD5780">
      <w:pPr>
        <w:spacing w:after="240"/>
        <w:jc w:val="left"/>
        <w:rPr>
          <w:color w:val="000000" w:themeColor="text1"/>
        </w:rPr>
      </w:pPr>
      <w:r w:rsidRPr="00AE264E">
        <w:rPr>
          <w:color w:val="000000" w:themeColor="text1"/>
        </w:rPr>
        <w:t xml:space="preserve">Lee, D.K.C., Guan, C., Yu, Y. and Ding, Q. (2024) “A comprehensive review of generative AI in Finance,” </w:t>
      </w:r>
      <w:r w:rsidRPr="00AE264E">
        <w:rPr>
          <w:i/>
          <w:iCs/>
          <w:color w:val="000000" w:themeColor="text1"/>
        </w:rPr>
        <w:t>FinTech</w:t>
      </w:r>
      <w:r w:rsidRPr="00AE264E">
        <w:rPr>
          <w:color w:val="000000" w:themeColor="text1"/>
        </w:rPr>
        <w:t xml:space="preserve">, 3(3), pp. 460–478. Available at: </w:t>
      </w:r>
      <w:hyperlink r:id="rId67" w:history="1">
        <w:r w:rsidRPr="00AD5780">
          <w:rPr>
            <w:rStyle w:val="Hyperlink"/>
          </w:rPr>
          <w:t>https://doi.org/10.3390/fintech3030025.</w:t>
        </w:r>
      </w:hyperlink>
    </w:p>
    <w:p w:rsidR="00D8422E" w:rsidRPr="00AE264E" w:rsidRDefault="00D8422E">
      <w:pPr>
        <w:spacing w:after="240"/>
        <w:rPr>
          <w:color w:val="000000" w:themeColor="text1"/>
        </w:rPr>
      </w:pPr>
      <w:r w:rsidRPr="00AE264E">
        <w:rPr>
          <w:color w:val="000000" w:themeColor="text1"/>
        </w:rPr>
        <w:t xml:space="preserve">Li, H. and Tian, F. (2026) “Advancing Decision-Making through AI-Human collaboration: A systematic review and conceptual framework,” </w:t>
      </w:r>
      <w:r w:rsidRPr="00AE264E">
        <w:rPr>
          <w:i/>
          <w:iCs/>
          <w:color w:val="000000" w:themeColor="text1"/>
        </w:rPr>
        <w:t>Group decision and negotiation</w:t>
      </w:r>
      <w:r w:rsidRPr="00AE264E">
        <w:rPr>
          <w:color w:val="000000" w:themeColor="text1"/>
        </w:rPr>
        <w:t>, 35(2). Available at</w:t>
      </w:r>
      <w:hyperlink r:id="rId68" w:history="1">
        <w:r w:rsidRPr="00AD5780">
          <w:rPr>
            <w:rStyle w:val="Hyperlink"/>
          </w:rPr>
          <w:t>: https://doi.org/10.1007/s10726-026-09980-1.</w:t>
        </w:r>
      </w:hyperlink>
    </w:p>
    <w:p w:rsidR="00D8422E" w:rsidRPr="00AE264E" w:rsidRDefault="00D8422E">
      <w:pPr>
        <w:spacing w:after="240"/>
        <w:rPr>
          <w:color w:val="000000" w:themeColor="text1"/>
        </w:rPr>
      </w:pPr>
      <w:r w:rsidRPr="00AE264E">
        <w:rPr>
          <w:color w:val="000000" w:themeColor="text1"/>
        </w:rPr>
        <w:t xml:space="preserve">Lim, T. (2024) “Environmental, social, and governance (ESG) and artificial intelligence in finance: State-of-the-art and research takeaways,” </w:t>
      </w:r>
      <w:r w:rsidRPr="00AE264E">
        <w:rPr>
          <w:i/>
          <w:iCs/>
          <w:color w:val="000000" w:themeColor="text1"/>
        </w:rPr>
        <w:t>Artificial Intelligence Review</w:t>
      </w:r>
      <w:r w:rsidRPr="00AE264E">
        <w:rPr>
          <w:color w:val="000000" w:themeColor="text1"/>
        </w:rPr>
        <w:t xml:space="preserve">, 57(4). Available at: </w:t>
      </w:r>
      <w:hyperlink r:id="rId69" w:history="1">
        <w:r w:rsidRPr="00AD5780">
          <w:rPr>
            <w:rStyle w:val="Hyperlink"/>
          </w:rPr>
          <w:t>https://doi.org/10.1007/s10462-024-10708-3.</w:t>
        </w:r>
      </w:hyperlink>
    </w:p>
    <w:p w:rsidR="00D8422E" w:rsidRPr="00AE264E" w:rsidRDefault="00D8422E">
      <w:pPr>
        <w:spacing w:after="240"/>
        <w:rPr>
          <w:color w:val="000000" w:themeColor="text1"/>
        </w:rPr>
      </w:pPr>
      <w:r w:rsidRPr="00AE264E">
        <w:rPr>
          <w:color w:val="000000" w:themeColor="text1"/>
        </w:rPr>
        <w:t xml:space="preserve">Lim, W.M. (2023) “Philosophy of science and research paradigm for business research in the transformative age of automation, digitalization, hyperconnectivity, obligations, globalization and sustainability,” </w:t>
      </w:r>
      <w:r w:rsidRPr="00AE264E">
        <w:rPr>
          <w:i/>
          <w:iCs/>
          <w:color w:val="000000" w:themeColor="text1"/>
        </w:rPr>
        <w:t>Journal of Trade Science</w:t>
      </w:r>
      <w:r w:rsidRPr="00AE264E">
        <w:rPr>
          <w:color w:val="000000" w:themeColor="text1"/>
        </w:rPr>
        <w:t xml:space="preserve">, 11(2/3), pp. 3–30. Available at: </w:t>
      </w:r>
      <w:hyperlink r:id="rId70" w:history="1">
        <w:r w:rsidRPr="00AD5780">
          <w:rPr>
            <w:rStyle w:val="Hyperlink"/>
          </w:rPr>
          <w:t>https://doi.org/https://doi.org/10.1108/JTS-07-2023-0015.</w:t>
        </w:r>
      </w:hyperlink>
    </w:p>
    <w:p w:rsidR="00D8422E" w:rsidRPr="00AE264E" w:rsidRDefault="00D8422E">
      <w:pPr>
        <w:spacing w:after="240"/>
        <w:rPr>
          <w:color w:val="000000" w:themeColor="text1"/>
        </w:rPr>
      </w:pPr>
      <w:r w:rsidRPr="00AE264E">
        <w:rPr>
          <w:color w:val="000000" w:themeColor="text1"/>
        </w:rPr>
        <w:lastRenderedPageBreak/>
        <w:t xml:space="preserve">Liu, L.X., Sun, Z., Xu, K. and Chen, C. (2024) “AI-Driven financial analysis: Exploring ChatGPT’s capabilities and challenges,” </w:t>
      </w:r>
      <w:r w:rsidRPr="00AE264E">
        <w:rPr>
          <w:i/>
          <w:iCs/>
          <w:color w:val="000000" w:themeColor="text1"/>
        </w:rPr>
        <w:t>International journal of Financial studies</w:t>
      </w:r>
      <w:r w:rsidRPr="00AE264E">
        <w:rPr>
          <w:color w:val="000000" w:themeColor="text1"/>
        </w:rPr>
        <w:t xml:space="preserve">, 12(3), p. 60. Available at: </w:t>
      </w:r>
      <w:hyperlink r:id="rId71" w:history="1">
        <w:r w:rsidRPr="00AD5780">
          <w:rPr>
            <w:rStyle w:val="Hyperlink"/>
          </w:rPr>
          <w:t>https://doi.org/10.3390/ijfs12030060</w:t>
        </w:r>
      </w:hyperlink>
      <w:r w:rsidRPr="00AE264E">
        <w:rPr>
          <w:color w:val="000000" w:themeColor="text1"/>
        </w:rPr>
        <w:t>.</w:t>
      </w:r>
    </w:p>
    <w:p w:rsidR="00D8422E" w:rsidRPr="00AE264E" w:rsidRDefault="00D8422E">
      <w:pPr>
        <w:spacing w:after="240"/>
        <w:rPr>
          <w:color w:val="000000" w:themeColor="text1"/>
        </w:rPr>
      </w:pPr>
      <w:r w:rsidRPr="00AE264E">
        <w:rPr>
          <w:color w:val="000000" w:themeColor="text1"/>
        </w:rPr>
        <w:t xml:space="preserve">Liu, Y. (2022) “Paradigmatic compatibility matters: A critical review of qualitative-quantitative debate in mixed methods research,” </w:t>
      </w:r>
      <w:r w:rsidRPr="00AE264E">
        <w:rPr>
          <w:i/>
          <w:iCs/>
          <w:color w:val="000000" w:themeColor="text1"/>
        </w:rPr>
        <w:t>SAGE Open</w:t>
      </w:r>
      <w:r w:rsidRPr="00AE264E">
        <w:rPr>
          <w:color w:val="000000" w:themeColor="text1"/>
        </w:rPr>
        <w:t xml:space="preserve">, 12(1), pp. 1–14. Available at: </w:t>
      </w:r>
      <w:hyperlink r:id="rId72" w:history="1">
        <w:r w:rsidRPr="00AD5780">
          <w:rPr>
            <w:rStyle w:val="Hyperlink"/>
          </w:rPr>
          <w:t>https://doi.org/https://doi.org/10.1177/21582440221079922.</w:t>
        </w:r>
      </w:hyperlink>
    </w:p>
    <w:p w:rsidR="00D8422E" w:rsidRPr="00AE264E" w:rsidRDefault="00D8422E">
      <w:pPr>
        <w:spacing w:after="240"/>
        <w:rPr>
          <w:color w:val="000000" w:themeColor="text1"/>
        </w:rPr>
      </w:pPr>
      <w:r w:rsidRPr="00AE264E">
        <w:rPr>
          <w:color w:val="000000" w:themeColor="text1"/>
        </w:rPr>
        <w:t xml:space="preserve">Mahmood, F., Arshad, R., Khan, S., Afzal, A. and Bashir, M. (2024) “Impact of behavioral biases on investment decisions and the moderation effect of financial literacy; an evidence of pakistan,” </w:t>
      </w:r>
      <w:r w:rsidRPr="00AE264E">
        <w:rPr>
          <w:i/>
          <w:iCs/>
          <w:color w:val="000000" w:themeColor="text1"/>
        </w:rPr>
        <w:t>Acta psychologica</w:t>
      </w:r>
      <w:r w:rsidRPr="00AE264E">
        <w:rPr>
          <w:color w:val="000000" w:themeColor="text1"/>
        </w:rPr>
        <w:t xml:space="preserve">, 247, pp. 104303–104303. Available at: </w:t>
      </w:r>
      <w:r w:rsidR="00AD5780">
        <w:rPr>
          <w:color w:val="000000" w:themeColor="text1"/>
        </w:rPr>
        <w:t>y</w:t>
      </w:r>
    </w:p>
    <w:p w:rsidR="00D8422E" w:rsidRPr="00AE264E" w:rsidRDefault="00D8422E">
      <w:pPr>
        <w:spacing w:after="240"/>
        <w:rPr>
          <w:color w:val="000000" w:themeColor="text1"/>
        </w:rPr>
      </w:pPr>
      <w:r w:rsidRPr="00AE264E">
        <w:rPr>
          <w:color w:val="000000" w:themeColor="text1"/>
        </w:rPr>
        <w:t xml:space="preserve">Maier, T., Menold, J. and McComb, C. (2022) “The relationship between performance and trust in AI in e-finance,” </w:t>
      </w:r>
      <w:r w:rsidRPr="00AE264E">
        <w:rPr>
          <w:i/>
          <w:iCs/>
          <w:color w:val="000000" w:themeColor="text1"/>
        </w:rPr>
        <w:t>Frontiers in Artificial Intelligence</w:t>
      </w:r>
      <w:r w:rsidRPr="00AE264E">
        <w:rPr>
          <w:color w:val="000000" w:themeColor="text1"/>
        </w:rPr>
        <w:t xml:space="preserve">, 5. Available at: </w:t>
      </w:r>
      <w:hyperlink r:id="rId73" w:history="1">
        <w:r w:rsidRPr="00AD5780">
          <w:rPr>
            <w:rStyle w:val="Hyperlink"/>
          </w:rPr>
          <w:t>https://doi.org/10.3389/frai.2022.891529.</w:t>
        </w:r>
      </w:hyperlink>
    </w:p>
    <w:p w:rsidR="00D8422E" w:rsidRPr="00AE264E" w:rsidRDefault="00D8422E">
      <w:pPr>
        <w:spacing w:after="240"/>
        <w:rPr>
          <w:color w:val="000000" w:themeColor="text1"/>
        </w:rPr>
      </w:pPr>
      <w:r w:rsidRPr="00AE264E">
        <w:rPr>
          <w:color w:val="000000" w:themeColor="text1"/>
        </w:rPr>
        <w:t xml:space="preserve">Mariani, M.M., Hashemi, N. and Wirtz, J. (2023) “Artificial intelligence empowered conversational agents: A systematic literature review and research agenda,” </w:t>
      </w:r>
      <w:r w:rsidRPr="00AE264E">
        <w:rPr>
          <w:i/>
          <w:iCs/>
          <w:color w:val="000000" w:themeColor="text1"/>
        </w:rPr>
        <w:t>Journal of Business research</w:t>
      </w:r>
      <w:r w:rsidRPr="00AE264E">
        <w:rPr>
          <w:color w:val="000000" w:themeColor="text1"/>
        </w:rPr>
        <w:t xml:space="preserve">, 161(113838), p. 113838. Available at: </w:t>
      </w:r>
      <w:hyperlink r:id="rId74" w:history="1">
        <w:r w:rsidRPr="00AD5780">
          <w:rPr>
            <w:rStyle w:val="Hyperlink"/>
          </w:rPr>
          <w:t>https://doi.org/10.1016/j.jbusres.2023.113838</w:t>
        </w:r>
      </w:hyperlink>
      <w:r w:rsidRPr="00AE264E">
        <w:rPr>
          <w:color w:val="000000" w:themeColor="text1"/>
        </w:rPr>
        <w:t>.</w:t>
      </w:r>
    </w:p>
    <w:p w:rsidR="00D8422E" w:rsidRPr="00AE264E" w:rsidRDefault="00D8422E">
      <w:pPr>
        <w:spacing w:after="240"/>
        <w:rPr>
          <w:color w:val="000000" w:themeColor="text1"/>
        </w:rPr>
      </w:pPr>
      <w:r w:rsidRPr="00AE264E">
        <w:rPr>
          <w:color w:val="000000" w:themeColor="text1"/>
        </w:rPr>
        <w:t xml:space="preserve">Mavlutova, I., Spilbergs, A., Verdenhofs, A., Natrins, A., Arefjevs, I. and Volkova, T. (2022) “Digital transformation as a driver of the financial sector sustainable development: An impact on financial inclusion and operational efficiency,” </w:t>
      </w:r>
      <w:r w:rsidRPr="00AE264E">
        <w:rPr>
          <w:i/>
          <w:iCs/>
          <w:color w:val="000000" w:themeColor="text1"/>
        </w:rPr>
        <w:t>Sustainability</w:t>
      </w:r>
      <w:r w:rsidRPr="00AE264E">
        <w:rPr>
          <w:color w:val="000000" w:themeColor="text1"/>
        </w:rPr>
        <w:t xml:space="preserve">, 15(1), p. 207. Available at: </w:t>
      </w:r>
      <w:hyperlink r:id="rId75" w:history="1">
        <w:r w:rsidRPr="00AD5780">
          <w:rPr>
            <w:rStyle w:val="Hyperlink"/>
          </w:rPr>
          <w:t>https://doi.org/10.3390/su15010207.</w:t>
        </w:r>
      </w:hyperlink>
    </w:p>
    <w:p w:rsidR="00D8422E" w:rsidRPr="00AE264E" w:rsidRDefault="00D8422E">
      <w:pPr>
        <w:spacing w:after="240"/>
        <w:rPr>
          <w:color w:val="000000" w:themeColor="text1"/>
        </w:rPr>
      </w:pPr>
      <w:r w:rsidRPr="00AE264E">
        <w:rPr>
          <w:color w:val="000000" w:themeColor="text1"/>
        </w:rPr>
        <w:t xml:space="preserve">Mayer, R.C., Davis, J.H. and Schoorman, F.D. (1995) “An integrative model of organizational trust,” </w:t>
      </w:r>
      <w:r w:rsidRPr="00AE264E">
        <w:rPr>
          <w:i/>
          <w:iCs/>
          <w:color w:val="000000" w:themeColor="text1"/>
        </w:rPr>
        <w:t>Academy of Management review</w:t>
      </w:r>
      <w:r w:rsidRPr="00AE264E">
        <w:rPr>
          <w:color w:val="000000" w:themeColor="text1"/>
        </w:rPr>
        <w:t>, 20(3), pp. 709–734. Available at: h</w:t>
      </w:r>
      <w:hyperlink r:id="rId76" w:history="1">
        <w:r w:rsidRPr="00AD5780">
          <w:rPr>
            <w:rStyle w:val="Hyperlink"/>
          </w:rPr>
          <w:t>ttps://doi.org/10.5465/amr.1995.9508080335.</w:t>
        </w:r>
      </w:hyperlink>
    </w:p>
    <w:p w:rsidR="00D8422E" w:rsidRPr="00AE264E" w:rsidRDefault="00D8422E">
      <w:pPr>
        <w:spacing w:after="240"/>
        <w:rPr>
          <w:color w:val="000000" w:themeColor="text1"/>
        </w:rPr>
      </w:pPr>
      <w:r w:rsidRPr="00AE264E">
        <w:rPr>
          <w:color w:val="000000" w:themeColor="text1"/>
        </w:rPr>
        <w:t xml:space="preserve">Mbedzi, M.D., Poll, H.M. van der and Poll, J.A. van der (2021) “Enhancing a decision-making framework to address environmental impacts of the South African coalmining industry,” </w:t>
      </w:r>
      <w:r w:rsidRPr="00AE264E">
        <w:rPr>
          <w:i/>
          <w:iCs/>
          <w:color w:val="000000" w:themeColor="text1"/>
        </w:rPr>
        <w:t>Advances in Energy Research</w:t>
      </w:r>
      <w:r w:rsidRPr="00AE264E">
        <w:rPr>
          <w:color w:val="000000" w:themeColor="text1"/>
        </w:rPr>
        <w:t xml:space="preserve"> [Preprint]. Available at: </w:t>
      </w:r>
      <w:hyperlink r:id="rId77" w:history="1">
        <w:r w:rsidRPr="00AD5780">
          <w:rPr>
            <w:rStyle w:val="Hyperlink"/>
          </w:rPr>
          <w:t>https://doi.org/http://dx.doi.org/10.37247/ADERES2EDN.2.2021.14.</w:t>
        </w:r>
      </w:hyperlink>
    </w:p>
    <w:p w:rsidR="00D8422E" w:rsidRPr="00AE264E" w:rsidRDefault="00D8422E">
      <w:pPr>
        <w:spacing w:after="240"/>
        <w:rPr>
          <w:color w:val="000000" w:themeColor="text1"/>
        </w:rPr>
      </w:pPr>
      <w:r w:rsidRPr="00AE264E">
        <w:rPr>
          <w:color w:val="000000" w:themeColor="text1"/>
        </w:rPr>
        <w:lastRenderedPageBreak/>
        <w:t xml:space="preserve">Merter, A.K. and Balcıoğlu, Y.S. (2025) “Financial literacy and decision-making: The impact of knowledge gaps on financial outcomes,” </w:t>
      </w:r>
      <w:r w:rsidRPr="00AE264E">
        <w:rPr>
          <w:i/>
          <w:iCs/>
          <w:color w:val="000000" w:themeColor="text1"/>
        </w:rPr>
        <w:t>Borsa istanbul review</w:t>
      </w:r>
      <w:r w:rsidRPr="00AE264E">
        <w:rPr>
          <w:color w:val="000000" w:themeColor="text1"/>
        </w:rPr>
        <w:t xml:space="preserve"> [Preprint]. Available at: </w:t>
      </w:r>
      <w:hyperlink r:id="rId78" w:history="1">
        <w:r w:rsidRPr="00AD5780">
          <w:rPr>
            <w:rStyle w:val="Hyperlink"/>
          </w:rPr>
          <w:t>https://doi.org/10.1016/j.bir.2025.07.010.</w:t>
        </w:r>
      </w:hyperlink>
    </w:p>
    <w:p w:rsidR="00D8422E" w:rsidRPr="00AE264E" w:rsidRDefault="00D8422E">
      <w:pPr>
        <w:spacing w:after="240"/>
        <w:rPr>
          <w:color w:val="000000" w:themeColor="text1"/>
        </w:rPr>
      </w:pPr>
      <w:r w:rsidRPr="00AE264E">
        <w:rPr>
          <w:color w:val="000000" w:themeColor="text1"/>
        </w:rPr>
        <w:t xml:space="preserve">Nahidi, N. (2026a) “AI in Personalized financial Decision-Making,” </w:t>
      </w:r>
      <w:r w:rsidRPr="00AE264E">
        <w:rPr>
          <w:i/>
          <w:iCs/>
          <w:color w:val="000000" w:themeColor="text1"/>
        </w:rPr>
        <w:t>Contributions to finance and accounting</w:t>
      </w:r>
      <w:r w:rsidRPr="00AE264E">
        <w:rPr>
          <w:color w:val="000000" w:themeColor="text1"/>
        </w:rPr>
        <w:t xml:space="preserve">, pp. 75–94. Available at: </w:t>
      </w:r>
      <w:hyperlink r:id="rId79" w:history="1">
        <w:r w:rsidRPr="00AD5780">
          <w:rPr>
            <w:rStyle w:val="Hyperlink"/>
          </w:rPr>
          <w:t>https://doi.org/10.1007/978-3-032-18109-1_4.</w:t>
        </w:r>
      </w:hyperlink>
    </w:p>
    <w:p w:rsidR="00D8422E" w:rsidRPr="00AE264E" w:rsidRDefault="00D8422E">
      <w:pPr>
        <w:spacing w:after="240"/>
        <w:rPr>
          <w:color w:val="000000" w:themeColor="text1"/>
        </w:rPr>
      </w:pPr>
      <w:r w:rsidRPr="00AE264E">
        <w:rPr>
          <w:color w:val="000000" w:themeColor="text1"/>
        </w:rPr>
        <w:t xml:space="preserve">Nahidi, N. (2026b) “Behavioral biases in Investment decisions,” </w:t>
      </w:r>
      <w:r w:rsidRPr="00AE264E">
        <w:rPr>
          <w:i/>
          <w:iCs/>
          <w:color w:val="000000" w:themeColor="text1"/>
        </w:rPr>
        <w:t>Contributions to finance and accounting</w:t>
      </w:r>
      <w:r w:rsidRPr="00AE264E">
        <w:rPr>
          <w:color w:val="000000" w:themeColor="text1"/>
        </w:rPr>
        <w:t xml:space="preserve">, pp. 49–74. Available at: </w:t>
      </w:r>
      <w:hyperlink r:id="rId80" w:history="1">
        <w:r w:rsidRPr="00AD5780">
          <w:rPr>
            <w:rStyle w:val="Hyperlink"/>
          </w:rPr>
          <w:t>https://doi.org/10.1007/978-3-032-18109-1_3.</w:t>
        </w:r>
      </w:hyperlink>
    </w:p>
    <w:p w:rsidR="00D8422E" w:rsidRPr="00AE264E" w:rsidRDefault="00D8422E">
      <w:pPr>
        <w:spacing w:after="240"/>
        <w:rPr>
          <w:color w:val="000000" w:themeColor="text1"/>
        </w:rPr>
      </w:pPr>
      <w:r w:rsidRPr="00AE264E">
        <w:rPr>
          <w:color w:val="000000" w:themeColor="text1"/>
        </w:rPr>
        <w:t xml:space="preserve">Nastoska, A., Jancheska, B., Rizinski, M. and Trajanov, D. (2025) “Evaluating trustworthiness in AI: Risks, metrics, and applications across industries,” </w:t>
      </w:r>
      <w:r w:rsidRPr="00AE264E">
        <w:rPr>
          <w:i/>
          <w:iCs/>
          <w:color w:val="000000" w:themeColor="text1"/>
        </w:rPr>
        <w:t>Electronics</w:t>
      </w:r>
      <w:r w:rsidRPr="00AE264E">
        <w:rPr>
          <w:color w:val="000000" w:themeColor="text1"/>
        </w:rPr>
        <w:t>, 14(13), p. 2717. Available at</w:t>
      </w:r>
      <w:hyperlink r:id="rId81" w:history="1">
        <w:r w:rsidRPr="00AE264E">
          <w:rPr>
            <w:rStyle w:val="Hyperlink"/>
          </w:rPr>
          <w:t>: https://doi.org/10.3390/electronics14132717</w:t>
        </w:r>
      </w:hyperlink>
      <w:r w:rsidRPr="00AE264E">
        <w:rPr>
          <w:color w:val="000000" w:themeColor="text1"/>
        </w:rPr>
        <w:t>.</w:t>
      </w:r>
    </w:p>
    <w:p w:rsidR="00D8422E" w:rsidRPr="00AE264E" w:rsidRDefault="00D8422E">
      <w:pPr>
        <w:spacing w:after="240"/>
        <w:rPr>
          <w:color w:val="000000" w:themeColor="text1"/>
        </w:rPr>
      </w:pPr>
      <w:r w:rsidRPr="00AE264E">
        <w:rPr>
          <w:color w:val="000000" w:themeColor="text1"/>
        </w:rPr>
        <w:t xml:space="preserve">Nogueira, M.C., Almeida, L. and Tavares, F.O. (2025) “Financial literacy, financial knowledge, and financial behaviors in OECD countries,” </w:t>
      </w:r>
      <w:r w:rsidRPr="00AE264E">
        <w:rPr>
          <w:i/>
          <w:iCs/>
          <w:color w:val="000000" w:themeColor="text1"/>
        </w:rPr>
        <w:t>Journal of Risk and financial management</w:t>
      </w:r>
      <w:r w:rsidRPr="00AE264E">
        <w:rPr>
          <w:color w:val="000000" w:themeColor="text1"/>
        </w:rPr>
        <w:t>, 18(3), p. 167. Available at</w:t>
      </w:r>
      <w:hyperlink r:id="rId82" w:history="1">
        <w:r w:rsidRPr="00AE264E">
          <w:rPr>
            <w:rStyle w:val="Hyperlink"/>
          </w:rPr>
          <w:t>: https://doi.org/10.3390/jrfm18030167.</w:t>
        </w:r>
      </w:hyperlink>
    </w:p>
    <w:p w:rsidR="00D8422E" w:rsidRPr="00AE264E" w:rsidRDefault="00D8422E">
      <w:pPr>
        <w:spacing w:after="240"/>
        <w:rPr>
          <w:color w:val="000000" w:themeColor="text1"/>
        </w:rPr>
      </w:pPr>
      <w:r w:rsidRPr="00AE264E">
        <w:rPr>
          <w:color w:val="000000" w:themeColor="text1"/>
        </w:rPr>
        <w:t xml:space="preserve">Nourallah, M., Öhman, P., Walther, T. and Nguyen, D.K. (2026) “Financial robo-advisors: A scoping review and future research directions,” </w:t>
      </w:r>
      <w:r w:rsidRPr="00AE264E">
        <w:rPr>
          <w:i/>
          <w:iCs/>
          <w:color w:val="000000" w:themeColor="text1"/>
        </w:rPr>
        <w:t>Journal of Behavioral and experimental finance</w:t>
      </w:r>
      <w:r w:rsidRPr="00AE264E">
        <w:rPr>
          <w:color w:val="000000" w:themeColor="text1"/>
        </w:rPr>
        <w:t>, 49, p. 101158. Available at: https</w:t>
      </w:r>
      <w:hyperlink r:id="rId83" w:history="1">
        <w:r w:rsidRPr="00AE264E">
          <w:rPr>
            <w:rStyle w:val="Hyperlink"/>
          </w:rPr>
          <w:t>://doi.org/10.1016/j.jbef.2026.101158.</w:t>
        </w:r>
      </w:hyperlink>
    </w:p>
    <w:p w:rsidR="00D8422E" w:rsidRPr="00AE264E" w:rsidRDefault="00D8422E">
      <w:pPr>
        <w:spacing w:after="240"/>
        <w:rPr>
          <w:color w:val="000000" w:themeColor="text1"/>
        </w:rPr>
      </w:pPr>
      <w:r w:rsidRPr="00AE264E">
        <w:rPr>
          <w:color w:val="000000" w:themeColor="text1"/>
        </w:rPr>
        <w:t xml:space="preserve">Olatokun, W.M. and Oladokun, B.D. (2026) “Hallucination in generative AI: Challenges to data integrity, ethical concerns and implications for knowledge management,” </w:t>
      </w:r>
      <w:r w:rsidRPr="00AE264E">
        <w:rPr>
          <w:i/>
          <w:iCs/>
          <w:color w:val="000000" w:themeColor="text1"/>
        </w:rPr>
        <w:t>Information services and use</w:t>
      </w:r>
      <w:r w:rsidRPr="00AE264E">
        <w:rPr>
          <w:color w:val="000000" w:themeColor="text1"/>
        </w:rPr>
        <w:t xml:space="preserve"> [Preprint]. Available at: </w:t>
      </w:r>
      <w:hyperlink r:id="rId84" w:history="1">
        <w:r w:rsidRPr="00AE264E">
          <w:rPr>
            <w:rStyle w:val="Hyperlink"/>
          </w:rPr>
          <w:t>https://doi.org/10.1177/18758789261463098</w:t>
        </w:r>
      </w:hyperlink>
      <w:r w:rsidRPr="00AE264E">
        <w:rPr>
          <w:color w:val="000000" w:themeColor="text1"/>
        </w:rPr>
        <w:t>.</w:t>
      </w:r>
    </w:p>
    <w:p w:rsidR="00D8422E" w:rsidRPr="00AE264E" w:rsidRDefault="00D8422E">
      <w:pPr>
        <w:spacing w:after="240"/>
        <w:rPr>
          <w:color w:val="000000" w:themeColor="text1"/>
        </w:rPr>
      </w:pPr>
      <w:r w:rsidRPr="00AE264E">
        <w:rPr>
          <w:color w:val="000000" w:themeColor="text1"/>
        </w:rPr>
        <w:t xml:space="preserve">Pagano, T.P., Loureiro, R.B., Lisboa, F.V.N., Peixoto, R.M., Guimarães, G.A.S., Cruz, G.O.R., Araujo, M.M., Santos, L.L., Cruz, M.A.S., Oliveira, E.L.S., Winkler, I. and Nascimento, E.G.S. (2023) “Bias and unfairness in Machine learning models: A systematic review on datasets, tools, fairness metrics, and identification and mitigation methods,” </w:t>
      </w:r>
      <w:r w:rsidRPr="00AE264E">
        <w:rPr>
          <w:i/>
          <w:iCs/>
          <w:color w:val="000000" w:themeColor="text1"/>
        </w:rPr>
        <w:t>Big data and cognitive computing</w:t>
      </w:r>
      <w:r w:rsidRPr="00AE264E">
        <w:rPr>
          <w:color w:val="000000" w:themeColor="text1"/>
        </w:rPr>
        <w:t xml:space="preserve">, 7(1), pp. 1–31. Available at: </w:t>
      </w:r>
      <w:hyperlink r:id="rId85" w:history="1">
        <w:r w:rsidRPr="00AE264E">
          <w:rPr>
            <w:rStyle w:val="Hyperlink"/>
          </w:rPr>
          <w:t>https://doi.org/10.3390/bdcc7010015.</w:t>
        </w:r>
      </w:hyperlink>
    </w:p>
    <w:p w:rsidR="00D8422E" w:rsidRPr="00AE264E" w:rsidRDefault="00D8422E">
      <w:pPr>
        <w:spacing w:after="240"/>
        <w:rPr>
          <w:color w:val="000000" w:themeColor="text1"/>
        </w:rPr>
      </w:pPr>
      <w:r w:rsidRPr="00AE264E">
        <w:rPr>
          <w:color w:val="000000" w:themeColor="text1"/>
        </w:rPr>
        <w:t xml:space="preserve">Pang, G. and Szliter, M. (2026) “Governing AI in operations: Ethical risks, accountability mechanisms, and responsible digital operations,” </w:t>
      </w:r>
      <w:r w:rsidRPr="00AE264E">
        <w:rPr>
          <w:i/>
          <w:iCs/>
          <w:color w:val="000000" w:themeColor="text1"/>
        </w:rPr>
        <w:t>AI and ethics</w:t>
      </w:r>
      <w:r w:rsidRPr="00AE264E">
        <w:rPr>
          <w:color w:val="000000" w:themeColor="text1"/>
        </w:rPr>
        <w:t xml:space="preserve">, 6(4). Available at: </w:t>
      </w:r>
      <w:hyperlink r:id="rId86" w:history="1">
        <w:r w:rsidRPr="00AE264E">
          <w:rPr>
            <w:rStyle w:val="Hyperlink"/>
          </w:rPr>
          <w:t>https://doi.org/10.1007/s43681-026-01191-3.</w:t>
        </w:r>
      </w:hyperlink>
    </w:p>
    <w:p w:rsidR="00D8422E" w:rsidRPr="00AE264E" w:rsidRDefault="00D8422E">
      <w:pPr>
        <w:spacing w:after="240"/>
        <w:rPr>
          <w:color w:val="000000" w:themeColor="text1"/>
        </w:rPr>
      </w:pPr>
      <w:r w:rsidRPr="00AE264E">
        <w:rPr>
          <w:color w:val="000000" w:themeColor="text1"/>
        </w:rPr>
        <w:lastRenderedPageBreak/>
        <w:t xml:space="preserve">Panjwani, A., Makinson, K. and Booth, L. (2026) </w:t>
      </w:r>
      <w:r w:rsidRPr="00AE264E">
        <w:rPr>
          <w:i/>
          <w:iCs/>
          <w:color w:val="000000" w:themeColor="text1"/>
        </w:rPr>
        <w:t>Financial advice - house of Commons library</w:t>
      </w:r>
      <w:r w:rsidRPr="00AE264E">
        <w:rPr>
          <w:color w:val="000000" w:themeColor="text1"/>
        </w:rPr>
        <w:t xml:space="preserve">, </w:t>
      </w:r>
      <w:r w:rsidRPr="00AE264E">
        <w:rPr>
          <w:i/>
          <w:iCs/>
          <w:color w:val="000000" w:themeColor="text1"/>
        </w:rPr>
        <w:t>House of Commons library</w:t>
      </w:r>
      <w:r w:rsidRPr="00AE264E">
        <w:rPr>
          <w:color w:val="000000" w:themeColor="text1"/>
        </w:rPr>
        <w:t xml:space="preserve">. Available at: </w:t>
      </w:r>
      <w:hyperlink r:id="rId87" w:history="1">
        <w:r w:rsidRPr="00AE264E">
          <w:rPr>
            <w:rStyle w:val="Hyperlink"/>
          </w:rPr>
          <w:t>https://commonslibrary.parliament.uk/research-briefings/cbp-10849/ (</w:t>
        </w:r>
      </w:hyperlink>
      <w:r w:rsidRPr="00AE264E">
        <w:rPr>
          <w:color w:val="000000" w:themeColor="text1"/>
        </w:rPr>
        <w:t>Accessed: July 16, 2026).</w:t>
      </w:r>
    </w:p>
    <w:p w:rsidR="00D8422E" w:rsidRPr="00AE264E" w:rsidRDefault="00D8422E">
      <w:pPr>
        <w:spacing w:after="240"/>
        <w:rPr>
          <w:color w:val="000000" w:themeColor="text1"/>
        </w:rPr>
      </w:pPr>
      <w:r w:rsidRPr="00AE264E">
        <w:rPr>
          <w:color w:val="000000" w:themeColor="text1"/>
        </w:rPr>
        <w:t xml:space="preserve">Pattnaik, D., Ray, S. and Raman, R. (2024) “Applications of artificial intelligence and machine learning in the financial services industry: A bibliometric review,” </w:t>
      </w:r>
      <w:r w:rsidRPr="00AE264E">
        <w:rPr>
          <w:i/>
          <w:iCs/>
          <w:color w:val="000000" w:themeColor="text1"/>
        </w:rPr>
        <w:t>Heliyon</w:t>
      </w:r>
      <w:r w:rsidRPr="00AE264E">
        <w:rPr>
          <w:color w:val="000000" w:themeColor="text1"/>
        </w:rPr>
        <w:t xml:space="preserve">, 10(1), p. e23492. Available at: </w:t>
      </w:r>
      <w:hyperlink r:id="rId88" w:history="1">
        <w:r w:rsidRPr="00AE264E">
          <w:rPr>
            <w:rStyle w:val="Hyperlink"/>
          </w:rPr>
          <w:t>https://doi.org/https://doi.org/10.1016/j.heliyon.2023.e23492.</w:t>
        </w:r>
      </w:hyperlink>
    </w:p>
    <w:p w:rsidR="00D8422E" w:rsidRPr="00AE264E" w:rsidRDefault="00D8422E">
      <w:pPr>
        <w:spacing w:after="240"/>
        <w:rPr>
          <w:color w:val="000000" w:themeColor="text1"/>
        </w:rPr>
      </w:pPr>
      <w:r w:rsidRPr="00AE264E">
        <w:rPr>
          <w:color w:val="000000" w:themeColor="text1"/>
        </w:rPr>
        <w:t xml:space="preserve">Perifanis, N.-A. (2023) “Investigating the influence of artificial intelligence on business value in the digital era of strategy: A literature review,” </w:t>
      </w:r>
      <w:r w:rsidRPr="00AE264E">
        <w:rPr>
          <w:i/>
          <w:iCs/>
          <w:color w:val="000000" w:themeColor="text1"/>
        </w:rPr>
        <w:t>Information</w:t>
      </w:r>
      <w:r w:rsidRPr="00AE264E">
        <w:rPr>
          <w:color w:val="000000" w:themeColor="text1"/>
        </w:rPr>
        <w:t xml:space="preserve">, 14(2). Available at: </w:t>
      </w:r>
      <w:hyperlink r:id="rId89" w:history="1">
        <w:r w:rsidRPr="00AE264E">
          <w:rPr>
            <w:rStyle w:val="Hyperlink"/>
          </w:rPr>
          <w:t>https://doi.org/https://doi.org/10.3390/info14020085.</w:t>
        </w:r>
      </w:hyperlink>
    </w:p>
    <w:p w:rsidR="00D8422E" w:rsidRPr="00AE264E" w:rsidRDefault="00D8422E">
      <w:pPr>
        <w:spacing w:after="240"/>
        <w:rPr>
          <w:color w:val="000000" w:themeColor="text1"/>
        </w:rPr>
      </w:pPr>
      <w:r w:rsidRPr="00AE264E">
        <w:rPr>
          <w:color w:val="000000" w:themeColor="text1"/>
        </w:rPr>
        <w:t xml:space="preserve">Qaysi, T. and Sulphey, M.M. (2026) “Investment risk appetite (IRA): Scale development and validation,” </w:t>
      </w:r>
      <w:r w:rsidRPr="00AE264E">
        <w:rPr>
          <w:i/>
          <w:iCs/>
          <w:color w:val="000000" w:themeColor="text1"/>
        </w:rPr>
        <w:t>Journal of Risk and financial management</w:t>
      </w:r>
      <w:r w:rsidRPr="00AE264E">
        <w:rPr>
          <w:color w:val="000000" w:themeColor="text1"/>
        </w:rPr>
        <w:t xml:space="preserve">, 19(3), p. 205. Available at: </w:t>
      </w:r>
      <w:hyperlink r:id="rId90" w:history="1">
        <w:r w:rsidRPr="00AE264E">
          <w:rPr>
            <w:rStyle w:val="Hyperlink"/>
          </w:rPr>
          <w:t>https://doi.org/10.3390/jrfm19030205.</w:t>
        </w:r>
      </w:hyperlink>
    </w:p>
    <w:p w:rsidR="00D8422E" w:rsidRPr="00AE264E" w:rsidRDefault="00D8422E">
      <w:pPr>
        <w:spacing w:after="240"/>
        <w:rPr>
          <w:color w:val="000000" w:themeColor="text1"/>
        </w:rPr>
      </w:pPr>
      <w:r w:rsidRPr="00AE264E">
        <w:rPr>
          <w:color w:val="000000" w:themeColor="text1"/>
        </w:rPr>
        <w:t xml:space="preserve">Ridzuan, N.N., Masri, M., Anshari, M., Fitriyani, N.L. and Syafrudin, M. (2024) “AI in the financial sector: The line between innovation, regulation and ethical responsibility,” </w:t>
      </w:r>
      <w:r w:rsidRPr="00AE264E">
        <w:rPr>
          <w:i/>
          <w:iCs/>
          <w:color w:val="000000" w:themeColor="text1"/>
        </w:rPr>
        <w:t>Information</w:t>
      </w:r>
      <w:r w:rsidRPr="00AE264E">
        <w:rPr>
          <w:color w:val="000000" w:themeColor="text1"/>
        </w:rPr>
        <w:t xml:space="preserve">, 15(8), p. 432. Available at: </w:t>
      </w:r>
      <w:hyperlink r:id="rId91" w:history="1">
        <w:r w:rsidRPr="00AE264E">
          <w:rPr>
            <w:rStyle w:val="Hyperlink"/>
          </w:rPr>
          <w:t>https://doi.org/https://doi.org/10.3390/info15080432</w:t>
        </w:r>
      </w:hyperlink>
      <w:r w:rsidRPr="00AE264E">
        <w:rPr>
          <w:color w:val="000000" w:themeColor="text1"/>
        </w:rPr>
        <w:t>.</w:t>
      </w:r>
    </w:p>
    <w:p w:rsidR="00D8422E" w:rsidRPr="00AE264E" w:rsidRDefault="00D8422E">
      <w:pPr>
        <w:spacing w:after="240"/>
        <w:rPr>
          <w:color w:val="000000" w:themeColor="text1"/>
        </w:rPr>
      </w:pPr>
      <w:r w:rsidRPr="00AE264E">
        <w:rPr>
          <w:color w:val="000000" w:themeColor="text1"/>
        </w:rPr>
        <w:t xml:space="preserve">Rohan, A., Hossen, Md.D., Pranto, Md.N., Hossain, B., Yoshi, A.M. and Islam, R. (2026) “Artificial intelligence in financial market prediction: Advancements in machine learning for stock price forecasting,” </w:t>
      </w:r>
      <w:r w:rsidRPr="00AE264E">
        <w:rPr>
          <w:i/>
          <w:iCs/>
          <w:color w:val="000000" w:themeColor="text1"/>
        </w:rPr>
        <w:t>Frontiers in Artificial intelligence</w:t>
      </w:r>
      <w:r w:rsidRPr="00AE264E">
        <w:rPr>
          <w:color w:val="000000" w:themeColor="text1"/>
        </w:rPr>
        <w:t xml:space="preserve">, 8. Available at: </w:t>
      </w:r>
      <w:hyperlink r:id="rId92" w:history="1">
        <w:r w:rsidRPr="00AE264E">
          <w:rPr>
            <w:rStyle w:val="Hyperlink"/>
          </w:rPr>
          <w:t>https://doi.org/10.3389/frai.2025.1696423.</w:t>
        </w:r>
      </w:hyperlink>
    </w:p>
    <w:p w:rsidR="00D8422E" w:rsidRPr="00AE264E" w:rsidRDefault="00D8422E">
      <w:pPr>
        <w:spacing w:after="240"/>
        <w:rPr>
          <w:color w:val="000000" w:themeColor="text1"/>
        </w:rPr>
      </w:pPr>
      <w:r w:rsidRPr="00AE264E">
        <w:rPr>
          <w:color w:val="000000" w:themeColor="text1"/>
        </w:rPr>
        <w:t xml:space="preserve">Romeo, G. and Conti, D. (2025) “Exploring automation bias in human–AI collaboration: A review and implications for explainable AI,” </w:t>
      </w:r>
      <w:r w:rsidRPr="00AE264E">
        <w:rPr>
          <w:i/>
          <w:iCs/>
          <w:color w:val="000000" w:themeColor="text1"/>
        </w:rPr>
        <w:t>AI &amp; society</w:t>
      </w:r>
      <w:r w:rsidRPr="00AE264E">
        <w:rPr>
          <w:color w:val="000000" w:themeColor="text1"/>
        </w:rPr>
        <w:t xml:space="preserve"> [Preprint]. Available at: </w:t>
      </w:r>
      <w:hyperlink r:id="rId93" w:history="1">
        <w:r w:rsidRPr="00AE264E">
          <w:rPr>
            <w:rStyle w:val="Hyperlink"/>
          </w:rPr>
          <w:t>https://doi.org/10.1007/s00146-025-02422-7.</w:t>
        </w:r>
      </w:hyperlink>
    </w:p>
    <w:p w:rsidR="00D8422E" w:rsidRPr="00AE264E" w:rsidRDefault="00D8422E">
      <w:pPr>
        <w:spacing w:after="240"/>
        <w:rPr>
          <w:color w:val="000000" w:themeColor="text1"/>
        </w:rPr>
      </w:pPr>
      <w:r w:rsidRPr="00AE264E">
        <w:rPr>
          <w:color w:val="000000" w:themeColor="text1"/>
        </w:rPr>
        <w:t xml:space="preserve">Sanchez, J.I., Bonache, J., Paz-Aparicio, C. and Oberty, C.Z. (2023) “Combining interpretivism and positivism in international business research: The example of the expatriate role,” </w:t>
      </w:r>
      <w:r w:rsidRPr="00AE264E">
        <w:rPr>
          <w:i/>
          <w:iCs/>
          <w:color w:val="000000" w:themeColor="text1"/>
        </w:rPr>
        <w:t>Journal of World Business</w:t>
      </w:r>
      <w:r w:rsidRPr="00AE264E">
        <w:rPr>
          <w:color w:val="000000" w:themeColor="text1"/>
        </w:rPr>
        <w:t xml:space="preserve">, 58(2), p. 101419. Available at: </w:t>
      </w:r>
      <w:hyperlink r:id="rId94" w:history="1">
        <w:r w:rsidRPr="00AE264E">
          <w:rPr>
            <w:rStyle w:val="Hyperlink"/>
          </w:rPr>
          <w:t>https://doi.org/10.1016/j.jwb.2022.101419.</w:t>
        </w:r>
      </w:hyperlink>
    </w:p>
    <w:p w:rsidR="00D8422E" w:rsidRPr="00AE264E" w:rsidRDefault="00D8422E">
      <w:pPr>
        <w:spacing w:after="240"/>
        <w:rPr>
          <w:color w:val="000000" w:themeColor="text1"/>
        </w:rPr>
      </w:pPr>
      <w:r w:rsidRPr="00AE264E">
        <w:rPr>
          <w:color w:val="000000" w:themeColor="text1"/>
        </w:rPr>
        <w:t xml:space="preserve">Saunders, M., Lewis, P. and Thornhill, A. (2007) </w:t>
      </w:r>
      <w:r w:rsidRPr="00AE264E">
        <w:rPr>
          <w:i/>
          <w:iCs/>
          <w:color w:val="000000" w:themeColor="text1"/>
        </w:rPr>
        <w:t>Research methods for business students</w:t>
      </w:r>
      <w:r w:rsidRPr="00AE264E">
        <w:rPr>
          <w:color w:val="000000" w:themeColor="text1"/>
        </w:rPr>
        <w:t>. 4th ed. Pearson Education.</w:t>
      </w:r>
    </w:p>
    <w:p w:rsidR="00D8422E" w:rsidRPr="00AE264E" w:rsidRDefault="00D8422E">
      <w:pPr>
        <w:spacing w:after="240"/>
        <w:rPr>
          <w:color w:val="000000" w:themeColor="text1"/>
        </w:rPr>
      </w:pPr>
      <w:r w:rsidRPr="00AE264E">
        <w:rPr>
          <w:color w:val="000000" w:themeColor="text1"/>
        </w:rPr>
        <w:lastRenderedPageBreak/>
        <w:t xml:space="preserve">Schilke, O. and Reimann, M. (2025) “The transparency dilemma: How AI disclosure erodes trust,” </w:t>
      </w:r>
      <w:r w:rsidRPr="00AE264E">
        <w:rPr>
          <w:i/>
          <w:iCs/>
          <w:color w:val="000000" w:themeColor="text1"/>
        </w:rPr>
        <w:t>Organizational behavior and human decision processes</w:t>
      </w:r>
      <w:r w:rsidRPr="00AE264E">
        <w:rPr>
          <w:color w:val="000000" w:themeColor="text1"/>
        </w:rPr>
        <w:t xml:space="preserve">, 188, p. 104405. Available at: </w:t>
      </w:r>
      <w:hyperlink r:id="rId95" w:history="1">
        <w:r w:rsidRPr="00AE264E">
          <w:rPr>
            <w:rStyle w:val="Hyperlink"/>
          </w:rPr>
          <w:t>https://doi.org/10.1016/j.obhdp.2025.104405.</w:t>
        </w:r>
      </w:hyperlink>
    </w:p>
    <w:p w:rsidR="00D8422E" w:rsidRPr="00AE264E" w:rsidRDefault="00D8422E" w:rsidP="00D8422E">
      <w:pPr>
        <w:pStyle w:val="NormalWeb"/>
        <w:spacing w:before="0" w:beforeAutospacing="0" w:after="240" w:afterAutospacing="0" w:line="360" w:lineRule="auto"/>
        <w:jc w:val="both"/>
        <w:rPr>
          <w:color w:val="000000" w:themeColor="text1"/>
        </w:rPr>
      </w:pPr>
      <w:r w:rsidRPr="00AE264E">
        <w:rPr>
          <w:color w:val="000000" w:themeColor="text1"/>
        </w:rPr>
        <w:t xml:space="preserve">Shamaileh, O. Al, Hammady, R., Abdelrahman, M. and Mubin, O. (2026) “Navigating ethical considerations and implications of AI chatbots in higher education: A systematic review,” </w:t>
      </w:r>
      <w:r w:rsidRPr="00AE264E">
        <w:rPr>
          <w:i/>
          <w:iCs/>
          <w:color w:val="000000" w:themeColor="text1"/>
        </w:rPr>
        <w:t>Computers in Human Behavior Reports</w:t>
      </w:r>
      <w:r w:rsidRPr="00AE264E">
        <w:rPr>
          <w:color w:val="000000" w:themeColor="text1"/>
        </w:rPr>
        <w:t xml:space="preserve">, 21, p. 100980. Available at: </w:t>
      </w:r>
      <w:hyperlink r:id="rId96" w:history="1">
        <w:r w:rsidRPr="00AE264E">
          <w:rPr>
            <w:rStyle w:val="Hyperlink"/>
          </w:rPr>
          <w:t>https://doi.org/10.1016/j.chbr.2026.100980.</w:t>
        </w:r>
      </w:hyperlink>
    </w:p>
    <w:p w:rsidR="00D8422E" w:rsidRPr="00AE264E" w:rsidRDefault="00D8422E">
      <w:pPr>
        <w:spacing w:after="240"/>
        <w:rPr>
          <w:color w:val="000000" w:themeColor="text1"/>
        </w:rPr>
      </w:pPr>
      <w:r w:rsidRPr="00AE264E">
        <w:rPr>
          <w:color w:val="000000" w:themeColor="text1"/>
        </w:rPr>
        <w:t xml:space="preserve">Sharma, S. and Negi, V. (2025) “Effect of Behavioural biases on investors’ decision making: A systematic literature review,” </w:t>
      </w:r>
      <w:r w:rsidRPr="00AE264E">
        <w:rPr>
          <w:i/>
          <w:iCs/>
          <w:color w:val="000000" w:themeColor="text1"/>
        </w:rPr>
        <w:t>Metamorphosis: A journal of Management research</w:t>
      </w:r>
      <w:r w:rsidRPr="00AE264E">
        <w:rPr>
          <w:color w:val="000000" w:themeColor="text1"/>
        </w:rPr>
        <w:t xml:space="preserve"> [Preprint]. Available at: </w:t>
      </w:r>
      <w:hyperlink r:id="rId97" w:history="1">
        <w:r w:rsidRPr="00AE264E">
          <w:rPr>
            <w:rStyle w:val="Hyperlink"/>
          </w:rPr>
          <w:t>https://doi.org/10.1177/09726225251319119.</w:t>
        </w:r>
      </w:hyperlink>
    </w:p>
    <w:p w:rsidR="00D8422E" w:rsidRPr="00AE264E" w:rsidRDefault="00D8422E">
      <w:pPr>
        <w:spacing w:after="240"/>
        <w:rPr>
          <w:color w:val="000000" w:themeColor="text1"/>
        </w:rPr>
      </w:pPr>
      <w:r w:rsidRPr="00AE264E">
        <w:rPr>
          <w:color w:val="000000" w:themeColor="text1"/>
        </w:rPr>
        <w:t xml:space="preserve">Song, Y., Qiu, X. and Liu, J. (2025) “The impact of Artificial intelligence adoption on organizational Decision-Making: An empirical study based on the technology acceptance model in Business management,” </w:t>
      </w:r>
      <w:r w:rsidRPr="00AE264E">
        <w:rPr>
          <w:i/>
          <w:iCs/>
          <w:color w:val="000000" w:themeColor="text1"/>
        </w:rPr>
        <w:t>Systems</w:t>
      </w:r>
      <w:r w:rsidRPr="00AE264E">
        <w:rPr>
          <w:color w:val="000000" w:themeColor="text1"/>
        </w:rPr>
        <w:t xml:space="preserve">, 13(8), p. 683. Available at: </w:t>
      </w:r>
      <w:hyperlink r:id="rId98" w:history="1">
        <w:r w:rsidRPr="00AE264E">
          <w:rPr>
            <w:rStyle w:val="Hyperlink"/>
          </w:rPr>
          <w:t>https://doi.org/10.3390/systems13080683.</w:t>
        </w:r>
      </w:hyperlink>
    </w:p>
    <w:p w:rsidR="00D8422E" w:rsidRPr="00AE264E" w:rsidRDefault="00D8422E">
      <w:pPr>
        <w:spacing w:after="240"/>
        <w:rPr>
          <w:color w:val="000000" w:themeColor="text1"/>
        </w:rPr>
      </w:pPr>
      <w:r w:rsidRPr="00AE264E">
        <w:rPr>
          <w:color w:val="000000" w:themeColor="text1"/>
        </w:rPr>
        <w:t xml:space="preserve">Statista (2025) </w:t>
      </w:r>
      <w:r w:rsidRPr="00AE264E">
        <w:rPr>
          <w:i/>
          <w:iCs/>
          <w:color w:val="000000" w:themeColor="text1"/>
        </w:rPr>
        <w:t>UK number of breached data points in q1 2020-q3 2025</w:t>
      </w:r>
      <w:r w:rsidRPr="00AE264E">
        <w:rPr>
          <w:color w:val="000000" w:themeColor="text1"/>
        </w:rPr>
        <w:t xml:space="preserve">, </w:t>
      </w:r>
      <w:r w:rsidRPr="00AE264E">
        <w:rPr>
          <w:i/>
          <w:iCs/>
          <w:color w:val="000000" w:themeColor="text1"/>
        </w:rPr>
        <w:t>Statista</w:t>
      </w:r>
      <w:r w:rsidRPr="00AE264E">
        <w:rPr>
          <w:color w:val="000000" w:themeColor="text1"/>
        </w:rPr>
        <w:t xml:space="preserve">. Available at: </w:t>
      </w:r>
      <w:hyperlink r:id="rId99" w:history="1">
        <w:r w:rsidRPr="00AE264E">
          <w:rPr>
            <w:rStyle w:val="Hyperlink"/>
          </w:rPr>
          <w:t>https://www.statista.com/statistics/1386806/uk-number-of-leaked-records/?srsltid=afmboorb4jklkj1djyblhszgmccqaistioerwrkqbu-teagrmvoaervp</w:t>
        </w:r>
      </w:hyperlink>
      <w:r w:rsidRPr="00AE264E">
        <w:rPr>
          <w:color w:val="000000" w:themeColor="text1"/>
        </w:rPr>
        <w:t xml:space="preserve"> (Accessed: July 20, 2026).</w:t>
      </w:r>
    </w:p>
    <w:p w:rsidR="00D8422E" w:rsidRPr="00AE264E" w:rsidRDefault="00D8422E">
      <w:pPr>
        <w:spacing w:after="240"/>
        <w:rPr>
          <w:color w:val="000000" w:themeColor="text1"/>
        </w:rPr>
      </w:pPr>
      <w:r w:rsidRPr="00AE264E">
        <w:rPr>
          <w:color w:val="000000" w:themeColor="text1"/>
        </w:rPr>
        <w:t xml:space="preserve">Sun, Z., Chen, J., Sun, W., Qian, D. and Lan, Q. (2025) “Developing a rigorous case study in research of primary healthcare service management,” </w:t>
      </w:r>
      <w:r w:rsidRPr="00AE264E">
        <w:rPr>
          <w:i/>
          <w:iCs/>
          <w:color w:val="000000" w:themeColor="text1"/>
        </w:rPr>
        <w:t>Chinese general practice journal.</w:t>
      </w:r>
      <w:r w:rsidRPr="00AE264E">
        <w:rPr>
          <w:color w:val="000000" w:themeColor="text1"/>
        </w:rPr>
        <w:t xml:space="preserve">, 2(4), pp. 100075–100075. Available at: </w:t>
      </w:r>
      <w:hyperlink r:id="rId100" w:history="1">
        <w:r w:rsidRPr="00AE264E">
          <w:rPr>
            <w:rStyle w:val="Hyperlink"/>
          </w:rPr>
          <w:t>https://doi.org/10.1016/j.cgpj.2025.100075.</w:t>
        </w:r>
      </w:hyperlink>
    </w:p>
    <w:p w:rsidR="00D8422E" w:rsidRPr="00AE264E" w:rsidRDefault="00D8422E">
      <w:pPr>
        <w:spacing w:after="240"/>
        <w:rPr>
          <w:color w:val="000000" w:themeColor="text1"/>
        </w:rPr>
      </w:pPr>
      <w:r w:rsidRPr="00AE264E">
        <w:rPr>
          <w:color w:val="000000" w:themeColor="text1"/>
        </w:rPr>
        <w:t xml:space="preserve">Sungkarungsri, P. and Kiattisin, S. (2026a) “How trustworthy AI fosters adoption and user advocacy in financial advisory services,” </w:t>
      </w:r>
      <w:r w:rsidRPr="00AE264E">
        <w:rPr>
          <w:i/>
          <w:iCs/>
          <w:color w:val="000000" w:themeColor="text1"/>
        </w:rPr>
        <w:t>Discover artificial intelligence</w:t>
      </w:r>
      <w:r w:rsidRPr="00AE264E">
        <w:rPr>
          <w:color w:val="000000" w:themeColor="text1"/>
        </w:rPr>
        <w:t xml:space="preserve">, 6(1). Available at: </w:t>
      </w:r>
      <w:hyperlink r:id="rId101" w:history="1">
        <w:r w:rsidRPr="00AE264E">
          <w:rPr>
            <w:rStyle w:val="Hyperlink"/>
          </w:rPr>
          <w:t>https://doi.org/10.1007/s44163-026-01451-5.</w:t>
        </w:r>
      </w:hyperlink>
    </w:p>
    <w:p w:rsidR="00D8422E" w:rsidRPr="00AE264E" w:rsidRDefault="00D8422E">
      <w:pPr>
        <w:spacing w:after="240"/>
        <w:rPr>
          <w:color w:val="000000" w:themeColor="text1"/>
        </w:rPr>
      </w:pPr>
      <w:r w:rsidRPr="00AE264E">
        <w:rPr>
          <w:color w:val="000000" w:themeColor="text1"/>
        </w:rPr>
        <w:t xml:space="preserve">Sungkarungsri, P. and Kiattisin, S. (2026b) “When advice isn’t trusted: Privacy, transparency, and accountability risks driving AI mistrust and consumer resistance in Financial advisory services,” </w:t>
      </w:r>
      <w:r w:rsidRPr="00AE264E">
        <w:rPr>
          <w:i/>
          <w:iCs/>
          <w:color w:val="000000" w:themeColor="text1"/>
        </w:rPr>
        <w:t>Sustainability</w:t>
      </w:r>
      <w:r w:rsidRPr="00AE264E">
        <w:rPr>
          <w:color w:val="000000" w:themeColor="text1"/>
        </w:rPr>
        <w:t xml:space="preserve">, 18(3), p. 1354. Available at: </w:t>
      </w:r>
      <w:hyperlink r:id="rId102" w:history="1">
        <w:r w:rsidRPr="00AE264E">
          <w:rPr>
            <w:rStyle w:val="Hyperlink"/>
          </w:rPr>
          <w:t>https://doi.org/10.3390/su18031354.</w:t>
        </w:r>
      </w:hyperlink>
    </w:p>
    <w:p w:rsidR="00D8422E" w:rsidRPr="00AE264E" w:rsidRDefault="00D8422E">
      <w:pPr>
        <w:spacing w:after="240"/>
        <w:rPr>
          <w:color w:val="000000" w:themeColor="text1"/>
        </w:rPr>
      </w:pPr>
      <w:r w:rsidRPr="00AE264E">
        <w:rPr>
          <w:color w:val="000000" w:themeColor="text1"/>
        </w:rPr>
        <w:t xml:space="preserve">Surur, F.M., Mamo, A.A., Gebresilassie, B.G., Mekonen, K.A., Golda, A., Behera, R.K. and Kumar, K. (2025) “Unlocking the power of machine learning in big data: A scoping survey,” </w:t>
      </w:r>
      <w:r w:rsidRPr="00AE264E">
        <w:rPr>
          <w:i/>
          <w:iCs/>
          <w:color w:val="000000" w:themeColor="text1"/>
        </w:rPr>
        <w:lastRenderedPageBreak/>
        <w:t>Data science and management</w:t>
      </w:r>
      <w:r w:rsidRPr="00AE264E">
        <w:rPr>
          <w:color w:val="000000" w:themeColor="text1"/>
        </w:rPr>
        <w:t xml:space="preserve"> [Preprint]. Available at: </w:t>
      </w:r>
      <w:hyperlink r:id="rId103" w:history="1">
        <w:r w:rsidRPr="00AE264E">
          <w:rPr>
            <w:rStyle w:val="Hyperlink"/>
          </w:rPr>
          <w:t>https://doi.org/10.1016/j.dsm.2025.02.004.</w:t>
        </w:r>
      </w:hyperlink>
    </w:p>
    <w:p w:rsidR="00D8422E" w:rsidRPr="00AE264E" w:rsidRDefault="00D8422E" w:rsidP="00D8422E">
      <w:pPr>
        <w:pStyle w:val="NormalWeb"/>
        <w:spacing w:before="0" w:beforeAutospacing="0" w:after="240" w:afterAutospacing="0" w:line="360" w:lineRule="auto"/>
        <w:jc w:val="both"/>
        <w:rPr>
          <w:color w:val="000000" w:themeColor="text1"/>
        </w:rPr>
      </w:pPr>
      <w:r w:rsidRPr="00AE264E">
        <w:rPr>
          <w:color w:val="000000" w:themeColor="text1"/>
        </w:rPr>
        <w:t xml:space="preserve">Sutiene, K., Schwendner, P., Sipos, C. and Lorenzo, L. (2024) “Enhancing portfolio management using artificial intelligence: Literature review,” </w:t>
      </w:r>
      <w:r w:rsidRPr="00AE264E">
        <w:rPr>
          <w:i/>
          <w:iCs/>
          <w:color w:val="000000" w:themeColor="text1"/>
        </w:rPr>
        <w:t>Frontiers in artificial intelligence</w:t>
      </w:r>
      <w:r w:rsidRPr="00AE264E">
        <w:rPr>
          <w:color w:val="000000" w:themeColor="text1"/>
        </w:rPr>
        <w:t>, 7. Available at</w:t>
      </w:r>
      <w:hyperlink r:id="rId104" w:history="1">
        <w:r w:rsidRPr="00AE264E">
          <w:rPr>
            <w:rStyle w:val="Hyperlink"/>
          </w:rPr>
          <w:t>: https://doi.org/10.3389/frai.2024.1371502.</w:t>
        </w:r>
      </w:hyperlink>
    </w:p>
    <w:p w:rsidR="00D8422E" w:rsidRPr="00AE264E" w:rsidRDefault="00D8422E">
      <w:pPr>
        <w:spacing w:after="240"/>
        <w:rPr>
          <w:color w:val="000000" w:themeColor="text1"/>
        </w:rPr>
      </w:pPr>
      <w:r w:rsidRPr="00AE264E">
        <w:rPr>
          <w:color w:val="000000" w:themeColor="text1"/>
        </w:rPr>
        <w:t xml:space="preserve">Svetlova, E. (2022) “Ai ethics and systemic risks in finance,” </w:t>
      </w:r>
      <w:r w:rsidRPr="00AE264E">
        <w:rPr>
          <w:i/>
          <w:iCs/>
          <w:color w:val="000000" w:themeColor="text1"/>
        </w:rPr>
        <w:t>AI and ethics</w:t>
      </w:r>
      <w:r w:rsidRPr="00AE264E">
        <w:rPr>
          <w:color w:val="000000" w:themeColor="text1"/>
        </w:rPr>
        <w:t xml:space="preserve">, 2. Available at: </w:t>
      </w:r>
      <w:hyperlink r:id="rId105" w:history="1">
        <w:r w:rsidRPr="00AE264E">
          <w:rPr>
            <w:rStyle w:val="Hyperlink"/>
          </w:rPr>
          <w:t>https://doi.org/10.1007/s43681-021-00129-1.</w:t>
        </w:r>
      </w:hyperlink>
    </w:p>
    <w:p w:rsidR="00D8422E" w:rsidRPr="00AE264E" w:rsidRDefault="00D8422E">
      <w:pPr>
        <w:spacing w:after="240"/>
        <w:rPr>
          <w:color w:val="000000" w:themeColor="text1"/>
        </w:rPr>
      </w:pPr>
      <w:r w:rsidRPr="00AE264E">
        <w:rPr>
          <w:color w:val="000000" w:themeColor="text1"/>
        </w:rPr>
        <w:t xml:space="preserve">Tuge, N.B. and Msweli, N.T. (2026) “Explainable artificial intelligence in the banking sector: A systematic literature review,” </w:t>
      </w:r>
      <w:r w:rsidRPr="00AE264E">
        <w:rPr>
          <w:i/>
          <w:iCs/>
          <w:color w:val="000000" w:themeColor="text1"/>
        </w:rPr>
        <w:t>Applied Artificial Intelligence</w:t>
      </w:r>
      <w:r w:rsidRPr="00AE264E">
        <w:rPr>
          <w:color w:val="000000" w:themeColor="text1"/>
        </w:rPr>
        <w:t xml:space="preserve">, 40(1). Available at: </w:t>
      </w:r>
      <w:hyperlink r:id="rId106" w:history="1">
        <w:r w:rsidRPr="00AE264E">
          <w:rPr>
            <w:rStyle w:val="Hyperlink"/>
          </w:rPr>
          <w:t>https://doi.org/10.1080/08839514.2026.2676353.</w:t>
        </w:r>
      </w:hyperlink>
    </w:p>
    <w:p w:rsidR="00D8422E" w:rsidRPr="00AE264E" w:rsidRDefault="00D8422E">
      <w:pPr>
        <w:spacing w:after="240"/>
        <w:rPr>
          <w:color w:val="000000" w:themeColor="text1"/>
        </w:rPr>
      </w:pPr>
      <w:r w:rsidRPr="00AE264E">
        <w:rPr>
          <w:color w:val="000000" w:themeColor="text1"/>
        </w:rPr>
        <w:t xml:space="preserve">UK Government (2026) </w:t>
      </w:r>
      <w:r w:rsidRPr="00AE264E">
        <w:rPr>
          <w:i/>
          <w:iCs/>
          <w:color w:val="000000" w:themeColor="text1"/>
        </w:rPr>
        <w:t>Financial services AI adoption plan</w:t>
      </w:r>
      <w:r w:rsidRPr="00AE264E">
        <w:rPr>
          <w:color w:val="000000" w:themeColor="text1"/>
        </w:rPr>
        <w:t xml:space="preserve">, </w:t>
      </w:r>
      <w:r w:rsidRPr="00AE264E">
        <w:rPr>
          <w:i/>
          <w:iCs/>
          <w:color w:val="000000" w:themeColor="text1"/>
        </w:rPr>
        <w:t>GOV.UK</w:t>
      </w:r>
      <w:r w:rsidRPr="00AE264E">
        <w:rPr>
          <w:color w:val="000000" w:themeColor="text1"/>
        </w:rPr>
        <w:t xml:space="preserve">. Available at: </w:t>
      </w:r>
      <w:hyperlink r:id="rId107" w:history="1">
        <w:r w:rsidRPr="00AE264E">
          <w:rPr>
            <w:rStyle w:val="Hyperlink"/>
          </w:rPr>
          <w:t>https://www.gov.uk/government/publications/ai-adoption-plan-financial-services/financial-services-ai-adoption-plan</w:t>
        </w:r>
      </w:hyperlink>
      <w:r w:rsidRPr="00AE264E">
        <w:rPr>
          <w:color w:val="000000" w:themeColor="text1"/>
        </w:rPr>
        <w:t xml:space="preserve"> (Accessed: July 19, 2026).</w:t>
      </w:r>
    </w:p>
    <w:p w:rsidR="00D8422E" w:rsidRPr="00AE264E" w:rsidRDefault="00D8422E">
      <w:pPr>
        <w:spacing w:after="240"/>
        <w:rPr>
          <w:color w:val="000000" w:themeColor="text1"/>
        </w:rPr>
      </w:pPr>
      <w:r w:rsidRPr="00AE264E">
        <w:rPr>
          <w:color w:val="000000" w:themeColor="text1"/>
        </w:rPr>
        <w:t xml:space="preserve">Urbanova, L.B., Madarasova Geckova, A., Dankulincova Veselska, Z., Capikova, S., Holubcikova, J., van Dijk, J.P. and Reijneveld, S.A. (2023) “Technology supports me: Perceptions of the benefits of digital technology in adolescents,” </w:t>
      </w:r>
      <w:r w:rsidRPr="00AE264E">
        <w:rPr>
          <w:i/>
          <w:iCs/>
          <w:color w:val="000000" w:themeColor="text1"/>
        </w:rPr>
        <w:t>Frontiers in psychology</w:t>
      </w:r>
      <w:r w:rsidRPr="00AE264E">
        <w:rPr>
          <w:color w:val="000000" w:themeColor="text1"/>
        </w:rPr>
        <w:t xml:space="preserve">, 13. Available at: </w:t>
      </w:r>
      <w:hyperlink r:id="rId108" w:history="1">
        <w:r w:rsidRPr="00AE264E">
          <w:rPr>
            <w:rStyle w:val="Hyperlink"/>
          </w:rPr>
          <w:t>https://doi.org/10.3389/fpsyg.2022.970395.</w:t>
        </w:r>
      </w:hyperlink>
    </w:p>
    <w:p w:rsidR="00D8422E" w:rsidRPr="00AE264E" w:rsidRDefault="00D8422E">
      <w:pPr>
        <w:spacing w:after="240"/>
        <w:rPr>
          <w:color w:val="000000" w:themeColor="text1"/>
        </w:rPr>
      </w:pPr>
      <w:r w:rsidRPr="00AE264E">
        <w:rPr>
          <w:color w:val="000000" w:themeColor="text1"/>
        </w:rPr>
        <w:t xml:space="preserve">Vărzaru, A.A. and Bocean, C.G. (2024) “Digital transformation and innovation: The influence of Digital technologies on turnover from Innovation activities and types of innovation,” </w:t>
      </w:r>
      <w:r w:rsidRPr="00AE264E">
        <w:rPr>
          <w:i/>
          <w:iCs/>
          <w:color w:val="000000" w:themeColor="text1"/>
        </w:rPr>
        <w:t>Systems</w:t>
      </w:r>
      <w:r w:rsidRPr="00AE264E">
        <w:rPr>
          <w:color w:val="000000" w:themeColor="text1"/>
        </w:rPr>
        <w:t xml:space="preserve">, 12(9), p. 359. Available at: </w:t>
      </w:r>
      <w:hyperlink r:id="rId109" w:history="1">
        <w:r w:rsidRPr="00AE264E">
          <w:rPr>
            <w:rStyle w:val="Hyperlink"/>
          </w:rPr>
          <w:t>https://doi.org/https://doi.org/10.3390/systems12090359</w:t>
        </w:r>
      </w:hyperlink>
      <w:r w:rsidRPr="00AE264E">
        <w:rPr>
          <w:color w:val="000000" w:themeColor="text1"/>
        </w:rPr>
        <w:t>.</w:t>
      </w:r>
    </w:p>
    <w:p w:rsidR="00D8422E" w:rsidRPr="00AE264E" w:rsidRDefault="00D8422E">
      <w:pPr>
        <w:spacing w:after="240"/>
        <w:rPr>
          <w:color w:val="000000" w:themeColor="text1"/>
        </w:rPr>
      </w:pPr>
      <w:r w:rsidRPr="00AE264E">
        <w:rPr>
          <w:color w:val="000000" w:themeColor="text1"/>
        </w:rPr>
        <w:t xml:space="preserve">Verma, B., Schulze, M., Goswami, D. and Kamal Upreti (2025) “Artificial intelligence attitudes and resistance to use robo-advisors: Exploring investor reluctance toward cognitive financial systems,” </w:t>
      </w:r>
      <w:r w:rsidRPr="00AE264E">
        <w:rPr>
          <w:i/>
          <w:iCs/>
          <w:color w:val="000000" w:themeColor="text1"/>
        </w:rPr>
        <w:t>Frontiers in Artificial Intelligence</w:t>
      </w:r>
      <w:r w:rsidRPr="00AE264E">
        <w:rPr>
          <w:color w:val="000000" w:themeColor="text1"/>
        </w:rPr>
        <w:t xml:space="preserve">, 8. Available at: </w:t>
      </w:r>
      <w:hyperlink r:id="rId110" w:history="1">
        <w:r w:rsidRPr="00AE264E">
          <w:rPr>
            <w:rStyle w:val="Hyperlink"/>
          </w:rPr>
          <w:t>https://doi.org/10.3389/frai.2025.1623534.</w:t>
        </w:r>
      </w:hyperlink>
    </w:p>
    <w:p w:rsidR="00D8422E" w:rsidRPr="00AE264E" w:rsidRDefault="00D8422E">
      <w:pPr>
        <w:spacing w:after="240"/>
        <w:rPr>
          <w:color w:val="000000" w:themeColor="text1"/>
        </w:rPr>
      </w:pPr>
      <w:r w:rsidRPr="00AE264E">
        <w:rPr>
          <w:color w:val="000000" w:themeColor="text1"/>
        </w:rPr>
        <w:t xml:space="preserve">Vijayananth, M. and Saravanabhavan, N. (2026) “Beyond algorithmic trust: Human–AI interaction competency strengthens AI-driven financial decision-making and financial resilience,” </w:t>
      </w:r>
      <w:r w:rsidRPr="00AE264E">
        <w:rPr>
          <w:i/>
          <w:iCs/>
          <w:color w:val="000000" w:themeColor="text1"/>
        </w:rPr>
        <w:t>Frontiers in Artificial Intelligence</w:t>
      </w:r>
      <w:r w:rsidRPr="00AE264E">
        <w:rPr>
          <w:color w:val="000000" w:themeColor="text1"/>
        </w:rPr>
        <w:t xml:space="preserve">, 9. Available at: </w:t>
      </w:r>
      <w:hyperlink r:id="rId111" w:history="1">
        <w:r w:rsidRPr="00AE264E">
          <w:rPr>
            <w:rStyle w:val="Hyperlink"/>
          </w:rPr>
          <w:t>https://doi.org/10.3389/frai.2026.1867266.</w:t>
        </w:r>
      </w:hyperlink>
    </w:p>
    <w:p w:rsidR="00D8422E" w:rsidRPr="00AE264E" w:rsidRDefault="00D8422E">
      <w:pPr>
        <w:spacing w:after="240"/>
        <w:rPr>
          <w:color w:val="000000" w:themeColor="text1"/>
        </w:rPr>
      </w:pPr>
      <w:r w:rsidRPr="00AE264E">
        <w:rPr>
          <w:color w:val="000000" w:themeColor="text1"/>
        </w:rPr>
        <w:lastRenderedPageBreak/>
        <w:t xml:space="preserve">Vuković, D.B., Adza, S.D. and Matović, S. (2025) “AI integration in financial services: A systematic review of trends and regulatory challenges,” </w:t>
      </w:r>
      <w:r w:rsidRPr="00AE264E">
        <w:rPr>
          <w:i/>
          <w:iCs/>
          <w:color w:val="000000" w:themeColor="text1"/>
        </w:rPr>
        <w:t>Humanities and Social Sciences Communications</w:t>
      </w:r>
      <w:r w:rsidRPr="00AE264E">
        <w:rPr>
          <w:color w:val="000000" w:themeColor="text1"/>
        </w:rPr>
        <w:t>, 12(1). Available at: https://doi.org/10.1057/s41599-025-04850-8.</w:t>
      </w:r>
      <w:hyperlink r:id="rId112" w:history="1">
        <w:r w:rsidR="00AE264E" w:rsidRPr="00AE264E">
          <w:rPr>
            <w:rStyle w:val="Hyperlink"/>
          </w:rPr>
          <w:t>https://doi.org/10.1057/s41599-025-04850-8.</w:t>
        </w:r>
      </w:hyperlink>
    </w:p>
    <w:p w:rsidR="00D8422E" w:rsidRPr="00AE264E" w:rsidRDefault="00D8422E">
      <w:pPr>
        <w:spacing w:after="240"/>
        <w:rPr>
          <w:color w:val="000000" w:themeColor="text1"/>
        </w:rPr>
      </w:pPr>
      <w:r w:rsidRPr="00AE264E">
        <w:rPr>
          <w:color w:val="000000" w:themeColor="text1"/>
        </w:rPr>
        <w:t xml:space="preserve">Vuković, M., Pašalić, I.N. and Lukačević, R. (2026) </w:t>
      </w:r>
      <w:r w:rsidRPr="00AE264E">
        <w:rPr>
          <w:i/>
          <w:iCs/>
          <w:color w:val="000000" w:themeColor="text1"/>
        </w:rPr>
        <w:t>The Behavioral Impact of Artificial Intelligence on Investor Decision Making and Investment Strategies</w:t>
      </w:r>
      <w:r w:rsidRPr="00AE264E">
        <w:rPr>
          <w:color w:val="000000" w:themeColor="text1"/>
        </w:rPr>
        <w:t xml:space="preserve">, </w:t>
      </w:r>
      <w:r w:rsidRPr="00AE264E">
        <w:rPr>
          <w:i/>
          <w:iCs/>
          <w:color w:val="000000" w:themeColor="text1"/>
        </w:rPr>
        <w:t>Mdpi.com</w:t>
      </w:r>
      <w:r w:rsidRPr="00AE264E">
        <w:rPr>
          <w:color w:val="000000" w:themeColor="text1"/>
        </w:rPr>
        <w:t xml:space="preserve">. Available at: </w:t>
      </w:r>
      <w:hyperlink r:id="rId113" w:history="1">
        <w:r w:rsidRPr="00AE264E">
          <w:rPr>
            <w:rStyle w:val="Hyperlink"/>
          </w:rPr>
          <w:t>https://www.mdpi.com/1911-8074/19/7/466 (Accessed: July 20, 2026).</w:t>
        </w:r>
      </w:hyperlink>
    </w:p>
    <w:p w:rsidR="00D8422E" w:rsidRPr="00AE264E" w:rsidRDefault="00D8422E" w:rsidP="00D8422E">
      <w:pPr>
        <w:pStyle w:val="NormalWeb"/>
        <w:spacing w:before="0" w:beforeAutospacing="0" w:after="240" w:afterAutospacing="0" w:line="360" w:lineRule="auto"/>
        <w:jc w:val="both"/>
        <w:rPr>
          <w:color w:val="000000" w:themeColor="text1"/>
        </w:rPr>
      </w:pPr>
      <w:r w:rsidRPr="00AE264E">
        <w:rPr>
          <w:color w:val="000000" w:themeColor="text1"/>
        </w:rPr>
        <w:t xml:space="preserve">Wang, R., Bush-Evans, R., Arden-Close, E., Bolat, E., McAlaney, J., Hodge, S., Thomas, S. and Phalp, K. (2023) “Transparency in persuasive technology, immersive technology, and online marketing: Facilitating users’ informed decision making and practical implications,” </w:t>
      </w:r>
      <w:r w:rsidRPr="00AE264E">
        <w:rPr>
          <w:i/>
          <w:iCs/>
          <w:color w:val="000000" w:themeColor="text1"/>
        </w:rPr>
        <w:t>Computers in Human Behavior</w:t>
      </w:r>
      <w:r w:rsidRPr="00AE264E">
        <w:rPr>
          <w:color w:val="000000" w:themeColor="text1"/>
        </w:rPr>
        <w:t xml:space="preserve">, 139(2), p. 107545. Available at: </w:t>
      </w:r>
      <w:hyperlink r:id="rId114" w:history="1">
        <w:r w:rsidRPr="00AE264E">
          <w:rPr>
            <w:rStyle w:val="Hyperlink"/>
          </w:rPr>
          <w:t>https://doi.org/10.1016/j.chb.2022.107545.</w:t>
        </w:r>
      </w:hyperlink>
    </w:p>
    <w:p w:rsidR="00D8422E" w:rsidRPr="00AE264E" w:rsidRDefault="00D8422E">
      <w:pPr>
        <w:spacing w:after="240"/>
        <w:rPr>
          <w:color w:val="000000" w:themeColor="text1"/>
        </w:rPr>
      </w:pPr>
      <w:r w:rsidRPr="00AE264E">
        <w:rPr>
          <w:color w:val="000000" w:themeColor="text1"/>
        </w:rPr>
        <w:t xml:space="preserve">Wang, X. and Cheng, Z. (2020) “Cross-sectional studies: Strengths, weaknesses, and recommendations,” </w:t>
      </w:r>
      <w:r w:rsidRPr="00AE264E">
        <w:rPr>
          <w:i/>
          <w:iCs/>
          <w:color w:val="000000" w:themeColor="text1"/>
        </w:rPr>
        <w:t>Chest</w:t>
      </w:r>
      <w:r w:rsidRPr="00AE264E">
        <w:rPr>
          <w:color w:val="000000" w:themeColor="text1"/>
        </w:rPr>
        <w:t xml:space="preserve">, 158(1), pp. 65–71. Available at: </w:t>
      </w:r>
      <w:hyperlink r:id="rId115" w:history="1">
        <w:r w:rsidRPr="00AE264E">
          <w:rPr>
            <w:rStyle w:val="Hyperlink"/>
          </w:rPr>
          <w:t>https://doi.org/10.1016/j.chest.2020.03.012.</w:t>
        </w:r>
      </w:hyperlink>
    </w:p>
    <w:p w:rsidR="00D8422E" w:rsidRPr="00AE264E" w:rsidRDefault="00D8422E">
      <w:pPr>
        <w:spacing w:after="240"/>
        <w:rPr>
          <w:color w:val="000000" w:themeColor="text1"/>
        </w:rPr>
      </w:pPr>
      <w:r w:rsidRPr="00AE264E">
        <w:rPr>
          <w:color w:val="000000" w:themeColor="text1"/>
        </w:rPr>
        <w:t xml:space="preserve">Wang, Z., Yuan, R., Li, B., Kumar, V. and Kumar, A. (2025) “An empirical study of &lt;scp&gt;AI&lt;/scp&gt; financial advisor adoption through technology vulnerabilities in the financial context,” </w:t>
      </w:r>
      <w:r w:rsidRPr="00AE264E">
        <w:rPr>
          <w:i/>
          <w:iCs/>
          <w:color w:val="000000" w:themeColor="text1"/>
        </w:rPr>
        <w:t>Journal of Product Innovation Management</w:t>
      </w:r>
      <w:r w:rsidRPr="00AE264E">
        <w:rPr>
          <w:color w:val="000000" w:themeColor="text1"/>
        </w:rPr>
        <w:t xml:space="preserve"> [Preprint]. Available at: </w:t>
      </w:r>
      <w:hyperlink r:id="rId116" w:history="1">
        <w:r w:rsidRPr="00AE264E">
          <w:rPr>
            <w:rStyle w:val="Hyperlink"/>
          </w:rPr>
          <w:t>https://doi.org/10.1111/jpim.12795.</w:t>
        </w:r>
      </w:hyperlink>
    </w:p>
    <w:p w:rsidR="00D8422E" w:rsidRPr="00AE264E" w:rsidRDefault="00D8422E">
      <w:pPr>
        <w:spacing w:after="240"/>
        <w:rPr>
          <w:color w:val="000000" w:themeColor="text1"/>
        </w:rPr>
      </w:pPr>
      <w:r w:rsidRPr="00AE264E">
        <w:rPr>
          <w:color w:val="000000" w:themeColor="text1"/>
        </w:rPr>
        <w:t xml:space="preserve">Wei, T., Wu, H., Dowling, M. and Mahdavi Ardekani, A. (2025) “Financial perceptions and AI infringement risks,” </w:t>
      </w:r>
      <w:r w:rsidRPr="00AE264E">
        <w:rPr>
          <w:i/>
          <w:iCs/>
          <w:color w:val="000000" w:themeColor="text1"/>
        </w:rPr>
        <w:t>International Review of Economics &amp; Finance</w:t>
      </w:r>
      <w:r w:rsidRPr="00AE264E">
        <w:rPr>
          <w:color w:val="000000" w:themeColor="text1"/>
        </w:rPr>
        <w:t xml:space="preserve">, 101, p. 104204. Available at: </w:t>
      </w:r>
      <w:hyperlink r:id="rId117" w:history="1">
        <w:r w:rsidRPr="00AE264E">
          <w:rPr>
            <w:rStyle w:val="Hyperlink"/>
          </w:rPr>
          <w:t>https://doi.org/10.1016/j.iref.2025.104204.</w:t>
        </w:r>
      </w:hyperlink>
    </w:p>
    <w:p w:rsidR="00D8422E" w:rsidRPr="00AE264E" w:rsidRDefault="00D8422E">
      <w:pPr>
        <w:spacing w:after="240"/>
        <w:rPr>
          <w:color w:val="000000" w:themeColor="text1"/>
        </w:rPr>
      </w:pPr>
      <w:r w:rsidRPr="00AE264E">
        <w:rPr>
          <w:color w:val="000000" w:themeColor="text1"/>
        </w:rPr>
        <w:t xml:space="preserve">Xu, M., Zhai, F. and Zhang, T. (2025) “Privacy protection in the application of Artificial intelligence technology in Corporate governance,” </w:t>
      </w:r>
      <w:r w:rsidRPr="00AE264E">
        <w:rPr>
          <w:i/>
          <w:iCs/>
          <w:color w:val="000000" w:themeColor="text1"/>
        </w:rPr>
        <w:t>International journal of Information security and privacy</w:t>
      </w:r>
      <w:r w:rsidRPr="00AE264E">
        <w:rPr>
          <w:color w:val="000000" w:themeColor="text1"/>
        </w:rPr>
        <w:t>, 19(1), pp. 1–17. Available at</w:t>
      </w:r>
      <w:hyperlink r:id="rId118" w:history="1">
        <w:r w:rsidRPr="00AE264E">
          <w:rPr>
            <w:rStyle w:val="Hyperlink"/>
          </w:rPr>
          <w:t>: https://doi.org/10.4018/ijisp.389733.</w:t>
        </w:r>
      </w:hyperlink>
    </w:p>
    <w:p w:rsidR="00D8422E" w:rsidRPr="00AE264E" w:rsidRDefault="00D8422E">
      <w:pPr>
        <w:spacing w:after="240"/>
        <w:rPr>
          <w:color w:val="000000" w:themeColor="text1"/>
        </w:rPr>
      </w:pPr>
      <w:r w:rsidRPr="00AE264E">
        <w:rPr>
          <w:color w:val="000000" w:themeColor="text1"/>
        </w:rPr>
        <w:t xml:space="preserve">Yaiprasert, C. and Hidayanto, A.N. (2024) “AI-Powered in the digital age: Ensemble innovation personalizes the food recommendations,” </w:t>
      </w:r>
      <w:r w:rsidRPr="00AE264E">
        <w:rPr>
          <w:i/>
          <w:iCs/>
          <w:color w:val="000000" w:themeColor="text1"/>
        </w:rPr>
        <w:t>Journal of Open innovation: Technology, market, and complexity</w:t>
      </w:r>
      <w:r w:rsidRPr="00AE264E">
        <w:rPr>
          <w:color w:val="000000" w:themeColor="text1"/>
        </w:rPr>
        <w:t xml:space="preserve">, 10(2), p. 100261. Available at: </w:t>
      </w:r>
      <w:hyperlink r:id="rId119" w:history="1">
        <w:r w:rsidRPr="00AE264E">
          <w:rPr>
            <w:rStyle w:val="Hyperlink"/>
          </w:rPr>
          <w:t>https://doi.org/https://doi.org/10.1016/j.joitmc.2024.100261.</w:t>
        </w:r>
      </w:hyperlink>
    </w:p>
    <w:p w:rsidR="00D8422E" w:rsidRPr="00AE264E" w:rsidRDefault="00D8422E">
      <w:pPr>
        <w:spacing w:after="240"/>
        <w:rPr>
          <w:color w:val="000000" w:themeColor="text1"/>
        </w:rPr>
      </w:pPr>
      <w:r w:rsidRPr="00AE264E">
        <w:rPr>
          <w:color w:val="000000" w:themeColor="text1"/>
        </w:rPr>
        <w:lastRenderedPageBreak/>
        <w:t xml:space="preserve">Yang, Q. and Lee, Y.-C. (2024) “Ethical AI in Financial inclusion: The role of Algorithmic fairness on user satisfaction and recommendation,” </w:t>
      </w:r>
      <w:r w:rsidRPr="00AE264E">
        <w:rPr>
          <w:i/>
          <w:iCs/>
          <w:color w:val="000000" w:themeColor="text1"/>
        </w:rPr>
        <w:t>Big data and cognitive computing</w:t>
      </w:r>
      <w:r w:rsidRPr="00AE264E">
        <w:rPr>
          <w:color w:val="000000" w:themeColor="text1"/>
        </w:rPr>
        <w:t xml:space="preserve">, 8(9), pp. 105–105. Available at: </w:t>
      </w:r>
      <w:hyperlink r:id="rId120" w:history="1">
        <w:r w:rsidRPr="00AE264E">
          <w:rPr>
            <w:rStyle w:val="Hyperlink"/>
          </w:rPr>
          <w:t>https://doi.org/10.3390/bdcc8090105</w:t>
        </w:r>
      </w:hyperlink>
      <w:r w:rsidRPr="00AE264E">
        <w:rPr>
          <w:color w:val="000000" w:themeColor="text1"/>
        </w:rPr>
        <w:t>.</w:t>
      </w:r>
    </w:p>
    <w:p w:rsidR="00D8422E" w:rsidRPr="00AE264E" w:rsidRDefault="00D8422E">
      <w:pPr>
        <w:spacing w:after="240"/>
        <w:rPr>
          <w:color w:val="000000" w:themeColor="text1"/>
        </w:rPr>
      </w:pPr>
      <w:r w:rsidRPr="00AE264E">
        <w:rPr>
          <w:color w:val="000000" w:themeColor="text1"/>
        </w:rPr>
        <w:t xml:space="preserve">Yu, T., Tian, Y., Chen, Y., Huang, Y., Pan, Y. and Jang, W. (2025) “How do ethical factors affect user trust and adoption intentions of AI-Generated content tools? Evidence from a Risk-Trust perspective,” </w:t>
      </w:r>
      <w:r w:rsidRPr="00AE264E">
        <w:rPr>
          <w:i/>
          <w:iCs/>
          <w:color w:val="000000" w:themeColor="text1"/>
        </w:rPr>
        <w:t>Systems</w:t>
      </w:r>
      <w:r w:rsidRPr="00AE264E">
        <w:rPr>
          <w:color w:val="000000" w:themeColor="text1"/>
        </w:rPr>
        <w:t xml:space="preserve">, 13(6), p. 461. Available at: </w:t>
      </w:r>
      <w:hyperlink r:id="rId121" w:history="1">
        <w:r w:rsidRPr="00AE264E">
          <w:rPr>
            <w:rStyle w:val="Hyperlink"/>
          </w:rPr>
          <w:t>https://doi.org/10.3390/systems13060461</w:t>
        </w:r>
      </w:hyperlink>
      <w:r w:rsidRPr="00AE264E">
        <w:rPr>
          <w:color w:val="000000" w:themeColor="text1"/>
        </w:rPr>
        <w:t>.</w:t>
      </w:r>
    </w:p>
    <w:p w:rsidR="00D8422E" w:rsidRPr="00AE264E" w:rsidRDefault="00D8422E">
      <w:pPr>
        <w:spacing w:after="240"/>
        <w:rPr>
          <w:color w:val="000000" w:themeColor="text1"/>
        </w:rPr>
      </w:pPr>
      <w:r w:rsidRPr="00AE264E">
        <w:rPr>
          <w:color w:val="000000" w:themeColor="text1"/>
        </w:rPr>
        <w:t xml:space="preserve">Zhu, H., Vigren, O. and Söderberg, I.-L. (2024) “Implementing artificial intelligence empowered financial advisory services: A literature review and critical research agenda,” </w:t>
      </w:r>
      <w:r w:rsidRPr="00AE264E">
        <w:rPr>
          <w:i/>
          <w:iCs/>
          <w:color w:val="000000" w:themeColor="text1"/>
        </w:rPr>
        <w:t>Journal of Business research</w:t>
      </w:r>
      <w:r w:rsidRPr="00AE264E">
        <w:rPr>
          <w:color w:val="000000" w:themeColor="text1"/>
        </w:rPr>
        <w:t xml:space="preserve">, 174. Available at: </w:t>
      </w:r>
      <w:hyperlink r:id="rId122" w:history="1">
        <w:r w:rsidRPr="00AE264E">
          <w:rPr>
            <w:rStyle w:val="Hyperlink"/>
          </w:rPr>
          <w:t>https://doi.org/10.1016/j.jbusres.2023.114494.</w:t>
        </w:r>
      </w:hyperlink>
    </w:p>
    <w:p w:rsidR="00D8422E" w:rsidRPr="00AE264E" w:rsidRDefault="00D8422E">
      <w:pPr>
        <w:spacing w:after="240"/>
        <w:rPr>
          <w:color w:val="000000" w:themeColor="text1"/>
        </w:rPr>
      </w:pPr>
      <w:r w:rsidRPr="00AE264E">
        <w:rPr>
          <w:color w:val="000000" w:themeColor="text1"/>
        </w:rPr>
        <w:t xml:space="preserve">Zungu, N.P., Hayford Amegbe, Hanu, C. and Asamoah, E.S. (2025) “AI-driven self-service for enhanced customer experience outcomes in the banking sector,” </w:t>
      </w:r>
      <w:r w:rsidRPr="00AE264E">
        <w:rPr>
          <w:i/>
          <w:iCs/>
          <w:color w:val="000000" w:themeColor="text1"/>
        </w:rPr>
        <w:t>Cogent business &amp; management</w:t>
      </w:r>
      <w:r w:rsidRPr="00AE264E">
        <w:rPr>
          <w:color w:val="000000" w:themeColor="text1"/>
        </w:rPr>
        <w:t>, 12(1). Available at</w:t>
      </w:r>
      <w:hyperlink r:id="rId123" w:history="1">
        <w:r w:rsidRPr="00AE264E">
          <w:rPr>
            <w:rStyle w:val="Hyperlink"/>
          </w:rPr>
          <w:t>: https://doi.org/10.1080/23311975.2025.2450295.</w:t>
        </w:r>
      </w:hyperlink>
    </w:p>
    <w:p w:rsidR="001D0A59" w:rsidRPr="00AE264E" w:rsidRDefault="001D0A59">
      <w:pPr>
        <w:rPr>
          <w:color w:val="000000" w:themeColor="text1"/>
        </w:rPr>
      </w:pPr>
      <w:r w:rsidRPr="00AE264E">
        <w:rPr>
          <w:color w:val="000000" w:themeColor="text1"/>
        </w:rPr>
        <w:br w:type="page"/>
      </w:r>
    </w:p>
    <w:p w:rsidR="004A1FF7" w:rsidRPr="00AE264E" w:rsidRDefault="004A1FF7" w:rsidP="001D0A59">
      <w:pPr>
        <w:pStyle w:val="Heading1"/>
        <w:rPr>
          <w:color w:val="000000" w:themeColor="text1"/>
        </w:rPr>
      </w:pPr>
      <w:bookmarkStart w:id="81" w:name="_Toc241178784"/>
      <w:r w:rsidRPr="00AE264E">
        <w:rPr>
          <w:color w:val="000000" w:themeColor="text1"/>
        </w:rPr>
        <w:lastRenderedPageBreak/>
        <w:t>Appendices</w:t>
      </w:r>
      <w:bookmarkEnd w:id="81"/>
    </w:p>
    <w:p w:rsidR="00EB6DA5" w:rsidRPr="00AE264E" w:rsidRDefault="004A1FF7" w:rsidP="004A1FF7">
      <w:pPr>
        <w:pStyle w:val="Heading2"/>
        <w:rPr>
          <w:color w:val="000000" w:themeColor="text1"/>
        </w:rPr>
      </w:pPr>
      <w:bookmarkStart w:id="82" w:name="_Toc241178785"/>
      <w:r w:rsidRPr="00AE264E">
        <w:rPr>
          <w:color w:val="000000" w:themeColor="text1"/>
        </w:rPr>
        <w:t xml:space="preserve">Appendix 1: </w:t>
      </w:r>
      <w:r w:rsidR="001D0A59" w:rsidRPr="00AE264E">
        <w:rPr>
          <w:color w:val="000000" w:themeColor="text1"/>
        </w:rPr>
        <w:t>Coding Table</w:t>
      </w:r>
      <w:bookmarkEnd w:id="82"/>
    </w:p>
    <w:tbl>
      <w:tblPr>
        <w:tblW w:w="9025" w:type="dxa"/>
        <w:tblBorders>
          <w:top w:val="nil"/>
          <w:left w:val="nil"/>
          <w:bottom w:val="nil"/>
          <w:right w:val="nil"/>
          <w:insideH w:val="nil"/>
          <w:insideV w:val="nil"/>
        </w:tblBorders>
        <w:tblLayout w:type="fixed"/>
        <w:tblLook w:val="0600" w:firstRow="0" w:lastRow="0" w:firstColumn="0" w:lastColumn="0" w:noHBand="1" w:noVBand="1"/>
      </w:tblPr>
      <w:tblGrid>
        <w:gridCol w:w="1540"/>
        <w:gridCol w:w="1511"/>
        <w:gridCol w:w="1511"/>
        <w:gridCol w:w="1511"/>
        <w:gridCol w:w="1501"/>
        <w:gridCol w:w="1451"/>
      </w:tblGrid>
      <w:tr w:rsidR="001D0A59" w:rsidRPr="00AE264E" w:rsidTr="00714AC4">
        <w:trPr>
          <w:trHeight w:val="585"/>
        </w:trPr>
        <w:tc>
          <w:tcPr>
            <w:tcW w:w="1540" w:type="dxa"/>
            <w:tcBorders>
              <w:top w:val="single" w:sz="12" w:space="0" w:color="000000"/>
              <w:left w:val="single" w:sz="12" w:space="0" w:color="000000"/>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Objectives</w:t>
            </w:r>
          </w:p>
        </w:tc>
        <w:tc>
          <w:tcPr>
            <w:tcW w:w="1510" w:type="dxa"/>
            <w:tcBorders>
              <w:top w:val="single" w:sz="12" w:space="0" w:color="000000"/>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Authors</w:t>
            </w:r>
          </w:p>
        </w:tc>
        <w:tc>
          <w:tcPr>
            <w:tcW w:w="1510" w:type="dxa"/>
            <w:tcBorders>
              <w:top w:val="single" w:sz="12" w:space="0" w:color="000000"/>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Quotes</w:t>
            </w:r>
          </w:p>
        </w:tc>
        <w:tc>
          <w:tcPr>
            <w:tcW w:w="1510" w:type="dxa"/>
            <w:tcBorders>
              <w:top w:val="single" w:sz="12" w:space="0" w:color="000000"/>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Summary</w:t>
            </w:r>
          </w:p>
        </w:tc>
        <w:tc>
          <w:tcPr>
            <w:tcW w:w="1500" w:type="dxa"/>
            <w:tcBorders>
              <w:top w:val="single" w:sz="12" w:space="0" w:color="000000"/>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Codes</w:t>
            </w:r>
          </w:p>
        </w:tc>
        <w:tc>
          <w:tcPr>
            <w:tcW w:w="1450" w:type="dxa"/>
            <w:tcBorders>
              <w:top w:val="single" w:sz="12" w:space="0" w:color="000000"/>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Themes</w:t>
            </w:r>
          </w:p>
        </w:tc>
      </w:tr>
      <w:tr w:rsidR="001D0A59" w:rsidRPr="00AE264E" w:rsidTr="00714AC4">
        <w:trPr>
          <w:trHeight w:val="3465"/>
        </w:trPr>
        <w:tc>
          <w:tcPr>
            <w:tcW w:w="1540" w:type="dxa"/>
            <w:vMerge w:val="restart"/>
            <w:tcBorders>
              <w:top w:val="nil"/>
              <w:left w:val="single" w:sz="12" w:space="0" w:color="000000"/>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Objective 1 - To investigate the adoption of AI-created financial advice within the investment sector in the UK.</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Vuković, Adza and Matović (2025)</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“AI, which typically involves technologies such as machine learning, deep learning, and natural language processing, now dictates the mediums for financial functions “</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sz w:val="26"/>
                <w:szCs w:val="26"/>
              </w:rPr>
            </w:pPr>
            <w:r w:rsidRPr="00AE264E">
              <w:rPr>
                <w:color w:val="000000" w:themeColor="text1"/>
              </w:rPr>
              <w:t xml:space="preserve">Vuković, Adza and Matović (2025) delve into the history of AI’s presence in financial services. According to the study, machine learning, NLP and blockchain are important enabling technologies for Credit Scoring, robo-advisory, and financial inclusion. The use of AI in financial analysis and investment services for </w:t>
            </w:r>
            <w:r w:rsidRPr="00AE264E">
              <w:rPr>
                <w:color w:val="000000" w:themeColor="text1"/>
              </w:rPr>
              <w:lastRenderedPageBreak/>
              <w:t xml:space="preserve">customers is rising rapidly, moving from back-office tasks to the face-to-face experience. The authors also highlight regulatory, ethical, transparency and accountability challenges. In the case of investment services, robo-advisory exemplifies the potential for AI to revolutionize access to automated financial advice, along with the need for responsible governance </w:t>
            </w:r>
            <w:r w:rsidRPr="00AE264E">
              <w:rPr>
                <w:color w:val="000000" w:themeColor="text1"/>
              </w:rPr>
              <w:lastRenderedPageBreak/>
              <w:t>and transparency.</w:t>
            </w:r>
          </w:p>
        </w:tc>
        <w:tc>
          <w:tcPr>
            <w:tcW w:w="150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lastRenderedPageBreak/>
              <w:t>Leveraging AI in finance, machine learning adoption, implementing NLP, robo-advisory, financial inclusion, investment decision-making, responsible use of AI.</w:t>
            </w:r>
          </w:p>
        </w:tc>
        <w:tc>
          <w:tcPr>
            <w:tcW w:w="1450" w:type="dxa"/>
            <w:vMerge w:val="restart"/>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Theme 1 - Emerging adoption of AI-enabled financial advice and investment services.</w:t>
            </w:r>
          </w:p>
        </w:tc>
      </w:tr>
      <w:tr w:rsidR="001D0A59" w:rsidRPr="00AE264E" w:rsidTr="00714AC4">
        <w:trPr>
          <w:trHeight w:val="4185"/>
        </w:trPr>
        <w:tc>
          <w:tcPr>
            <w:tcW w:w="1540" w:type="dxa"/>
            <w:vMerge/>
            <w:tcBorders>
              <w:top w:val="nil"/>
              <w:left w:val="single" w:sz="12" w:space="0" w:color="000000"/>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rFonts w:ascii="Arial" w:eastAsia="Arial" w:hAnsi="Arial" w:cs="Arial"/>
                <w:color w:val="000000" w:themeColor="text1"/>
              </w:rPr>
            </w:pP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Wang et al. (2025)</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“AI-powered financial advisor (AFA) faced backlash due to consumer distrust and confusion about the underlying AI algorithms”</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 xml:space="preserve">In their research, Wang et al. (2025) explore the role of AI financial advisors within the context of technology affordances and constraints. The study was conducted on 616 customers and finds that information optimisation, customisability and </w:t>
            </w:r>
            <w:r w:rsidRPr="00AE264E">
              <w:rPr>
                <w:color w:val="000000" w:themeColor="text1"/>
              </w:rPr>
              <w:lastRenderedPageBreak/>
              <w:t xml:space="preserve">human-likeness are significant features of AI that influence the readiness to use it. Self-efficacy and consumer innovativeness also influence the reactions to the use of AI technologies. The results show that besides the extent of technology benefits, users' perceived capability and vulnerability were factors affecting the adoption. The study thus supports personalised, independent </w:t>
            </w:r>
            <w:r w:rsidRPr="00AE264E">
              <w:rPr>
                <w:color w:val="000000" w:themeColor="text1"/>
              </w:rPr>
              <w:lastRenderedPageBreak/>
              <w:t>and accountable AI financial advice to enhance consumer autonomy.</w:t>
            </w:r>
          </w:p>
        </w:tc>
        <w:tc>
          <w:tcPr>
            <w:tcW w:w="150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lastRenderedPageBreak/>
              <w:t>Information optimisation, customisability, human-likeness, consumer vulnerability to information technology, self-efficacy, intention to adopt and use, AI financial advisors.</w:t>
            </w:r>
          </w:p>
        </w:tc>
        <w:tc>
          <w:tcPr>
            <w:tcW w:w="1450" w:type="dxa"/>
            <w:vMerge/>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rFonts w:ascii="Arial" w:eastAsia="Arial" w:hAnsi="Arial" w:cs="Arial"/>
                <w:color w:val="000000" w:themeColor="text1"/>
              </w:rPr>
            </w:pPr>
          </w:p>
        </w:tc>
      </w:tr>
      <w:tr w:rsidR="001D0A59" w:rsidRPr="00AE264E" w:rsidTr="00714AC4">
        <w:trPr>
          <w:trHeight w:val="4545"/>
        </w:trPr>
        <w:tc>
          <w:tcPr>
            <w:tcW w:w="1540" w:type="dxa"/>
            <w:vMerge/>
            <w:tcBorders>
              <w:top w:val="nil"/>
              <w:left w:val="single" w:sz="12" w:space="0" w:color="000000"/>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rFonts w:ascii="Arial" w:eastAsia="Arial" w:hAnsi="Arial" w:cs="Arial"/>
                <w:color w:val="000000" w:themeColor="text1"/>
              </w:rPr>
            </w:pP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Buchanan and Wright (2021)</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“The advantages of robo-advisory services are: (i) passive market access with strategic asset allocation strategies, that often include more client customization than the traditional risk profiles used by banks”</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 xml:space="preserve">Buchanan and Wright (2021) discuss the use of machine learning and artificial intelligence in the financial services industry in the UK. They're involved in applications including fraud detection, risk compliance, </w:t>
            </w:r>
            <w:r w:rsidRPr="00AE264E">
              <w:rPr>
                <w:color w:val="000000" w:themeColor="text1"/>
              </w:rPr>
              <w:lastRenderedPageBreak/>
              <w:t xml:space="preserve">credit scoring, robo-advisory, and algorithmic trading. Overall, the study shows that AI is no longer limited to narrow uses but has moved into broader functions and domains in the financial and investment space. One of the reasons that robo-advisory is pertinent is that automated advice can help expand access to investment services. However, the </w:t>
            </w:r>
            <w:r w:rsidRPr="00AE264E">
              <w:rPr>
                <w:color w:val="000000" w:themeColor="text1"/>
              </w:rPr>
              <w:lastRenderedPageBreak/>
              <w:t>experts conclude that regulation and governance are still key in regulating risks associated with AI. The study also illustrates the major part AI plays in transforming financial services and investment activities in the UK.</w:t>
            </w:r>
          </w:p>
        </w:tc>
        <w:tc>
          <w:tcPr>
            <w:tcW w:w="150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lastRenderedPageBreak/>
              <w:t>Financial Services Adoption in the UK; regulation and governance; machine learning; robo-advising; algorithmic trading; automated financial services; applications of artificial intelligence.</w:t>
            </w:r>
          </w:p>
        </w:tc>
        <w:tc>
          <w:tcPr>
            <w:tcW w:w="1450" w:type="dxa"/>
            <w:vMerge/>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rFonts w:ascii="Arial" w:eastAsia="Arial" w:hAnsi="Arial" w:cs="Arial"/>
                <w:color w:val="000000" w:themeColor="text1"/>
              </w:rPr>
            </w:pPr>
          </w:p>
        </w:tc>
      </w:tr>
      <w:tr w:rsidR="001D0A59" w:rsidRPr="00AE264E" w:rsidTr="00714AC4">
        <w:trPr>
          <w:trHeight w:val="3825"/>
        </w:trPr>
        <w:tc>
          <w:tcPr>
            <w:tcW w:w="1540" w:type="dxa"/>
            <w:vMerge w:val="restart"/>
            <w:tcBorders>
              <w:top w:val="nil"/>
              <w:left w:val="single" w:sz="12" w:space="0" w:color="000000"/>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lastRenderedPageBreak/>
              <w:t>Objective 2 - To evaluate factors that increase the trust of first-time investors in AI-generated financial advice.</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Chang, Park and Dinh (2025)</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 xml:space="preserve">“AI advisors as both competent and benevolent, they are more likely to internalize guidance, strengthen their </w:t>
            </w:r>
            <w:r w:rsidRPr="00AE264E">
              <w:rPr>
                <w:color w:val="000000" w:themeColor="text1"/>
              </w:rPr>
              <w:lastRenderedPageBreak/>
              <w:t>financial self-efficacy”</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lastRenderedPageBreak/>
              <w:t xml:space="preserve">Chang, Park and Dinh (2026) discuss the concepts of trust-building in the context of AI in financial services. The study builds on 361 U.S. </w:t>
            </w:r>
            <w:r w:rsidRPr="00AE264E">
              <w:rPr>
                <w:color w:val="000000" w:themeColor="text1"/>
              </w:rPr>
              <w:lastRenderedPageBreak/>
              <w:t xml:space="preserve">consumers, using structural equation modelling (SEM) to separate out two types of trust: benevolence-based trust, which is a measure of AI goodwill, and credibility-based trust, which is a measure of perceived AI competence. Both dimensions contribute to vicarious learning and financial self-efficacy, in turn promoting AI financial services adoption. </w:t>
            </w:r>
            <w:r w:rsidRPr="00AE264E">
              <w:rPr>
                <w:color w:val="000000" w:themeColor="text1"/>
              </w:rPr>
              <w:lastRenderedPageBreak/>
              <w:t>The findings provide evidence that trust is a key component to consumer receive of algorithmic advice. The study also recognizes that the fear of the pandemic is one of the factors that act as a moderator of the process of forming trust.</w:t>
            </w:r>
          </w:p>
        </w:tc>
        <w:tc>
          <w:tcPr>
            <w:tcW w:w="150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lastRenderedPageBreak/>
              <w:t xml:space="preserve">Credibility-based trust, benevolence-based trust, Perceived competence, perceived goodwill, Vicarious learning, Financial self-efficacy, </w:t>
            </w:r>
            <w:r w:rsidRPr="00AE264E">
              <w:rPr>
                <w:color w:val="000000" w:themeColor="text1"/>
              </w:rPr>
              <w:t>Adoption intention.</w:t>
            </w:r>
          </w:p>
        </w:tc>
        <w:tc>
          <w:tcPr>
            <w:tcW w:w="1450" w:type="dxa"/>
            <w:vMerge w:val="restart"/>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lastRenderedPageBreak/>
              <w:t>Theme 2 - Trust depends on AI competence, transparency, and investor capability.</w:t>
            </w:r>
          </w:p>
        </w:tc>
      </w:tr>
      <w:tr w:rsidR="001D0A59" w:rsidRPr="00AE264E" w:rsidTr="00714AC4">
        <w:trPr>
          <w:trHeight w:val="3465"/>
        </w:trPr>
        <w:tc>
          <w:tcPr>
            <w:tcW w:w="1540" w:type="dxa"/>
            <w:vMerge/>
            <w:tcBorders>
              <w:top w:val="nil"/>
              <w:left w:val="single" w:sz="12" w:space="0" w:color="000000"/>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rFonts w:ascii="Arial" w:eastAsia="Arial" w:hAnsi="Arial" w:cs="Arial"/>
                <w:color w:val="000000" w:themeColor="text1"/>
              </w:rPr>
            </w:pP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Maier, Menold and McComb (2022)</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“Artificial intelligence (AI) is the development of computer systems to perform tasks typically requiring human intelligence”</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 xml:space="preserve">Maier, Menold and McComb (2022) use a simulated, virtual investment scenario of 45 people to examine the trust-AI performance </w:t>
            </w:r>
            <w:r w:rsidRPr="00AE264E">
              <w:rPr>
                <w:color w:val="000000" w:themeColor="text1"/>
              </w:rPr>
              <w:lastRenderedPageBreak/>
              <w:t>relationship. Investors' money was invested in equities with help from a robo-advisor who performed above or below that of human investors. Individual performance of the AI or humans was a weak predictor of the variation of the trust, while the difference between AI and the performance of the human was moderate. Other key findings of the study are the"transpare</w:t>
            </w:r>
            <w:r w:rsidRPr="00AE264E">
              <w:rPr>
                <w:color w:val="000000" w:themeColor="text1"/>
              </w:rPr>
              <w:lastRenderedPageBreak/>
              <w:t>ncy, complexity and performance" aspects of human-AI financial communication.</w:t>
            </w:r>
          </w:p>
        </w:tc>
        <w:tc>
          <w:tcPr>
            <w:tcW w:w="150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lastRenderedPageBreak/>
              <w:t xml:space="preserve">Human-AI performance comparison, perceived capability, robo-advisor, trust formation, automation bias, transparency, </w:t>
            </w:r>
            <w:r w:rsidRPr="00AE264E">
              <w:rPr>
                <w:color w:val="000000" w:themeColor="text1"/>
              </w:rPr>
              <w:t>and AI performance.</w:t>
            </w:r>
          </w:p>
        </w:tc>
        <w:tc>
          <w:tcPr>
            <w:tcW w:w="1450" w:type="dxa"/>
            <w:vMerge/>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rFonts w:ascii="Arial" w:eastAsia="Arial" w:hAnsi="Arial" w:cs="Arial"/>
                <w:color w:val="000000" w:themeColor="text1"/>
              </w:rPr>
            </w:pPr>
          </w:p>
        </w:tc>
      </w:tr>
      <w:tr w:rsidR="001D0A59" w:rsidRPr="00AE264E" w:rsidTr="00714AC4">
        <w:trPr>
          <w:trHeight w:val="4545"/>
        </w:trPr>
        <w:tc>
          <w:tcPr>
            <w:tcW w:w="1540" w:type="dxa"/>
            <w:vMerge/>
            <w:tcBorders>
              <w:top w:val="nil"/>
              <w:left w:val="single" w:sz="12" w:space="0" w:color="000000"/>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rFonts w:ascii="Arial" w:eastAsia="Arial" w:hAnsi="Arial" w:cs="Arial"/>
                <w:color w:val="000000" w:themeColor="text1"/>
              </w:rPr>
            </w:pP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Vijayananth and Saravanabhavan (2026)</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“AI trading usage and perceived financial uncertainty positively influenced perceived algorithmic trust”</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 xml:space="preserve">Vijayananth and Saravanabhavan (2026) explore the impact of AI trading on financial resilience and develop an understanding of algorithmic trust and sustainable investing. The study, conducted on 569 retail investors with middle incomes across major </w:t>
            </w:r>
            <w:r w:rsidRPr="00AE264E">
              <w:rPr>
                <w:color w:val="000000" w:themeColor="text1"/>
              </w:rPr>
              <w:lastRenderedPageBreak/>
              <w:t xml:space="preserve">cities in India, reveals a positive relationship between the use of AI in trading and the perception of financial uncertainty, which in turn has a positive effect on algorithmic trust. This trust, then, builds up sustainable investment behaviour and financial resilience. Most importantly, the relationship between trust and investment behaviour is strengthened by the </w:t>
            </w:r>
            <w:r w:rsidRPr="00AE264E">
              <w:rPr>
                <w:color w:val="000000" w:themeColor="text1"/>
              </w:rPr>
              <w:lastRenderedPageBreak/>
              <w:t>interplay with human-AI interaction competency, highlighting the need for the capacity of investors to utilize AI-generated financial information effectively.</w:t>
            </w:r>
          </w:p>
        </w:tc>
        <w:tc>
          <w:tcPr>
            <w:tcW w:w="150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lastRenderedPageBreak/>
              <w:t>The competencies include algorithmic trust, AI trading use, financial uncertainties, human-AI interaction competency, sustainable investment behaviour and financial resilience.</w:t>
            </w:r>
          </w:p>
        </w:tc>
        <w:tc>
          <w:tcPr>
            <w:tcW w:w="1450" w:type="dxa"/>
            <w:vMerge/>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rFonts w:ascii="Arial" w:eastAsia="Arial" w:hAnsi="Arial" w:cs="Arial"/>
                <w:color w:val="000000" w:themeColor="text1"/>
              </w:rPr>
            </w:pPr>
          </w:p>
        </w:tc>
      </w:tr>
      <w:tr w:rsidR="001D0A59" w:rsidRPr="00AE264E" w:rsidTr="00714AC4">
        <w:trPr>
          <w:trHeight w:val="3825"/>
        </w:trPr>
        <w:tc>
          <w:tcPr>
            <w:tcW w:w="1540" w:type="dxa"/>
            <w:vMerge w:val="restart"/>
            <w:tcBorders>
              <w:top w:val="nil"/>
              <w:left w:val="single" w:sz="12" w:space="0" w:color="000000"/>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lastRenderedPageBreak/>
              <w:t>Objective 3 - To identify major challenges related to AI-generated financial advice to uplift first-time investors’ confidence.</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Verma et al. (2025)</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“The potential bias can be introduced due to the self-reported data, leading to inaccuracy, specifically when users judge their own resistance or cognitive bias”</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 xml:space="preserve">Verma et al. (2025) study investor resistance to the use of a Robo-Advisor through the lens of Innovation Resistance Theory, surveying 409 investors. The study identifies the functional </w:t>
            </w:r>
            <w:r w:rsidRPr="00AE264E">
              <w:rPr>
                <w:color w:val="000000" w:themeColor="text1"/>
              </w:rPr>
              <w:lastRenderedPageBreak/>
              <w:t xml:space="preserve">and psychological aspects as causes of resistance, along with inertia as the most potent cause. Others create reluctance through what they believe are too great data privacy risks, overconfidence bias and perceived complexity. Resistance, in turn, leads to a decrease in intentions to use and recommend robo-advisors. The results suggest that privacy protection and </w:t>
            </w:r>
            <w:r w:rsidRPr="00AE264E">
              <w:rPr>
                <w:color w:val="000000" w:themeColor="text1"/>
              </w:rPr>
              <w:lastRenderedPageBreak/>
              <w:t>perceived risks are challenges that open opportunities to undermine confidence and stifle the use of AI advice.</w:t>
            </w:r>
          </w:p>
        </w:tc>
        <w:tc>
          <w:tcPr>
            <w:tcW w:w="150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lastRenderedPageBreak/>
              <w:t>Privacy risk, overconfidence bias, resistance to robo-advisors, and reluctance to use AI are functional, psychological, and are all barriers to these technological advances.</w:t>
            </w:r>
          </w:p>
        </w:tc>
        <w:tc>
          <w:tcPr>
            <w:tcW w:w="1450" w:type="dxa"/>
            <w:vMerge w:val="restart"/>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Theme 3 - Accuracy, privacy, ethical and psychological risks can trigger investor confidence.</w:t>
            </w:r>
          </w:p>
        </w:tc>
      </w:tr>
      <w:tr w:rsidR="001D0A59" w:rsidRPr="00AE264E" w:rsidTr="00714AC4">
        <w:trPr>
          <w:trHeight w:val="2385"/>
        </w:trPr>
        <w:tc>
          <w:tcPr>
            <w:tcW w:w="1540" w:type="dxa"/>
            <w:vMerge/>
            <w:tcBorders>
              <w:top w:val="nil"/>
              <w:left w:val="single" w:sz="12" w:space="0" w:color="000000"/>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rFonts w:ascii="Arial" w:eastAsia="Arial" w:hAnsi="Arial" w:cs="Arial"/>
                <w:color w:val="000000" w:themeColor="text1"/>
              </w:rPr>
            </w:pP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Wei et al. (2025)</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“Consumers’ perceptions of AI-related IP infringement have material consequences for corporate risk assessment, capital allocation decisions, and ongoing compliance strategies”</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 xml:space="preserve">Wei et al. (2025) focus on perceptions of IP infringement due to AI and reactions of the 10,447 users in China studied as part of their study. The study reveals that reputational damage, litigation exposure, scrutiny and investor </w:t>
            </w:r>
            <w:r w:rsidRPr="00AE264E">
              <w:rPr>
                <w:color w:val="000000" w:themeColor="text1"/>
              </w:rPr>
              <w:lastRenderedPageBreak/>
              <w:t>uncertainty are risks posed by infringement. Perceptions are driven by networks, once there is an awareness of damages, concerns mount as communities see ethical risks. The study demonstrates the capacity of the legal, ethical and financial risks surrounding AI to infringe investor confidence. It is not about financial advice, yet these insights are valuable in understandin</w:t>
            </w:r>
            <w:r w:rsidRPr="00AE264E">
              <w:rPr>
                <w:color w:val="000000" w:themeColor="text1"/>
              </w:rPr>
              <w:lastRenderedPageBreak/>
              <w:t>g the overall risks of AI implementation.</w:t>
            </w:r>
          </w:p>
        </w:tc>
        <w:tc>
          <w:tcPr>
            <w:tcW w:w="150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lastRenderedPageBreak/>
              <w:t>Breach of rights, IP issues, negative publicity, litigation, scrutiny by regulators, financial risks, ethical issues.</w:t>
            </w:r>
          </w:p>
        </w:tc>
        <w:tc>
          <w:tcPr>
            <w:tcW w:w="1450" w:type="dxa"/>
            <w:vMerge/>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rFonts w:ascii="Arial" w:eastAsia="Arial" w:hAnsi="Arial" w:cs="Arial"/>
                <w:color w:val="000000" w:themeColor="text1"/>
              </w:rPr>
            </w:pPr>
          </w:p>
        </w:tc>
      </w:tr>
      <w:tr w:rsidR="001D0A59" w:rsidRPr="00AE264E" w:rsidTr="00714AC4">
        <w:trPr>
          <w:trHeight w:val="3465"/>
        </w:trPr>
        <w:tc>
          <w:tcPr>
            <w:tcW w:w="1540" w:type="dxa"/>
            <w:vMerge/>
            <w:tcBorders>
              <w:top w:val="nil"/>
              <w:left w:val="single" w:sz="12" w:space="0" w:color="000000"/>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rFonts w:ascii="Arial" w:eastAsia="Arial" w:hAnsi="Arial" w:cs="Arial"/>
                <w:color w:val="000000" w:themeColor="text1"/>
              </w:rPr>
            </w:pP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Alruwaili and Mgammal (2025)</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“AI operates at the core of industrial transformation for accounting operations by combining task automation with professional evolution”</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 xml:space="preserve">Alruwaili and Mgammal (2025) investigate the use of AI in Saudi accounting by surveying 101 accounting professionals with structural equation modelling. It recognizes advantages like automation, efficiency, accurate reporting, anti-fraud, and regulatory </w:t>
            </w:r>
            <w:r w:rsidRPr="00AE264E">
              <w:rPr>
                <w:color w:val="000000" w:themeColor="text1"/>
              </w:rPr>
              <w:lastRenderedPageBreak/>
              <w:t xml:space="preserve">compliance. However, their effective application demands education, AI literacy, and solid regulation and ethics checking due to challenges arising from algorithmic bias, workforce displacement and integrity. The results highlight the need for expertise among professionals to ensure AI is used responsibly. Indeed, the importance of governance, skills and </w:t>
            </w:r>
            <w:r w:rsidRPr="00AE264E">
              <w:rPr>
                <w:color w:val="000000" w:themeColor="text1"/>
              </w:rPr>
              <w:lastRenderedPageBreak/>
              <w:t>ethical protocols in financial services today is being reflected in these insights.</w:t>
            </w:r>
          </w:p>
        </w:tc>
        <w:tc>
          <w:tcPr>
            <w:tcW w:w="150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lastRenderedPageBreak/>
              <w:t>Industrial automation, job displacement, installation issues, security issues, training in artificial intelligence, legal norms; moral evaluation.</w:t>
            </w:r>
          </w:p>
        </w:tc>
        <w:tc>
          <w:tcPr>
            <w:tcW w:w="1450" w:type="dxa"/>
            <w:vMerge/>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rFonts w:ascii="Arial" w:eastAsia="Arial" w:hAnsi="Arial" w:cs="Arial"/>
                <w:color w:val="000000" w:themeColor="text1"/>
              </w:rPr>
            </w:pPr>
          </w:p>
        </w:tc>
      </w:tr>
      <w:tr w:rsidR="001D0A59" w:rsidRPr="00AE264E" w:rsidTr="00714AC4">
        <w:trPr>
          <w:trHeight w:val="3825"/>
        </w:trPr>
        <w:tc>
          <w:tcPr>
            <w:tcW w:w="1540" w:type="dxa"/>
            <w:vMerge w:val="restart"/>
            <w:tcBorders>
              <w:top w:val="nil"/>
              <w:left w:val="single" w:sz="12" w:space="0" w:color="000000"/>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lastRenderedPageBreak/>
              <w:t>Objective 4 - To provide potential recommendations for improving the responsible use of AI-aided financial advice in the UK investment industry.</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Alnor et al. (2026)</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“This permits AI systems to supply predictions that are more responsive to fluctuations in demand, costs, macroeconomic signs, and operational elements”</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 xml:space="preserve">To explore the impact of AI integration on the financial analysis of 180 observations, presented by Alnora et al. (2026), were drawn from banks and insurance companies. The results reveal a strong positive correlation between the use of AI and </w:t>
            </w:r>
            <w:r w:rsidRPr="00AE264E">
              <w:rPr>
                <w:color w:val="000000" w:themeColor="text1"/>
              </w:rPr>
              <w:lastRenderedPageBreak/>
              <w:t xml:space="preserve">the performance of financial analysis, such as faster reporting, more accurate forecasts and lower analysis costs. Nevertheless, in order to be effective, these have to rely on organisational resources, data quality, validation, and technological ability. The study recommends the need to build the right level of organisational capacities, prepare sound data </w:t>
            </w:r>
            <w:r w:rsidRPr="00AE264E">
              <w:rPr>
                <w:color w:val="000000" w:themeColor="text1"/>
              </w:rPr>
              <w:lastRenderedPageBreak/>
              <w:t>infrastructure and establish the right model management to help support sustainable financial decision-making as a means to overcome the challenge of responsible AI adoption.</w:t>
            </w:r>
          </w:p>
        </w:tc>
        <w:tc>
          <w:tcPr>
            <w:tcW w:w="150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lastRenderedPageBreak/>
              <w:t>AI adoption, forecasting accuracy, efficiency of analysis, cost reduction in data processing, organisational capability, and responsible implementation.</w:t>
            </w:r>
          </w:p>
        </w:tc>
        <w:tc>
          <w:tcPr>
            <w:tcW w:w="1450" w:type="dxa"/>
            <w:vMerge w:val="restart"/>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Theme 4 - Responsible AI requires governance, transparency, literacy and human oversight.</w:t>
            </w:r>
          </w:p>
        </w:tc>
      </w:tr>
      <w:tr w:rsidR="001D0A59" w:rsidRPr="00AE264E" w:rsidTr="00714AC4">
        <w:trPr>
          <w:trHeight w:val="3465"/>
        </w:trPr>
        <w:tc>
          <w:tcPr>
            <w:tcW w:w="1540" w:type="dxa"/>
            <w:vMerge/>
            <w:tcBorders>
              <w:top w:val="nil"/>
              <w:left w:val="single" w:sz="12" w:space="0" w:color="000000"/>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rFonts w:ascii="Arial" w:eastAsia="Arial" w:hAnsi="Arial" w:cs="Arial"/>
                <w:color w:val="000000" w:themeColor="text1"/>
              </w:rPr>
            </w:pP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Fundira and Mbohwa (2025)</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“technological advances have introduced critical ethical concerns, particularly around data privacy, algorithmic bias, transparency, fairness, and regulatory oversight”</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 xml:space="preserve">This systematic review, carried out by Fundira and Mbohwa (2025), outlines the broad consensus on AI's ethical implications for banks from both regulatory and </w:t>
            </w:r>
            <w:r w:rsidRPr="00AE264E">
              <w:rPr>
                <w:color w:val="000000" w:themeColor="text1"/>
              </w:rPr>
              <w:lastRenderedPageBreak/>
              <w:t xml:space="preserve">consumer viewpoints. The study examines 25 peer-reviewed publications that show some focus on ethical governance, customer-focused AI, risk management and ethical decision-making. Effective data privacy and algorithmic bias, transparency, fairness and regulatory oversight are issues of key concern. Within the realms of regulatory frameworks, </w:t>
            </w:r>
            <w:r w:rsidRPr="00AE264E">
              <w:rPr>
                <w:color w:val="000000" w:themeColor="text1"/>
              </w:rPr>
              <w:lastRenderedPageBreak/>
              <w:t xml:space="preserve">the authors do stress harmonisation, accountability, and transparency of the deployment of AI to safeguard consumers' rights and to build trust. The findings can offer practical guidance for financial institutions aiming to implement a responsible approach to AI adoption and offer guidance for crafting ethical protections, regulatory frameworks, </w:t>
            </w:r>
            <w:r w:rsidRPr="00AE264E">
              <w:rPr>
                <w:color w:val="000000" w:themeColor="text1"/>
              </w:rPr>
              <w:lastRenderedPageBreak/>
              <w:t>and other measures.</w:t>
            </w:r>
          </w:p>
        </w:tc>
        <w:tc>
          <w:tcPr>
            <w:tcW w:w="150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lastRenderedPageBreak/>
              <w:t>Ethical governance, customer protection, privacy of data, biases in algorithms, transparency, fairness, regulatory oversight, harmonisedregulation.</w:t>
            </w:r>
          </w:p>
        </w:tc>
        <w:tc>
          <w:tcPr>
            <w:tcW w:w="1450" w:type="dxa"/>
            <w:vMerge/>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rFonts w:ascii="Arial" w:eastAsia="Arial" w:hAnsi="Arial" w:cs="Arial"/>
                <w:color w:val="000000" w:themeColor="text1"/>
              </w:rPr>
            </w:pPr>
          </w:p>
        </w:tc>
      </w:tr>
      <w:tr w:rsidR="001D0A59" w:rsidRPr="00AE264E" w:rsidTr="00714AC4">
        <w:trPr>
          <w:trHeight w:val="2745"/>
        </w:trPr>
        <w:tc>
          <w:tcPr>
            <w:tcW w:w="1540" w:type="dxa"/>
            <w:vMerge/>
            <w:tcBorders>
              <w:top w:val="nil"/>
              <w:left w:val="single" w:sz="12" w:space="0" w:color="000000"/>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rFonts w:ascii="Arial" w:eastAsia="Arial" w:hAnsi="Arial" w:cs="Arial"/>
                <w:color w:val="000000" w:themeColor="text1"/>
              </w:rPr>
            </w:pP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Lim (2024)</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“ESG considerations straddle economic-financial areas from trading and investments to corporate governance and risk management, supported by a myriad of AI tools and resources”</w:t>
            </w:r>
          </w:p>
        </w:tc>
        <w:tc>
          <w:tcPr>
            <w:tcW w:w="151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t xml:space="preserve">In an exhaustive and systematic analysis, Lim (2024) outlines the research on ESG and AI in finance and classifies them into eight primary research areas: finance trading and investment, ESG-led governance, risk management, forecasting, finance data and </w:t>
            </w:r>
            <w:r w:rsidRPr="00AE264E">
              <w:rPr>
                <w:color w:val="000000" w:themeColor="text1"/>
              </w:rPr>
              <w:lastRenderedPageBreak/>
              <w:t xml:space="preserve">responsible AI, to name a few. Although there has been less research focus on the concept of responsible AI, the study indicates that there is a lot of potential for it in the future. It emphasises the need for governance, responsible use and appreciation of the implications of AI in the financial sphere. The results align with guidance on the need to pay more attention to </w:t>
            </w:r>
            <w:r w:rsidRPr="00AE264E">
              <w:rPr>
                <w:color w:val="000000" w:themeColor="text1"/>
              </w:rPr>
              <w:lastRenderedPageBreak/>
              <w:t>responsible AI frameworks, transparency and governance to sustainably and ethically advance financial decision-making with AI.</w:t>
            </w:r>
          </w:p>
        </w:tc>
        <w:tc>
          <w:tcPr>
            <w:tcW w:w="1500" w:type="dxa"/>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color w:val="000000" w:themeColor="text1"/>
              </w:rPr>
            </w:pPr>
            <w:r w:rsidRPr="00AE264E">
              <w:rPr>
                <w:color w:val="000000" w:themeColor="text1"/>
              </w:rPr>
              <w:lastRenderedPageBreak/>
              <w:t>Accountable AI, ESG management, risk management, investments, prediction, responsible financial applications.</w:t>
            </w:r>
          </w:p>
        </w:tc>
        <w:tc>
          <w:tcPr>
            <w:tcW w:w="1450" w:type="dxa"/>
            <w:vMerge/>
            <w:tcBorders>
              <w:top w:val="nil"/>
              <w:left w:val="nil"/>
              <w:bottom w:val="single" w:sz="12" w:space="0" w:color="000000"/>
              <w:right w:val="single" w:sz="12" w:space="0" w:color="000000"/>
            </w:tcBorders>
            <w:tcMar>
              <w:top w:w="100" w:type="dxa"/>
              <w:left w:w="100" w:type="dxa"/>
              <w:bottom w:w="100" w:type="dxa"/>
              <w:right w:w="100" w:type="dxa"/>
            </w:tcMar>
          </w:tcPr>
          <w:p w:rsidR="001D0A59" w:rsidRPr="00AE264E" w:rsidRDefault="001D0A59" w:rsidP="00714AC4">
            <w:pPr>
              <w:rPr>
                <w:rFonts w:ascii="Arial" w:eastAsia="Arial" w:hAnsi="Arial" w:cs="Arial"/>
                <w:color w:val="000000" w:themeColor="text1"/>
              </w:rPr>
            </w:pPr>
          </w:p>
        </w:tc>
      </w:tr>
    </w:tbl>
    <w:p w:rsidR="001D0A59" w:rsidRPr="00AE264E" w:rsidRDefault="001D0A59" w:rsidP="001D0A59">
      <w:pPr>
        <w:spacing w:after="240"/>
        <w:jc w:val="center"/>
        <w:rPr>
          <w:color w:val="000000" w:themeColor="text1"/>
        </w:rPr>
      </w:pPr>
      <w:r w:rsidRPr="00AE264E">
        <w:rPr>
          <w:color w:val="000000" w:themeColor="text1"/>
        </w:rPr>
        <w:lastRenderedPageBreak/>
        <w:t>(Source: Self-created)</w:t>
      </w:r>
    </w:p>
    <w:p w:rsidR="00D8422E" w:rsidRPr="00AE264E" w:rsidRDefault="00D8422E" w:rsidP="00D8422E">
      <w:pPr>
        <w:pStyle w:val="Heading2"/>
        <w:rPr>
          <w:color w:val="000000" w:themeColor="text1"/>
        </w:rPr>
      </w:pPr>
      <w:bookmarkStart w:id="83" w:name="_Toc241178786"/>
      <w:r w:rsidRPr="00AE264E">
        <w:rPr>
          <w:color w:val="000000" w:themeColor="text1"/>
        </w:rPr>
        <w:t>Appendix 2: Ethics Form</w:t>
      </w:r>
      <w:bookmarkEnd w:id="83"/>
    </w:p>
    <w:p w:rsidR="000A324D" w:rsidRPr="00AE264E" w:rsidRDefault="000A324D" w:rsidP="00C82976">
      <w:pPr>
        <w:tabs>
          <w:tab w:val="left" w:pos="5103"/>
        </w:tabs>
        <w:jc w:val="center"/>
        <w:rPr>
          <w:rFonts w:ascii="Arial" w:hAnsi="Arial" w:cs="Arial"/>
          <w:b/>
          <w:bCs/>
          <w:color w:val="000000" w:themeColor="text1"/>
        </w:rPr>
      </w:pPr>
      <w:r w:rsidRPr="00AE264E">
        <w:rPr>
          <w:rFonts w:ascii="Arial" w:hAnsi="Arial" w:cs="Arial"/>
          <w:b/>
          <w:bCs/>
          <w:color w:val="000000" w:themeColor="text1"/>
        </w:rPr>
        <w:t>APPLICATION FOR ETHICAL APPROVAL</w:t>
      </w:r>
    </w:p>
    <w:p w:rsidR="000A324D" w:rsidRPr="00AE264E" w:rsidRDefault="000A324D" w:rsidP="000A324D">
      <w:pPr>
        <w:tabs>
          <w:tab w:val="left" w:pos="5103"/>
        </w:tabs>
        <w:ind w:right="282"/>
        <w:rPr>
          <w:rFonts w:ascii="Arial" w:hAnsi="Arial" w:cs="Arial"/>
          <w:b/>
          <w:bCs/>
          <w:color w:val="000000" w:themeColor="text1"/>
          <w:sz w:val="22"/>
          <w:szCs w:val="22"/>
        </w:rPr>
      </w:pPr>
      <w:r w:rsidRPr="00AE264E">
        <w:rPr>
          <w:rFonts w:ascii="Arial" w:hAnsi="Arial" w:cs="Arial"/>
          <w:b/>
          <w:bCs/>
          <w:color w:val="000000" w:themeColor="text1"/>
          <w:sz w:val="22"/>
          <w:szCs w:val="22"/>
        </w:rPr>
        <w:t xml:space="preserve">In order for research to result in benefit and minimise risk of harm, it must be conducted ethically. </w:t>
      </w:r>
    </w:p>
    <w:p w:rsidR="000A324D" w:rsidRPr="00AE264E" w:rsidRDefault="000A324D" w:rsidP="000A324D">
      <w:pPr>
        <w:tabs>
          <w:tab w:val="left" w:pos="5103"/>
        </w:tabs>
        <w:ind w:right="282"/>
        <w:jc w:val="center"/>
        <w:rPr>
          <w:rFonts w:ascii="Arial" w:hAnsi="Arial" w:cs="Arial"/>
          <w:b/>
          <w:bCs/>
          <w:color w:val="000000" w:themeColor="text1"/>
          <w:sz w:val="16"/>
          <w:szCs w:val="16"/>
        </w:rPr>
      </w:pPr>
    </w:p>
    <w:p w:rsidR="000A324D" w:rsidRPr="00AE264E" w:rsidRDefault="000A324D" w:rsidP="000A324D">
      <w:pPr>
        <w:tabs>
          <w:tab w:val="left" w:pos="5103"/>
        </w:tabs>
        <w:ind w:right="282"/>
        <w:rPr>
          <w:rFonts w:ascii="Arial" w:hAnsi="Arial" w:cs="Arial"/>
          <w:color w:val="000000" w:themeColor="text1"/>
          <w:sz w:val="22"/>
          <w:szCs w:val="22"/>
        </w:rPr>
      </w:pPr>
      <w:r w:rsidRPr="00AE264E">
        <w:rPr>
          <w:rFonts w:ascii="Arial" w:hAnsi="Arial" w:cs="Arial"/>
          <w:color w:val="000000" w:themeColor="text1"/>
          <w:sz w:val="22"/>
          <w:szCs w:val="22"/>
        </w:rPr>
        <w:t xml:space="preserve">The University follows the OECD Frascati manual definition of </w:t>
      </w:r>
      <w:r w:rsidRPr="00AE264E">
        <w:rPr>
          <w:rFonts w:ascii="Arial" w:hAnsi="Arial" w:cs="Arial"/>
          <w:b/>
          <w:color w:val="000000" w:themeColor="text1"/>
          <w:sz w:val="22"/>
          <w:szCs w:val="22"/>
        </w:rPr>
        <w:t>research activity</w:t>
      </w:r>
      <w:r w:rsidRPr="00AE264E">
        <w:rPr>
          <w:rFonts w:ascii="Arial" w:hAnsi="Arial" w:cs="Arial"/>
          <w:color w:val="000000" w:themeColor="text1"/>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A324D" w:rsidRPr="00AE264E" w:rsidRDefault="000A324D" w:rsidP="000A324D">
      <w:pPr>
        <w:tabs>
          <w:tab w:val="left" w:pos="5103"/>
        </w:tabs>
        <w:ind w:right="282"/>
        <w:rPr>
          <w:rFonts w:ascii="Arial" w:hAnsi="Arial" w:cs="Arial"/>
          <w:color w:val="000000" w:themeColor="text1"/>
          <w:sz w:val="22"/>
          <w:szCs w:val="22"/>
        </w:rPr>
      </w:pPr>
      <w:r w:rsidRPr="00AE264E">
        <w:rPr>
          <w:rFonts w:ascii="Arial" w:hAnsi="Arial" w:cs="Arial"/>
          <w:color w:val="000000" w:themeColor="text1"/>
          <w:sz w:val="22"/>
          <w:szCs w:val="22"/>
        </w:rPr>
        <w:t>The individual undertaking the research activity is known as the “principal researcher”.</w:t>
      </w:r>
    </w:p>
    <w:p w:rsidR="000A324D" w:rsidRPr="00AE264E" w:rsidRDefault="000A324D" w:rsidP="000A324D">
      <w:pPr>
        <w:autoSpaceDE w:val="0"/>
        <w:autoSpaceDN w:val="0"/>
        <w:adjustRightInd w:val="0"/>
        <w:rPr>
          <w:rFonts w:ascii="Arial" w:hAnsi="Arial" w:cs="Arial"/>
          <w:color w:val="000000" w:themeColor="text1"/>
          <w:sz w:val="22"/>
          <w:szCs w:val="22"/>
        </w:rPr>
      </w:pPr>
      <w:r w:rsidRPr="00AE264E">
        <w:rPr>
          <w:rFonts w:ascii="Arial" w:hAnsi="Arial" w:cs="Arial"/>
          <w:b/>
          <w:color w:val="000000" w:themeColor="text1"/>
          <w:sz w:val="22"/>
          <w:szCs w:val="22"/>
        </w:rPr>
        <w:t>This formmust be completed and approved prior to undertaking any research activity.</w:t>
      </w:r>
    </w:p>
    <w:p w:rsidR="000A324D" w:rsidRPr="00AE264E" w:rsidRDefault="000A324D" w:rsidP="000A324D">
      <w:pPr>
        <w:autoSpaceDE w:val="0"/>
        <w:autoSpaceDN w:val="0"/>
        <w:adjustRightInd w:val="0"/>
        <w:spacing w:after="240"/>
        <w:rPr>
          <w:rFonts w:ascii="Arial" w:hAnsi="Arial" w:cs="Arial"/>
          <w:b/>
          <w:color w:val="000000" w:themeColor="text1"/>
          <w:sz w:val="22"/>
          <w:szCs w:val="22"/>
        </w:rPr>
      </w:pPr>
      <w:r w:rsidRPr="00AE264E">
        <w:rPr>
          <w:rFonts w:ascii="Arial" w:hAnsi="Arial" w:cs="Arial"/>
          <w:b/>
          <w:color w:val="000000" w:themeColor="text1"/>
          <w:sz w:val="22"/>
          <w:szCs w:val="22"/>
        </w:rPr>
        <w:t>SECTION A: About You (Principal Researcher)</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83"/>
        <w:gridCol w:w="2807"/>
        <w:gridCol w:w="5723"/>
      </w:tblGrid>
      <w:tr w:rsidR="000A324D" w:rsidRPr="00AE264E" w:rsidTr="00C82976">
        <w:trPr>
          <w:trHeight w:val="439"/>
        </w:trPr>
        <w:tc>
          <w:tcPr>
            <w:tcW w:w="268" w:type="pct"/>
            <w:shd w:val="clear" w:color="auto" w:fill="F2F2F2" w:themeFill="background1" w:themeFillShade="F2"/>
            <w:vAlign w:val="center"/>
          </w:tcPr>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1</w:t>
            </w:r>
          </w:p>
        </w:tc>
        <w:tc>
          <w:tcPr>
            <w:tcW w:w="1557" w:type="pct"/>
            <w:shd w:val="clear" w:color="auto" w:fill="F2F2F2" w:themeFill="background1" w:themeFillShade="F2"/>
            <w:vAlign w:val="center"/>
          </w:tcPr>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Full Name:</w:t>
            </w:r>
          </w:p>
        </w:tc>
        <w:tc>
          <w:tcPr>
            <w:tcW w:w="3176" w:type="pct"/>
            <w:vAlign w:val="center"/>
          </w:tcPr>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VIJAY KUMAR</w:t>
            </w:r>
          </w:p>
        </w:tc>
      </w:tr>
      <w:tr w:rsidR="000A324D" w:rsidRPr="00AE264E" w:rsidTr="00C82976">
        <w:trPr>
          <w:cantSplit/>
          <w:trHeight w:val="340"/>
        </w:trPr>
        <w:tc>
          <w:tcPr>
            <w:tcW w:w="268" w:type="pct"/>
            <w:shd w:val="clear" w:color="auto" w:fill="F2F2F2" w:themeFill="background1" w:themeFillShade="F2"/>
            <w:vAlign w:val="center"/>
          </w:tcPr>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2</w:t>
            </w:r>
          </w:p>
        </w:tc>
        <w:tc>
          <w:tcPr>
            <w:tcW w:w="1557" w:type="pct"/>
            <w:shd w:val="clear" w:color="auto" w:fill="F2F2F2" w:themeFill="background1" w:themeFillShade="F2"/>
            <w:vAlign w:val="center"/>
          </w:tcPr>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Student Number:</w:t>
            </w:r>
          </w:p>
        </w:tc>
        <w:tc>
          <w:tcPr>
            <w:tcW w:w="3176" w:type="pct"/>
            <w:vAlign w:val="center"/>
          </w:tcPr>
          <w:p w:rsidR="000A324D" w:rsidRPr="00AE264E" w:rsidRDefault="000A324D" w:rsidP="00AE264E">
            <w:pPr>
              <w:rPr>
                <w:rFonts w:ascii="Arial" w:hAnsi="Arial" w:cs="Arial"/>
                <w:color w:val="000000" w:themeColor="text1"/>
                <w:sz w:val="22"/>
                <w:szCs w:val="22"/>
              </w:rPr>
            </w:pPr>
          </w:p>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2433812</w:t>
            </w:r>
          </w:p>
        </w:tc>
      </w:tr>
      <w:tr w:rsidR="000A324D" w:rsidRPr="00AE264E" w:rsidTr="00C82976">
        <w:trPr>
          <w:trHeight w:val="513"/>
        </w:trPr>
        <w:tc>
          <w:tcPr>
            <w:tcW w:w="268" w:type="pct"/>
            <w:shd w:val="clear" w:color="auto" w:fill="F2F2F2" w:themeFill="background1" w:themeFillShade="F2"/>
            <w:vAlign w:val="center"/>
          </w:tcPr>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lastRenderedPageBreak/>
              <w:t>3</w:t>
            </w:r>
          </w:p>
        </w:tc>
        <w:tc>
          <w:tcPr>
            <w:tcW w:w="1557" w:type="pct"/>
            <w:shd w:val="clear" w:color="auto" w:fill="F2F2F2" w:themeFill="background1" w:themeFillShade="F2"/>
            <w:vAlign w:val="center"/>
          </w:tcPr>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Email address:</w:t>
            </w:r>
          </w:p>
        </w:tc>
        <w:tc>
          <w:tcPr>
            <w:tcW w:w="3176" w:type="pct"/>
            <w:vAlign w:val="center"/>
          </w:tcPr>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2433812@student.uwtsd.ac.uk</w:t>
            </w:r>
          </w:p>
        </w:tc>
      </w:tr>
      <w:tr w:rsidR="000A324D" w:rsidRPr="00AE264E" w:rsidTr="00C82976">
        <w:trPr>
          <w:trHeight w:val="549"/>
        </w:trPr>
        <w:tc>
          <w:tcPr>
            <w:tcW w:w="268" w:type="pct"/>
            <w:shd w:val="clear" w:color="auto" w:fill="F2F2F2" w:themeFill="background1" w:themeFillShade="F2"/>
            <w:vAlign w:val="center"/>
          </w:tcPr>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4</w:t>
            </w:r>
          </w:p>
        </w:tc>
        <w:tc>
          <w:tcPr>
            <w:tcW w:w="1557" w:type="pct"/>
            <w:shd w:val="clear" w:color="auto" w:fill="F2F2F2" w:themeFill="background1" w:themeFillShade="F2"/>
            <w:vAlign w:val="center"/>
          </w:tcPr>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Programme of Study:</w:t>
            </w:r>
          </w:p>
        </w:tc>
        <w:tc>
          <w:tcPr>
            <w:tcW w:w="3176" w:type="pct"/>
            <w:vAlign w:val="center"/>
          </w:tcPr>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MBA International Business</w:t>
            </w:r>
          </w:p>
        </w:tc>
      </w:tr>
      <w:tr w:rsidR="000A324D" w:rsidRPr="00AE264E" w:rsidTr="00C82976">
        <w:trPr>
          <w:trHeight w:val="557"/>
        </w:trPr>
        <w:tc>
          <w:tcPr>
            <w:tcW w:w="268" w:type="pct"/>
            <w:shd w:val="clear" w:color="auto" w:fill="F2F2F2" w:themeFill="background1" w:themeFillShade="F2"/>
            <w:vAlign w:val="center"/>
          </w:tcPr>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5</w:t>
            </w:r>
          </w:p>
        </w:tc>
        <w:tc>
          <w:tcPr>
            <w:tcW w:w="1557" w:type="pct"/>
            <w:shd w:val="clear" w:color="auto" w:fill="F2F2F2" w:themeFill="background1" w:themeFillShade="F2"/>
            <w:vAlign w:val="center"/>
          </w:tcPr>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Supervisor:</w:t>
            </w:r>
          </w:p>
        </w:tc>
        <w:tc>
          <w:tcPr>
            <w:tcW w:w="3176" w:type="pct"/>
            <w:vAlign w:val="center"/>
          </w:tcPr>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Dr. Shahrukh Irfan</w:t>
            </w:r>
          </w:p>
        </w:tc>
      </w:tr>
    </w:tbl>
    <w:p w:rsidR="000A324D" w:rsidRPr="00AE264E" w:rsidRDefault="000A324D" w:rsidP="000A324D">
      <w:pPr>
        <w:autoSpaceDE w:val="0"/>
        <w:autoSpaceDN w:val="0"/>
        <w:adjustRightInd w:val="0"/>
        <w:spacing w:after="240"/>
        <w:rPr>
          <w:rFonts w:ascii="Arial" w:hAnsi="Arial" w:cs="Arial"/>
          <w:b/>
          <w:color w:val="000000" w:themeColor="text1"/>
          <w:sz w:val="22"/>
          <w:szCs w:val="22"/>
        </w:rPr>
      </w:pPr>
    </w:p>
    <w:p w:rsidR="000A324D" w:rsidRPr="00AE264E" w:rsidRDefault="000A324D" w:rsidP="000A324D">
      <w:pPr>
        <w:autoSpaceDE w:val="0"/>
        <w:autoSpaceDN w:val="0"/>
        <w:adjustRightInd w:val="0"/>
        <w:spacing w:after="240"/>
        <w:rPr>
          <w:rFonts w:ascii="Arial" w:hAnsi="Arial" w:cs="Arial"/>
          <w:b/>
          <w:color w:val="000000" w:themeColor="text1"/>
          <w:sz w:val="22"/>
          <w:szCs w:val="22"/>
        </w:rPr>
      </w:pPr>
      <w:r w:rsidRPr="00AE264E">
        <w:rPr>
          <w:rFonts w:ascii="Arial" w:hAnsi="Arial" w:cs="Arial"/>
          <w:b/>
          <w:color w:val="000000" w:themeColor="text1"/>
          <w:sz w:val="22"/>
          <w:szCs w:val="22"/>
        </w:rPr>
        <w:t>SECTION B:  Internal and External Ethical Guidance Materials</w:t>
      </w:r>
    </w:p>
    <w:tbl>
      <w:tblPr>
        <w:tblStyle w:val="TableGrid"/>
        <w:tblW w:w="5000" w:type="pct"/>
        <w:tblLook w:val="04A0" w:firstRow="1" w:lastRow="0" w:firstColumn="1" w:lastColumn="0" w:noHBand="0" w:noVBand="1"/>
      </w:tblPr>
      <w:tblGrid>
        <w:gridCol w:w="483"/>
        <w:gridCol w:w="7560"/>
        <w:gridCol w:w="976"/>
      </w:tblGrid>
      <w:tr w:rsidR="000A324D" w:rsidRPr="00AE264E" w:rsidTr="00C82976">
        <w:tc>
          <w:tcPr>
            <w:tcW w:w="268" w:type="pct"/>
            <w:shd w:val="clear" w:color="auto" w:fill="F2F2F2" w:themeFill="background1" w:themeFillShade="F2"/>
          </w:tcPr>
          <w:p w:rsidR="000A324D" w:rsidRPr="00AE264E" w:rsidRDefault="000A324D" w:rsidP="00AE264E">
            <w:pPr>
              <w:autoSpaceDE w:val="0"/>
              <w:autoSpaceDN w:val="0"/>
              <w:adjustRightInd w:val="0"/>
              <w:rPr>
                <w:rFonts w:ascii="Arial" w:hAnsi="Arial" w:cs="Arial"/>
                <w:color w:val="000000" w:themeColor="text1"/>
                <w:sz w:val="22"/>
                <w:szCs w:val="22"/>
              </w:rPr>
            </w:pPr>
          </w:p>
        </w:tc>
        <w:tc>
          <w:tcPr>
            <w:tcW w:w="4732" w:type="pct"/>
            <w:gridSpan w:val="2"/>
            <w:shd w:val="clear" w:color="auto" w:fill="F2F2F2" w:themeFill="background1" w:themeFillShade="F2"/>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0A324D" w:rsidRPr="00AE264E" w:rsidTr="00C82976">
        <w:trPr>
          <w:trHeight w:val="355"/>
        </w:trPr>
        <w:tc>
          <w:tcPr>
            <w:tcW w:w="268" w:type="pct"/>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1</w:t>
            </w:r>
          </w:p>
        </w:tc>
        <w:tc>
          <w:tcPr>
            <w:tcW w:w="4191" w:type="pct"/>
            <w:vAlign w:val="center"/>
          </w:tcPr>
          <w:p w:rsidR="000A324D" w:rsidRPr="00AE264E" w:rsidRDefault="00AB6FE7" w:rsidP="00AE264E">
            <w:pPr>
              <w:autoSpaceDE w:val="0"/>
              <w:autoSpaceDN w:val="0"/>
              <w:adjustRightInd w:val="0"/>
              <w:rPr>
                <w:rFonts w:ascii="Arial" w:hAnsi="Arial" w:cs="Arial"/>
                <w:b/>
                <w:bCs/>
                <w:color w:val="000000" w:themeColor="text1"/>
                <w:sz w:val="22"/>
                <w:szCs w:val="22"/>
              </w:rPr>
            </w:pPr>
            <w:hyperlink r:id="rId124" w:history="1">
              <w:r w:rsidR="000A324D" w:rsidRPr="00AE264E">
                <w:rPr>
                  <w:rStyle w:val="Hyperlink"/>
                  <w:rFonts w:ascii="Arial" w:hAnsi="Arial" w:cs="Arial"/>
                  <w:b/>
                  <w:bCs/>
                  <w:color w:val="000000" w:themeColor="text1"/>
                  <w:sz w:val="22"/>
                  <w:szCs w:val="22"/>
                </w:rPr>
                <w:t>UWTSD Research Ethics &amp; Integrity Code of Practice</w:t>
              </w:r>
            </w:hyperlink>
          </w:p>
        </w:tc>
        <w:sdt>
          <w:sdtPr>
            <w:rPr>
              <w:rFonts w:ascii="Arial" w:hAnsi="Arial" w:cs="Arial"/>
              <w:b/>
              <w:bCs/>
              <w:color w:val="000000" w:themeColor="text1"/>
              <w:sz w:val="22"/>
              <w:szCs w:val="22"/>
              <w:u w:val="single"/>
            </w:rPr>
            <w:id w:val="1578479508"/>
          </w:sdtPr>
          <w:sdtEndPr/>
          <w:sdtContent>
            <w:tc>
              <w:tcPr>
                <w:tcW w:w="541" w:type="pct"/>
                <w:shd w:val="clear" w:color="auto" w:fill="BFBFBF" w:themeFill="background1" w:themeFillShade="BF"/>
                <w:vAlign w:val="center"/>
              </w:tcPr>
              <w:p w:rsidR="000A324D" w:rsidRPr="00AE264E" w:rsidRDefault="000A324D" w:rsidP="00AE264E">
                <w:pPr>
                  <w:autoSpaceDE w:val="0"/>
                  <w:autoSpaceDN w:val="0"/>
                  <w:adjustRightInd w:val="0"/>
                  <w:jc w:val="center"/>
                  <w:rPr>
                    <w:rFonts w:ascii="Arial" w:hAnsi="Arial" w:cs="Arial"/>
                    <w:b/>
                    <w:bCs/>
                    <w:color w:val="000000" w:themeColor="text1"/>
                    <w:sz w:val="22"/>
                    <w:szCs w:val="22"/>
                  </w:rPr>
                </w:pPr>
                <w:r w:rsidRPr="00AE264E">
                  <w:rPr>
                    <w:rFonts w:ascii="MS Gothic" w:eastAsia="MS Gothic" w:hAnsi="MS Gothic" w:cs="Arial" w:hint="eastAsia"/>
                    <w:b/>
                    <w:bCs/>
                    <w:color w:val="000000" w:themeColor="text1"/>
                    <w:sz w:val="22"/>
                    <w:szCs w:val="22"/>
                  </w:rPr>
                  <w:t>☒</w:t>
                </w:r>
              </w:p>
            </w:tc>
          </w:sdtContent>
        </w:sdt>
      </w:tr>
      <w:tr w:rsidR="000A324D" w:rsidRPr="00AE264E" w:rsidTr="00C82976">
        <w:trPr>
          <w:trHeight w:val="417"/>
        </w:trPr>
        <w:tc>
          <w:tcPr>
            <w:tcW w:w="268" w:type="pct"/>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2</w:t>
            </w:r>
          </w:p>
        </w:tc>
        <w:tc>
          <w:tcPr>
            <w:tcW w:w="4191" w:type="pct"/>
            <w:vAlign w:val="center"/>
          </w:tcPr>
          <w:p w:rsidR="000A324D" w:rsidRPr="00AE264E" w:rsidRDefault="000A324D" w:rsidP="00AE264E">
            <w:pPr>
              <w:autoSpaceDE w:val="0"/>
              <w:autoSpaceDN w:val="0"/>
              <w:adjustRightInd w:val="0"/>
              <w:rPr>
                <w:rFonts w:ascii="Arial" w:hAnsi="Arial" w:cs="Arial"/>
                <w:b/>
                <w:bCs/>
                <w:color w:val="000000" w:themeColor="text1"/>
                <w:sz w:val="22"/>
                <w:szCs w:val="22"/>
              </w:rPr>
            </w:pPr>
            <w:r w:rsidRPr="00AE264E">
              <w:rPr>
                <w:rFonts w:ascii="Arial" w:hAnsi="Arial" w:cs="Arial"/>
                <w:b/>
                <w:bCs/>
                <w:color w:val="000000" w:themeColor="text1"/>
                <w:sz w:val="22"/>
                <w:szCs w:val="22"/>
              </w:rPr>
              <w:t>UWTSD Research Data Management Policy</w:t>
            </w:r>
          </w:p>
        </w:tc>
        <w:tc>
          <w:tcPr>
            <w:tcW w:w="541" w:type="pct"/>
            <w:shd w:val="clear" w:color="auto" w:fill="BFBFBF" w:themeFill="background1" w:themeFillShade="BF"/>
            <w:vAlign w:val="center"/>
          </w:tcPr>
          <w:sdt>
            <w:sdtPr>
              <w:rPr>
                <w:rFonts w:ascii="Arial" w:hAnsi="Arial" w:cs="Arial"/>
                <w:b/>
                <w:bCs/>
                <w:color w:val="000000" w:themeColor="text1"/>
                <w:sz w:val="22"/>
                <w:szCs w:val="22"/>
              </w:rPr>
              <w:id w:val="-2040961117"/>
            </w:sdtPr>
            <w:sdtEndPr/>
            <w:sdtContent>
              <w:p w:rsidR="000A324D" w:rsidRPr="00AE264E" w:rsidRDefault="000A324D" w:rsidP="00AE264E">
                <w:pPr>
                  <w:autoSpaceDE w:val="0"/>
                  <w:autoSpaceDN w:val="0"/>
                  <w:adjustRightInd w:val="0"/>
                  <w:jc w:val="center"/>
                  <w:rPr>
                    <w:rFonts w:ascii="Arial" w:hAnsi="Arial" w:cs="Arial"/>
                    <w:b/>
                    <w:bCs/>
                    <w:i/>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9"/>
        </w:trPr>
        <w:tc>
          <w:tcPr>
            <w:tcW w:w="268" w:type="pct"/>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3</w:t>
            </w:r>
          </w:p>
        </w:tc>
        <w:tc>
          <w:tcPr>
            <w:tcW w:w="4191" w:type="pct"/>
            <w:vAlign w:val="center"/>
          </w:tcPr>
          <w:p w:rsidR="000A324D" w:rsidRPr="00AE264E" w:rsidRDefault="000A324D" w:rsidP="00AE264E">
            <w:pPr>
              <w:autoSpaceDE w:val="0"/>
              <w:autoSpaceDN w:val="0"/>
              <w:adjustRightInd w:val="0"/>
              <w:rPr>
                <w:rFonts w:ascii="Arial" w:hAnsi="Arial" w:cs="Arial"/>
                <w:b/>
                <w:bCs/>
                <w:iCs/>
                <w:color w:val="000000" w:themeColor="text1"/>
                <w:sz w:val="22"/>
                <w:szCs w:val="22"/>
              </w:rPr>
            </w:pPr>
          </w:p>
        </w:tc>
        <w:tc>
          <w:tcPr>
            <w:tcW w:w="541" w:type="pct"/>
            <w:shd w:val="clear" w:color="auto" w:fill="BFBFBF" w:themeFill="background1" w:themeFillShade="BF"/>
            <w:vAlign w:val="center"/>
          </w:tcPr>
          <w:sdt>
            <w:sdtPr>
              <w:rPr>
                <w:rFonts w:ascii="Arial" w:hAnsi="Arial" w:cs="Arial"/>
                <w:b/>
                <w:bCs/>
                <w:color w:val="000000" w:themeColor="text1"/>
                <w:sz w:val="22"/>
                <w:szCs w:val="22"/>
              </w:rPr>
              <w:id w:val="-2087453121"/>
            </w:sdtPr>
            <w:sdtEndPr/>
            <w:sdtContent>
              <w:p w:rsidR="000A324D" w:rsidRPr="00AE264E" w:rsidRDefault="000A324D" w:rsidP="00AE264E">
                <w:pPr>
                  <w:autoSpaceDE w:val="0"/>
                  <w:autoSpaceDN w:val="0"/>
                  <w:adjustRightInd w:val="0"/>
                  <w:jc w:val="center"/>
                  <w:rPr>
                    <w:rFonts w:ascii="Arial" w:hAnsi="Arial" w:cs="Arial"/>
                    <w:b/>
                    <w:bCs/>
                    <w:i/>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9"/>
        </w:trPr>
        <w:tc>
          <w:tcPr>
            <w:tcW w:w="268" w:type="pct"/>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4</w:t>
            </w:r>
          </w:p>
        </w:tc>
        <w:tc>
          <w:tcPr>
            <w:tcW w:w="4191" w:type="pct"/>
            <w:vAlign w:val="center"/>
          </w:tcPr>
          <w:p w:rsidR="000A324D" w:rsidRPr="00AE264E" w:rsidRDefault="000A324D" w:rsidP="00AE264E">
            <w:pPr>
              <w:autoSpaceDE w:val="0"/>
              <w:autoSpaceDN w:val="0"/>
              <w:adjustRightInd w:val="0"/>
              <w:rPr>
                <w:rFonts w:ascii="Arial" w:hAnsi="Arial" w:cs="Arial"/>
                <w:b/>
                <w:bCs/>
                <w:i/>
                <w:color w:val="000000" w:themeColor="text1"/>
                <w:sz w:val="22"/>
                <w:szCs w:val="22"/>
              </w:rPr>
            </w:pPr>
          </w:p>
        </w:tc>
        <w:tc>
          <w:tcPr>
            <w:tcW w:w="541" w:type="pct"/>
            <w:shd w:val="clear" w:color="auto" w:fill="BFBFBF" w:themeFill="background1" w:themeFillShade="BF"/>
            <w:vAlign w:val="center"/>
          </w:tcPr>
          <w:sdt>
            <w:sdtPr>
              <w:rPr>
                <w:rFonts w:ascii="Arial" w:hAnsi="Arial" w:cs="Arial"/>
                <w:b/>
                <w:bCs/>
                <w:color w:val="000000" w:themeColor="text1"/>
                <w:sz w:val="22"/>
                <w:szCs w:val="22"/>
              </w:rPr>
              <w:id w:val="-1002195764"/>
            </w:sdtPr>
            <w:sdtEndPr/>
            <w:sdtContent>
              <w:p w:rsidR="000A324D" w:rsidRPr="00AE264E" w:rsidRDefault="000A324D" w:rsidP="00AE264E">
                <w:pPr>
                  <w:autoSpaceDE w:val="0"/>
                  <w:autoSpaceDN w:val="0"/>
                  <w:adjustRightInd w:val="0"/>
                  <w:jc w:val="center"/>
                  <w:rPr>
                    <w:rFonts w:ascii="Arial" w:hAnsi="Arial" w:cs="Arial"/>
                    <w:b/>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bl>
    <w:p w:rsidR="000A324D" w:rsidRPr="00AE264E" w:rsidRDefault="000A324D" w:rsidP="000A324D">
      <w:pPr>
        <w:autoSpaceDE w:val="0"/>
        <w:autoSpaceDN w:val="0"/>
        <w:adjustRightInd w:val="0"/>
        <w:spacing w:after="240"/>
        <w:rPr>
          <w:rFonts w:ascii="Arial" w:hAnsi="Arial" w:cs="Arial"/>
          <w:b/>
          <w:color w:val="000000" w:themeColor="text1"/>
          <w:sz w:val="22"/>
          <w:szCs w:val="22"/>
        </w:rPr>
      </w:pPr>
    </w:p>
    <w:p w:rsidR="000A324D" w:rsidRPr="00AE264E" w:rsidRDefault="000A324D" w:rsidP="000A324D">
      <w:pPr>
        <w:autoSpaceDE w:val="0"/>
        <w:autoSpaceDN w:val="0"/>
        <w:adjustRightInd w:val="0"/>
        <w:spacing w:after="240"/>
        <w:rPr>
          <w:rFonts w:ascii="Arial" w:hAnsi="Arial" w:cs="Arial"/>
          <w:b/>
          <w:color w:val="000000" w:themeColor="text1"/>
          <w:sz w:val="22"/>
          <w:szCs w:val="22"/>
        </w:rPr>
      </w:pPr>
      <w:r w:rsidRPr="00AE264E">
        <w:rPr>
          <w:rFonts w:ascii="Arial" w:hAnsi="Arial" w:cs="Arial"/>
          <w:b/>
          <w:color w:val="000000" w:themeColor="text1"/>
          <w:sz w:val="22"/>
          <w:szCs w:val="22"/>
        </w:rPr>
        <w:t>SECTION C: Details of Research Activity</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4A0" w:firstRow="1" w:lastRow="0" w:firstColumn="1" w:lastColumn="0" w:noHBand="0" w:noVBand="1"/>
      </w:tblPr>
      <w:tblGrid>
        <w:gridCol w:w="427"/>
        <w:gridCol w:w="1389"/>
        <w:gridCol w:w="2818"/>
        <w:gridCol w:w="1461"/>
        <w:gridCol w:w="2924"/>
      </w:tblGrid>
      <w:tr w:rsidR="000A324D" w:rsidRPr="00AE264E" w:rsidTr="00C82976">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The Impact of AI-Generated Financial Advice on Investment Confidence among First-Time Investors in the UK</w:t>
            </w:r>
          </w:p>
        </w:tc>
      </w:tr>
      <w:tr w:rsidR="000A324D" w:rsidRPr="00AE264E" w:rsidTr="00C82976">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rsidR="000A324D" w:rsidRPr="00AE264E" w:rsidRDefault="000A324D" w:rsidP="00AE264E">
            <w:pPr>
              <w:rPr>
                <w:rFonts w:ascii="Arial" w:hAnsi="Arial" w:cs="Arial"/>
                <w:color w:val="000000" w:themeColor="text1"/>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rsidR="000A324D" w:rsidRPr="00AE264E" w:rsidRDefault="000A324D" w:rsidP="00AE264E">
            <w:pPr>
              <w:rPr>
                <w:rFonts w:ascii="Arial" w:hAnsi="Arial" w:cs="Arial"/>
                <w:color w:val="000000" w:themeColor="text1"/>
                <w:sz w:val="22"/>
                <w:szCs w:val="22"/>
              </w:rPr>
            </w:pPr>
          </w:p>
        </w:tc>
      </w:tr>
      <w:tr w:rsidR="000A324D" w:rsidRPr="00AE264E" w:rsidTr="00C82976">
        <w:trPr>
          <w:trHeight w:val="454"/>
        </w:trPr>
        <w:tc>
          <w:tcPr>
            <w:tcW w:w="237" w:type="pct"/>
            <w:tcBorders>
              <w:top w:val="single" w:sz="4" w:space="0" w:color="auto"/>
            </w:tcBorders>
            <w:shd w:val="clear" w:color="auto" w:fill="F2F2F2" w:themeFill="background1" w:themeFillShade="F2"/>
            <w:vAlign w:val="center"/>
          </w:tcPr>
          <w:p w:rsidR="000A324D" w:rsidRPr="00AE264E" w:rsidRDefault="000A324D" w:rsidP="00AE264E">
            <w:pPr>
              <w:spacing w:before="120" w:after="120"/>
              <w:rPr>
                <w:rFonts w:ascii="Arial" w:hAnsi="Arial" w:cs="Arial"/>
                <w:color w:val="000000" w:themeColor="text1"/>
                <w:sz w:val="22"/>
                <w:szCs w:val="22"/>
              </w:rPr>
            </w:pPr>
          </w:p>
        </w:tc>
        <w:tc>
          <w:tcPr>
            <w:tcW w:w="4763" w:type="pct"/>
            <w:gridSpan w:val="4"/>
            <w:tcBorders>
              <w:top w:val="single" w:sz="4" w:space="0" w:color="auto"/>
            </w:tcBorders>
            <w:shd w:val="clear" w:color="auto" w:fill="F2F2F2" w:themeFill="background1" w:themeFillShade="F2"/>
            <w:vAlign w:val="center"/>
          </w:tcPr>
          <w:p w:rsidR="000A324D" w:rsidRPr="00AE264E" w:rsidRDefault="000A324D" w:rsidP="00AE264E">
            <w:pPr>
              <w:spacing w:before="120" w:after="120"/>
              <w:rPr>
                <w:rFonts w:ascii="Arial" w:hAnsi="Arial" w:cs="Arial"/>
                <w:b/>
                <w:color w:val="000000" w:themeColor="text1"/>
                <w:sz w:val="22"/>
                <w:szCs w:val="22"/>
              </w:rPr>
            </w:pPr>
            <w:r w:rsidRPr="00AE264E">
              <w:rPr>
                <w:rFonts w:ascii="Arial" w:hAnsi="Arial" w:cs="Arial"/>
                <w:b/>
                <w:color w:val="000000" w:themeColor="text1"/>
                <w:sz w:val="22"/>
                <w:szCs w:val="22"/>
              </w:rPr>
              <w:t>Introduction to the Research (maximum 300 words in each section)</w:t>
            </w:r>
          </w:p>
          <w:p w:rsidR="000A324D" w:rsidRPr="00AE264E" w:rsidRDefault="000A324D" w:rsidP="00AE264E">
            <w:pPr>
              <w:spacing w:before="120" w:after="120"/>
              <w:rPr>
                <w:rFonts w:ascii="Arial" w:hAnsi="Arial" w:cs="Arial"/>
                <w:b/>
                <w:color w:val="000000" w:themeColor="text1"/>
                <w:sz w:val="22"/>
                <w:szCs w:val="22"/>
              </w:rPr>
            </w:pPr>
            <w:r w:rsidRPr="00AE264E">
              <w:rPr>
                <w:rFonts w:ascii="Arial" w:hAnsi="Arial" w:cs="Arial"/>
                <w:b/>
                <w:color w:val="000000" w:themeColor="text1"/>
                <w:sz w:val="22"/>
                <w:szCs w:val="22"/>
              </w:rPr>
              <w:t xml:space="preserve">Ensure that you write for a </w:t>
            </w:r>
            <w:r w:rsidRPr="00AE264E">
              <w:rPr>
                <w:rFonts w:ascii="Arial" w:hAnsi="Arial" w:cs="Arial"/>
                <w:b/>
                <w:color w:val="000000" w:themeColor="text1"/>
                <w:sz w:val="22"/>
                <w:szCs w:val="22"/>
                <w:u w:val="single"/>
              </w:rPr>
              <w:t>Non-Specialist Audience</w:t>
            </w:r>
            <w:r w:rsidRPr="00AE264E">
              <w:rPr>
                <w:rFonts w:ascii="Arial" w:hAnsi="Arial" w:cs="Arial"/>
                <w:b/>
                <w:color w:val="000000" w:themeColor="text1"/>
                <w:sz w:val="22"/>
                <w:szCs w:val="22"/>
              </w:rPr>
              <w:t xml:space="preserve"> when outlining your response to the three points below:</w:t>
            </w:r>
          </w:p>
          <w:p w:rsidR="000A324D" w:rsidRPr="00AE264E" w:rsidRDefault="000A324D" w:rsidP="000A324D">
            <w:pPr>
              <w:pStyle w:val="ListParagraph"/>
              <w:numPr>
                <w:ilvl w:val="0"/>
                <w:numId w:val="27"/>
              </w:numPr>
              <w:contextualSpacing w:val="0"/>
              <w:rPr>
                <w:rFonts w:ascii="Arial" w:hAnsi="Arial" w:cs="Arial"/>
                <w:i/>
                <w:color w:val="000000" w:themeColor="text1"/>
              </w:rPr>
            </w:pPr>
            <w:r w:rsidRPr="00AE264E">
              <w:rPr>
                <w:rFonts w:ascii="Arial" w:hAnsi="Arial" w:cs="Arial"/>
                <w:i/>
                <w:color w:val="000000" w:themeColor="text1"/>
              </w:rPr>
              <w:t>Purpose of Research Activity</w:t>
            </w:r>
          </w:p>
          <w:p w:rsidR="000A324D" w:rsidRPr="00AE264E" w:rsidRDefault="000A324D" w:rsidP="000A324D">
            <w:pPr>
              <w:pStyle w:val="ListParagraph"/>
              <w:numPr>
                <w:ilvl w:val="0"/>
                <w:numId w:val="27"/>
              </w:numPr>
              <w:contextualSpacing w:val="0"/>
              <w:rPr>
                <w:rFonts w:ascii="Arial" w:hAnsi="Arial" w:cs="Arial"/>
                <w:i/>
                <w:color w:val="000000" w:themeColor="text1"/>
              </w:rPr>
            </w:pPr>
            <w:r w:rsidRPr="00AE264E">
              <w:rPr>
                <w:rFonts w:ascii="Arial" w:hAnsi="Arial" w:cs="Arial"/>
                <w:i/>
                <w:color w:val="000000" w:themeColor="text1"/>
              </w:rPr>
              <w:t>Proposed Research Question</w:t>
            </w:r>
          </w:p>
          <w:p w:rsidR="000A324D" w:rsidRPr="00AE264E" w:rsidRDefault="000A324D" w:rsidP="000A324D">
            <w:pPr>
              <w:pStyle w:val="ListParagraph"/>
              <w:numPr>
                <w:ilvl w:val="0"/>
                <w:numId w:val="27"/>
              </w:numPr>
              <w:contextualSpacing w:val="0"/>
              <w:rPr>
                <w:rFonts w:ascii="Arial" w:hAnsi="Arial" w:cs="Arial"/>
                <w:i/>
                <w:color w:val="000000" w:themeColor="text1"/>
              </w:rPr>
            </w:pPr>
            <w:r w:rsidRPr="00AE264E">
              <w:rPr>
                <w:rFonts w:ascii="Arial" w:hAnsi="Arial" w:cs="Arial"/>
                <w:i/>
                <w:color w:val="000000" w:themeColor="text1"/>
              </w:rPr>
              <w:t>Aims of Research Activity</w:t>
            </w:r>
          </w:p>
          <w:p w:rsidR="000A324D" w:rsidRPr="00AE264E" w:rsidRDefault="000A324D" w:rsidP="000A324D">
            <w:pPr>
              <w:pStyle w:val="ListParagraph"/>
              <w:numPr>
                <w:ilvl w:val="0"/>
                <w:numId w:val="27"/>
              </w:numPr>
              <w:ind w:left="714" w:hanging="357"/>
              <w:contextualSpacing w:val="0"/>
              <w:rPr>
                <w:rFonts w:ascii="Arial" w:hAnsi="Arial" w:cs="Arial"/>
                <w:i/>
                <w:color w:val="000000" w:themeColor="text1"/>
              </w:rPr>
            </w:pPr>
            <w:r w:rsidRPr="00AE264E">
              <w:rPr>
                <w:rFonts w:ascii="Arial" w:hAnsi="Arial" w:cs="Arial"/>
                <w:i/>
                <w:color w:val="000000" w:themeColor="text1"/>
              </w:rPr>
              <w:t>Objectives of Research Activity</w:t>
            </w:r>
          </w:p>
          <w:p w:rsidR="000A324D" w:rsidRPr="00AE264E" w:rsidRDefault="000A324D" w:rsidP="00AE264E">
            <w:pPr>
              <w:spacing w:after="120"/>
              <w:rPr>
                <w:rFonts w:ascii="Arial" w:hAnsi="Arial" w:cs="Arial"/>
                <w:color w:val="000000" w:themeColor="text1"/>
                <w:sz w:val="22"/>
                <w:szCs w:val="22"/>
              </w:rPr>
            </w:pPr>
            <w:r w:rsidRPr="00AE264E">
              <w:rPr>
                <w:rFonts w:ascii="Arial" w:hAnsi="Arial" w:cs="Arial"/>
                <w:color w:val="000000" w:themeColor="text1"/>
                <w:sz w:val="22"/>
                <w:szCs w:val="22"/>
              </w:rPr>
              <w:t xml:space="preserve">Demonstrate, briefly, how </w:t>
            </w:r>
            <w:r w:rsidRPr="00AE264E">
              <w:rPr>
                <w:rFonts w:ascii="Arial" w:hAnsi="Arial" w:cs="Arial"/>
                <w:b/>
                <w:color w:val="000000" w:themeColor="text1"/>
                <w:sz w:val="22"/>
                <w:szCs w:val="22"/>
                <w:u w:val="single"/>
              </w:rPr>
              <w:t>Existing Research</w:t>
            </w:r>
            <w:r w:rsidRPr="00AE264E">
              <w:rPr>
                <w:rFonts w:ascii="Arial" w:hAnsi="Arial" w:cs="Arial"/>
                <w:color w:val="000000" w:themeColor="text1"/>
                <w:sz w:val="22"/>
                <w:szCs w:val="22"/>
              </w:rPr>
              <w:t xml:space="preserve"> has informed the proposed activity and explain</w:t>
            </w:r>
          </w:p>
          <w:p w:rsidR="000A324D" w:rsidRPr="00AE264E" w:rsidRDefault="000A324D" w:rsidP="000A324D">
            <w:pPr>
              <w:pStyle w:val="ListParagraph"/>
              <w:numPr>
                <w:ilvl w:val="0"/>
                <w:numId w:val="27"/>
              </w:numPr>
              <w:contextualSpacing w:val="0"/>
              <w:rPr>
                <w:rFonts w:ascii="Arial" w:hAnsi="Arial" w:cs="Arial"/>
                <w:i/>
                <w:color w:val="000000" w:themeColor="text1"/>
              </w:rPr>
            </w:pPr>
            <w:r w:rsidRPr="00AE264E">
              <w:rPr>
                <w:rFonts w:ascii="Arial" w:hAnsi="Arial" w:cs="Arial"/>
                <w:i/>
                <w:color w:val="000000" w:themeColor="text1"/>
              </w:rPr>
              <w:t xml:space="preserve">What the research activity will add to the body of knowledge </w:t>
            </w:r>
          </w:p>
          <w:p w:rsidR="000A324D" w:rsidRPr="00AE264E" w:rsidRDefault="000A324D" w:rsidP="000A324D">
            <w:pPr>
              <w:pStyle w:val="ListParagraph"/>
              <w:numPr>
                <w:ilvl w:val="0"/>
                <w:numId w:val="27"/>
              </w:numPr>
              <w:contextualSpacing w:val="0"/>
              <w:rPr>
                <w:rFonts w:ascii="Arial" w:hAnsi="Arial" w:cs="Arial"/>
                <w:color w:val="000000" w:themeColor="text1"/>
              </w:rPr>
            </w:pPr>
            <w:r w:rsidRPr="00AE264E">
              <w:rPr>
                <w:rFonts w:ascii="Arial" w:hAnsi="Arial" w:cs="Arial"/>
                <w:i/>
                <w:color w:val="000000" w:themeColor="text1"/>
              </w:rPr>
              <w:t xml:space="preserve">How it addresses an area of importance. </w:t>
            </w:r>
          </w:p>
        </w:tc>
      </w:tr>
      <w:tr w:rsidR="000A324D" w:rsidRPr="00AE264E" w:rsidTr="00C82976">
        <w:trPr>
          <w:trHeight w:val="454"/>
        </w:trPr>
        <w:tc>
          <w:tcPr>
            <w:tcW w:w="237" w:type="pct"/>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3</w:t>
            </w:r>
          </w:p>
        </w:tc>
        <w:tc>
          <w:tcPr>
            <w:tcW w:w="4763" w:type="pct"/>
            <w:gridSpan w:val="4"/>
            <w:vAlign w:val="center"/>
          </w:tcPr>
          <w:p w:rsidR="000A324D" w:rsidRPr="00AE264E" w:rsidRDefault="000A324D" w:rsidP="00AE264E">
            <w:pPr>
              <w:autoSpaceDE w:val="0"/>
              <w:autoSpaceDN w:val="0"/>
              <w:adjustRightInd w:val="0"/>
              <w:rPr>
                <w:rFonts w:ascii="Arial" w:hAnsi="Arial" w:cs="Arial"/>
                <w:b/>
                <w:bCs/>
                <w:color w:val="000000" w:themeColor="text1"/>
                <w:sz w:val="22"/>
                <w:szCs w:val="22"/>
              </w:rPr>
            </w:pPr>
            <w:r w:rsidRPr="00AE264E">
              <w:rPr>
                <w:rFonts w:ascii="Arial" w:hAnsi="Arial" w:cs="Arial"/>
                <w:b/>
                <w:bCs/>
                <w:color w:val="000000" w:themeColor="text1"/>
                <w:sz w:val="22"/>
                <w:szCs w:val="22"/>
              </w:rPr>
              <w:t>Purpose of Research Activity</w:t>
            </w:r>
          </w:p>
          <w:p w:rsidR="000A324D" w:rsidRPr="00AE264E" w:rsidRDefault="000A324D" w:rsidP="00AE264E">
            <w:pPr>
              <w:rPr>
                <w:rFonts w:ascii="Arial" w:hAnsi="Arial" w:cs="Arial"/>
                <w:color w:val="000000" w:themeColor="text1"/>
              </w:rPr>
            </w:pPr>
            <w:r w:rsidRPr="00AE264E">
              <w:rPr>
                <w:rFonts w:ascii="Arial" w:hAnsi="Arial" w:cs="Arial"/>
                <w:color w:val="000000" w:themeColor="text1"/>
              </w:rPr>
              <w:lastRenderedPageBreak/>
              <w:t>In the financial sector, AI has found applications in personalized customer advice, investment strategies, and educational resources, with many banks and investment firms already incorporating AI into their services to offer more tailored solutions to their clients. They are growing more convenient and less expensive than traditional financial counseling. This has led many people with little or no investment experience to turn to AI-driven investment advice for making their investment decisions.</w:t>
            </w:r>
          </w:p>
          <w:p w:rsidR="000A324D" w:rsidRPr="00AE264E" w:rsidRDefault="000A324D" w:rsidP="00AE264E">
            <w:pPr>
              <w:rPr>
                <w:rFonts w:ascii="Arial" w:hAnsi="Arial" w:cs="Arial"/>
                <w:color w:val="000000" w:themeColor="text1"/>
              </w:rPr>
            </w:pPr>
            <w:r w:rsidRPr="00AE264E">
              <w:rPr>
                <w:rFonts w:ascii="Arial" w:hAnsi="Arial" w:cs="Arial"/>
                <w:color w:val="000000" w:themeColor="text1"/>
              </w:rPr>
              <w:t>While there are various advantages to using AI, there are also some concerns about the accuracy, transparency, reliability, and ethics of AI-generated recommendations. AI systems can provide advice, but first-time investors might lack the financial knowledge to assess this advice. This can have a positive or negative effect on their confidence and investments. Past studies have explored the topic of financial technology adoption, artificial intelligence and robo-advisory services. However, with the surge of generative AI technologies, there is not yet much research specifically focusing on the impact AI-driven financial advice has on the confidence of first-time investors in the UK.</w:t>
            </w:r>
          </w:p>
          <w:p w:rsidR="000A324D" w:rsidRPr="00AE264E" w:rsidRDefault="000A324D" w:rsidP="00AE264E">
            <w:pPr>
              <w:rPr>
                <w:rFonts w:ascii="Arial" w:hAnsi="Arial" w:cs="Arial"/>
                <w:color w:val="000000" w:themeColor="text1"/>
              </w:rPr>
            </w:pPr>
            <w:r w:rsidRPr="00AE264E">
              <w:rPr>
                <w:rFonts w:ascii="Arial" w:hAnsi="Arial" w:cs="Arial"/>
                <w:color w:val="000000" w:themeColor="text1"/>
              </w:rPr>
              <w:t>Secondary data from published academic journals, government reports, regulatory publications and industry reports will be the only sources used in this research. Human subjects will not be used. The research will contribute to the enhanced understanding of the association between AI-driven financial advice and investors' self-assurance in investment decisions. The results will build on what is already known, and will highlight potential opportunities, challenges, and practical implications for financial institutions, regulators, and new investors. The study is relevant as AI technologies are still evolving and impacting financial services and consumer financial behaviors.</w:t>
            </w:r>
          </w:p>
          <w:p w:rsidR="000A324D" w:rsidRPr="00AE264E" w:rsidRDefault="000A324D" w:rsidP="00AE264E">
            <w:pPr>
              <w:rPr>
                <w:rFonts w:ascii="Arial" w:hAnsi="Arial" w:cs="Arial"/>
                <w:color w:val="000000" w:themeColor="text1"/>
              </w:rPr>
            </w:pPr>
          </w:p>
          <w:p w:rsidR="000A324D" w:rsidRPr="00AE264E" w:rsidRDefault="000A324D" w:rsidP="00AE264E">
            <w:pPr>
              <w:rPr>
                <w:rFonts w:ascii="Arial" w:hAnsi="Arial" w:cs="Arial"/>
                <w:color w:val="000000" w:themeColor="text1"/>
              </w:rPr>
            </w:pPr>
          </w:p>
        </w:tc>
      </w:tr>
      <w:tr w:rsidR="000A324D" w:rsidRPr="00AE264E" w:rsidTr="00C82976">
        <w:trPr>
          <w:trHeight w:val="454"/>
        </w:trPr>
        <w:tc>
          <w:tcPr>
            <w:tcW w:w="237" w:type="pct"/>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4</w:t>
            </w:r>
          </w:p>
        </w:tc>
        <w:tc>
          <w:tcPr>
            <w:tcW w:w="4763" w:type="pct"/>
            <w:gridSpan w:val="4"/>
            <w:vAlign w:val="center"/>
          </w:tcPr>
          <w:p w:rsidR="000A324D" w:rsidRPr="00AE264E" w:rsidRDefault="000A324D" w:rsidP="00AE264E">
            <w:pPr>
              <w:autoSpaceDE w:val="0"/>
              <w:autoSpaceDN w:val="0"/>
              <w:adjustRightInd w:val="0"/>
              <w:rPr>
                <w:rFonts w:ascii="Arial" w:hAnsi="Arial" w:cs="Arial"/>
                <w:b/>
                <w:bCs/>
                <w:color w:val="000000" w:themeColor="text1"/>
                <w:sz w:val="22"/>
                <w:szCs w:val="22"/>
              </w:rPr>
            </w:pPr>
            <w:r w:rsidRPr="00AE264E">
              <w:rPr>
                <w:rFonts w:ascii="Arial" w:hAnsi="Arial" w:cs="Arial"/>
                <w:b/>
                <w:bCs/>
                <w:color w:val="000000" w:themeColor="text1"/>
                <w:sz w:val="22"/>
                <w:szCs w:val="22"/>
              </w:rPr>
              <w:t>Research Question</w:t>
            </w:r>
          </w:p>
          <w:p w:rsidR="000A324D" w:rsidRPr="00AE264E" w:rsidRDefault="000A324D" w:rsidP="00AE264E">
            <w:pPr>
              <w:rPr>
                <w:rFonts w:ascii="Arial" w:hAnsi="Arial" w:cs="Arial"/>
                <w:color w:val="000000" w:themeColor="text1"/>
              </w:rPr>
            </w:pPr>
          </w:p>
          <w:p w:rsidR="000A324D" w:rsidRPr="00AE264E" w:rsidRDefault="000A324D" w:rsidP="00AE264E">
            <w:pPr>
              <w:rPr>
                <w:rFonts w:ascii="Arial" w:hAnsi="Arial" w:cs="Arial"/>
                <w:color w:val="000000" w:themeColor="text1"/>
              </w:rPr>
            </w:pPr>
            <w:r w:rsidRPr="00AE264E">
              <w:rPr>
                <w:rFonts w:ascii="Arial" w:hAnsi="Arial" w:cs="Arial"/>
                <w:color w:val="000000" w:themeColor="text1"/>
              </w:rPr>
              <w:t>How does the use of AI-driven financial advice affect the confidence of novice investors in the UK?</w:t>
            </w:r>
          </w:p>
          <w:p w:rsidR="000A324D" w:rsidRPr="00AE264E" w:rsidRDefault="000A324D" w:rsidP="00AE264E">
            <w:pPr>
              <w:rPr>
                <w:rFonts w:ascii="Arial" w:hAnsi="Arial" w:cs="Arial"/>
                <w:color w:val="000000" w:themeColor="text1"/>
              </w:rPr>
            </w:pPr>
          </w:p>
          <w:p w:rsidR="000A324D" w:rsidRPr="00AE264E" w:rsidRDefault="000A324D" w:rsidP="00AE264E">
            <w:pPr>
              <w:autoSpaceDE w:val="0"/>
              <w:autoSpaceDN w:val="0"/>
              <w:adjustRightInd w:val="0"/>
              <w:rPr>
                <w:rFonts w:ascii="Arial" w:hAnsi="Arial" w:cs="Arial"/>
                <w:b/>
                <w:bCs/>
                <w:color w:val="000000" w:themeColor="text1"/>
                <w:sz w:val="22"/>
                <w:szCs w:val="22"/>
              </w:rPr>
            </w:pPr>
          </w:p>
        </w:tc>
      </w:tr>
      <w:tr w:rsidR="000A324D" w:rsidRPr="00AE264E" w:rsidTr="00C82976">
        <w:trPr>
          <w:trHeight w:val="454"/>
        </w:trPr>
        <w:tc>
          <w:tcPr>
            <w:tcW w:w="237" w:type="pct"/>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lastRenderedPageBreak/>
              <w:t>5</w:t>
            </w:r>
          </w:p>
        </w:tc>
        <w:tc>
          <w:tcPr>
            <w:tcW w:w="4763" w:type="pct"/>
            <w:gridSpan w:val="4"/>
            <w:vAlign w:val="center"/>
          </w:tcPr>
          <w:p w:rsidR="000A324D" w:rsidRPr="00AE264E" w:rsidRDefault="000A324D" w:rsidP="00AE264E">
            <w:pPr>
              <w:autoSpaceDE w:val="0"/>
              <w:autoSpaceDN w:val="0"/>
              <w:adjustRightInd w:val="0"/>
              <w:rPr>
                <w:rFonts w:ascii="Arial" w:hAnsi="Arial" w:cs="Arial"/>
                <w:b/>
                <w:bCs/>
                <w:color w:val="000000" w:themeColor="text1"/>
                <w:sz w:val="22"/>
                <w:szCs w:val="22"/>
              </w:rPr>
            </w:pPr>
            <w:r w:rsidRPr="00AE264E">
              <w:rPr>
                <w:rFonts w:ascii="Arial" w:hAnsi="Arial" w:cs="Arial"/>
                <w:b/>
                <w:bCs/>
                <w:color w:val="000000" w:themeColor="text1"/>
                <w:sz w:val="22"/>
                <w:szCs w:val="22"/>
              </w:rPr>
              <w:t>Aims of Research Activity</w:t>
            </w:r>
          </w:p>
          <w:p w:rsidR="000A324D" w:rsidRPr="00AE264E" w:rsidRDefault="000A324D" w:rsidP="00AE264E">
            <w:pPr>
              <w:rPr>
                <w:rFonts w:ascii="Arial" w:hAnsi="Arial" w:cs="Arial"/>
                <w:color w:val="000000" w:themeColor="text1"/>
              </w:rPr>
            </w:pPr>
            <w:r w:rsidRPr="00AE264E">
              <w:rPr>
                <w:rFonts w:ascii="Arial" w:hAnsi="Arial" w:cs="Arial"/>
                <w:color w:val="000000" w:themeColor="text1"/>
              </w:rPr>
              <w:t xml:space="preserve">This research aims to examine how artificial intelligence (AI) provided financial advice affects the financial confidence of first-time investors in the UK. </w:t>
            </w:r>
          </w:p>
          <w:p w:rsidR="000A324D" w:rsidRPr="00AE264E" w:rsidRDefault="000A324D" w:rsidP="00AE264E">
            <w:pPr>
              <w:rPr>
                <w:rFonts w:ascii="Arial" w:hAnsi="Arial" w:cs="Arial"/>
                <w:color w:val="000000" w:themeColor="text1"/>
              </w:rPr>
            </w:pPr>
          </w:p>
        </w:tc>
      </w:tr>
      <w:tr w:rsidR="000A324D" w:rsidRPr="00AE264E" w:rsidTr="00C82976">
        <w:trPr>
          <w:trHeight w:val="454"/>
        </w:trPr>
        <w:tc>
          <w:tcPr>
            <w:tcW w:w="237" w:type="pct"/>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6</w:t>
            </w:r>
          </w:p>
        </w:tc>
        <w:tc>
          <w:tcPr>
            <w:tcW w:w="4763" w:type="pct"/>
            <w:gridSpan w:val="4"/>
            <w:vAlign w:val="center"/>
          </w:tcPr>
          <w:p w:rsidR="000A324D" w:rsidRPr="00AE264E" w:rsidRDefault="000A324D" w:rsidP="00AE264E">
            <w:pPr>
              <w:autoSpaceDE w:val="0"/>
              <w:autoSpaceDN w:val="0"/>
              <w:adjustRightInd w:val="0"/>
              <w:rPr>
                <w:rFonts w:ascii="Arial" w:hAnsi="Arial" w:cs="Arial"/>
                <w:b/>
                <w:bCs/>
                <w:color w:val="000000" w:themeColor="text1"/>
                <w:sz w:val="22"/>
                <w:szCs w:val="22"/>
              </w:rPr>
            </w:pPr>
            <w:r w:rsidRPr="00AE264E">
              <w:rPr>
                <w:rFonts w:ascii="Arial" w:hAnsi="Arial" w:cs="Arial"/>
                <w:b/>
                <w:bCs/>
                <w:color w:val="000000" w:themeColor="text1"/>
                <w:sz w:val="22"/>
                <w:szCs w:val="22"/>
              </w:rPr>
              <w:t>Objectives of Research Activity</w:t>
            </w:r>
          </w:p>
          <w:p w:rsidR="000A324D" w:rsidRPr="00AE264E" w:rsidRDefault="000A324D" w:rsidP="00AE264E">
            <w:pPr>
              <w:rPr>
                <w:rFonts w:ascii="Arial" w:hAnsi="Arial" w:cs="Arial"/>
                <w:color w:val="000000" w:themeColor="text1"/>
              </w:rPr>
            </w:pPr>
          </w:p>
          <w:p w:rsidR="000A324D" w:rsidRPr="00AE264E" w:rsidRDefault="000A324D" w:rsidP="000A324D">
            <w:pPr>
              <w:pStyle w:val="ListParagraph"/>
              <w:numPr>
                <w:ilvl w:val="0"/>
                <w:numId w:val="29"/>
              </w:numPr>
              <w:spacing w:line="360" w:lineRule="auto"/>
              <w:jc w:val="both"/>
              <w:rPr>
                <w:rFonts w:ascii="Arial" w:hAnsi="Arial" w:cs="Arial"/>
                <w:color w:val="000000" w:themeColor="text1"/>
                <w:sz w:val="24"/>
              </w:rPr>
            </w:pPr>
            <w:r w:rsidRPr="00AE264E">
              <w:rPr>
                <w:rFonts w:ascii="Arial" w:hAnsi="Arial" w:cs="Arial"/>
                <w:color w:val="000000" w:themeColor="text1"/>
                <w:sz w:val="24"/>
              </w:rPr>
              <w:t>To explore the application of AI-based financial advice in the financial services landscape in the UK</w:t>
            </w:r>
          </w:p>
          <w:p w:rsidR="000A324D" w:rsidRPr="00AE264E" w:rsidRDefault="000A324D" w:rsidP="000A324D">
            <w:pPr>
              <w:pStyle w:val="ListParagraph"/>
              <w:numPr>
                <w:ilvl w:val="0"/>
                <w:numId w:val="29"/>
              </w:numPr>
              <w:spacing w:line="360" w:lineRule="auto"/>
              <w:jc w:val="both"/>
              <w:rPr>
                <w:rFonts w:ascii="Arial" w:hAnsi="Arial" w:cs="Arial"/>
                <w:color w:val="000000" w:themeColor="text1"/>
                <w:sz w:val="24"/>
              </w:rPr>
            </w:pPr>
            <w:r w:rsidRPr="00AE264E">
              <w:rPr>
                <w:rFonts w:ascii="Arial" w:hAnsi="Arial" w:cs="Arial"/>
                <w:color w:val="000000" w:themeColor="text1"/>
                <w:sz w:val="24"/>
              </w:rPr>
              <w:t>To find the factors affecting investor confidence of first-time investors</w:t>
            </w:r>
          </w:p>
          <w:p w:rsidR="000A324D" w:rsidRPr="00AE264E" w:rsidRDefault="000A324D" w:rsidP="000A324D">
            <w:pPr>
              <w:pStyle w:val="ListParagraph"/>
              <w:numPr>
                <w:ilvl w:val="0"/>
                <w:numId w:val="29"/>
              </w:numPr>
              <w:spacing w:line="360" w:lineRule="auto"/>
              <w:jc w:val="both"/>
              <w:rPr>
                <w:rFonts w:ascii="Arial" w:hAnsi="Arial" w:cs="Arial"/>
                <w:color w:val="000000" w:themeColor="text1"/>
                <w:sz w:val="24"/>
              </w:rPr>
            </w:pPr>
            <w:r w:rsidRPr="00AE264E">
              <w:rPr>
                <w:rFonts w:ascii="Arial" w:hAnsi="Arial" w:cs="Arial"/>
                <w:color w:val="000000" w:themeColor="text1"/>
                <w:sz w:val="24"/>
              </w:rPr>
              <w:t>To Evaluate the evidence from the academic and industry literature to critically examine the connection between AI-driven financial advice and investor confidence</w:t>
            </w:r>
          </w:p>
          <w:p w:rsidR="000A324D" w:rsidRPr="00AE264E" w:rsidRDefault="000A324D" w:rsidP="000A324D">
            <w:pPr>
              <w:pStyle w:val="ListParagraph"/>
              <w:numPr>
                <w:ilvl w:val="0"/>
                <w:numId w:val="29"/>
              </w:numPr>
              <w:spacing w:line="360" w:lineRule="auto"/>
              <w:jc w:val="both"/>
              <w:rPr>
                <w:rFonts w:ascii="Arial" w:hAnsi="Arial" w:cs="Arial"/>
                <w:color w:val="000000" w:themeColor="text1"/>
                <w:sz w:val="24"/>
              </w:rPr>
            </w:pPr>
            <w:r w:rsidRPr="00AE264E">
              <w:rPr>
                <w:rFonts w:ascii="Arial" w:hAnsi="Arial" w:cs="Arial"/>
                <w:color w:val="000000" w:themeColor="text1"/>
                <w:sz w:val="24"/>
              </w:rPr>
              <w:t>To explore the implications of AI-powered financial advice for financial institutions, financial policy makers and financial regulators</w:t>
            </w:r>
          </w:p>
          <w:p w:rsidR="000A324D" w:rsidRPr="00AE264E" w:rsidRDefault="000A324D" w:rsidP="00AE264E">
            <w:pPr>
              <w:rPr>
                <w:rFonts w:ascii="Arial" w:hAnsi="Arial" w:cs="Arial"/>
                <w:color w:val="000000" w:themeColor="text1"/>
                <w:sz w:val="22"/>
                <w:szCs w:val="22"/>
              </w:rPr>
            </w:pPr>
          </w:p>
        </w:tc>
      </w:tr>
      <w:tr w:rsidR="000A324D" w:rsidRPr="00AE264E" w:rsidTr="00C82976">
        <w:trPr>
          <w:trHeight w:val="454"/>
        </w:trPr>
        <w:tc>
          <w:tcPr>
            <w:tcW w:w="237" w:type="pct"/>
            <w:shd w:val="clear" w:color="auto" w:fill="F2F2F2" w:themeFill="background1" w:themeFillShade="F2"/>
            <w:vAlign w:val="center"/>
          </w:tcPr>
          <w:p w:rsidR="000A324D" w:rsidRPr="00AE264E" w:rsidRDefault="000A324D" w:rsidP="00AE264E">
            <w:pPr>
              <w:spacing w:before="120" w:after="120"/>
              <w:rPr>
                <w:rFonts w:ascii="Arial" w:hAnsi="Arial" w:cs="Arial"/>
                <w:color w:val="000000" w:themeColor="text1"/>
                <w:sz w:val="22"/>
                <w:szCs w:val="22"/>
              </w:rPr>
            </w:pPr>
          </w:p>
        </w:tc>
        <w:tc>
          <w:tcPr>
            <w:tcW w:w="4763" w:type="pct"/>
            <w:gridSpan w:val="4"/>
            <w:shd w:val="clear" w:color="auto" w:fill="F2F2F2" w:themeFill="background1" w:themeFillShade="F2"/>
            <w:vAlign w:val="center"/>
          </w:tcPr>
          <w:p w:rsidR="000A324D" w:rsidRPr="00AE264E" w:rsidRDefault="000A324D" w:rsidP="00AE264E">
            <w:pPr>
              <w:spacing w:before="120" w:after="120"/>
              <w:rPr>
                <w:rFonts w:ascii="Arial" w:hAnsi="Arial" w:cs="Arial"/>
                <w:b/>
                <w:color w:val="000000" w:themeColor="text1"/>
                <w:sz w:val="22"/>
                <w:szCs w:val="22"/>
              </w:rPr>
            </w:pPr>
            <w:r w:rsidRPr="00AE264E">
              <w:rPr>
                <w:rFonts w:ascii="Arial" w:hAnsi="Arial" w:cs="Arial"/>
                <w:b/>
                <w:color w:val="000000" w:themeColor="text1"/>
                <w:sz w:val="22"/>
                <w:szCs w:val="22"/>
              </w:rPr>
              <w:t>Proposed data collection methods (maximum 600 words)</w:t>
            </w:r>
          </w:p>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 xml:space="preserve">Provide a brief summary of all the methods that </w:t>
            </w:r>
            <w:r w:rsidRPr="00AE264E">
              <w:rPr>
                <w:rFonts w:ascii="Arial" w:hAnsi="Arial" w:cs="Arial"/>
                <w:b/>
                <w:color w:val="000000" w:themeColor="text1"/>
                <w:sz w:val="22"/>
                <w:szCs w:val="22"/>
              </w:rPr>
              <w:t>may</w:t>
            </w:r>
            <w:r w:rsidRPr="00AE264E">
              <w:rPr>
                <w:rFonts w:ascii="Arial" w:hAnsi="Arial" w:cs="Arial"/>
                <w:color w:val="000000" w:themeColor="text1"/>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0A324D" w:rsidRPr="00AE264E" w:rsidTr="00C82976">
        <w:trPr>
          <w:trHeight w:val="454"/>
        </w:trPr>
        <w:tc>
          <w:tcPr>
            <w:tcW w:w="237" w:type="pct"/>
            <w:vAlign w:val="center"/>
          </w:tcPr>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7</w:t>
            </w:r>
          </w:p>
        </w:tc>
        <w:tc>
          <w:tcPr>
            <w:tcW w:w="4763" w:type="pct"/>
            <w:gridSpan w:val="4"/>
            <w:vAlign w:val="center"/>
          </w:tcPr>
          <w:p w:rsidR="000A324D" w:rsidRPr="00AE264E" w:rsidRDefault="000A324D" w:rsidP="00AE264E">
            <w:pPr>
              <w:rPr>
                <w:rFonts w:ascii="Arial" w:hAnsi="Arial" w:cs="Arial"/>
                <w:color w:val="000000" w:themeColor="text1"/>
              </w:rPr>
            </w:pPr>
            <w:r w:rsidRPr="00AE264E">
              <w:rPr>
                <w:rFonts w:ascii="Arial" w:hAnsi="Arial" w:cs="Arial"/>
                <w:color w:val="000000" w:themeColor="text1"/>
              </w:rPr>
              <w:t>Only secondary data collection will be used in this research. There will be no primary data collected and no human participants will be recruited. The study will be based exclusively on published information that is publicly available, and academically sound.</w:t>
            </w:r>
          </w:p>
          <w:p w:rsidR="000A324D" w:rsidRPr="00AE264E" w:rsidRDefault="000A324D" w:rsidP="00AE264E">
            <w:pPr>
              <w:rPr>
                <w:rFonts w:ascii="Arial" w:hAnsi="Arial" w:cs="Arial"/>
                <w:color w:val="000000" w:themeColor="text1"/>
              </w:rPr>
            </w:pPr>
            <w:r w:rsidRPr="00AE264E">
              <w:rPr>
                <w:rFonts w:ascii="Arial" w:hAnsi="Arial" w:cs="Arial"/>
                <w:color w:val="000000" w:themeColor="text1"/>
              </w:rPr>
              <w:t xml:space="preserve">Data will be gathered by systematically searching peer-reviewed academic journal articles, conference papers, government publications, regulatory reports, industry reports, and professional publications. Relevant literature will be identified via academic databases such as Scopus, ScienceDirect, Emerald Insight, SpringerLink and Google Scholar. Further evidence will be gathered from respected bodies such as the Financial Conduct Authority (FCA), the Bank of </w:t>
            </w:r>
            <w:r w:rsidRPr="00AE264E">
              <w:rPr>
                <w:rFonts w:ascii="Arial" w:hAnsi="Arial" w:cs="Arial"/>
                <w:color w:val="000000" w:themeColor="text1"/>
              </w:rPr>
              <w:lastRenderedPageBreak/>
              <w:t>England, Organisation for Economic Co-operation and Development (OECD) and other recognised financial institutions as appropriate.</w:t>
            </w:r>
          </w:p>
          <w:p w:rsidR="000A324D" w:rsidRPr="00AE264E" w:rsidRDefault="000A324D" w:rsidP="00AE264E">
            <w:pPr>
              <w:rPr>
                <w:rFonts w:ascii="Arial" w:hAnsi="Arial" w:cs="Arial"/>
                <w:color w:val="000000" w:themeColor="text1"/>
              </w:rPr>
            </w:pPr>
            <w:r w:rsidRPr="00AE264E">
              <w:rPr>
                <w:rFonts w:ascii="Arial" w:hAnsi="Arial" w:cs="Arial"/>
                <w:color w:val="000000" w:themeColor="text1"/>
              </w:rPr>
              <w:t>Searches will be conducted on topics that are relevant to the research such as artificial intelligence, generative AI, AI financial advice, robo-advisors, investment confidence, behavioural finance, tech adoption, retail investors, first time investors and financial technology. The literature search will primarily focus on articles published from 2022-26 to capture the latest developments in generative AI. Theories, like the Technology Acceptance Model and the Behavioural Finance Theory, may also be included in earlier publications if they are important.</w:t>
            </w:r>
          </w:p>
          <w:p w:rsidR="000A324D" w:rsidRPr="00AE264E" w:rsidRDefault="000A324D" w:rsidP="00AE264E">
            <w:pPr>
              <w:rPr>
                <w:rFonts w:ascii="Arial" w:hAnsi="Arial" w:cs="Arial"/>
                <w:color w:val="000000" w:themeColor="text1"/>
              </w:rPr>
            </w:pPr>
            <w:r w:rsidRPr="00AE264E">
              <w:rPr>
                <w:rFonts w:ascii="Arial" w:hAnsi="Arial" w:cs="Arial"/>
                <w:color w:val="000000" w:themeColor="text1"/>
              </w:rPr>
              <w:t>Relevant publications will be reviewed, and those that meet the specified inclusion criteria will be selected. Sources need to be directly connected to AI in the financial services, investment behaviour, financial confidence, and/or digital financial advice space. Non-relevant publication or publication that is not academically sound will be excluded.</w:t>
            </w:r>
          </w:p>
          <w:p w:rsidR="000A324D" w:rsidRPr="00AE264E" w:rsidRDefault="000A324D" w:rsidP="00AE264E">
            <w:pPr>
              <w:rPr>
                <w:rFonts w:ascii="Arial" w:hAnsi="Arial" w:cs="Arial"/>
                <w:color w:val="000000" w:themeColor="text1"/>
              </w:rPr>
            </w:pPr>
            <w:r w:rsidRPr="00AE264E">
              <w:rPr>
                <w:rFonts w:ascii="Arial" w:hAnsi="Arial" w:cs="Arial"/>
                <w:color w:val="000000" w:themeColor="text1"/>
              </w:rPr>
              <w:t>The information will then be organized and documented in an organized literature matrix, after selecting the relevant literature. The following information will be documented: key details such as year of publication, author, aims of research, research methods, limits and findings. The information then will be collated around common themes for analysis.</w:t>
            </w:r>
          </w:p>
          <w:p w:rsidR="000A324D" w:rsidRPr="00AE264E" w:rsidRDefault="000A324D" w:rsidP="00AE264E">
            <w:pPr>
              <w:rPr>
                <w:rFonts w:ascii="Arial" w:hAnsi="Arial" w:cs="Arial"/>
                <w:color w:val="000000" w:themeColor="text1"/>
              </w:rPr>
            </w:pPr>
            <w:r w:rsidRPr="00AE264E">
              <w:rPr>
                <w:rFonts w:ascii="Arial" w:hAnsi="Arial" w:cs="Arial"/>
                <w:color w:val="000000" w:themeColor="text1"/>
              </w:rPr>
              <w:t>During this research there will be no interviews, questionnaires, focus groups, observations, audio recording or video recording conducted. There will be no collection of personal data, sensitive information from individuals in the study. All the data will be from publicly available and previously published sources.</w:t>
            </w:r>
          </w:p>
          <w:p w:rsidR="000A324D" w:rsidRPr="00AE264E" w:rsidRDefault="000A324D" w:rsidP="00AE264E">
            <w:pPr>
              <w:rPr>
                <w:rFonts w:ascii="Arial" w:hAnsi="Arial" w:cs="Arial"/>
                <w:color w:val="000000" w:themeColor="text1"/>
              </w:rPr>
            </w:pPr>
            <w:r w:rsidRPr="00AE264E">
              <w:rPr>
                <w:rFonts w:ascii="Arial" w:hAnsi="Arial" w:cs="Arial"/>
                <w:color w:val="000000" w:themeColor="text1"/>
              </w:rPr>
              <w:t>All literature and research notes collected and produced will be kept on password-protected devices and secure cloud storage. The researcher and academic supervisor will have access to the research files. The required referencing style will be used to accurately reference all sources to ensure academic integrity and meet copyright requirements. This method will offer a solid and ethical basis for studying how AI-financial advice affects the UK's first-time investors in investment confidence.</w:t>
            </w:r>
          </w:p>
          <w:p w:rsidR="000A324D" w:rsidRPr="00AE264E" w:rsidRDefault="000A324D" w:rsidP="00AE264E">
            <w:pPr>
              <w:rPr>
                <w:rFonts w:ascii="Arial" w:hAnsi="Arial" w:cs="Arial"/>
                <w:color w:val="000000" w:themeColor="text1"/>
              </w:rPr>
            </w:pPr>
            <w:r w:rsidRPr="00AE264E">
              <w:rPr>
                <w:rFonts w:ascii="Arial" w:hAnsi="Arial" w:cs="Arial"/>
                <w:color w:val="000000" w:themeColor="text1"/>
              </w:rPr>
              <w:t xml:space="preserve">Data like author, date of publication, country, research aims, methodology used, major results, and limitations found will be registered in the list of references for every source. Structuring the data will help maintain consistency during all </w:t>
            </w:r>
            <w:r w:rsidRPr="00AE264E">
              <w:rPr>
                <w:rFonts w:ascii="Arial" w:hAnsi="Arial" w:cs="Arial"/>
                <w:color w:val="000000" w:themeColor="text1"/>
              </w:rPr>
              <w:lastRenderedPageBreak/>
              <w:t>phases of the research process and make comparisons with findings from other studies more transparent.</w:t>
            </w:r>
          </w:p>
          <w:p w:rsidR="000A324D" w:rsidRPr="00AE264E" w:rsidRDefault="000A324D" w:rsidP="00AE264E">
            <w:pPr>
              <w:rPr>
                <w:rFonts w:ascii="Arial" w:hAnsi="Arial" w:cs="Arial"/>
                <w:color w:val="000000" w:themeColor="text1"/>
              </w:rPr>
            </w:pPr>
          </w:p>
          <w:p w:rsidR="000A324D" w:rsidRPr="00AE264E" w:rsidRDefault="000A324D" w:rsidP="00AE264E">
            <w:pPr>
              <w:rPr>
                <w:rFonts w:ascii="Arial" w:hAnsi="Arial" w:cs="Arial"/>
                <w:color w:val="000000" w:themeColor="text1"/>
              </w:rPr>
            </w:pPr>
            <w:r w:rsidRPr="00AE264E">
              <w:rPr>
                <w:rFonts w:ascii="Arial" w:hAnsi="Arial" w:cs="Arial"/>
                <w:color w:val="000000" w:themeColor="text1"/>
              </w:rPr>
              <w:t>All obtained documents will be saved in electronic format on password-protected computers and on the researcher's cloud accounts. Access to the research materials will be restricted only to the researcher and his academic supervisor. Since the study will use exclusively publicly available secondary sources, there will be no need to gather any personal data, confidential information, audio recordings, video recordings, or information about participants at any phase of the research. All information will be properly referenced in accordance with the required academic referencing style.</w:t>
            </w:r>
          </w:p>
          <w:p w:rsidR="000A324D" w:rsidRPr="00AE264E" w:rsidRDefault="000A324D" w:rsidP="00AE264E">
            <w:pPr>
              <w:rPr>
                <w:rFonts w:ascii="Arial" w:hAnsi="Arial" w:cs="Arial"/>
                <w:color w:val="000000" w:themeColor="text1"/>
              </w:rPr>
            </w:pPr>
          </w:p>
          <w:p w:rsidR="000A324D" w:rsidRPr="00AE264E" w:rsidRDefault="000A324D" w:rsidP="00AE264E">
            <w:pPr>
              <w:rPr>
                <w:rFonts w:ascii="Arial" w:hAnsi="Arial" w:cs="Arial"/>
                <w:color w:val="000000" w:themeColor="text1"/>
              </w:rPr>
            </w:pPr>
            <w:r w:rsidRPr="00AE264E">
              <w:rPr>
                <w:rFonts w:ascii="Arial" w:hAnsi="Arial" w:cs="Arial"/>
                <w:color w:val="000000" w:themeColor="text1"/>
              </w:rPr>
              <w:t>The data gathering process will last until enough evidence will be obtained to answer each research question. Final collection of academic and professional sources will become the basis for the analysis of the influence of AI generated financial advice on investment confidence of first-time investors in the UK.</w:t>
            </w:r>
          </w:p>
          <w:p w:rsidR="000A324D" w:rsidRPr="00AE264E" w:rsidRDefault="000A324D" w:rsidP="00AE264E">
            <w:pPr>
              <w:rPr>
                <w:rFonts w:ascii="Arial" w:hAnsi="Arial" w:cs="Arial"/>
                <w:color w:val="000000" w:themeColor="text1"/>
              </w:rPr>
            </w:pPr>
          </w:p>
          <w:p w:rsidR="000A324D" w:rsidRPr="00AE264E" w:rsidRDefault="000A324D" w:rsidP="00AE264E">
            <w:pPr>
              <w:rPr>
                <w:rFonts w:ascii="Arial" w:hAnsi="Arial" w:cs="Arial"/>
                <w:b/>
                <w:color w:val="000000" w:themeColor="text1"/>
              </w:rPr>
            </w:pPr>
          </w:p>
        </w:tc>
      </w:tr>
    </w:tbl>
    <w:p w:rsidR="000A324D" w:rsidRPr="00AE264E" w:rsidRDefault="000A324D" w:rsidP="000A324D">
      <w:pPr>
        <w:rPr>
          <w:color w:val="000000" w:themeColor="text1"/>
        </w:rPr>
      </w:pPr>
    </w:p>
    <w:p w:rsidR="000A324D" w:rsidRPr="00AE264E" w:rsidRDefault="000A324D" w:rsidP="000A324D">
      <w:pPr>
        <w:spacing w:after="240"/>
        <w:rPr>
          <w:rFonts w:ascii="Arial" w:hAnsi="Arial" w:cs="Arial"/>
          <w:b/>
          <w:color w:val="000000" w:themeColor="text1"/>
          <w:sz w:val="22"/>
          <w:szCs w:val="22"/>
        </w:rPr>
      </w:pPr>
      <w:r w:rsidRPr="00AE264E">
        <w:rPr>
          <w:rFonts w:ascii="Arial" w:hAnsi="Arial" w:cs="Arial"/>
          <w:b/>
          <w:color w:val="000000" w:themeColor="text1"/>
          <w:sz w:val="22"/>
          <w:szCs w:val="22"/>
        </w:rPr>
        <w:t>SECTION D: Scope of Research Activity</w:t>
      </w:r>
    </w:p>
    <w:tbl>
      <w:tblPr>
        <w:tblStyle w:val="TableGrid"/>
        <w:tblW w:w="5000" w:type="pct"/>
        <w:tblLook w:val="04A0" w:firstRow="1" w:lastRow="0" w:firstColumn="1" w:lastColumn="0" w:noHBand="0" w:noVBand="1"/>
      </w:tblPr>
      <w:tblGrid>
        <w:gridCol w:w="485"/>
        <w:gridCol w:w="7100"/>
        <w:gridCol w:w="731"/>
        <w:gridCol w:w="703"/>
      </w:tblGrid>
      <w:tr w:rsidR="000A324D" w:rsidRPr="00AE264E" w:rsidTr="00C82976">
        <w:trPr>
          <w:trHeight w:val="558"/>
        </w:trPr>
        <w:tc>
          <w:tcPr>
            <w:tcW w:w="269"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b/>
                <w:color w:val="000000" w:themeColor="text1"/>
                <w:sz w:val="22"/>
                <w:szCs w:val="22"/>
              </w:rPr>
            </w:pPr>
          </w:p>
        </w:tc>
        <w:tc>
          <w:tcPr>
            <w:tcW w:w="3936"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b/>
                <w:color w:val="000000" w:themeColor="text1"/>
                <w:sz w:val="22"/>
                <w:szCs w:val="22"/>
              </w:rPr>
            </w:pPr>
            <w:r w:rsidRPr="00AE264E">
              <w:rPr>
                <w:rFonts w:ascii="Arial" w:hAnsi="Arial" w:cs="Arial"/>
                <w:b/>
                <w:color w:val="000000" w:themeColor="text1"/>
                <w:sz w:val="22"/>
                <w:szCs w:val="22"/>
              </w:rPr>
              <w:t>Will the research activity include:</w:t>
            </w:r>
          </w:p>
        </w:tc>
        <w:tc>
          <w:tcPr>
            <w:tcW w:w="405"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b/>
                <w:bCs/>
                <w:color w:val="000000" w:themeColor="text1"/>
                <w:sz w:val="22"/>
                <w:szCs w:val="22"/>
              </w:rPr>
            </w:pPr>
            <w:r w:rsidRPr="00AE264E">
              <w:rPr>
                <w:rFonts w:ascii="Arial" w:hAnsi="Arial" w:cs="Arial"/>
                <w:b/>
                <w:bCs/>
                <w:color w:val="000000" w:themeColor="text1"/>
                <w:sz w:val="22"/>
                <w:szCs w:val="22"/>
              </w:rPr>
              <w:t>YES</w:t>
            </w:r>
          </w:p>
        </w:tc>
        <w:tc>
          <w:tcPr>
            <w:tcW w:w="390"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b/>
                <w:bCs/>
                <w:color w:val="000000" w:themeColor="text1"/>
                <w:sz w:val="22"/>
                <w:szCs w:val="22"/>
              </w:rPr>
            </w:pPr>
            <w:r w:rsidRPr="00AE264E">
              <w:rPr>
                <w:rFonts w:ascii="Arial" w:hAnsi="Arial" w:cs="Arial"/>
                <w:b/>
                <w:bCs/>
                <w:color w:val="000000" w:themeColor="text1"/>
                <w:sz w:val="22"/>
                <w:szCs w:val="22"/>
              </w:rPr>
              <w:t>NO</w:t>
            </w:r>
          </w:p>
        </w:tc>
      </w:tr>
      <w:tr w:rsidR="000A324D" w:rsidRPr="00AE264E" w:rsidTr="00C82976">
        <w:trPr>
          <w:trHeight w:val="439"/>
        </w:trPr>
        <w:tc>
          <w:tcPr>
            <w:tcW w:w="269"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1</w:t>
            </w:r>
          </w:p>
        </w:tc>
        <w:tc>
          <w:tcPr>
            <w:tcW w:w="3936"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Use of a questionnaire or similar research instrument?</w:t>
            </w:r>
          </w:p>
        </w:tc>
        <w:tc>
          <w:tcPr>
            <w:tcW w:w="405" w:type="pct"/>
            <w:shd w:val="clear" w:color="auto" w:fill="BFBFBF" w:themeFill="background1" w:themeFillShade="BF"/>
            <w:vAlign w:val="center"/>
          </w:tcPr>
          <w:sdt>
            <w:sdtPr>
              <w:rPr>
                <w:rFonts w:ascii="Arial" w:hAnsi="Arial" w:cs="Arial"/>
                <w:b/>
                <w:bCs/>
                <w:color w:val="000000" w:themeColor="text1"/>
                <w:sz w:val="22"/>
                <w:szCs w:val="22"/>
              </w:rPr>
              <w:id w:val="1843739070"/>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390" w:type="pct"/>
            <w:shd w:val="clear" w:color="auto" w:fill="BFBFBF" w:themeFill="background1" w:themeFillShade="BF"/>
            <w:vAlign w:val="center"/>
          </w:tcPr>
          <w:sdt>
            <w:sdtPr>
              <w:rPr>
                <w:rFonts w:ascii="Arial" w:hAnsi="Arial" w:cs="Arial"/>
                <w:b/>
                <w:bCs/>
                <w:color w:val="000000" w:themeColor="text1"/>
                <w:sz w:val="22"/>
                <w:szCs w:val="22"/>
              </w:rPr>
              <w:id w:val="-474143939"/>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39"/>
        </w:trPr>
        <w:tc>
          <w:tcPr>
            <w:tcW w:w="269"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2</w:t>
            </w:r>
          </w:p>
        </w:tc>
        <w:tc>
          <w:tcPr>
            <w:tcW w:w="3936"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Use of interviews?</w:t>
            </w:r>
          </w:p>
        </w:tc>
        <w:tc>
          <w:tcPr>
            <w:tcW w:w="405" w:type="pct"/>
            <w:shd w:val="clear" w:color="auto" w:fill="BFBFBF" w:themeFill="background1" w:themeFillShade="BF"/>
            <w:vAlign w:val="center"/>
          </w:tcPr>
          <w:sdt>
            <w:sdtPr>
              <w:rPr>
                <w:rFonts w:ascii="Arial" w:hAnsi="Arial" w:cs="Arial"/>
                <w:b/>
                <w:bCs/>
                <w:color w:val="000000" w:themeColor="text1"/>
                <w:sz w:val="22"/>
                <w:szCs w:val="22"/>
              </w:rPr>
              <w:id w:val="-800765487"/>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390" w:type="pct"/>
            <w:shd w:val="clear" w:color="auto" w:fill="BFBFBF" w:themeFill="background1" w:themeFillShade="BF"/>
            <w:vAlign w:val="center"/>
          </w:tcPr>
          <w:sdt>
            <w:sdtPr>
              <w:rPr>
                <w:rFonts w:ascii="Arial" w:hAnsi="Arial" w:cs="Arial"/>
                <w:b/>
                <w:bCs/>
                <w:color w:val="000000" w:themeColor="text1"/>
                <w:sz w:val="22"/>
                <w:szCs w:val="22"/>
              </w:rPr>
              <w:id w:val="749926786"/>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39"/>
        </w:trPr>
        <w:tc>
          <w:tcPr>
            <w:tcW w:w="269"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3</w:t>
            </w:r>
          </w:p>
        </w:tc>
        <w:tc>
          <w:tcPr>
            <w:tcW w:w="3936"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Use of focus groups?</w:t>
            </w:r>
          </w:p>
        </w:tc>
        <w:tc>
          <w:tcPr>
            <w:tcW w:w="405" w:type="pct"/>
            <w:shd w:val="clear" w:color="auto" w:fill="BFBFBF" w:themeFill="background1" w:themeFillShade="BF"/>
            <w:vAlign w:val="center"/>
          </w:tcPr>
          <w:sdt>
            <w:sdtPr>
              <w:rPr>
                <w:rFonts w:ascii="Arial" w:hAnsi="Arial" w:cs="Arial"/>
                <w:b/>
                <w:bCs/>
                <w:color w:val="000000" w:themeColor="text1"/>
                <w:sz w:val="22"/>
                <w:szCs w:val="22"/>
              </w:rPr>
              <w:id w:val="-507049709"/>
            </w:sdtPr>
            <w:sdtEndPr/>
            <w:sdtContent>
              <w:p w:rsidR="000A324D" w:rsidRPr="00AE264E" w:rsidRDefault="000A324D" w:rsidP="00AE264E">
                <w:pPr>
                  <w:autoSpaceDE w:val="0"/>
                  <w:autoSpaceDN w:val="0"/>
                  <w:adjustRightInd w:val="0"/>
                  <w:jc w:val="center"/>
                  <w:rPr>
                    <w:rFonts w:ascii="Arial" w:hAnsi="Arial" w:cs="Arial"/>
                    <w:b/>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390" w:type="pct"/>
            <w:shd w:val="clear" w:color="auto" w:fill="BFBFBF" w:themeFill="background1" w:themeFillShade="BF"/>
            <w:vAlign w:val="center"/>
          </w:tcPr>
          <w:sdt>
            <w:sdtPr>
              <w:rPr>
                <w:rFonts w:ascii="Arial" w:hAnsi="Arial" w:cs="Arial"/>
                <w:b/>
                <w:bCs/>
                <w:color w:val="000000" w:themeColor="text1"/>
                <w:sz w:val="22"/>
                <w:szCs w:val="22"/>
              </w:rPr>
              <w:id w:val="1238368725"/>
            </w:sdtPr>
            <w:sdtEndPr/>
            <w:sdtContent>
              <w:p w:rsidR="000A324D" w:rsidRPr="00AE264E" w:rsidRDefault="000A324D" w:rsidP="00AE264E">
                <w:pPr>
                  <w:autoSpaceDE w:val="0"/>
                  <w:autoSpaceDN w:val="0"/>
                  <w:adjustRightInd w:val="0"/>
                  <w:jc w:val="center"/>
                  <w:rPr>
                    <w:rFonts w:ascii="Arial" w:hAnsi="Arial" w:cs="Arial"/>
                    <w:b/>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9"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4</w:t>
            </w:r>
          </w:p>
        </w:tc>
        <w:tc>
          <w:tcPr>
            <w:tcW w:w="3936"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 xml:space="preserve">Use of participant diaries? </w:t>
            </w:r>
          </w:p>
        </w:tc>
        <w:tc>
          <w:tcPr>
            <w:tcW w:w="405" w:type="pct"/>
            <w:shd w:val="clear" w:color="auto" w:fill="BFBFBF" w:themeFill="background1" w:themeFillShade="BF"/>
            <w:vAlign w:val="center"/>
          </w:tcPr>
          <w:sdt>
            <w:sdtPr>
              <w:rPr>
                <w:rFonts w:ascii="Arial" w:hAnsi="Arial" w:cs="Arial"/>
                <w:b/>
                <w:bCs/>
                <w:color w:val="000000" w:themeColor="text1"/>
                <w:sz w:val="22"/>
                <w:szCs w:val="22"/>
              </w:rPr>
              <w:id w:val="319468663"/>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390" w:type="pct"/>
            <w:shd w:val="clear" w:color="auto" w:fill="BFBFBF" w:themeFill="background1" w:themeFillShade="BF"/>
            <w:vAlign w:val="center"/>
          </w:tcPr>
          <w:sdt>
            <w:sdtPr>
              <w:rPr>
                <w:rFonts w:ascii="Arial" w:hAnsi="Arial" w:cs="Arial"/>
                <w:b/>
                <w:bCs/>
                <w:color w:val="000000" w:themeColor="text1"/>
                <w:sz w:val="22"/>
                <w:szCs w:val="22"/>
              </w:rPr>
              <w:id w:val="900483589"/>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9"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5</w:t>
            </w:r>
          </w:p>
        </w:tc>
        <w:tc>
          <w:tcPr>
            <w:tcW w:w="3936"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Use of video or audio recording?</w:t>
            </w:r>
          </w:p>
        </w:tc>
        <w:tc>
          <w:tcPr>
            <w:tcW w:w="405" w:type="pct"/>
            <w:shd w:val="clear" w:color="auto" w:fill="BFBFBF" w:themeFill="background1" w:themeFillShade="BF"/>
            <w:vAlign w:val="center"/>
          </w:tcPr>
          <w:sdt>
            <w:sdtPr>
              <w:rPr>
                <w:rFonts w:ascii="Arial" w:hAnsi="Arial" w:cs="Arial"/>
                <w:b/>
                <w:bCs/>
                <w:color w:val="000000" w:themeColor="text1"/>
                <w:sz w:val="22"/>
                <w:szCs w:val="22"/>
              </w:rPr>
              <w:id w:val="-494723296"/>
            </w:sdtPr>
            <w:sdtEndPr/>
            <w:sdtContent>
              <w:p w:rsidR="000A324D" w:rsidRPr="00AE264E" w:rsidRDefault="000A324D" w:rsidP="00AE264E">
                <w:pPr>
                  <w:autoSpaceDE w:val="0"/>
                  <w:autoSpaceDN w:val="0"/>
                  <w:adjustRightInd w:val="0"/>
                  <w:jc w:val="center"/>
                  <w:rPr>
                    <w:rFonts w:ascii="Arial" w:hAnsi="Arial" w:cs="Arial"/>
                    <w:b/>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390" w:type="pct"/>
            <w:shd w:val="clear" w:color="auto" w:fill="BFBFBF" w:themeFill="background1" w:themeFillShade="BF"/>
            <w:vAlign w:val="center"/>
          </w:tcPr>
          <w:sdt>
            <w:sdtPr>
              <w:rPr>
                <w:rFonts w:ascii="Arial" w:hAnsi="Arial" w:cs="Arial"/>
                <w:b/>
                <w:bCs/>
                <w:color w:val="000000" w:themeColor="text1"/>
                <w:sz w:val="22"/>
                <w:szCs w:val="22"/>
              </w:rPr>
              <w:id w:val="1672298898"/>
            </w:sdtPr>
            <w:sdtEndPr/>
            <w:sdtContent>
              <w:p w:rsidR="000A324D" w:rsidRPr="00AE264E" w:rsidRDefault="000A324D" w:rsidP="00AE264E">
                <w:pPr>
                  <w:autoSpaceDE w:val="0"/>
                  <w:autoSpaceDN w:val="0"/>
                  <w:adjustRightInd w:val="0"/>
                  <w:jc w:val="center"/>
                  <w:rPr>
                    <w:rFonts w:ascii="Arial" w:hAnsi="Arial" w:cs="Arial"/>
                    <w:b/>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9"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6</w:t>
            </w:r>
          </w:p>
        </w:tc>
        <w:tc>
          <w:tcPr>
            <w:tcW w:w="3936"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Use of computer-generated log files?</w:t>
            </w:r>
          </w:p>
        </w:tc>
        <w:tc>
          <w:tcPr>
            <w:tcW w:w="405" w:type="pct"/>
            <w:shd w:val="clear" w:color="auto" w:fill="BFBFBF" w:themeFill="background1" w:themeFillShade="BF"/>
            <w:vAlign w:val="center"/>
          </w:tcPr>
          <w:sdt>
            <w:sdtPr>
              <w:rPr>
                <w:rFonts w:ascii="Arial" w:hAnsi="Arial" w:cs="Arial"/>
                <w:b/>
                <w:bCs/>
                <w:color w:val="000000" w:themeColor="text1"/>
                <w:sz w:val="22"/>
                <w:szCs w:val="22"/>
              </w:rPr>
              <w:id w:val="282394886"/>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390" w:type="pct"/>
            <w:shd w:val="clear" w:color="auto" w:fill="BFBFBF" w:themeFill="background1" w:themeFillShade="BF"/>
            <w:vAlign w:val="center"/>
          </w:tcPr>
          <w:sdt>
            <w:sdtPr>
              <w:rPr>
                <w:rFonts w:ascii="Arial" w:hAnsi="Arial" w:cs="Arial"/>
                <w:b/>
                <w:bCs/>
                <w:color w:val="000000" w:themeColor="text1"/>
                <w:sz w:val="22"/>
                <w:szCs w:val="22"/>
              </w:rPr>
              <w:id w:val="-1338917432"/>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39"/>
        </w:trPr>
        <w:tc>
          <w:tcPr>
            <w:tcW w:w="269"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7</w:t>
            </w:r>
          </w:p>
        </w:tc>
        <w:tc>
          <w:tcPr>
            <w:tcW w:w="3936"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Participant observation with their knowledge?</w:t>
            </w:r>
          </w:p>
        </w:tc>
        <w:tc>
          <w:tcPr>
            <w:tcW w:w="405" w:type="pct"/>
            <w:shd w:val="clear" w:color="auto" w:fill="BFBFBF" w:themeFill="background1" w:themeFillShade="BF"/>
            <w:vAlign w:val="center"/>
          </w:tcPr>
          <w:sdt>
            <w:sdtPr>
              <w:rPr>
                <w:rFonts w:ascii="Arial" w:hAnsi="Arial" w:cs="Arial"/>
                <w:b/>
                <w:bCs/>
                <w:color w:val="000000" w:themeColor="text1"/>
                <w:sz w:val="22"/>
                <w:szCs w:val="22"/>
              </w:rPr>
              <w:id w:val="-1942599491"/>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390" w:type="pct"/>
            <w:shd w:val="clear" w:color="auto" w:fill="BFBFBF" w:themeFill="background1" w:themeFillShade="BF"/>
            <w:vAlign w:val="center"/>
          </w:tcPr>
          <w:sdt>
            <w:sdtPr>
              <w:rPr>
                <w:rFonts w:ascii="Arial" w:hAnsi="Arial" w:cs="Arial"/>
                <w:b/>
                <w:bCs/>
                <w:color w:val="000000" w:themeColor="text1"/>
                <w:sz w:val="22"/>
                <w:szCs w:val="22"/>
              </w:rPr>
              <w:id w:val="626286741"/>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9"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8</w:t>
            </w:r>
          </w:p>
        </w:tc>
        <w:tc>
          <w:tcPr>
            <w:tcW w:w="3936"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Participant observation without their knowledge?</w:t>
            </w:r>
          </w:p>
        </w:tc>
        <w:tc>
          <w:tcPr>
            <w:tcW w:w="405" w:type="pct"/>
            <w:shd w:val="clear" w:color="auto" w:fill="BFBFBF" w:themeFill="background1" w:themeFillShade="BF"/>
            <w:vAlign w:val="center"/>
          </w:tcPr>
          <w:sdt>
            <w:sdtPr>
              <w:rPr>
                <w:rFonts w:ascii="Arial" w:hAnsi="Arial" w:cs="Arial"/>
                <w:b/>
                <w:bCs/>
                <w:color w:val="000000" w:themeColor="text1"/>
                <w:sz w:val="22"/>
                <w:szCs w:val="22"/>
              </w:rPr>
              <w:id w:val="-387187341"/>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390" w:type="pct"/>
            <w:shd w:val="clear" w:color="auto" w:fill="BFBFBF" w:themeFill="background1" w:themeFillShade="BF"/>
            <w:vAlign w:val="center"/>
          </w:tcPr>
          <w:sdt>
            <w:sdtPr>
              <w:rPr>
                <w:rFonts w:ascii="Arial" w:hAnsi="Arial" w:cs="Arial"/>
                <w:b/>
                <w:bCs/>
                <w:color w:val="000000" w:themeColor="text1"/>
                <w:sz w:val="22"/>
                <w:szCs w:val="22"/>
              </w:rPr>
              <w:id w:val="-1580675213"/>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39"/>
        </w:trPr>
        <w:tc>
          <w:tcPr>
            <w:tcW w:w="269"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9</w:t>
            </w:r>
          </w:p>
        </w:tc>
        <w:tc>
          <w:tcPr>
            <w:tcW w:w="3936"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Access to personal or confidential information without the participants’ specific consent?</w:t>
            </w:r>
          </w:p>
        </w:tc>
        <w:tc>
          <w:tcPr>
            <w:tcW w:w="405" w:type="pct"/>
            <w:shd w:val="clear" w:color="auto" w:fill="BFBFBF" w:themeFill="background1" w:themeFillShade="BF"/>
            <w:vAlign w:val="center"/>
          </w:tcPr>
          <w:sdt>
            <w:sdtPr>
              <w:rPr>
                <w:rFonts w:ascii="Arial" w:hAnsi="Arial" w:cs="Arial"/>
                <w:b/>
                <w:bCs/>
                <w:color w:val="000000" w:themeColor="text1"/>
                <w:sz w:val="22"/>
                <w:szCs w:val="22"/>
              </w:rPr>
              <w:id w:val="-1397120567"/>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390" w:type="pct"/>
            <w:shd w:val="clear" w:color="auto" w:fill="BFBFBF" w:themeFill="background1" w:themeFillShade="BF"/>
            <w:vAlign w:val="center"/>
          </w:tcPr>
          <w:sdt>
            <w:sdtPr>
              <w:rPr>
                <w:rFonts w:ascii="Arial" w:hAnsi="Arial" w:cs="Arial"/>
                <w:b/>
                <w:bCs/>
                <w:color w:val="000000" w:themeColor="text1"/>
                <w:sz w:val="22"/>
                <w:szCs w:val="22"/>
              </w:rPr>
              <w:id w:val="587048268"/>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9"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10</w:t>
            </w:r>
          </w:p>
        </w:tc>
        <w:tc>
          <w:tcPr>
            <w:tcW w:w="3936"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Administration of any questions, test stimuli, presentation that may be experienced as physically, mentally or emotionally harmful / offensive?</w:t>
            </w:r>
          </w:p>
        </w:tc>
        <w:tc>
          <w:tcPr>
            <w:tcW w:w="405" w:type="pct"/>
            <w:shd w:val="clear" w:color="auto" w:fill="BFBFBF" w:themeFill="background1" w:themeFillShade="BF"/>
            <w:vAlign w:val="center"/>
          </w:tcPr>
          <w:sdt>
            <w:sdtPr>
              <w:rPr>
                <w:rFonts w:ascii="Arial" w:hAnsi="Arial" w:cs="Arial"/>
                <w:b/>
                <w:bCs/>
                <w:color w:val="000000" w:themeColor="text1"/>
                <w:sz w:val="22"/>
                <w:szCs w:val="22"/>
              </w:rPr>
              <w:id w:val="-723911514"/>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390" w:type="pct"/>
            <w:shd w:val="clear" w:color="auto" w:fill="BFBFBF" w:themeFill="background1" w:themeFillShade="BF"/>
            <w:vAlign w:val="center"/>
          </w:tcPr>
          <w:sdt>
            <w:sdtPr>
              <w:rPr>
                <w:rFonts w:ascii="Arial" w:hAnsi="Arial" w:cs="Arial"/>
                <w:b/>
                <w:bCs/>
                <w:color w:val="000000" w:themeColor="text1"/>
                <w:sz w:val="22"/>
                <w:szCs w:val="22"/>
              </w:rPr>
              <w:id w:val="655270249"/>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9"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lastRenderedPageBreak/>
              <w:t>11</w:t>
            </w:r>
          </w:p>
        </w:tc>
        <w:tc>
          <w:tcPr>
            <w:tcW w:w="3936"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Performance of any acts which may cause embarrassment or affect self-esteem?</w:t>
            </w:r>
          </w:p>
        </w:tc>
        <w:tc>
          <w:tcPr>
            <w:tcW w:w="405" w:type="pct"/>
            <w:shd w:val="clear" w:color="auto" w:fill="BFBFBF" w:themeFill="background1" w:themeFillShade="BF"/>
            <w:vAlign w:val="center"/>
          </w:tcPr>
          <w:sdt>
            <w:sdtPr>
              <w:rPr>
                <w:rFonts w:ascii="Arial" w:hAnsi="Arial" w:cs="Arial"/>
                <w:b/>
                <w:bCs/>
                <w:color w:val="000000" w:themeColor="text1"/>
                <w:sz w:val="22"/>
                <w:szCs w:val="22"/>
              </w:rPr>
              <w:id w:val="1994977168"/>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390" w:type="pct"/>
            <w:shd w:val="clear" w:color="auto" w:fill="BFBFBF" w:themeFill="background1" w:themeFillShade="BF"/>
            <w:vAlign w:val="center"/>
          </w:tcPr>
          <w:sdt>
            <w:sdtPr>
              <w:rPr>
                <w:rFonts w:ascii="Arial" w:hAnsi="Arial" w:cs="Arial"/>
                <w:b/>
                <w:bCs/>
                <w:color w:val="000000" w:themeColor="text1"/>
                <w:sz w:val="22"/>
                <w:szCs w:val="22"/>
              </w:rPr>
              <w:id w:val="-2119442801"/>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9"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12</w:t>
            </w:r>
          </w:p>
        </w:tc>
        <w:tc>
          <w:tcPr>
            <w:tcW w:w="3936"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Investigation of participants involved in illegal activities?</w:t>
            </w:r>
          </w:p>
        </w:tc>
        <w:tc>
          <w:tcPr>
            <w:tcW w:w="405" w:type="pct"/>
            <w:shd w:val="clear" w:color="auto" w:fill="BFBFBF" w:themeFill="background1" w:themeFillShade="BF"/>
            <w:vAlign w:val="center"/>
          </w:tcPr>
          <w:sdt>
            <w:sdtPr>
              <w:rPr>
                <w:rFonts w:ascii="Arial" w:hAnsi="Arial" w:cs="Arial"/>
                <w:b/>
                <w:bCs/>
                <w:color w:val="000000" w:themeColor="text1"/>
                <w:sz w:val="22"/>
                <w:szCs w:val="22"/>
              </w:rPr>
              <w:id w:val="-570350383"/>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390" w:type="pct"/>
            <w:shd w:val="clear" w:color="auto" w:fill="BFBFBF" w:themeFill="background1" w:themeFillShade="BF"/>
            <w:vAlign w:val="center"/>
          </w:tcPr>
          <w:sdt>
            <w:sdtPr>
              <w:rPr>
                <w:rFonts w:ascii="Arial" w:hAnsi="Arial" w:cs="Arial"/>
                <w:b/>
                <w:bCs/>
                <w:color w:val="000000" w:themeColor="text1"/>
                <w:sz w:val="22"/>
                <w:szCs w:val="22"/>
              </w:rPr>
              <w:id w:val="-904758639"/>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9"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13</w:t>
            </w:r>
          </w:p>
        </w:tc>
        <w:tc>
          <w:tcPr>
            <w:tcW w:w="3936"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Use of procedures that involve deception?</w:t>
            </w:r>
          </w:p>
        </w:tc>
        <w:tc>
          <w:tcPr>
            <w:tcW w:w="405" w:type="pct"/>
            <w:shd w:val="clear" w:color="auto" w:fill="BFBFBF" w:themeFill="background1" w:themeFillShade="BF"/>
            <w:vAlign w:val="center"/>
          </w:tcPr>
          <w:sdt>
            <w:sdtPr>
              <w:rPr>
                <w:rFonts w:ascii="Arial" w:hAnsi="Arial" w:cs="Arial"/>
                <w:b/>
                <w:bCs/>
                <w:color w:val="000000" w:themeColor="text1"/>
                <w:sz w:val="22"/>
                <w:szCs w:val="22"/>
              </w:rPr>
              <w:id w:val="362719355"/>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390" w:type="pct"/>
            <w:shd w:val="clear" w:color="auto" w:fill="BFBFBF" w:themeFill="background1" w:themeFillShade="BF"/>
            <w:vAlign w:val="center"/>
          </w:tcPr>
          <w:sdt>
            <w:sdtPr>
              <w:rPr>
                <w:rFonts w:ascii="Arial" w:hAnsi="Arial" w:cs="Arial"/>
                <w:b/>
                <w:bCs/>
                <w:color w:val="000000" w:themeColor="text1"/>
                <w:sz w:val="22"/>
                <w:szCs w:val="22"/>
              </w:rPr>
              <w:id w:val="1074700241"/>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9"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14</w:t>
            </w:r>
          </w:p>
        </w:tc>
        <w:tc>
          <w:tcPr>
            <w:tcW w:w="3936"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Administration of any substance, agent or placebo?</w:t>
            </w:r>
          </w:p>
        </w:tc>
        <w:tc>
          <w:tcPr>
            <w:tcW w:w="405" w:type="pct"/>
            <w:shd w:val="clear" w:color="auto" w:fill="BFBFBF" w:themeFill="background1" w:themeFillShade="BF"/>
            <w:vAlign w:val="center"/>
          </w:tcPr>
          <w:sdt>
            <w:sdtPr>
              <w:rPr>
                <w:rFonts w:ascii="Arial" w:hAnsi="Arial" w:cs="Arial"/>
                <w:b/>
                <w:bCs/>
                <w:color w:val="000000" w:themeColor="text1"/>
                <w:sz w:val="22"/>
                <w:szCs w:val="22"/>
              </w:rPr>
              <w:id w:val="-1924798936"/>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390" w:type="pct"/>
            <w:shd w:val="clear" w:color="auto" w:fill="BFBFBF" w:themeFill="background1" w:themeFillShade="BF"/>
            <w:vAlign w:val="center"/>
          </w:tcPr>
          <w:sdt>
            <w:sdtPr>
              <w:rPr>
                <w:rFonts w:ascii="Arial" w:hAnsi="Arial" w:cs="Arial"/>
                <w:b/>
                <w:bCs/>
                <w:color w:val="000000" w:themeColor="text1"/>
                <w:sz w:val="22"/>
                <w:szCs w:val="22"/>
              </w:rPr>
              <w:id w:val="-624625241"/>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9"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15</w:t>
            </w:r>
          </w:p>
        </w:tc>
        <w:tc>
          <w:tcPr>
            <w:tcW w:w="3936"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Working with live vertebrate animals?</w:t>
            </w:r>
          </w:p>
        </w:tc>
        <w:tc>
          <w:tcPr>
            <w:tcW w:w="405" w:type="pct"/>
            <w:shd w:val="clear" w:color="auto" w:fill="BFBFBF" w:themeFill="background1" w:themeFillShade="BF"/>
            <w:vAlign w:val="center"/>
          </w:tcPr>
          <w:sdt>
            <w:sdtPr>
              <w:rPr>
                <w:rFonts w:ascii="Arial" w:hAnsi="Arial" w:cs="Arial"/>
                <w:b/>
                <w:bCs/>
                <w:color w:val="000000" w:themeColor="text1"/>
                <w:sz w:val="22"/>
                <w:szCs w:val="22"/>
              </w:rPr>
              <w:id w:val="300428637"/>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390" w:type="pct"/>
            <w:shd w:val="clear" w:color="auto" w:fill="BFBFBF" w:themeFill="background1" w:themeFillShade="BF"/>
            <w:vAlign w:val="center"/>
          </w:tcPr>
          <w:sdt>
            <w:sdtPr>
              <w:rPr>
                <w:rFonts w:ascii="Arial" w:hAnsi="Arial" w:cs="Arial"/>
                <w:b/>
                <w:bCs/>
                <w:color w:val="000000" w:themeColor="text1"/>
                <w:sz w:val="22"/>
                <w:szCs w:val="22"/>
              </w:rPr>
              <w:id w:val="-1236861983"/>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9"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16</w:t>
            </w:r>
          </w:p>
        </w:tc>
        <w:tc>
          <w:tcPr>
            <w:tcW w:w="3936"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Procedures that may have a negative impact on the environment?</w:t>
            </w:r>
          </w:p>
        </w:tc>
        <w:tc>
          <w:tcPr>
            <w:tcW w:w="405" w:type="pct"/>
            <w:shd w:val="clear" w:color="auto" w:fill="BFBFBF" w:themeFill="background1" w:themeFillShade="BF"/>
            <w:vAlign w:val="center"/>
          </w:tcPr>
          <w:sdt>
            <w:sdtPr>
              <w:rPr>
                <w:rFonts w:ascii="Arial" w:hAnsi="Arial" w:cs="Arial"/>
                <w:b/>
                <w:bCs/>
                <w:color w:val="000000" w:themeColor="text1"/>
                <w:sz w:val="22"/>
                <w:szCs w:val="22"/>
              </w:rPr>
              <w:id w:val="1647247395"/>
            </w:sdtPr>
            <w:sdtEndPr/>
            <w:sdtContent>
              <w:p w:rsidR="000A324D" w:rsidRPr="00AE264E" w:rsidRDefault="000A324D" w:rsidP="00AE264E">
                <w:pPr>
                  <w:autoSpaceDE w:val="0"/>
                  <w:autoSpaceDN w:val="0"/>
                  <w:adjustRightInd w:val="0"/>
                  <w:jc w:val="center"/>
                  <w:rPr>
                    <w:rFonts w:ascii="Arial" w:hAnsi="Arial" w:cs="Arial"/>
                    <w:b/>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390" w:type="pct"/>
            <w:shd w:val="clear" w:color="auto" w:fill="BFBFBF" w:themeFill="background1" w:themeFillShade="BF"/>
            <w:vAlign w:val="center"/>
          </w:tcPr>
          <w:sdt>
            <w:sdtPr>
              <w:rPr>
                <w:rFonts w:ascii="Arial" w:hAnsi="Arial" w:cs="Arial"/>
                <w:b/>
                <w:bCs/>
                <w:color w:val="000000" w:themeColor="text1"/>
                <w:sz w:val="22"/>
                <w:szCs w:val="22"/>
              </w:rPr>
              <w:id w:val="-1995170133"/>
            </w:sdtPr>
            <w:sdtEndPr/>
            <w:sdtContent>
              <w:p w:rsidR="000A324D" w:rsidRPr="00AE264E" w:rsidRDefault="000A324D" w:rsidP="00AE264E">
                <w:pPr>
                  <w:autoSpaceDE w:val="0"/>
                  <w:autoSpaceDN w:val="0"/>
                  <w:adjustRightInd w:val="0"/>
                  <w:jc w:val="center"/>
                  <w:rPr>
                    <w:rFonts w:ascii="Arial" w:hAnsi="Arial" w:cs="Arial"/>
                    <w:b/>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9"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17</w:t>
            </w:r>
          </w:p>
        </w:tc>
        <w:tc>
          <w:tcPr>
            <w:tcW w:w="3936"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Other primary data collection methods. Please indicate the type of data collection method(s) below.</w:t>
            </w:r>
          </w:p>
        </w:tc>
        <w:tc>
          <w:tcPr>
            <w:tcW w:w="405" w:type="pct"/>
            <w:vMerge w:val="restart"/>
            <w:shd w:val="clear" w:color="auto" w:fill="BFBFBF" w:themeFill="background1" w:themeFillShade="BF"/>
            <w:vAlign w:val="center"/>
          </w:tcPr>
          <w:sdt>
            <w:sdtPr>
              <w:rPr>
                <w:rFonts w:ascii="Arial" w:hAnsi="Arial" w:cs="Arial"/>
                <w:b/>
                <w:bCs/>
                <w:color w:val="000000" w:themeColor="text1"/>
                <w:sz w:val="22"/>
                <w:szCs w:val="22"/>
              </w:rPr>
              <w:id w:val="2049023668"/>
            </w:sdtPr>
            <w:sdtEndPr/>
            <w:sdtContent>
              <w:p w:rsidR="000A324D" w:rsidRPr="00AE264E" w:rsidRDefault="000A324D" w:rsidP="00AE264E">
                <w:pPr>
                  <w:autoSpaceDE w:val="0"/>
                  <w:autoSpaceDN w:val="0"/>
                  <w:adjustRightInd w:val="0"/>
                  <w:jc w:val="center"/>
                  <w:rPr>
                    <w:rFonts w:ascii="Arial" w:hAnsi="Arial" w:cs="Arial"/>
                    <w:b/>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390" w:type="pct"/>
            <w:vMerge w:val="restart"/>
            <w:shd w:val="clear" w:color="auto" w:fill="BFBFBF" w:themeFill="background1" w:themeFillShade="BF"/>
            <w:vAlign w:val="center"/>
          </w:tcPr>
          <w:sdt>
            <w:sdtPr>
              <w:rPr>
                <w:rFonts w:ascii="Arial" w:hAnsi="Arial" w:cs="Arial"/>
                <w:b/>
                <w:bCs/>
                <w:color w:val="000000" w:themeColor="text1"/>
                <w:sz w:val="22"/>
                <w:szCs w:val="22"/>
              </w:rPr>
              <w:id w:val="1900947946"/>
            </w:sdtPr>
            <w:sdtEndPr/>
            <w:sdtContent>
              <w:p w:rsidR="000A324D" w:rsidRPr="00AE264E" w:rsidRDefault="000A324D" w:rsidP="00AE264E">
                <w:pPr>
                  <w:autoSpaceDE w:val="0"/>
                  <w:autoSpaceDN w:val="0"/>
                  <w:adjustRightInd w:val="0"/>
                  <w:jc w:val="center"/>
                  <w:rPr>
                    <w:rFonts w:ascii="Arial" w:hAnsi="Arial" w:cs="Arial"/>
                    <w:b/>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9" w:type="pct"/>
            <w:vAlign w:val="center"/>
          </w:tcPr>
          <w:p w:rsidR="000A324D" w:rsidRPr="00AE264E" w:rsidRDefault="000A324D" w:rsidP="00AE264E">
            <w:pPr>
              <w:autoSpaceDE w:val="0"/>
              <w:autoSpaceDN w:val="0"/>
              <w:adjustRightInd w:val="0"/>
              <w:rPr>
                <w:rFonts w:ascii="Arial" w:hAnsi="Arial" w:cs="Arial"/>
                <w:color w:val="000000" w:themeColor="text1"/>
                <w:sz w:val="22"/>
                <w:szCs w:val="22"/>
              </w:rPr>
            </w:pPr>
          </w:p>
        </w:tc>
        <w:tc>
          <w:tcPr>
            <w:tcW w:w="3936" w:type="pct"/>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Details of any other primary data collection method:</w:t>
            </w:r>
          </w:p>
          <w:p w:rsidR="000A324D" w:rsidRPr="00AE264E" w:rsidRDefault="000A324D" w:rsidP="00AE264E">
            <w:pPr>
              <w:rPr>
                <w:rFonts w:ascii="Arial" w:hAnsi="Arial" w:cs="Arial"/>
                <w:color w:val="000000" w:themeColor="text1"/>
              </w:rPr>
            </w:pPr>
          </w:p>
          <w:p w:rsidR="000A324D" w:rsidRPr="00AE264E" w:rsidRDefault="000A324D" w:rsidP="00AE264E">
            <w:pPr>
              <w:rPr>
                <w:rFonts w:ascii="Arial" w:hAnsi="Arial" w:cs="Arial"/>
                <w:color w:val="000000" w:themeColor="text1"/>
              </w:rPr>
            </w:pPr>
          </w:p>
          <w:p w:rsidR="000A324D" w:rsidRPr="00AE264E" w:rsidRDefault="000A324D" w:rsidP="00AE264E">
            <w:pPr>
              <w:rPr>
                <w:rFonts w:ascii="Arial" w:hAnsi="Arial" w:cs="Arial"/>
                <w:color w:val="000000" w:themeColor="text1"/>
                <w:sz w:val="22"/>
                <w:szCs w:val="22"/>
              </w:rPr>
            </w:pPr>
          </w:p>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18"/>
                <w:szCs w:val="18"/>
              </w:rPr>
              <w:t>(this box should expand as you type)</w:t>
            </w:r>
          </w:p>
        </w:tc>
        <w:tc>
          <w:tcPr>
            <w:tcW w:w="405" w:type="pct"/>
            <w:vMerge/>
            <w:shd w:val="clear" w:color="auto" w:fill="BFBFBF" w:themeFill="background1" w:themeFillShade="BF"/>
            <w:vAlign w:val="center"/>
          </w:tcPr>
          <w:p w:rsidR="000A324D" w:rsidRPr="00AE264E" w:rsidRDefault="000A324D" w:rsidP="00AE264E">
            <w:pPr>
              <w:autoSpaceDE w:val="0"/>
              <w:autoSpaceDN w:val="0"/>
              <w:adjustRightInd w:val="0"/>
              <w:jc w:val="center"/>
              <w:rPr>
                <w:rFonts w:ascii="Arial" w:hAnsi="Arial" w:cs="Arial"/>
                <w:b/>
                <w:bCs/>
                <w:color w:val="000000" w:themeColor="text1"/>
                <w:sz w:val="22"/>
                <w:szCs w:val="22"/>
              </w:rPr>
            </w:pPr>
          </w:p>
        </w:tc>
        <w:tc>
          <w:tcPr>
            <w:tcW w:w="390" w:type="pct"/>
            <w:vMerge/>
            <w:shd w:val="clear" w:color="auto" w:fill="BFBFBF" w:themeFill="background1" w:themeFillShade="BF"/>
            <w:vAlign w:val="center"/>
          </w:tcPr>
          <w:p w:rsidR="000A324D" w:rsidRPr="00AE264E" w:rsidRDefault="000A324D" w:rsidP="00AE264E">
            <w:pPr>
              <w:autoSpaceDE w:val="0"/>
              <w:autoSpaceDN w:val="0"/>
              <w:adjustRightInd w:val="0"/>
              <w:jc w:val="center"/>
              <w:rPr>
                <w:rFonts w:ascii="Arial" w:hAnsi="Arial" w:cs="Arial"/>
                <w:b/>
                <w:bCs/>
                <w:color w:val="000000" w:themeColor="text1"/>
                <w:sz w:val="22"/>
                <w:szCs w:val="22"/>
              </w:rPr>
            </w:pPr>
          </w:p>
        </w:tc>
      </w:tr>
    </w:tbl>
    <w:p w:rsidR="000A324D" w:rsidRPr="00AE264E" w:rsidRDefault="000A324D" w:rsidP="000A324D">
      <w:pPr>
        <w:rPr>
          <w:rFonts w:ascii="Arial" w:hAnsi="Arial" w:cs="Arial"/>
          <w:bCs/>
          <w:iCs/>
          <w:color w:val="000000" w:themeColor="text1"/>
          <w:sz w:val="22"/>
          <w:szCs w:val="22"/>
        </w:rPr>
      </w:pPr>
    </w:p>
    <w:p w:rsidR="000A324D" w:rsidRPr="00AE264E" w:rsidRDefault="000A324D" w:rsidP="000A324D">
      <w:pPr>
        <w:rPr>
          <w:rFonts w:ascii="Arial" w:hAnsi="Arial" w:cs="Arial"/>
          <w:bCs/>
          <w:iCs/>
          <w:color w:val="000000" w:themeColor="text1"/>
          <w:sz w:val="22"/>
          <w:szCs w:val="22"/>
        </w:rPr>
      </w:pPr>
      <w:r w:rsidRPr="00AE264E">
        <w:rPr>
          <w:rFonts w:ascii="Arial" w:hAnsi="Arial" w:cs="Arial"/>
          <w:bCs/>
          <w:iCs/>
          <w:color w:val="000000" w:themeColor="text1"/>
          <w:sz w:val="22"/>
          <w:szCs w:val="22"/>
        </w:rPr>
        <w:t>If you have ticked NO to every question then the research activity is (ethically) low risk and you may skip section E and continue to section F.</w:t>
      </w:r>
    </w:p>
    <w:p w:rsidR="000A324D" w:rsidRPr="00AE264E" w:rsidRDefault="000A324D" w:rsidP="000A324D">
      <w:pPr>
        <w:rPr>
          <w:rFonts w:ascii="Arial" w:hAnsi="Arial" w:cs="Arial"/>
          <w:bCs/>
          <w:iCs/>
          <w:color w:val="000000" w:themeColor="text1"/>
          <w:sz w:val="22"/>
          <w:szCs w:val="22"/>
        </w:rPr>
      </w:pPr>
    </w:p>
    <w:p w:rsidR="000A324D" w:rsidRPr="00AE264E" w:rsidRDefault="000A324D" w:rsidP="000A324D">
      <w:pPr>
        <w:rPr>
          <w:rFonts w:ascii="Arial" w:hAnsi="Arial" w:cs="Arial"/>
          <w:bCs/>
          <w:iCs/>
          <w:color w:val="000000" w:themeColor="text1"/>
          <w:sz w:val="22"/>
          <w:szCs w:val="22"/>
        </w:rPr>
      </w:pPr>
      <w:r w:rsidRPr="00AE264E">
        <w:rPr>
          <w:rFonts w:ascii="Arial" w:hAnsi="Arial" w:cs="Arial"/>
          <w:bCs/>
          <w:iCs/>
          <w:color w:val="000000" w:themeColor="text1"/>
          <w:sz w:val="22"/>
          <w:szCs w:val="22"/>
        </w:rPr>
        <w:t xml:space="preserve">If YES to any question, then no research activity should be undertaken until full ethical approval has been obtained. </w:t>
      </w:r>
    </w:p>
    <w:p w:rsidR="000A324D" w:rsidRPr="00AE264E" w:rsidRDefault="000A324D" w:rsidP="000A324D">
      <w:pPr>
        <w:rPr>
          <w:rFonts w:ascii="Arial" w:hAnsi="Arial" w:cs="Arial"/>
          <w:bCs/>
          <w:iCs/>
          <w:color w:val="000000" w:themeColor="text1"/>
          <w:sz w:val="22"/>
          <w:szCs w:val="22"/>
        </w:rPr>
      </w:pPr>
    </w:p>
    <w:p w:rsidR="000A324D" w:rsidRPr="00AE264E" w:rsidRDefault="000A324D" w:rsidP="000A324D">
      <w:pPr>
        <w:autoSpaceDE w:val="0"/>
        <w:autoSpaceDN w:val="0"/>
        <w:adjustRightInd w:val="0"/>
        <w:spacing w:after="240"/>
        <w:rPr>
          <w:rFonts w:ascii="Arial" w:hAnsi="Arial" w:cs="Arial"/>
          <w:b/>
          <w:color w:val="000000" w:themeColor="text1"/>
          <w:sz w:val="22"/>
          <w:szCs w:val="22"/>
        </w:rPr>
      </w:pPr>
      <w:r w:rsidRPr="00AE264E">
        <w:rPr>
          <w:rFonts w:ascii="Arial" w:hAnsi="Arial" w:cs="Arial"/>
          <w:b/>
          <w:color w:val="000000" w:themeColor="text1"/>
          <w:sz w:val="22"/>
          <w:szCs w:val="22"/>
        </w:rPr>
        <w:t>SECTION E: Intended Participants</w:t>
      </w:r>
    </w:p>
    <w:tbl>
      <w:tblPr>
        <w:tblStyle w:val="TableGrid"/>
        <w:tblW w:w="5000" w:type="pct"/>
        <w:tblLook w:val="04A0" w:firstRow="1" w:lastRow="0" w:firstColumn="1" w:lastColumn="0" w:noHBand="0" w:noVBand="1"/>
      </w:tblPr>
      <w:tblGrid>
        <w:gridCol w:w="485"/>
        <w:gridCol w:w="7091"/>
        <w:gridCol w:w="734"/>
        <w:gridCol w:w="709"/>
      </w:tblGrid>
      <w:tr w:rsidR="000A324D" w:rsidRPr="00AE264E" w:rsidTr="00C82976">
        <w:tc>
          <w:tcPr>
            <w:tcW w:w="269"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b/>
                <w:color w:val="000000" w:themeColor="text1"/>
                <w:sz w:val="22"/>
                <w:szCs w:val="22"/>
              </w:rPr>
            </w:pPr>
          </w:p>
        </w:tc>
        <w:tc>
          <w:tcPr>
            <w:tcW w:w="3931" w:type="pct"/>
            <w:shd w:val="clear" w:color="auto" w:fill="F2F2F2" w:themeFill="background1" w:themeFillShade="F2"/>
          </w:tcPr>
          <w:p w:rsidR="000A324D" w:rsidRPr="00AE264E" w:rsidRDefault="000A324D" w:rsidP="00AE264E">
            <w:pPr>
              <w:autoSpaceDE w:val="0"/>
              <w:autoSpaceDN w:val="0"/>
              <w:adjustRightInd w:val="0"/>
              <w:rPr>
                <w:rFonts w:ascii="Arial" w:hAnsi="Arial" w:cs="Arial"/>
                <w:b/>
                <w:color w:val="000000" w:themeColor="text1"/>
                <w:sz w:val="22"/>
                <w:szCs w:val="22"/>
              </w:rPr>
            </w:pPr>
            <w:r w:rsidRPr="00AE264E">
              <w:rPr>
                <w:rFonts w:ascii="Arial" w:hAnsi="Arial" w:cs="Arial"/>
                <w:b/>
                <w:color w:val="000000" w:themeColor="text1"/>
                <w:sz w:val="22"/>
                <w:szCs w:val="22"/>
              </w:rPr>
              <w:t>Who are the intended participants:</w:t>
            </w:r>
          </w:p>
        </w:tc>
        <w:tc>
          <w:tcPr>
            <w:tcW w:w="407" w:type="pct"/>
            <w:shd w:val="clear" w:color="auto" w:fill="F2F2F2" w:themeFill="background1" w:themeFillShade="F2"/>
          </w:tcPr>
          <w:p w:rsidR="000A324D" w:rsidRPr="00AE264E" w:rsidRDefault="000A324D" w:rsidP="00AE264E">
            <w:pPr>
              <w:autoSpaceDE w:val="0"/>
              <w:autoSpaceDN w:val="0"/>
              <w:adjustRightInd w:val="0"/>
              <w:jc w:val="center"/>
              <w:rPr>
                <w:rFonts w:ascii="Arial" w:hAnsi="Arial" w:cs="Arial"/>
                <w:b/>
                <w:bCs/>
                <w:color w:val="000000" w:themeColor="text1"/>
                <w:sz w:val="22"/>
                <w:szCs w:val="22"/>
              </w:rPr>
            </w:pPr>
          </w:p>
          <w:p w:rsidR="000A324D" w:rsidRPr="00AE264E" w:rsidRDefault="000A324D" w:rsidP="00AE264E">
            <w:pPr>
              <w:autoSpaceDE w:val="0"/>
              <w:autoSpaceDN w:val="0"/>
              <w:adjustRightInd w:val="0"/>
              <w:jc w:val="center"/>
              <w:rPr>
                <w:rFonts w:ascii="Arial" w:hAnsi="Arial" w:cs="Arial"/>
                <w:b/>
                <w:bCs/>
                <w:color w:val="000000" w:themeColor="text1"/>
                <w:sz w:val="22"/>
                <w:szCs w:val="22"/>
              </w:rPr>
            </w:pPr>
            <w:r w:rsidRPr="00AE264E">
              <w:rPr>
                <w:rFonts w:ascii="Arial" w:hAnsi="Arial" w:cs="Arial"/>
                <w:b/>
                <w:bCs/>
                <w:color w:val="000000" w:themeColor="text1"/>
                <w:sz w:val="22"/>
                <w:szCs w:val="22"/>
              </w:rPr>
              <w:t>YES</w:t>
            </w:r>
          </w:p>
        </w:tc>
        <w:tc>
          <w:tcPr>
            <w:tcW w:w="393" w:type="pct"/>
            <w:shd w:val="clear" w:color="auto" w:fill="F2F2F2" w:themeFill="background1" w:themeFillShade="F2"/>
          </w:tcPr>
          <w:p w:rsidR="000A324D" w:rsidRPr="00AE264E" w:rsidRDefault="000A324D" w:rsidP="00AE264E">
            <w:pPr>
              <w:autoSpaceDE w:val="0"/>
              <w:autoSpaceDN w:val="0"/>
              <w:adjustRightInd w:val="0"/>
              <w:jc w:val="center"/>
              <w:rPr>
                <w:rFonts w:ascii="Arial" w:hAnsi="Arial" w:cs="Arial"/>
                <w:b/>
                <w:bCs/>
                <w:color w:val="000000" w:themeColor="text1"/>
                <w:sz w:val="22"/>
                <w:szCs w:val="22"/>
              </w:rPr>
            </w:pPr>
          </w:p>
          <w:p w:rsidR="000A324D" w:rsidRPr="00AE264E" w:rsidRDefault="000A324D" w:rsidP="00AE264E">
            <w:pPr>
              <w:autoSpaceDE w:val="0"/>
              <w:autoSpaceDN w:val="0"/>
              <w:adjustRightInd w:val="0"/>
              <w:jc w:val="center"/>
              <w:rPr>
                <w:rFonts w:ascii="Arial" w:hAnsi="Arial" w:cs="Arial"/>
                <w:b/>
                <w:bCs/>
                <w:color w:val="000000" w:themeColor="text1"/>
                <w:sz w:val="22"/>
                <w:szCs w:val="22"/>
              </w:rPr>
            </w:pPr>
            <w:r w:rsidRPr="00AE264E">
              <w:rPr>
                <w:rFonts w:ascii="Arial" w:hAnsi="Arial" w:cs="Arial"/>
                <w:b/>
                <w:bCs/>
                <w:color w:val="000000" w:themeColor="text1"/>
                <w:sz w:val="22"/>
                <w:szCs w:val="22"/>
              </w:rPr>
              <w:t>NO</w:t>
            </w:r>
          </w:p>
        </w:tc>
      </w:tr>
      <w:tr w:rsidR="000A324D" w:rsidRPr="00AE264E" w:rsidTr="00C82976">
        <w:trPr>
          <w:trHeight w:val="439"/>
        </w:trPr>
        <w:tc>
          <w:tcPr>
            <w:tcW w:w="269"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1</w:t>
            </w:r>
          </w:p>
        </w:tc>
        <w:tc>
          <w:tcPr>
            <w:tcW w:w="3931"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Students or staff at the University?</w:t>
            </w:r>
          </w:p>
        </w:tc>
        <w:tc>
          <w:tcPr>
            <w:tcW w:w="407" w:type="pct"/>
            <w:shd w:val="clear" w:color="auto" w:fill="BFBFBF" w:themeFill="background1" w:themeFillShade="BF"/>
            <w:vAlign w:val="center"/>
          </w:tcPr>
          <w:sdt>
            <w:sdtPr>
              <w:rPr>
                <w:rFonts w:ascii="Arial" w:hAnsi="Arial" w:cs="Arial"/>
                <w:b/>
                <w:bCs/>
                <w:color w:val="000000" w:themeColor="text1"/>
                <w:sz w:val="22"/>
                <w:szCs w:val="22"/>
              </w:rPr>
              <w:id w:val="-227763996"/>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393" w:type="pct"/>
            <w:shd w:val="clear" w:color="auto" w:fill="BFBFBF" w:themeFill="background1" w:themeFillShade="BF"/>
            <w:vAlign w:val="center"/>
          </w:tcPr>
          <w:sdt>
            <w:sdtPr>
              <w:rPr>
                <w:rFonts w:ascii="Arial" w:hAnsi="Arial" w:cs="Arial"/>
                <w:b/>
                <w:bCs/>
                <w:color w:val="000000" w:themeColor="text1"/>
                <w:sz w:val="22"/>
                <w:szCs w:val="22"/>
              </w:rPr>
              <w:id w:val="-947306252"/>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9"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2</w:t>
            </w:r>
          </w:p>
        </w:tc>
        <w:tc>
          <w:tcPr>
            <w:tcW w:w="3931"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Adults (over the age of 18 and competent to give consent)?</w:t>
            </w:r>
          </w:p>
        </w:tc>
        <w:tc>
          <w:tcPr>
            <w:tcW w:w="407" w:type="pct"/>
            <w:shd w:val="clear" w:color="auto" w:fill="BFBFBF" w:themeFill="background1" w:themeFillShade="BF"/>
            <w:vAlign w:val="center"/>
          </w:tcPr>
          <w:sdt>
            <w:sdtPr>
              <w:rPr>
                <w:rFonts w:ascii="Arial" w:hAnsi="Arial" w:cs="Arial"/>
                <w:b/>
                <w:bCs/>
                <w:color w:val="000000" w:themeColor="text1"/>
                <w:sz w:val="22"/>
                <w:szCs w:val="22"/>
              </w:rPr>
              <w:id w:val="-1780247199"/>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393" w:type="pct"/>
            <w:shd w:val="clear" w:color="auto" w:fill="BFBFBF" w:themeFill="background1" w:themeFillShade="BF"/>
            <w:vAlign w:val="center"/>
          </w:tcPr>
          <w:sdt>
            <w:sdtPr>
              <w:rPr>
                <w:rFonts w:ascii="Arial" w:hAnsi="Arial" w:cs="Arial"/>
                <w:b/>
                <w:bCs/>
                <w:color w:val="000000" w:themeColor="text1"/>
                <w:sz w:val="22"/>
                <w:szCs w:val="22"/>
              </w:rPr>
              <w:id w:val="666435130"/>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39"/>
        </w:trPr>
        <w:tc>
          <w:tcPr>
            <w:tcW w:w="269"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3</w:t>
            </w:r>
          </w:p>
        </w:tc>
        <w:tc>
          <w:tcPr>
            <w:tcW w:w="3931"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Vulnerable adults?</w:t>
            </w:r>
          </w:p>
        </w:tc>
        <w:tc>
          <w:tcPr>
            <w:tcW w:w="407" w:type="pct"/>
            <w:shd w:val="clear" w:color="auto" w:fill="BFBFBF" w:themeFill="background1" w:themeFillShade="BF"/>
            <w:vAlign w:val="center"/>
          </w:tcPr>
          <w:sdt>
            <w:sdtPr>
              <w:rPr>
                <w:rFonts w:ascii="Arial" w:hAnsi="Arial" w:cs="Arial"/>
                <w:b/>
                <w:bCs/>
                <w:color w:val="000000" w:themeColor="text1"/>
                <w:sz w:val="22"/>
                <w:szCs w:val="22"/>
              </w:rPr>
              <w:id w:val="555978563"/>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393" w:type="pct"/>
            <w:shd w:val="clear" w:color="auto" w:fill="BFBFBF" w:themeFill="background1" w:themeFillShade="BF"/>
            <w:vAlign w:val="center"/>
          </w:tcPr>
          <w:sdt>
            <w:sdtPr>
              <w:rPr>
                <w:rFonts w:ascii="Arial" w:hAnsi="Arial" w:cs="Arial"/>
                <w:b/>
                <w:bCs/>
                <w:color w:val="000000" w:themeColor="text1"/>
                <w:sz w:val="22"/>
                <w:szCs w:val="22"/>
              </w:rPr>
              <w:id w:val="-435668532"/>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9"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4</w:t>
            </w:r>
          </w:p>
        </w:tc>
        <w:tc>
          <w:tcPr>
            <w:tcW w:w="3931"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Children and Young People under the age of 18? (Consent from Parent, Carer or Guardian will be required)</w:t>
            </w:r>
          </w:p>
        </w:tc>
        <w:tc>
          <w:tcPr>
            <w:tcW w:w="407" w:type="pct"/>
            <w:shd w:val="clear" w:color="auto" w:fill="BFBFBF" w:themeFill="background1" w:themeFillShade="BF"/>
            <w:vAlign w:val="center"/>
          </w:tcPr>
          <w:sdt>
            <w:sdtPr>
              <w:rPr>
                <w:rFonts w:ascii="Arial" w:hAnsi="Arial" w:cs="Arial"/>
                <w:b/>
                <w:bCs/>
                <w:color w:val="000000" w:themeColor="text1"/>
                <w:sz w:val="22"/>
                <w:szCs w:val="22"/>
              </w:rPr>
              <w:id w:val="-375472827"/>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393" w:type="pct"/>
            <w:shd w:val="clear" w:color="auto" w:fill="BFBFBF" w:themeFill="background1" w:themeFillShade="BF"/>
            <w:vAlign w:val="center"/>
          </w:tcPr>
          <w:sdt>
            <w:sdtPr>
              <w:rPr>
                <w:rFonts w:ascii="Arial" w:hAnsi="Arial" w:cs="Arial"/>
                <w:b/>
                <w:bCs/>
                <w:color w:val="000000" w:themeColor="text1"/>
                <w:sz w:val="22"/>
                <w:szCs w:val="22"/>
              </w:rPr>
              <w:id w:val="1887361462"/>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9"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5</w:t>
            </w:r>
          </w:p>
        </w:tc>
        <w:tc>
          <w:tcPr>
            <w:tcW w:w="3931"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Prisoners?</w:t>
            </w:r>
          </w:p>
        </w:tc>
        <w:tc>
          <w:tcPr>
            <w:tcW w:w="407" w:type="pct"/>
            <w:shd w:val="clear" w:color="auto" w:fill="BFBFBF" w:themeFill="background1" w:themeFillShade="BF"/>
            <w:vAlign w:val="center"/>
          </w:tcPr>
          <w:sdt>
            <w:sdtPr>
              <w:rPr>
                <w:rFonts w:ascii="Arial" w:hAnsi="Arial" w:cs="Arial"/>
                <w:b/>
                <w:bCs/>
                <w:color w:val="000000" w:themeColor="text1"/>
                <w:sz w:val="22"/>
                <w:szCs w:val="22"/>
              </w:rPr>
              <w:id w:val="1692793907"/>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393" w:type="pct"/>
            <w:shd w:val="clear" w:color="auto" w:fill="BFBFBF" w:themeFill="background1" w:themeFillShade="BF"/>
            <w:vAlign w:val="center"/>
          </w:tcPr>
          <w:sdt>
            <w:sdtPr>
              <w:rPr>
                <w:rFonts w:ascii="Arial" w:hAnsi="Arial" w:cs="Arial"/>
                <w:b/>
                <w:bCs/>
                <w:color w:val="000000" w:themeColor="text1"/>
                <w:sz w:val="22"/>
                <w:szCs w:val="22"/>
              </w:rPr>
              <w:id w:val="326411418"/>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39"/>
        </w:trPr>
        <w:tc>
          <w:tcPr>
            <w:tcW w:w="269"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6</w:t>
            </w:r>
          </w:p>
        </w:tc>
        <w:tc>
          <w:tcPr>
            <w:tcW w:w="3931"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Young offenders?</w:t>
            </w:r>
          </w:p>
        </w:tc>
        <w:tc>
          <w:tcPr>
            <w:tcW w:w="407" w:type="pct"/>
            <w:shd w:val="clear" w:color="auto" w:fill="BFBFBF" w:themeFill="background1" w:themeFillShade="BF"/>
            <w:vAlign w:val="center"/>
          </w:tcPr>
          <w:sdt>
            <w:sdtPr>
              <w:rPr>
                <w:rFonts w:ascii="Arial" w:hAnsi="Arial" w:cs="Arial"/>
                <w:b/>
                <w:bCs/>
                <w:color w:val="000000" w:themeColor="text1"/>
                <w:sz w:val="22"/>
                <w:szCs w:val="22"/>
              </w:rPr>
              <w:id w:val="1255410168"/>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393" w:type="pct"/>
            <w:shd w:val="clear" w:color="auto" w:fill="BFBFBF" w:themeFill="background1" w:themeFillShade="BF"/>
            <w:vAlign w:val="center"/>
          </w:tcPr>
          <w:sdt>
            <w:sdtPr>
              <w:rPr>
                <w:rFonts w:ascii="Arial" w:hAnsi="Arial" w:cs="Arial"/>
                <w:b/>
                <w:bCs/>
                <w:color w:val="000000" w:themeColor="text1"/>
                <w:sz w:val="22"/>
                <w:szCs w:val="22"/>
              </w:rPr>
              <w:id w:val="-1236000582"/>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9"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7</w:t>
            </w:r>
          </w:p>
        </w:tc>
        <w:tc>
          <w:tcPr>
            <w:tcW w:w="3931"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Those who could be considered to have a particularly dependent relationship with the investigator or a gatekeeper?</w:t>
            </w:r>
          </w:p>
        </w:tc>
        <w:tc>
          <w:tcPr>
            <w:tcW w:w="407" w:type="pct"/>
            <w:shd w:val="clear" w:color="auto" w:fill="BFBFBF" w:themeFill="background1" w:themeFillShade="BF"/>
            <w:vAlign w:val="center"/>
          </w:tcPr>
          <w:sdt>
            <w:sdtPr>
              <w:rPr>
                <w:rFonts w:ascii="Arial" w:hAnsi="Arial" w:cs="Arial"/>
                <w:b/>
                <w:bCs/>
                <w:color w:val="000000" w:themeColor="text1"/>
                <w:sz w:val="22"/>
                <w:szCs w:val="22"/>
              </w:rPr>
              <w:id w:val="-1016453075"/>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393" w:type="pct"/>
            <w:shd w:val="clear" w:color="auto" w:fill="BFBFBF" w:themeFill="background1" w:themeFillShade="BF"/>
            <w:vAlign w:val="center"/>
          </w:tcPr>
          <w:sdt>
            <w:sdtPr>
              <w:rPr>
                <w:rFonts w:ascii="Arial" w:hAnsi="Arial" w:cs="Arial"/>
                <w:b/>
                <w:bCs/>
                <w:color w:val="000000" w:themeColor="text1"/>
                <w:sz w:val="22"/>
                <w:szCs w:val="22"/>
              </w:rPr>
              <w:id w:val="1673070048"/>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9"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8</w:t>
            </w:r>
          </w:p>
        </w:tc>
        <w:tc>
          <w:tcPr>
            <w:tcW w:w="3931"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People engaged in illegal activities?</w:t>
            </w:r>
          </w:p>
        </w:tc>
        <w:tc>
          <w:tcPr>
            <w:tcW w:w="407" w:type="pct"/>
            <w:shd w:val="clear" w:color="auto" w:fill="BFBFBF" w:themeFill="background1" w:themeFillShade="BF"/>
            <w:vAlign w:val="center"/>
          </w:tcPr>
          <w:sdt>
            <w:sdtPr>
              <w:rPr>
                <w:rFonts w:ascii="Arial" w:hAnsi="Arial" w:cs="Arial"/>
                <w:b/>
                <w:bCs/>
                <w:color w:val="000000" w:themeColor="text1"/>
                <w:sz w:val="22"/>
                <w:szCs w:val="22"/>
              </w:rPr>
              <w:id w:val="-1519850840"/>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393" w:type="pct"/>
            <w:shd w:val="clear" w:color="auto" w:fill="BFBFBF" w:themeFill="background1" w:themeFillShade="BF"/>
            <w:vAlign w:val="center"/>
          </w:tcPr>
          <w:sdt>
            <w:sdtPr>
              <w:rPr>
                <w:rFonts w:ascii="Arial" w:hAnsi="Arial" w:cs="Arial"/>
                <w:b/>
                <w:bCs/>
                <w:color w:val="000000" w:themeColor="text1"/>
                <w:sz w:val="22"/>
                <w:szCs w:val="22"/>
              </w:rPr>
              <w:id w:val="1072859745"/>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9"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9</w:t>
            </w:r>
          </w:p>
        </w:tc>
        <w:tc>
          <w:tcPr>
            <w:tcW w:w="3931"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Others. Please indicate the participants below, and specifically any group who may be unable to give consent.</w:t>
            </w:r>
          </w:p>
          <w:p w:rsidR="000A324D" w:rsidRPr="00AE264E" w:rsidRDefault="000A324D" w:rsidP="00AE264E">
            <w:pPr>
              <w:autoSpaceDE w:val="0"/>
              <w:autoSpaceDN w:val="0"/>
              <w:adjustRightInd w:val="0"/>
              <w:rPr>
                <w:rFonts w:ascii="Arial" w:hAnsi="Arial" w:cs="Arial"/>
                <w:color w:val="000000" w:themeColor="text1"/>
                <w:sz w:val="22"/>
                <w:szCs w:val="22"/>
              </w:rPr>
            </w:pPr>
          </w:p>
        </w:tc>
        <w:tc>
          <w:tcPr>
            <w:tcW w:w="407" w:type="pct"/>
            <w:vMerge w:val="restart"/>
            <w:shd w:val="clear" w:color="auto" w:fill="BFBFBF" w:themeFill="background1" w:themeFillShade="BF"/>
            <w:vAlign w:val="center"/>
          </w:tcPr>
          <w:sdt>
            <w:sdtPr>
              <w:rPr>
                <w:rFonts w:ascii="Arial" w:hAnsi="Arial" w:cs="Arial"/>
                <w:b/>
                <w:bCs/>
                <w:color w:val="000000" w:themeColor="text1"/>
                <w:sz w:val="22"/>
                <w:szCs w:val="22"/>
              </w:rPr>
              <w:id w:val="-1984918035"/>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393" w:type="pct"/>
            <w:vMerge w:val="restart"/>
            <w:shd w:val="clear" w:color="auto" w:fill="BFBFBF" w:themeFill="background1" w:themeFillShade="BF"/>
            <w:vAlign w:val="center"/>
          </w:tcPr>
          <w:sdt>
            <w:sdtPr>
              <w:rPr>
                <w:rFonts w:ascii="Arial" w:hAnsi="Arial" w:cs="Arial"/>
                <w:b/>
                <w:bCs/>
                <w:color w:val="000000" w:themeColor="text1"/>
                <w:sz w:val="22"/>
                <w:szCs w:val="22"/>
              </w:rPr>
              <w:id w:val="-1870052561"/>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9" w:type="pct"/>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p>
        </w:tc>
        <w:tc>
          <w:tcPr>
            <w:tcW w:w="3931" w:type="pct"/>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Details of any other participant groups:</w:t>
            </w:r>
          </w:p>
          <w:p w:rsidR="000A324D" w:rsidRPr="00AE264E" w:rsidRDefault="000A324D" w:rsidP="00AE264E">
            <w:pPr>
              <w:rPr>
                <w:rFonts w:ascii="Arial" w:hAnsi="Arial" w:cs="Arial"/>
                <w:color w:val="000000" w:themeColor="text1"/>
              </w:rPr>
            </w:pPr>
            <w:r w:rsidRPr="00AE264E">
              <w:rPr>
                <w:rFonts w:ascii="Arial" w:hAnsi="Arial" w:cs="Arial"/>
                <w:color w:val="000000" w:themeColor="text1"/>
                <w:sz w:val="22"/>
              </w:rPr>
              <w:t>Complete this only if your participants cannot give consent. This includes animals</w:t>
            </w:r>
          </w:p>
          <w:p w:rsidR="000A324D" w:rsidRPr="00AE264E" w:rsidRDefault="000A324D" w:rsidP="00AE264E">
            <w:pPr>
              <w:rPr>
                <w:rFonts w:ascii="Arial" w:hAnsi="Arial" w:cs="Arial"/>
                <w:color w:val="000000" w:themeColor="text1"/>
              </w:rPr>
            </w:pPr>
          </w:p>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18"/>
                <w:szCs w:val="18"/>
              </w:rPr>
              <w:t>(this box should expand as you type)</w:t>
            </w:r>
          </w:p>
        </w:tc>
        <w:tc>
          <w:tcPr>
            <w:tcW w:w="407" w:type="pct"/>
            <w:vMerge/>
            <w:shd w:val="clear" w:color="auto" w:fill="BFBFBF" w:themeFill="background1" w:themeFillShade="BF"/>
            <w:vAlign w:val="center"/>
          </w:tcPr>
          <w:p w:rsidR="000A324D" w:rsidRPr="00AE264E" w:rsidRDefault="000A324D" w:rsidP="00AE264E">
            <w:pPr>
              <w:autoSpaceDE w:val="0"/>
              <w:autoSpaceDN w:val="0"/>
              <w:adjustRightInd w:val="0"/>
              <w:jc w:val="center"/>
              <w:rPr>
                <w:rFonts w:ascii="Arial" w:hAnsi="Arial" w:cs="Arial"/>
                <w:b/>
                <w:bCs/>
                <w:color w:val="000000" w:themeColor="text1"/>
                <w:sz w:val="22"/>
                <w:szCs w:val="22"/>
              </w:rPr>
            </w:pPr>
          </w:p>
        </w:tc>
        <w:tc>
          <w:tcPr>
            <w:tcW w:w="393" w:type="pct"/>
            <w:vMerge/>
            <w:shd w:val="clear" w:color="auto" w:fill="BFBFBF" w:themeFill="background1" w:themeFillShade="BF"/>
            <w:vAlign w:val="center"/>
          </w:tcPr>
          <w:p w:rsidR="000A324D" w:rsidRPr="00AE264E" w:rsidRDefault="000A324D" w:rsidP="00AE264E">
            <w:pPr>
              <w:autoSpaceDE w:val="0"/>
              <w:autoSpaceDN w:val="0"/>
              <w:adjustRightInd w:val="0"/>
              <w:jc w:val="center"/>
              <w:rPr>
                <w:rFonts w:ascii="Arial" w:hAnsi="Arial" w:cs="Arial"/>
                <w:b/>
                <w:bCs/>
                <w:color w:val="000000" w:themeColor="text1"/>
                <w:sz w:val="22"/>
                <w:szCs w:val="22"/>
              </w:rPr>
            </w:pPr>
          </w:p>
        </w:tc>
      </w:tr>
    </w:tbl>
    <w:p w:rsidR="000A324D" w:rsidRPr="00AE264E" w:rsidRDefault="000A324D" w:rsidP="000A324D">
      <w:pPr>
        <w:rPr>
          <w:rFonts w:ascii="Arial" w:hAnsi="Arial" w:cs="Arial"/>
          <w:bCs/>
          <w:color w:val="000000" w:themeColor="text1"/>
        </w:rPr>
      </w:pPr>
    </w:p>
    <w:tbl>
      <w:tblPr>
        <w:tblStyle w:val="TableGrid"/>
        <w:tblpPr w:leftFromText="180" w:rightFromText="180" w:vertAnchor="page" w:horzAnchor="margin" w:tblpY="3541"/>
        <w:tblW w:w="5000" w:type="pct"/>
        <w:tblLook w:val="04A0" w:firstRow="1" w:lastRow="0" w:firstColumn="1" w:lastColumn="0" w:noHBand="0" w:noVBand="1"/>
      </w:tblPr>
      <w:tblGrid>
        <w:gridCol w:w="486"/>
        <w:gridCol w:w="2810"/>
        <w:gridCol w:w="5723"/>
      </w:tblGrid>
      <w:tr w:rsidR="000A324D" w:rsidRPr="00AE264E" w:rsidTr="00C82976">
        <w:trPr>
          <w:trHeight w:val="403"/>
        </w:trPr>
        <w:tc>
          <w:tcPr>
            <w:tcW w:w="269" w:type="pct"/>
            <w:tcBorders>
              <w:bottom w:val="single" w:sz="4" w:space="0" w:color="auto"/>
            </w:tcBorders>
            <w:shd w:val="clear" w:color="auto" w:fill="F2F2F2" w:themeFill="background1" w:themeFillShade="F2"/>
          </w:tcPr>
          <w:p w:rsidR="000A324D" w:rsidRPr="00AE264E" w:rsidRDefault="000A324D" w:rsidP="00C82976">
            <w:pPr>
              <w:rPr>
                <w:rFonts w:ascii="Arial" w:hAnsi="Arial" w:cs="Arial"/>
                <w:bCs/>
                <w:color w:val="000000" w:themeColor="text1"/>
                <w:sz w:val="22"/>
                <w:szCs w:val="22"/>
              </w:rPr>
            </w:pPr>
          </w:p>
        </w:tc>
        <w:tc>
          <w:tcPr>
            <w:tcW w:w="4731" w:type="pct"/>
            <w:gridSpan w:val="2"/>
            <w:tcBorders>
              <w:bottom w:val="single" w:sz="4" w:space="0" w:color="auto"/>
            </w:tcBorders>
            <w:shd w:val="clear" w:color="auto" w:fill="F2F2F2" w:themeFill="background1" w:themeFillShade="F2"/>
            <w:vAlign w:val="center"/>
          </w:tcPr>
          <w:p w:rsidR="000A324D" w:rsidRPr="00AE264E" w:rsidRDefault="000A324D" w:rsidP="00C82976">
            <w:pPr>
              <w:rPr>
                <w:rFonts w:ascii="Arial" w:hAnsi="Arial" w:cs="Arial"/>
                <w:b/>
                <w:color w:val="000000" w:themeColor="text1"/>
                <w:sz w:val="22"/>
                <w:szCs w:val="22"/>
              </w:rPr>
            </w:pPr>
            <w:r w:rsidRPr="00AE264E">
              <w:rPr>
                <w:rFonts w:ascii="Arial" w:hAnsi="Arial" w:cs="Arial"/>
                <w:b/>
                <w:color w:val="000000" w:themeColor="text1"/>
                <w:sz w:val="22"/>
                <w:szCs w:val="22"/>
              </w:rPr>
              <w:t>Participant numbers and source</w:t>
            </w:r>
          </w:p>
          <w:p w:rsidR="000A324D" w:rsidRPr="00AE264E" w:rsidRDefault="000A324D" w:rsidP="00C82976">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 xml:space="preserve">Provide an estimate of the expected number of participants. How will you identify participants and how will they be recruited? </w:t>
            </w:r>
          </w:p>
        </w:tc>
      </w:tr>
      <w:tr w:rsidR="000A324D" w:rsidRPr="00AE264E" w:rsidTr="00C82976">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A324D" w:rsidRPr="00AE264E" w:rsidRDefault="000A324D" w:rsidP="00C82976">
            <w:pPr>
              <w:jc w:val="center"/>
              <w:rPr>
                <w:rFonts w:ascii="Arial" w:hAnsi="Arial" w:cs="Arial"/>
                <w:color w:val="000000" w:themeColor="text1"/>
                <w:sz w:val="22"/>
                <w:szCs w:val="22"/>
              </w:rPr>
            </w:pPr>
            <w:r w:rsidRPr="00AE264E">
              <w:rPr>
                <w:rFonts w:ascii="Arial" w:hAnsi="Arial" w:cs="Arial"/>
                <w:color w:val="000000" w:themeColor="text1"/>
                <w:sz w:val="22"/>
                <w:szCs w:val="22"/>
              </w:rPr>
              <w:t>10</w:t>
            </w:r>
          </w:p>
        </w:tc>
        <w:tc>
          <w:tcPr>
            <w:tcW w:w="155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A324D" w:rsidRPr="00AE264E" w:rsidRDefault="000A324D" w:rsidP="00C82976">
            <w:pPr>
              <w:rPr>
                <w:rFonts w:ascii="Arial" w:hAnsi="Arial" w:cs="Arial"/>
                <w:color w:val="000000" w:themeColor="text1"/>
                <w:sz w:val="22"/>
                <w:szCs w:val="22"/>
              </w:rPr>
            </w:pPr>
            <w:r w:rsidRPr="00AE264E">
              <w:rPr>
                <w:rFonts w:ascii="Arial" w:hAnsi="Arial" w:cs="Arial"/>
                <w:color w:val="000000" w:themeColor="text1"/>
                <w:sz w:val="22"/>
                <w:szCs w:val="22"/>
              </w:rPr>
              <w:t>How many participants are expected?</w:t>
            </w:r>
          </w:p>
          <w:p w:rsidR="000A324D" w:rsidRPr="00AE264E" w:rsidRDefault="000A324D" w:rsidP="00C82976">
            <w:pPr>
              <w:rPr>
                <w:rFonts w:ascii="Arial" w:hAnsi="Arial" w:cs="Arial"/>
                <w:color w:val="000000" w:themeColor="text1"/>
                <w:sz w:val="22"/>
                <w:szCs w:val="22"/>
              </w:rPr>
            </w:pPr>
          </w:p>
        </w:tc>
        <w:tc>
          <w:tcPr>
            <w:tcW w:w="3173" w:type="pct"/>
            <w:tcBorders>
              <w:top w:val="single" w:sz="4" w:space="0" w:color="auto"/>
              <w:left w:val="single" w:sz="4" w:space="0" w:color="auto"/>
              <w:bottom w:val="single" w:sz="4" w:space="0" w:color="auto"/>
              <w:right w:val="single" w:sz="4" w:space="0" w:color="auto"/>
            </w:tcBorders>
            <w:vAlign w:val="center"/>
          </w:tcPr>
          <w:p w:rsidR="000A324D" w:rsidRPr="00AE264E" w:rsidRDefault="000A324D" w:rsidP="00C82976">
            <w:pPr>
              <w:rPr>
                <w:rFonts w:ascii="Arial" w:hAnsi="Arial" w:cs="Arial"/>
                <w:color w:val="000000" w:themeColor="text1"/>
                <w:szCs w:val="22"/>
              </w:rPr>
            </w:pPr>
            <w:r w:rsidRPr="00AE264E">
              <w:rPr>
                <w:rFonts w:ascii="Arial" w:hAnsi="Arial" w:cs="Arial"/>
                <w:color w:val="000000" w:themeColor="text1"/>
                <w:sz w:val="22"/>
              </w:rPr>
              <w:t>Ballpark figures are fine but make sure that you explain how you will identify and contact your participants.</w:t>
            </w:r>
          </w:p>
          <w:p w:rsidR="000A324D" w:rsidRPr="00AE264E" w:rsidRDefault="000A324D" w:rsidP="00C82976">
            <w:pPr>
              <w:rPr>
                <w:rFonts w:ascii="Arial" w:hAnsi="Arial" w:cs="Arial"/>
                <w:color w:val="000000" w:themeColor="text1"/>
                <w:sz w:val="22"/>
                <w:szCs w:val="22"/>
              </w:rPr>
            </w:pPr>
          </w:p>
          <w:p w:rsidR="000A324D" w:rsidRPr="00AE264E" w:rsidRDefault="000A324D" w:rsidP="00C82976">
            <w:pPr>
              <w:rPr>
                <w:rFonts w:ascii="Arial" w:hAnsi="Arial" w:cs="Arial"/>
                <w:color w:val="000000" w:themeColor="text1"/>
                <w:sz w:val="22"/>
                <w:szCs w:val="22"/>
              </w:rPr>
            </w:pPr>
          </w:p>
          <w:p w:rsidR="000A324D" w:rsidRPr="00AE264E" w:rsidRDefault="000A324D" w:rsidP="00C82976">
            <w:pPr>
              <w:rPr>
                <w:rFonts w:ascii="Arial" w:hAnsi="Arial" w:cs="Arial"/>
                <w:b/>
                <w:color w:val="000000" w:themeColor="text1"/>
                <w:sz w:val="22"/>
                <w:szCs w:val="22"/>
              </w:rPr>
            </w:pPr>
            <w:r w:rsidRPr="00AE264E">
              <w:rPr>
                <w:rFonts w:ascii="Arial" w:hAnsi="Arial" w:cs="Arial"/>
                <w:i/>
                <w:color w:val="000000" w:themeColor="text1"/>
                <w:sz w:val="18"/>
                <w:szCs w:val="18"/>
              </w:rPr>
              <w:t>(this box should expand as you type)</w:t>
            </w:r>
          </w:p>
        </w:tc>
      </w:tr>
      <w:tr w:rsidR="000A324D" w:rsidRPr="00AE264E" w:rsidTr="00C82976">
        <w:trPr>
          <w:trHeight w:val="403"/>
        </w:trPr>
        <w:tc>
          <w:tcPr>
            <w:tcW w:w="26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A324D" w:rsidRPr="00AE264E" w:rsidRDefault="000A324D" w:rsidP="00C82976">
            <w:pPr>
              <w:jc w:val="center"/>
              <w:rPr>
                <w:rFonts w:ascii="Arial" w:hAnsi="Arial" w:cs="Arial"/>
                <w:color w:val="000000" w:themeColor="text1"/>
                <w:sz w:val="22"/>
                <w:szCs w:val="22"/>
              </w:rPr>
            </w:pPr>
            <w:r w:rsidRPr="00AE264E">
              <w:rPr>
                <w:rFonts w:ascii="Arial" w:hAnsi="Arial" w:cs="Arial"/>
                <w:color w:val="000000" w:themeColor="text1"/>
                <w:sz w:val="22"/>
                <w:szCs w:val="22"/>
              </w:rPr>
              <w:t>11</w:t>
            </w:r>
          </w:p>
        </w:tc>
        <w:tc>
          <w:tcPr>
            <w:tcW w:w="155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A324D" w:rsidRPr="00AE264E" w:rsidRDefault="000A324D" w:rsidP="00C82976">
            <w:pPr>
              <w:rPr>
                <w:rFonts w:ascii="Arial" w:hAnsi="Arial" w:cs="Arial"/>
                <w:color w:val="000000" w:themeColor="text1"/>
                <w:sz w:val="22"/>
                <w:szCs w:val="22"/>
              </w:rPr>
            </w:pPr>
            <w:r w:rsidRPr="00AE264E">
              <w:rPr>
                <w:rFonts w:ascii="Arial" w:hAnsi="Arial" w:cs="Arial"/>
                <w:color w:val="000000" w:themeColor="text1"/>
                <w:sz w:val="22"/>
                <w:szCs w:val="22"/>
              </w:rPr>
              <w:t>Who will the participants be?</w:t>
            </w:r>
          </w:p>
          <w:p w:rsidR="000A324D" w:rsidRPr="00AE264E" w:rsidRDefault="000A324D" w:rsidP="00C82976">
            <w:pPr>
              <w:rPr>
                <w:rFonts w:ascii="Arial" w:hAnsi="Arial" w:cs="Arial"/>
                <w:color w:val="000000" w:themeColor="text1"/>
                <w:sz w:val="22"/>
                <w:szCs w:val="22"/>
              </w:rPr>
            </w:pPr>
          </w:p>
        </w:tc>
        <w:tc>
          <w:tcPr>
            <w:tcW w:w="3173" w:type="pct"/>
            <w:tcBorders>
              <w:top w:val="single" w:sz="4" w:space="0" w:color="auto"/>
              <w:left w:val="single" w:sz="4" w:space="0" w:color="auto"/>
              <w:bottom w:val="single" w:sz="4" w:space="0" w:color="auto"/>
              <w:right w:val="single" w:sz="4" w:space="0" w:color="auto"/>
            </w:tcBorders>
            <w:vAlign w:val="center"/>
          </w:tcPr>
          <w:p w:rsidR="000A324D" w:rsidRPr="00AE264E" w:rsidRDefault="000A324D" w:rsidP="00C82976">
            <w:pPr>
              <w:rPr>
                <w:rFonts w:ascii="Arial" w:hAnsi="Arial" w:cs="Arial"/>
                <w:color w:val="000000" w:themeColor="text1"/>
                <w:sz w:val="22"/>
                <w:szCs w:val="22"/>
              </w:rPr>
            </w:pPr>
          </w:p>
          <w:p w:rsidR="000A324D" w:rsidRPr="00AE264E" w:rsidRDefault="000A324D" w:rsidP="00C82976">
            <w:pPr>
              <w:rPr>
                <w:rFonts w:ascii="Arial" w:hAnsi="Arial" w:cs="Arial"/>
                <w:color w:val="000000" w:themeColor="text1"/>
                <w:sz w:val="22"/>
                <w:szCs w:val="22"/>
              </w:rPr>
            </w:pPr>
          </w:p>
          <w:p w:rsidR="000A324D" w:rsidRPr="00AE264E" w:rsidRDefault="000A324D" w:rsidP="00C82976">
            <w:pPr>
              <w:rPr>
                <w:rFonts w:ascii="Arial" w:hAnsi="Arial" w:cs="Arial"/>
                <w:color w:val="000000" w:themeColor="text1"/>
                <w:sz w:val="22"/>
                <w:szCs w:val="22"/>
              </w:rPr>
            </w:pPr>
          </w:p>
          <w:p w:rsidR="000A324D" w:rsidRPr="00AE264E" w:rsidRDefault="000A324D" w:rsidP="00C82976">
            <w:pPr>
              <w:rPr>
                <w:rFonts w:ascii="Arial" w:hAnsi="Arial" w:cs="Arial"/>
                <w:i/>
                <w:color w:val="000000" w:themeColor="text1"/>
                <w:sz w:val="18"/>
                <w:szCs w:val="18"/>
              </w:rPr>
            </w:pPr>
            <w:r w:rsidRPr="00AE264E">
              <w:rPr>
                <w:rFonts w:ascii="Arial" w:hAnsi="Arial" w:cs="Arial"/>
                <w:i/>
                <w:color w:val="000000" w:themeColor="text1"/>
                <w:sz w:val="18"/>
                <w:szCs w:val="18"/>
              </w:rPr>
              <w:t>(this box should expand as you type)</w:t>
            </w:r>
          </w:p>
        </w:tc>
      </w:tr>
      <w:tr w:rsidR="000A324D" w:rsidRPr="00AE264E" w:rsidTr="00C82976">
        <w:trPr>
          <w:trHeight w:val="672"/>
        </w:trPr>
        <w:tc>
          <w:tcPr>
            <w:tcW w:w="269" w:type="pct"/>
            <w:tcBorders>
              <w:top w:val="single" w:sz="4" w:space="0" w:color="auto"/>
            </w:tcBorders>
            <w:shd w:val="clear" w:color="auto" w:fill="F2F2F2" w:themeFill="background1" w:themeFillShade="F2"/>
            <w:vAlign w:val="center"/>
          </w:tcPr>
          <w:p w:rsidR="000A324D" w:rsidRPr="00AE264E" w:rsidRDefault="000A324D" w:rsidP="00C82976">
            <w:pPr>
              <w:jc w:val="center"/>
              <w:rPr>
                <w:rFonts w:ascii="Arial" w:hAnsi="Arial" w:cs="Arial"/>
                <w:color w:val="000000" w:themeColor="text1"/>
                <w:sz w:val="22"/>
                <w:szCs w:val="22"/>
              </w:rPr>
            </w:pPr>
            <w:r w:rsidRPr="00AE264E">
              <w:rPr>
                <w:rFonts w:ascii="Arial" w:hAnsi="Arial" w:cs="Arial"/>
                <w:color w:val="000000" w:themeColor="text1"/>
                <w:sz w:val="22"/>
                <w:szCs w:val="22"/>
              </w:rPr>
              <w:t>12</w:t>
            </w:r>
          </w:p>
        </w:tc>
        <w:tc>
          <w:tcPr>
            <w:tcW w:w="1558" w:type="pct"/>
            <w:tcBorders>
              <w:top w:val="single" w:sz="4" w:space="0" w:color="auto"/>
            </w:tcBorders>
            <w:shd w:val="clear" w:color="auto" w:fill="F2F2F2" w:themeFill="background1" w:themeFillShade="F2"/>
            <w:vAlign w:val="center"/>
          </w:tcPr>
          <w:p w:rsidR="000A324D" w:rsidRPr="00AE264E" w:rsidRDefault="000A324D" w:rsidP="00C82976">
            <w:pPr>
              <w:rPr>
                <w:rFonts w:ascii="Arial" w:hAnsi="Arial" w:cs="Arial"/>
                <w:color w:val="000000" w:themeColor="text1"/>
                <w:sz w:val="22"/>
                <w:szCs w:val="22"/>
              </w:rPr>
            </w:pPr>
            <w:r w:rsidRPr="00AE264E">
              <w:rPr>
                <w:rFonts w:ascii="Arial" w:hAnsi="Arial" w:cs="Arial"/>
                <w:color w:val="000000" w:themeColor="text1"/>
                <w:sz w:val="22"/>
                <w:szCs w:val="22"/>
              </w:rPr>
              <w:t>How will you identify the participants?</w:t>
            </w:r>
          </w:p>
        </w:tc>
        <w:tc>
          <w:tcPr>
            <w:tcW w:w="3173" w:type="pct"/>
            <w:tcBorders>
              <w:top w:val="single" w:sz="4" w:space="0" w:color="auto"/>
            </w:tcBorders>
            <w:vAlign w:val="center"/>
          </w:tcPr>
          <w:p w:rsidR="000A324D" w:rsidRPr="00AE264E" w:rsidRDefault="000A324D" w:rsidP="00C82976">
            <w:pPr>
              <w:rPr>
                <w:rFonts w:ascii="Arial" w:hAnsi="Arial" w:cs="Arial"/>
                <w:color w:val="000000" w:themeColor="text1"/>
                <w:sz w:val="22"/>
                <w:szCs w:val="22"/>
              </w:rPr>
            </w:pPr>
          </w:p>
          <w:p w:rsidR="000A324D" w:rsidRPr="00AE264E" w:rsidRDefault="000A324D" w:rsidP="00C82976">
            <w:pPr>
              <w:rPr>
                <w:rFonts w:ascii="Arial" w:hAnsi="Arial" w:cs="Arial"/>
                <w:color w:val="000000" w:themeColor="text1"/>
                <w:sz w:val="22"/>
                <w:szCs w:val="22"/>
              </w:rPr>
            </w:pPr>
          </w:p>
          <w:p w:rsidR="000A324D" w:rsidRPr="00AE264E" w:rsidRDefault="000A324D" w:rsidP="00C82976">
            <w:pPr>
              <w:rPr>
                <w:rFonts w:ascii="Arial" w:hAnsi="Arial" w:cs="Arial"/>
                <w:color w:val="000000" w:themeColor="text1"/>
                <w:sz w:val="22"/>
                <w:szCs w:val="22"/>
              </w:rPr>
            </w:pPr>
          </w:p>
          <w:p w:rsidR="000A324D" w:rsidRPr="00AE264E" w:rsidRDefault="000A324D" w:rsidP="00C82976">
            <w:pPr>
              <w:rPr>
                <w:rFonts w:ascii="Arial" w:hAnsi="Arial" w:cs="Arial"/>
                <w:color w:val="000000" w:themeColor="text1"/>
                <w:sz w:val="18"/>
                <w:szCs w:val="18"/>
              </w:rPr>
            </w:pPr>
            <w:r w:rsidRPr="00AE264E">
              <w:rPr>
                <w:rFonts w:ascii="Arial" w:hAnsi="Arial" w:cs="Arial"/>
                <w:i/>
                <w:color w:val="000000" w:themeColor="text1"/>
                <w:sz w:val="18"/>
                <w:szCs w:val="18"/>
              </w:rPr>
              <w:t>(this box should expand as you type)</w:t>
            </w:r>
          </w:p>
        </w:tc>
      </w:tr>
    </w:tbl>
    <w:p w:rsidR="000A324D" w:rsidRPr="00AE264E" w:rsidRDefault="000A324D" w:rsidP="000A324D">
      <w:pPr>
        <w:rPr>
          <w:color w:val="000000" w:themeColor="text1"/>
        </w:rPr>
      </w:pPr>
    </w:p>
    <w:tbl>
      <w:tblPr>
        <w:tblStyle w:val="TableGrid"/>
        <w:tblW w:w="5000" w:type="pct"/>
        <w:tblLook w:val="04A0" w:firstRow="1" w:lastRow="0" w:firstColumn="1" w:lastColumn="0" w:noHBand="0" w:noVBand="1"/>
      </w:tblPr>
      <w:tblGrid>
        <w:gridCol w:w="484"/>
        <w:gridCol w:w="6097"/>
        <w:gridCol w:w="853"/>
        <w:gridCol w:w="732"/>
        <w:gridCol w:w="853"/>
      </w:tblGrid>
      <w:tr w:rsidR="000A324D" w:rsidRPr="00AE264E" w:rsidTr="00C82976">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bCs/>
                <w:color w:val="000000" w:themeColor="text1"/>
                <w:sz w:val="22"/>
                <w:szCs w:val="22"/>
              </w:rPr>
            </w:pPr>
          </w:p>
        </w:tc>
        <w:tc>
          <w:tcPr>
            <w:tcW w:w="3380" w:type="pct"/>
            <w:shd w:val="clear" w:color="auto" w:fill="F2F2F2" w:themeFill="background1" w:themeFillShade="F2"/>
          </w:tcPr>
          <w:p w:rsidR="000A324D" w:rsidRPr="00AE264E" w:rsidRDefault="000A324D" w:rsidP="00AE264E">
            <w:pPr>
              <w:autoSpaceDE w:val="0"/>
              <w:autoSpaceDN w:val="0"/>
              <w:adjustRightInd w:val="0"/>
              <w:rPr>
                <w:rFonts w:ascii="Arial" w:hAnsi="Arial" w:cs="Arial"/>
                <w:b/>
                <w:color w:val="000000" w:themeColor="text1"/>
                <w:sz w:val="22"/>
                <w:szCs w:val="22"/>
              </w:rPr>
            </w:pPr>
            <w:r w:rsidRPr="00AE264E">
              <w:rPr>
                <w:rFonts w:ascii="Arial" w:hAnsi="Arial" w:cs="Arial"/>
                <w:b/>
                <w:color w:val="000000" w:themeColor="text1"/>
                <w:sz w:val="22"/>
                <w:szCs w:val="22"/>
              </w:rPr>
              <w:t>Information for participants:</w:t>
            </w:r>
          </w:p>
        </w:tc>
        <w:tc>
          <w:tcPr>
            <w:tcW w:w="473" w:type="pct"/>
            <w:shd w:val="clear" w:color="auto" w:fill="F2F2F2" w:themeFill="background1" w:themeFillShade="F2"/>
            <w:vAlign w:val="bottom"/>
          </w:tcPr>
          <w:p w:rsidR="000A324D" w:rsidRPr="00AE264E" w:rsidRDefault="000A324D" w:rsidP="00AE264E">
            <w:pPr>
              <w:autoSpaceDE w:val="0"/>
              <w:autoSpaceDN w:val="0"/>
              <w:adjustRightInd w:val="0"/>
              <w:jc w:val="center"/>
              <w:rPr>
                <w:rFonts w:ascii="Arial" w:hAnsi="Arial" w:cs="Arial"/>
                <w:b/>
                <w:bCs/>
                <w:color w:val="000000" w:themeColor="text1"/>
                <w:sz w:val="16"/>
                <w:szCs w:val="16"/>
              </w:rPr>
            </w:pPr>
          </w:p>
          <w:p w:rsidR="000A324D" w:rsidRPr="00AE264E" w:rsidRDefault="000A324D" w:rsidP="00AE264E">
            <w:pPr>
              <w:autoSpaceDE w:val="0"/>
              <w:autoSpaceDN w:val="0"/>
              <w:adjustRightInd w:val="0"/>
              <w:jc w:val="center"/>
              <w:rPr>
                <w:rFonts w:ascii="Arial" w:hAnsi="Arial" w:cs="Arial"/>
                <w:b/>
                <w:bCs/>
                <w:color w:val="000000" w:themeColor="text1"/>
                <w:sz w:val="22"/>
                <w:szCs w:val="22"/>
              </w:rPr>
            </w:pPr>
            <w:r w:rsidRPr="00AE264E">
              <w:rPr>
                <w:rFonts w:ascii="Arial" w:hAnsi="Arial" w:cs="Arial"/>
                <w:b/>
                <w:bCs/>
                <w:color w:val="000000" w:themeColor="text1"/>
                <w:sz w:val="22"/>
                <w:szCs w:val="22"/>
              </w:rPr>
              <w:t>YES</w:t>
            </w:r>
          </w:p>
        </w:tc>
        <w:tc>
          <w:tcPr>
            <w:tcW w:w="406" w:type="pct"/>
            <w:shd w:val="clear" w:color="auto" w:fill="F2F2F2" w:themeFill="background1" w:themeFillShade="F2"/>
            <w:vAlign w:val="bottom"/>
          </w:tcPr>
          <w:p w:rsidR="000A324D" w:rsidRPr="00AE264E" w:rsidRDefault="000A324D" w:rsidP="00AE264E">
            <w:pPr>
              <w:autoSpaceDE w:val="0"/>
              <w:autoSpaceDN w:val="0"/>
              <w:adjustRightInd w:val="0"/>
              <w:jc w:val="center"/>
              <w:rPr>
                <w:rFonts w:ascii="Arial" w:hAnsi="Arial" w:cs="Arial"/>
                <w:b/>
                <w:bCs/>
                <w:color w:val="000000" w:themeColor="text1"/>
                <w:sz w:val="22"/>
                <w:szCs w:val="22"/>
              </w:rPr>
            </w:pPr>
            <w:r w:rsidRPr="00AE264E">
              <w:rPr>
                <w:rFonts w:ascii="Arial" w:hAnsi="Arial" w:cs="Arial"/>
                <w:b/>
                <w:bCs/>
                <w:color w:val="000000" w:themeColor="text1"/>
                <w:sz w:val="22"/>
                <w:szCs w:val="22"/>
              </w:rPr>
              <w:t>NO</w:t>
            </w:r>
          </w:p>
        </w:tc>
        <w:tc>
          <w:tcPr>
            <w:tcW w:w="473" w:type="pct"/>
            <w:shd w:val="clear" w:color="auto" w:fill="F2F2F2" w:themeFill="background1" w:themeFillShade="F2"/>
          </w:tcPr>
          <w:p w:rsidR="000A324D" w:rsidRPr="00AE264E" w:rsidRDefault="000A324D" w:rsidP="00AE264E">
            <w:pPr>
              <w:autoSpaceDE w:val="0"/>
              <w:autoSpaceDN w:val="0"/>
              <w:adjustRightInd w:val="0"/>
              <w:jc w:val="center"/>
              <w:rPr>
                <w:rFonts w:ascii="Arial" w:hAnsi="Arial" w:cs="Arial"/>
                <w:b/>
                <w:bCs/>
                <w:color w:val="000000" w:themeColor="text1"/>
                <w:sz w:val="16"/>
                <w:szCs w:val="16"/>
              </w:rPr>
            </w:pPr>
          </w:p>
          <w:p w:rsidR="000A324D" w:rsidRPr="00AE264E" w:rsidRDefault="000A324D" w:rsidP="00AE264E">
            <w:pPr>
              <w:autoSpaceDE w:val="0"/>
              <w:autoSpaceDN w:val="0"/>
              <w:adjustRightInd w:val="0"/>
              <w:jc w:val="center"/>
              <w:rPr>
                <w:rFonts w:ascii="Arial" w:hAnsi="Arial" w:cs="Arial"/>
                <w:b/>
                <w:bCs/>
                <w:color w:val="000000" w:themeColor="text1"/>
                <w:sz w:val="22"/>
                <w:szCs w:val="22"/>
              </w:rPr>
            </w:pPr>
            <w:r w:rsidRPr="00AE264E">
              <w:rPr>
                <w:rFonts w:ascii="Arial" w:hAnsi="Arial" w:cs="Arial"/>
                <w:b/>
                <w:bCs/>
                <w:color w:val="000000" w:themeColor="text1"/>
                <w:sz w:val="22"/>
                <w:szCs w:val="22"/>
              </w:rPr>
              <w:t>N/A</w:t>
            </w:r>
          </w:p>
        </w:tc>
      </w:tr>
      <w:tr w:rsidR="000A324D" w:rsidRPr="00AE264E" w:rsidTr="00C82976">
        <w:trPr>
          <w:trHeight w:val="439"/>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13</w:t>
            </w:r>
          </w:p>
        </w:tc>
        <w:tc>
          <w:tcPr>
            <w:tcW w:w="3380"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Will you describe the main research procedures to participants in advance, so that they are informed about what to expect?</w:t>
            </w:r>
          </w:p>
        </w:tc>
        <w:tc>
          <w:tcPr>
            <w:tcW w:w="473" w:type="pct"/>
            <w:shd w:val="clear" w:color="auto" w:fill="BFBFBF" w:themeFill="background1" w:themeFillShade="BF"/>
            <w:vAlign w:val="center"/>
          </w:tcPr>
          <w:sdt>
            <w:sdtPr>
              <w:rPr>
                <w:rFonts w:ascii="Arial" w:hAnsi="Arial" w:cs="Arial"/>
                <w:b/>
                <w:bCs/>
                <w:color w:val="000000" w:themeColor="text1"/>
                <w:sz w:val="22"/>
                <w:szCs w:val="22"/>
              </w:rPr>
              <w:id w:val="638854427"/>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06" w:type="pct"/>
            <w:shd w:val="clear" w:color="auto" w:fill="BFBFBF" w:themeFill="background1" w:themeFillShade="BF"/>
            <w:vAlign w:val="center"/>
          </w:tcPr>
          <w:sdt>
            <w:sdtPr>
              <w:rPr>
                <w:rFonts w:ascii="Arial" w:hAnsi="Arial" w:cs="Arial"/>
                <w:b/>
                <w:bCs/>
                <w:color w:val="000000" w:themeColor="text1"/>
                <w:sz w:val="22"/>
                <w:szCs w:val="22"/>
              </w:rPr>
              <w:id w:val="1838415725"/>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73" w:type="pct"/>
            <w:shd w:val="clear" w:color="auto" w:fill="BFBFBF" w:themeFill="background1" w:themeFillShade="BF"/>
            <w:vAlign w:val="center"/>
          </w:tcPr>
          <w:sdt>
            <w:sdtPr>
              <w:rPr>
                <w:rFonts w:ascii="Arial" w:hAnsi="Arial" w:cs="Arial"/>
                <w:b/>
                <w:bCs/>
                <w:color w:val="000000" w:themeColor="text1"/>
                <w:sz w:val="22"/>
                <w:szCs w:val="22"/>
              </w:rPr>
              <w:id w:val="2018272357"/>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14</w:t>
            </w:r>
          </w:p>
        </w:tc>
        <w:tc>
          <w:tcPr>
            <w:tcW w:w="3380"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Will you tell participants that their participation is voluntary?</w:t>
            </w:r>
          </w:p>
        </w:tc>
        <w:tc>
          <w:tcPr>
            <w:tcW w:w="473" w:type="pct"/>
            <w:shd w:val="clear" w:color="auto" w:fill="BFBFBF" w:themeFill="background1" w:themeFillShade="BF"/>
            <w:vAlign w:val="center"/>
          </w:tcPr>
          <w:sdt>
            <w:sdtPr>
              <w:rPr>
                <w:rFonts w:ascii="Arial" w:hAnsi="Arial" w:cs="Arial"/>
                <w:b/>
                <w:bCs/>
                <w:color w:val="000000" w:themeColor="text1"/>
                <w:sz w:val="22"/>
                <w:szCs w:val="22"/>
              </w:rPr>
              <w:id w:val="1917978816"/>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06" w:type="pct"/>
            <w:shd w:val="clear" w:color="auto" w:fill="BFBFBF" w:themeFill="background1" w:themeFillShade="BF"/>
            <w:vAlign w:val="center"/>
          </w:tcPr>
          <w:sdt>
            <w:sdtPr>
              <w:rPr>
                <w:rFonts w:ascii="Arial" w:hAnsi="Arial" w:cs="Arial"/>
                <w:b/>
                <w:bCs/>
                <w:color w:val="000000" w:themeColor="text1"/>
                <w:sz w:val="22"/>
                <w:szCs w:val="22"/>
              </w:rPr>
              <w:id w:val="266745090"/>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73" w:type="pct"/>
            <w:shd w:val="clear" w:color="auto" w:fill="BFBFBF" w:themeFill="background1" w:themeFillShade="BF"/>
            <w:vAlign w:val="center"/>
          </w:tcPr>
          <w:sdt>
            <w:sdtPr>
              <w:rPr>
                <w:rFonts w:ascii="Arial" w:hAnsi="Arial" w:cs="Arial"/>
                <w:b/>
                <w:bCs/>
                <w:color w:val="000000" w:themeColor="text1"/>
                <w:sz w:val="22"/>
                <w:szCs w:val="22"/>
              </w:rPr>
              <w:id w:val="1964613576"/>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39"/>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15</w:t>
            </w:r>
          </w:p>
        </w:tc>
        <w:tc>
          <w:tcPr>
            <w:tcW w:w="3380"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Will you obtain written consent for participation?</w:t>
            </w:r>
          </w:p>
        </w:tc>
        <w:tc>
          <w:tcPr>
            <w:tcW w:w="473" w:type="pct"/>
            <w:shd w:val="clear" w:color="auto" w:fill="BFBFBF" w:themeFill="background1" w:themeFillShade="BF"/>
            <w:vAlign w:val="center"/>
          </w:tcPr>
          <w:sdt>
            <w:sdtPr>
              <w:rPr>
                <w:rFonts w:ascii="Arial" w:hAnsi="Arial" w:cs="Arial"/>
                <w:b/>
                <w:bCs/>
                <w:color w:val="000000" w:themeColor="text1"/>
                <w:sz w:val="22"/>
                <w:szCs w:val="22"/>
              </w:rPr>
              <w:id w:val="173071009"/>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06" w:type="pct"/>
            <w:shd w:val="clear" w:color="auto" w:fill="BFBFBF" w:themeFill="background1" w:themeFillShade="BF"/>
            <w:vAlign w:val="center"/>
          </w:tcPr>
          <w:sdt>
            <w:sdtPr>
              <w:rPr>
                <w:rFonts w:ascii="Arial" w:hAnsi="Arial" w:cs="Arial"/>
                <w:b/>
                <w:bCs/>
                <w:color w:val="000000" w:themeColor="text1"/>
                <w:sz w:val="22"/>
                <w:szCs w:val="22"/>
              </w:rPr>
              <w:id w:val="1777214799"/>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73" w:type="pct"/>
            <w:shd w:val="clear" w:color="auto" w:fill="BFBFBF" w:themeFill="background1" w:themeFillShade="BF"/>
            <w:vAlign w:val="center"/>
          </w:tcPr>
          <w:sdt>
            <w:sdtPr>
              <w:rPr>
                <w:rFonts w:ascii="Arial" w:hAnsi="Arial" w:cs="Arial"/>
                <w:b/>
                <w:bCs/>
                <w:color w:val="000000" w:themeColor="text1"/>
                <w:sz w:val="22"/>
                <w:szCs w:val="22"/>
              </w:rPr>
              <w:id w:val="-2046200750"/>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16</w:t>
            </w:r>
          </w:p>
        </w:tc>
        <w:tc>
          <w:tcPr>
            <w:tcW w:w="3380"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Will you explain to participants that refusal to participate in the research will not affect their treatment or education (if relevant)?</w:t>
            </w:r>
          </w:p>
        </w:tc>
        <w:tc>
          <w:tcPr>
            <w:tcW w:w="473" w:type="pct"/>
            <w:shd w:val="clear" w:color="auto" w:fill="BFBFBF" w:themeFill="background1" w:themeFillShade="BF"/>
            <w:vAlign w:val="center"/>
          </w:tcPr>
          <w:sdt>
            <w:sdtPr>
              <w:rPr>
                <w:rFonts w:ascii="Arial" w:hAnsi="Arial" w:cs="Arial"/>
                <w:b/>
                <w:bCs/>
                <w:color w:val="000000" w:themeColor="text1"/>
                <w:sz w:val="22"/>
                <w:szCs w:val="22"/>
              </w:rPr>
              <w:id w:val="1907947677"/>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06" w:type="pct"/>
            <w:shd w:val="clear" w:color="auto" w:fill="BFBFBF" w:themeFill="background1" w:themeFillShade="BF"/>
            <w:vAlign w:val="center"/>
          </w:tcPr>
          <w:sdt>
            <w:sdtPr>
              <w:rPr>
                <w:rFonts w:ascii="Arial" w:hAnsi="Arial" w:cs="Arial"/>
                <w:b/>
                <w:bCs/>
                <w:color w:val="000000" w:themeColor="text1"/>
                <w:sz w:val="22"/>
                <w:szCs w:val="22"/>
              </w:rPr>
              <w:id w:val="-1997954874"/>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73" w:type="pct"/>
            <w:shd w:val="clear" w:color="auto" w:fill="BFBFBF" w:themeFill="background1" w:themeFillShade="BF"/>
            <w:vAlign w:val="center"/>
          </w:tcPr>
          <w:sdt>
            <w:sdtPr>
              <w:rPr>
                <w:rFonts w:ascii="Arial" w:hAnsi="Arial" w:cs="Arial"/>
                <w:b/>
                <w:bCs/>
                <w:color w:val="000000" w:themeColor="text1"/>
                <w:sz w:val="22"/>
                <w:szCs w:val="22"/>
              </w:rPr>
              <w:id w:val="833887313"/>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39"/>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17</w:t>
            </w:r>
          </w:p>
        </w:tc>
        <w:tc>
          <w:tcPr>
            <w:tcW w:w="3380"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If the research is observational, will you ask participants for their consent to being observed?</w:t>
            </w:r>
          </w:p>
        </w:tc>
        <w:tc>
          <w:tcPr>
            <w:tcW w:w="473" w:type="pct"/>
            <w:shd w:val="clear" w:color="auto" w:fill="BFBFBF" w:themeFill="background1" w:themeFillShade="BF"/>
            <w:vAlign w:val="center"/>
          </w:tcPr>
          <w:sdt>
            <w:sdtPr>
              <w:rPr>
                <w:rFonts w:ascii="Arial" w:hAnsi="Arial" w:cs="Arial"/>
                <w:b/>
                <w:bCs/>
                <w:color w:val="000000" w:themeColor="text1"/>
                <w:sz w:val="22"/>
                <w:szCs w:val="22"/>
              </w:rPr>
              <w:id w:val="-65498961"/>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06" w:type="pct"/>
            <w:shd w:val="clear" w:color="auto" w:fill="BFBFBF" w:themeFill="background1" w:themeFillShade="BF"/>
            <w:vAlign w:val="center"/>
          </w:tcPr>
          <w:sdt>
            <w:sdtPr>
              <w:rPr>
                <w:rFonts w:ascii="Arial" w:hAnsi="Arial" w:cs="Arial"/>
                <w:b/>
                <w:bCs/>
                <w:color w:val="000000" w:themeColor="text1"/>
                <w:sz w:val="22"/>
                <w:szCs w:val="22"/>
              </w:rPr>
              <w:id w:val="-327907113"/>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73" w:type="pct"/>
            <w:shd w:val="clear" w:color="auto" w:fill="BFBFBF" w:themeFill="background1" w:themeFillShade="BF"/>
            <w:vAlign w:val="center"/>
          </w:tcPr>
          <w:sdt>
            <w:sdtPr>
              <w:rPr>
                <w:rFonts w:ascii="Arial" w:hAnsi="Arial" w:cs="Arial"/>
                <w:b/>
                <w:bCs/>
                <w:color w:val="000000" w:themeColor="text1"/>
                <w:sz w:val="22"/>
                <w:szCs w:val="22"/>
              </w:rPr>
              <w:id w:val="-843242132"/>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18</w:t>
            </w:r>
          </w:p>
        </w:tc>
        <w:tc>
          <w:tcPr>
            <w:tcW w:w="3380"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Will you tell participants that they may withdraw from the research at any time and for any reason?</w:t>
            </w:r>
          </w:p>
        </w:tc>
        <w:tc>
          <w:tcPr>
            <w:tcW w:w="473" w:type="pct"/>
            <w:shd w:val="clear" w:color="auto" w:fill="BFBFBF" w:themeFill="background1" w:themeFillShade="BF"/>
            <w:vAlign w:val="center"/>
          </w:tcPr>
          <w:sdt>
            <w:sdtPr>
              <w:rPr>
                <w:rFonts w:ascii="Arial" w:hAnsi="Arial" w:cs="Arial"/>
                <w:b/>
                <w:bCs/>
                <w:color w:val="000000" w:themeColor="text1"/>
                <w:sz w:val="22"/>
                <w:szCs w:val="22"/>
              </w:rPr>
              <w:id w:val="-1689744163"/>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06" w:type="pct"/>
            <w:shd w:val="clear" w:color="auto" w:fill="BFBFBF" w:themeFill="background1" w:themeFillShade="BF"/>
            <w:vAlign w:val="center"/>
          </w:tcPr>
          <w:sdt>
            <w:sdtPr>
              <w:rPr>
                <w:rFonts w:ascii="Arial" w:hAnsi="Arial" w:cs="Arial"/>
                <w:b/>
                <w:bCs/>
                <w:color w:val="000000" w:themeColor="text1"/>
                <w:sz w:val="22"/>
                <w:szCs w:val="22"/>
              </w:rPr>
              <w:id w:val="-1160307203"/>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73" w:type="pct"/>
            <w:shd w:val="clear" w:color="auto" w:fill="BFBFBF" w:themeFill="background1" w:themeFillShade="BF"/>
            <w:vAlign w:val="center"/>
          </w:tcPr>
          <w:sdt>
            <w:sdtPr>
              <w:rPr>
                <w:rFonts w:ascii="Arial" w:hAnsi="Arial" w:cs="Arial"/>
                <w:b/>
                <w:bCs/>
                <w:color w:val="000000" w:themeColor="text1"/>
                <w:sz w:val="22"/>
                <w:szCs w:val="22"/>
              </w:rPr>
              <w:id w:val="-270004211"/>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39"/>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19</w:t>
            </w:r>
          </w:p>
        </w:tc>
        <w:tc>
          <w:tcPr>
            <w:tcW w:w="3380"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With questionnaires, will you give participants the option of omitting questions they do not want to answer?</w:t>
            </w:r>
          </w:p>
        </w:tc>
        <w:tc>
          <w:tcPr>
            <w:tcW w:w="473" w:type="pct"/>
            <w:shd w:val="clear" w:color="auto" w:fill="BFBFBF" w:themeFill="background1" w:themeFillShade="BF"/>
            <w:vAlign w:val="center"/>
          </w:tcPr>
          <w:sdt>
            <w:sdtPr>
              <w:rPr>
                <w:rFonts w:ascii="Arial" w:hAnsi="Arial" w:cs="Arial"/>
                <w:b/>
                <w:bCs/>
                <w:color w:val="000000" w:themeColor="text1"/>
                <w:sz w:val="22"/>
                <w:szCs w:val="22"/>
              </w:rPr>
              <w:id w:val="-120004605"/>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06" w:type="pct"/>
            <w:shd w:val="clear" w:color="auto" w:fill="BFBFBF" w:themeFill="background1" w:themeFillShade="BF"/>
            <w:vAlign w:val="center"/>
          </w:tcPr>
          <w:sdt>
            <w:sdtPr>
              <w:rPr>
                <w:rFonts w:ascii="Arial" w:hAnsi="Arial" w:cs="Arial"/>
                <w:b/>
                <w:bCs/>
                <w:color w:val="000000" w:themeColor="text1"/>
                <w:sz w:val="22"/>
                <w:szCs w:val="22"/>
              </w:rPr>
              <w:id w:val="-502748247"/>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73" w:type="pct"/>
            <w:shd w:val="clear" w:color="auto" w:fill="BFBFBF" w:themeFill="background1" w:themeFillShade="BF"/>
            <w:vAlign w:val="center"/>
          </w:tcPr>
          <w:sdt>
            <w:sdtPr>
              <w:rPr>
                <w:rFonts w:ascii="Arial" w:hAnsi="Arial" w:cs="Arial"/>
                <w:b/>
                <w:bCs/>
                <w:color w:val="000000" w:themeColor="text1"/>
                <w:sz w:val="22"/>
                <w:szCs w:val="22"/>
              </w:rPr>
              <w:id w:val="196125454"/>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20</w:t>
            </w:r>
          </w:p>
        </w:tc>
        <w:tc>
          <w:tcPr>
            <w:tcW w:w="3380"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Will you tell participants that their data will be treated with full confidentiality and that, if published, it will not be identifiable as theirs?</w:t>
            </w:r>
          </w:p>
        </w:tc>
        <w:tc>
          <w:tcPr>
            <w:tcW w:w="473" w:type="pct"/>
            <w:shd w:val="clear" w:color="auto" w:fill="BFBFBF" w:themeFill="background1" w:themeFillShade="BF"/>
            <w:vAlign w:val="center"/>
          </w:tcPr>
          <w:sdt>
            <w:sdtPr>
              <w:rPr>
                <w:rFonts w:ascii="Arial" w:hAnsi="Arial" w:cs="Arial"/>
                <w:b/>
                <w:bCs/>
                <w:color w:val="000000" w:themeColor="text1"/>
                <w:sz w:val="22"/>
                <w:szCs w:val="22"/>
              </w:rPr>
              <w:id w:val="96221617"/>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06" w:type="pct"/>
            <w:shd w:val="clear" w:color="auto" w:fill="BFBFBF" w:themeFill="background1" w:themeFillShade="BF"/>
            <w:vAlign w:val="center"/>
          </w:tcPr>
          <w:sdt>
            <w:sdtPr>
              <w:rPr>
                <w:rFonts w:ascii="Arial" w:hAnsi="Arial" w:cs="Arial"/>
                <w:b/>
                <w:bCs/>
                <w:color w:val="000000" w:themeColor="text1"/>
                <w:sz w:val="22"/>
                <w:szCs w:val="22"/>
              </w:rPr>
              <w:id w:val="-715357891"/>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73" w:type="pct"/>
            <w:shd w:val="clear" w:color="auto" w:fill="BFBFBF" w:themeFill="background1" w:themeFillShade="BF"/>
            <w:vAlign w:val="center"/>
          </w:tcPr>
          <w:sdt>
            <w:sdtPr>
              <w:rPr>
                <w:rFonts w:ascii="Arial" w:hAnsi="Arial" w:cs="Arial"/>
                <w:b/>
                <w:bCs/>
                <w:color w:val="000000" w:themeColor="text1"/>
                <w:sz w:val="22"/>
                <w:szCs w:val="22"/>
              </w:rPr>
              <w:id w:val="-861819308"/>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39"/>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21</w:t>
            </w:r>
          </w:p>
        </w:tc>
        <w:tc>
          <w:tcPr>
            <w:tcW w:w="3380"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Will you debrief participants at the end of their participation, in a way appropriate to the type of research undertaken?</w:t>
            </w:r>
          </w:p>
        </w:tc>
        <w:tc>
          <w:tcPr>
            <w:tcW w:w="473" w:type="pct"/>
            <w:shd w:val="clear" w:color="auto" w:fill="BFBFBF" w:themeFill="background1" w:themeFillShade="BF"/>
            <w:vAlign w:val="center"/>
          </w:tcPr>
          <w:sdt>
            <w:sdtPr>
              <w:rPr>
                <w:rFonts w:ascii="Arial" w:hAnsi="Arial" w:cs="Arial"/>
                <w:b/>
                <w:bCs/>
                <w:color w:val="000000" w:themeColor="text1"/>
                <w:sz w:val="22"/>
                <w:szCs w:val="22"/>
              </w:rPr>
              <w:id w:val="1507015635"/>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06" w:type="pct"/>
            <w:shd w:val="clear" w:color="auto" w:fill="BFBFBF" w:themeFill="background1" w:themeFillShade="BF"/>
            <w:vAlign w:val="center"/>
          </w:tcPr>
          <w:sdt>
            <w:sdtPr>
              <w:rPr>
                <w:rFonts w:ascii="Arial" w:hAnsi="Arial" w:cs="Arial"/>
                <w:b/>
                <w:bCs/>
                <w:color w:val="000000" w:themeColor="text1"/>
                <w:sz w:val="22"/>
                <w:szCs w:val="22"/>
              </w:rPr>
              <w:id w:val="282701375"/>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73" w:type="pct"/>
            <w:shd w:val="clear" w:color="auto" w:fill="BFBFBF" w:themeFill="background1" w:themeFillShade="BF"/>
            <w:vAlign w:val="center"/>
          </w:tcPr>
          <w:sdt>
            <w:sdtPr>
              <w:rPr>
                <w:rFonts w:ascii="Arial" w:hAnsi="Arial" w:cs="Arial"/>
                <w:b/>
                <w:bCs/>
                <w:color w:val="000000" w:themeColor="text1"/>
                <w:sz w:val="22"/>
                <w:szCs w:val="22"/>
              </w:rPr>
              <w:id w:val="-1075428902"/>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8" w:type="pct"/>
            <w:tcBorders>
              <w:bottom w:val="single" w:sz="4" w:space="0" w:color="auto"/>
            </w:tcBorders>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22</w:t>
            </w:r>
          </w:p>
        </w:tc>
        <w:tc>
          <w:tcPr>
            <w:tcW w:w="4732" w:type="pct"/>
            <w:gridSpan w:val="4"/>
            <w:tcBorders>
              <w:bottom w:val="single" w:sz="4" w:space="0" w:color="auto"/>
            </w:tcBorders>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 xml:space="preserve">If NOto any of above questions, please give an explanation </w:t>
            </w:r>
          </w:p>
        </w:tc>
      </w:tr>
      <w:tr w:rsidR="000A324D" w:rsidRPr="00AE264E" w:rsidTr="00C82976">
        <w:trPr>
          <w:trHeight w:val="403"/>
        </w:trPr>
        <w:tc>
          <w:tcPr>
            <w:tcW w:w="268" w:type="pct"/>
            <w:vAlign w:val="center"/>
          </w:tcPr>
          <w:p w:rsidR="000A324D" w:rsidRPr="00AE264E" w:rsidRDefault="000A324D" w:rsidP="00AE264E">
            <w:pPr>
              <w:jc w:val="center"/>
              <w:rPr>
                <w:rFonts w:ascii="Arial" w:hAnsi="Arial" w:cs="Arial"/>
                <w:color w:val="000000" w:themeColor="text1"/>
                <w:sz w:val="22"/>
                <w:szCs w:val="22"/>
              </w:rPr>
            </w:pPr>
          </w:p>
        </w:tc>
        <w:tc>
          <w:tcPr>
            <w:tcW w:w="4732" w:type="pct"/>
            <w:gridSpan w:val="4"/>
            <w:vAlign w:val="center"/>
          </w:tcPr>
          <w:p w:rsidR="000A324D" w:rsidRPr="00AE264E" w:rsidRDefault="000A324D" w:rsidP="00AE264E">
            <w:pPr>
              <w:rPr>
                <w:rFonts w:ascii="Arial" w:hAnsi="Arial" w:cs="Arial"/>
                <w:color w:val="000000" w:themeColor="text1"/>
                <w:szCs w:val="22"/>
              </w:rPr>
            </w:pPr>
            <w:r w:rsidRPr="00AE264E">
              <w:rPr>
                <w:rFonts w:ascii="Arial" w:hAnsi="Arial" w:cs="Arial"/>
                <w:color w:val="000000" w:themeColor="text1"/>
                <w:sz w:val="22"/>
              </w:rPr>
              <w:t>You should be able to tick YES for all of these questions. If not, then explain why not in this box.</w:t>
            </w:r>
          </w:p>
          <w:p w:rsidR="000A324D" w:rsidRPr="00AE264E" w:rsidRDefault="000A324D" w:rsidP="00AE264E">
            <w:pPr>
              <w:rPr>
                <w:rFonts w:ascii="Arial" w:hAnsi="Arial" w:cs="Arial"/>
                <w:color w:val="000000" w:themeColor="text1"/>
                <w:sz w:val="22"/>
                <w:szCs w:val="22"/>
              </w:rPr>
            </w:pPr>
          </w:p>
          <w:p w:rsidR="000A324D" w:rsidRPr="00AE264E" w:rsidRDefault="000A324D" w:rsidP="00AE264E">
            <w:pPr>
              <w:autoSpaceDE w:val="0"/>
              <w:autoSpaceDN w:val="0"/>
              <w:adjustRightInd w:val="0"/>
              <w:rPr>
                <w:rFonts w:cs="Arial"/>
                <w:color w:val="000000" w:themeColor="text1"/>
              </w:rPr>
            </w:pPr>
            <w:r w:rsidRPr="00AE264E">
              <w:rPr>
                <w:rFonts w:ascii="Arial" w:hAnsi="Arial" w:cs="Arial"/>
                <w:i/>
                <w:color w:val="000000" w:themeColor="text1"/>
                <w:sz w:val="18"/>
                <w:szCs w:val="18"/>
              </w:rPr>
              <w:t>(this box should expand as you type)</w:t>
            </w:r>
          </w:p>
        </w:tc>
      </w:tr>
    </w:tbl>
    <w:p w:rsidR="000A324D" w:rsidRPr="00AE264E" w:rsidRDefault="000A324D" w:rsidP="000A324D">
      <w:pPr>
        <w:rPr>
          <w:color w:val="000000" w:themeColor="text1"/>
        </w:rPr>
      </w:pPr>
    </w:p>
    <w:tbl>
      <w:tblPr>
        <w:tblStyle w:val="TableGrid"/>
        <w:tblW w:w="5000" w:type="pct"/>
        <w:tblLook w:val="04A0" w:firstRow="1" w:lastRow="0" w:firstColumn="1" w:lastColumn="0" w:noHBand="0" w:noVBand="1"/>
      </w:tblPr>
      <w:tblGrid>
        <w:gridCol w:w="484"/>
        <w:gridCol w:w="6097"/>
        <w:gridCol w:w="853"/>
        <w:gridCol w:w="732"/>
        <w:gridCol w:w="853"/>
      </w:tblGrid>
      <w:tr w:rsidR="000A324D" w:rsidRPr="00AE264E" w:rsidTr="00C82976">
        <w:tc>
          <w:tcPr>
            <w:tcW w:w="268" w:type="pct"/>
            <w:shd w:val="clear" w:color="auto" w:fill="F2F2F2" w:themeFill="background1" w:themeFillShade="F2"/>
          </w:tcPr>
          <w:p w:rsidR="000A324D" w:rsidRPr="00AE264E" w:rsidRDefault="000A324D" w:rsidP="00AE264E">
            <w:pPr>
              <w:autoSpaceDE w:val="0"/>
              <w:autoSpaceDN w:val="0"/>
              <w:adjustRightInd w:val="0"/>
              <w:rPr>
                <w:rFonts w:ascii="Arial" w:hAnsi="Arial" w:cs="Arial"/>
                <w:bCs/>
                <w:color w:val="000000" w:themeColor="text1"/>
                <w:sz w:val="22"/>
                <w:szCs w:val="22"/>
              </w:rPr>
            </w:pPr>
          </w:p>
        </w:tc>
        <w:tc>
          <w:tcPr>
            <w:tcW w:w="3380"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b/>
                <w:color w:val="000000" w:themeColor="text1"/>
                <w:sz w:val="22"/>
                <w:szCs w:val="22"/>
              </w:rPr>
            </w:pPr>
            <w:r w:rsidRPr="00AE264E">
              <w:rPr>
                <w:rFonts w:ascii="Arial" w:hAnsi="Arial" w:cs="Arial"/>
                <w:b/>
                <w:color w:val="000000" w:themeColor="text1"/>
                <w:sz w:val="22"/>
                <w:szCs w:val="22"/>
              </w:rPr>
              <w:t>Information for participants:</w:t>
            </w:r>
          </w:p>
        </w:tc>
        <w:tc>
          <w:tcPr>
            <w:tcW w:w="473" w:type="pct"/>
            <w:shd w:val="clear" w:color="auto" w:fill="F2F2F2" w:themeFill="background1" w:themeFillShade="F2"/>
            <w:vAlign w:val="bottom"/>
          </w:tcPr>
          <w:p w:rsidR="000A324D" w:rsidRPr="00AE264E" w:rsidRDefault="000A324D" w:rsidP="00AE264E">
            <w:pPr>
              <w:autoSpaceDE w:val="0"/>
              <w:autoSpaceDN w:val="0"/>
              <w:adjustRightInd w:val="0"/>
              <w:jc w:val="center"/>
              <w:rPr>
                <w:rFonts w:ascii="Arial" w:hAnsi="Arial" w:cs="Arial"/>
                <w:b/>
                <w:bCs/>
                <w:color w:val="000000" w:themeColor="text1"/>
                <w:sz w:val="16"/>
                <w:szCs w:val="16"/>
              </w:rPr>
            </w:pPr>
          </w:p>
          <w:p w:rsidR="000A324D" w:rsidRPr="00AE264E" w:rsidRDefault="000A324D" w:rsidP="00AE264E">
            <w:pPr>
              <w:autoSpaceDE w:val="0"/>
              <w:autoSpaceDN w:val="0"/>
              <w:adjustRightInd w:val="0"/>
              <w:jc w:val="center"/>
              <w:rPr>
                <w:rFonts w:ascii="Arial" w:hAnsi="Arial" w:cs="Arial"/>
                <w:b/>
                <w:bCs/>
                <w:color w:val="000000" w:themeColor="text1"/>
                <w:sz w:val="22"/>
                <w:szCs w:val="22"/>
              </w:rPr>
            </w:pPr>
            <w:r w:rsidRPr="00AE264E">
              <w:rPr>
                <w:rFonts w:ascii="Arial" w:hAnsi="Arial" w:cs="Arial"/>
                <w:b/>
                <w:bCs/>
                <w:color w:val="000000" w:themeColor="text1"/>
                <w:sz w:val="22"/>
                <w:szCs w:val="22"/>
              </w:rPr>
              <w:lastRenderedPageBreak/>
              <w:t>YES</w:t>
            </w:r>
          </w:p>
        </w:tc>
        <w:tc>
          <w:tcPr>
            <w:tcW w:w="406" w:type="pct"/>
            <w:shd w:val="clear" w:color="auto" w:fill="F2F2F2" w:themeFill="background1" w:themeFillShade="F2"/>
            <w:vAlign w:val="bottom"/>
          </w:tcPr>
          <w:p w:rsidR="000A324D" w:rsidRPr="00AE264E" w:rsidRDefault="000A324D" w:rsidP="00AE264E">
            <w:pPr>
              <w:autoSpaceDE w:val="0"/>
              <w:autoSpaceDN w:val="0"/>
              <w:adjustRightInd w:val="0"/>
              <w:jc w:val="center"/>
              <w:rPr>
                <w:rFonts w:ascii="Arial" w:hAnsi="Arial" w:cs="Arial"/>
                <w:b/>
                <w:bCs/>
                <w:color w:val="000000" w:themeColor="text1"/>
                <w:sz w:val="22"/>
                <w:szCs w:val="22"/>
              </w:rPr>
            </w:pPr>
            <w:r w:rsidRPr="00AE264E">
              <w:rPr>
                <w:rFonts w:ascii="Arial" w:hAnsi="Arial" w:cs="Arial"/>
                <w:b/>
                <w:bCs/>
                <w:color w:val="000000" w:themeColor="text1"/>
                <w:sz w:val="22"/>
                <w:szCs w:val="22"/>
              </w:rPr>
              <w:lastRenderedPageBreak/>
              <w:t>NO</w:t>
            </w:r>
          </w:p>
        </w:tc>
        <w:tc>
          <w:tcPr>
            <w:tcW w:w="473" w:type="pct"/>
            <w:shd w:val="clear" w:color="auto" w:fill="F2F2F2" w:themeFill="background1" w:themeFillShade="F2"/>
            <w:vAlign w:val="bottom"/>
          </w:tcPr>
          <w:p w:rsidR="000A324D" w:rsidRPr="00AE264E" w:rsidRDefault="000A324D" w:rsidP="00AE264E">
            <w:pPr>
              <w:autoSpaceDE w:val="0"/>
              <w:autoSpaceDN w:val="0"/>
              <w:adjustRightInd w:val="0"/>
              <w:jc w:val="center"/>
              <w:rPr>
                <w:rFonts w:ascii="Arial" w:hAnsi="Arial" w:cs="Arial"/>
                <w:b/>
                <w:bCs/>
                <w:color w:val="000000" w:themeColor="text1"/>
                <w:sz w:val="16"/>
                <w:szCs w:val="16"/>
              </w:rPr>
            </w:pPr>
          </w:p>
          <w:p w:rsidR="000A324D" w:rsidRPr="00AE264E" w:rsidRDefault="000A324D" w:rsidP="00AE264E">
            <w:pPr>
              <w:autoSpaceDE w:val="0"/>
              <w:autoSpaceDN w:val="0"/>
              <w:adjustRightInd w:val="0"/>
              <w:jc w:val="center"/>
              <w:rPr>
                <w:rFonts w:ascii="Arial" w:hAnsi="Arial" w:cs="Arial"/>
                <w:b/>
                <w:bCs/>
                <w:color w:val="000000" w:themeColor="text1"/>
                <w:sz w:val="22"/>
                <w:szCs w:val="22"/>
              </w:rPr>
            </w:pPr>
            <w:r w:rsidRPr="00AE264E">
              <w:rPr>
                <w:rFonts w:ascii="Arial" w:hAnsi="Arial" w:cs="Arial"/>
                <w:b/>
                <w:bCs/>
                <w:color w:val="000000" w:themeColor="text1"/>
                <w:sz w:val="22"/>
                <w:szCs w:val="22"/>
              </w:rPr>
              <w:lastRenderedPageBreak/>
              <w:t>N/A</w:t>
            </w:r>
          </w:p>
        </w:tc>
      </w:tr>
      <w:tr w:rsidR="000A324D" w:rsidRPr="00AE264E" w:rsidTr="00C82976">
        <w:trPr>
          <w:trHeight w:val="439"/>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24</w:t>
            </w:r>
          </w:p>
        </w:tc>
        <w:tc>
          <w:tcPr>
            <w:tcW w:w="3380"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Will participants be paid?</w:t>
            </w:r>
          </w:p>
        </w:tc>
        <w:tc>
          <w:tcPr>
            <w:tcW w:w="473" w:type="pct"/>
            <w:shd w:val="clear" w:color="auto" w:fill="BFBFBF" w:themeFill="background1" w:themeFillShade="BF"/>
            <w:vAlign w:val="center"/>
          </w:tcPr>
          <w:sdt>
            <w:sdtPr>
              <w:rPr>
                <w:rFonts w:ascii="Arial" w:hAnsi="Arial" w:cs="Arial"/>
                <w:b/>
                <w:bCs/>
                <w:color w:val="000000" w:themeColor="text1"/>
                <w:sz w:val="22"/>
                <w:szCs w:val="22"/>
              </w:rPr>
              <w:id w:val="51043762"/>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06" w:type="pct"/>
            <w:shd w:val="clear" w:color="auto" w:fill="BFBFBF" w:themeFill="background1" w:themeFillShade="BF"/>
            <w:vAlign w:val="center"/>
          </w:tcPr>
          <w:sdt>
            <w:sdtPr>
              <w:rPr>
                <w:rFonts w:ascii="Arial" w:hAnsi="Arial" w:cs="Arial"/>
                <w:b/>
                <w:bCs/>
                <w:color w:val="000000" w:themeColor="text1"/>
                <w:sz w:val="22"/>
                <w:szCs w:val="22"/>
              </w:rPr>
              <w:id w:val="-256140063"/>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73" w:type="pct"/>
            <w:shd w:val="clear" w:color="auto" w:fill="BFBFBF" w:themeFill="background1" w:themeFillShade="BF"/>
            <w:vAlign w:val="center"/>
          </w:tcPr>
          <w:sdt>
            <w:sdtPr>
              <w:rPr>
                <w:rFonts w:ascii="Arial" w:hAnsi="Arial" w:cs="Arial"/>
                <w:b/>
                <w:bCs/>
                <w:color w:val="000000" w:themeColor="text1"/>
                <w:sz w:val="22"/>
                <w:szCs w:val="22"/>
              </w:rPr>
              <w:id w:val="634219724"/>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25</w:t>
            </w:r>
          </w:p>
        </w:tc>
        <w:tc>
          <w:tcPr>
            <w:tcW w:w="3380"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Is specialist electrical or other equipment to be used with participants?</w:t>
            </w:r>
          </w:p>
        </w:tc>
        <w:tc>
          <w:tcPr>
            <w:tcW w:w="473" w:type="pct"/>
            <w:shd w:val="clear" w:color="auto" w:fill="BFBFBF" w:themeFill="background1" w:themeFillShade="BF"/>
            <w:vAlign w:val="center"/>
          </w:tcPr>
          <w:sdt>
            <w:sdtPr>
              <w:rPr>
                <w:rFonts w:ascii="Arial" w:hAnsi="Arial" w:cs="Arial"/>
                <w:b/>
                <w:bCs/>
                <w:color w:val="000000" w:themeColor="text1"/>
                <w:sz w:val="22"/>
                <w:szCs w:val="22"/>
              </w:rPr>
              <w:id w:val="-1438982454"/>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06" w:type="pct"/>
            <w:shd w:val="clear" w:color="auto" w:fill="BFBFBF" w:themeFill="background1" w:themeFillShade="BF"/>
            <w:vAlign w:val="center"/>
          </w:tcPr>
          <w:sdt>
            <w:sdtPr>
              <w:rPr>
                <w:rFonts w:ascii="Arial" w:hAnsi="Arial" w:cs="Arial"/>
                <w:b/>
                <w:bCs/>
                <w:color w:val="000000" w:themeColor="text1"/>
                <w:sz w:val="22"/>
                <w:szCs w:val="22"/>
              </w:rPr>
              <w:id w:val="2089267095"/>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73" w:type="pct"/>
            <w:shd w:val="clear" w:color="auto" w:fill="BFBFBF" w:themeFill="background1" w:themeFillShade="BF"/>
            <w:vAlign w:val="center"/>
          </w:tcPr>
          <w:sdt>
            <w:sdtPr>
              <w:rPr>
                <w:rFonts w:ascii="Arial" w:hAnsi="Arial" w:cs="Arial"/>
                <w:b/>
                <w:bCs/>
                <w:color w:val="000000" w:themeColor="text1"/>
                <w:sz w:val="22"/>
                <w:szCs w:val="22"/>
              </w:rPr>
              <w:id w:val="425468845"/>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39"/>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26</w:t>
            </w:r>
          </w:p>
        </w:tc>
        <w:tc>
          <w:tcPr>
            <w:tcW w:w="3380"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Are there any financial or other interests to the investigator or University arising from this study?</w:t>
            </w:r>
          </w:p>
        </w:tc>
        <w:tc>
          <w:tcPr>
            <w:tcW w:w="473" w:type="pct"/>
            <w:shd w:val="clear" w:color="auto" w:fill="BFBFBF" w:themeFill="background1" w:themeFillShade="BF"/>
            <w:vAlign w:val="center"/>
          </w:tcPr>
          <w:sdt>
            <w:sdtPr>
              <w:rPr>
                <w:rFonts w:ascii="Arial" w:hAnsi="Arial" w:cs="Arial"/>
                <w:b/>
                <w:bCs/>
                <w:color w:val="000000" w:themeColor="text1"/>
                <w:sz w:val="22"/>
                <w:szCs w:val="22"/>
              </w:rPr>
              <w:id w:val="-225606969"/>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06" w:type="pct"/>
            <w:shd w:val="clear" w:color="auto" w:fill="BFBFBF" w:themeFill="background1" w:themeFillShade="BF"/>
            <w:vAlign w:val="center"/>
          </w:tcPr>
          <w:sdt>
            <w:sdtPr>
              <w:rPr>
                <w:rFonts w:ascii="Arial" w:hAnsi="Arial" w:cs="Arial"/>
                <w:b/>
                <w:bCs/>
                <w:color w:val="000000" w:themeColor="text1"/>
                <w:sz w:val="22"/>
                <w:szCs w:val="22"/>
              </w:rPr>
              <w:id w:val="-1565337314"/>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73" w:type="pct"/>
            <w:shd w:val="clear" w:color="auto" w:fill="BFBFBF" w:themeFill="background1" w:themeFillShade="BF"/>
            <w:vAlign w:val="center"/>
          </w:tcPr>
          <w:sdt>
            <w:sdtPr>
              <w:rPr>
                <w:rFonts w:ascii="Arial" w:hAnsi="Arial" w:cs="Arial"/>
                <w:b/>
                <w:bCs/>
                <w:color w:val="000000" w:themeColor="text1"/>
                <w:sz w:val="22"/>
                <w:szCs w:val="22"/>
              </w:rPr>
              <w:id w:val="-133575194"/>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27</w:t>
            </w:r>
          </w:p>
        </w:tc>
        <w:tc>
          <w:tcPr>
            <w:tcW w:w="3380"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Will the research activity involve deliberately misleading participants in any way, or the partial or full concealment of the specific study aims?</w:t>
            </w:r>
          </w:p>
        </w:tc>
        <w:tc>
          <w:tcPr>
            <w:tcW w:w="473" w:type="pct"/>
            <w:shd w:val="clear" w:color="auto" w:fill="BFBFBF" w:themeFill="background1" w:themeFillShade="BF"/>
            <w:vAlign w:val="center"/>
          </w:tcPr>
          <w:sdt>
            <w:sdtPr>
              <w:rPr>
                <w:rFonts w:ascii="Arial" w:hAnsi="Arial" w:cs="Arial"/>
                <w:b/>
                <w:bCs/>
                <w:color w:val="000000" w:themeColor="text1"/>
                <w:sz w:val="22"/>
                <w:szCs w:val="22"/>
              </w:rPr>
              <w:id w:val="-873932248"/>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06" w:type="pct"/>
            <w:shd w:val="clear" w:color="auto" w:fill="BFBFBF" w:themeFill="background1" w:themeFillShade="BF"/>
            <w:vAlign w:val="center"/>
          </w:tcPr>
          <w:sdt>
            <w:sdtPr>
              <w:rPr>
                <w:rFonts w:ascii="Arial" w:hAnsi="Arial" w:cs="Arial"/>
                <w:b/>
                <w:bCs/>
                <w:color w:val="000000" w:themeColor="text1"/>
                <w:sz w:val="22"/>
                <w:szCs w:val="22"/>
              </w:rPr>
              <w:id w:val="-1867361740"/>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73" w:type="pct"/>
            <w:shd w:val="clear" w:color="auto" w:fill="BFBFBF" w:themeFill="background1" w:themeFillShade="BF"/>
            <w:vAlign w:val="center"/>
          </w:tcPr>
          <w:sdt>
            <w:sdtPr>
              <w:rPr>
                <w:rFonts w:ascii="Arial" w:hAnsi="Arial" w:cs="Arial"/>
                <w:b/>
                <w:bCs/>
                <w:color w:val="000000" w:themeColor="text1"/>
                <w:sz w:val="22"/>
                <w:szCs w:val="22"/>
              </w:rPr>
              <w:id w:val="214328365"/>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28</w:t>
            </w:r>
          </w:p>
        </w:tc>
        <w:tc>
          <w:tcPr>
            <w:tcW w:w="4732" w:type="pct"/>
            <w:gridSpan w:val="4"/>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 xml:space="preserve">If YESto any question, please provide full details </w:t>
            </w:r>
          </w:p>
        </w:tc>
      </w:tr>
      <w:tr w:rsidR="000A324D" w:rsidRPr="00AE264E" w:rsidTr="00C82976">
        <w:trPr>
          <w:trHeight w:val="403"/>
        </w:trPr>
        <w:tc>
          <w:tcPr>
            <w:tcW w:w="268" w:type="pct"/>
            <w:vAlign w:val="center"/>
          </w:tcPr>
          <w:p w:rsidR="000A324D" w:rsidRPr="00AE264E" w:rsidRDefault="000A324D" w:rsidP="00AE264E">
            <w:pPr>
              <w:jc w:val="center"/>
              <w:rPr>
                <w:rFonts w:ascii="Arial" w:hAnsi="Arial" w:cs="Arial"/>
                <w:color w:val="000000" w:themeColor="text1"/>
                <w:sz w:val="22"/>
                <w:szCs w:val="22"/>
              </w:rPr>
            </w:pPr>
          </w:p>
        </w:tc>
        <w:tc>
          <w:tcPr>
            <w:tcW w:w="4732" w:type="pct"/>
            <w:gridSpan w:val="4"/>
            <w:vAlign w:val="center"/>
          </w:tcPr>
          <w:p w:rsidR="000A324D" w:rsidRPr="00AE264E" w:rsidRDefault="000A324D" w:rsidP="00AE264E">
            <w:pPr>
              <w:rPr>
                <w:rFonts w:ascii="Arial" w:hAnsi="Arial" w:cs="Arial"/>
                <w:color w:val="000000" w:themeColor="text1"/>
                <w:szCs w:val="22"/>
              </w:rPr>
            </w:pPr>
            <w:r w:rsidRPr="00AE264E">
              <w:rPr>
                <w:rFonts w:ascii="Arial" w:hAnsi="Arial" w:cs="Arial"/>
                <w:color w:val="000000" w:themeColor="text1"/>
                <w:sz w:val="22"/>
              </w:rPr>
              <w:t>You should be able to tick NO for most of these questions. For any cases that you have ticked YES then provide details in this box. If you are using cameras/voice recorders to record interviews, then please state that in this box.</w:t>
            </w:r>
          </w:p>
          <w:p w:rsidR="000A324D" w:rsidRPr="00AE264E" w:rsidRDefault="000A324D" w:rsidP="00AE264E">
            <w:pPr>
              <w:rPr>
                <w:rFonts w:ascii="Arial" w:hAnsi="Arial" w:cs="Arial"/>
                <w:color w:val="000000" w:themeColor="text1"/>
                <w:sz w:val="22"/>
                <w:szCs w:val="22"/>
              </w:rPr>
            </w:pPr>
          </w:p>
          <w:p w:rsidR="000A324D" w:rsidRPr="00AE264E" w:rsidRDefault="000A324D" w:rsidP="00AE264E">
            <w:pPr>
              <w:autoSpaceDE w:val="0"/>
              <w:autoSpaceDN w:val="0"/>
              <w:adjustRightInd w:val="0"/>
              <w:rPr>
                <w:rFonts w:cs="Arial"/>
                <w:color w:val="000000" w:themeColor="text1"/>
              </w:rPr>
            </w:pPr>
            <w:r w:rsidRPr="00AE264E">
              <w:rPr>
                <w:rFonts w:ascii="Arial" w:hAnsi="Arial" w:cs="Arial"/>
                <w:i/>
                <w:color w:val="000000" w:themeColor="text1"/>
                <w:sz w:val="18"/>
                <w:szCs w:val="18"/>
              </w:rPr>
              <w:t>(this box should expand as you type)</w:t>
            </w:r>
          </w:p>
        </w:tc>
      </w:tr>
    </w:tbl>
    <w:p w:rsidR="000A324D" w:rsidRPr="00AE264E" w:rsidRDefault="000A324D" w:rsidP="000A324D">
      <w:pPr>
        <w:autoSpaceDE w:val="0"/>
        <w:autoSpaceDN w:val="0"/>
        <w:adjustRightInd w:val="0"/>
        <w:spacing w:after="240"/>
        <w:rPr>
          <w:rFonts w:ascii="Arial" w:hAnsi="Arial" w:cs="Arial"/>
          <w:b/>
          <w:color w:val="000000" w:themeColor="text1"/>
          <w:sz w:val="22"/>
          <w:szCs w:val="22"/>
        </w:rPr>
      </w:pPr>
    </w:p>
    <w:p w:rsidR="000A324D" w:rsidRPr="00AE264E" w:rsidRDefault="000A324D" w:rsidP="000A324D">
      <w:pPr>
        <w:rPr>
          <w:rFonts w:ascii="Arial" w:hAnsi="Arial" w:cs="Arial"/>
          <w:b/>
          <w:color w:val="000000" w:themeColor="text1"/>
          <w:sz w:val="22"/>
          <w:szCs w:val="22"/>
        </w:rPr>
      </w:pPr>
      <w:r w:rsidRPr="00AE264E">
        <w:rPr>
          <w:rFonts w:ascii="Arial" w:hAnsi="Arial" w:cs="Arial"/>
          <w:b/>
          <w:color w:val="000000" w:themeColor="text1"/>
          <w:sz w:val="22"/>
          <w:szCs w:val="22"/>
        </w:rPr>
        <w:t>SECTION F: Anticipated Risks</w:t>
      </w:r>
    </w:p>
    <w:p w:rsidR="000A324D" w:rsidRPr="00AE264E" w:rsidRDefault="000A324D" w:rsidP="000A324D">
      <w:pPr>
        <w:rPr>
          <w:rFonts w:ascii="Arial" w:hAnsi="Arial" w:cs="Arial"/>
          <w:b/>
          <w:color w:val="000000" w:themeColor="text1"/>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4279"/>
        <w:gridCol w:w="4230"/>
      </w:tblGrid>
      <w:tr w:rsidR="000A324D" w:rsidRPr="00AE264E" w:rsidTr="00C82976">
        <w:tc>
          <w:tcPr>
            <w:tcW w:w="283" w:type="pct"/>
            <w:tcBorders>
              <w:bottom w:val="single" w:sz="4" w:space="0" w:color="auto"/>
            </w:tcBorders>
            <w:shd w:val="clear" w:color="auto" w:fill="F2F2F2" w:themeFill="background1" w:themeFillShade="F2"/>
          </w:tcPr>
          <w:p w:rsidR="000A324D" w:rsidRPr="00AE264E" w:rsidRDefault="000A324D" w:rsidP="00AE264E">
            <w:pPr>
              <w:pStyle w:val="Heading1"/>
              <w:jc w:val="left"/>
              <w:rPr>
                <w:rFonts w:ascii="Arial" w:hAnsi="Arial" w:cs="Arial"/>
                <w:b w:val="0"/>
                <w:bCs w:val="0"/>
                <w:color w:val="000000" w:themeColor="text1"/>
              </w:rPr>
            </w:pPr>
          </w:p>
        </w:tc>
        <w:tc>
          <w:tcPr>
            <w:tcW w:w="4717" w:type="pct"/>
            <w:gridSpan w:val="2"/>
            <w:tcBorders>
              <w:bottom w:val="single" w:sz="4" w:space="0" w:color="auto"/>
            </w:tcBorders>
            <w:shd w:val="clear" w:color="auto" w:fill="F2F2F2" w:themeFill="background1" w:themeFillShade="F2"/>
          </w:tcPr>
          <w:p w:rsidR="000A324D" w:rsidRPr="00AE264E" w:rsidRDefault="000A324D" w:rsidP="00AE264E">
            <w:pPr>
              <w:pStyle w:val="Heading1"/>
              <w:jc w:val="left"/>
              <w:rPr>
                <w:rFonts w:ascii="Arial" w:hAnsi="Arial" w:cs="Arial"/>
                <w:color w:val="000000" w:themeColor="text1"/>
              </w:rPr>
            </w:pPr>
            <w:r w:rsidRPr="00AE264E">
              <w:rPr>
                <w:rFonts w:ascii="Arial" w:hAnsi="Arial" w:cs="Arial"/>
                <w:color w:val="000000" w:themeColor="text1"/>
              </w:rPr>
              <w:br w:type="page"/>
            </w:r>
            <w:bookmarkStart w:id="84" w:name="_Toc241178787"/>
            <w:r w:rsidRPr="00AE264E">
              <w:rPr>
                <w:rFonts w:ascii="Arial" w:hAnsi="Arial" w:cs="Arial"/>
                <w:color w:val="000000" w:themeColor="text1"/>
              </w:rPr>
              <w:t>Outline any anticipated risksthat may adversely affect any of the participants, the researchers and/or the University, and the steps that will be taken to address them.</w:t>
            </w:r>
            <w:bookmarkEnd w:id="84"/>
            <w:r w:rsidRPr="00AE264E">
              <w:rPr>
                <w:rFonts w:ascii="Arial" w:hAnsi="Arial" w:cs="Arial"/>
                <w:color w:val="000000" w:themeColor="text1"/>
              </w:rPr>
              <w:t xml:space="preserve">  </w:t>
            </w:r>
          </w:p>
        </w:tc>
      </w:tr>
      <w:tr w:rsidR="000A324D" w:rsidRPr="00AE264E" w:rsidTr="00C82976">
        <w:tc>
          <w:tcPr>
            <w:tcW w:w="283" w:type="pct"/>
            <w:tcBorders>
              <w:bottom w:val="single" w:sz="4" w:space="0" w:color="auto"/>
            </w:tcBorders>
            <w:shd w:val="clear" w:color="auto" w:fill="F2F2F2" w:themeFill="background1" w:themeFillShade="F2"/>
            <w:vAlign w:val="center"/>
          </w:tcPr>
          <w:p w:rsidR="000A324D" w:rsidRPr="00AE264E" w:rsidRDefault="000A324D" w:rsidP="00AE264E">
            <w:pPr>
              <w:jc w:val="center"/>
              <w:rPr>
                <w:rFonts w:ascii="Arial" w:hAnsi="Arial" w:cs="Arial"/>
                <w:color w:val="000000" w:themeColor="text1"/>
                <w:sz w:val="22"/>
                <w:szCs w:val="22"/>
              </w:rPr>
            </w:pPr>
            <w:r w:rsidRPr="00AE264E">
              <w:rPr>
                <w:rFonts w:ascii="Arial" w:hAnsi="Arial" w:cs="Arial"/>
                <w:color w:val="000000" w:themeColor="text1"/>
                <w:sz w:val="22"/>
                <w:szCs w:val="22"/>
              </w:rPr>
              <w:t>1</w:t>
            </w:r>
          </w:p>
        </w:tc>
        <w:tc>
          <w:tcPr>
            <w:tcW w:w="4717" w:type="pct"/>
            <w:gridSpan w:val="2"/>
            <w:tcBorders>
              <w:bottom w:val="single" w:sz="4" w:space="0" w:color="auto"/>
            </w:tcBorders>
            <w:shd w:val="clear" w:color="auto" w:fill="F2F2F2" w:themeFill="background1" w:themeFillShade="F2"/>
          </w:tcPr>
          <w:p w:rsidR="000A324D" w:rsidRPr="00AE264E" w:rsidRDefault="000A324D" w:rsidP="00AE264E">
            <w:pPr>
              <w:rPr>
                <w:rFonts w:ascii="Arial" w:hAnsi="Arial" w:cs="Arial"/>
                <w:color w:val="000000" w:themeColor="text1"/>
                <w:sz w:val="22"/>
                <w:szCs w:val="22"/>
              </w:rPr>
            </w:pPr>
            <w:r w:rsidRPr="00AE264E">
              <w:rPr>
                <w:rFonts w:ascii="Arial" w:hAnsi="Arial" w:cs="Arial"/>
                <w:b/>
                <w:color w:val="000000" w:themeColor="text1"/>
                <w:sz w:val="22"/>
                <w:szCs w:val="22"/>
              </w:rPr>
              <w:t>Risks to participants</w:t>
            </w:r>
          </w:p>
          <w:p w:rsidR="000A324D" w:rsidRPr="00AE264E" w:rsidRDefault="000A324D" w:rsidP="00AE264E">
            <w:pPr>
              <w:rPr>
                <w:rFonts w:ascii="Arial" w:hAnsi="Arial" w:cs="Arial"/>
                <w:b/>
                <w:color w:val="000000" w:themeColor="text1"/>
                <w:sz w:val="22"/>
                <w:szCs w:val="22"/>
              </w:rPr>
            </w:pPr>
            <w:r w:rsidRPr="00AE264E">
              <w:rPr>
                <w:rFonts w:ascii="Arial" w:hAnsi="Arial" w:cs="Arial"/>
                <w:color w:val="000000" w:themeColor="text1"/>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0A324D" w:rsidRPr="00AE264E" w:rsidTr="00C82976">
        <w:tc>
          <w:tcPr>
            <w:tcW w:w="283" w:type="pct"/>
            <w:tcBorders>
              <w:top w:val="single" w:sz="4" w:space="0" w:color="auto"/>
              <w:bottom w:val="single" w:sz="4" w:space="0" w:color="auto"/>
            </w:tcBorders>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p>
        </w:tc>
        <w:tc>
          <w:tcPr>
            <w:tcW w:w="2372" w:type="pct"/>
            <w:tcBorders>
              <w:top w:val="single" w:sz="4" w:space="0" w:color="auto"/>
              <w:bottom w:val="single" w:sz="4" w:space="0" w:color="auto"/>
            </w:tcBorders>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Risk to participants: N/A</w:t>
            </w:r>
          </w:p>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There are always risks. Do not write N/A unless you have no participants.</w:t>
            </w:r>
          </w:p>
          <w:p w:rsidR="000A324D" w:rsidRPr="00AE264E" w:rsidRDefault="000A324D" w:rsidP="00AE264E">
            <w:pPr>
              <w:rPr>
                <w:rFonts w:ascii="Arial" w:hAnsi="Arial" w:cs="Arial"/>
                <w:color w:val="000000" w:themeColor="text1"/>
                <w:sz w:val="22"/>
                <w:szCs w:val="22"/>
              </w:rPr>
            </w:pPr>
          </w:p>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i/>
                <w:color w:val="000000" w:themeColor="text1"/>
                <w:sz w:val="18"/>
                <w:szCs w:val="18"/>
              </w:rPr>
              <w:t>(this box should expand as you type)</w:t>
            </w:r>
          </w:p>
        </w:tc>
        <w:tc>
          <w:tcPr>
            <w:tcW w:w="2344" w:type="pct"/>
            <w:tcBorders>
              <w:top w:val="single" w:sz="4" w:space="0" w:color="auto"/>
              <w:bottom w:val="single" w:sz="4" w:space="0" w:color="auto"/>
            </w:tcBorders>
          </w:tcPr>
          <w:p w:rsidR="000A324D" w:rsidRPr="00AE264E" w:rsidRDefault="000A324D" w:rsidP="00AE264E">
            <w:pPr>
              <w:autoSpaceDE w:val="0"/>
              <w:autoSpaceDN w:val="0"/>
              <w:adjustRightInd w:val="0"/>
              <w:rPr>
                <w:rFonts w:ascii="Arial" w:hAnsi="Arial" w:cs="Arial"/>
                <w:color w:val="000000" w:themeColor="text1"/>
                <w:sz w:val="18"/>
                <w:szCs w:val="18"/>
              </w:rPr>
            </w:pPr>
            <w:r w:rsidRPr="00AE264E">
              <w:rPr>
                <w:rFonts w:ascii="Arial" w:hAnsi="Arial" w:cs="Arial"/>
                <w:i/>
                <w:color w:val="000000" w:themeColor="text1"/>
                <w:sz w:val="18"/>
                <w:szCs w:val="18"/>
              </w:rPr>
              <w:t xml:space="preserve">How you will mitigate the risk to participants: </w:t>
            </w:r>
            <w:r w:rsidRPr="00AE264E">
              <w:rPr>
                <w:rFonts w:ascii="Arial" w:hAnsi="Arial" w:cs="Arial"/>
                <w:color w:val="000000" w:themeColor="text1"/>
                <w:sz w:val="22"/>
                <w:szCs w:val="22"/>
              </w:rPr>
              <w:t xml:space="preserve">N/A  </w:t>
            </w:r>
          </w:p>
          <w:p w:rsidR="000A324D" w:rsidRPr="00AE264E" w:rsidRDefault="000A324D" w:rsidP="00AE264E">
            <w:pPr>
              <w:rPr>
                <w:rFonts w:ascii="Arial" w:hAnsi="Arial" w:cs="Arial"/>
                <w:color w:val="000000" w:themeColor="text1"/>
                <w:sz w:val="22"/>
                <w:szCs w:val="22"/>
              </w:rPr>
            </w:pPr>
          </w:p>
          <w:p w:rsidR="000A324D" w:rsidRPr="00AE264E" w:rsidRDefault="000A324D" w:rsidP="00AE264E">
            <w:pPr>
              <w:rPr>
                <w:rFonts w:ascii="Arial" w:hAnsi="Arial" w:cs="Arial"/>
                <w:color w:val="000000" w:themeColor="text1"/>
                <w:sz w:val="22"/>
                <w:szCs w:val="22"/>
              </w:rPr>
            </w:pPr>
          </w:p>
          <w:p w:rsidR="000A324D" w:rsidRPr="00AE264E" w:rsidRDefault="000A324D" w:rsidP="00AE264E">
            <w:pPr>
              <w:rPr>
                <w:rFonts w:ascii="Arial" w:hAnsi="Arial" w:cs="Arial"/>
                <w:color w:val="000000" w:themeColor="text1"/>
                <w:sz w:val="22"/>
                <w:szCs w:val="22"/>
              </w:rPr>
            </w:pPr>
          </w:p>
          <w:p w:rsidR="000A324D" w:rsidRPr="00AE264E" w:rsidRDefault="000A324D" w:rsidP="00AE264E">
            <w:pPr>
              <w:autoSpaceDE w:val="0"/>
              <w:autoSpaceDN w:val="0"/>
              <w:adjustRightInd w:val="0"/>
              <w:rPr>
                <w:rFonts w:cs="Arial"/>
                <w:i/>
                <w:color w:val="000000" w:themeColor="text1"/>
              </w:rPr>
            </w:pPr>
            <w:r w:rsidRPr="00AE264E">
              <w:rPr>
                <w:rFonts w:ascii="Arial" w:hAnsi="Arial" w:cs="Arial"/>
                <w:i/>
                <w:color w:val="000000" w:themeColor="text1"/>
                <w:sz w:val="18"/>
                <w:szCs w:val="18"/>
              </w:rPr>
              <w:t>(this box should expand as you type)</w:t>
            </w:r>
          </w:p>
        </w:tc>
      </w:tr>
      <w:tr w:rsidR="000A324D" w:rsidRPr="00AE264E" w:rsidTr="00C82976">
        <w:tc>
          <w:tcPr>
            <w:tcW w:w="283" w:type="pct"/>
            <w:tcBorders>
              <w:bottom w:val="single" w:sz="4" w:space="0" w:color="auto"/>
            </w:tcBorders>
            <w:shd w:val="clear" w:color="auto" w:fill="F2F2F2" w:themeFill="background1" w:themeFillShade="F2"/>
            <w:vAlign w:val="center"/>
          </w:tcPr>
          <w:p w:rsidR="000A324D" w:rsidRPr="00AE264E" w:rsidRDefault="000A324D" w:rsidP="00AE264E">
            <w:pPr>
              <w:jc w:val="center"/>
              <w:rPr>
                <w:rFonts w:ascii="Arial" w:hAnsi="Arial" w:cs="Arial"/>
                <w:color w:val="000000" w:themeColor="text1"/>
                <w:sz w:val="22"/>
                <w:szCs w:val="22"/>
              </w:rPr>
            </w:pPr>
            <w:r w:rsidRPr="00AE264E">
              <w:rPr>
                <w:rFonts w:ascii="Arial" w:hAnsi="Arial" w:cs="Arial"/>
                <w:color w:val="000000" w:themeColor="text1"/>
                <w:sz w:val="22"/>
                <w:szCs w:val="22"/>
              </w:rPr>
              <w:t>2</w:t>
            </w:r>
          </w:p>
        </w:tc>
        <w:tc>
          <w:tcPr>
            <w:tcW w:w="4717" w:type="pct"/>
            <w:gridSpan w:val="2"/>
            <w:tcBorders>
              <w:bottom w:val="single" w:sz="4" w:space="0" w:color="auto"/>
            </w:tcBorders>
            <w:shd w:val="clear" w:color="auto" w:fill="F2F2F2" w:themeFill="background1" w:themeFillShade="F2"/>
          </w:tcPr>
          <w:p w:rsidR="000A324D" w:rsidRPr="00AE264E" w:rsidRDefault="000A324D" w:rsidP="00AE264E">
            <w:pPr>
              <w:rPr>
                <w:rFonts w:ascii="Arial" w:hAnsi="Arial" w:cs="Arial"/>
                <w:color w:val="000000" w:themeColor="text1"/>
                <w:sz w:val="22"/>
                <w:szCs w:val="22"/>
              </w:rPr>
            </w:pPr>
            <w:r w:rsidRPr="00AE264E">
              <w:rPr>
                <w:rFonts w:ascii="Arial" w:hAnsi="Arial" w:cs="Arial"/>
                <w:bCs/>
                <w:color w:val="000000" w:themeColor="text1"/>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E264E">
              <w:rPr>
                <w:rFonts w:ascii="Arial" w:hAnsi="Arial" w:cs="Arial"/>
                <w:color w:val="000000" w:themeColor="text1"/>
                <w:sz w:val="22"/>
                <w:szCs w:val="22"/>
                <w:lang w:eastAsia="en-GB"/>
              </w:rPr>
              <w:t>where applicable, consent procedures should make it clear that if something potentially or actually illegal is discovered in the course of a project, it may need to be disclosed to the proper authorities</w:t>
            </w:r>
          </w:p>
        </w:tc>
      </w:tr>
      <w:tr w:rsidR="000A324D" w:rsidRPr="00AE264E" w:rsidTr="00C82976">
        <w:tc>
          <w:tcPr>
            <w:tcW w:w="283" w:type="pct"/>
            <w:tcBorders>
              <w:top w:val="single" w:sz="4" w:space="0" w:color="auto"/>
              <w:bottom w:val="single" w:sz="4" w:space="0" w:color="auto"/>
            </w:tcBorders>
            <w:vAlign w:val="center"/>
          </w:tcPr>
          <w:p w:rsidR="000A324D" w:rsidRPr="00AE264E" w:rsidRDefault="000A324D" w:rsidP="00AE264E">
            <w:pPr>
              <w:jc w:val="center"/>
              <w:rPr>
                <w:rFonts w:ascii="Arial" w:hAnsi="Arial" w:cs="Arial"/>
                <w:color w:val="000000" w:themeColor="text1"/>
                <w:sz w:val="22"/>
                <w:szCs w:val="22"/>
              </w:rPr>
            </w:pPr>
          </w:p>
        </w:tc>
        <w:tc>
          <w:tcPr>
            <w:tcW w:w="4717" w:type="pct"/>
            <w:gridSpan w:val="2"/>
            <w:tcBorders>
              <w:top w:val="single" w:sz="4" w:space="0" w:color="auto"/>
              <w:bottom w:val="single" w:sz="4" w:space="0" w:color="auto"/>
            </w:tcBorders>
          </w:tcPr>
          <w:p w:rsidR="000A324D" w:rsidRPr="00AE264E" w:rsidRDefault="000A324D" w:rsidP="00AE264E">
            <w:pPr>
              <w:rPr>
                <w:rFonts w:ascii="Arial" w:hAnsi="Arial" w:cs="Arial"/>
                <w:color w:val="000000" w:themeColor="text1"/>
                <w:sz w:val="22"/>
                <w:szCs w:val="22"/>
              </w:rPr>
            </w:pPr>
          </w:p>
          <w:p w:rsidR="000A324D" w:rsidRPr="00AE264E" w:rsidRDefault="000A324D" w:rsidP="00AE264E">
            <w:pPr>
              <w:rPr>
                <w:rFonts w:ascii="Arial" w:hAnsi="Arial" w:cs="Arial"/>
                <w:color w:val="000000" w:themeColor="text1"/>
                <w:sz w:val="22"/>
                <w:szCs w:val="22"/>
              </w:rPr>
            </w:pPr>
          </w:p>
          <w:p w:rsidR="000A324D" w:rsidRPr="00AE264E" w:rsidRDefault="000A324D" w:rsidP="00AE264E">
            <w:pPr>
              <w:autoSpaceDE w:val="0"/>
              <w:autoSpaceDN w:val="0"/>
              <w:adjustRightInd w:val="0"/>
              <w:rPr>
                <w:rFonts w:cs="Arial"/>
                <w:color w:val="000000" w:themeColor="text1"/>
              </w:rPr>
            </w:pPr>
            <w:r w:rsidRPr="00AE264E">
              <w:rPr>
                <w:rFonts w:ascii="Arial" w:hAnsi="Arial" w:cs="Arial"/>
                <w:color w:val="000000" w:themeColor="text1"/>
                <w:sz w:val="22"/>
                <w:szCs w:val="22"/>
              </w:rPr>
              <w:t>N/A</w:t>
            </w:r>
          </w:p>
        </w:tc>
      </w:tr>
      <w:tr w:rsidR="000A324D" w:rsidRPr="00AE264E" w:rsidTr="00C82976">
        <w:tc>
          <w:tcPr>
            <w:tcW w:w="283" w:type="pct"/>
            <w:tcBorders>
              <w:top w:val="single" w:sz="4" w:space="0" w:color="auto"/>
              <w:bottom w:val="single" w:sz="4" w:space="0" w:color="auto"/>
            </w:tcBorders>
            <w:shd w:val="clear" w:color="auto" w:fill="F2F2F2" w:themeFill="background1" w:themeFillShade="F2"/>
            <w:vAlign w:val="center"/>
          </w:tcPr>
          <w:p w:rsidR="000A324D" w:rsidRPr="00AE264E" w:rsidRDefault="000A324D" w:rsidP="00AE264E">
            <w:pPr>
              <w:jc w:val="center"/>
              <w:rPr>
                <w:rFonts w:ascii="Arial" w:hAnsi="Arial" w:cs="Arial"/>
                <w:color w:val="000000" w:themeColor="text1"/>
                <w:sz w:val="22"/>
                <w:szCs w:val="22"/>
              </w:rPr>
            </w:pPr>
            <w:r w:rsidRPr="00AE264E">
              <w:rPr>
                <w:rFonts w:ascii="Arial" w:hAnsi="Arial" w:cs="Arial"/>
                <w:color w:val="000000" w:themeColor="text1"/>
                <w:sz w:val="22"/>
                <w:szCs w:val="22"/>
              </w:rPr>
              <w:t>3</w:t>
            </w:r>
          </w:p>
        </w:tc>
        <w:tc>
          <w:tcPr>
            <w:tcW w:w="4717" w:type="pct"/>
            <w:gridSpan w:val="2"/>
            <w:tcBorders>
              <w:top w:val="single" w:sz="4" w:space="0" w:color="auto"/>
              <w:bottom w:val="single" w:sz="4" w:space="0" w:color="auto"/>
            </w:tcBorders>
            <w:shd w:val="clear" w:color="auto" w:fill="F2F2F2" w:themeFill="background1" w:themeFillShade="F2"/>
          </w:tcPr>
          <w:p w:rsidR="000A324D" w:rsidRPr="00AE264E" w:rsidRDefault="000A324D" w:rsidP="00AE264E">
            <w:pPr>
              <w:rPr>
                <w:rFonts w:ascii="Arial" w:hAnsi="Arial" w:cs="Arial"/>
                <w:color w:val="000000" w:themeColor="text1"/>
                <w:sz w:val="22"/>
                <w:szCs w:val="22"/>
              </w:rPr>
            </w:pPr>
            <w:r w:rsidRPr="00AE264E">
              <w:rPr>
                <w:rFonts w:ascii="Arial" w:hAnsi="Arial" w:cs="Arial"/>
                <w:b/>
                <w:color w:val="000000" w:themeColor="text1"/>
                <w:sz w:val="22"/>
                <w:szCs w:val="22"/>
              </w:rPr>
              <w:t>Risks to the investigator</w:t>
            </w:r>
          </w:p>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For example: personal health &amp; safety, physical harm, emotional distress, risk of accusation of harm/impropriety, conflict of interest</w:t>
            </w:r>
          </w:p>
        </w:tc>
      </w:tr>
      <w:tr w:rsidR="000A324D" w:rsidRPr="00AE264E" w:rsidTr="00C82976">
        <w:tc>
          <w:tcPr>
            <w:tcW w:w="283" w:type="pct"/>
            <w:tcBorders>
              <w:top w:val="single" w:sz="4" w:space="0" w:color="auto"/>
              <w:bottom w:val="single" w:sz="4" w:space="0" w:color="auto"/>
            </w:tcBorders>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p>
        </w:tc>
        <w:tc>
          <w:tcPr>
            <w:tcW w:w="2372" w:type="pct"/>
            <w:tcBorders>
              <w:top w:val="single" w:sz="4" w:space="0" w:color="auto"/>
              <w:bottom w:val="single" w:sz="4" w:space="0" w:color="auto"/>
            </w:tcBorders>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Risk to the investigator:</w:t>
            </w:r>
          </w:p>
          <w:p w:rsidR="000A324D" w:rsidRPr="00AE264E" w:rsidRDefault="000A324D" w:rsidP="00AE264E">
            <w:pPr>
              <w:autoSpaceDE w:val="0"/>
              <w:autoSpaceDN w:val="0"/>
              <w:adjustRightInd w:val="0"/>
              <w:rPr>
                <w:rFonts w:ascii="Arial" w:hAnsi="Arial" w:cs="Arial"/>
                <w:color w:val="000000" w:themeColor="text1"/>
                <w:szCs w:val="22"/>
              </w:rPr>
            </w:pPr>
            <w:r w:rsidRPr="00AE264E">
              <w:rPr>
                <w:rFonts w:ascii="Arial" w:hAnsi="Arial" w:cs="Arial"/>
                <w:color w:val="000000" w:themeColor="text1"/>
                <w:szCs w:val="22"/>
              </w:rPr>
              <w:t>The researcher could have small risk of using the computer for a long time, eye strain, mental tiredness, and researcher bias in selecting and analysing the secondary literature. Another danger with not critically evaluating the literature is the possibility of inadvertently incorporating inaccurate or unreliable sources. Accidental plagiarism and wrong referencing are other forms of academic dishonesty that could occur during the writing of the dissertation also.</w:t>
            </w:r>
          </w:p>
          <w:p w:rsidR="000A324D" w:rsidRPr="00AE264E" w:rsidRDefault="000A324D" w:rsidP="00AE264E">
            <w:pPr>
              <w:autoSpaceDE w:val="0"/>
              <w:autoSpaceDN w:val="0"/>
              <w:adjustRightInd w:val="0"/>
              <w:rPr>
                <w:rFonts w:ascii="Arial" w:hAnsi="Arial" w:cs="Arial"/>
                <w:color w:val="000000" w:themeColor="text1"/>
                <w:sz w:val="22"/>
                <w:szCs w:val="22"/>
              </w:rPr>
            </w:pPr>
          </w:p>
        </w:tc>
        <w:tc>
          <w:tcPr>
            <w:tcW w:w="2344" w:type="pct"/>
            <w:tcBorders>
              <w:top w:val="single" w:sz="4" w:space="0" w:color="auto"/>
              <w:bottom w:val="single" w:sz="4" w:space="0" w:color="auto"/>
            </w:tcBorders>
          </w:tcPr>
          <w:p w:rsidR="000A324D" w:rsidRPr="00AE264E" w:rsidRDefault="000A324D" w:rsidP="00AE264E">
            <w:pPr>
              <w:autoSpaceDE w:val="0"/>
              <w:autoSpaceDN w:val="0"/>
              <w:adjustRightInd w:val="0"/>
              <w:rPr>
                <w:rFonts w:ascii="Arial" w:hAnsi="Arial" w:cs="Arial"/>
                <w:i/>
                <w:color w:val="000000" w:themeColor="text1"/>
                <w:sz w:val="18"/>
                <w:szCs w:val="18"/>
              </w:rPr>
            </w:pPr>
            <w:r w:rsidRPr="00AE264E">
              <w:rPr>
                <w:rFonts w:ascii="Arial" w:hAnsi="Arial" w:cs="Arial"/>
                <w:i/>
                <w:color w:val="000000" w:themeColor="text1"/>
                <w:sz w:val="18"/>
                <w:szCs w:val="18"/>
              </w:rPr>
              <w:t>How you will mitigate the risk to the investigator:</w:t>
            </w:r>
          </w:p>
          <w:p w:rsidR="000A324D" w:rsidRPr="00AE264E" w:rsidRDefault="000A324D" w:rsidP="00AE264E">
            <w:pPr>
              <w:rPr>
                <w:rFonts w:ascii="Arial" w:hAnsi="Arial" w:cs="Arial"/>
                <w:color w:val="000000" w:themeColor="text1"/>
                <w:szCs w:val="22"/>
              </w:rPr>
            </w:pPr>
            <w:r w:rsidRPr="00AE264E">
              <w:rPr>
                <w:rFonts w:ascii="Arial" w:hAnsi="Arial" w:cs="Arial"/>
                <w:color w:val="000000" w:themeColor="text1"/>
                <w:szCs w:val="22"/>
              </w:rPr>
              <w:t>The researcher will be aware of the regular screen breaks and the correct practices of workstations to reduce physical stress. A systematic search strategy and predefined inclusion criteria will be used to minimise selection bias. Academic databases that are reliable and organisational reports will be utilized. All sources will be assessed for authenticity, accurately referenced and checked for plagiarism prior to submission. Academic supervisor will be available for guidance at regular meetings throughout the research process.</w:t>
            </w:r>
          </w:p>
          <w:p w:rsidR="000A324D" w:rsidRPr="00AE264E" w:rsidRDefault="000A324D" w:rsidP="00AE264E">
            <w:pPr>
              <w:rPr>
                <w:rFonts w:ascii="Arial" w:hAnsi="Arial" w:cs="Arial"/>
                <w:color w:val="000000" w:themeColor="text1"/>
                <w:sz w:val="22"/>
                <w:szCs w:val="22"/>
              </w:rPr>
            </w:pPr>
          </w:p>
          <w:p w:rsidR="000A324D" w:rsidRPr="00AE264E" w:rsidRDefault="000A324D" w:rsidP="00AE264E">
            <w:pPr>
              <w:rPr>
                <w:rFonts w:ascii="Arial" w:hAnsi="Arial" w:cs="Arial"/>
                <w:color w:val="000000" w:themeColor="text1"/>
                <w:sz w:val="22"/>
                <w:szCs w:val="22"/>
              </w:rPr>
            </w:pPr>
          </w:p>
          <w:p w:rsidR="000A324D" w:rsidRPr="00AE264E" w:rsidRDefault="000A324D" w:rsidP="00AE264E">
            <w:pPr>
              <w:autoSpaceDE w:val="0"/>
              <w:autoSpaceDN w:val="0"/>
              <w:adjustRightInd w:val="0"/>
              <w:rPr>
                <w:rFonts w:cs="Arial"/>
                <w:color w:val="000000" w:themeColor="text1"/>
              </w:rPr>
            </w:pPr>
          </w:p>
        </w:tc>
      </w:tr>
      <w:tr w:rsidR="000A324D" w:rsidRPr="00AE264E" w:rsidTr="00C82976">
        <w:tc>
          <w:tcPr>
            <w:tcW w:w="283" w:type="pct"/>
            <w:tcBorders>
              <w:top w:val="single" w:sz="4" w:space="0" w:color="auto"/>
              <w:bottom w:val="single" w:sz="4" w:space="0" w:color="auto"/>
            </w:tcBorders>
            <w:shd w:val="clear" w:color="auto" w:fill="F2F2F2" w:themeFill="background1" w:themeFillShade="F2"/>
            <w:vAlign w:val="center"/>
          </w:tcPr>
          <w:p w:rsidR="000A324D" w:rsidRPr="00AE264E" w:rsidRDefault="000A324D" w:rsidP="00AE264E">
            <w:pPr>
              <w:jc w:val="center"/>
              <w:rPr>
                <w:rFonts w:ascii="Arial" w:hAnsi="Arial" w:cs="Arial"/>
                <w:color w:val="000000" w:themeColor="text1"/>
                <w:sz w:val="22"/>
                <w:szCs w:val="22"/>
              </w:rPr>
            </w:pPr>
            <w:r w:rsidRPr="00AE264E">
              <w:rPr>
                <w:rFonts w:ascii="Arial" w:hAnsi="Arial" w:cs="Arial"/>
                <w:color w:val="000000" w:themeColor="text1"/>
                <w:sz w:val="22"/>
                <w:szCs w:val="22"/>
              </w:rPr>
              <w:t>4</w:t>
            </w:r>
          </w:p>
        </w:tc>
        <w:tc>
          <w:tcPr>
            <w:tcW w:w="4717" w:type="pct"/>
            <w:gridSpan w:val="2"/>
            <w:tcBorders>
              <w:top w:val="single" w:sz="4" w:space="0" w:color="auto"/>
              <w:bottom w:val="single" w:sz="4" w:space="0" w:color="auto"/>
            </w:tcBorders>
            <w:shd w:val="clear" w:color="auto" w:fill="F2F2F2" w:themeFill="background1" w:themeFillShade="F2"/>
          </w:tcPr>
          <w:p w:rsidR="000A324D" w:rsidRPr="00AE264E" w:rsidRDefault="000A324D" w:rsidP="00AE264E">
            <w:pPr>
              <w:rPr>
                <w:rFonts w:ascii="Arial" w:hAnsi="Arial" w:cs="Arial"/>
                <w:color w:val="000000" w:themeColor="text1"/>
                <w:sz w:val="22"/>
                <w:szCs w:val="22"/>
              </w:rPr>
            </w:pPr>
            <w:r w:rsidRPr="00AE264E">
              <w:rPr>
                <w:rFonts w:ascii="Arial" w:hAnsi="Arial" w:cs="Arial"/>
                <w:b/>
                <w:color w:val="000000" w:themeColor="text1"/>
                <w:sz w:val="22"/>
                <w:szCs w:val="22"/>
              </w:rPr>
              <w:t>University/institutional risks</w:t>
            </w:r>
          </w:p>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For example: adverse publicity, financial loss, data protection</w:t>
            </w:r>
          </w:p>
        </w:tc>
      </w:tr>
      <w:tr w:rsidR="000A324D" w:rsidRPr="00AE264E" w:rsidTr="00C82976">
        <w:tc>
          <w:tcPr>
            <w:tcW w:w="283" w:type="pct"/>
            <w:tcBorders>
              <w:top w:val="single" w:sz="4" w:space="0" w:color="auto"/>
              <w:bottom w:val="single" w:sz="4" w:space="0" w:color="auto"/>
            </w:tcBorders>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p>
        </w:tc>
        <w:tc>
          <w:tcPr>
            <w:tcW w:w="2372" w:type="pct"/>
            <w:tcBorders>
              <w:top w:val="single" w:sz="4" w:space="0" w:color="auto"/>
              <w:bottom w:val="single" w:sz="4" w:space="0" w:color="auto"/>
            </w:tcBorders>
          </w:tcPr>
          <w:p w:rsidR="000A324D" w:rsidRPr="00AE264E" w:rsidRDefault="000A324D" w:rsidP="00AE264E">
            <w:pPr>
              <w:autoSpaceDE w:val="0"/>
              <w:autoSpaceDN w:val="0"/>
              <w:adjustRightInd w:val="0"/>
              <w:rPr>
                <w:rFonts w:ascii="Arial" w:hAnsi="Arial" w:cs="Arial"/>
                <w:color w:val="000000" w:themeColor="text1"/>
              </w:rPr>
            </w:pPr>
            <w:r w:rsidRPr="00AE264E">
              <w:rPr>
                <w:rFonts w:ascii="Arial" w:hAnsi="Arial" w:cs="Arial"/>
                <w:color w:val="000000" w:themeColor="text1"/>
              </w:rPr>
              <w:t>Risk to the University:</w:t>
            </w:r>
          </w:p>
          <w:p w:rsidR="000A324D" w:rsidRPr="00AE264E" w:rsidRDefault="000A324D" w:rsidP="00AE264E">
            <w:pPr>
              <w:rPr>
                <w:rFonts w:ascii="Arial" w:hAnsi="Arial" w:cs="Arial"/>
                <w:color w:val="000000" w:themeColor="text1"/>
              </w:rPr>
            </w:pPr>
            <w:r w:rsidRPr="00AE264E">
              <w:rPr>
                <w:rFonts w:ascii="Arial" w:hAnsi="Arial" w:cs="Arial"/>
                <w:color w:val="000000" w:themeColor="text1"/>
              </w:rPr>
              <w:t>The University can be at risk if the research results are inaccurate or violate copyright laws or research ethics and academic integrity. There is also a risk if the information published is misinterpreted or misleading.</w:t>
            </w:r>
          </w:p>
          <w:p w:rsidR="000A324D" w:rsidRPr="00AE264E" w:rsidRDefault="000A324D" w:rsidP="00AE264E">
            <w:pPr>
              <w:autoSpaceDE w:val="0"/>
              <w:autoSpaceDN w:val="0"/>
              <w:adjustRightInd w:val="0"/>
              <w:rPr>
                <w:rFonts w:ascii="Arial" w:hAnsi="Arial" w:cs="Arial"/>
                <w:color w:val="000000" w:themeColor="text1"/>
              </w:rPr>
            </w:pPr>
          </w:p>
        </w:tc>
        <w:tc>
          <w:tcPr>
            <w:tcW w:w="2344" w:type="pct"/>
            <w:tcBorders>
              <w:top w:val="single" w:sz="4" w:space="0" w:color="auto"/>
              <w:bottom w:val="single" w:sz="4" w:space="0" w:color="auto"/>
            </w:tcBorders>
          </w:tcPr>
          <w:p w:rsidR="000A324D" w:rsidRPr="00AE264E" w:rsidRDefault="000A324D" w:rsidP="00AE264E">
            <w:pPr>
              <w:autoSpaceDE w:val="0"/>
              <w:autoSpaceDN w:val="0"/>
              <w:adjustRightInd w:val="0"/>
              <w:rPr>
                <w:rFonts w:ascii="Arial" w:hAnsi="Arial" w:cs="Arial"/>
                <w:i/>
                <w:color w:val="000000" w:themeColor="text1"/>
              </w:rPr>
            </w:pPr>
            <w:r w:rsidRPr="00AE264E">
              <w:rPr>
                <w:rFonts w:ascii="Arial" w:hAnsi="Arial" w:cs="Arial"/>
                <w:i/>
                <w:color w:val="000000" w:themeColor="text1"/>
              </w:rPr>
              <w:t>How you will mitigate the risk to the University:</w:t>
            </w:r>
          </w:p>
          <w:p w:rsidR="000A324D" w:rsidRPr="00AE264E" w:rsidRDefault="000A324D" w:rsidP="00AE264E">
            <w:pPr>
              <w:rPr>
                <w:rFonts w:ascii="Arial" w:hAnsi="Arial" w:cs="Arial"/>
                <w:color w:val="000000" w:themeColor="text1"/>
              </w:rPr>
            </w:pPr>
            <w:r w:rsidRPr="00AE264E">
              <w:rPr>
                <w:rFonts w:ascii="Arial" w:hAnsi="Arial" w:cs="Arial"/>
                <w:color w:val="000000" w:themeColor="text1"/>
              </w:rPr>
              <w:t xml:space="preserve">The research will adhere to the University's Research Ethics and Integrity Code of Practice and all relevant academic legislation. Only information from reliable and public sources will be collected. Throughout </w:t>
            </w:r>
            <w:r w:rsidRPr="00AE264E">
              <w:rPr>
                <w:rFonts w:ascii="Arial" w:hAnsi="Arial" w:cs="Arial"/>
                <w:color w:val="000000" w:themeColor="text1"/>
              </w:rPr>
              <w:lastRenderedPageBreak/>
              <w:t>the dissertation, accurate referencing will be used and plagiarism avoided by careful referencing and originality checking. The academic supervisor will review the dissertation and make sure that the dissertation is of academic merit and that it meets the requirements of the University before it is submitted to the University.</w:t>
            </w:r>
          </w:p>
          <w:p w:rsidR="000A324D" w:rsidRPr="00AE264E" w:rsidRDefault="000A324D" w:rsidP="00AE264E">
            <w:pPr>
              <w:rPr>
                <w:rFonts w:ascii="Arial" w:hAnsi="Arial" w:cs="Arial"/>
                <w:color w:val="000000" w:themeColor="text1"/>
              </w:rPr>
            </w:pPr>
          </w:p>
          <w:p w:rsidR="000A324D" w:rsidRPr="00AE264E" w:rsidRDefault="000A324D" w:rsidP="00AE264E">
            <w:pPr>
              <w:rPr>
                <w:rFonts w:ascii="Arial" w:hAnsi="Arial" w:cs="Arial"/>
                <w:color w:val="000000" w:themeColor="text1"/>
              </w:rPr>
            </w:pPr>
          </w:p>
          <w:p w:rsidR="000A324D" w:rsidRPr="00AE264E" w:rsidRDefault="000A324D" w:rsidP="00AE264E">
            <w:pPr>
              <w:rPr>
                <w:rFonts w:ascii="Arial" w:hAnsi="Arial" w:cs="Arial"/>
                <w:color w:val="000000" w:themeColor="text1"/>
              </w:rPr>
            </w:pPr>
          </w:p>
          <w:p w:rsidR="000A324D" w:rsidRPr="00AE264E" w:rsidRDefault="000A324D" w:rsidP="00AE264E">
            <w:pPr>
              <w:autoSpaceDE w:val="0"/>
              <w:autoSpaceDN w:val="0"/>
              <w:adjustRightInd w:val="0"/>
              <w:rPr>
                <w:rFonts w:cs="Arial"/>
                <w:color w:val="000000" w:themeColor="text1"/>
              </w:rPr>
            </w:pPr>
          </w:p>
        </w:tc>
      </w:tr>
      <w:tr w:rsidR="000A324D" w:rsidRPr="00AE264E" w:rsidTr="00C82976">
        <w:tc>
          <w:tcPr>
            <w:tcW w:w="283" w:type="pct"/>
            <w:tcBorders>
              <w:top w:val="single" w:sz="4" w:space="0" w:color="auto"/>
              <w:bottom w:val="single" w:sz="4" w:space="0" w:color="auto"/>
            </w:tcBorders>
            <w:shd w:val="clear" w:color="auto" w:fill="F2F2F2" w:themeFill="background1" w:themeFillShade="F2"/>
            <w:vAlign w:val="center"/>
          </w:tcPr>
          <w:p w:rsidR="000A324D" w:rsidRPr="00AE264E" w:rsidRDefault="000A324D" w:rsidP="00AE264E">
            <w:pPr>
              <w:jc w:val="center"/>
              <w:rPr>
                <w:rFonts w:ascii="Arial" w:hAnsi="Arial" w:cs="Arial"/>
                <w:color w:val="000000" w:themeColor="text1"/>
                <w:sz w:val="22"/>
                <w:szCs w:val="22"/>
              </w:rPr>
            </w:pPr>
            <w:r w:rsidRPr="00AE264E">
              <w:rPr>
                <w:rFonts w:ascii="Arial" w:hAnsi="Arial" w:cs="Arial"/>
                <w:color w:val="000000" w:themeColor="text1"/>
                <w:sz w:val="22"/>
                <w:szCs w:val="22"/>
              </w:rPr>
              <w:t>5</w:t>
            </w:r>
          </w:p>
        </w:tc>
        <w:tc>
          <w:tcPr>
            <w:tcW w:w="4717" w:type="pct"/>
            <w:gridSpan w:val="2"/>
            <w:tcBorders>
              <w:top w:val="single" w:sz="4" w:space="0" w:color="auto"/>
              <w:bottom w:val="single" w:sz="4" w:space="0" w:color="auto"/>
            </w:tcBorders>
            <w:shd w:val="clear" w:color="auto" w:fill="F2F2F2" w:themeFill="background1" w:themeFillShade="F2"/>
          </w:tcPr>
          <w:p w:rsidR="000A324D" w:rsidRPr="00AE264E" w:rsidRDefault="000A324D" w:rsidP="00AE264E">
            <w:pPr>
              <w:rPr>
                <w:rFonts w:ascii="Arial" w:hAnsi="Arial" w:cs="Arial"/>
                <w:color w:val="000000" w:themeColor="text1"/>
                <w:sz w:val="22"/>
                <w:szCs w:val="22"/>
              </w:rPr>
            </w:pPr>
            <w:r w:rsidRPr="00AE264E">
              <w:rPr>
                <w:rFonts w:ascii="Arial" w:hAnsi="Arial" w:cs="Arial"/>
                <w:b/>
                <w:color w:val="000000" w:themeColor="text1"/>
                <w:sz w:val="22"/>
                <w:szCs w:val="22"/>
              </w:rPr>
              <w:t>Environmental risks</w:t>
            </w:r>
          </w:p>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For example: accidental spillage of pollutants, damage to local ecosystems</w:t>
            </w:r>
          </w:p>
        </w:tc>
      </w:tr>
      <w:tr w:rsidR="000A324D" w:rsidRPr="00AE264E" w:rsidTr="00C82976">
        <w:tc>
          <w:tcPr>
            <w:tcW w:w="283" w:type="pct"/>
            <w:tcBorders>
              <w:top w:val="single" w:sz="4" w:space="0" w:color="auto"/>
              <w:bottom w:val="single" w:sz="4" w:space="0" w:color="auto"/>
            </w:tcBorders>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p>
        </w:tc>
        <w:tc>
          <w:tcPr>
            <w:tcW w:w="2372" w:type="pct"/>
            <w:tcBorders>
              <w:top w:val="single" w:sz="4" w:space="0" w:color="auto"/>
              <w:bottom w:val="single" w:sz="4" w:space="0" w:color="auto"/>
            </w:tcBorders>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Risk to the environment:</w:t>
            </w:r>
          </w:p>
          <w:p w:rsidR="000A324D" w:rsidRPr="00AE264E" w:rsidRDefault="000A324D" w:rsidP="00AE264E">
            <w:pPr>
              <w:rPr>
                <w:rFonts w:ascii="Arial" w:hAnsi="Arial" w:cs="Arial"/>
                <w:color w:val="000000" w:themeColor="text1"/>
                <w:szCs w:val="22"/>
              </w:rPr>
            </w:pPr>
            <w:r w:rsidRPr="00AE264E">
              <w:rPr>
                <w:rFonts w:ascii="Arial" w:hAnsi="Arial" w:cs="Arial"/>
                <w:color w:val="000000" w:themeColor="text1"/>
                <w:szCs w:val="22"/>
              </w:rPr>
              <w:t>The risk to the environment is medium. The research is fully desk-based and is not to be conducted in the field, laboratory, via travel or with hazardous materials. The environmental risks are thus very low. Use of the computer and the occasional printing of research materials requires minimal amounts of electricity, which can cause some environmental impacts.</w:t>
            </w:r>
          </w:p>
          <w:p w:rsidR="000A324D" w:rsidRPr="00AE264E" w:rsidRDefault="000A324D" w:rsidP="00AE264E">
            <w:pPr>
              <w:rPr>
                <w:rFonts w:ascii="Arial" w:hAnsi="Arial" w:cs="Arial"/>
                <w:color w:val="000000" w:themeColor="text1"/>
                <w:sz w:val="22"/>
                <w:szCs w:val="22"/>
              </w:rPr>
            </w:pPr>
          </w:p>
          <w:p w:rsidR="000A324D" w:rsidRPr="00AE264E" w:rsidRDefault="000A324D" w:rsidP="00AE264E">
            <w:pPr>
              <w:rPr>
                <w:rFonts w:ascii="Arial" w:hAnsi="Arial" w:cs="Arial"/>
                <w:color w:val="000000" w:themeColor="text1"/>
                <w:sz w:val="22"/>
                <w:szCs w:val="22"/>
              </w:rPr>
            </w:pPr>
          </w:p>
          <w:p w:rsidR="000A324D" w:rsidRPr="00AE264E" w:rsidRDefault="000A324D" w:rsidP="00AE264E">
            <w:pPr>
              <w:rPr>
                <w:rFonts w:ascii="Arial" w:hAnsi="Arial" w:cs="Arial"/>
                <w:color w:val="000000" w:themeColor="text1"/>
                <w:sz w:val="22"/>
                <w:szCs w:val="22"/>
              </w:rPr>
            </w:pPr>
          </w:p>
          <w:p w:rsidR="000A324D" w:rsidRPr="00AE264E" w:rsidRDefault="000A324D" w:rsidP="00AE264E">
            <w:pPr>
              <w:autoSpaceDE w:val="0"/>
              <w:autoSpaceDN w:val="0"/>
              <w:adjustRightInd w:val="0"/>
              <w:rPr>
                <w:rFonts w:ascii="Arial" w:hAnsi="Arial" w:cs="Arial"/>
                <w:color w:val="000000" w:themeColor="text1"/>
                <w:sz w:val="22"/>
                <w:szCs w:val="22"/>
              </w:rPr>
            </w:pPr>
          </w:p>
        </w:tc>
        <w:tc>
          <w:tcPr>
            <w:tcW w:w="2344" w:type="pct"/>
            <w:tcBorders>
              <w:top w:val="single" w:sz="4" w:space="0" w:color="auto"/>
              <w:bottom w:val="single" w:sz="4" w:space="0" w:color="auto"/>
            </w:tcBorders>
          </w:tcPr>
          <w:p w:rsidR="000A324D" w:rsidRPr="00AE264E" w:rsidRDefault="000A324D" w:rsidP="00AE264E">
            <w:pPr>
              <w:autoSpaceDE w:val="0"/>
              <w:autoSpaceDN w:val="0"/>
              <w:adjustRightInd w:val="0"/>
              <w:rPr>
                <w:rFonts w:ascii="Arial" w:hAnsi="Arial" w:cs="Arial"/>
                <w:i/>
                <w:color w:val="000000" w:themeColor="text1"/>
                <w:sz w:val="18"/>
                <w:szCs w:val="18"/>
              </w:rPr>
            </w:pPr>
            <w:r w:rsidRPr="00AE264E">
              <w:rPr>
                <w:rFonts w:ascii="Arial" w:hAnsi="Arial" w:cs="Arial"/>
                <w:i/>
                <w:color w:val="000000" w:themeColor="text1"/>
                <w:sz w:val="18"/>
                <w:szCs w:val="18"/>
              </w:rPr>
              <w:t>How you will mitigate the risk to environment:</w:t>
            </w:r>
          </w:p>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Electronic documents will be used as the main sources of information to reduce the amount of paper used by the researcher. Printing will only take place when necessary. Energy will be saved by the efficient use and switching off of electronic devices when not in use. No hazardous waste or hazardous activities will be produced as a result of the study that would have a negative impact on the natural environment.</w:t>
            </w:r>
          </w:p>
          <w:p w:rsidR="000A324D" w:rsidRPr="00AE264E" w:rsidRDefault="000A324D" w:rsidP="00AE264E">
            <w:pPr>
              <w:rPr>
                <w:rFonts w:ascii="Arial" w:hAnsi="Arial" w:cs="Arial"/>
                <w:color w:val="000000" w:themeColor="text1"/>
                <w:sz w:val="22"/>
                <w:szCs w:val="22"/>
              </w:rPr>
            </w:pPr>
          </w:p>
          <w:p w:rsidR="000A324D" w:rsidRPr="00AE264E" w:rsidRDefault="000A324D" w:rsidP="00AE264E">
            <w:pPr>
              <w:rPr>
                <w:rFonts w:ascii="Arial" w:hAnsi="Arial" w:cs="Arial"/>
                <w:color w:val="000000" w:themeColor="text1"/>
                <w:sz w:val="22"/>
                <w:szCs w:val="22"/>
              </w:rPr>
            </w:pPr>
          </w:p>
          <w:p w:rsidR="000A324D" w:rsidRPr="00AE264E" w:rsidRDefault="000A324D" w:rsidP="00AE264E">
            <w:pPr>
              <w:autoSpaceDE w:val="0"/>
              <w:autoSpaceDN w:val="0"/>
              <w:adjustRightInd w:val="0"/>
              <w:rPr>
                <w:rFonts w:cs="Arial"/>
                <w:color w:val="000000" w:themeColor="text1"/>
              </w:rPr>
            </w:pPr>
          </w:p>
        </w:tc>
      </w:tr>
    </w:tbl>
    <w:p w:rsidR="000A324D" w:rsidRPr="00AE264E" w:rsidRDefault="000A324D" w:rsidP="000A324D">
      <w:pPr>
        <w:rPr>
          <w:color w:val="000000" w:themeColor="text1"/>
        </w:rPr>
      </w:pPr>
    </w:p>
    <w:p w:rsidR="000A324D" w:rsidRPr="00AE264E" w:rsidRDefault="000A324D" w:rsidP="000A324D">
      <w:pPr>
        <w:rPr>
          <w:rFonts w:ascii="Arial" w:hAnsi="Arial" w:cs="Arial"/>
          <w:b/>
          <w:color w:val="000000" w:themeColor="text1"/>
          <w:sz w:val="22"/>
          <w:szCs w:val="22"/>
        </w:rPr>
      </w:pPr>
      <w:r w:rsidRPr="00AE264E">
        <w:rPr>
          <w:rFonts w:ascii="Arial" w:hAnsi="Arial" w:cs="Arial"/>
          <w:b/>
          <w:color w:val="000000" w:themeColor="text1"/>
          <w:sz w:val="22"/>
          <w:szCs w:val="22"/>
        </w:rPr>
        <w:t>SECTION G: Feedback, Consent and Confidentiality</w:t>
      </w:r>
    </w:p>
    <w:p w:rsidR="000A324D" w:rsidRPr="00AE264E" w:rsidRDefault="000A324D" w:rsidP="000A324D">
      <w:pPr>
        <w:rPr>
          <w:rFonts w:ascii="Arial" w:hAnsi="Arial" w:cs="Arial"/>
          <w:b/>
          <w:color w:val="000000" w:themeColor="text1"/>
          <w:sz w:val="22"/>
          <w:szCs w:val="22"/>
        </w:rPr>
      </w:pPr>
    </w:p>
    <w:p w:rsidR="000A324D" w:rsidRPr="00AE264E" w:rsidRDefault="000A324D" w:rsidP="000A324D">
      <w:pPr>
        <w:rPr>
          <w:rFonts w:ascii="Arial" w:hAnsi="Arial" w:cs="Arial"/>
          <w:color w:val="000000" w:themeColor="text1"/>
          <w:sz w:val="22"/>
          <w:szCs w:val="22"/>
        </w:rPr>
      </w:pPr>
      <w:r w:rsidRPr="00AE264E">
        <w:rPr>
          <w:rFonts w:ascii="Arial" w:hAnsi="Arial" w:cs="Arial"/>
          <w:color w:val="000000" w:themeColor="text1"/>
          <w:sz w:val="22"/>
          <w:szCs w:val="22"/>
        </w:rPr>
        <w:lastRenderedPageBreak/>
        <w:t>If you have identified in section D that there are no participants, then enter skip this section and continue to section H.</w:t>
      </w:r>
    </w:p>
    <w:p w:rsidR="000A324D" w:rsidRPr="00AE264E" w:rsidRDefault="000A324D" w:rsidP="000A324D">
      <w:pPr>
        <w:rPr>
          <w:rFonts w:ascii="Arial" w:hAnsi="Arial" w:cs="Arial"/>
          <w:b/>
          <w:color w:val="000000" w:themeColor="text1"/>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8509"/>
      </w:tblGrid>
      <w:tr w:rsidR="000A324D" w:rsidRPr="00AE264E" w:rsidTr="00C82976">
        <w:tc>
          <w:tcPr>
            <w:tcW w:w="283" w:type="pct"/>
            <w:tcBorders>
              <w:top w:val="single" w:sz="4" w:space="0" w:color="auto"/>
              <w:bottom w:val="single" w:sz="4" w:space="0" w:color="auto"/>
            </w:tcBorders>
            <w:shd w:val="clear" w:color="auto" w:fill="F2F2F2" w:themeFill="background1" w:themeFillShade="F2"/>
          </w:tcPr>
          <w:p w:rsidR="000A324D" w:rsidRPr="00AE264E" w:rsidRDefault="000A324D" w:rsidP="00AE264E">
            <w:pPr>
              <w:rPr>
                <w:rFonts w:ascii="Arial" w:hAnsi="Arial" w:cs="Arial"/>
                <w:bCs/>
                <w:color w:val="000000" w:themeColor="text1"/>
                <w:sz w:val="22"/>
                <w:szCs w:val="22"/>
              </w:rPr>
            </w:pPr>
            <w:r w:rsidRPr="00AE264E">
              <w:rPr>
                <w:rFonts w:ascii="Arial" w:hAnsi="Arial" w:cs="Arial"/>
                <w:bCs/>
                <w:color w:val="000000" w:themeColor="text1"/>
                <w:sz w:val="22"/>
                <w:szCs w:val="22"/>
              </w:rPr>
              <w:t>1</w:t>
            </w:r>
          </w:p>
        </w:tc>
        <w:tc>
          <w:tcPr>
            <w:tcW w:w="4717" w:type="pct"/>
            <w:tcBorders>
              <w:top w:val="single" w:sz="4" w:space="0" w:color="auto"/>
              <w:bottom w:val="single" w:sz="4" w:space="0" w:color="auto"/>
            </w:tcBorders>
            <w:shd w:val="clear" w:color="auto" w:fill="F2F2F2" w:themeFill="background1" w:themeFillShade="F2"/>
          </w:tcPr>
          <w:p w:rsidR="000A324D" w:rsidRPr="00AE264E" w:rsidRDefault="000A324D" w:rsidP="00AE264E">
            <w:pPr>
              <w:rPr>
                <w:rFonts w:ascii="Arial" w:hAnsi="Arial" w:cs="Arial"/>
                <w:color w:val="000000" w:themeColor="text1"/>
                <w:sz w:val="22"/>
                <w:szCs w:val="22"/>
              </w:rPr>
            </w:pPr>
            <w:r w:rsidRPr="00AE264E">
              <w:rPr>
                <w:rFonts w:ascii="Arial" w:hAnsi="Arial" w:cs="Arial"/>
                <w:b/>
                <w:color w:val="000000" w:themeColor="text1"/>
                <w:sz w:val="22"/>
                <w:szCs w:val="22"/>
              </w:rPr>
              <w:t>Feedback</w:t>
            </w:r>
          </w:p>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 xml:space="preserve">What de-briefing and feedback will be provided to participants, how will this be done and when? </w:t>
            </w:r>
          </w:p>
        </w:tc>
      </w:tr>
      <w:tr w:rsidR="000A324D" w:rsidRPr="00AE264E" w:rsidTr="00C82976">
        <w:tc>
          <w:tcPr>
            <w:tcW w:w="283" w:type="pct"/>
            <w:tcBorders>
              <w:top w:val="single" w:sz="4" w:space="0" w:color="auto"/>
              <w:bottom w:val="single" w:sz="4" w:space="0" w:color="auto"/>
            </w:tcBorders>
          </w:tcPr>
          <w:p w:rsidR="000A324D" w:rsidRPr="00AE264E" w:rsidRDefault="000A324D" w:rsidP="00AE264E">
            <w:pPr>
              <w:rPr>
                <w:rFonts w:ascii="Arial" w:hAnsi="Arial" w:cs="Arial"/>
                <w:bCs/>
                <w:color w:val="000000" w:themeColor="text1"/>
                <w:sz w:val="22"/>
                <w:szCs w:val="22"/>
              </w:rPr>
            </w:pPr>
          </w:p>
        </w:tc>
        <w:tc>
          <w:tcPr>
            <w:tcW w:w="4717" w:type="pct"/>
            <w:tcBorders>
              <w:top w:val="single" w:sz="4" w:space="0" w:color="auto"/>
              <w:bottom w:val="single" w:sz="4" w:space="0" w:color="auto"/>
            </w:tcBorders>
          </w:tcPr>
          <w:p w:rsidR="000A324D" w:rsidRPr="00AE264E" w:rsidRDefault="000A324D" w:rsidP="00AE264E">
            <w:pPr>
              <w:rPr>
                <w:rFonts w:ascii="Arial" w:hAnsi="Arial" w:cs="Arial"/>
                <w:color w:val="000000" w:themeColor="text1"/>
                <w:szCs w:val="22"/>
              </w:rPr>
            </w:pPr>
            <w:r w:rsidRPr="00AE264E">
              <w:rPr>
                <w:rFonts w:ascii="Arial" w:hAnsi="Arial" w:cs="Arial"/>
                <w:color w:val="000000" w:themeColor="text1"/>
                <w:sz w:val="22"/>
              </w:rPr>
              <w:t>You don’t need to email your participants with your final report. A good alternative is to set up an email address that they will be able to contact for further details or results.</w:t>
            </w:r>
          </w:p>
          <w:p w:rsidR="000A324D" w:rsidRPr="00AE264E" w:rsidRDefault="000A324D" w:rsidP="00AE264E">
            <w:pPr>
              <w:rPr>
                <w:rFonts w:ascii="Arial" w:hAnsi="Arial" w:cs="Arial"/>
                <w:color w:val="000000" w:themeColor="text1"/>
                <w:sz w:val="22"/>
                <w:szCs w:val="22"/>
              </w:rPr>
            </w:pPr>
          </w:p>
          <w:p w:rsidR="000A324D" w:rsidRPr="00AE264E" w:rsidRDefault="000A324D" w:rsidP="00AE264E">
            <w:pPr>
              <w:autoSpaceDE w:val="0"/>
              <w:autoSpaceDN w:val="0"/>
              <w:adjustRightInd w:val="0"/>
              <w:rPr>
                <w:rFonts w:cs="Arial"/>
                <w:color w:val="000000" w:themeColor="text1"/>
              </w:rPr>
            </w:pPr>
            <w:r w:rsidRPr="00AE264E">
              <w:rPr>
                <w:rFonts w:ascii="Arial" w:hAnsi="Arial" w:cs="Arial"/>
                <w:i/>
                <w:color w:val="000000" w:themeColor="text1"/>
                <w:sz w:val="18"/>
                <w:szCs w:val="18"/>
              </w:rPr>
              <w:t>(this box should expand as you type)</w:t>
            </w:r>
          </w:p>
        </w:tc>
      </w:tr>
      <w:tr w:rsidR="000A324D" w:rsidRPr="00AE264E" w:rsidTr="00C82976">
        <w:tc>
          <w:tcPr>
            <w:tcW w:w="283" w:type="pct"/>
            <w:tcBorders>
              <w:top w:val="single" w:sz="4" w:space="0" w:color="auto"/>
              <w:bottom w:val="single" w:sz="4" w:space="0" w:color="auto"/>
            </w:tcBorders>
            <w:shd w:val="clear" w:color="auto" w:fill="F2F2F2" w:themeFill="background1" w:themeFillShade="F2"/>
          </w:tcPr>
          <w:p w:rsidR="000A324D" w:rsidRPr="00AE264E" w:rsidRDefault="000A324D" w:rsidP="00AE264E">
            <w:pPr>
              <w:rPr>
                <w:rFonts w:ascii="Arial" w:hAnsi="Arial" w:cs="Arial"/>
                <w:bCs/>
                <w:color w:val="000000" w:themeColor="text1"/>
                <w:sz w:val="22"/>
                <w:szCs w:val="22"/>
              </w:rPr>
            </w:pPr>
            <w:r w:rsidRPr="00AE264E">
              <w:rPr>
                <w:rFonts w:ascii="Arial" w:hAnsi="Arial" w:cs="Arial"/>
                <w:bCs/>
                <w:color w:val="000000" w:themeColor="text1"/>
                <w:sz w:val="22"/>
                <w:szCs w:val="22"/>
              </w:rPr>
              <w:t>2</w:t>
            </w:r>
          </w:p>
        </w:tc>
        <w:tc>
          <w:tcPr>
            <w:tcW w:w="4717" w:type="pct"/>
            <w:tcBorders>
              <w:top w:val="single" w:sz="4" w:space="0" w:color="auto"/>
              <w:bottom w:val="single" w:sz="4" w:space="0" w:color="auto"/>
            </w:tcBorders>
            <w:shd w:val="clear" w:color="auto" w:fill="F2F2F2" w:themeFill="background1" w:themeFillShade="F2"/>
          </w:tcPr>
          <w:p w:rsidR="000A324D" w:rsidRPr="00AE264E" w:rsidRDefault="000A324D" w:rsidP="00AE264E">
            <w:pPr>
              <w:rPr>
                <w:rFonts w:ascii="Arial" w:hAnsi="Arial" w:cs="Arial"/>
                <w:color w:val="000000" w:themeColor="text1"/>
                <w:sz w:val="22"/>
                <w:szCs w:val="22"/>
              </w:rPr>
            </w:pPr>
            <w:r w:rsidRPr="00AE264E">
              <w:rPr>
                <w:rFonts w:ascii="Arial" w:hAnsi="Arial" w:cs="Arial"/>
                <w:b/>
                <w:color w:val="000000" w:themeColor="text1"/>
                <w:sz w:val="22"/>
                <w:szCs w:val="22"/>
              </w:rPr>
              <w:t>Informed consent</w:t>
            </w:r>
          </w:p>
          <w:p w:rsidR="000A324D" w:rsidRPr="00AE264E" w:rsidRDefault="000A324D" w:rsidP="00AE264E">
            <w:pPr>
              <w:autoSpaceDE w:val="0"/>
              <w:autoSpaceDN w:val="0"/>
              <w:adjustRightInd w:val="0"/>
              <w:rPr>
                <w:rFonts w:ascii="Arial" w:hAnsi="Arial" w:cs="Arial"/>
                <w:color w:val="000000" w:themeColor="text1"/>
                <w:sz w:val="22"/>
                <w:szCs w:val="22"/>
                <w:lang w:eastAsia="en-GB"/>
              </w:rPr>
            </w:pPr>
            <w:r w:rsidRPr="00AE264E">
              <w:rPr>
                <w:rFonts w:ascii="Arial" w:hAnsi="Arial" w:cs="Arial"/>
                <w:color w:val="000000" w:themeColor="text1"/>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0A324D" w:rsidRPr="00AE264E" w:rsidTr="00C82976">
        <w:tc>
          <w:tcPr>
            <w:tcW w:w="283" w:type="pct"/>
            <w:tcBorders>
              <w:top w:val="single" w:sz="4" w:space="0" w:color="auto"/>
              <w:bottom w:val="single" w:sz="4" w:space="0" w:color="auto"/>
            </w:tcBorders>
          </w:tcPr>
          <w:p w:rsidR="000A324D" w:rsidRPr="00AE264E" w:rsidRDefault="000A324D" w:rsidP="00AE264E">
            <w:pPr>
              <w:rPr>
                <w:rFonts w:ascii="Arial" w:hAnsi="Arial" w:cs="Arial"/>
                <w:bCs/>
                <w:color w:val="000000" w:themeColor="text1"/>
                <w:sz w:val="22"/>
                <w:szCs w:val="22"/>
              </w:rPr>
            </w:pPr>
          </w:p>
        </w:tc>
        <w:tc>
          <w:tcPr>
            <w:tcW w:w="4717" w:type="pct"/>
            <w:tcBorders>
              <w:top w:val="single" w:sz="4" w:space="0" w:color="auto"/>
              <w:bottom w:val="single" w:sz="4" w:space="0" w:color="auto"/>
            </w:tcBorders>
          </w:tcPr>
          <w:p w:rsidR="000A324D" w:rsidRPr="00AE264E" w:rsidRDefault="000A324D" w:rsidP="00AE264E">
            <w:pPr>
              <w:pStyle w:val="CommentText"/>
              <w:rPr>
                <w:rFonts w:ascii="Arial" w:hAnsi="Arial" w:cs="Arial"/>
                <w:color w:val="000000" w:themeColor="text1"/>
                <w:sz w:val="22"/>
              </w:rPr>
            </w:pPr>
            <w:r w:rsidRPr="00AE264E">
              <w:rPr>
                <w:rFonts w:ascii="Arial" w:hAnsi="Arial" w:cs="Arial"/>
                <w:color w:val="000000" w:themeColor="text1"/>
                <w:sz w:val="22"/>
              </w:rPr>
              <w:t>If you are using a paper questionnaire then you should have the participants sign an appropriate consent form. These forms will count as personal data and should be noted as such in section J.</w:t>
            </w:r>
          </w:p>
          <w:p w:rsidR="000A324D" w:rsidRPr="00AE264E" w:rsidRDefault="000A324D" w:rsidP="00AE264E">
            <w:pPr>
              <w:rPr>
                <w:rFonts w:ascii="Arial" w:hAnsi="Arial" w:cs="Arial"/>
                <w:color w:val="000000" w:themeColor="text1"/>
                <w:szCs w:val="22"/>
              </w:rPr>
            </w:pPr>
            <w:r w:rsidRPr="00AE264E">
              <w:rPr>
                <w:rFonts w:ascii="Arial" w:hAnsi="Arial" w:cs="Arial"/>
                <w:color w:val="000000" w:themeColor="text1"/>
                <w:sz w:val="22"/>
              </w:rPr>
              <w:t>If you are using an online questionnaire, then you should have a screen before the questions start that acts as a consent form, informing participants that by clicking on the NEXT button they are providing consent.</w:t>
            </w:r>
          </w:p>
          <w:p w:rsidR="000A324D" w:rsidRPr="00AE264E" w:rsidRDefault="000A324D" w:rsidP="00AE264E">
            <w:pPr>
              <w:rPr>
                <w:rFonts w:ascii="Arial" w:hAnsi="Arial" w:cs="Arial"/>
                <w:color w:val="000000" w:themeColor="text1"/>
                <w:sz w:val="22"/>
                <w:szCs w:val="22"/>
              </w:rPr>
            </w:pPr>
          </w:p>
          <w:p w:rsidR="000A324D" w:rsidRPr="00AE264E" w:rsidRDefault="000A324D" w:rsidP="00AE264E">
            <w:pPr>
              <w:autoSpaceDE w:val="0"/>
              <w:autoSpaceDN w:val="0"/>
              <w:adjustRightInd w:val="0"/>
              <w:rPr>
                <w:rFonts w:cs="Arial"/>
                <w:color w:val="000000" w:themeColor="text1"/>
              </w:rPr>
            </w:pPr>
            <w:r w:rsidRPr="00AE264E">
              <w:rPr>
                <w:rFonts w:ascii="Arial" w:hAnsi="Arial" w:cs="Arial"/>
                <w:i/>
                <w:color w:val="000000" w:themeColor="text1"/>
                <w:sz w:val="18"/>
                <w:szCs w:val="18"/>
              </w:rPr>
              <w:t>(this box should expand as you type)</w:t>
            </w:r>
          </w:p>
        </w:tc>
      </w:tr>
      <w:tr w:rsidR="000A324D" w:rsidRPr="00AE264E" w:rsidTr="00C82976">
        <w:tc>
          <w:tcPr>
            <w:tcW w:w="283" w:type="pct"/>
            <w:tcBorders>
              <w:top w:val="single" w:sz="4" w:space="0" w:color="auto"/>
              <w:bottom w:val="single" w:sz="4" w:space="0" w:color="auto"/>
            </w:tcBorders>
            <w:shd w:val="clear" w:color="auto" w:fill="F2F2F2" w:themeFill="background1" w:themeFillShade="F2"/>
          </w:tcPr>
          <w:p w:rsidR="000A324D" w:rsidRPr="00AE264E" w:rsidRDefault="000A324D" w:rsidP="00AE264E">
            <w:pPr>
              <w:rPr>
                <w:rFonts w:ascii="Arial" w:hAnsi="Arial" w:cs="Arial"/>
                <w:bCs/>
                <w:color w:val="000000" w:themeColor="text1"/>
                <w:sz w:val="22"/>
                <w:szCs w:val="22"/>
              </w:rPr>
            </w:pPr>
            <w:r w:rsidRPr="00AE264E">
              <w:rPr>
                <w:rFonts w:ascii="Arial" w:hAnsi="Arial" w:cs="Arial"/>
                <w:bCs/>
                <w:color w:val="000000" w:themeColor="text1"/>
                <w:sz w:val="22"/>
                <w:szCs w:val="22"/>
              </w:rPr>
              <w:t>3</w:t>
            </w:r>
          </w:p>
        </w:tc>
        <w:tc>
          <w:tcPr>
            <w:tcW w:w="4717" w:type="pct"/>
            <w:tcBorders>
              <w:top w:val="single" w:sz="4" w:space="0" w:color="auto"/>
              <w:bottom w:val="single" w:sz="4" w:space="0" w:color="auto"/>
            </w:tcBorders>
            <w:shd w:val="clear" w:color="auto" w:fill="F2F2F2" w:themeFill="background1" w:themeFillShade="F2"/>
          </w:tcPr>
          <w:p w:rsidR="000A324D" w:rsidRPr="00AE264E" w:rsidRDefault="000A324D" w:rsidP="00AE264E">
            <w:pPr>
              <w:rPr>
                <w:rFonts w:ascii="Arial" w:hAnsi="Arial" w:cs="Arial"/>
                <w:b/>
                <w:color w:val="000000" w:themeColor="text1"/>
                <w:sz w:val="22"/>
                <w:szCs w:val="22"/>
              </w:rPr>
            </w:pPr>
            <w:r w:rsidRPr="00AE264E">
              <w:rPr>
                <w:rFonts w:ascii="Arial" w:hAnsi="Arial" w:cs="Arial"/>
                <w:b/>
                <w:color w:val="000000" w:themeColor="text1"/>
                <w:sz w:val="22"/>
                <w:szCs w:val="22"/>
              </w:rPr>
              <w:t>Confidentiality / Anonymity</w:t>
            </w:r>
          </w:p>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 xml:space="preserve">Set out how anonymity of participants and confidentiality will be ensured in any outputs. If anonymity is not being offered, explain why this is the case. </w:t>
            </w:r>
          </w:p>
        </w:tc>
      </w:tr>
      <w:tr w:rsidR="000A324D" w:rsidRPr="00AE264E" w:rsidTr="00C82976">
        <w:tc>
          <w:tcPr>
            <w:tcW w:w="283" w:type="pct"/>
            <w:tcBorders>
              <w:top w:val="single" w:sz="4" w:space="0" w:color="auto"/>
              <w:bottom w:val="single" w:sz="4" w:space="0" w:color="auto"/>
            </w:tcBorders>
          </w:tcPr>
          <w:p w:rsidR="000A324D" w:rsidRPr="00AE264E" w:rsidRDefault="000A324D" w:rsidP="00AE264E">
            <w:pPr>
              <w:rPr>
                <w:rFonts w:ascii="Arial" w:hAnsi="Arial" w:cs="Arial"/>
                <w:bCs/>
                <w:color w:val="000000" w:themeColor="text1"/>
                <w:sz w:val="22"/>
                <w:szCs w:val="22"/>
              </w:rPr>
            </w:pPr>
          </w:p>
        </w:tc>
        <w:tc>
          <w:tcPr>
            <w:tcW w:w="4717" w:type="pct"/>
            <w:tcBorders>
              <w:top w:val="single" w:sz="4" w:space="0" w:color="auto"/>
              <w:bottom w:val="single" w:sz="4" w:space="0" w:color="auto"/>
            </w:tcBorders>
          </w:tcPr>
          <w:p w:rsidR="000A324D" w:rsidRPr="00AE264E" w:rsidRDefault="000A324D" w:rsidP="00AE264E">
            <w:pPr>
              <w:pStyle w:val="CommentText"/>
              <w:rPr>
                <w:rFonts w:ascii="Arial" w:hAnsi="Arial" w:cs="Arial"/>
                <w:color w:val="000000" w:themeColor="text1"/>
                <w:sz w:val="22"/>
              </w:rPr>
            </w:pPr>
            <w:r w:rsidRPr="00AE264E">
              <w:rPr>
                <w:rFonts w:ascii="Arial" w:hAnsi="Arial" w:cs="Arial"/>
                <w:color w:val="000000" w:themeColor="text1"/>
                <w:sz w:val="22"/>
              </w:rPr>
              <w:t>Do not collect names unless you really need them. Do not name participants or organisations in any research publications (including the thesis) without their explicit permission.</w:t>
            </w:r>
          </w:p>
          <w:p w:rsidR="000A324D" w:rsidRPr="00AE264E" w:rsidRDefault="000A324D" w:rsidP="00AE264E">
            <w:pPr>
              <w:rPr>
                <w:rFonts w:ascii="Arial" w:hAnsi="Arial" w:cs="Arial"/>
                <w:color w:val="000000" w:themeColor="text1"/>
                <w:sz w:val="22"/>
                <w:szCs w:val="22"/>
              </w:rPr>
            </w:pPr>
          </w:p>
          <w:p w:rsidR="000A324D" w:rsidRPr="00AE264E" w:rsidRDefault="000A324D" w:rsidP="00AE264E">
            <w:pPr>
              <w:autoSpaceDE w:val="0"/>
              <w:autoSpaceDN w:val="0"/>
              <w:adjustRightInd w:val="0"/>
              <w:rPr>
                <w:rFonts w:cs="Arial"/>
                <w:color w:val="000000" w:themeColor="text1"/>
              </w:rPr>
            </w:pPr>
            <w:r w:rsidRPr="00AE264E">
              <w:rPr>
                <w:rFonts w:ascii="Arial" w:hAnsi="Arial" w:cs="Arial"/>
                <w:i/>
                <w:color w:val="000000" w:themeColor="text1"/>
                <w:sz w:val="18"/>
                <w:szCs w:val="18"/>
              </w:rPr>
              <w:t>(this box should expand as you type)</w:t>
            </w:r>
          </w:p>
        </w:tc>
      </w:tr>
    </w:tbl>
    <w:p w:rsidR="000A324D" w:rsidRPr="00AE264E" w:rsidRDefault="000A324D" w:rsidP="000A324D">
      <w:pPr>
        <w:rPr>
          <w:rFonts w:ascii="Arial" w:hAnsi="Arial" w:cs="Arial"/>
          <w:color w:val="000000" w:themeColor="text1"/>
          <w:sz w:val="22"/>
          <w:szCs w:val="22"/>
        </w:rPr>
      </w:pPr>
    </w:p>
    <w:p w:rsidR="000A324D" w:rsidRPr="00AE264E" w:rsidRDefault="000A324D" w:rsidP="000A324D">
      <w:pPr>
        <w:rPr>
          <w:rFonts w:ascii="Arial" w:hAnsi="Arial" w:cs="Arial"/>
          <w:b/>
          <w:color w:val="000000" w:themeColor="text1"/>
          <w:sz w:val="22"/>
          <w:szCs w:val="22"/>
        </w:rPr>
      </w:pPr>
      <w:r w:rsidRPr="00AE264E">
        <w:rPr>
          <w:rFonts w:ascii="Arial" w:hAnsi="Arial" w:cs="Arial"/>
          <w:b/>
          <w:color w:val="000000" w:themeColor="text1"/>
          <w:sz w:val="22"/>
          <w:szCs w:val="22"/>
        </w:rPr>
        <w:t>SECTION H: Data Protection and Storage</w:t>
      </w:r>
    </w:p>
    <w:p w:rsidR="000A324D" w:rsidRPr="00AE264E" w:rsidRDefault="000A324D" w:rsidP="000A324D">
      <w:pPr>
        <w:rPr>
          <w:rFonts w:ascii="Arial" w:hAnsi="Arial" w:cs="Arial"/>
          <w:b/>
          <w:color w:val="000000" w:themeColor="text1"/>
          <w:sz w:val="22"/>
          <w:szCs w:val="22"/>
        </w:rPr>
      </w:pP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87"/>
        <w:gridCol w:w="6797"/>
        <w:gridCol w:w="853"/>
        <w:gridCol w:w="882"/>
      </w:tblGrid>
      <w:tr w:rsidR="000A324D" w:rsidRPr="00AE264E" w:rsidTr="00C82976">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rsidR="000A324D" w:rsidRPr="00AE264E" w:rsidRDefault="000A324D" w:rsidP="00AE264E">
            <w:pPr>
              <w:pStyle w:val="NormalWeb"/>
              <w:autoSpaceDE w:val="0"/>
              <w:autoSpaceDN w:val="0"/>
              <w:adjustRightInd w:val="0"/>
              <w:jc w:val="center"/>
              <w:rPr>
                <w:rFonts w:ascii="Arial" w:hAnsi="Arial" w:cs="Arial"/>
                <w:color w:val="000000" w:themeColor="text1"/>
                <w:sz w:val="22"/>
                <w:szCs w:val="22"/>
              </w:rPr>
            </w:pP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rsidR="000A324D" w:rsidRPr="00AE264E" w:rsidRDefault="000A324D" w:rsidP="00AE264E">
            <w:pPr>
              <w:pStyle w:val="NormalWeb"/>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Does the research activity involve personal da</w:t>
            </w:r>
            <w:r w:rsidRPr="00AE264E">
              <w:rPr>
                <w:rFonts w:ascii="Arial" w:hAnsi="Arial" w:cs="Arial"/>
                <w:color w:val="000000" w:themeColor="text1"/>
                <w:sz w:val="22"/>
                <w:szCs w:val="22"/>
                <w:shd w:val="clear" w:color="auto" w:fill="F2F2F2" w:themeFill="background1" w:themeFillShade="F2"/>
              </w:rPr>
              <w:t>t</w:t>
            </w:r>
            <w:r w:rsidRPr="00AE264E">
              <w:rPr>
                <w:rFonts w:ascii="Arial" w:hAnsi="Arial" w:cs="Arial"/>
                <w:color w:val="000000" w:themeColor="text1"/>
                <w:sz w:val="22"/>
                <w:szCs w:val="22"/>
              </w:rPr>
              <w:t>a (as defined by the General Data Protection Regulation 2016 “GDPR” and the Data Protection Act 2018 “DPA”)?</w:t>
            </w:r>
          </w:p>
        </w:tc>
        <w:tc>
          <w:tcPr>
            <w:tcW w:w="4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A324D" w:rsidRPr="00AE264E" w:rsidRDefault="000A324D" w:rsidP="00AE264E">
            <w:pPr>
              <w:pStyle w:val="NormalWeb"/>
              <w:autoSpaceDE w:val="0"/>
              <w:autoSpaceDN w:val="0"/>
              <w:adjustRightInd w:val="0"/>
              <w:jc w:val="center"/>
              <w:rPr>
                <w:rFonts w:ascii="MS Gothic" w:eastAsia="MS Gothic" w:hAnsi="MS Gothic" w:cs="Arial"/>
                <w:b/>
                <w:bCs/>
                <w:color w:val="000000" w:themeColor="text1"/>
                <w:sz w:val="22"/>
                <w:szCs w:val="22"/>
              </w:rPr>
            </w:pPr>
            <w:r w:rsidRPr="00AE264E">
              <w:rPr>
                <w:rFonts w:ascii="Arial" w:hAnsi="Arial" w:cs="Arial"/>
                <w:b/>
                <w:bCs/>
                <w:color w:val="000000" w:themeColor="text1"/>
                <w:sz w:val="22"/>
                <w:szCs w:val="22"/>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A324D" w:rsidRPr="00AE264E" w:rsidRDefault="000A324D" w:rsidP="00AE264E">
            <w:pPr>
              <w:pStyle w:val="NormalWeb"/>
              <w:autoSpaceDE w:val="0"/>
              <w:autoSpaceDN w:val="0"/>
              <w:adjustRightInd w:val="0"/>
              <w:jc w:val="center"/>
              <w:rPr>
                <w:rFonts w:ascii="MS Gothic" w:eastAsia="MS Gothic" w:hAnsi="MS Gothic" w:cs="Arial"/>
                <w:b/>
                <w:bCs/>
                <w:color w:val="000000" w:themeColor="text1"/>
                <w:sz w:val="22"/>
                <w:szCs w:val="22"/>
              </w:rPr>
            </w:pPr>
            <w:r w:rsidRPr="00AE264E">
              <w:rPr>
                <w:rFonts w:ascii="Arial" w:hAnsi="Arial" w:cs="Arial"/>
                <w:b/>
                <w:bCs/>
                <w:color w:val="000000" w:themeColor="text1"/>
                <w:sz w:val="22"/>
                <w:szCs w:val="22"/>
              </w:rPr>
              <w:t>NO</w:t>
            </w:r>
          </w:p>
        </w:tc>
      </w:tr>
      <w:tr w:rsidR="000A324D" w:rsidRPr="00AE264E" w:rsidTr="00C82976">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rsidR="000A324D" w:rsidRPr="00AE264E" w:rsidRDefault="000A324D" w:rsidP="00AE264E">
            <w:pPr>
              <w:pStyle w:val="NormalWeb"/>
              <w:autoSpaceDE w:val="0"/>
              <w:autoSpaceDN w:val="0"/>
              <w:adjustRightInd w:val="0"/>
              <w:spacing w:before="0" w:beforeAutospacing="0" w:after="0" w:afterAutospacing="0"/>
              <w:jc w:val="center"/>
              <w:rPr>
                <w:rFonts w:ascii="Arial" w:hAnsi="Arial" w:cs="Arial"/>
                <w:bCs/>
                <w:iCs/>
                <w:color w:val="000000" w:themeColor="text1"/>
                <w:sz w:val="22"/>
                <w:szCs w:val="22"/>
              </w:rPr>
            </w:pPr>
            <w:r w:rsidRPr="00AE264E">
              <w:rPr>
                <w:rFonts w:ascii="Arial" w:hAnsi="Arial" w:cs="Arial"/>
                <w:bCs/>
                <w:iCs/>
                <w:color w:val="000000" w:themeColor="text1"/>
                <w:sz w:val="22"/>
                <w:szCs w:val="22"/>
              </w:rPr>
              <w:t>1</w:t>
            </w: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rsidR="000A324D" w:rsidRPr="00AE264E" w:rsidRDefault="000A324D" w:rsidP="00AE264E">
            <w:pPr>
              <w:pStyle w:val="NormalWeb"/>
              <w:autoSpaceDE w:val="0"/>
              <w:autoSpaceDN w:val="0"/>
              <w:adjustRightInd w:val="0"/>
              <w:spacing w:before="0" w:beforeAutospacing="0" w:after="0" w:afterAutospacing="0"/>
              <w:ind w:left="567" w:right="567"/>
              <w:rPr>
                <w:rFonts w:ascii="Arial" w:hAnsi="Arial" w:cs="Arial"/>
                <w:color w:val="000000" w:themeColor="text1"/>
                <w:sz w:val="22"/>
                <w:szCs w:val="22"/>
              </w:rPr>
            </w:pPr>
            <w:r w:rsidRPr="00AE264E">
              <w:rPr>
                <w:rFonts w:ascii="Arial" w:hAnsi="Arial" w:cs="Arial"/>
                <w:b/>
                <w:bCs/>
                <w:i/>
                <w:iCs/>
                <w:color w:val="000000" w:themeColor="text1"/>
                <w:sz w:val="22"/>
                <w:szCs w:val="22"/>
              </w:rPr>
              <w:t>“Personal data”</w:t>
            </w:r>
            <w:r w:rsidRPr="00AE264E">
              <w:rPr>
                <w:rFonts w:ascii="Arial" w:hAnsi="Arial" w:cs="Arial"/>
                <w:i/>
                <w:iCs/>
                <w:color w:val="000000" w:themeColor="text1"/>
                <w:sz w:val="22"/>
                <w:shd w:val="clear" w:color="auto" w:fill="F2F2F2" w:themeFill="background1" w:themeFillShade="F2"/>
              </w:rPr>
              <w:t xml:space="preserve">means any information relating to an identified or identifiable natural person (‘data subject’). An identifiable natural person is one who can be </w:t>
            </w:r>
            <w:r w:rsidRPr="00AE264E">
              <w:rPr>
                <w:rFonts w:ascii="Arial" w:hAnsi="Arial" w:cs="Arial"/>
                <w:i/>
                <w:iCs/>
                <w:color w:val="000000" w:themeColor="text1"/>
                <w:sz w:val="22"/>
                <w:shd w:val="clear" w:color="auto" w:fill="F2F2F2" w:themeFill="background1" w:themeFillShade="F2"/>
              </w:rPr>
              <w:lastRenderedPageBreak/>
              <w:t>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4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A324D" w:rsidRPr="00AE264E" w:rsidRDefault="000A324D" w:rsidP="00AE264E">
            <w:pPr>
              <w:pStyle w:val="NormalWeb"/>
              <w:autoSpaceDE w:val="0"/>
              <w:autoSpaceDN w:val="0"/>
              <w:adjustRightInd w:val="0"/>
              <w:jc w:val="center"/>
              <w:rPr>
                <w:rFonts w:ascii="MS Gothic" w:eastAsia="MS Gothic" w:hAnsi="MS Gothic" w:cs="Arial"/>
                <w:b/>
                <w:bCs/>
                <w:color w:val="000000" w:themeColor="text1"/>
                <w:sz w:val="22"/>
                <w:szCs w:val="22"/>
              </w:rPr>
            </w:pPr>
            <w:r w:rsidRPr="00AE264E">
              <w:rPr>
                <w:rFonts w:ascii="MS Gothic" w:eastAsia="MS Gothic" w:hAnsi="MS Gothic" w:cs="Arial" w:hint="eastAsia"/>
                <w:b/>
                <w:bCs/>
                <w:color w:val="000000" w:themeColor="text1"/>
                <w:sz w:val="22"/>
                <w:szCs w:val="22"/>
              </w:rPr>
              <w:lastRenderedPageBreak/>
              <w:t>☐</w:t>
            </w:r>
          </w:p>
        </w:tc>
        <w:tc>
          <w:tcPr>
            <w:tcW w:w="4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A324D" w:rsidRPr="00AE264E" w:rsidRDefault="000A324D" w:rsidP="00AE264E">
            <w:pPr>
              <w:pStyle w:val="NormalWeb"/>
              <w:autoSpaceDE w:val="0"/>
              <w:autoSpaceDN w:val="0"/>
              <w:adjustRightInd w:val="0"/>
              <w:jc w:val="center"/>
              <w:rPr>
                <w:rFonts w:ascii="MS Gothic" w:eastAsia="MS Gothic" w:hAnsi="MS Gothic" w:cs="Arial"/>
                <w:b/>
                <w:bCs/>
                <w:color w:val="000000" w:themeColor="text1"/>
                <w:sz w:val="22"/>
                <w:szCs w:val="22"/>
              </w:rPr>
            </w:pPr>
            <w:r w:rsidRPr="00AE264E">
              <w:rPr>
                <w:rFonts w:ascii="MS Gothic" w:eastAsia="MS Gothic" w:hAnsi="MS Gothic" w:cs="Arial"/>
                <w:b/>
                <w:bCs/>
                <w:color w:val="000000" w:themeColor="text1"/>
                <w:sz w:val="22"/>
                <w:szCs w:val="22"/>
              </w:rPr>
              <w:t>☒</w:t>
            </w:r>
          </w:p>
        </w:tc>
      </w:tr>
      <w:tr w:rsidR="000A324D" w:rsidRPr="00AE264E" w:rsidTr="00C82976">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A324D" w:rsidRPr="00AE264E" w:rsidRDefault="000A324D" w:rsidP="00AE264E">
            <w:pPr>
              <w:pStyle w:val="NormalWeb"/>
              <w:autoSpaceDE w:val="0"/>
              <w:autoSpaceDN w:val="0"/>
              <w:adjustRightInd w:val="0"/>
              <w:jc w:val="center"/>
              <w:rPr>
                <w:rFonts w:ascii="Arial" w:hAnsi="Arial" w:cs="Arial"/>
                <w:color w:val="000000" w:themeColor="text1"/>
                <w:sz w:val="22"/>
                <w:szCs w:val="22"/>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A324D" w:rsidRPr="00AE264E" w:rsidRDefault="000A324D" w:rsidP="00AE264E">
            <w:pPr>
              <w:pStyle w:val="NormalWeb"/>
              <w:autoSpaceDE w:val="0"/>
              <w:autoSpaceDN w:val="0"/>
              <w:adjustRightInd w:val="0"/>
              <w:rPr>
                <w:color w:val="000000" w:themeColor="text1"/>
              </w:rPr>
            </w:pPr>
            <w:r w:rsidRPr="00AE264E">
              <w:rPr>
                <w:rFonts w:ascii="Arial" w:hAnsi="Arial" w:cs="Arial"/>
                <w:color w:val="000000" w:themeColor="text1"/>
                <w:sz w:val="22"/>
                <w:szCs w:val="22"/>
              </w:rPr>
              <w:t>If YES, provide adescription of the data and explain why this data needs to be collected:</w:t>
            </w:r>
          </w:p>
        </w:tc>
      </w:tr>
      <w:tr w:rsidR="000A324D" w:rsidRPr="00AE264E" w:rsidTr="00C82976">
        <w:trPr>
          <w:trHeight w:val="403"/>
        </w:trPr>
        <w:tc>
          <w:tcPr>
            <w:tcW w:w="270" w:type="pct"/>
            <w:tcBorders>
              <w:top w:val="single" w:sz="4" w:space="0" w:color="auto"/>
              <w:left w:val="single" w:sz="4" w:space="0" w:color="auto"/>
              <w:bottom w:val="single" w:sz="4" w:space="0" w:color="auto"/>
              <w:right w:val="single" w:sz="4" w:space="0" w:color="auto"/>
            </w:tcBorders>
            <w:vAlign w:val="center"/>
          </w:tcPr>
          <w:p w:rsidR="000A324D" w:rsidRPr="00AE264E" w:rsidRDefault="000A324D" w:rsidP="00AE264E">
            <w:pPr>
              <w:jc w:val="center"/>
              <w:rPr>
                <w:rFonts w:ascii="Arial" w:hAnsi="Arial" w:cs="Arial"/>
                <w:color w:val="000000" w:themeColor="text1"/>
                <w:sz w:val="22"/>
                <w:szCs w:val="22"/>
              </w:rPr>
            </w:pPr>
            <w:r w:rsidRPr="00AE264E">
              <w:rPr>
                <w:rFonts w:ascii="Arial" w:hAnsi="Arial" w:cs="Arial"/>
                <w:color w:val="000000" w:themeColor="text1"/>
                <w:sz w:val="22"/>
                <w:szCs w:val="22"/>
              </w:rPr>
              <w:t>2</w:t>
            </w:r>
          </w:p>
        </w:tc>
        <w:tc>
          <w:tcPr>
            <w:tcW w:w="4730" w:type="pct"/>
            <w:gridSpan w:val="3"/>
            <w:tcBorders>
              <w:top w:val="single" w:sz="4" w:space="0" w:color="auto"/>
              <w:left w:val="single" w:sz="4" w:space="0" w:color="auto"/>
              <w:bottom w:val="single" w:sz="4" w:space="0" w:color="auto"/>
              <w:right w:val="single" w:sz="4" w:space="0" w:color="auto"/>
            </w:tcBorders>
            <w:vAlign w:val="center"/>
          </w:tcPr>
          <w:p w:rsidR="000A324D" w:rsidRPr="00AE264E" w:rsidRDefault="000A324D" w:rsidP="00AE264E">
            <w:pPr>
              <w:rPr>
                <w:rFonts w:ascii="Arial" w:hAnsi="Arial" w:cs="Arial"/>
                <w:color w:val="000000" w:themeColor="text1"/>
                <w:szCs w:val="22"/>
              </w:rPr>
            </w:pPr>
            <w:r w:rsidRPr="00AE264E">
              <w:rPr>
                <w:rFonts w:ascii="Arial" w:hAnsi="Arial" w:cs="Arial"/>
                <w:color w:val="000000" w:themeColor="text1"/>
                <w:sz w:val="22"/>
              </w:rPr>
              <w:t>This includes audio/video data of participants but can also include IP addresses and usernames. Names, addresses and emails also count, as do consent forms.</w:t>
            </w:r>
          </w:p>
          <w:p w:rsidR="000A324D" w:rsidRPr="00AE264E" w:rsidRDefault="000A324D" w:rsidP="00AE264E">
            <w:pPr>
              <w:rPr>
                <w:rFonts w:ascii="Arial" w:hAnsi="Arial" w:cs="Arial"/>
                <w:color w:val="000000" w:themeColor="text1"/>
                <w:sz w:val="22"/>
                <w:szCs w:val="22"/>
              </w:rPr>
            </w:pPr>
          </w:p>
          <w:p w:rsidR="000A324D" w:rsidRPr="00AE264E" w:rsidRDefault="000A324D" w:rsidP="00AE264E">
            <w:pPr>
              <w:autoSpaceDE w:val="0"/>
              <w:autoSpaceDN w:val="0"/>
              <w:adjustRightInd w:val="0"/>
              <w:rPr>
                <w:i/>
                <w:color w:val="000000" w:themeColor="text1"/>
              </w:rPr>
            </w:pPr>
            <w:r w:rsidRPr="00AE264E">
              <w:rPr>
                <w:rFonts w:ascii="Arial" w:hAnsi="Arial" w:cs="Arial"/>
                <w:i/>
                <w:color w:val="000000" w:themeColor="text1"/>
                <w:sz w:val="18"/>
                <w:szCs w:val="18"/>
              </w:rPr>
              <w:t>(this box should expand as you type)</w:t>
            </w:r>
          </w:p>
        </w:tc>
      </w:tr>
      <w:tr w:rsidR="000A324D" w:rsidRPr="00AE264E" w:rsidTr="00C82976">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rsidR="000A324D" w:rsidRPr="00AE264E" w:rsidRDefault="000A324D" w:rsidP="00AE264E">
            <w:pPr>
              <w:pStyle w:val="NormalWeb"/>
              <w:autoSpaceDE w:val="0"/>
              <w:autoSpaceDN w:val="0"/>
              <w:adjustRightInd w:val="0"/>
              <w:spacing w:before="0" w:beforeAutospacing="0" w:after="0" w:afterAutospacing="0"/>
              <w:jc w:val="center"/>
              <w:rPr>
                <w:rFonts w:ascii="Arial" w:hAnsi="Arial" w:cs="Arial"/>
                <w:color w:val="000000" w:themeColor="text1"/>
                <w:sz w:val="22"/>
                <w:szCs w:val="22"/>
              </w:rPr>
            </w:pP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rsidR="000A324D" w:rsidRPr="00AE264E" w:rsidRDefault="000A324D" w:rsidP="00AE264E">
            <w:pPr>
              <w:pStyle w:val="NormalWeb"/>
              <w:autoSpaceDE w:val="0"/>
              <w:autoSpaceDN w:val="0"/>
              <w:adjustRightInd w:val="0"/>
              <w:spacing w:before="0" w:beforeAutospacing="0" w:after="0" w:afterAutospacing="0"/>
              <w:rPr>
                <w:rFonts w:eastAsiaTheme="minorHAnsi"/>
                <w:color w:val="000000" w:themeColor="text1"/>
              </w:rPr>
            </w:pPr>
            <w:r w:rsidRPr="00AE264E">
              <w:rPr>
                <w:rFonts w:ascii="Arial" w:hAnsi="Arial" w:cs="Arial"/>
                <w:color w:val="000000" w:themeColor="text1"/>
                <w:sz w:val="22"/>
                <w:szCs w:val="22"/>
              </w:rPr>
              <w:t>Does it involve special category data (as defined by the GDPR)?</w:t>
            </w:r>
          </w:p>
        </w:tc>
        <w:tc>
          <w:tcPr>
            <w:tcW w:w="4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A324D" w:rsidRPr="00AE264E" w:rsidRDefault="000A324D" w:rsidP="00AE264E">
            <w:pPr>
              <w:pStyle w:val="NormalWeb"/>
              <w:autoSpaceDE w:val="0"/>
              <w:autoSpaceDN w:val="0"/>
              <w:adjustRightInd w:val="0"/>
              <w:jc w:val="center"/>
              <w:rPr>
                <w:rFonts w:ascii="MS Gothic" w:eastAsia="MS Gothic" w:hAnsi="MS Gothic" w:cs="Arial"/>
                <w:b/>
                <w:bCs/>
                <w:color w:val="000000" w:themeColor="text1"/>
                <w:sz w:val="22"/>
                <w:szCs w:val="22"/>
              </w:rPr>
            </w:pPr>
            <w:r w:rsidRPr="00AE264E">
              <w:rPr>
                <w:rFonts w:ascii="Arial" w:hAnsi="Arial" w:cs="Arial"/>
                <w:b/>
                <w:bCs/>
                <w:color w:val="000000" w:themeColor="text1"/>
                <w:sz w:val="22"/>
                <w:szCs w:val="22"/>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A324D" w:rsidRPr="00AE264E" w:rsidRDefault="000A324D" w:rsidP="00AE264E">
            <w:pPr>
              <w:pStyle w:val="NormalWeb"/>
              <w:autoSpaceDE w:val="0"/>
              <w:autoSpaceDN w:val="0"/>
              <w:adjustRightInd w:val="0"/>
              <w:jc w:val="center"/>
              <w:rPr>
                <w:rFonts w:ascii="MS Gothic" w:eastAsia="MS Gothic" w:hAnsi="MS Gothic" w:cs="Arial"/>
                <w:b/>
                <w:bCs/>
                <w:color w:val="000000" w:themeColor="text1"/>
                <w:sz w:val="22"/>
                <w:szCs w:val="22"/>
              </w:rPr>
            </w:pPr>
            <w:r w:rsidRPr="00AE264E">
              <w:rPr>
                <w:rFonts w:ascii="Arial" w:hAnsi="Arial" w:cs="Arial"/>
                <w:b/>
                <w:bCs/>
                <w:color w:val="000000" w:themeColor="text1"/>
                <w:sz w:val="22"/>
                <w:szCs w:val="22"/>
              </w:rPr>
              <w:t>NO</w:t>
            </w:r>
          </w:p>
        </w:tc>
      </w:tr>
      <w:tr w:rsidR="000A324D" w:rsidRPr="00AE264E" w:rsidTr="00C82976">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A324D" w:rsidRPr="00AE264E" w:rsidRDefault="000A324D" w:rsidP="00AE264E">
            <w:pPr>
              <w:pStyle w:val="NormalWeb"/>
              <w:spacing w:before="0" w:beforeAutospacing="0" w:after="0" w:afterAutospacing="0"/>
              <w:jc w:val="center"/>
              <w:rPr>
                <w:rStyle w:val="Strong"/>
                <w:rFonts w:ascii="Arial" w:hAnsi="Arial" w:cs="Arial"/>
                <w:b w:val="0"/>
                <w:iCs/>
                <w:color w:val="000000" w:themeColor="text1"/>
                <w:sz w:val="20"/>
                <w:szCs w:val="23"/>
              </w:rPr>
            </w:pPr>
            <w:r w:rsidRPr="00AE264E">
              <w:rPr>
                <w:rStyle w:val="Strong"/>
                <w:rFonts w:ascii="Arial" w:hAnsi="Arial" w:cs="Arial"/>
                <w:iCs/>
                <w:color w:val="000000" w:themeColor="text1"/>
                <w:sz w:val="20"/>
                <w:szCs w:val="23"/>
              </w:rPr>
              <w:t>3</w:t>
            </w:r>
          </w:p>
        </w:tc>
        <w:tc>
          <w:tcPr>
            <w:tcW w:w="37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A324D" w:rsidRPr="00AE264E" w:rsidRDefault="000A324D" w:rsidP="00AE264E">
            <w:pPr>
              <w:pStyle w:val="NormalWeb"/>
              <w:spacing w:before="0" w:beforeAutospacing="0" w:after="0" w:afterAutospacing="0"/>
              <w:ind w:left="567" w:right="567"/>
              <w:rPr>
                <w:color w:val="000000" w:themeColor="text1"/>
              </w:rPr>
            </w:pPr>
            <w:r w:rsidRPr="00AE264E">
              <w:rPr>
                <w:rStyle w:val="Strong"/>
                <w:rFonts w:ascii="Arial" w:hAnsi="Arial" w:cs="Arial"/>
                <w:i/>
                <w:iCs/>
                <w:color w:val="000000" w:themeColor="text1"/>
                <w:sz w:val="20"/>
                <w:szCs w:val="23"/>
              </w:rPr>
              <w:t>“Special category data”</w:t>
            </w:r>
            <w:r w:rsidRPr="00AE264E">
              <w:rPr>
                <w:rFonts w:ascii="Arial" w:hAnsi="Arial" w:cs="Arial"/>
                <w:i/>
                <w:iCs/>
                <w:color w:val="000000" w:themeColor="text1"/>
                <w:sz w:val="20"/>
                <w:szCs w:val="23"/>
              </w:rPr>
              <w:t> means sensitive personal data consisting of information as to the data subjects’ –</w:t>
            </w:r>
          </w:p>
          <w:p w:rsidR="000A324D" w:rsidRPr="00AE264E" w:rsidRDefault="000A324D" w:rsidP="00AE264E">
            <w:pPr>
              <w:pStyle w:val="NormalWeb"/>
              <w:spacing w:before="0" w:beforeAutospacing="0" w:after="0" w:afterAutospacing="0"/>
              <w:ind w:left="1134" w:right="567"/>
              <w:rPr>
                <w:color w:val="000000" w:themeColor="text1"/>
              </w:rPr>
            </w:pPr>
            <w:r w:rsidRPr="00AE264E">
              <w:rPr>
                <w:rFonts w:ascii="Arial" w:hAnsi="Arial" w:cs="Arial"/>
                <w:i/>
                <w:iCs/>
                <w:color w:val="000000" w:themeColor="text1"/>
                <w:sz w:val="20"/>
                <w:szCs w:val="23"/>
              </w:rPr>
              <w:t>(a) racial or ethnic origin,</w:t>
            </w:r>
          </w:p>
          <w:p w:rsidR="000A324D" w:rsidRPr="00AE264E" w:rsidRDefault="000A324D" w:rsidP="00AE264E">
            <w:pPr>
              <w:pStyle w:val="NormalWeb"/>
              <w:spacing w:before="0" w:beforeAutospacing="0" w:after="0" w:afterAutospacing="0"/>
              <w:ind w:left="1134" w:right="567"/>
              <w:rPr>
                <w:color w:val="000000" w:themeColor="text1"/>
              </w:rPr>
            </w:pPr>
            <w:r w:rsidRPr="00AE264E">
              <w:rPr>
                <w:rFonts w:ascii="Arial" w:hAnsi="Arial" w:cs="Arial"/>
                <w:i/>
                <w:iCs/>
                <w:color w:val="000000" w:themeColor="text1"/>
                <w:sz w:val="20"/>
                <w:szCs w:val="23"/>
              </w:rPr>
              <w:t>(b) political opinions,</w:t>
            </w:r>
          </w:p>
          <w:p w:rsidR="000A324D" w:rsidRPr="00AE264E" w:rsidRDefault="000A324D" w:rsidP="00AE264E">
            <w:pPr>
              <w:pStyle w:val="NormalWeb"/>
              <w:spacing w:before="0" w:beforeAutospacing="0" w:after="0" w:afterAutospacing="0"/>
              <w:ind w:left="1134" w:right="567"/>
              <w:rPr>
                <w:color w:val="000000" w:themeColor="text1"/>
              </w:rPr>
            </w:pPr>
            <w:r w:rsidRPr="00AE264E">
              <w:rPr>
                <w:rFonts w:ascii="Arial" w:hAnsi="Arial" w:cs="Arial"/>
                <w:i/>
                <w:iCs/>
                <w:color w:val="000000" w:themeColor="text1"/>
                <w:sz w:val="20"/>
                <w:szCs w:val="23"/>
              </w:rPr>
              <w:t>(c) religious beliefs or other beliefs of a similar nature,</w:t>
            </w:r>
          </w:p>
          <w:p w:rsidR="000A324D" w:rsidRPr="00AE264E" w:rsidRDefault="000A324D" w:rsidP="00AE264E">
            <w:pPr>
              <w:pStyle w:val="NormalWeb"/>
              <w:spacing w:before="0" w:beforeAutospacing="0" w:after="0" w:afterAutospacing="0"/>
              <w:ind w:left="1134" w:right="567"/>
              <w:rPr>
                <w:color w:val="000000" w:themeColor="text1"/>
              </w:rPr>
            </w:pPr>
            <w:r w:rsidRPr="00AE264E">
              <w:rPr>
                <w:rFonts w:ascii="Arial" w:hAnsi="Arial" w:cs="Arial"/>
                <w:i/>
                <w:iCs/>
                <w:color w:val="000000" w:themeColor="text1"/>
                <w:sz w:val="20"/>
                <w:szCs w:val="23"/>
              </w:rPr>
              <w:t>(d) membership of a trade union (within the meaning of the Trade Union and Labour Relations (Consolidation) Act 1992),</w:t>
            </w:r>
          </w:p>
          <w:p w:rsidR="000A324D" w:rsidRPr="00AE264E" w:rsidRDefault="000A324D" w:rsidP="00AE264E">
            <w:pPr>
              <w:pStyle w:val="NormalWeb"/>
              <w:spacing w:before="0" w:beforeAutospacing="0" w:after="0" w:afterAutospacing="0"/>
              <w:ind w:left="1134" w:right="567"/>
              <w:rPr>
                <w:color w:val="000000" w:themeColor="text1"/>
              </w:rPr>
            </w:pPr>
            <w:r w:rsidRPr="00AE264E">
              <w:rPr>
                <w:rFonts w:ascii="Arial" w:hAnsi="Arial" w:cs="Arial"/>
                <w:i/>
                <w:iCs/>
                <w:color w:val="000000" w:themeColor="text1"/>
                <w:sz w:val="20"/>
                <w:szCs w:val="23"/>
              </w:rPr>
              <w:t>(e) physical or mental health or condition,</w:t>
            </w:r>
          </w:p>
          <w:p w:rsidR="000A324D" w:rsidRPr="00AE264E" w:rsidRDefault="000A324D" w:rsidP="00AE264E">
            <w:pPr>
              <w:pStyle w:val="NormalWeb"/>
              <w:spacing w:before="0" w:beforeAutospacing="0" w:after="0" w:afterAutospacing="0"/>
              <w:ind w:left="1134" w:right="567"/>
              <w:rPr>
                <w:color w:val="000000" w:themeColor="text1"/>
              </w:rPr>
            </w:pPr>
            <w:r w:rsidRPr="00AE264E">
              <w:rPr>
                <w:rFonts w:ascii="Arial" w:hAnsi="Arial" w:cs="Arial"/>
                <w:i/>
                <w:iCs/>
                <w:color w:val="000000" w:themeColor="text1"/>
                <w:sz w:val="20"/>
                <w:szCs w:val="23"/>
              </w:rPr>
              <w:t>(f) sexual life,</w:t>
            </w:r>
          </w:p>
          <w:p w:rsidR="000A324D" w:rsidRPr="00AE264E" w:rsidRDefault="000A324D" w:rsidP="00AE264E">
            <w:pPr>
              <w:pStyle w:val="NormalWeb"/>
              <w:spacing w:before="0" w:beforeAutospacing="0" w:after="0" w:afterAutospacing="0"/>
              <w:ind w:left="1134" w:right="567"/>
              <w:rPr>
                <w:color w:val="000000" w:themeColor="text1"/>
              </w:rPr>
            </w:pPr>
            <w:r w:rsidRPr="00AE264E">
              <w:rPr>
                <w:rFonts w:ascii="Arial" w:hAnsi="Arial" w:cs="Arial"/>
                <w:i/>
                <w:iCs/>
                <w:color w:val="000000" w:themeColor="text1"/>
                <w:sz w:val="20"/>
                <w:szCs w:val="23"/>
              </w:rPr>
              <w:t>(g) genetics,</w:t>
            </w:r>
          </w:p>
          <w:p w:rsidR="000A324D" w:rsidRPr="00AE264E" w:rsidRDefault="000A324D" w:rsidP="00AE264E">
            <w:pPr>
              <w:pStyle w:val="NormalWeb"/>
              <w:spacing w:before="0" w:beforeAutospacing="0" w:after="0" w:afterAutospacing="0"/>
              <w:ind w:left="1134" w:right="567"/>
              <w:rPr>
                <w:rFonts w:ascii="Arial" w:hAnsi="Arial" w:cs="Arial"/>
                <w:i/>
                <w:iCs/>
                <w:color w:val="000000" w:themeColor="text1"/>
                <w:sz w:val="20"/>
                <w:szCs w:val="23"/>
              </w:rPr>
            </w:pPr>
            <w:r w:rsidRPr="00AE264E">
              <w:rPr>
                <w:rFonts w:ascii="Arial" w:hAnsi="Arial" w:cs="Arial"/>
                <w:i/>
                <w:iCs/>
                <w:color w:val="000000" w:themeColor="text1"/>
                <w:sz w:val="20"/>
                <w:szCs w:val="23"/>
              </w:rPr>
              <w:t>(h) biometric data (as used for ID purposes),</w:t>
            </w:r>
          </w:p>
        </w:tc>
        <w:tc>
          <w:tcPr>
            <w:tcW w:w="4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A324D" w:rsidRPr="00AE264E" w:rsidRDefault="000A324D" w:rsidP="00AE264E">
            <w:pPr>
              <w:pStyle w:val="NormalWeb"/>
              <w:autoSpaceDE w:val="0"/>
              <w:autoSpaceDN w:val="0"/>
              <w:adjustRightInd w:val="0"/>
              <w:jc w:val="center"/>
              <w:rPr>
                <w:rFonts w:ascii="MS Gothic" w:eastAsia="MS Gothic" w:hAnsi="MS Gothic" w:cs="Arial"/>
                <w:b/>
                <w:bCs/>
                <w:color w:val="000000" w:themeColor="text1"/>
                <w:sz w:val="22"/>
                <w:szCs w:val="22"/>
              </w:rPr>
            </w:pPr>
          </w:p>
          <w:p w:rsidR="000A324D" w:rsidRPr="00AE264E" w:rsidRDefault="000A324D" w:rsidP="00AE264E">
            <w:pPr>
              <w:pStyle w:val="NormalWeb"/>
              <w:autoSpaceDE w:val="0"/>
              <w:autoSpaceDN w:val="0"/>
              <w:adjustRightInd w:val="0"/>
              <w:jc w:val="center"/>
              <w:rPr>
                <w:color w:val="000000" w:themeColor="text1"/>
              </w:rPr>
            </w:pPr>
            <w:r w:rsidRPr="00AE264E">
              <w:rPr>
                <w:rFonts w:ascii="MS Gothic" w:eastAsia="MS Gothic" w:hAnsi="MS Gothic" w:cs="Arial" w:hint="eastAsia"/>
                <w:b/>
                <w:bCs/>
                <w:color w:val="000000" w:themeColor="text1"/>
                <w:sz w:val="22"/>
                <w:szCs w:val="22"/>
              </w:rPr>
              <w:t>☐</w:t>
            </w:r>
          </w:p>
        </w:tc>
        <w:tc>
          <w:tcPr>
            <w:tcW w:w="4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0A324D" w:rsidRPr="00AE264E" w:rsidRDefault="000A324D" w:rsidP="00AE264E">
            <w:pPr>
              <w:pStyle w:val="NormalWeb"/>
              <w:autoSpaceDE w:val="0"/>
              <w:autoSpaceDN w:val="0"/>
              <w:adjustRightInd w:val="0"/>
              <w:jc w:val="center"/>
              <w:rPr>
                <w:rFonts w:ascii="MS Gothic" w:eastAsia="MS Gothic" w:hAnsi="MS Gothic" w:cs="Arial"/>
                <w:b/>
                <w:bCs/>
                <w:color w:val="000000" w:themeColor="text1"/>
                <w:sz w:val="22"/>
                <w:szCs w:val="22"/>
              </w:rPr>
            </w:pPr>
          </w:p>
          <w:p w:rsidR="000A324D" w:rsidRPr="00AE264E" w:rsidRDefault="000A324D" w:rsidP="00AE264E">
            <w:pPr>
              <w:pStyle w:val="NormalWeb"/>
              <w:autoSpaceDE w:val="0"/>
              <w:autoSpaceDN w:val="0"/>
              <w:adjustRightInd w:val="0"/>
              <w:jc w:val="center"/>
              <w:rPr>
                <w:color w:val="000000" w:themeColor="text1"/>
              </w:rPr>
            </w:pPr>
            <w:r w:rsidRPr="00AE264E">
              <w:rPr>
                <w:rFonts w:ascii="Segoe UI Symbol" w:hAnsi="Segoe UI Symbol" w:cs="Segoe UI Symbol"/>
                <w:color w:val="000000" w:themeColor="text1"/>
              </w:rPr>
              <w:t>☒</w:t>
            </w:r>
          </w:p>
        </w:tc>
      </w:tr>
      <w:tr w:rsidR="000A324D" w:rsidRPr="00AE264E" w:rsidTr="00C82976">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A324D" w:rsidRPr="00AE264E" w:rsidRDefault="000A324D" w:rsidP="00AE264E">
            <w:pPr>
              <w:pStyle w:val="NormalWeb"/>
              <w:autoSpaceDE w:val="0"/>
              <w:autoSpaceDN w:val="0"/>
              <w:adjustRightInd w:val="0"/>
              <w:jc w:val="center"/>
              <w:rPr>
                <w:rFonts w:ascii="Arial" w:hAnsi="Arial" w:cs="Arial"/>
                <w:color w:val="000000" w:themeColor="text1"/>
                <w:sz w:val="22"/>
                <w:szCs w:val="22"/>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A324D" w:rsidRPr="00AE264E" w:rsidRDefault="000A324D" w:rsidP="00AE264E">
            <w:pPr>
              <w:pStyle w:val="NormalWeb"/>
              <w:autoSpaceDE w:val="0"/>
              <w:autoSpaceDN w:val="0"/>
              <w:adjustRightInd w:val="0"/>
              <w:rPr>
                <w:color w:val="000000" w:themeColor="text1"/>
              </w:rPr>
            </w:pPr>
            <w:r w:rsidRPr="00AE264E">
              <w:rPr>
                <w:rFonts w:ascii="Arial" w:hAnsi="Arial" w:cs="Arial"/>
                <w:color w:val="000000" w:themeColor="text1"/>
                <w:sz w:val="22"/>
                <w:szCs w:val="22"/>
              </w:rPr>
              <w:t>If YES, provide adescription of the special category data and explain why this data needs to be collected:</w:t>
            </w:r>
          </w:p>
        </w:tc>
      </w:tr>
      <w:tr w:rsidR="000A324D" w:rsidRPr="00AE264E" w:rsidTr="00C82976">
        <w:trPr>
          <w:trHeight w:val="403"/>
        </w:trPr>
        <w:tc>
          <w:tcPr>
            <w:tcW w:w="270" w:type="pct"/>
            <w:tcBorders>
              <w:top w:val="single" w:sz="4" w:space="0" w:color="auto"/>
              <w:left w:val="single" w:sz="4" w:space="0" w:color="auto"/>
              <w:bottom w:val="single" w:sz="4" w:space="0" w:color="auto"/>
              <w:right w:val="single" w:sz="4" w:space="0" w:color="auto"/>
            </w:tcBorders>
            <w:vAlign w:val="center"/>
          </w:tcPr>
          <w:p w:rsidR="000A324D" w:rsidRPr="00AE264E" w:rsidRDefault="000A324D" w:rsidP="00AE264E">
            <w:pPr>
              <w:jc w:val="center"/>
              <w:rPr>
                <w:rFonts w:ascii="Arial" w:hAnsi="Arial" w:cs="Arial"/>
                <w:color w:val="000000" w:themeColor="text1"/>
                <w:sz w:val="22"/>
                <w:szCs w:val="22"/>
              </w:rPr>
            </w:pPr>
            <w:r w:rsidRPr="00AE264E">
              <w:rPr>
                <w:rFonts w:ascii="Arial" w:hAnsi="Arial" w:cs="Arial"/>
                <w:color w:val="000000" w:themeColor="text1"/>
                <w:sz w:val="22"/>
                <w:szCs w:val="22"/>
              </w:rPr>
              <w:t>4</w:t>
            </w:r>
          </w:p>
        </w:tc>
        <w:tc>
          <w:tcPr>
            <w:tcW w:w="4730" w:type="pct"/>
            <w:gridSpan w:val="3"/>
            <w:tcBorders>
              <w:top w:val="single" w:sz="4" w:space="0" w:color="auto"/>
              <w:left w:val="single" w:sz="4" w:space="0" w:color="auto"/>
              <w:bottom w:val="single" w:sz="4" w:space="0" w:color="auto"/>
              <w:right w:val="single" w:sz="4" w:space="0" w:color="auto"/>
            </w:tcBorders>
            <w:vAlign w:val="center"/>
          </w:tcPr>
          <w:p w:rsidR="000A324D" w:rsidRPr="00AE264E" w:rsidRDefault="000A324D" w:rsidP="00AE264E">
            <w:pPr>
              <w:rPr>
                <w:rFonts w:ascii="Arial" w:hAnsi="Arial" w:cs="Arial"/>
                <w:color w:val="000000" w:themeColor="text1"/>
                <w:szCs w:val="22"/>
              </w:rPr>
            </w:pPr>
            <w:r w:rsidRPr="00AE264E">
              <w:rPr>
                <w:rFonts w:ascii="Arial" w:hAnsi="Arial" w:cs="Arial"/>
                <w:color w:val="000000" w:themeColor="text1"/>
                <w:sz w:val="22"/>
              </w:rPr>
              <w:t>What counts as ‘sensitive’ will differ between cultures. Any information on behaviour that is not in accordance with cultural norms would count as sensitive personal data.</w:t>
            </w:r>
          </w:p>
          <w:p w:rsidR="000A324D" w:rsidRPr="00AE264E" w:rsidRDefault="000A324D" w:rsidP="00AE264E">
            <w:pPr>
              <w:rPr>
                <w:rFonts w:ascii="Arial" w:hAnsi="Arial" w:cs="Arial"/>
                <w:color w:val="000000" w:themeColor="text1"/>
                <w:sz w:val="22"/>
                <w:szCs w:val="22"/>
              </w:rPr>
            </w:pPr>
          </w:p>
          <w:p w:rsidR="000A324D" w:rsidRPr="00AE264E" w:rsidRDefault="000A324D" w:rsidP="00AE264E">
            <w:pPr>
              <w:rPr>
                <w:rFonts w:ascii="Arial" w:hAnsi="Arial" w:cs="Arial"/>
                <w:color w:val="000000" w:themeColor="text1"/>
                <w:sz w:val="22"/>
                <w:szCs w:val="22"/>
              </w:rPr>
            </w:pPr>
          </w:p>
          <w:p w:rsidR="000A324D" w:rsidRPr="00AE264E" w:rsidRDefault="000A324D" w:rsidP="00AE264E">
            <w:pPr>
              <w:rPr>
                <w:rFonts w:ascii="Arial" w:hAnsi="Arial" w:cs="Arial"/>
                <w:color w:val="000000" w:themeColor="text1"/>
                <w:sz w:val="22"/>
                <w:szCs w:val="22"/>
              </w:rPr>
            </w:pPr>
          </w:p>
          <w:p w:rsidR="000A324D" w:rsidRPr="00AE264E" w:rsidRDefault="000A324D" w:rsidP="00AE264E">
            <w:pPr>
              <w:autoSpaceDE w:val="0"/>
              <w:autoSpaceDN w:val="0"/>
              <w:adjustRightInd w:val="0"/>
              <w:rPr>
                <w:color w:val="000000" w:themeColor="text1"/>
              </w:rPr>
            </w:pPr>
            <w:r w:rsidRPr="00AE264E">
              <w:rPr>
                <w:rFonts w:ascii="Arial" w:hAnsi="Arial" w:cs="Arial"/>
                <w:i/>
                <w:color w:val="000000" w:themeColor="text1"/>
                <w:sz w:val="18"/>
                <w:szCs w:val="18"/>
              </w:rPr>
              <w:t>(this box should expand as you type)</w:t>
            </w:r>
          </w:p>
        </w:tc>
      </w:tr>
    </w:tbl>
    <w:p w:rsidR="000A324D" w:rsidRPr="00AE264E" w:rsidRDefault="000A324D" w:rsidP="000A324D">
      <w:pPr>
        <w:rPr>
          <w:color w:val="000000" w:themeColor="text1"/>
        </w:rPr>
      </w:pPr>
    </w:p>
    <w:tbl>
      <w:tblPr>
        <w:tblStyle w:val="TableGrid"/>
        <w:tblW w:w="5000" w:type="pct"/>
        <w:tblLook w:val="04A0" w:firstRow="1" w:lastRow="0" w:firstColumn="1" w:lastColumn="0" w:noHBand="0" w:noVBand="1"/>
      </w:tblPr>
      <w:tblGrid>
        <w:gridCol w:w="484"/>
        <w:gridCol w:w="6800"/>
        <w:gridCol w:w="853"/>
        <w:gridCol w:w="882"/>
      </w:tblGrid>
      <w:tr w:rsidR="000A324D" w:rsidRPr="00AE264E" w:rsidTr="00C82976">
        <w:trPr>
          <w:trHeight w:val="439"/>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p>
        </w:tc>
        <w:tc>
          <w:tcPr>
            <w:tcW w:w="3770" w:type="pct"/>
            <w:shd w:val="clear" w:color="auto" w:fill="F2F2F2" w:themeFill="background1" w:themeFillShade="F2"/>
          </w:tcPr>
          <w:p w:rsidR="000A324D" w:rsidRPr="00AE264E" w:rsidRDefault="000A324D" w:rsidP="00AE264E">
            <w:pPr>
              <w:autoSpaceDE w:val="0"/>
              <w:autoSpaceDN w:val="0"/>
              <w:adjustRightInd w:val="0"/>
              <w:rPr>
                <w:rFonts w:ascii="Arial" w:hAnsi="Arial" w:cs="Arial"/>
                <w:b/>
                <w:bCs/>
                <w:color w:val="000000" w:themeColor="text1"/>
                <w:sz w:val="22"/>
                <w:szCs w:val="22"/>
              </w:rPr>
            </w:pPr>
            <w:r w:rsidRPr="00AE264E">
              <w:rPr>
                <w:b/>
                <w:color w:val="000000" w:themeColor="text1"/>
              </w:rPr>
              <w:br w:type="page"/>
            </w:r>
            <w:r w:rsidRPr="00AE264E">
              <w:rPr>
                <w:rFonts w:ascii="Arial" w:hAnsi="Arial" w:cs="Arial"/>
                <w:b/>
                <w:color w:val="000000" w:themeColor="text1"/>
                <w:sz w:val="22"/>
                <w:szCs w:val="22"/>
              </w:rPr>
              <w:t>Will data from the research activity (collected data, drafts of the thesis, or materials for publication) be stored in any of the following ways?</w:t>
            </w:r>
          </w:p>
        </w:tc>
        <w:tc>
          <w:tcPr>
            <w:tcW w:w="473" w:type="pct"/>
            <w:shd w:val="clear" w:color="auto" w:fill="F2F2F2" w:themeFill="background1" w:themeFillShade="F2"/>
          </w:tcPr>
          <w:p w:rsidR="000A324D" w:rsidRPr="00AE264E" w:rsidRDefault="000A324D" w:rsidP="00AE264E">
            <w:pPr>
              <w:autoSpaceDE w:val="0"/>
              <w:autoSpaceDN w:val="0"/>
              <w:adjustRightInd w:val="0"/>
              <w:jc w:val="center"/>
              <w:rPr>
                <w:rFonts w:ascii="Arial" w:hAnsi="Arial" w:cs="Arial"/>
                <w:b/>
                <w:bCs/>
                <w:color w:val="000000" w:themeColor="text1"/>
                <w:sz w:val="22"/>
                <w:szCs w:val="22"/>
              </w:rPr>
            </w:pPr>
            <w:r w:rsidRPr="00AE264E">
              <w:rPr>
                <w:rFonts w:ascii="Arial" w:hAnsi="Arial" w:cs="Arial"/>
                <w:b/>
                <w:bCs/>
                <w:color w:val="000000" w:themeColor="text1"/>
                <w:sz w:val="22"/>
                <w:szCs w:val="22"/>
              </w:rPr>
              <w:t>YES</w:t>
            </w:r>
          </w:p>
        </w:tc>
        <w:tc>
          <w:tcPr>
            <w:tcW w:w="489" w:type="pct"/>
            <w:shd w:val="clear" w:color="auto" w:fill="F2F2F2" w:themeFill="background1" w:themeFillShade="F2"/>
          </w:tcPr>
          <w:p w:rsidR="000A324D" w:rsidRPr="00AE264E" w:rsidRDefault="000A324D" w:rsidP="00AE264E">
            <w:pPr>
              <w:autoSpaceDE w:val="0"/>
              <w:autoSpaceDN w:val="0"/>
              <w:adjustRightInd w:val="0"/>
              <w:jc w:val="center"/>
              <w:rPr>
                <w:rFonts w:ascii="Arial" w:hAnsi="Arial" w:cs="Arial"/>
                <w:b/>
                <w:bCs/>
                <w:color w:val="000000" w:themeColor="text1"/>
                <w:sz w:val="22"/>
                <w:szCs w:val="22"/>
              </w:rPr>
            </w:pPr>
            <w:r w:rsidRPr="00AE264E">
              <w:rPr>
                <w:rFonts w:ascii="Arial" w:hAnsi="Arial" w:cs="Arial"/>
                <w:b/>
                <w:bCs/>
                <w:color w:val="000000" w:themeColor="text1"/>
                <w:sz w:val="22"/>
                <w:szCs w:val="22"/>
              </w:rPr>
              <w:t>NO</w:t>
            </w:r>
          </w:p>
        </w:tc>
      </w:tr>
      <w:tr w:rsidR="000A324D" w:rsidRPr="00AE264E" w:rsidTr="00C82976">
        <w:trPr>
          <w:trHeight w:val="439"/>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5</w:t>
            </w:r>
          </w:p>
        </w:tc>
        <w:tc>
          <w:tcPr>
            <w:tcW w:w="3770"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Manual files (i.e. in paper form)?</w:t>
            </w:r>
          </w:p>
        </w:tc>
        <w:tc>
          <w:tcPr>
            <w:tcW w:w="473" w:type="pct"/>
            <w:shd w:val="clear" w:color="auto" w:fill="BFBFBF" w:themeFill="background1" w:themeFillShade="BF"/>
          </w:tcPr>
          <w:sdt>
            <w:sdtPr>
              <w:rPr>
                <w:rFonts w:ascii="Arial" w:hAnsi="Arial" w:cs="Arial"/>
                <w:b/>
                <w:bCs/>
                <w:color w:val="000000" w:themeColor="text1"/>
                <w:sz w:val="22"/>
                <w:szCs w:val="22"/>
              </w:rPr>
              <w:id w:val="-716891366"/>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89" w:type="pct"/>
            <w:shd w:val="clear" w:color="auto" w:fill="BFBFBF" w:themeFill="background1" w:themeFillShade="BF"/>
          </w:tcPr>
          <w:sdt>
            <w:sdtPr>
              <w:rPr>
                <w:rFonts w:ascii="Arial" w:hAnsi="Arial" w:cs="Arial"/>
                <w:b/>
                <w:bCs/>
                <w:color w:val="000000" w:themeColor="text1"/>
                <w:sz w:val="22"/>
                <w:szCs w:val="22"/>
              </w:rPr>
              <w:id w:val="124512450"/>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6</w:t>
            </w:r>
          </w:p>
        </w:tc>
        <w:tc>
          <w:tcPr>
            <w:tcW w:w="3770"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University computers?</w:t>
            </w:r>
          </w:p>
        </w:tc>
        <w:tc>
          <w:tcPr>
            <w:tcW w:w="473" w:type="pct"/>
            <w:shd w:val="clear" w:color="auto" w:fill="BFBFBF" w:themeFill="background1" w:themeFillShade="BF"/>
          </w:tcPr>
          <w:sdt>
            <w:sdtPr>
              <w:rPr>
                <w:rFonts w:ascii="Arial" w:hAnsi="Arial" w:cs="Arial"/>
                <w:b/>
                <w:bCs/>
                <w:color w:val="000000" w:themeColor="text1"/>
                <w:sz w:val="22"/>
                <w:szCs w:val="22"/>
              </w:rPr>
              <w:id w:val="-1058942064"/>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89" w:type="pct"/>
            <w:shd w:val="clear" w:color="auto" w:fill="BFBFBF" w:themeFill="background1" w:themeFillShade="BF"/>
          </w:tcPr>
          <w:sdt>
            <w:sdtPr>
              <w:rPr>
                <w:rFonts w:ascii="Arial" w:hAnsi="Arial" w:cs="Arial"/>
                <w:b/>
                <w:bCs/>
                <w:color w:val="000000" w:themeColor="text1"/>
                <w:sz w:val="22"/>
                <w:szCs w:val="22"/>
              </w:rPr>
              <w:id w:val="-1525707884"/>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39"/>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7</w:t>
            </w:r>
          </w:p>
        </w:tc>
        <w:tc>
          <w:tcPr>
            <w:tcW w:w="3770"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Private company computers?</w:t>
            </w:r>
          </w:p>
        </w:tc>
        <w:tc>
          <w:tcPr>
            <w:tcW w:w="473" w:type="pct"/>
            <w:shd w:val="clear" w:color="auto" w:fill="BFBFBF" w:themeFill="background1" w:themeFillShade="BF"/>
          </w:tcPr>
          <w:sdt>
            <w:sdtPr>
              <w:rPr>
                <w:rFonts w:ascii="Arial" w:hAnsi="Arial" w:cs="Arial"/>
                <w:b/>
                <w:bCs/>
                <w:color w:val="000000" w:themeColor="text1"/>
                <w:sz w:val="22"/>
                <w:szCs w:val="22"/>
              </w:rPr>
              <w:id w:val="428779520"/>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89" w:type="pct"/>
            <w:shd w:val="clear" w:color="auto" w:fill="BFBFBF" w:themeFill="background1" w:themeFillShade="BF"/>
          </w:tcPr>
          <w:sdt>
            <w:sdtPr>
              <w:rPr>
                <w:rFonts w:ascii="Arial" w:hAnsi="Arial" w:cs="Arial"/>
                <w:b/>
                <w:bCs/>
                <w:color w:val="000000" w:themeColor="text1"/>
                <w:sz w:val="22"/>
                <w:szCs w:val="22"/>
              </w:rPr>
              <w:id w:val="1738441066"/>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8</w:t>
            </w:r>
          </w:p>
        </w:tc>
        <w:tc>
          <w:tcPr>
            <w:tcW w:w="3770"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Home or other personal computers?</w:t>
            </w:r>
          </w:p>
        </w:tc>
        <w:tc>
          <w:tcPr>
            <w:tcW w:w="473" w:type="pct"/>
            <w:shd w:val="clear" w:color="auto" w:fill="BFBFBF" w:themeFill="background1" w:themeFillShade="BF"/>
          </w:tcPr>
          <w:sdt>
            <w:sdtPr>
              <w:rPr>
                <w:rFonts w:ascii="Arial" w:hAnsi="Arial" w:cs="Arial"/>
                <w:b/>
                <w:bCs/>
                <w:color w:val="000000" w:themeColor="text1"/>
                <w:sz w:val="22"/>
                <w:szCs w:val="22"/>
              </w:rPr>
              <w:id w:val="666676712"/>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89" w:type="pct"/>
            <w:shd w:val="clear" w:color="auto" w:fill="BFBFBF" w:themeFill="background1" w:themeFillShade="BF"/>
          </w:tcPr>
          <w:sdt>
            <w:sdtPr>
              <w:rPr>
                <w:rFonts w:ascii="Arial" w:hAnsi="Arial" w:cs="Arial"/>
                <w:b/>
                <w:bCs/>
                <w:color w:val="000000" w:themeColor="text1"/>
                <w:sz w:val="22"/>
                <w:szCs w:val="22"/>
              </w:rPr>
              <w:id w:val="243309197"/>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9</w:t>
            </w:r>
          </w:p>
        </w:tc>
        <w:tc>
          <w:tcPr>
            <w:tcW w:w="3770"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Laptop computers/ CDs/ Portable disk-drives/ memory sticks?</w:t>
            </w:r>
          </w:p>
        </w:tc>
        <w:tc>
          <w:tcPr>
            <w:tcW w:w="473" w:type="pct"/>
            <w:shd w:val="clear" w:color="auto" w:fill="BFBFBF" w:themeFill="background1" w:themeFillShade="BF"/>
          </w:tcPr>
          <w:sdt>
            <w:sdtPr>
              <w:rPr>
                <w:rFonts w:ascii="Arial" w:hAnsi="Arial" w:cs="Arial"/>
                <w:b/>
                <w:bCs/>
                <w:color w:val="000000" w:themeColor="text1"/>
                <w:sz w:val="22"/>
                <w:szCs w:val="22"/>
              </w:rPr>
              <w:id w:val="1761182650"/>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89" w:type="pct"/>
            <w:shd w:val="clear" w:color="auto" w:fill="BFBFBF" w:themeFill="background1" w:themeFillShade="BF"/>
          </w:tcPr>
          <w:sdt>
            <w:sdtPr>
              <w:rPr>
                <w:rFonts w:ascii="Arial" w:hAnsi="Arial" w:cs="Arial"/>
                <w:b/>
                <w:bCs/>
                <w:color w:val="000000" w:themeColor="text1"/>
                <w:sz w:val="22"/>
                <w:szCs w:val="22"/>
              </w:rPr>
              <w:id w:val="-1031489010"/>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10</w:t>
            </w:r>
          </w:p>
        </w:tc>
        <w:tc>
          <w:tcPr>
            <w:tcW w:w="3770"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“Cloud” storage or websites?</w:t>
            </w:r>
          </w:p>
        </w:tc>
        <w:tc>
          <w:tcPr>
            <w:tcW w:w="473" w:type="pct"/>
            <w:shd w:val="clear" w:color="auto" w:fill="BFBFBF" w:themeFill="background1" w:themeFillShade="BF"/>
          </w:tcPr>
          <w:sdt>
            <w:sdtPr>
              <w:rPr>
                <w:rFonts w:ascii="Arial" w:hAnsi="Arial" w:cs="Arial"/>
                <w:b/>
                <w:bCs/>
                <w:color w:val="000000" w:themeColor="text1"/>
                <w:sz w:val="22"/>
                <w:szCs w:val="22"/>
              </w:rPr>
              <w:id w:val="-40376448"/>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89" w:type="pct"/>
            <w:shd w:val="clear" w:color="auto" w:fill="BFBFBF" w:themeFill="background1" w:themeFillShade="BF"/>
          </w:tcPr>
          <w:sdt>
            <w:sdtPr>
              <w:rPr>
                <w:rFonts w:ascii="Arial" w:hAnsi="Arial" w:cs="Arial"/>
                <w:b/>
                <w:bCs/>
                <w:color w:val="000000" w:themeColor="text1"/>
                <w:sz w:val="22"/>
                <w:szCs w:val="22"/>
              </w:rPr>
              <w:id w:val="-2004037841"/>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11</w:t>
            </w:r>
          </w:p>
        </w:tc>
        <w:tc>
          <w:tcPr>
            <w:tcW w:w="3770" w:type="pct"/>
            <w:shd w:val="clear" w:color="auto" w:fill="F2F2F2" w:themeFill="background1" w:themeFillShade="F2"/>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Other – specify:</w:t>
            </w:r>
          </w:p>
          <w:p w:rsidR="000A324D" w:rsidRPr="00AE264E" w:rsidRDefault="000A324D" w:rsidP="00AE264E">
            <w:pPr>
              <w:autoSpaceDE w:val="0"/>
              <w:autoSpaceDN w:val="0"/>
              <w:adjustRightInd w:val="0"/>
              <w:rPr>
                <w:rFonts w:ascii="Arial" w:hAnsi="Arial" w:cs="Arial"/>
                <w:color w:val="000000" w:themeColor="text1"/>
                <w:sz w:val="22"/>
                <w:szCs w:val="22"/>
              </w:rPr>
            </w:pPr>
          </w:p>
        </w:tc>
        <w:tc>
          <w:tcPr>
            <w:tcW w:w="473" w:type="pct"/>
            <w:shd w:val="clear" w:color="auto" w:fill="BFBFBF" w:themeFill="background1" w:themeFillShade="BF"/>
            <w:vAlign w:val="center"/>
          </w:tcPr>
          <w:sdt>
            <w:sdtPr>
              <w:rPr>
                <w:rFonts w:ascii="Arial" w:hAnsi="Arial" w:cs="Arial"/>
                <w:b/>
                <w:bCs/>
                <w:color w:val="000000" w:themeColor="text1"/>
                <w:sz w:val="22"/>
                <w:szCs w:val="22"/>
              </w:rPr>
              <w:id w:val="-1556230815"/>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89" w:type="pct"/>
            <w:shd w:val="clear" w:color="auto" w:fill="BFBFBF" w:themeFill="background1" w:themeFillShade="BF"/>
            <w:vAlign w:val="center"/>
          </w:tcPr>
          <w:sdt>
            <w:sdtPr>
              <w:rPr>
                <w:rFonts w:ascii="Arial" w:hAnsi="Arial" w:cs="Arial"/>
                <w:b/>
                <w:bCs/>
                <w:color w:val="000000" w:themeColor="text1"/>
                <w:sz w:val="22"/>
                <w:szCs w:val="22"/>
              </w:rPr>
              <w:id w:val="1575544959"/>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Arial" w:hAnsi="Arial" w:cs="Arial"/>
                <w:color w:val="000000" w:themeColor="text1"/>
                <w:sz w:val="22"/>
                <w:szCs w:val="22"/>
              </w:rPr>
              <w:lastRenderedPageBreak/>
              <w:t>12</w:t>
            </w:r>
          </w:p>
        </w:tc>
        <w:tc>
          <w:tcPr>
            <w:tcW w:w="4732" w:type="pct"/>
            <w:gridSpan w:val="3"/>
            <w:shd w:val="clear" w:color="auto" w:fill="F2F2F2" w:themeFill="background1" w:themeFillShade="F2"/>
          </w:tcPr>
          <w:p w:rsidR="000A324D" w:rsidRPr="00AE264E" w:rsidRDefault="000A324D" w:rsidP="00AE264E">
            <w:pPr>
              <w:autoSpaceDE w:val="0"/>
              <w:autoSpaceDN w:val="0"/>
              <w:adjustRightInd w:val="0"/>
              <w:rPr>
                <w:rFonts w:ascii="Arial" w:hAnsi="Arial" w:cs="Arial"/>
                <w:b/>
                <w:bCs/>
                <w:color w:val="000000" w:themeColor="text1"/>
                <w:sz w:val="22"/>
                <w:szCs w:val="22"/>
              </w:rPr>
            </w:pPr>
            <w:r w:rsidRPr="00AE264E">
              <w:rPr>
                <w:rFonts w:ascii="Arial" w:hAnsi="Arial" w:cs="Arial"/>
                <w:bCs/>
                <w:color w:val="000000" w:themeColor="text1"/>
                <w:sz w:val="22"/>
                <w:szCs w:val="22"/>
              </w:rPr>
              <w:t xml:space="preserve">For all stored data, explain the measures in place to ensure the security of the data collected, data confidentiality, including details of backup procedures, </w:t>
            </w:r>
            <w:r w:rsidRPr="00AE264E">
              <w:rPr>
                <w:rFonts w:ascii="Arial" w:hAnsi="Arial" w:cs="Arial"/>
                <w:bCs/>
                <w:color w:val="000000" w:themeColor="text1"/>
                <w:sz w:val="22"/>
                <w:szCs w:val="22"/>
                <w:shd w:val="clear" w:color="auto" w:fill="F2F2F2" w:themeFill="background1" w:themeFillShade="F2"/>
              </w:rPr>
              <w:t>password</w:t>
            </w:r>
            <w:r w:rsidRPr="00AE264E">
              <w:rPr>
                <w:rFonts w:ascii="Arial" w:hAnsi="Arial" w:cs="Arial"/>
                <w:bCs/>
                <w:color w:val="000000" w:themeColor="text1"/>
                <w:sz w:val="22"/>
                <w:szCs w:val="22"/>
              </w:rPr>
              <w:t xml:space="preserve"> protection, encryption, anonymisation and pseudonymisation</w:t>
            </w:r>
            <w:r w:rsidRPr="00AE264E">
              <w:rPr>
                <w:rFonts w:ascii="Arial" w:hAnsi="Arial" w:cs="Arial"/>
                <w:color w:val="000000" w:themeColor="text1"/>
                <w:sz w:val="22"/>
                <w:szCs w:val="22"/>
              </w:rPr>
              <w:t>:</w:t>
            </w:r>
          </w:p>
        </w:tc>
      </w:tr>
      <w:tr w:rsidR="000A324D" w:rsidRPr="00AE264E" w:rsidTr="00C82976">
        <w:trPr>
          <w:trHeight w:val="403"/>
        </w:trPr>
        <w:tc>
          <w:tcPr>
            <w:tcW w:w="268" w:type="pct"/>
            <w:vAlign w:val="center"/>
          </w:tcPr>
          <w:p w:rsidR="000A324D" w:rsidRPr="00AE264E" w:rsidRDefault="000A324D" w:rsidP="00AE264E">
            <w:pPr>
              <w:jc w:val="center"/>
              <w:rPr>
                <w:rFonts w:ascii="Arial" w:hAnsi="Arial" w:cs="Arial"/>
                <w:color w:val="000000" w:themeColor="text1"/>
                <w:sz w:val="22"/>
                <w:szCs w:val="22"/>
              </w:rPr>
            </w:pPr>
          </w:p>
        </w:tc>
        <w:tc>
          <w:tcPr>
            <w:tcW w:w="4732" w:type="pct"/>
            <w:gridSpan w:val="3"/>
          </w:tcPr>
          <w:p w:rsidR="000A324D" w:rsidRPr="00AE264E" w:rsidRDefault="000A324D" w:rsidP="00AE264E">
            <w:pPr>
              <w:autoSpaceDE w:val="0"/>
              <w:autoSpaceDN w:val="0"/>
              <w:adjustRightInd w:val="0"/>
              <w:spacing w:line="360" w:lineRule="auto"/>
              <w:rPr>
                <w:rFonts w:ascii="Arial" w:hAnsi="Arial" w:cs="Arial"/>
                <w:bCs/>
                <w:color w:val="000000" w:themeColor="text1"/>
              </w:rPr>
            </w:pPr>
            <w:r w:rsidRPr="00AE264E">
              <w:rPr>
                <w:rFonts w:ascii="Arial" w:hAnsi="Arial" w:cs="Arial"/>
                <w:bCs/>
                <w:color w:val="000000" w:themeColor="text1"/>
              </w:rPr>
              <w:t>All the research data will be obtained from publicly available secondary data sources such as academic journals, official documents, regulatory reports and industry reports. Personal data will not be gathered by this research. Copies of the literature review, research notes, the draft of the dissertation and references will be saved on password-protected computers and University’s OneDrive cloud storage system. Backups of the data will be created regularly in order to prevent any possible data loss. Portable storage devices, where they are employed, will be password-protected and encrypted. The access to research files will be limited to the lead researcher and the academic supervisor when needed. As there is no need for personal or identifiable data collection, the processes of anonymization and pseudonymization are not necessary. All the research materials will be handled according to the UK General Data Protection Regulation (UK GDPR), the Data Protection Act 2018 and the University’s Research Data Management Policy. After the research is finished and the assessment period is completed, the research files will be kept and deleted according to the data retention policy of the University.</w:t>
            </w:r>
          </w:p>
          <w:p w:rsidR="000A324D" w:rsidRPr="00AE264E" w:rsidRDefault="000A324D" w:rsidP="00AE264E">
            <w:pPr>
              <w:autoSpaceDE w:val="0"/>
              <w:autoSpaceDN w:val="0"/>
              <w:adjustRightInd w:val="0"/>
              <w:spacing w:line="360" w:lineRule="auto"/>
              <w:rPr>
                <w:rFonts w:ascii="Arial" w:hAnsi="Arial" w:cs="Arial"/>
                <w:bCs/>
                <w:color w:val="000000" w:themeColor="text1"/>
              </w:rPr>
            </w:pPr>
          </w:p>
        </w:tc>
      </w:tr>
    </w:tbl>
    <w:p w:rsidR="000A324D" w:rsidRPr="00AE264E" w:rsidRDefault="000A324D" w:rsidP="000A324D">
      <w:pPr>
        <w:rPr>
          <w:color w:val="000000" w:themeColor="text1"/>
        </w:rPr>
      </w:pPr>
    </w:p>
    <w:tbl>
      <w:tblPr>
        <w:tblStyle w:val="TableGrid"/>
        <w:tblW w:w="5000" w:type="pct"/>
        <w:tblLook w:val="04A0" w:firstRow="1" w:lastRow="0" w:firstColumn="1" w:lastColumn="0" w:noHBand="0" w:noVBand="1"/>
      </w:tblPr>
      <w:tblGrid>
        <w:gridCol w:w="484"/>
        <w:gridCol w:w="6800"/>
        <w:gridCol w:w="853"/>
        <w:gridCol w:w="882"/>
      </w:tblGrid>
      <w:tr w:rsidR="000A324D" w:rsidRPr="00AE264E" w:rsidTr="00C82976">
        <w:trPr>
          <w:trHeight w:val="439"/>
        </w:trPr>
        <w:tc>
          <w:tcPr>
            <w:tcW w:w="268" w:type="pct"/>
            <w:shd w:val="clear" w:color="auto" w:fill="F2F2F2" w:themeFill="background1" w:themeFillShade="F2"/>
          </w:tcPr>
          <w:p w:rsidR="000A324D" w:rsidRPr="00AE264E" w:rsidRDefault="000A324D" w:rsidP="00AE264E">
            <w:pPr>
              <w:autoSpaceDE w:val="0"/>
              <w:autoSpaceDN w:val="0"/>
              <w:adjustRightInd w:val="0"/>
              <w:rPr>
                <w:rFonts w:ascii="Arial" w:hAnsi="Arial" w:cs="Arial"/>
                <w:color w:val="000000" w:themeColor="text1"/>
                <w:sz w:val="22"/>
                <w:szCs w:val="22"/>
              </w:rPr>
            </w:pPr>
          </w:p>
        </w:tc>
        <w:tc>
          <w:tcPr>
            <w:tcW w:w="4732" w:type="pct"/>
            <w:gridSpan w:val="3"/>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b/>
                <w:bCs/>
                <w:color w:val="000000" w:themeColor="text1"/>
                <w:sz w:val="22"/>
                <w:szCs w:val="22"/>
              </w:rPr>
            </w:pPr>
            <w:r w:rsidRPr="00AE264E">
              <w:rPr>
                <w:rFonts w:ascii="Arial" w:hAnsi="Arial" w:cs="Arial"/>
                <w:b/>
                <w:bCs/>
                <w:color w:val="000000" w:themeColor="text1"/>
                <w:sz w:val="22"/>
                <w:szCs w:val="22"/>
              </w:rPr>
              <w:t>Data Protection</w:t>
            </w:r>
          </w:p>
        </w:tc>
      </w:tr>
      <w:tr w:rsidR="000A324D" w:rsidRPr="00AE264E" w:rsidTr="00C82976">
        <w:trPr>
          <w:trHeight w:val="439"/>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p>
        </w:tc>
        <w:tc>
          <w:tcPr>
            <w:tcW w:w="3770"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b/>
                <w:bCs/>
                <w:color w:val="000000" w:themeColor="text1"/>
                <w:sz w:val="22"/>
                <w:szCs w:val="22"/>
              </w:rPr>
            </w:pPr>
            <w:r w:rsidRPr="00AE264E">
              <w:rPr>
                <w:rFonts w:ascii="Arial" w:hAnsi="Arial" w:cs="Arial"/>
                <w:color w:val="000000" w:themeColor="text1"/>
                <w:sz w:val="22"/>
                <w:szCs w:val="22"/>
              </w:rPr>
              <w:t xml:space="preserve">Will the research activity </w:t>
            </w:r>
            <w:r w:rsidRPr="00AE264E">
              <w:rPr>
                <w:rFonts w:ascii="Arial" w:hAnsi="Arial" w:cs="Arial"/>
                <w:bCs/>
                <w:color w:val="000000" w:themeColor="text1"/>
                <w:sz w:val="22"/>
                <w:szCs w:val="22"/>
              </w:rPr>
              <w:t>involve any of the following activities:</w:t>
            </w:r>
          </w:p>
        </w:tc>
        <w:tc>
          <w:tcPr>
            <w:tcW w:w="473"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b/>
                <w:bCs/>
                <w:color w:val="000000" w:themeColor="text1"/>
                <w:sz w:val="22"/>
                <w:szCs w:val="22"/>
              </w:rPr>
            </w:pPr>
            <w:r w:rsidRPr="00AE264E">
              <w:rPr>
                <w:rFonts w:ascii="Arial" w:hAnsi="Arial" w:cs="Arial"/>
                <w:b/>
                <w:bCs/>
                <w:color w:val="000000" w:themeColor="text1"/>
                <w:sz w:val="22"/>
                <w:szCs w:val="22"/>
              </w:rPr>
              <w:t>YES</w:t>
            </w:r>
          </w:p>
        </w:tc>
        <w:tc>
          <w:tcPr>
            <w:tcW w:w="489"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b/>
                <w:bCs/>
                <w:color w:val="000000" w:themeColor="text1"/>
                <w:sz w:val="22"/>
                <w:szCs w:val="22"/>
              </w:rPr>
            </w:pPr>
            <w:r w:rsidRPr="00AE264E">
              <w:rPr>
                <w:rFonts w:ascii="Arial" w:hAnsi="Arial" w:cs="Arial"/>
                <w:b/>
                <w:bCs/>
                <w:color w:val="000000" w:themeColor="text1"/>
                <w:sz w:val="22"/>
                <w:szCs w:val="22"/>
              </w:rPr>
              <w:t>NO</w:t>
            </w:r>
          </w:p>
        </w:tc>
      </w:tr>
      <w:tr w:rsidR="000A324D" w:rsidRPr="00AE264E" w:rsidTr="00C82976">
        <w:trPr>
          <w:trHeight w:val="439"/>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13</w:t>
            </w:r>
          </w:p>
        </w:tc>
        <w:tc>
          <w:tcPr>
            <w:tcW w:w="3770"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Electronic transfer of data in any form?</w:t>
            </w:r>
          </w:p>
        </w:tc>
        <w:tc>
          <w:tcPr>
            <w:tcW w:w="473" w:type="pct"/>
            <w:shd w:val="clear" w:color="auto" w:fill="BFBFBF" w:themeFill="background1" w:themeFillShade="BF"/>
            <w:vAlign w:val="center"/>
          </w:tcPr>
          <w:sdt>
            <w:sdtPr>
              <w:rPr>
                <w:rFonts w:ascii="Arial" w:hAnsi="Arial" w:cs="Arial"/>
                <w:b/>
                <w:bCs/>
                <w:color w:val="000000" w:themeColor="text1"/>
                <w:sz w:val="22"/>
                <w:szCs w:val="22"/>
              </w:rPr>
              <w:id w:val="-243347341"/>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89" w:type="pct"/>
            <w:shd w:val="clear" w:color="auto" w:fill="BFBFBF" w:themeFill="background1" w:themeFillShade="BF"/>
            <w:vAlign w:val="center"/>
          </w:tcPr>
          <w:sdt>
            <w:sdtPr>
              <w:rPr>
                <w:rFonts w:ascii="Arial" w:hAnsi="Arial" w:cs="Arial"/>
                <w:b/>
                <w:bCs/>
                <w:color w:val="000000" w:themeColor="text1"/>
                <w:sz w:val="22"/>
                <w:szCs w:val="22"/>
              </w:rPr>
              <w:id w:val="809138048"/>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14</w:t>
            </w:r>
          </w:p>
        </w:tc>
        <w:tc>
          <w:tcPr>
            <w:tcW w:w="3770"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Sharing of data with others at the University outside of the immediate research team?</w:t>
            </w:r>
          </w:p>
        </w:tc>
        <w:tc>
          <w:tcPr>
            <w:tcW w:w="473" w:type="pct"/>
            <w:shd w:val="clear" w:color="auto" w:fill="BFBFBF" w:themeFill="background1" w:themeFillShade="BF"/>
            <w:vAlign w:val="center"/>
          </w:tcPr>
          <w:sdt>
            <w:sdtPr>
              <w:rPr>
                <w:rFonts w:ascii="Arial" w:hAnsi="Arial" w:cs="Arial"/>
                <w:b/>
                <w:bCs/>
                <w:color w:val="000000" w:themeColor="text1"/>
                <w:sz w:val="22"/>
                <w:szCs w:val="22"/>
              </w:rPr>
              <w:id w:val="206609976"/>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89" w:type="pct"/>
            <w:shd w:val="clear" w:color="auto" w:fill="BFBFBF" w:themeFill="background1" w:themeFillShade="BF"/>
            <w:vAlign w:val="center"/>
          </w:tcPr>
          <w:sdt>
            <w:sdtPr>
              <w:rPr>
                <w:rFonts w:ascii="Arial" w:hAnsi="Arial" w:cs="Arial"/>
                <w:b/>
                <w:bCs/>
                <w:color w:val="000000" w:themeColor="text1"/>
                <w:sz w:val="22"/>
                <w:szCs w:val="22"/>
              </w:rPr>
              <w:id w:val="1162969108"/>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39"/>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15</w:t>
            </w:r>
          </w:p>
        </w:tc>
        <w:tc>
          <w:tcPr>
            <w:tcW w:w="3770"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Sharing of data with other organisations?</w:t>
            </w:r>
          </w:p>
        </w:tc>
        <w:tc>
          <w:tcPr>
            <w:tcW w:w="473" w:type="pct"/>
            <w:shd w:val="clear" w:color="auto" w:fill="BFBFBF" w:themeFill="background1" w:themeFillShade="BF"/>
            <w:vAlign w:val="center"/>
          </w:tcPr>
          <w:sdt>
            <w:sdtPr>
              <w:rPr>
                <w:rFonts w:ascii="Arial" w:hAnsi="Arial" w:cs="Arial"/>
                <w:b/>
                <w:bCs/>
                <w:color w:val="000000" w:themeColor="text1"/>
                <w:sz w:val="22"/>
                <w:szCs w:val="22"/>
              </w:rPr>
              <w:id w:val="-853718064"/>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89" w:type="pct"/>
            <w:shd w:val="clear" w:color="auto" w:fill="BFBFBF" w:themeFill="background1" w:themeFillShade="BF"/>
            <w:vAlign w:val="center"/>
          </w:tcPr>
          <w:sdt>
            <w:sdtPr>
              <w:rPr>
                <w:rFonts w:ascii="Arial" w:hAnsi="Arial" w:cs="Arial"/>
                <w:b/>
                <w:bCs/>
                <w:color w:val="000000" w:themeColor="text1"/>
                <w:sz w:val="22"/>
                <w:szCs w:val="22"/>
              </w:rPr>
              <w:id w:val="-692922631"/>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16</w:t>
            </w:r>
          </w:p>
        </w:tc>
        <w:tc>
          <w:tcPr>
            <w:tcW w:w="3770"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Export of data outside the UK or importing of data from outside the UK?</w:t>
            </w:r>
          </w:p>
        </w:tc>
        <w:tc>
          <w:tcPr>
            <w:tcW w:w="473" w:type="pct"/>
            <w:shd w:val="clear" w:color="auto" w:fill="BFBFBF" w:themeFill="background1" w:themeFillShade="BF"/>
            <w:vAlign w:val="center"/>
          </w:tcPr>
          <w:sdt>
            <w:sdtPr>
              <w:rPr>
                <w:rFonts w:ascii="Arial" w:hAnsi="Arial" w:cs="Arial"/>
                <w:b/>
                <w:bCs/>
                <w:color w:val="000000" w:themeColor="text1"/>
                <w:sz w:val="22"/>
                <w:szCs w:val="22"/>
              </w:rPr>
              <w:id w:val="-1311477419"/>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89" w:type="pct"/>
            <w:shd w:val="clear" w:color="auto" w:fill="BFBFBF" w:themeFill="background1" w:themeFillShade="BF"/>
            <w:vAlign w:val="center"/>
          </w:tcPr>
          <w:sdt>
            <w:sdtPr>
              <w:rPr>
                <w:rFonts w:ascii="Arial" w:hAnsi="Arial" w:cs="Arial"/>
                <w:b/>
                <w:bCs/>
                <w:color w:val="000000" w:themeColor="text1"/>
                <w:sz w:val="22"/>
                <w:szCs w:val="22"/>
              </w:rPr>
              <w:id w:val="-982232726"/>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17</w:t>
            </w:r>
          </w:p>
        </w:tc>
        <w:tc>
          <w:tcPr>
            <w:tcW w:w="3770"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Use of personal addresses, postcodes, faxes, emails or telephone numbers?</w:t>
            </w:r>
          </w:p>
        </w:tc>
        <w:tc>
          <w:tcPr>
            <w:tcW w:w="473" w:type="pct"/>
            <w:shd w:val="clear" w:color="auto" w:fill="BFBFBF" w:themeFill="background1" w:themeFillShade="BF"/>
            <w:vAlign w:val="center"/>
          </w:tcPr>
          <w:sdt>
            <w:sdtPr>
              <w:rPr>
                <w:rFonts w:ascii="Arial" w:hAnsi="Arial" w:cs="Arial"/>
                <w:b/>
                <w:bCs/>
                <w:color w:val="000000" w:themeColor="text1"/>
                <w:sz w:val="22"/>
                <w:szCs w:val="22"/>
              </w:rPr>
              <w:id w:val="580263657"/>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89" w:type="pct"/>
            <w:shd w:val="clear" w:color="auto" w:fill="BFBFBF" w:themeFill="background1" w:themeFillShade="BF"/>
            <w:vAlign w:val="center"/>
          </w:tcPr>
          <w:sdt>
            <w:sdtPr>
              <w:rPr>
                <w:rFonts w:ascii="Arial" w:hAnsi="Arial" w:cs="Arial"/>
                <w:b/>
                <w:bCs/>
                <w:color w:val="000000" w:themeColor="text1"/>
                <w:sz w:val="22"/>
                <w:szCs w:val="22"/>
              </w:rPr>
              <w:id w:val="705679297"/>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18</w:t>
            </w:r>
          </w:p>
        </w:tc>
        <w:tc>
          <w:tcPr>
            <w:tcW w:w="3770"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Publication of data that might allow identification of individuals?</w:t>
            </w:r>
          </w:p>
        </w:tc>
        <w:tc>
          <w:tcPr>
            <w:tcW w:w="473" w:type="pct"/>
            <w:shd w:val="clear" w:color="auto" w:fill="BFBFBF" w:themeFill="background1" w:themeFillShade="BF"/>
            <w:vAlign w:val="center"/>
          </w:tcPr>
          <w:sdt>
            <w:sdtPr>
              <w:rPr>
                <w:rFonts w:ascii="Arial" w:hAnsi="Arial" w:cs="Arial"/>
                <w:b/>
                <w:bCs/>
                <w:color w:val="000000" w:themeColor="text1"/>
                <w:sz w:val="22"/>
                <w:szCs w:val="22"/>
              </w:rPr>
              <w:id w:val="1833259881"/>
            </w:sdtPr>
            <w:sdtEndPr/>
            <w:sdtContent>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c>
          <w:tcPr>
            <w:tcW w:w="489" w:type="pct"/>
            <w:shd w:val="clear" w:color="auto" w:fill="BFBFBF" w:themeFill="background1" w:themeFillShade="BF"/>
            <w:vAlign w:val="center"/>
          </w:tcPr>
          <w:sdt>
            <w:sdtPr>
              <w:rPr>
                <w:rFonts w:ascii="Arial" w:hAnsi="Arial" w:cs="Arial"/>
                <w:b/>
                <w:bCs/>
                <w:color w:val="000000" w:themeColor="text1"/>
                <w:sz w:val="22"/>
                <w:szCs w:val="22"/>
              </w:rPr>
              <w:id w:val="48495840"/>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b/>
                    <w:bCs/>
                    <w:color w:val="000000" w:themeColor="text1"/>
                    <w:sz w:val="22"/>
                    <w:szCs w:val="22"/>
                  </w:rPr>
                  <w:t>☒</w:t>
                </w:r>
              </w:p>
            </w:sdtContent>
          </w:sdt>
        </w:tc>
      </w:tr>
      <w:tr w:rsidR="000A324D" w:rsidRPr="00AE264E" w:rsidTr="00C82976">
        <w:trPr>
          <w:trHeight w:val="403"/>
        </w:trPr>
        <w:tc>
          <w:tcPr>
            <w:tcW w:w="268" w:type="pct"/>
            <w:shd w:val="clear" w:color="auto" w:fill="F2F2F2" w:themeFill="background1" w:themeFillShade="F2"/>
            <w:vAlign w:val="center"/>
          </w:tcPr>
          <w:p w:rsidR="000A324D" w:rsidRPr="00AE264E" w:rsidRDefault="000A324D" w:rsidP="00AE264E">
            <w:pPr>
              <w:spacing w:before="120" w:after="120"/>
              <w:jc w:val="center"/>
              <w:rPr>
                <w:rFonts w:ascii="Arial" w:hAnsi="Arial" w:cs="Arial"/>
                <w:color w:val="000000" w:themeColor="text1"/>
                <w:sz w:val="22"/>
                <w:szCs w:val="22"/>
              </w:rPr>
            </w:pPr>
            <w:r w:rsidRPr="00AE264E">
              <w:rPr>
                <w:rFonts w:ascii="Arial" w:hAnsi="Arial" w:cs="Arial"/>
                <w:color w:val="000000" w:themeColor="text1"/>
                <w:sz w:val="22"/>
                <w:szCs w:val="22"/>
              </w:rPr>
              <w:t>19</w:t>
            </w:r>
          </w:p>
        </w:tc>
        <w:tc>
          <w:tcPr>
            <w:tcW w:w="4732" w:type="pct"/>
            <w:gridSpan w:val="3"/>
            <w:shd w:val="clear" w:color="auto" w:fill="F2F2F2" w:themeFill="background1" w:themeFillShade="F2"/>
            <w:vAlign w:val="center"/>
          </w:tcPr>
          <w:p w:rsidR="000A324D" w:rsidRPr="00AE264E" w:rsidRDefault="000A324D" w:rsidP="00AE264E">
            <w:pPr>
              <w:spacing w:before="120" w:after="120"/>
              <w:rPr>
                <w:rFonts w:ascii="Arial" w:hAnsi="Arial" w:cs="Arial"/>
                <w:bCs/>
                <w:color w:val="000000" w:themeColor="text1"/>
                <w:sz w:val="22"/>
                <w:szCs w:val="22"/>
              </w:rPr>
            </w:pPr>
            <w:r w:rsidRPr="00AE264E">
              <w:rPr>
                <w:rFonts w:ascii="Arial" w:hAnsi="Arial" w:cs="Arial"/>
                <w:color w:val="000000" w:themeColor="text1"/>
                <w:sz w:val="22"/>
                <w:szCs w:val="22"/>
              </w:rPr>
              <w:t xml:space="preserve">If YESto any question, please provide full details, </w:t>
            </w:r>
            <w:r w:rsidRPr="00AE264E">
              <w:rPr>
                <w:rFonts w:ascii="Arial" w:hAnsi="Arial" w:cs="Arial"/>
                <w:bCs/>
                <w:color w:val="000000" w:themeColor="text1"/>
                <w:sz w:val="22"/>
                <w:szCs w:val="22"/>
              </w:rPr>
              <w:t>explaining how this will be conducted in accordance with the GDPR and Data Protection Act (2018) (and/or any international equivalent):</w:t>
            </w:r>
          </w:p>
        </w:tc>
      </w:tr>
      <w:tr w:rsidR="000A324D" w:rsidRPr="00AE264E" w:rsidTr="00C82976">
        <w:trPr>
          <w:trHeight w:val="403"/>
        </w:trPr>
        <w:tc>
          <w:tcPr>
            <w:tcW w:w="268" w:type="pct"/>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p>
        </w:tc>
        <w:tc>
          <w:tcPr>
            <w:tcW w:w="4732" w:type="pct"/>
            <w:gridSpan w:val="3"/>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This includes data such as drafts of your thesis as well as experimental or survey data. An example of suitable text is given below.</w:t>
            </w:r>
          </w:p>
          <w:p w:rsidR="000A324D" w:rsidRPr="00AE264E" w:rsidRDefault="000A324D" w:rsidP="00AE264E">
            <w:pPr>
              <w:autoSpaceDE w:val="0"/>
              <w:autoSpaceDN w:val="0"/>
              <w:adjustRightInd w:val="0"/>
              <w:rPr>
                <w:rFonts w:ascii="Arial" w:hAnsi="Arial" w:cs="Arial"/>
                <w:color w:val="000000" w:themeColor="text1"/>
                <w:sz w:val="22"/>
                <w:szCs w:val="22"/>
              </w:rPr>
            </w:pPr>
          </w:p>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i/>
                <w:color w:val="000000" w:themeColor="text1"/>
                <w:sz w:val="22"/>
                <w:szCs w:val="22"/>
                <w:lang w:eastAsia="en-GB"/>
              </w:rPr>
              <w:lastRenderedPageBreak/>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rsidR="000A324D" w:rsidRPr="00AE264E" w:rsidRDefault="000A324D" w:rsidP="00AE264E">
            <w:pPr>
              <w:autoSpaceDE w:val="0"/>
              <w:autoSpaceDN w:val="0"/>
              <w:adjustRightInd w:val="0"/>
              <w:rPr>
                <w:rFonts w:ascii="Arial" w:hAnsi="Arial" w:cs="Arial"/>
                <w:color w:val="000000" w:themeColor="text1"/>
                <w:sz w:val="22"/>
                <w:szCs w:val="22"/>
              </w:rPr>
            </w:pPr>
          </w:p>
          <w:p w:rsidR="000A324D" w:rsidRPr="00AE264E" w:rsidRDefault="000A324D" w:rsidP="00AE264E">
            <w:pPr>
              <w:autoSpaceDE w:val="0"/>
              <w:autoSpaceDN w:val="0"/>
              <w:adjustRightInd w:val="0"/>
              <w:rPr>
                <w:rFonts w:cs="Arial"/>
                <w:color w:val="000000" w:themeColor="text1"/>
              </w:rPr>
            </w:pPr>
            <w:r w:rsidRPr="00AE264E">
              <w:rPr>
                <w:rFonts w:ascii="Arial" w:hAnsi="Arial" w:cs="Arial"/>
                <w:i/>
                <w:color w:val="000000" w:themeColor="text1"/>
                <w:sz w:val="18"/>
                <w:szCs w:val="18"/>
              </w:rPr>
              <w:t>(this box should expand as you type)</w:t>
            </w:r>
          </w:p>
        </w:tc>
      </w:tr>
      <w:tr w:rsidR="000A324D" w:rsidRPr="00AE264E" w:rsidTr="00C82976">
        <w:trPr>
          <w:trHeight w:val="403"/>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Arial" w:hAnsi="Arial" w:cs="Arial"/>
                <w:color w:val="000000" w:themeColor="text1"/>
                <w:sz w:val="22"/>
                <w:szCs w:val="22"/>
              </w:rPr>
              <w:t>20</w:t>
            </w:r>
          </w:p>
        </w:tc>
        <w:tc>
          <w:tcPr>
            <w:tcW w:w="4732" w:type="pct"/>
            <w:gridSpan w:val="3"/>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bCs/>
                <w:color w:val="000000" w:themeColor="text1"/>
                <w:sz w:val="22"/>
                <w:szCs w:val="22"/>
              </w:rPr>
              <w:t>List all who will have access to the data generated by the research activity</w:t>
            </w:r>
            <w:r w:rsidRPr="00AE264E">
              <w:rPr>
                <w:rFonts w:ascii="Arial" w:hAnsi="Arial" w:cs="Arial"/>
                <w:color w:val="000000" w:themeColor="text1"/>
                <w:sz w:val="22"/>
                <w:szCs w:val="22"/>
              </w:rPr>
              <w:t>:</w:t>
            </w:r>
          </w:p>
        </w:tc>
      </w:tr>
      <w:tr w:rsidR="000A324D" w:rsidRPr="00AE264E" w:rsidTr="00C82976">
        <w:trPr>
          <w:trHeight w:val="403"/>
        </w:trPr>
        <w:tc>
          <w:tcPr>
            <w:tcW w:w="268" w:type="pct"/>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p>
        </w:tc>
        <w:tc>
          <w:tcPr>
            <w:tcW w:w="4732" w:type="pct"/>
            <w:gridSpan w:val="3"/>
            <w:vAlign w:val="center"/>
          </w:tcPr>
          <w:p w:rsidR="000A324D" w:rsidRPr="00AE264E" w:rsidRDefault="000A324D" w:rsidP="00AE264E">
            <w:pPr>
              <w:autoSpaceDE w:val="0"/>
              <w:autoSpaceDN w:val="0"/>
              <w:adjustRightInd w:val="0"/>
              <w:spacing w:line="360" w:lineRule="auto"/>
              <w:rPr>
                <w:rFonts w:ascii="Arial" w:hAnsi="Arial" w:cs="Arial"/>
                <w:color w:val="000000" w:themeColor="text1"/>
              </w:rPr>
            </w:pPr>
            <w:r w:rsidRPr="00AE264E">
              <w:rPr>
                <w:rFonts w:ascii="Arial" w:hAnsi="Arial" w:cs="Arial"/>
                <w:color w:val="000000" w:themeColor="text1"/>
              </w:rPr>
              <w:t>Access to the research data shall only be allowed to the lead researcher and the academic supervisor for the purpose of supervision. If the need arises, as per the University’s examination procedures, authorized internal examiners and the external examiner may access the dissertation and the research documents too. No other individual or institution shall be allowed access to the research data.</w:t>
            </w:r>
          </w:p>
          <w:p w:rsidR="000A324D" w:rsidRPr="00AE264E" w:rsidRDefault="000A324D" w:rsidP="00AE264E">
            <w:pPr>
              <w:autoSpaceDE w:val="0"/>
              <w:autoSpaceDN w:val="0"/>
              <w:adjustRightInd w:val="0"/>
              <w:rPr>
                <w:rFonts w:ascii="Arial" w:hAnsi="Arial" w:cs="Arial"/>
                <w:color w:val="000000" w:themeColor="text1"/>
                <w:sz w:val="22"/>
                <w:szCs w:val="22"/>
              </w:rPr>
            </w:pPr>
          </w:p>
        </w:tc>
      </w:tr>
      <w:tr w:rsidR="000A324D" w:rsidRPr="00AE264E" w:rsidTr="00C82976">
        <w:trPr>
          <w:trHeight w:val="403"/>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Arial" w:hAnsi="Arial" w:cs="Arial"/>
                <w:color w:val="000000" w:themeColor="text1"/>
                <w:sz w:val="22"/>
                <w:szCs w:val="22"/>
              </w:rPr>
              <w:t>21</w:t>
            </w:r>
          </w:p>
        </w:tc>
        <w:tc>
          <w:tcPr>
            <w:tcW w:w="4732" w:type="pct"/>
            <w:gridSpan w:val="3"/>
            <w:shd w:val="clear" w:color="auto" w:fill="F2F2F2" w:themeFill="background1" w:themeFillShade="F2"/>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bCs/>
                <w:color w:val="000000" w:themeColor="text1"/>
                <w:sz w:val="22"/>
                <w:szCs w:val="22"/>
              </w:rPr>
              <w:t>List who will have control of, and act as custodian(s) for, data generated by the research activity</w:t>
            </w:r>
            <w:r w:rsidRPr="00AE264E">
              <w:rPr>
                <w:rFonts w:ascii="Arial" w:hAnsi="Arial" w:cs="Arial"/>
                <w:color w:val="000000" w:themeColor="text1"/>
                <w:sz w:val="22"/>
                <w:szCs w:val="22"/>
              </w:rPr>
              <w:t>:</w:t>
            </w:r>
          </w:p>
        </w:tc>
      </w:tr>
      <w:tr w:rsidR="000A324D" w:rsidRPr="00AE264E" w:rsidTr="00C82976">
        <w:trPr>
          <w:trHeight w:val="403"/>
        </w:trPr>
        <w:tc>
          <w:tcPr>
            <w:tcW w:w="268" w:type="pct"/>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p>
        </w:tc>
        <w:tc>
          <w:tcPr>
            <w:tcW w:w="4732" w:type="pct"/>
            <w:gridSpan w:val="3"/>
          </w:tcPr>
          <w:p w:rsidR="000A324D" w:rsidRPr="00AE264E" w:rsidRDefault="000A324D" w:rsidP="00AE264E">
            <w:pPr>
              <w:autoSpaceDE w:val="0"/>
              <w:autoSpaceDN w:val="0"/>
              <w:adjustRightInd w:val="0"/>
              <w:spacing w:line="360" w:lineRule="auto"/>
              <w:rPr>
                <w:rFonts w:ascii="Arial" w:hAnsi="Arial" w:cs="Arial"/>
                <w:color w:val="000000" w:themeColor="text1"/>
                <w:szCs w:val="22"/>
              </w:rPr>
            </w:pPr>
            <w:r w:rsidRPr="00AE264E">
              <w:rPr>
                <w:rFonts w:ascii="Arial" w:hAnsi="Arial" w:cs="Arial"/>
                <w:color w:val="000000" w:themeColor="text1"/>
                <w:szCs w:val="22"/>
              </w:rPr>
              <w:t>Lead researcher and the academic supervisor</w:t>
            </w:r>
          </w:p>
        </w:tc>
      </w:tr>
      <w:tr w:rsidR="000A324D" w:rsidRPr="00AE264E" w:rsidTr="00C82976">
        <w:trPr>
          <w:trHeight w:val="403"/>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Arial" w:hAnsi="Arial" w:cs="Arial"/>
                <w:color w:val="000000" w:themeColor="text1"/>
                <w:sz w:val="22"/>
                <w:szCs w:val="22"/>
              </w:rPr>
              <w:t>22</w:t>
            </w:r>
          </w:p>
        </w:tc>
        <w:tc>
          <w:tcPr>
            <w:tcW w:w="4732" w:type="pct"/>
            <w:gridSpan w:val="3"/>
            <w:shd w:val="clear" w:color="auto" w:fill="F2F2F2" w:themeFill="background1" w:themeFillShade="F2"/>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bCs/>
                <w:color w:val="000000" w:themeColor="text1"/>
                <w:sz w:val="22"/>
                <w:szCs w:val="22"/>
              </w:rPr>
              <w:t xml:space="preserve">Give details of data storage arrangements, including security measures in place to protect the data, where data will be stored, how long for, and in what form. </w:t>
            </w:r>
          </w:p>
        </w:tc>
      </w:tr>
      <w:tr w:rsidR="000A324D" w:rsidRPr="00AE264E" w:rsidTr="00C82976">
        <w:trPr>
          <w:trHeight w:val="403"/>
        </w:trPr>
        <w:tc>
          <w:tcPr>
            <w:tcW w:w="268" w:type="pct"/>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p>
        </w:tc>
        <w:tc>
          <w:tcPr>
            <w:tcW w:w="4732" w:type="pct"/>
            <w:gridSpan w:val="3"/>
          </w:tcPr>
          <w:p w:rsidR="000A324D" w:rsidRPr="00AE264E" w:rsidRDefault="000A324D" w:rsidP="00AE264E">
            <w:pPr>
              <w:autoSpaceDE w:val="0"/>
              <w:autoSpaceDN w:val="0"/>
              <w:adjustRightInd w:val="0"/>
              <w:spacing w:line="360" w:lineRule="auto"/>
              <w:rPr>
                <w:rFonts w:ascii="Arial" w:hAnsi="Arial" w:cs="Arial"/>
                <w:color w:val="000000" w:themeColor="text1"/>
              </w:rPr>
            </w:pPr>
            <w:r w:rsidRPr="00AE264E">
              <w:rPr>
                <w:rFonts w:ascii="Arial" w:hAnsi="Arial" w:cs="Arial"/>
                <w:color w:val="000000" w:themeColor="text1"/>
                <w:lang w:eastAsia="en-GB"/>
              </w:rPr>
              <w:t>All research data will be kept in an electronic format, including PDF files of journal papers, government and industry reports, research notes, references management, and dissertation drafts. Data will be kept on password-protected personal computer and the University's password-protected cloud Office 365 OneDrive, which offers regular back-up services. Access to files will be granted exclusively to the main researcher and academic supervisor where appropriate. Any portable storage device will be password-protected and encrypted. As the research is based only on publicly available secondary data, no personal or confidential data of participants will be stored. All research data will be kept securely until the completion of assessment and examination process, after which files will be safely deleted or disposed according to the University's Research Data Management Policy, UK GDPR and Data Protection Act 2018.</w:t>
            </w:r>
          </w:p>
        </w:tc>
      </w:tr>
      <w:tr w:rsidR="000A324D" w:rsidRPr="00AE264E" w:rsidTr="00C82976">
        <w:trPr>
          <w:trHeight w:val="600"/>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Arial" w:hAnsi="Arial" w:cs="Arial"/>
                <w:bCs/>
                <w:color w:val="000000" w:themeColor="text1"/>
                <w:sz w:val="22"/>
                <w:szCs w:val="22"/>
              </w:rPr>
              <w:t>22</w:t>
            </w:r>
          </w:p>
        </w:tc>
        <w:tc>
          <w:tcPr>
            <w:tcW w:w="3770" w:type="pct"/>
            <w:shd w:val="clear" w:color="auto" w:fill="F2F2F2" w:themeFill="background1" w:themeFillShade="F2"/>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bCs/>
                <w:color w:val="000000" w:themeColor="text1"/>
                <w:sz w:val="22"/>
                <w:szCs w:val="22"/>
              </w:rPr>
              <w:t xml:space="preserve">Confirm that you have read the UWTSD guidance on data management (see </w:t>
            </w:r>
            <w:hyperlink r:id="rId125" w:history="1">
              <w:r w:rsidRPr="00AE264E">
                <w:rPr>
                  <w:rStyle w:val="Hyperlink"/>
                  <w:rFonts w:ascii="Arial" w:hAnsi="Arial" w:cs="Arial"/>
                  <w:color w:val="000000" w:themeColor="text1"/>
                  <w:sz w:val="22"/>
                  <w:szCs w:val="22"/>
                </w:rPr>
                <w:t>https://www.uwtsd.ac.uk/library/research-data-management/</w:t>
              </w:r>
            </w:hyperlink>
            <w:r w:rsidRPr="00AE264E">
              <w:rPr>
                <w:rFonts w:ascii="Arial" w:hAnsi="Arial" w:cs="Arial"/>
                <w:color w:val="000000" w:themeColor="text1"/>
                <w:sz w:val="22"/>
                <w:szCs w:val="22"/>
              </w:rPr>
              <w:t>)</w:t>
            </w:r>
          </w:p>
        </w:tc>
        <w:tc>
          <w:tcPr>
            <w:tcW w:w="962" w:type="pct"/>
            <w:gridSpan w:val="2"/>
            <w:vAlign w:val="center"/>
          </w:tcPr>
          <w:p w:rsidR="000A324D" w:rsidRPr="00AE264E" w:rsidRDefault="00AB6FE7" w:rsidP="00AE264E">
            <w:pPr>
              <w:autoSpaceDE w:val="0"/>
              <w:autoSpaceDN w:val="0"/>
              <w:adjustRightInd w:val="0"/>
              <w:jc w:val="center"/>
              <w:rPr>
                <w:rFonts w:ascii="Arial" w:hAnsi="Arial" w:cs="Arial"/>
                <w:color w:val="000000" w:themeColor="text1"/>
                <w:sz w:val="22"/>
                <w:szCs w:val="22"/>
              </w:rPr>
            </w:pPr>
            <w:sdt>
              <w:sdtPr>
                <w:rPr>
                  <w:rFonts w:ascii="Arial" w:hAnsi="Arial" w:cs="Arial"/>
                  <w:b/>
                  <w:bCs/>
                  <w:color w:val="000000" w:themeColor="text1"/>
                </w:rPr>
                <w:id w:val="1821611795"/>
              </w:sdtPr>
              <w:sdtEndPr/>
              <w:sdtContent>
                <w:r w:rsidR="000A324D" w:rsidRPr="00AE264E">
                  <w:rPr>
                    <w:rFonts w:ascii="MS Gothic" w:eastAsia="MS Gothic" w:hAnsi="MS Gothic" w:cs="Arial" w:hint="eastAsia"/>
                    <w:b/>
                    <w:bCs/>
                    <w:color w:val="000000" w:themeColor="text1"/>
                  </w:rPr>
                  <w:t>☒</w:t>
                </w:r>
              </w:sdtContent>
            </w:sdt>
          </w:p>
        </w:tc>
      </w:tr>
      <w:tr w:rsidR="000A324D" w:rsidRPr="00AE264E" w:rsidTr="00C82976">
        <w:trPr>
          <w:trHeight w:val="632"/>
        </w:trPr>
        <w:tc>
          <w:tcPr>
            <w:tcW w:w="268"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bCs/>
                <w:color w:val="000000" w:themeColor="text1"/>
                <w:sz w:val="22"/>
                <w:szCs w:val="22"/>
              </w:rPr>
            </w:pPr>
            <w:r w:rsidRPr="00AE264E">
              <w:rPr>
                <w:rFonts w:ascii="Arial" w:hAnsi="Arial" w:cs="Arial"/>
                <w:bCs/>
                <w:color w:val="000000" w:themeColor="text1"/>
                <w:sz w:val="22"/>
                <w:szCs w:val="22"/>
              </w:rPr>
              <w:t>23</w:t>
            </w:r>
          </w:p>
        </w:tc>
        <w:tc>
          <w:tcPr>
            <w:tcW w:w="3770" w:type="pct"/>
            <w:shd w:val="clear" w:color="auto" w:fill="F2F2F2" w:themeFill="background1" w:themeFillShade="F2"/>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bCs/>
                <w:color w:val="000000" w:themeColor="text1"/>
                <w:sz w:val="22"/>
                <w:szCs w:val="22"/>
              </w:rPr>
              <w:t>Confirm that you are aware that you need to keep all data until after your research has completed or the end of your funding</w:t>
            </w:r>
          </w:p>
        </w:tc>
        <w:tc>
          <w:tcPr>
            <w:tcW w:w="962" w:type="pct"/>
            <w:gridSpan w:val="2"/>
            <w:vAlign w:val="center"/>
          </w:tcPr>
          <w:p w:rsidR="000A324D" w:rsidRPr="00AE264E" w:rsidRDefault="00AB6FE7" w:rsidP="00AE264E">
            <w:pPr>
              <w:autoSpaceDE w:val="0"/>
              <w:autoSpaceDN w:val="0"/>
              <w:adjustRightInd w:val="0"/>
              <w:jc w:val="center"/>
              <w:rPr>
                <w:rFonts w:ascii="Arial" w:hAnsi="Arial" w:cs="Arial"/>
                <w:color w:val="000000" w:themeColor="text1"/>
                <w:sz w:val="22"/>
                <w:szCs w:val="22"/>
              </w:rPr>
            </w:pPr>
            <w:sdt>
              <w:sdtPr>
                <w:rPr>
                  <w:rFonts w:ascii="Arial" w:hAnsi="Arial" w:cs="Arial"/>
                  <w:b/>
                  <w:bCs/>
                  <w:color w:val="000000" w:themeColor="text1"/>
                </w:rPr>
                <w:id w:val="767737168"/>
              </w:sdtPr>
              <w:sdtEndPr/>
              <w:sdtContent>
                <w:r w:rsidR="000A324D" w:rsidRPr="00AE264E">
                  <w:rPr>
                    <w:rFonts w:ascii="MS Gothic" w:eastAsia="MS Gothic" w:hAnsi="MS Gothic" w:cs="Arial" w:hint="eastAsia"/>
                    <w:b/>
                    <w:bCs/>
                    <w:color w:val="000000" w:themeColor="text1"/>
                  </w:rPr>
                  <w:t>☒</w:t>
                </w:r>
              </w:sdtContent>
            </w:sdt>
          </w:p>
        </w:tc>
      </w:tr>
    </w:tbl>
    <w:p w:rsidR="000A324D" w:rsidRPr="00AE264E" w:rsidRDefault="000A324D" w:rsidP="000A324D">
      <w:pPr>
        <w:rPr>
          <w:rFonts w:ascii="Arial" w:hAnsi="Arial" w:cs="Arial"/>
          <w:b/>
          <w:bCs/>
          <w:color w:val="000000" w:themeColor="text1"/>
          <w:sz w:val="22"/>
          <w:szCs w:val="22"/>
        </w:rPr>
      </w:pPr>
    </w:p>
    <w:p w:rsidR="000A324D" w:rsidRPr="00AE264E" w:rsidRDefault="000A324D" w:rsidP="000A324D">
      <w:pPr>
        <w:autoSpaceDE w:val="0"/>
        <w:autoSpaceDN w:val="0"/>
        <w:adjustRightInd w:val="0"/>
        <w:spacing w:after="240"/>
        <w:rPr>
          <w:rFonts w:ascii="Arial" w:hAnsi="Arial" w:cs="Arial"/>
          <w:b/>
          <w:color w:val="000000" w:themeColor="text1"/>
          <w:sz w:val="22"/>
          <w:szCs w:val="22"/>
        </w:rPr>
      </w:pPr>
    </w:p>
    <w:p w:rsidR="000A324D" w:rsidRPr="00AE264E" w:rsidRDefault="000A324D" w:rsidP="000A324D">
      <w:pPr>
        <w:autoSpaceDE w:val="0"/>
        <w:autoSpaceDN w:val="0"/>
        <w:adjustRightInd w:val="0"/>
        <w:spacing w:after="240"/>
        <w:rPr>
          <w:rFonts w:ascii="Arial" w:hAnsi="Arial" w:cs="Arial"/>
          <w:b/>
          <w:color w:val="000000" w:themeColor="text1"/>
          <w:sz w:val="22"/>
          <w:szCs w:val="22"/>
        </w:rPr>
      </w:pPr>
      <w:r w:rsidRPr="00AE264E">
        <w:rPr>
          <w:rFonts w:ascii="Arial" w:hAnsi="Arial" w:cs="Arial"/>
          <w:b/>
          <w:color w:val="000000" w:themeColor="text1"/>
          <w:sz w:val="22"/>
          <w:szCs w:val="22"/>
        </w:rPr>
        <w:t>SECTION I: Use of AI tools</w:t>
      </w:r>
    </w:p>
    <w:tbl>
      <w:tblPr>
        <w:tblStyle w:val="TableGrid"/>
        <w:tblW w:w="5000" w:type="pct"/>
        <w:tblLook w:val="04A0" w:firstRow="1" w:lastRow="0" w:firstColumn="1" w:lastColumn="0" w:noHBand="0" w:noVBand="1"/>
      </w:tblPr>
      <w:tblGrid>
        <w:gridCol w:w="475"/>
        <w:gridCol w:w="5884"/>
        <w:gridCol w:w="842"/>
        <w:gridCol w:w="954"/>
        <w:gridCol w:w="864"/>
      </w:tblGrid>
      <w:tr w:rsidR="000A324D" w:rsidRPr="00AE264E" w:rsidTr="000A324D">
        <w:tc>
          <w:tcPr>
            <w:tcW w:w="3524" w:type="pct"/>
            <w:gridSpan w:val="2"/>
            <w:shd w:val="clear" w:color="auto" w:fill="F2F2F2" w:themeFill="background1" w:themeFillShade="F2"/>
          </w:tcPr>
          <w:p w:rsidR="000A324D" w:rsidRPr="00AE264E" w:rsidRDefault="000A324D" w:rsidP="00AE264E">
            <w:pPr>
              <w:autoSpaceDE w:val="0"/>
              <w:autoSpaceDN w:val="0"/>
              <w:adjustRightInd w:val="0"/>
              <w:rPr>
                <w:rFonts w:ascii="Arial" w:hAnsi="Arial" w:cs="Arial"/>
                <w:b/>
                <w:color w:val="000000" w:themeColor="text1"/>
                <w:sz w:val="22"/>
                <w:szCs w:val="22"/>
              </w:rPr>
            </w:pPr>
            <w:r w:rsidRPr="00AE264E">
              <w:rPr>
                <w:rFonts w:ascii="Arial" w:hAnsi="Arial" w:cs="Arial"/>
                <w:b/>
                <w:color w:val="000000" w:themeColor="text1"/>
                <w:sz w:val="22"/>
                <w:szCs w:val="22"/>
              </w:rPr>
              <w:t>Use of generative AI and other AI-based tools</w:t>
            </w:r>
          </w:p>
          <w:p w:rsidR="000A324D" w:rsidRPr="00AE264E" w:rsidRDefault="000A324D" w:rsidP="00AE264E">
            <w:pPr>
              <w:autoSpaceDE w:val="0"/>
              <w:autoSpaceDN w:val="0"/>
              <w:adjustRightInd w:val="0"/>
              <w:rPr>
                <w:rFonts w:ascii="Arial" w:hAnsi="Arial" w:cs="Arial"/>
                <w:bCs/>
                <w:color w:val="000000" w:themeColor="text1"/>
                <w:sz w:val="22"/>
                <w:szCs w:val="22"/>
              </w:rPr>
            </w:pPr>
            <w:r w:rsidRPr="00AE264E">
              <w:rPr>
                <w:rFonts w:ascii="Arial" w:hAnsi="Arial" w:cs="Arial"/>
                <w:bCs/>
                <w:color w:val="000000" w:themeColor="text1"/>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0A324D" w:rsidRPr="00AE264E" w:rsidRDefault="000A324D" w:rsidP="00AE264E">
            <w:pPr>
              <w:autoSpaceDE w:val="0"/>
              <w:autoSpaceDN w:val="0"/>
              <w:adjustRightInd w:val="0"/>
              <w:rPr>
                <w:rFonts w:ascii="Arial" w:hAnsi="Arial" w:cs="Arial"/>
                <w:bCs/>
                <w:color w:val="000000" w:themeColor="text1"/>
                <w:sz w:val="22"/>
                <w:szCs w:val="22"/>
              </w:rPr>
            </w:pPr>
          </w:p>
          <w:p w:rsidR="000A324D" w:rsidRPr="00AE264E" w:rsidRDefault="000A324D" w:rsidP="00AE264E">
            <w:pPr>
              <w:autoSpaceDE w:val="0"/>
              <w:autoSpaceDN w:val="0"/>
              <w:adjustRightInd w:val="0"/>
              <w:rPr>
                <w:rFonts w:ascii="Arial" w:hAnsi="Arial" w:cs="Arial"/>
                <w:bCs/>
                <w:color w:val="000000" w:themeColor="text1"/>
                <w:sz w:val="22"/>
                <w:szCs w:val="22"/>
              </w:rPr>
            </w:pPr>
            <w:r w:rsidRPr="00AE264E">
              <w:rPr>
                <w:rFonts w:ascii="Arial" w:hAnsi="Arial" w:cs="Arial"/>
                <w:bCs/>
                <w:color w:val="000000" w:themeColor="text1"/>
                <w:sz w:val="22"/>
                <w:szCs w:val="22"/>
              </w:rPr>
              <w:t>Will the research use AI tools to do any of the following:</w:t>
            </w:r>
          </w:p>
        </w:tc>
        <w:tc>
          <w:tcPr>
            <w:tcW w:w="467"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b/>
                <w:bCs/>
                <w:color w:val="000000" w:themeColor="text1"/>
                <w:sz w:val="22"/>
                <w:szCs w:val="22"/>
              </w:rPr>
            </w:pPr>
            <w:r w:rsidRPr="00AE264E">
              <w:rPr>
                <w:rFonts w:ascii="Arial" w:hAnsi="Arial" w:cs="Arial"/>
                <w:b/>
                <w:bCs/>
                <w:color w:val="000000" w:themeColor="text1"/>
                <w:sz w:val="22"/>
                <w:szCs w:val="22"/>
              </w:rPr>
              <w:t>YES</w:t>
            </w:r>
          </w:p>
        </w:tc>
        <w:tc>
          <w:tcPr>
            <w:tcW w:w="529"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b/>
                <w:bCs/>
                <w:color w:val="000000" w:themeColor="text1"/>
                <w:sz w:val="22"/>
                <w:szCs w:val="22"/>
              </w:rPr>
            </w:pPr>
            <w:r w:rsidRPr="00AE264E">
              <w:rPr>
                <w:rFonts w:ascii="Arial" w:hAnsi="Arial" w:cs="Arial"/>
                <w:b/>
                <w:bCs/>
                <w:color w:val="000000" w:themeColor="text1"/>
                <w:sz w:val="22"/>
                <w:szCs w:val="22"/>
              </w:rPr>
              <w:t>NO</w:t>
            </w:r>
          </w:p>
        </w:tc>
        <w:tc>
          <w:tcPr>
            <w:tcW w:w="480"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b/>
                <w:bCs/>
                <w:color w:val="000000" w:themeColor="text1"/>
                <w:sz w:val="22"/>
                <w:szCs w:val="22"/>
              </w:rPr>
            </w:pPr>
            <w:r w:rsidRPr="00AE264E">
              <w:rPr>
                <w:rFonts w:ascii="Arial" w:hAnsi="Arial" w:cs="Arial"/>
                <w:b/>
                <w:bCs/>
                <w:color w:val="000000" w:themeColor="text1"/>
                <w:sz w:val="22"/>
                <w:szCs w:val="22"/>
              </w:rPr>
              <w:t>N/A</w:t>
            </w:r>
          </w:p>
        </w:tc>
      </w:tr>
      <w:tr w:rsidR="000A324D" w:rsidRPr="00AE264E" w:rsidTr="000A324D">
        <w:trPr>
          <w:trHeight w:val="439"/>
        </w:trPr>
        <w:tc>
          <w:tcPr>
            <w:tcW w:w="263"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1</w:t>
            </w:r>
          </w:p>
        </w:tc>
        <w:tc>
          <w:tcPr>
            <w:tcW w:w="3262"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Capture data?</w:t>
            </w:r>
          </w:p>
        </w:tc>
        <w:tc>
          <w:tcPr>
            <w:tcW w:w="467" w:type="pct"/>
            <w:shd w:val="clear" w:color="auto" w:fill="BFBFBF" w:themeFill="background1" w:themeFillShade="BF"/>
            <w:vAlign w:val="center"/>
          </w:tcPr>
          <w:sdt>
            <w:sdtPr>
              <w:rPr>
                <w:rFonts w:ascii="Arial" w:hAnsi="Arial" w:cs="Arial"/>
                <w:color w:val="000000" w:themeColor="text1"/>
                <w:sz w:val="22"/>
                <w:szCs w:val="22"/>
              </w:rPr>
              <w:id w:val="1926216434"/>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color w:val="000000" w:themeColor="text1"/>
                    <w:sz w:val="22"/>
                    <w:szCs w:val="22"/>
                  </w:rPr>
                  <w:t>☐</w:t>
                </w:r>
              </w:p>
            </w:sdtContent>
          </w:sdt>
        </w:tc>
        <w:tc>
          <w:tcPr>
            <w:tcW w:w="529" w:type="pct"/>
            <w:shd w:val="clear" w:color="auto" w:fill="BFBFBF" w:themeFill="background1" w:themeFillShade="BF"/>
            <w:vAlign w:val="center"/>
          </w:tcPr>
          <w:sdt>
            <w:sdtPr>
              <w:rPr>
                <w:rFonts w:ascii="Arial" w:hAnsi="Arial" w:cs="Arial"/>
                <w:color w:val="000000" w:themeColor="text1"/>
                <w:sz w:val="22"/>
                <w:szCs w:val="22"/>
              </w:rPr>
              <w:id w:val="707373964"/>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color w:val="000000" w:themeColor="text1"/>
                    <w:sz w:val="22"/>
                    <w:szCs w:val="22"/>
                  </w:rPr>
                  <w:t>☒</w:t>
                </w:r>
              </w:p>
            </w:sdtContent>
          </w:sdt>
        </w:tc>
        <w:tc>
          <w:tcPr>
            <w:tcW w:w="480" w:type="pct"/>
            <w:shd w:val="clear" w:color="auto" w:fill="BFBFBF" w:themeFill="background1" w:themeFillShade="BF"/>
            <w:vAlign w:val="center"/>
          </w:tcPr>
          <w:sdt>
            <w:sdtPr>
              <w:rPr>
                <w:rFonts w:ascii="Arial" w:hAnsi="Arial" w:cs="Arial"/>
                <w:color w:val="000000" w:themeColor="text1"/>
                <w:sz w:val="22"/>
                <w:szCs w:val="22"/>
              </w:rPr>
              <w:id w:val="-1946218528"/>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Segoe UI Symbol" w:eastAsia="MS Gothic" w:hAnsi="Segoe UI Symbol" w:cs="Segoe UI Symbol"/>
                    <w:color w:val="000000" w:themeColor="text1"/>
                    <w:sz w:val="22"/>
                    <w:szCs w:val="22"/>
                  </w:rPr>
                  <w:t>☐</w:t>
                </w:r>
              </w:p>
            </w:sdtContent>
          </w:sdt>
        </w:tc>
      </w:tr>
      <w:tr w:rsidR="000A324D" w:rsidRPr="00AE264E" w:rsidTr="000A324D">
        <w:trPr>
          <w:trHeight w:val="403"/>
        </w:trPr>
        <w:tc>
          <w:tcPr>
            <w:tcW w:w="263"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2</w:t>
            </w:r>
          </w:p>
        </w:tc>
        <w:tc>
          <w:tcPr>
            <w:tcW w:w="3262"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Generate and/or edit text?</w:t>
            </w:r>
          </w:p>
        </w:tc>
        <w:tc>
          <w:tcPr>
            <w:tcW w:w="467" w:type="pct"/>
            <w:shd w:val="clear" w:color="auto" w:fill="BFBFBF" w:themeFill="background1" w:themeFillShade="BF"/>
            <w:vAlign w:val="center"/>
          </w:tcPr>
          <w:sdt>
            <w:sdtPr>
              <w:rPr>
                <w:rFonts w:ascii="Arial" w:hAnsi="Arial" w:cs="Arial"/>
                <w:color w:val="000000" w:themeColor="text1"/>
                <w:sz w:val="22"/>
                <w:szCs w:val="22"/>
              </w:rPr>
              <w:id w:val="-1976356530"/>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color w:val="000000" w:themeColor="text1"/>
                    <w:sz w:val="22"/>
                    <w:szCs w:val="22"/>
                  </w:rPr>
                  <w:t>☐</w:t>
                </w:r>
              </w:p>
            </w:sdtContent>
          </w:sdt>
        </w:tc>
        <w:tc>
          <w:tcPr>
            <w:tcW w:w="529" w:type="pct"/>
            <w:shd w:val="clear" w:color="auto" w:fill="BFBFBF" w:themeFill="background1" w:themeFillShade="BF"/>
            <w:vAlign w:val="center"/>
          </w:tcPr>
          <w:sdt>
            <w:sdtPr>
              <w:rPr>
                <w:rFonts w:ascii="Arial" w:hAnsi="Arial" w:cs="Arial"/>
                <w:color w:val="000000" w:themeColor="text1"/>
                <w:sz w:val="22"/>
                <w:szCs w:val="22"/>
              </w:rPr>
              <w:id w:val="-1124915725"/>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color w:val="000000" w:themeColor="text1"/>
                    <w:sz w:val="22"/>
                    <w:szCs w:val="22"/>
                  </w:rPr>
                  <w:t>☒</w:t>
                </w:r>
              </w:p>
            </w:sdtContent>
          </w:sdt>
        </w:tc>
        <w:tc>
          <w:tcPr>
            <w:tcW w:w="480" w:type="pct"/>
            <w:shd w:val="clear" w:color="auto" w:fill="BFBFBF" w:themeFill="background1" w:themeFillShade="BF"/>
            <w:vAlign w:val="center"/>
          </w:tcPr>
          <w:sdt>
            <w:sdtPr>
              <w:rPr>
                <w:rFonts w:ascii="Arial" w:hAnsi="Arial" w:cs="Arial"/>
                <w:color w:val="000000" w:themeColor="text1"/>
                <w:sz w:val="22"/>
                <w:szCs w:val="22"/>
              </w:rPr>
              <w:id w:val="830252064"/>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Segoe UI Symbol" w:eastAsia="MS Gothic" w:hAnsi="Segoe UI Symbol" w:cs="Segoe UI Symbol"/>
                    <w:color w:val="000000" w:themeColor="text1"/>
                    <w:sz w:val="22"/>
                    <w:szCs w:val="22"/>
                  </w:rPr>
                  <w:t>☐</w:t>
                </w:r>
              </w:p>
            </w:sdtContent>
          </w:sdt>
        </w:tc>
      </w:tr>
      <w:tr w:rsidR="000A324D" w:rsidRPr="00AE264E" w:rsidTr="000A324D">
        <w:trPr>
          <w:trHeight w:val="403"/>
        </w:trPr>
        <w:tc>
          <w:tcPr>
            <w:tcW w:w="263"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3</w:t>
            </w:r>
          </w:p>
        </w:tc>
        <w:tc>
          <w:tcPr>
            <w:tcW w:w="3262"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Generate graphics?</w:t>
            </w:r>
          </w:p>
        </w:tc>
        <w:tc>
          <w:tcPr>
            <w:tcW w:w="467" w:type="pct"/>
            <w:shd w:val="clear" w:color="auto" w:fill="BFBFBF" w:themeFill="background1" w:themeFillShade="BF"/>
            <w:vAlign w:val="center"/>
          </w:tcPr>
          <w:sdt>
            <w:sdtPr>
              <w:rPr>
                <w:rFonts w:ascii="Arial" w:hAnsi="Arial" w:cs="Arial"/>
                <w:color w:val="000000" w:themeColor="text1"/>
                <w:sz w:val="22"/>
                <w:szCs w:val="22"/>
              </w:rPr>
              <w:id w:val="-489091387"/>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color w:val="000000" w:themeColor="text1"/>
                    <w:sz w:val="22"/>
                    <w:szCs w:val="22"/>
                  </w:rPr>
                  <w:t>☐</w:t>
                </w:r>
              </w:p>
            </w:sdtContent>
          </w:sdt>
        </w:tc>
        <w:tc>
          <w:tcPr>
            <w:tcW w:w="529" w:type="pct"/>
            <w:shd w:val="clear" w:color="auto" w:fill="BFBFBF" w:themeFill="background1" w:themeFillShade="BF"/>
            <w:vAlign w:val="center"/>
          </w:tcPr>
          <w:sdt>
            <w:sdtPr>
              <w:rPr>
                <w:rFonts w:ascii="Arial" w:hAnsi="Arial" w:cs="Arial"/>
                <w:color w:val="000000" w:themeColor="text1"/>
                <w:sz w:val="22"/>
                <w:szCs w:val="22"/>
              </w:rPr>
              <w:id w:val="-190683493"/>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color w:val="000000" w:themeColor="text1"/>
                    <w:sz w:val="22"/>
                    <w:szCs w:val="22"/>
                  </w:rPr>
                  <w:t>☒</w:t>
                </w:r>
              </w:p>
            </w:sdtContent>
          </w:sdt>
        </w:tc>
        <w:tc>
          <w:tcPr>
            <w:tcW w:w="480" w:type="pct"/>
            <w:shd w:val="clear" w:color="auto" w:fill="BFBFBF" w:themeFill="background1" w:themeFillShade="BF"/>
            <w:vAlign w:val="center"/>
          </w:tcPr>
          <w:sdt>
            <w:sdtPr>
              <w:rPr>
                <w:rFonts w:ascii="Arial" w:hAnsi="Arial" w:cs="Arial"/>
                <w:color w:val="000000" w:themeColor="text1"/>
                <w:sz w:val="22"/>
                <w:szCs w:val="22"/>
              </w:rPr>
              <w:id w:val="-1396882234"/>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Segoe UI Symbol" w:eastAsia="MS Gothic" w:hAnsi="Segoe UI Symbol" w:cs="Segoe UI Symbol"/>
                    <w:color w:val="000000" w:themeColor="text1"/>
                    <w:sz w:val="22"/>
                    <w:szCs w:val="22"/>
                  </w:rPr>
                  <w:t>☐</w:t>
                </w:r>
              </w:p>
            </w:sdtContent>
          </w:sdt>
        </w:tc>
      </w:tr>
      <w:tr w:rsidR="000A324D" w:rsidRPr="00AE264E" w:rsidTr="000A324D">
        <w:trPr>
          <w:trHeight w:val="403"/>
        </w:trPr>
        <w:tc>
          <w:tcPr>
            <w:tcW w:w="263"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4</w:t>
            </w:r>
          </w:p>
        </w:tc>
        <w:tc>
          <w:tcPr>
            <w:tcW w:w="3262"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Generate video?</w:t>
            </w:r>
          </w:p>
        </w:tc>
        <w:tc>
          <w:tcPr>
            <w:tcW w:w="467" w:type="pct"/>
            <w:shd w:val="clear" w:color="auto" w:fill="BFBFBF" w:themeFill="background1" w:themeFillShade="BF"/>
            <w:vAlign w:val="center"/>
          </w:tcPr>
          <w:sdt>
            <w:sdtPr>
              <w:rPr>
                <w:rFonts w:ascii="Arial" w:hAnsi="Arial" w:cs="Arial"/>
                <w:color w:val="000000" w:themeColor="text1"/>
                <w:sz w:val="22"/>
                <w:szCs w:val="22"/>
              </w:rPr>
              <w:id w:val="-1245803632"/>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color w:val="000000" w:themeColor="text1"/>
                    <w:sz w:val="22"/>
                    <w:szCs w:val="22"/>
                  </w:rPr>
                  <w:t>☐</w:t>
                </w:r>
              </w:p>
            </w:sdtContent>
          </w:sdt>
        </w:tc>
        <w:tc>
          <w:tcPr>
            <w:tcW w:w="529" w:type="pct"/>
            <w:shd w:val="clear" w:color="auto" w:fill="BFBFBF" w:themeFill="background1" w:themeFillShade="BF"/>
            <w:vAlign w:val="center"/>
          </w:tcPr>
          <w:sdt>
            <w:sdtPr>
              <w:rPr>
                <w:rFonts w:ascii="Arial" w:hAnsi="Arial" w:cs="Arial"/>
                <w:color w:val="000000" w:themeColor="text1"/>
                <w:sz w:val="22"/>
                <w:szCs w:val="22"/>
              </w:rPr>
              <w:id w:val="2043635272"/>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color w:val="000000" w:themeColor="text1"/>
                    <w:sz w:val="22"/>
                    <w:szCs w:val="22"/>
                  </w:rPr>
                  <w:t>☒</w:t>
                </w:r>
              </w:p>
            </w:sdtContent>
          </w:sdt>
        </w:tc>
        <w:tc>
          <w:tcPr>
            <w:tcW w:w="480" w:type="pct"/>
            <w:shd w:val="clear" w:color="auto" w:fill="BFBFBF" w:themeFill="background1" w:themeFillShade="BF"/>
            <w:vAlign w:val="center"/>
          </w:tcPr>
          <w:sdt>
            <w:sdtPr>
              <w:rPr>
                <w:rFonts w:ascii="Arial" w:hAnsi="Arial" w:cs="Arial"/>
                <w:color w:val="000000" w:themeColor="text1"/>
                <w:sz w:val="22"/>
                <w:szCs w:val="22"/>
              </w:rPr>
              <w:id w:val="523134186"/>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Segoe UI Symbol" w:eastAsia="MS Gothic" w:hAnsi="Segoe UI Symbol" w:cs="Segoe UI Symbol"/>
                    <w:color w:val="000000" w:themeColor="text1"/>
                    <w:sz w:val="22"/>
                    <w:szCs w:val="22"/>
                  </w:rPr>
                  <w:t>☐</w:t>
                </w:r>
              </w:p>
            </w:sdtContent>
          </w:sdt>
        </w:tc>
      </w:tr>
      <w:tr w:rsidR="000A324D" w:rsidRPr="00AE264E" w:rsidTr="000A324D">
        <w:trPr>
          <w:trHeight w:val="403"/>
        </w:trPr>
        <w:tc>
          <w:tcPr>
            <w:tcW w:w="263"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5</w:t>
            </w:r>
          </w:p>
        </w:tc>
        <w:tc>
          <w:tcPr>
            <w:tcW w:w="3262"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Generate sound/music?</w:t>
            </w:r>
          </w:p>
        </w:tc>
        <w:tc>
          <w:tcPr>
            <w:tcW w:w="467" w:type="pct"/>
            <w:shd w:val="clear" w:color="auto" w:fill="BFBFBF" w:themeFill="background1" w:themeFillShade="BF"/>
            <w:vAlign w:val="center"/>
          </w:tcPr>
          <w:sdt>
            <w:sdtPr>
              <w:rPr>
                <w:rFonts w:ascii="Arial" w:hAnsi="Arial" w:cs="Arial"/>
                <w:color w:val="000000" w:themeColor="text1"/>
                <w:sz w:val="22"/>
                <w:szCs w:val="22"/>
              </w:rPr>
              <w:id w:val="-405153558"/>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color w:val="000000" w:themeColor="text1"/>
                    <w:sz w:val="22"/>
                    <w:szCs w:val="22"/>
                  </w:rPr>
                  <w:t>☐</w:t>
                </w:r>
              </w:p>
            </w:sdtContent>
          </w:sdt>
        </w:tc>
        <w:tc>
          <w:tcPr>
            <w:tcW w:w="529" w:type="pct"/>
            <w:shd w:val="clear" w:color="auto" w:fill="BFBFBF" w:themeFill="background1" w:themeFillShade="BF"/>
            <w:vAlign w:val="center"/>
          </w:tcPr>
          <w:sdt>
            <w:sdtPr>
              <w:rPr>
                <w:rFonts w:ascii="Arial" w:hAnsi="Arial" w:cs="Arial"/>
                <w:color w:val="000000" w:themeColor="text1"/>
                <w:sz w:val="22"/>
                <w:szCs w:val="22"/>
              </w:rPr>
              <w:id w:val="-115911874"/>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color w:val="000000" w:themeColor="text1"/>
                    <w:sz w:val="22"/>
                    <w:szCs w:val="22"/>
                  </w:rPr>
                  <w:t>☒</w:t>
                </w:r>
              </w:p>
            </w:sdtContent>
          </w:sdt>
        </w:tc>
        <w:tc>
          <w:tcPr>
            <w:tcW w:w="480" w:type="pct"/>
            <w:shd w:val="clear" w:color="auto" w:fill="BFBFBF" w:themeFill="background1" w:themeFillShade="BF"/>
            <w:vAlign w:val="center"/>
          </w:tcPr>
          <w:sdt>
            <w:sdtPr>
              <w:rPr>
                <w:rFonts w:ascii="Arial" w:hAnsi="Arial" w:cs="Arial"/>
                <w:color w:val="000000" w:themeColor="text1"/>
                <w:sz w:val="22"/>
                <w:szCs w:val="22"/>
              </w:rPr>
              <w:id w:val="-930580053"/>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Segoe UI Symbol" w:eastAsia="MS Gothic" w:hAnsi="Segoe UI Symbol" w:cs="Segoe UI Symbol"/>
                    <w:color w:val="000000" w:themeColor="text1"/>
                    <w:sz w:val="22"/>
                    <w:szCs w:val="22"/>
                  </w:rPr>
                  <w:t>☐</w:t>
                </w:r>
              </w:p>
            </w:sdtContent>
          </w:sdt>
        </w:tc>
      </w:tr>
      <w:tr w:rsidR="000A324D" w:rsidRPr="00AE264E" w:rsidTr="000A324D">
        <w:trPr>
          <w:trHeight w:val="439"/>
        </w:trPr>
        <w:tc>
          <w:tcPr>
            <w:tcW w:w="263"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6</w:t>
            </w:r>
          </w:p>
        </w:tc>
        <w:tc>
          <w:tcPr>
            <w:tcW w:w="3262"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Generate code?</w:t>
            </w:r>
          </w:p>
        </w:tc>
        <w:tc>
          <w:tcPr>
            <w:tcW w:w="467" w:type="pct"/>
            <w:shd w:val="clear" w:color="auto" w:fill="BFBFBF" w:themeFill="background1" w:themeFillShade="BF"/>
            <w:vAlign w:val="center"/>
          </w:tcPr>
          <w:sdt>
            <w:sdtPr>
              <w:rPr>
                <w:rFonts w:ascii="Arial" w:hAnsi="Arial" w:cs="Arial"/>
                <w:color w:val="000000" w:themeColor="text1"/>
                <w:sz w:val="22"/>
                <w:szCs w:val="22"/>
              </w:rPr>
              <w:id w:val="1457459209"/>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Segoe UI Symbol" w:eastAsia="MS Gothic" w:hAnsi="Segoe UI Symbol" w:cs="Segoe UI Symbol"/>
                    <w:color w:val="000000" w:themeColor="text1"/>
                    <w:sz w:val="22"/>
                    <w:szCs w:val="22"/>
                  </w:rPr>
                  <w:t>☐</w:t>
                </w:r>
              </w:p>
            </w:sdtContent>
          </w:sdt>
        </w:tc>
        <w:tc>
          <w:tcPr>
            <w:tcW w:w="529" w:type="pct"/>
            <w:shd w:val="clear" w:color="auto" w:fill="BFBFBF" w:themeFill="background1" w:themeFillShade="BF"/>
            <w:vAlign w:val="center"/>
          </w:tcPr>
          <w:sdt>
            <w:sdtPr>
              <w:rPr>
                <w:rFonts w:ascii="Arial" w:hAnsi="Arial" w:cs="Arial"/>
                <w:color w:val="000000" w:themeColor="text1"/>
                <w:sz w:val="22"/>
                <w:szCs w:val="22"/>
              </w:rPr>
              <w:id w:val="-2044195477"/>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color w:val="000000" w:themeColor="text1"/>
                    <w:sz w:val="22"/>
                    <w:szCs w:val="22"/>
                  </w:rPr>
                  <w:t>☒</w:t>
                </w:r>
              </w:p>
            </w:sdtContent>
          </w:sdt>
        </w:tc>
        <w:tc>
          <w:tcPr>
            <w:tcW w:w="480" w:type="pct"/>
            <w:shd w:val="clear" w:color="auto" w:fill="BFBFBF" w:themeFill="background1" w:themeFillShade="BF"/>
            <w:vAlign w:val="center"/>
          </w:tcPr>
          <w:sdt>
            <w:sdtPr>
              <w:rPr>
                <w:rFonts w:ascii="Arial" w:hAnsi="Arial" w:cs="Arial"/>
                <w:color w:val="000000" w:themeColor="text1"/>
                <w:sz w:val="22"/>
                <w:szCs w:val="22"/>
              </w:rPr>
              <w:id w:val="-42519630"/>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Segoe UI Symbol" w:eastAsia="MS Gothic" w:hAnsi="Segoe UI Symbol" w:cs="Segoe UI Symbol"/>
                    <w:color w:val="000000" w:themeColor="text1"/>
                    <w:sz w:val="22"/>
                    <w:szCs w:val="22"/>
                  </w:rPr>
                  <w:t>☐</w:t>
                </w:r>
              </w:p>
            </w:sdtContent>
          </w:sdt>
        </w:tc>
      </w:tr>
      <w:tr w:rsidR="000A324D" w:rsidRPr="00AE264E" w:rsidTr="000A324D">
        <w:trPr>
          <w:trHeight w:val="403"/>
        </w:trPr>
        <w:tc>
          <w:tcPr>
            <w:tcW w:w="263"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7</w:t>
            </w:r>
          </w:p>
        </w:tc>
        <w:tc>
          <w:tcPr>
            <w:tcW w:w="3262"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Generate synthetic data?</w:t>
            </w:r>
          </w:p>
        </w:tc>
        <w:tc>
          <w:tcPr>
            <w:tcW w:w="467" w:type="pct"/>
            <w:shd w:val="clear" w:color="auto" w:fill="BFBFBF" w:themeFill="background1" w:themeFillShade="BF"/>
            <w:vAlign w:val="center"/>
          </w:tcPr>
          <w:sdt>
            <w:sdtPr>
              <w:rPr>
                <w:rFonts w:ascii="Arial" w:hAnsi="Arial" w:cs="Arial"/>
                <w:color w:val="000000" w:themeColor="text1"/>
                <w:sz w:val="22"/>
                <w:szCs w:val="22"/>
              </w:rPr>
              <w:id w:val="2016112145"/>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Segoe UI Symbol" w:eastAsia="MS Gothic" w:hAnsi="Segoe UI Symbol" w:cs="Segoe UI Symbol"/>
                    <w:color w:val="000000" w:themeColor="text1"/>
                    <w:sz w:val="22"/>
                    <w:szCs w:val="22"/>
                  </w:rPr>
                  <w:t>☐</w:t>
                </w:r>
              </w:p>
            </w:sdtContent>
          </w:sdt>
        </w:tc>
        <w:tc>
          <w:tcPr>
            <w:tcW w:w="529" w:type="pct"/>
            <w:shd w:val="clear" w:color="auto" w:fill="BFBFBF" w:themeFill="background1" w:themeFillShade="BF"/>
            <w:vAlign w:val="center"/>
          </w:tcPr>
          <w:sdt>
            <w:sdtPr>
              <w:rPr>
                <w:rFonts w:ascii="Arial" w:hAnsi="Arial" w:cs="Arial"/>
                <w:color w:val="000000" w:themeColor="text1"/>
                <w:sz w:val="22"/>
                <w:szCs w:val="22"/>
              </w:rPr>
              <w:id w:val="-305010608"/>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color w:val="000000" w:themeColor="text1"/>
                    <w:sz w:val="22"/>
                    <w:szCs w:val="22"/>
                  </w:rPr>
                  <w:t>☒</w:t>
                </w:r>
              </w:p>
            </w:sdtContent>
          </w:sdt>
        </w:tc>
        <w:tc>
          <w:tcPr>
            <w:tcW w:w="480" w:type="pct"/>
            <w:shd w:val="clear" w:color="auto" w:fill="BFBFBF" w:themeFill="background1" w:themeFillShade="BF"/>
            <w:vAlign w:val="center"/>
          </w:tcPr>
          <w:sdt>
            <w:sdtPr>
              <w:rPr>
                <w:rFonts w:ascii="Arial" w:hAnsi="Arial" w:cs="Arial"/>
                <w:color w:val="000000" w:themeColor="text1"/>
                <w:sz w:val="22"/>
                <w:szCs w:val="22"/>
              </w:rPr>
              <w:id w:val="-1567940934"/>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Segoe UI Symbol" w:eastAsia="MS Gothic" w:hAnsi="Segoe UI Symbol" w:cs="Segoe UI Symbol"/>
                    <w:color w:val="000000" w:themeColor="text1"/>
                    <w:sz w:val="22"/>
                    <w:szCs w:val="22"/>
                  </w:rPr>
                  <w:t>☐</w:t>
                </w:r>
              </w:p>
            </w:sdtContent>
          </w:sdt>
        </w:tc>
      </w:tr>
      <w:tr w:rsidR="000A324D" w:rsidRPr="00AE264E" w:rsidTr="000A324D">
        <w:trPr>
          <w:trHeight w:val="403"/>
        </w:trPr>
        <w:tc>
          <w:tcPr>
            <w:tcW w:w="263"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8</w:t>
            </w:r>
          </w:p>
        </w:tc>
        <w:tc>
          <w:tcPr>
            <w:tcW w:w="3262"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Analyse data?</w:t>
            </w:r>
          </w:p>
        </w:tc>
        <w:tc>
          <w:tcPr>
            <w:tcW w:w="467" w:type="pct"/>
            <w:shd w:val="clear" w:color="auto" w:fill="BFBFBF" w:themeFill="background1" w:themeFillShade="BF"/>
            <w:vAlign w:val="center"/>
          </w:tcPr>
          <w:sdt>
            <w:sdtPr>
              <w:rPr>
                <w:rFonts w:ascii="Arial" w:hAnsi="Arial" w:cs="Arial"/>
                <w:color w:val="000000" w:themeColor="text1"/>
                <w:sz w:val="22"/>
                <w:szCs w:val="22"/>
              </w:rPr>
              <w:id w:val="-1294974624"/>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Segoe UI Symbol" w:eastAsia="MS Gothic" w:hAnsi="Segoe UI Symbol" w:cs="Segoe UI Symbol"/>
                    <w:color w:val="000000" w:themeColor="text1"/>
                    <w:sz w:val="22"/>
                    <w:szCs w:val="22"/>
                  </w:rPr>
                  <w:t>☐</w:t>
                </w:r>
              </w:p>
            </w:sdtContent>
          </w:sdt>
        </w:tc>
        <w:tc>
          <w:tcPr>
            <w:tcW w:w="529" w:type="pct"/>
            <w:shd w:val="clear" w:color="auto" w:fill="BFBFBF" w:themeFill="background1" w:themeFillShade="BF"/>
            <w:vAlign w:val="center"/>
          </w:tcPr>
          <w:sdt>
            <w:sdtPr>
              <w:rPr>
                <w:rFonts w:ascii="Arial" w:hAnsi="Arial" w:cs="Arial"/>
                <w:color w:val="000000" w:themeColor="text1"/>
                <w:sz w:val="22"/>
                <w:szCs w:val="22"/>
              </w:rPr>
              <w:id w:val="1502082000"/>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color w:val="000000" w:themeColor="text1"/>
                    <w:sz w:val="22"/>
                    <w:szCs w:val="22"/>
                  </w:rPr>
                  <w:t>☒</w:t>
                </w:r>
              </w:p>
            </w:sdtContent>
          </w:sdt>
        </w:tc>
        <w:tc>
          <w:tcPr>
            <w:tcW w:w="480" w:type="pct"/>
            <w:shd w:val="clear" w:color="auto" w:fill="BFBFBF" w:themeFill="background1" w:themeFillShade="BF"/>
            <w:vAlign w:val="center"/>
          </w:tcPr>
          <w:sdt>
            <w:sdtPr>
              <w:rPr>
                <w:rFonts w:ascii="Arial" w:hAnsi="Arial" w:cs="Arial"/>
                <w:color w:val="000000" w:themeColor="text1"/>
                <w:sz w:val="22"/>
                <w:szCs w:val="22"/>
              </w:rPr>
              <w:id w:val="-733089734"/>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Segoe UI Symbol" w:eastAsia="MS Gothic" w:hAnsi="Segoe UI Symbol" w:cs="Segoe UI Symbol"/>
                    <w:color w:val="000000" w:themeColor="text1"/>
                    <w:sz w:val="22"/>
                    <w:szCs w:val="22"/>
                  </w:rPr>
                  <w:t>☐</w:t>
                </w:r>
              </w:p>
            </w:sdtContent>
          </w:sdt>
        </w:tc>
      </w:tr>
      <w:tr w:rsidR="000A324D" w:rsidRPr="00AE264E" w:rsidTr="000A324D">
        <w:trPr>
          <w:trHeight w:val="403"/>
        </w:trPr>
        <w:tc>
          <w:tcPr>
            <w:tcW w:w="263"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9</w:t>
            </w:r>
          </w:p>
        </w:tc>
        <w:tc>
          <w:tcPr>
            <w:tcW w:w="3262"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Analyse personal or sensitive data?</w:t>
            </w:r>
          </w:p>
        </w:tc>
        <w:tc>
          <w:tcPr>
            <w:tcW w:w="467" w:type="pct"/>
            <w:shd w:val="clear" w:color="auto" w:fill="BFBFBF" w:themeFill="background1" w:themeFillShade="BF"/>
            <w:vAlign w:val="center"/>
          </w:tcPr>
          <w:sdt>
            <w:sdtPr>
              <w:rPr>
                <w:rFonts w:ascii="Arial" w:hAnsi="Arial" w:cs="Arial"/>
                <w:color w:val="000000" w:themeColor="text1"/>
                <w:sz w:val="22"/>
                <w:szCs w:val="22"/>
              </w:rPr>
              <w:id w:val="1608620116"/>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color w:val="000000" w:themeColor="text1"/>
                    <w:sz w:val="22"/>
                    <w:szCs w:val="22"/>
                  </w:rPr>
                  <w:t>☐</w:t>
                </w:r>
              </w:p>
            </w:sdtContent>
          </w:sdt>
        </w:tc>
        <w:tc>
          <w:tcPr>
            <w:tcW w:w="529" w:type="pct"/>
            <w:shd w:val="clear" w:color="auto" w:fill="BFBFBF" w:themeFill="background1" w:themeFillShade="BF"/>
            <w:vAlign w:val="center"/>
          </w:tcPr>
          <w:sdt>
            <w:sdtPr>
              <w:rPr>
                <w:rFonts w:ascii="Arial" w:hAnsi="Arial" w:cs="Arial"/>
                <w:color w:val="000000" w:themeColor="text1"/>
                <w:sz w:val="22"/>
                <w:szCs w:val="22"/>
              </w:rPr>
              <w:id w:val="559057466"/>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color w:val="000000" w:themeColor="text1"/>
                    <w:sz w:val="22"/>
                    <w:szCs w:val="22"/>
                  </w:rPr>
                  <w:t>☒</w:t>
                </w:r>
              </w:p>
            </w:sdtContent>
          </w:sdt>
        </w:tc>
        <w:tc>
          <w:tcPr>
            <w:tcW w:w="480" w:type="pct"/>
            <w:shd w:val="clear" w:color="auto" w:fill="BFBFBF" w:themeFill="background1" w:themeFillShade="BF"/>
            <w:vAlign w:val="center"/>
          </w:tcPr>
          <w:sdt>
            <w:sdtPr>
              <w:rPr>
                <w:rFonts w:ascii="Arial" w:hAnsi="Arial" w:cs="Arial"/>
                <w:color w:val="000000" w:themeColor="text1"/>
                <w:sz w:val="22"/>
                <w:szCs w:val="22"/>
              </w:rPr>
              <w:id w:val="644392904"/>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Segoe UI Symbol" w:eastAsia="MS Gothic" w:hAnsi="Segoe UI Symbol" w:cs="Segoe UI Symbol"/>
                    <w:color w:val="000000" w:themeColor="text1"/>
                    <w:sz w:val="22"/>
                    <w:szCs w:val="22"/>
                  </w:rPr>
                  <w:t>☐</w:t>
                </w:r>
              </w:p>
            </w:sdtContent>
          </w:sdt>
        </w:tc>
      </w:tr>
      <w:tr w:rsidR="000A324D" w:rsidRPr="00AE264E" w:rsidTr="000A324D">
        <w:trPr>
          <w:trHeight w:val="439"/>
        </w:trPr>
        <w:tc>
          <w:tcPr>
            <w:tcW w:w="263"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10</w:t>
            </w:r>
          </w:p>
        </w:tc>
        <w:tc>
          <w:tcPr>
            <w:tcW w:w="3262"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Classify data?</w:t>
            </w:r>
          </w:p>
        </w:tc>
        <w:tc>
          <w:tcPr>
            <w:tcW w:w="467" w:type="pct"/>
            <w:shd w:val="clear" w:color="auto" w:fill="BFBFBF" w:themeFill="background1" w:themeFillShade="BF"/>
            <w:vAlign w:val="center"/>
          </w:tcPr>
          <w:sdt>
            <w:sdtPr>
              <w:rPr>
                <w:rFonts w:ascii="Arial" w:hAnsi="Arial" w:cs="Arial"/>
                <w:color w:val="000000" w:themeColor="text1"/>
                <w:sz w:val="22"/>
                <w:szCs w:val="22"/>
              </w:rPr>
              <w:id w:val="324639604"/>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Segoe UI Symbol" w:eastAsia="MS Gothic" w:hAnsi="Segoe UI Symbol" w:cs="Segoe UI Symbol"/>
                    <w:color w:val="000000" w:themeColor="text1"/>
                    <w:sz w:val="22"/>
                    <w:szCs w:val="22"/>
                  </w:rPr>
                  <w:t>☐</w:t>
                </w:r>
              </w:p>
            </w:sdtContent>
          </w:sdt>
        </w:tc>
        <w:tc>
          <w:tcPr>
            <w:tcW w:w="529" w:type="pct"/>
            <w:shd w:val="clear" w:color="auto" w:fill="BFBFBF" w:themeFill="background1" w:themeFillShade="BF"/>
            <w:vAlign w:val="center"/>
          </w:tcPr>
          <w:sdt>
            <w:sdtPr>
              <w:rPr>
                <w:rFonts w:ascii="Arial" w:hAnsi="Arial" w:cs="Arial"/>
                <w:color w:val="000000" w:themeColor="text1"/>
                <w:sz w:val="22"/>
                <w:szCs w:val="22"/>
              </w:rPr>
              <w:id w:val="116349551"/>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color w:val="000000" w:themeColor="text1"/>
                    <w:sz w:val="22"/>
                    <w:szCs w:val="22"/>
                  </w:rPr>
                  <w:t>☒</w:t>
                </w:r>
              </w:p>
            </w:sdtContent>
          </w:sdt>
        </w:tc>
        <w:tc>
          <w:tcPr>
            <w:tcW w:w="480" w:type="pct"/>
            <w:shd w:val="clear" w:color="auto" w:fill="BFBFBF" w:themeFill="background1" w:themeFillShade="BF"/>
            <w:vAlign w:val="center"/>
          </w:tcPr>
          <w:sdt>
            <w:sdtPr>
              <w:rPr>
                <w:rFonts w:ascii="Arial" w:hAnsi="Arial" w:cs="Arial"/>
                <w:color w:val="000000" w:themeColor="text1"/>
                <w:sz w:val="22"/>
                <w:szCs w:val="22"/>
              </w:rPr>
              <w:id w:val="-1465344194"/>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Segoe UI Symbol" w:eastAsia="MS Gothic" w:hAnsi="Segoe UI Symbol" w:cs="Segoe UI Symbol"/>
                    <w:color w:val="000000" w:themeColor="text1"/>
                    <w:sz w:val="22"/>
                    <w:szCs w:val="22"/>
                  </w:rPr>
                  <w:t>☐</w:t>
                </w:r>
              </w:p>
            </w:sdtContent>
          </w:sdt>
        </w:tc>
      </w:tr>
      <w:tr w:rsidR="000A324D" w:rsidRPr="00AE264E" w:rsidTr="000A324D">
        <w:trPr>
          <w:trHeight w:val="439"/>
        </w:trPr>
        <w:tc>
          <w:tcPr>
            <w:tcW w:w="263" w:type="pct"/>
            <w:shd w:val="clear" w:color="auto" w:fill="F2F2F2" w:themeFill="background1" w:themeFillShade="F2"/>
            <w:vAlign w:val="center"/>
          </w:tcPr>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Arial" w:hAnsi="Arial" w:cs="Arial"/>
                <w:color w:val="000000" w:themeColor="text1"/>
                <w:sz w:val="22"/>
                <w:szCs w:val="22"/>
              </w:rPr>
              <w:t>11</w:t>
            </w:r>
          </w:p>
        </w:tc>
        <w:tc>
          <w:tcPr>
            <w:tcW w:w="3262" w:type="pct"/>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Do you intend to use the free version of any AI tools?</w:t>
            </w:r>
          </w:p>
        </w:tc>
        <w:tc>
          <w:tcPr>
            <w:tcW w:w="467" w:type="pct"/>
            <w:shd w:val="clear" w:color="auto" w:fill="BFBFBF" w:themeFill="background1" w:themeFillShade="BF"/>
            <w:vAlign w:val="center"/>
          </w:tcPr>
          <w:sdt>
            <w:sdtPr>
              <w:rPr>
                <w:rFonts w:ascii="Arial" w:hAnsi="Arial" w:cs="Arial"/>
                <w:color w:val="000000" w:themeColor="text1"/>
                <w:sz w:val="22"/>
                <w:szCs w:val="22"/>
              </w:rPr>
              <w:id w:val="1717616931"/>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Segoe UI Symbol" w:eastAsia="MS Gothic" w:hAnsi="Segoe UI Symbol" w:cs="Segoe UI Symbol"/>
                    <w:color w:val="000000" w:themeColor="text1"/>
                    <w:sz w:val="22"/>
                    <w:szCs w:val="22"/>
                  </w:rPr>
                  <w:t>☐</w:t>
                </w:r>
              </w:p>
            </w:sdtContent>
          </w:sdt>
        </w:tc>
        <w:tc>
          <w:tcPr>
            <w:tcW w:w="529" w:type="pct"/>
            <w:shd w:val="clear" w:color="auto" w:fill="BFBFBF" w:themeFill="background1" w:themeFillShade="BF"/>
            <w:vAlign w:val="center"/>
          </w:tcPr>
          <w:sdt>
            <w:sdtPr>
              <w:rPr>
                <w:rFonts w:ascii="Arial" w:hAnsi="Arial" w:cs="Arial"/>
                <w:color w:val="000000" w:themeColor="text1"/>
                <w:sz w:val="22"/>
                <w:szCs w:val="22"/>
              </w:rPr>
              <w:id w:val="-767925130"/>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MS Gothic" w:eastAsia="MS Gothic" w:hAnsi="MS Gothic" w:cs="Arial" w:hint="eastAsia"/>
                    <w:color w:val="000000" w:themeColor="text1"/>
                    <w:sz w:val="22"/>
                    <w:szCs w:val="22"/>
                  </w:rPr>
                  <w:t>☒</w:t>
                </w:r>
              </w:p>
            </w:sdtContent>
          </w:sdt>
        </w:tc>
        <w:tc>
          <w:tcPr>
            <w:tcW w:w="480" w:type="pct"/>
            <w:shd w:val="clear" w:color="auto" w:fill="BFBFBF" w:themeFill="background1" w:themeFillShade="BF"/>
            <w:vAlign w:val="center"/>
          </w:tcPr>
          <w:sdt>
            <w:sdtPr>
              <w:rPr>
                <w:rFonts w:ascii="Arial" w:hAnsi="Arial" w:cs="Arial"/>
                <w:color w:val="000000" w:themeColor="text1"/>
                <w:sz w:val="22"/>
                <w:szCs w:val="22"/>
              </w:rPr>
              <w:id w:val="1748227023"/>
            </w:sdtPr>
            <w:sdtEndPr/>
            <w:sdtContent>
              <w:p w:rsidR="000A324D" w:rsidRPr="00AE264E" w:rsidRDefault="000A324D" w:rsidP="00AE264E">
                <w:pPr>
                  <w:autoSpaceDE w:val="0"/>
                  <w:autoSpaceDN w:val="0"/>
                  <w:adjustRightInd w:val="0"/>
                  <w:jc w:val="center"/>
                  <w:rPr>
                    <w:rFonts w:ascii="Arial" w:hAnsi="Arial" w:cs="Arial"/>
                    <w:color w:val="000000" w:themeColor="text1"/>
                    <w:sz w:val="22"/>
                    <w:szCs w:val="22"/>
                  </w:rPr>
                </w:pPr>
                <w:r w:rsidRPr="00AE264E">
                  <w:rPr>
                    <w:rFonts w:ascii="Segoe UI Symbol" w:eastAsia="MS Gothic" w:hAnsi="Segoe UI Symbol" w:cs="Segoe UI Symbol"/>
                    <w:color w:val="000000" w:themeColor="text1"/>
                    <w:sz w:val="22"/>
                    <w:szCs w:val="22"/>
                  </w:rPr>
                  <w:t>☐</w:t>
                </w:r>
              </w:p>
            </w:sdtContent>
          </w:sdt>
        </w:tc>
      </w:tr>
      <w:tr w:rsidR="000A324D" w:rsidRPr="00AE264E" w:rsidTr="000A324D">
        <w:trPr>
          <w:trHeight w:val="403"/>
        </w:trPr>
        <w:tc>
          <w:tcPr>
            <w:tcW w:w="5000" w:type="pct"/>
            <w:gridSpan w:val="5"/>
            <w:shd w:val="clear" w:color="auto" w:fill="F2F2F2" w:themeFill="background1" w:themeFillShade="F2"/>
            <w:vAlign w:val="center"/>
          </w:tcPr>
          <w:p w:rsidR="000A324D" w:rsidRPr="00AE264E" w:rsidRDefault="000A324D" w:rsidP="00AE264E">
            <w:pPr>
              <w:autoSpaceDE w:val="0"/>
              <w:autoSpaceDN w:val="0"/>
              <w:adjustRightInd w:val="0"/>
              <w:rPr>
                <w:rFonts w:ascii="Arial" w:hAnsi="Arial" w:cs="Arial"/>
                <w:color w:val="000000" w:themeColor="text1"/>
                <w:sz w:val="22"/>
                <w:szCs w:val="22"/>
              </w:rPr>
            </w:pPr>
            <w:r w:rsidRPr="00AE264E">
              <w:rPr>
                <w:rFonts w:ascii="Arial" w:hAnsi="Arial" w:cs="Arial"/>
                <w:color w:val="000000" w:themeColor="text1"/>
                <w:sz w:val="22"/>
                <w:szCs w:val="22"/>
              </w:rPr>
              <w:t xml:space="preserve">If you have answered </w:t>
            </w:r>
            <w:r w:rsidRPr="00AE264E">
              <w:rPr>
                <w:rFonts w:ascii="Arial" w:hAnsi="Arial" w:cs="Arial"/>
                <w:b/>
                <w:bCs/>
                <w:color w:val="000000" w:themeColor="text1"/>
                <w:sz w:val="22"/>
                <w:szCs w:val="22"/>
              </w:rPr>
              <w:t>YES</w:t>
            </w:r>
            <w:r w:rsidRPr="00AE264E">
              <w:rPr>
                <w:rFonts w:ascii="Arial" w:hAnsi="Arial" w:cs="Arial"/>
                <w:color w:val="000000" w:themeColor="text1"/>
                <w:sz w:val="22"/>
                <w:szCs w:val="22"/>
              </w:rPr>
              <w:t xml:space="preserve"> to any of questions O1-O11, please provide justification detailing why this is necessary for the research.  </w:t>
            </w:r>
          </w:p>
        </w:tc>
      </w:tr>
      <w:tr w:rsidR="000A324D" w:rsidRPr="00AE264E" w:rsidTr="000A324D">
        <w:trPr>
          <w:trHeight w:val="403"/>
        </w:trPr>
        <w:tc>
          <w:tcPr>
            <w:tcW w:w="263" w:type="pct"/>
            <w:vAlign w:val="center"/>
          </w:tcPr>
          <w:p w:rsidR="000A324D" w:rsidRPr="00AE264E" w:rsidRDefault="000A324D" w:rsidP="00AE264E">
            <w:pPr>
              <w:jc w:val="center"/>
              <w:rPr>
                <w:rFonts w:ascii="Arial" w:hAnsi="Arial" w:cs="Arial"/>
                <w:color w:val="000000" w:themeColor="text1"/>
                <w:sz w:val="22"/>
                <w:szCs w:val="22"/>
              </w:rPr>
            </w:pPr>
            <w:r w:rsidRPr="00AE264E">
              <w:rPr>
                <w:rFonts w:ascii="Arial" w:hAnsi="Arial" w:cs="Arial"/>
                <w:color w:val="000000" w:themeColor="text1"/>
                <w:sz w:val="22"/>
                <w:szCs w:val="22"/>
              </w:rPr>
              <w:t>12</w:t>
            </w:r>
          </w:p>
        </w:tc>
        <w:tc>
          <w:tcPr>
            <w:tcW w:w="4737" w:type="pct"/>
            <w:gridSpan w:val="4"/>
            <w:vAlign w:val="center"/>
          </w:tcPr>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rsidR="000A324D" w:rsidRPr="00AE264E" w:rsidRDefault="000A324D" w:rsidP="00AE264E">
            <w:pPr>
              <w:autoSpaceDE w:val="0"/>
              <w:autoSpaceDN w:val="0"/>
              <w:adjustRightInd w:val="0"/>
              <w:rPr>
                <w:rFonts w:ascii="Arial" w:hAnsi="Arial" w:cs="Arial"/>
                <w:i/>
                <w:color w:val="000000" w:themeColor="text1"/>
                <w:sz w:val="18"/>
                <w:szCs w:val="18"/>
              </w:rPr>
            </w:pPr>
          </w:p>
          <w:p w:rsidR="000A324D" w:rsidRPr="00AE264E" w:rsidRDefault="000A324D" w:rsidP="00AE264E">
            <w:pPr>
              <w:autoSpaceDE w:val="0"/>
              <w:autoSpaceDN w:val="0"/>
              <w:adjustRightInd w:val="0"/>
              <w:rPr>
                <w:rFonts w:ascii="Arial" w:hAnsi="Arial" w:cs="Arial"/>
                <w:color w:val="000000" w:themeColor="text1"/>
              </w:rPr>
            </w:pPr>
            <w:r w:rsidRPr="00AE264E">
              <w:rPr>
                <w:rFonts w:ascii="Arial" w:hAnsi="Arial" w:cs="Arial"/>
                <w:i/>
                <w:color w:val="000000" w:themeColor="text1"/>
                <w:sz w:val="18"/>
                <w:szCs w:val="18"/>
              </w:rPr>
              <w:t>(this box should expand as you type)</w:t>
            </w:r>
          </w:p>
        </w:tc>
      </w:tr>
    </w:tbl>
    <w:p w:rsidR="000A324D" w:rsidRPr="00AE264E" w:rsidRDefault="000A324D" w:rsidP="000A324D">
      <w:pPr>
        <w:rPr>
          <w:rFonts w:ascii="Arial" w:hAnsi="Arial" w:cs="Arial"/>
          <w:b/>
          <w:bCs/>
          <w:color w:val="000000" w:themeColor="text1"/>
          <w:sz w:val="22"/>
          <w:szCs w:val="22"/>
        </w:rPr>
      </w:pPr>
    </w:p>
    <w:p w:rsidR="000A324D" w:rsidRPr="00AE264E" w:rsidRDefault="000A324D" w:rsidP="000A324D">
      <w:pPr>
        <w:rPr>
          <w:rFonts w:ascii="Arial" w:hAnsi="Arial" w:cs="Arial"/>
          <w:b/>
          <w:bCs/>
          <w:color w:val="000000" w:themeColor="text1"/>
          <w:sz w:val="22"/>
          <w:szCs w:val="22"/>
        </w:rPr>
      </w:pPr>
    </w:p>
    <w:p w:rsidR="000A324D" w:rsidRPr="00AE264E" w:rsidRDefault="000A324D" w:rsidP="000A324D">
      <w:pPr>
        <w:autoSpaceDE w:val="0"/>
        <w:autoSpaceDN w:val="0"/>
        <w:adjustRightInd w:val="0"/>
        <w:spacing w:after="240"/>
        <w:rPr>
          <w:rFonts w:ascii="Arial" w:hAnsi="Arial" w:cs="Arial"/>
          <w:b/>
          <w:color w:val="000000" w:themeColor="text1"/>
          <w:sz w:val="22"/>
          <w:szCs w:val="22"/>
        </w:rPr>
      </w:pPr>
      <w:r w:rsidRPr="00AE264E">
        <w:rPr>
          <w:rFonts w:ascii="Arial" w:hAnsi="Arial" w:cs="Arial"/>
          <w:b/>
          <w:color w:val="000000" w:themeColor="text1"/>
          <w:sz w:val="22"/>
          <w:szCs w:val="22"/>
        </w:rPr>
        <w:t>SECTION J: Declaration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
        <w:gridCol w:w="458"/>
        <w:gridCol w:w="2430"/>
        <w:gridCol w:w="4248"/>
        <w:gridCol w:w="5"/>
        <w:gridCol w:w="1868"/>
        <w:gridCol w:w="5"/>
      </w:tblGrid>
      <w:tr w:rsidR="000A324D" w:rsidRPr="00AE264E" w:rsidTr="000A324D">
        <w:trPr>
          <w:gridBefore w:val="1"/>
          <w:trHeight w:val="1807"/>
        </w:trPr>
        <w:tc>
          <w:tcPr>
            <w:tcW w:w="264" w:type="pct"/>
            <w:shd w:val="clear" w:color="auto" w:fill="F2F2F2" w:themeFill="background1" w:themeFillShade="F2"/>
            <w:vAlign w:val="center"/>
          </w:tcPr>
          <w:p w:rsidR="000A324D" w:rsidRPr="00AE264E" w:rsidRDefault="000A324D" w:rsidP="00AE264E">
            <w:pPr>
              <w:jc w:val="center"/>
              <w:rPr>
                <w:rFonts w:ascii="Arial" w:hAnsi="Arial" w:cs="Arial"/>
                <w:color w:val="000000" w:themeColor="text1"/>
                <w:sz w:val="22"/>
                <w:szCs w:val="22"/>
              </w:rPr>
            </w:pPr>
          </w:p>
        </w:tc>
        <w:tc>
          <w:tcPr>
            <w:tcW w:w="4732" w:type="pct"/>
            <w:gridSpan w:val="5"/>
            <w:shd w:val="clear" w:color="auto" w:fill="F2F2F2" w:themeFill="background1" w:themeFillShade="F2"/>
            <w:vAlign w:val="center"/>
          </w:tcPr>
          <w:p w:rsidR="000A324D" w:rsidRPr="00AE264E" w:rsidRDefault="000A324D" w:rsidP="00AE264E">
            <w:pPr>
              <w:rPr>
                <w:rFonts w:ascii="Arial" w:hAnsi="Arial" w:cs="Arial"/>
                <w:b/>
                <w:bCs/>
                <w:color w:val="000000" w:themeColor="text1"/>
                <w:sz w:val="22"/>
                <w:szCs w:val="22"/>
              </w:rPr>
            </w:pPr>
            <w:r w:rsidRPr="00AE264E">
              <w:rPr>
                <w:rFonts w:ascii="Arial" w:hAnsi="Arial" w:cs="Arial"/>
                <w:color w:val="000000" w:themeColor="text1"/>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E264E">
              <w:rPr>
                <w:rFonts w:ascii="Arial" w:hAnsi="Arial" w:cs="Arial"/>
                <w:b/>
                <w:bCs/>
                <w:color w:val="000000" w:themeColor="text1"/>
                <w:sz w:val="22"/>
                <w:szCs w:val="22"/>
              </w:rPr>
              <w:t>.</w:t>
            </w:r>
          </w:p>
          <w:p w:rsidR="000A324D" w:rsidRPr="00AE264E" w:rsidRDefault="000A324D" w:rsidP="00AE264E">
            <w:pPr>
              <w:rPr>
                <w:rFonts w:ascii="Arial" w:hAnsi="Arial" w:cs="Arial"/>
                <w:b/>
                <w:bCs/>
                <w:color w:val="000000" w:themeColor="text1"/>
                <w:sz w:val="22"/>
                <w:szCs w:val="22"/>
              </w:rPr>
            </w:pPr>
          </w:p>
          <w:p w:rsidR="000A324D" w:rsidRPr="00AE264E" w:rsidRDefault="000A324D" w:rsidP="00AE264E">
            <w:pPr>
              <w:rPr>
                <w:rFonts w:ascii="Arial" w:hAnsi="Arial" w:cs="Arial"/>
                <w:color w:val="000000" w:themeColor="text1"/>
                <w:sz w:val="22"/>
                <w:szCs w:val="22"/>
              </w:rPr>
            </w:pPr>
            <w:r w:rsidRPr="00AE264E">
              <w:rPr>
                <w:rFonts w:ascii="Arial" w:hAnsi="Arial" w:cs="Arial"/>
                <w:color w:val="000000" w:themeColor="text1"/>
                <w:sz w:val="22"/>
                <w:szCs w:val="22"/>
              </w:rPr>
              <w:lastRenderedPageBreak/>
              <w:t xml:space="preserve">In submitting this application I hereby confirm that I undertake to ensure that the above named research activity will meet the University’s Research Ethics and Integrity Code of Practice which is published on the website: </w:t>
            </w:r>
            <w:hyperlink r:id="rId126" w:history="1">
              <w:r w:rsidRPr="00AE264E">
                <w:rPr>
                  <w:rStyle w:val="Hyperlink"/>
                  <w:rFonts w:ascii="Arial" w:hAnsi="Arial" w:cs="Arial"/>
                  <w:color w:val="000000" w:themeColor="text1"/>
                  <w:sz w:val="22"/>
                  <w:szCs w:val="22"/>
                </w:rPr>
                <w:t>https://www.uwtsd.ac.uk/research/research-ethics/</w:t>
              </w:r>
            </w:hyperlink>
          </w:p>
        </w:tc>
      </w:tr>
      <w:tr w:rsidR="000A324D" w:rsidTr="000A324D">
        <w:trPr>
          <w:gridBefore w:val="1"/>
          <w:trHeight w:val="657"/>
        </w:trPr>
        <w:tc>
          <w:tcPr>
            <w:tcW w:w="26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A324D" w:rsidRDefault="000A324D" w:rsidP="00AE264E">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135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A324D" w:rsidRDefault="000A324D" w:rsidP="00AE264E">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2360" w:type="pct"/>
            <w:tcBorders>
              <w:left w:val="single" w:sz="4" w:space="0" w:color="auto"/>
            </w:tcBorders>
            <w:vAlign w:val="center"/>
          </w:tcPr>
          <w:p w:rsidR="000A324D" w:rsidRDefault="000A324D" w:rsidP="00AE264E">
            <w:pPr>
              <w:spacing w:before="100" w:beforeAutospacing="1" w:after="100" w:afterAutospacing="1"/>
              <w:rPr>
                <w:rFonts w:ascii="Arial" w:hAnsi="Arial" w:cs="Arial"/>
                <w:sz w:val="22"/>
                <w:szCs w:val="22"/>
              </w:rPr>
            </w:pPr>
            <w:r>
              <w:rPr>
                <w:rFonts w:ascii="Arial" w:hAnsi="Arial" w:cs="Arial"/>
                <w:sz w:val="22"/>
                <w:szCs w:val="22"/>
              </w:rPr>
              <w:t>Vijay kumar</w:t>
            </w:r>
          </w:p>
        </w:tc>
        <w:tc>
          <w:tcPr>
            <w:tcW w:w="1020" w:type="pct"/>
            <w:gridSpan w:val="3"/>
            <w:vAlign w:val="center"/>
          </w:tcPr>
          <w:p w:rsidR="000A324D" w:rsidRDefault="000A324D" w:rsidP="00AE264E">
            <w:pPr>
              <w:spacing w:before="100" w:beforeAutospacing="1" w:after="100" w:afterAutospacing="1"/>
              <w:rPr>
                <w:rFonts w:ascii="Arial" w:hAnsi="Arial" w:cs="Arial"/>
                <w:b/>
                <w:bCs/>
                <w:sz w:val="22"/>
                <w:szCs w:val="22"/>
              </w:rPr>
            </w:pPr>
            <w:r>
              <w:rPr>
                <w:rFonts w:ascii="Arial" w:hAnsi="Arial" w:cs="Arial"/>
                <w:b/>
                <w:bCs/>
                <w:sz w:val="22"/>
                <w:szCs w:val="22"/>
              </w:rPr>
              <w:t>Date:27.07.26</w:t>
            </w:r>
          </w:p>
          <w:p w:rsidR="000A324D" w:rsidRDefault="000A324D" w:rsidP="00AE264E">
            <w:pPr>
              <w:spacing w:before="100" w:beforeAutospacing="1" w:after="100" w:afterAutospacing="1"/>
              <w:rPr>
                <w:rFonts w:ascii="Arial" w:hAnsi="Arial" w:cs="Arial"/>
                <w:sz w:val="22"/>
                <w:szCs w:val="22"/>
              </w:rPr>
            </w:pPr>
          </w:p>
        </w:tc>
      </w:tr>
      <w:tr w:rsidR="000A324D" w:rsidTr="000A32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trHeight w:val="346"/>
        </w:trPr>
        <w:tc>
          <w:tcPr>
            <w:tcW w:w="268" w:type="pct"/>
            <w:gridSpan w:val="2"/>
            <w:shd w:val="clear" w:color="auto" w:fill="F2F2F2" w:themeFill="background1" w:themeFillShade="F2"/>
            <w:vAlign w:val="center"/>
          </w:tcPr>
          <w:p w:rsidR="000A324D" w:rsidRDefault="000A324D" w:rsidP="00AE264E">
            <w:pPr>
              <w:pStyle w:val="ListParagraph"/>
              <w:ind w:left="0"/>
              <w:jc w:val="center"/>
              <w:rPr>
                <w:rFonts w:ascii="Arial" w:hAnsi="Arial" w:cs="Arial"/>
              </w:rPr>
            </w:pPr>
            <w:r>
              <w:rPr>
                <w:rFonts w:ascii="Arial" w:hAnsi="Arial" w:cs="Arial"/>
              </w:rPr>
              <w:t>2</w:t>
            </w:r>
          </w:p>
        </w:tc>
        <w:tc>
          <w:tcPr>
            <w:tcW w:w="1352" w:type="pct"/>
            <w:shd w:val="clear" w:color="auto" w:fill="F2F2F2" w:themeFill="background1" w:themeFillShade="F2"/>
            <w:vAlign w:val="center"/>
          </w:tcPr>
          <w:p w:rsidR="000A324D" w:rsidRDefault="000A324D" w:rsidP="00AE264E">
            <w:pPr>
              <w:pStyle w:val="ListParagraph"/>
              <w:ind w:left="0"/>
              <w:rPr>
                <w:rFonts w:ascii="Arial" w:hAnsi="Arial" w:cs="Arial"/>
              </w:rPr>
            </w:pPr>
            <w:r>
              <w:rPr>
                <w:rFonts w:ascii="Arial" w:hAnsi="Arial" w:cs="Arial"/>
              </w:rPr>
              <w:t>Supervisor:</w:t>
            </w:r>
          </w:p>
        </w:tc>
        <w:tc>
          <w:tcPr>
            <w:tcW w:w="2365" w:type="pct"/>
            <w:gridSpan w:val="2"/>
            <w:vAlign w:val="center"/>
          </w:tcPr>
          <w:p w:rsidR="000A324D" w:rsidRDefault="000A324D" w:rsidP="00AE264E">
            <w:pPr>
              <w:pStyle w:val="ListParagraph"/>
              <w:ind w:left="0"/>
              <w:rPr>
                <w:rFonts w:ascii="Arial" w:hAnsi="Arial" w:cs="Arial"/>
              </w:rPr>
            </w:pPr>
            <w:r>
              <w:rPr>
                <w:rFonts w:ascii="Arial" w:hAnsi="Arial" w:cs="Arial"/>
              </w:rPr>
              <w:t>Shahrukh Irfan</w:t>
            </w:r>
          </w:p>
        </w:tc>
        <w:tc>
          <w:tcPr>
            <w:tcW w:w="1012" w:type="pct"/>
            <w:vMerge w:val="restart"/>
          </w:tcPr>
          <w:p w:rsidR="000A324D" w:rsidRDefault="00AE264E" w:rsidP="00AE264E">
            <w:pPr>
              <w:pStyle w:val="ListParagraph"/>
              <w:ind w:left="0"/>
              <w:rPr>
                <w:rFonts w:ascii="Arial" w:hAnsi="Arial" w:cs="Arial"/>
              </w:rPr>
            </w:pPr>
            <w:r>
              <w:rPr>
                <w:rFonts w:ascii="Arial" w:hAnsi="Arial" w:cs="Arial"/>
                <w:b/>
                <w:bCs/>
              </w:rPr>
              <w:t>Date:27/07</w:t>
            </w:r>
            <w:r w:rsidR="000A324D">
              <w:rPr>
                <w:rFonts w:ascii="Arial" w:hAnsi="Arial" w:cs="Arial"/>
                <w:b/>
                <w:bCs/>
              </w:rPr>
              <w:t>/2026</w:t>
            </w:r>
          </w:p>
        </w:tc>
      </w:tr>
      <w:tr w:rsidR="000A324D" w:rsidTr="000A32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trHeight w:val="347"/>
        </w:trPr>
        <w:tc>
          <w:tcPr>
            <w:tcW w:w="268" w:type="pct"/>
            <w:gridSpan w:val="2"/>
            <w:shd w:val="clear" w:color="auto" w:fill="F2F2F2" w:themeFill="background1" w:themeFillShade="F2"/>
            <w:vAlign w:val="center"/>
          </w:tcPr>
          <w:p w:rsidR="000A324D" w:rsidRDefault="000A324D" w:rsidP="00AE264E">
            <w:pPr>
              <w:pStyle w:val="ListParagraph"/>
              <w:ind w:left="0"/>
              <w:jc w:val="center"/>
              <w:rPr>
                <w:rFonts w:ascii="Arial" w:hAnsi="Arial" w:cs="Arial"/>
              </w:rPr>
            </w:pPr>
            <w:r>
              <w:rPr>
                <w:rFonts w:ascii="Arial" w:hAnsi="Arial" w:cs="Arial"/>
              </w:rPr>
              <w:t>3</w:t>
            </w:r>
          </w:p>
        </w:tc>
        <w:tc>
          <w:tcPr>
            <w:tcW w:w="1352" w:type="pct"/>
            <w:shd w:val="clear" w:color="auto" w:fill="F2F2F2" w:themeFill="background1" w:themeFillShade="F2"/>
            <w:vAlign w:val="center"/>
          </w:tcPr>
          <w:p w:rsidR="000A324D" w:rsidRDefault="000A324D" w:rsidP="00AE264E">
            <w:pPr>
              <w:pStyle w:val="ListParagraph"/>
              <w:ind w:left="0"/>
              <w:rPr>
                <w:rFonts w:ascii="Arial" w:hAnsi="Arial" w:cs="Arial"/>
              </w:rPr>
            </w:pPr>
            <w:r>
              <w:rPr>
                <w:rFonts w:ascii="Arial" w:hAnsi="Arial" w:cs="Arial"/>
              </w:rPr>
              <w:t>Signature:</w:t>
            </w:r>
          </w:p>
        </w:tc>
        <w:tc>
          <w:tcPr>
            <w:tcW w:w="2365" w:type="pct"/>
            <w:gridSpan w:val="2"/>
            <w:vAlign w:val="center"/>
          </w:tcPr>
          <w:p w:rsidR="000A324D" w:rsidRDefault="000A324D" w:rsidP="00AE264E">
            <w:pPr>
              <w:pStyle w:val="ListParagraph"/>
              <w:ind w:left="0"/>
              <w:rPr>
                <w:rFonts w:ascii="Arial" w:hAnsi="Arial" w:cs="Arial"/>
              </w:rPr>
            </w:pPr>
          </w:p>
          <w:p w:rsidR="000A324D" w:rsidRDefault="000A324D" w:rsidP="00AE264E">
            <w:pPr>
              <w:pStyle w:val="ListParagraph"/>
              <w:ind w:left="0"/>
              <w:rPr>
                <w:rFonts w:ascii="Arial" w:hAnsi="Arial" w:cs="Arial"/>
              </w:rPr>
            </w:pPr>
            <w:r>
              <w:rPr>
                <w:noProof/>
                <w:lang w:val="en-US"/>
              </w:rPr>
              <w:drawing>
                <wp:inline distT="0" distB="0" distL="0" distR="0">
                  <wp:extent cx="914400" cy="673100"/>
                  <wp:effectExtent l="0" t="0" r="0" b="0"/>
                  <wp:docPr id="1180362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362823" name="Picture 1180362823"/>
                          <pic:cNvPicPr/>
                        </pic:nvPicPr>
                        <pic:blipFill>
                          <a:blip r:embed="rId127">
                            <a:extLst>
                              <a:ext uri="{28A0092B-C50C-407E-A947-70E740481C1C}">
                                <a14:useLocalDpi xmlns:a14="http://schemas.microsoft.com/office/drawing/2010/main" val="0"/>
                              </a:ext>
                            </a:extLst>
                          </a:blip>
                          <a:stretch>
                            <a:fillRect/>
                          </a:stretch>
                        </pic:blipFill>
                        <pic:spPr>
                          <a:xfrm>
                            <a:off x="0" y="0"/>
                            <a:ext cx="914400" cy="673100"/>
                          </a:xfrm>
                          <a:prstGeom prst="rect">
                            <a:avLst/>
                          </a:prstGeom>
                        </pic:spPr>
                      </pic:pic>
                    </a:graphicData>
                  </a:graphic>
                </wp:inline>
              </w:drawing>
            </w:r>
          </w:p>
        </w:tc>
        <w:tc>
          <w:tcPr>
            <w:tcW w:w="1012" w:type="pct"/>
            <w:vMerge/>
            <w:vAlign w:val="center"/>
          </w:tcPr>
          <w:p w:rsidR="000A324D" w:rsidRDefault="000A324D" w:rsidP="00AE264E">
            <w:pPr>
              <w:pStyle w:val="ListParagraph"/>
              <w:ind w:left="0"/>
              <w:rPr>
                <w:rFonts w:ascii="Arial" w:hAnsi="Arial" w:cs="Arial"/>
              </w:rPr>
            </w:pPr>
          </w:p>
        </w:tc>
      </w:tr>
    </w:tbl>
    <w:p w:rsidR="000A324D" w:rsidRDefault="000A324D" w:rsidP="000A324D">
      <w:pPr>
        <w:rPr>
          <w:rFonts w:ascii="Arial" w:hAnsi="Arial" w:cs="Arial"/>
          <w:sz w:val="22"/>
          <w:szCs w:val="22"/>
        </w:rPr>
      </w:pPr>
    </w:p>
    <w:p w:rsidR="00D8422E" w:rsidRDefault="00D8422E" w:rsidP="000A324D">
      <w:pPr>
        <w:tabs>
          <w:tab w:val="left" w:pos="5103"/>
        </w:tabs>
        <w:jc w:val="center"/>
      </w:pPr>
    </w:p>
    <w:sectPr w:rsidR="00D8422E" w:rsidSect="00653609">
      <w:pgSz w:w="11909" w:h="16834"/>
      <w:pgMar w:top="1440" w:right="1440" w:bottom="1440" w:left="1440" w:header="720" w:footer="720" w:gutter="0"/>
      <w:pgBorders w:offsetFrom="page">
        <w:top w:val="single" w:sz="24" w:space="24" w:color="auto"/>
        <w:left w:val="single" w:sz="24" w:space="24" w:color="auto"/>
        <w:bottom w:val="single" w:sz="24" w:space="24" w:color="auto"/>
        <w:right w:val="single" w:sz="2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6FE7" w:rsidRDefault="00AB6FE7">
      <w:pPr>
        <w:spacing w:line="240" w:lineRule="auto"/>
      </w:pPr>
      <w:r>
        <w:separator/>
      </w:r>
    </w:p>
  </w:endnote>
  <w:endnote w:type="continuationSeparator" w:id="0">
    <w:p w:rsidR="00AB6FE7" w:rsidRDefault="00AB6F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5C087979-3024-4A25-B2B9-EF99A56CDE10}"/>
  </w:font>
  <w:font w:name="Calibri">
    <w:panose1 w:val="020F0502020204030204"/>
    <w:charset w:val="00"/>
    <w:family w:val="swiss"/>
    <w:pitch w:val="variable"/>
    <w:sig w:usb0="E4002EFF" w:usb1="C000247B" w:usb2="00000009" w:usb3="00000000" w:csb0="000001FF" w:csb1="00000000"/>
    <w:embedRegular r:id="rId2" w:fontKey="{13A63125-144E-45A6-8F3B-30515F8B6B83}"/>
    <w:embedBold r:id="rId3" w:fontKey="{0016E564-DAC4-41DF-BF24-2243CE028666}"/>
    <w:embedItalic r:id="rId4" w:fontKey="{8D692D35-602D-4030-AC03-6F67AF943B6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3A9BA27F-25A2-4888-91F5-1C0A2803EF04}"/>
  </w:font>
  <w:font w:name="MS Gothic">
    <w:altName w:val="ＭＳ ゴシック"/>
    <w:panose1 w:val="020B0609070205080204"/>
    <w:charset w:val="80"/>
    <w:family w:val="modern"/>
    <w:pitch w:val="fixed"/>
    <w:sig w:usb0="E00002FF" w:usb1="6AC7FDFB" w:usb2="08000012" w:usb3="00000000" w:csb0="0002009F" w:csb1="00000000"/>
    <w:embedRegular r:id="rId6" w:subsetted="1" w:fontKey="{AB0910B2-7B0F-4987-BB46-D2E1FB36827E}"/>
    <w:embedBold r:id="rId7" w:subsetted="1" w:fontKey="{69549056-24DD-415C-B17E-48D631F212FE}"/>
  </w:font>
  <w:font w:name="Segoe UI Symbol">
    <w:panose1 w:val="020B0502040204020203"/>
    <w:charset w:val="00"/>
    <w:family w:val="swiss"/>
    <w:pitch w:val="variable"/>
    <w:sig w:usb0="800001E3" w:usb1="1200FFEF" w:usb2="00040000" w:usb3="00000000" w:csb0="00000001" w:csb1="00000000"/>
    <w:embedRegular r:id="rId8" w:fontKey="{5544931F-6F4F-4824-A9B5-EEBF06E2FAC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6FE7" w:rsidRDefault="00AB6FE7">
      <w:pPr>
        <w:spacing w:line="240" w:lineRule="auto"/>
      </w:pPr>
      <w:r>
        <w:separator/>
      </w:r>
    </w:p>
  </w:footnote>
  <w:footnote w:type="continuationSeparator" w:id="0">
    <w:p w:rsidR="00AB6FE7" w:rsidRDefault="00AB6FE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9E4023"/>
    <w:multiLevelType w:val="multilevel"/>
    <w:tmpl w:val="724C30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7CD10AF"/>
    <w:multiLevelType w:val="hybridMultilevel"/>
    <w:tmpl w:val="8CCE5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1"/>
  </w:num>
  <w:num w:numId="3">
    <w:abstractNumId w:val="21"/>
  </w:num>
  <w:num w:numId="4">
    <w:abstractNumId w:val="3"/>
  </w:num>
  <w:num w:numId="5">
    <w:abstractNumId w:val="2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8"/>
  </w:num>
  <w:num w:numId="11">
    <w:abstractNumId w:val="9"/>
  </w:num>
  <w:num w:numId="12">
    <w:abstractNumId w:val="24"/>
  </w:num>
  <w:num w:numId="13">
    <w:abstractNumId w:val="22"/>
  </w:num>
  <w:num w:numId="14">
    <w:abstractNumId w:val="23"/>
  </w:num>
  <w:num w:numId="15">
    <w:abstractNumId w:val="1"/>
  </w:num>
  <w:num w:numId="16">
    <w:abstractNumId w:val="6"/>
  </w:num>
  <w:num w:numId="17">
    <w:abstractNumId w:val="7"/>
  </w:num>
  <w:num w:numId="18">
    <w:abstractNumId w:val="12"/>
  </w:num>
  <w:num w:numId="19">
    <w:abstractNumId w:val="14"/>
  </w:num>
  <w:num w:numId="20">
    <w:abstractNumId w:val="25"/>
  </w:num>
  <w:num w:numId="21">
    <w:abstractNumId w:val="5"/>
  </w:num>
  <w:num w:numId="22">
    <w:abstractNumId w:val="15"/>
  </w:num>
  <w:num w:numId="23">
    <w:abstractNumId w:val="20"/>
  </w:num>
  <w:num w:numId="24">
    <w:abstractNumId w:val="2"/>
  </w:num>
  <w:num w:numId="25">
    <w:abstractNumId w:val="10"/>
  </w:num>
  <w:num w:numId="26">
    <w:abstractNumId w:val="13"/>
  </w:num>
  <w:num w:numId="27">
    <w:abstractNumId w:val="27"/>
  </w:num>
  <w:num w:numId="28">
    <w:abstractNumId w:val="19"/>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DA5"/>
    <w:rsid w:val="000A324D"/>
    <w:rsid w:val="00112192"/>
    <w:rsid w:val="001D0A59"/>
    <w:rsid w:val="00375A89"/>
    <w:rsid w:val="003A2E41"/>
    <w:rsid w:val="003C5F27"/>
    <w:rsid w:val="004A1FF7"/>
    <w:rsid w:val="004D7D9F"/>
    <w:rsid w:val="004F39BE"/>
    <w:rsid w:val="004F49D3"/>
    <w:rsid w:val="005E27B8"/>
    <w:rsid w:val="00653609"/>
    <w:rsid w:val="00714AC4"/>
    <w:rsid w:val="00785E4B"/>
    <w:rsid w:val="007A55B5"/>
    <w:rsid w:val="008826F2"/>
    <w:rsid w:val="008F30CB"/>
    <w:rsid w:val="009C689B"/>
    <w:rsid w:val="00AB6FE7"/>
    <w:rsid w:val="00AD5780"/>
    <w:rsid w:val="00AE264E"/>
    <w:rsid w:val="00C82976"/>
    <w:rsid w:val="00CB5082"/>
    <w:rsid w:val="00D8422E"/>
    <w:rsid w:val="00E61CED"/>
    <w:rsid w:val="00EB6DA5"/>
    <w:rsid w:val="00F15FA6"/>
    <w:rsid w:val="00F27102"/>
    <w:rsid w:val="00F5021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2BC016D-4CB6-44BB-BAAB-CCA17F3E0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F50217"/>
  </w:style>
  <w:style w:type="paragraph" w:styleId="Heading1">
    <w:name w:val="heading 1"/>
    <w:basedOn w:val="Normal"/>
    <w:next w:val="Normal"/>
    <w:link w:val="Heading1Char"/>
    <w:uiPriority w:val="99"/>
    <w:qFormat/>
    <w:rsid w:val="00F50217"/>
    <w:pPr>
      <w:keepNext/>
      <w:keepLines/>
      <w:outlineLvl w:val="0"/>
    </w:pPr>
    <w:rPr>
      <w:b/>
      <w:bCs/>
      <w:sz w:val="28"/>
      <w:szCs w:val="28"/>
    </w:rPr>
  </w:style>
  <w:style w:type="paragraph" w:styleId="Heading2">
    <w:name w:val="heading 2"/>
    <w:basedOn w:val="Normal"/>
    <w:next w:val="Normal"/>
    <w:rsid w:val="00F50217"/>
    <w:pPr>
      <w:keepNext/>
      <w:keepLines/>
      <w:outlineLvl w:val="1"/>
    </w:pPr>
    <w:rPr>
      <w:b/>
      <w:bCs/>
    </w:rPr>
  </w:style>
  <w:style w:type="paragraph" w:styleId="Heading3">
    <w:name w:val="heading 3"/>
    <w:basedOn w:val="Normal"/>
    <w:next w:val="Normal"/>
    <w:rsid w:val="00F50217"/>
    <w:pPr>
      <w:keepNext/>
      <w:keepLines/>
      <w:outlineLvl w:val="2"/>
    </w:pPr>
    <w:rPr>
      <w:b/>
      <w:bCs/>
      <w:i/>
      <w:iCs/>
    </w:rPr>
  </w:style>
  <w:style w:type="paragraph" w:styleId="Heading4">
    <w:name w:val="heading 4"/>
    <w:basedOn w:val="Normal"/>
    <w:next w:val="Normal"/>
    <w:link w:val="Heading4Char"/>
    <w:uiPriority w:val="99"/>
    <w:qFormat/>
    <w:rsid w:val="00F50217"/>
    <w:pPr>
      <w:keepNext/>
      <w:keepLines/>
      <w:jc w:val="center"/>
      <w:outlineLvl w:val="3"/>
    </w:pPr>
    <w:rPr>
      <w:b/>
      <w:bCs/>
    </w:rPr>
  </w:style>
  <w:style w:type="paragraph" w:styleId="Heading5">
    <w:name w:val="heading 5"/>
    <w:basedOn w:val="Normal"/>
    <w:next w:val="Normal"/>
    <w:rsid w:val="00F50217"/>
    <w:pPr>
      <w:keepNext/>
      <w:keepLines/>
      <w:jc w:val="center"/>
      <w:outlineLvl w:val="4"/>
    </w:pPr>
    <w:rPr>
      <w:b/>
      <w:bCs/>
    </w:rPr>
  </w:style>
  <w:style w:type="paragraph" w:styleId="Heading6">
    <w:name w:val="heading 6"/>
    <w:basedOn w:val="Normal"/>
    <w:next w:val="Normal"/>
    <w:rsid w:val="00F50217"/>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qFormat/>
    <w:rsid w:val="00D8422E"/>
    <w:rPr>
      <w:b/>
      <w:bCs/>
      <w:sz w:val="28"/>
      <w:szCs w:val="28"/>
    </w:rPr>
  </w:style>
  <w:style w:type="character" w:customStyle="1" w:styleId="Heading4Char">
    <w:name w:val="Heading 4 Char"/>
    <w:link w:val="Heading4"/>
    <w:uiPriority w:val="99"/>
    <w:qFormat/>
    <w:rsid w:val="00D8422E"/>
    <w:rPr>
      <w:b/>
      <w:bCs/>
    </w:rPr>
  </w:style>
  <w:style w:type="table" w:customStyle="1" w:styleId="TableNormal0">
    <w:name w:val="TableNormal"/>
    <w:rsid w:val="00F50217"/>
    <w:tblPr>
      <w:tblCellMar>
        <w:top w:w="100" w:type="dxa"/>
        <w:left w:w="100" w:type="dxa"/>
        <w:bottom w:w="100" w:type="dxa"/>
        <w:right w:w="100" w:type="dxa"/>
      </w:tblCellMar>
    </w:tblPr>
  </w:style>
  <w:style w:type="paragraph" w:styleId="Title">
    <w:name w:val="Title"/>
    <w:basedOn w:val="Normal"/>
    <w:next w:val="Normal"/>
    <w:rsid w:val="00F50217"/>
    <w:pPr>
      <w:keepNext/>
      <w:keepLines/>
      <w:jc w:val="center"/>
    </w:pPr>
    <w:rPr>
      <w:b/>
      <w:bCs/>
      <w:sz w:val="40"/>
      <w:szCs w:val="40"/>
    </w:rPr>
  </w:style>
  <w:style w:type="table" w:customStyle="1" w:styleId="TableNormal1">
    <w:name w:val="TableNormal"/>
    <w:rsid w:val="00F50217"/>
    <w:tblPr>
      <w:tblCellMar>
        <w:top w:w="100" w:type="dxa"/>
        <w:left w:w="100" w:type="dxa"/>
        <w:bottom w:w="100" w:type="dxa"/>
        <w:right w:w="100" w:type="dxa"/>
      </w:tblCellMar>
    </w:tblPr>
  </w:style>
  <w:style w:type="table" w:customStyle="1" w:styleId="TableNormal2">
    <w:name w:val="TableNormal"/>
    <w:rsid w:val="00F50217"/>
    <w:tblPr>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qFormat/>
    <w:rsid w:val="006E0DA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qFormat/>
    <w:rsid w:val="006E0DA7"/>
    <w:rPr>
      <w:rFonts w:ascii="Tahoma" w:hAnsi="Tahoma" w:cs="Tahoma"/>
      <w:sz w:val="16"/>
      <w:szCs w:val="16"/>
    </w:rPr>
  </w:style>
  <w:style w:type="paragraph" w:styleId="TOCHeading">
    <w:name w:val="TOC Heading"/>
    <w:basedOn w:val="Heading1"/>
    <w:next w:val="Normal"/>
    <w:uiPriority w:val="39"/>
    <w:unhideWhenUsed/>
    <w:qFormat/>
    <w:rsid w:val="006E0DA7"/>
    <w:pPr>
      <w:spacing w:before="480" w:line="276" w:lineRule="auto"/>
      <w:jc w:val="left"/>
      <w:outlineLvl w:val="9"/>
    </w:pPr>
    <w:rPr>
      <w:rFonts w:asciiTheme="majorHAnsi" w:eastAsiaTheme="majorEastAsia" w:hAnsiTheme="majorHAnsi" w:cstheme="majorBidi"/>
      <w:color w:val="365F91" w:themeColor="accent1" w:themeShade="BF"/>
      <w:lang w:eastAsia="ja-JP"/>
    </w:rPr>
  </w:style>
  <w:style w:type="paragraph" w:styleId="TOC1">
    <w:name w:val="toc 1"/>
    <w:basedOn w:val="Normal"/>
    <w:next w:val="Normal"/>
    <w:autoRedefine/>
    <w:uiPriority w:val="39"/>
    <w:unhideWhenUsed/>
    <w:rsid w:val="006E0DA7"/>
    <w:pPr>
      <w:spacing w:after="100"/>
    </w:pPr>
  </w:style>
  <w:style w:type="paragraph" w:styleId="TOC2">
    <w:name w:val="toc 2"/>
    <w:basedOn w:val="Normal"/>
    <w:next w:val="Normal"/>
    <w:autoRedefine/>
    <w:uiPriority w:val="39"/>
    <w:unhideWhenUsed/>
    <w:rsid w:val="006E0DA7"/>
    <w:pPr>
      <w:spacing w:after="100"/>
      <w:ind w:left="240"/>
    </w:pPr>
  </w:style>
  <w:style w:type="paragraph" w:styleId="TOC3">
    <w:name w:val="toc 3"/>
    <w:basedOn w:val="Normal"/>
    <w:next w:val="Normal"/>
    <w:autoRedefine/>
    <w:uiPriority w:val="39"/>
    <w:unhideWhenUsed/>
    <w:rsid w:val="006E0DA7"/>
    <w:pPr>
      <w:spacing w:after="100"/>
      <w:ind w:left="480"/>
    </w:pPr>
  </w:style>
  <w:style w:type="character" w:styleId="Hyperlink">
    <w:name w:val="Hyperlink"/>
    <w:basedOn w:val="DefaultParagraphFont"/>
    <w:uiPriority w:val="99"/>
    <w:unhideWhenUsed/>
    <w:qFormat/>
    <w:rsid w:val="006E0DA7"/>
    <w:rPr>
      <w:color w:val="0000FF" w:themeColor="hyperlink"/>
      <w:u w:val="single"/>
    </w:rPr>
  </w:style>
  <w:style w:type="table" w:styleId="TableGrid">
    <w:name w:val="Table Grid"/>
    <w:basedOn w:val="TableNormal"/>
    <w:uiPriority w:val="39"/>
    <w:qFormat/>
    <w:rsid w:val="0086088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
    <w:basedOn w:val="TableNormal"/>
    <w:rsid w:val="00F50217"/>
    <w:pPr>
      <w:spacing w:line="240" w:lineRule="auto"/>
    </w:pPr>
    <w:tblPr>
      <w:tblStyleRowBandSize w:val="1"/>
      <w:tblStyleColBandSize w:val="1"/>
    </w:tblPr>
  </w:style>
  <w:style w:type="table" w:customStyle="1" w:styleId="a0">
    <w:basedOn w:val="TableNormal"/>
    <w:rsid w:val="00F50217"/>
    <w:tblPr>
      <w:tblStyleRowBandSize w:val="1"/>
      <w:tblStyleColBandSize w:val="1"/>
    </w:tblPr>
  </w:style>
  <w:style w:type="paragraph" w:styleId="TableofFigures">
    <w:name w:val="table of figures"/>
    <w:basedOn w:val="Normal"/>
    <w:next w:val="Normal"/>
    <w:uiPriority w:val="99"/>
    <w:unhideWhenUsed/>
    <w:rsid w:val="00CF7C76"/>
  </w:style>
  <w:style w:type="paragraph" w:styleId="Subtitle">
    <w:name w:val="Subtitle"/>
    <w:basedOn w:val="Normal"/>
    <w:next w:val="Normal"/>
    <w:rsid w:val="00F50217"/>
    <w:pPr>
      <w:keepNext/>
      <w:keepLines/>
      <w:jc w:val="center"/>
    </w:pPr>
    <w:rPr>
      <w:b/>
      <w:bCs/>
      <w:i/>
      <w:iCs/>
      <w:sz w:val="32"/>
      <w:szCs w:val="32"/>
    </w:rPr>
  </w:style>
  <w:style w:type="table" w:customStyle="1" w:styleId="a1">
    <w:basedOn w:val="TableNormal"/>
    <w:rsid w:val="00F50217"/>
    <w:pPr>
      <w:spacing w:line="240" w:lineRule="auto"/>
    </w:pPr>
    <w:tblPr>
      <w:tblStyleRowBandSize w:val="1"/>
      <w:tblStyleColBandSize w:val="1"/>
    </w:tblPr>
  </w:style>
  <w:style w:type="table" w:customStyle="1" w:styleId="a2">
    <w:basedOn w:val="TableNormal"/>
    <w:rsid w:val="00F50217"/>
    <w:tblPr>
      <w:tblStyleRowBandSize w:val="1"/>
      <w:tblStyleColBandSize w:val="1"/>
    </w:tblPr>
  </w:style>
  <w:style w:type="paragraph" w:styleId="NormalWeb">
    <w:name w:val="Normal (Web)"/>
    <w:basedOn w:val="Normal"/>
    <w:uiPriority w:val="99"/>
    <w:unhideWhenUsed/>
    <w:qFormat/>
    <w:rsid w:val="00D8422E"/>
    <w:pPr>
      <w:spacing w:before="100" w:beforeAutospacing="1" w:after="100" w:afterAutospacing="1" w:line="240" w:lineRule="auto"/>
      <w:jc w:val="left"/>
    </w:pPr>
  </w:style>
  <w:style w:type="paragraph" w:styleId="BodyText2">
    <w:name w:val="Body Text 2"/>
    <w:basedOn w:val="Normal"/>
    <w:link w:val="BodyText2Char"/>
    <w:uiPriority w:val="99"/>
    <w:qFormat/>
    <w:rsid w:val="00D8422E"/>
    <w:pPr>
      <w:spacing w:line="240" w:lineRule="auto"/>
      <w:ind w:left="720" w:hanging="720"/>
      <w:jc w:val="left"/>
    </w:pPr>
    <w:rPr>
      <w:b/>
      <w:bCs/>
      <w:sz w:val="22"/>
      <w:szCs w:val="22"/>
      <w:lang w:val="en-GB"/>
    </w:rPr>
  </w:style>
  <w:style w:type="character" w:customStyle="1" w:styleId="BodyText2Char">
    <w:name w:val="Body Text 2 Char"/>
    <w:basedOn w:val="DefaultParagraphFont"/>
    <w:link w:val="BodyText2"/>
    <w:uiPriority w:val="99"/>
    <w:qFormat/>
    <w:rsid w:val="00D8422E"/>
    <w:rPr>
      <w:b/>
      <w:bCs/>
      <w:sz w:val="22"/>
      <w:szCs w:val="22"/>
      <w:lang w:val="en-GB"/>
    </w:rPr>
  </w:style>
  <w:style w:type="paragraph" w:customStyle="1" w:styleId="deannah1">
    <w:name w:val="deannah1"/>
    <w:basedOn w:val="Normal"/>
    <w:uiPriority w:val="99"/>
    <w:qFormat/>
    <w:rsid w:val="00D8422E"/>
    <w:pPr>
      <w:keepNext/>
      <w:spacing w:after="240" w:line="240" w:lineRule="auto"/>
      <w:jc w:val="left"/>
    </w:pPr>
    <w:rPr>
      <w:b/>
      <w:bCs/>
      <w:lang w:val="en-GB"/>
    </w:rPr>
  </w:style>
  <w:style w:type="character" w:styleId="FollowedHyperlink">
    <w:name w:val="FollowedHyperlink"/>
    <w:uiPriority w:val="99"/>
    <w:semiHidden/>
    <w:qFormat/>
    <w:rsid w:val="00D8422E"/>
    <w:rPr>
      <w:color w:val="800080"/>
      <w:u w:val="single"/>
    </w:rPr>
  </w:style>
  <w:style w:type="character" w:customStyle="1" w:styleId="HeaderChar">
    <w:name w:val="Header Char"/>
    <w:basedOn w:val="DefaultParagraphFont"/>
    <w:link w:val="Header"/>
    <w:uiPriority w:val="99"/>
    <w:semiHidden/>
    <w:qFormat/>
    <w:rsid w:val="00D8422E"/>
    <w:rPr>
      <w:sz w:val="20"/>
      <w:szCs w:val="20"/>
      <w:lang w:val="en-GB"/>
    </w:rPr>
  </w:style>
  <w:style w:type="paragraph" w:styleId="Header">
    <w:name w:val="header"/>
    <w:basedOn w:val="Normal"/>
    <w:link w:val="HeaderChar"/>
    <w:uiPriority w:val="99"/>
    <w:semiHidden/>
    <w:qFormat/>
    <w:rsid w:val="00D8422E"/>
    <w:pPr>
      <w:tabs>
        <w:tab w:val="center" w:pos="4513"/>
        <w:tab w:val="right" w:pos="9026"/>
      </w:tabs>
      <w:spacing w:line="240" w:lineRule="auto"/>
      <w:jc w:val="left"/>
    </w:pPr>
    <w:rPr>
      <w:sz w:val="20"/>
      <w:szCs w:val="20"/>
      <w:lang w:val="en-GB"/>
    </w:rPr>
  </w:style>
  <w:style w:type="paragraph" w:styleId="Footer">
    <w:name w:val="footer"/>
    <w:basedOn w:val="Normal"/>
    <w:link w:val="FooterChar"/>
    <w:uiPriority w:val="99"/>
    <w:qFormat/>
    <w:rsid w:val="00D8422E"/>
    <w:pPr>
      <w:tabs>
        <w:tab w:val="center" w:pos="4513"/>
        <w:tab w:val="right" w:pos="9026"/>
      </w:tabs>
      <w:spacing w:line="240" w:lineRule="auto"/>
      <w:jc w:val="left"/>
    </w:pPr>
    <w:rPr>
      <w:sz w:val="20"/>
      <w:szCs w:val="20"/>
      <w:lang w:val="en-GB"/>
    </w:rPr>
  </w:style>
  <w:style w:type="character" w:customStyle="1" w:styleId="FooterChar">
    <w:name w:val="Footer Char"/>
    <w:basedOn w:val="DefaultParagraphFont"/>
    <w:link w:val="Footer"/>
    <w:uiPriority w:val="99"/>
    <w:qFormat/>
    <w:rsid w:val="00D8422E"/>
    <w:rPr>
      <w:sz w:val="20"/>
      <w:szCs w:val="20"/>
      <w:lang w:val="en-GB"/>
    </w:rPr>
  </w:style>
  <w:style w:type="character" w:customStyle="1" w:styleId="Hyperlink1">
    <w:name w:val="Hyperlink1"/>
    <w:uiPriority w:val="99"/>
    <w:qFormat/>
    <w:rsid w:val="00D8422E"/>
    <w:rPr>
      <w:color w:val="535353"/>
      <w:u w:val="single"/>
      <w:effect w:val="none"/>
    </w:rPr>
  </w:style>
  <w:style w:type="paragraph" w:customStyle="1" w:styleId="NormalWeb1">
    <w:name w:val="Normal (Web)1"/>
    <w:basedOn w:val="Normal"/>
    <w:uiPriority w:val="99"/>
    <w:qFormat/>
    <w:rsid w:val="00D8422E"/>
    <w:pPr>
      <w:spacing w:before="100" w:beforeAutospacing="1" w:after="300" w:line="240" w:lineRule="auto"/>
      <w:jc w:val="left"/>
    </w:pPr>
    <w:rPr>
      <w:lang w:val="en-GB" w:eastAsia="en-GB"/>
    </w:rPr>
  </w:style>
  <w:style w:type="character" w:styleId="PageNumber">
    <w:name w:val="page number"/>
    <w:basedOn w:val="DefaultParagraphFont"/>
    <w:uiPriority w:val="99"/>
    <w:qFormat/>
    <w:rsid w:val="00D8422E"/>
  </w:style>
  <w:style w:type="paragraph" w:styleId="CommentText">
    <w:name w:val="annotation text"/>
    <w:basedOn w:val="Normal"/>
    <w:link w:val="CommentTextChar"/>
    <w:uiPriority w:val="99"/>
    <w:semiHidden/>
    <w:unhideWhenUsed/>
    <w:qFormat/>
    <w:rsid w:val="00D8422E"/>
    <w:pPr>
      <w:spacing w:line="240" w:lineRule="auto"/>
      <w:jc w:val="left"/>
    </w:pPr>
    <w:rPr>
      <w:sz w:val="20"/>
      <w:szCs w:val="20"/>
      <w:lang w:val="en-GB"/>
    </w:rPr>
  </w:style>
  <w:style w:type="character" w:customStyle="1" w:styleId="CommentTextChar">
    <w:name w:val="Comment Text Char"/>
    <w:basedOn w:val="DefaultParagraphFont"/>
    <w:link w:val="CommentText"/>
    <w:uiPriority w:val="99"/>
    <w:semiHidden/>
    <w:qFormat/>
    <w:rsid w:val="00D8422E"/>
    <w:rPr>
      <w:sz w:val="20"/>
      <w:szCs w:val="20"/>
      <w:lang w:val="en-GB"/>
    </w:rPr>
  </w:style>
  <w:style w:type="character" w:customStyle="1" w:styleId="CommentSubjectChar">
    <w:name w:val="Comment Subject Char"/>
    <w:basedOn w:val="CommentTextChar"/>
    <w:link w:val="CommentSubject"/>
    <w:uiPriority w:val="99"/>
    <w:semiHidden/>
    <w:qFormat/>
    <w:rsid w:val="00D8422E"/>
    <w:rPr>
      <w:b/>
      <w:bCs/>
      <w:sz w:val="20"/>
      <w:szCs w:val="20"/>
      <w:lang w:val="en-GB"/>
    </w:rPr>
  </w:style>
  <w:style w:type="paragraph" w:styleId="CommentSubject">
    <w:name w:val="annotation subject"/>
    <w:basedOn w:val="CommentText"/>
    <w:next w:val="CommentText"/>
    <w:link w:val="CommentSubjectChar"/>
    <w:uiPriority w:val="99"/>
    <w:semiHidden/>
    <w:unhideWhenUsed/>
    <w:qFormat/>
    <w:rsid w:val="00D8422E"/>
    <w:rPr>
      <w:b/>
      <w:bCs/>
    </w:rPr>
  </w:style>
  <w:style w:type="paragraph" w:styleId="ListParagraph">
    <w:name w:val="List Paragraph"/>
    <w:basedOn w:val="Normal"/>
    <w:uiPriority w:val="34"/>
    <w:qFormat/>
    <w:rsid w:val="00D8422E"/>
    <w:pPr>
      <w:spacing w:line="240" w:lineRule="auto"/>
      <w:ind w:left="720"/>
      <w:contextualSpacing/>
      <w:jc w:val="left"/>
    </w:pPr>
    <w:rPr>
      <w:rFonts w:ascii="Calibri" w:eastAsia="Calibri" w:hAnsi="Calibri"/>
      <w:sz w:val="22"/>
      <w:szCs w:val="22"/>
      <w:lang w:val="en-GB"/>
    </w:rPr>
  </w:style>
  <w:style w:type="character" w:styleId="Strong">
    <w:name w:val="Strong"/>
    <w:uiPriority w:val="22"/>
    <w:qFormat/>
    <w:rsid w:val="00D8422E"/>
    <w:rPr>
      <w:b/>
      <w:bCs/>
    </w:rPr>
  </w:style>
  <w:style w:type="character" w:styleId="CommentReference">
    <w:name w:val="annotation reference"/>
    <w:uiPriority w:val="99"/>
    <w:semiHidden/>
    <w:unhideWhenUsed/>
    <w:qFormat/>
    <w:rsid w:val="000A324D"/>
    <w:rPr>
      <w:sz w:val="16"/>
      <w:szCs w:val="16"/>
    </w:rPr>
  </w:style>
  <w:style w:type="paragraph" w:styleId="TOC4">
    <w:name w:val="toc 4"/>
    <w:basedOn w:val="Normal"/>
    <w:next w:val="Normal"/>
    <w:autoRedefine/>
    <w:uiPriority w:val="39"/>
    <w:unhideWhenUsed/>
    <w:rsid w:val="00E61CED"/>
    <w:pPr>
      <w:spacing w:after="100"/>
      <w:ind w:left="720"/>
    </w:pPr>
  </w:style>
  <w:style w:type="paragraph" w:styleId="TOC5">
    <w:name w:val="toc 5"/>
    <w:basedOn w:val="Normal"/>
    <w:next w:val="Normal"/>
    <w:autoRedefine/>
    <w:uiPriority w:val="39"/>
    <w:unhideWhenUsed/>
    <w:rsid w:val="00E61CED"/>
    <w:pPr>
      <w:spacing w:after="100"/>
      <w:ind w:left="9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512292">
      <w:bodyDiv w:val="1"/>
      <w:marLeft w:val="0"/>
      <w:marRight w:val="0"/>
      <w:marTop w:val="0"/>
      <w:marBottom w:val="0"/>
      <w:divBdr>
        <w:top w:val="none" w:sz="0" w:space="0" w:color="auto"/>
        <w:left w:val="none" w:sz="0" w:space="0" w:color="auto"/>
        <w:bottom w:val="none" w:sz="0" w:space="0" w:color="auto"/>
        <w:right w:val="none" w:sz="0" w:space="0" w:color="auto"/>
      </w:divBdr>
    </w:div>
    <w:div w:id="1136606972">
      <w:bodyDiv w:val="1"/>
      <w:marLeft w:val="0"/>
      <w:marRight w:val="0"/>
      <w:marTop w:val="0"/>
      <w:marBottom w:val="0"/>
      <w:divBdr>
        <w:top w:val="none" w:sz="0" w:space="0" w:color="auto"/>
        <w:left w:val="none" w:sz="0" w:space="0" w:color="auto"/>
        <w:bottom w:val="none" w:sz="0" w:space="0" w:color="auto"/>
        <w:right w:val="none" w:sz="0" w:space="0" w:color="auto"/>
      </w:divBdr>
    </w:div>
    <w:div w:id="1659796897">
      <w:bodyDiv w:val="1"/>
      <w:marLeft w:val="0"/>
      <w:marRight w:val="0"/>
      <w:marTop w:val="0"/>
      <w:marBottom w:val="0"/>
      <w:divBdr>
        <w:top w:val="none" w:sz="0" w:space="0" w:color="auto"/>
        <w:left w:val="none" w:sz="0" w:space="0" w:color="auto"/>
        <w:bottom w:val="none" w:sz="0" w:space="0" w:color="auto"/>
        <w:right w:val="none" w:sz="0" w:space="0" w:color="auto"/>
      </w:divBdr>
      <w:divsChild>
        <w:div w:id="126319467">
          <w:marLeft w:val="0"/>
          <w:marRight w:val="0"/>
          <w:marTop w:val="0"/>
          <w:marBottom w:val="0"/>
          <w:divBdr>
            <w:top w:val="none" w:sz="0" w:space="0" w:color="auto"/>
            <w:left w:val="none" w:sz="0" w:space="0" w:color="auto"/>
            <w:bottom w:val="none" w:sz="0" w:space="0" w:color="auto"/>
            <w:right w:val="none" w:sz="0" w:space="0" w:color="auto"/>
          </w:divBdr>
        </w:div>
      </w:divsChild>
    </w:div>
    <w:div w:id="1737823178">
      <w:bodyDiv w:val="1"/>
      <w:marLeft w:val="0"/>
      <w:marRight w:val="0"/>
      <w:marTop w:val="0"/>
      <w:marBottom w:val="0"/>
      <w:divBdr>
        <w:top w:val="none" w:sz="0" w:space="0" w:color="auto"/>
        <w:left w:val="none" w:sz="0" w:space="0" w:color="auto"/>
        <w:bottom w:val="none" w:sz="0" w:space="0" w:color="auto"/>
        <w:right w:val="none" w:sz="0" w:space="0" w:color="auto"/>
      </w:divBdr>
    </w:div>
    <w:div w:id="18696384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doi.org/10.1016/j.iref.2025.104204." TargetMode="External"/><Relationship Id="rId21" Type="http://schemas.openxmlformats.org/officeDocument/2006/relationships/hyperlink" Target="file:///C:\Users\HP\AppData\Local\Packages\5319275A.WhatsAppDesktop_cv1g1gvanyjgm\LocalState\sessions\441E2AF784B76C1D64FE19DE1A987F8664DCBF8A\transfers\2026-39\%20https\doi.org\10.1016\j.jfs.2025.101472" TargetMode="External"/><Relationship Id="rId42" Type="http://schemas.openxmlformats.org/officeDocument/2006/relationships/hyperlink" Target="https://doi.org/10.1080/19460171.2025.2536645." TargetMode="External"/><Relationship Id="rId47" Type="http://schemas.openxmlformats.org/officeDocument/2006/relationships/hyperlink" Target="file:///C:\Users\HP\AppData\Local\Packages\5319275A.WhatsAppDesktop_cv1g1gvanyjgm\LocalState\sessions\441E2AF784B76C1D64FE19DE1A987F8664DCBF8A\transfers\2026-39\%20https\doi.org\10.1016\j.jik.2025.100770" TargetMode="External"/><Relationship Id="rId63" Type="http://schemas.openxmlformats.org/officeDocument/2006/relationships/hyperlink" Target="https://doi.org/10.1016/j.sftr.2026.101644." TargetMode="External"/><Relationship Id="rId68" Type="http://schemas.openxmlformats.org/officeDocument/2006/relationships/hyperlink" Target="file:///C:\Users\HP\AppData\Local\Packages\5319275A.WhatsAppDesktop_cv1g1gvanyjgm\LocalState\sessions\441E2AF784B76C1D64FE19DE1A987F8664DCBF8A\transfers\2026-39\%20https\doi.org\10.1007\s10726-026-09980-1" TargetMode="External"/><Relationship Id="rId84" Type="http://schemas.openxmlformats.org/officeDocument/2006/relationships/hyperlink" Target="https://doi.org/10.1177/18758789261463098" TargetMode="External"/><Relationship Id="rId89" Type="http://schemas.openxmlformats.org/officeDocument/2006/relationships/hyperlink" Target="https://doi.org/https:/doi.org/10.3390/info14020085." TargetMode="External"/><Relationship Id="rId112" Type="http://schemas.openxmlformats.org/officeDocument/2006/relationships/hyperlink" Target="https://doi.org/10.1057/s41599-025-04850-8." TargetMode="External"/><Relationship Id="rId16" Type="http://schemas.openxmlformats.org/officeDocument/2006/relationships/hyperlink" Target="https://doi.org/10.3390/ijfs13020053." TargetMode="External"/><Relationship Id="rId107" Type="http://schemas.openxmlformats.org/officeDocument/2006/relationships/hyperlink" Target="https://www.gov.uk/government/publications/ai-adoption-plan-financial-services/financial-services-ai-adoption-plan%20" TargetMode="External"/><Relationship Id="rId11" Type="http://schemas.openxmlformats.org/officeDocument/2006/relationships/image" Target="media/image3.png"/><Relationship Id="rId32" Type="http://schemas.openxmlformats.org/officeDocument/2006/relationships/hyperlink" Target="https://doi.org/10.1016/j.clsr.2025.106111." TargetMode="External"/><Relationship Id="rId37" Type="http://schemas.openxmlformats.org/officeDocument/2006/relationships/hyperlink" Target="https://doi.org/10.1016/j.ijinfomgt.2021.102383." TargetMode="External"/><Relationship Id="rId53" Type="http://schemas.openxmlformats.org/officeDocument/2006/relationships/hyperlink" Target="https://doi.org/10.1016/j.modpat.2024.100686" TargetMode="External"/><Relationship Id="rId58" Type="http://schemas.openxmlformats.org/officeDocument/2006/relationships/hyperlink" Target="https://doi.org/10.1080/13645579.2023.2267836." TargetMode="External"/><Relationship Id="rId74" Type="http://schemas.openxmlformats.org/officeDocument/2006/relationships/hyperlink" Target="https://doi.org/10.1016/j.jbusres.2023.113838" TargetMode="External"/><Relationship Id="rId79" Type="http://schemas.openxmlformats.org/officeDocument/2006/relationships/hyperlink" Target="https://doi.org/10.1007/978-3-032-18109-1_4." TargetMode="External"/><Relationship Id="rId102" Type="http://schemas.openxmlformats.org/officeDocument/2006/relationships/hyperlink" Target="https://doi.org/10.3390/su18031354." TargetMode="External"/><Relationship Id="rId123" Type="http://schemas.openxmlformats.org/officeDocument/2006/relationships/hyperlink" Target="file:///C:\Users\HP\AppData\Local\Packages\5319275A.WhatsAppDesktop_cv1g1gvanyjgm\LocalState\sessions\441E2AF784B76C1D64FE19DE1A987F8664DCBF8A\transfers\2026-39\%20https\doi.org\10.1080\23311975.2025.2450295" TargetMode="External"/><Relationship Id="rId128" Type="http://schemas.openxmlformats.org/officeDocument/2006/relationships/fontTable" Target="fontTable.xml"/><Relationship Id="rId5" Type="http://schemas.openxmlformats.org/officeDocument/2006/relationships/settings" Target="settings.xml"/><Relationship Id="rId90" Type="http://schemas.openxmlformats.org/officeDocument/2006/relationships/hyperlink" Target="https://doi.org/10.3390/jrfm19030205." TargetMode="External"/><Relationship Id="rId95" Type="http://schemas.openxmlformats.org/officeDocument/2006/relationships/hyperlink" Target="https://doi.org/10.1016/j.obhdp.2025.104405." TargetMode="External"/><Relationship Id="rId22" Type="http://schemas.openxmlformats.org/officeDocument/2006/relationships/hyperlink" Target="https://doi.org/10.1080/23311975.2026.2651475." TargetMode="External"/><Relationship Id="rId27" Type="http://schemas.openxmlformats.org/officeDocument/2006/relationships/hyperlink" Target="https://doi.org/10.1191/1478088706qp063oa" TargetMode="External"/><Relationship Id="rId43" Type="http://schemas.openxmlformats.org/officeDocument/2006/relationships/hyperlink" Target="file:///C:\Users\HP\AppData\Local\Packages\5319275A.WhatsAppDesktop_cv1g1gvanyjgm\LocalState\sessions\441E2AF784B76C1D64FE19DE1A987F8664DCBF8A\transfers\2026-39\%20https\doi.org\https\doi.org\10.1080\10301763.2022.2158436" TargetMode="External"/><Relationship Id="rId48" Type="http://schemas.openxmlformats.org/officeDocument/2006/relationships/hyperlink" Target="https://committees.parliament.uk/committee/158/treasury-committee/news/211401/current-approach-to-ai-in-financial-services-risks-serious-harm-to-consumers-and-wider-system/%20(Accessed:%20July%2017,%202026)." TargetMode="External"/><Relationship Id="rId64" Type="http://schemas.openxmlformats.org/officeDocument/2006/relationships/hyperlink" Target="https://doi.org/10.1186/s40854-026-00941-w." TargetMode="External"/><Relationship Id="rId69" Type="http://schemas.openxmlformats.org/officeDocument/2006/relationships/hyperlink" Target="https://doi.org/10.1007/s10462-024-10708-3." TargetMode="External"/><Relationship Id="rId113" Type="http://schemas.openxmlformats.org/officeDocument/2006/relationships/hyperlink" Target="https://www.mdpi.com/1911-8074/19/7/466%20(Accessed:%20July%2020,%202026)." TargetMode="External"/><Relationship Id="rId118" Type="http://schemas.openxmlformats.org/officeDocument/2006/relationships/hyperlink" Target="file:///C:\Users\HP\AppData\Local\Packages\5319275A.WhatsAppDesktop_cv1g1gvanyjgm\LocalState\sessions\441E2AF784B76C1D64FE19DE1A987F8664DCBF8A\transfers\2026-39\%20https\doi.org\10.4018\ijisp.389733" TargetMode="External"/><Relationship Id="rId80" Type="http://schemas.openxmlformats.org/officeDocument/2006/relationships/hyperlink" Target="https://doi.org/10.1007/978-3-032-18109-1_3." TargetMode="External"/><Relationship Id="rId85" Type="http://schemas.openxmlformats.org/officeDocument/2006/relationships/hyperlink" Target="https://doi.org/10.3390/bdcc7010015." TargetMode="External"/><Relationship Id="rId12" Type="http://schemas.openxmlformats.org/officeDocument/2006/relationships/image" Target="media/image4.png"/><Relationship Id="rId17" Type="http://schemas.openxmlformats.org/officeDocument/2006/relationships/hyperlink" Target="https://doi.org/10.1007/s43681-025-00721-9." TargetMode="External"/><Relationship Id="rId33" Type="http://schemas.openxmlformats.org/officeDocument/2006/relationships/hyperlink" Target="https://doi.org/10.1016/j.jik.2025.100866." TargetMode="External"/><Relationship Id="rId38" Type="http://schemas.openxmlformats.org/officeDocument/2006/relationships/hyperlink" Target="https://doi.org/10.3389/frbhe.2025.1444022." TargetMode="External"/><Relationship Id="rId59" Type="http://schemas.openxmlformats.org/officeDocument/2006/relationships/hyperlink" Target="https://doi.org/10.1016/j.joitmc.2025.100474." TargetMode="External"/><Relationship Id="rId103" Type="http://schemas.openxmlformats.org/officeDocument/2006/relationships/hyperlink" Target="https://doi.org/10.1016/j.dsm.2025.02.004." TargetMode="External"/><Relationship Id="rId108" Type="http://schemas.openxmlformats.org/officeDocument/2006/relationships/hyperlink" Target="https://doi.org/10.3389/fpsyg.2022.970395." TargetMode="External"/><Relationship Id="rId124" Type="http://schemas.openxmlformats.org/officeDocument/2006/relationships/hyperlink" Target="file:///C:\Users\c.lohmann-hancock\AppData\Local\Microsoft\Windows\INetCache\REICoP-17-20-v3-Final.pdf" TargetMode="External"/><Relationship Id="rId129" Type="http://schemas.openxmlformats.org/officeDocument/2006/relationships/theme" Target="theme/theme1.xml"/><Relationship Id="rId54" Type="http://schemas.openxmlformats.org/officeDocument/2006/relationships/hyperlink" Target="https://doi.org/10.3390/jrfm19020097." TargetMode="External"/><Relationship Id="rId70" Type="http://schemas.openxmlformats.org/officeDocument/2006/relationships/hyperlink" Target="https://doi.org/https:/doi.org/10.1108/JTS-07-2023-0015." TargetMode="External"/><Relationship Id="rId75" Type="http://schemas.openxmlformats.org/officeDocument/2006/relationships/hyperlink" Target="https://doi.org/10.3390/su15010207." TargetMode="External"/><Relationship Id="rId91" Type="http://schemas.openxmlformats.org/officeDocument/2006/relationships/hyperlink" Target="https://doi.org/https:/doi.org/10.3390/info15080432" TargetMode="External"/><Relationship Id="rId96" Type="http://schemas.openxmlformats.org/officeDocument/2006/relationships/hyperlink" Target="https://doi.org/10.1016/j.chbr.2026.100980."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file:///C:\Users\HP\AppData\Local\Packages\5319275A.WhatsAppDesktop_cv1g1gvanyjgm\LocalState\sessions\441E2AF784B76C1D64FE19DE1A987F8664DCBF8A\transfers\2026-39\%20https\doi.org\10.1057\s41599-025-05004-6" TargetMode="External"/><Relationship Id="rId28" Type="http://schemas.openxmlformats.org/officeDocument/2006/relationships/hyperlink" Target="https://doi.org/https:/doi.org/10.1080/26895269.2022.2129597." TargetMode="External"/><Relationship Id="rId49" Type="http://schemas.openxmlformats.org/officeDocument/2006/relationships/hyperlink" Target="file:///C:\Users\HP\AppData\Local\Packages\5319275A.WhatsAppDesktop_cv1g1gvanyjgm\LocalState\sessions\441E2AF784B76C1D64FE19DE1A987F8664DCBF8A\transfers\2026-39\%20https\doi.org\10.1016\j.ribaf.2023.102052" TargetMode="External"/><Relationship Id="rId114" Type="http://schemas.openxmlformats.org/officeDocument/2006/relationships/hyperlink" Target="https://doi.org/10.1016/j.chb.2022.107545." TargetMode="External"/><Relationship Id="rId119" Type="http://schemas.openxmlformats.org/officeDocument/2006/relationships/hyperlink" Target="https://doi.org/https:/doi.org/10.1016/j.joitmc.2024.100261." TargetMode="External"/><Relationship Id="rId44" Type="http://schemas.openxmlformats.org/officeDocument/2006/relationships/hyperlink" Target="https://doi.org/10.1080/00472778.2022.2089355." TargetMode="External"/><Relationship Id="rId60" Type="http://schemas.openxmlformats.org/officeDocument/2006/relationships/hyperlink" Target="https://doi.org/https:/doi.org/10.1016/j.pedhc.2024.03.005." TargetMode="External"/><Relationship Id="rId65" Type="http://schemas.openxmlformats.org/officeDocument/2006/relationships/hyperlink" Target="https://doi.org/10.1177/16094069251381706" TargetMode="External"/><Relationship Id="rId81" Type="http://schemas.openxmlformats.org/officeDocument/2006/relationships/hyperlink" Target="file:///C:\Users\HP\AppData\Local\Packages\5319275A.WhatsAppDesktop_cv1g1gvanyjgm\LocalState\sessions\441E2AF784B76C1D64FE19DE1A987F8664DCBF8A\transfers\2026-39\%20https\doi.org\10.3390\electronics14132717" TargetMode="External"/><Relationship Id="rId86" Type="http://schemas.openxmlformats.org/officeDocument/2006/relationships/hyperlink" Target="https://doi.org/10.1007/s43681-026-01191-3." TargetMode="External"/><Relationship Id="rId13" Type="http://schemas.openxmlformats.org/officeDocument/2006/relationships/image" Target="media/image5.png"/><Relationship Id="rId18" Type="http://schemas.openxmlformats.org/officeDocument/2006/relationships/hyperlink" Target="https://doi.org/https:/doi.org/10.1016/j.glmedi.2025.100198." TargetMode="External"/><Relationship Id="rId39" Type="http://schemas.openxmlformats.org/officeDocument/2006/relationships/hyperlink" Target="file:///C:\doi.org\10.1016\j.copsyc.2024.101843" TargetMode="External"/><Relationship Id="rId109" Type="http://schemas.openxmlformats.org/officeDocument/2006/relationships/hyperlink" Target="https://doi.org/https:/doi.org/10.3390/systems12090359" TargetMode="External"/><Relationship Id="rId34" Type="http://schemas.openxmlformats.org/officeDocument/2006/relationships/hyperlink" Target="https://doi.org/10.1016/j.jretconser.2025.104537." TargetMode="External"/><Relationship Id="rId50" Type="http://schemas.openxmlformats.org/officeDocument/2006/relationships/hyperlink" Target="file:///C:\Users\HP\AppData\Local\Packages\5319275A.WhatsAppDesktop_cv1g1gvanyjgm\LocalState\sessions\441E2AF784B76C1D64FE19DE1A987F8664DCBF8A\transfers\2026-39\%20https\doi.org\10.3390\jcm13144005" TargetMode="External"/><Relationship Id="rId55" Type="http://schemas.openxmlformats.org/officeDocument/2006/relationships/hyperlink" Target="file:///C:\Users\HP\AppData\Local\Packages\5319275A.WhatsAppDesktop_cv1g1gvanyjgm\LocalState\sessions\441E2AF784B76C1D64FE19DE1A987F8664DCBF8A\transfers\2026-39\%20https\doi.org\10.1108\apjba-03-2025-0181" TargetMode="External"/><Relationship Id="rId76" Type="http://schemas.openxmlformats.org/officeDocument/2006/relationships/hyperlink" Target="ttps://doi.org/10.5465/amr.1995.9508080335." TargetMode="External"/><Relationship Id="rId97" Type="http://schemas.openxmlformats.org/officeDocument/2006/relationships/hyperlink" Target="https://doi.org/10.1177/09726225251319119." TargetMode="External"/><Relationship Id="rId104" Type="http://schemas.openxmlformats.org/officeDocument/2006/relationships/hyperlink" Target="file:///C:\Users\HP\AppData\Local\Packages\5319275A.WhatsAppDesktop_cv1g1gvanyjgm\LocalState\sessions\441E2AF784B76C1D64FE19DE1A987F8664DCBF8A\transfers\2026-39\%20https\doi.org\10.3389\frai.2024.1371502" TargetMode="External"/><Relationship Id="rId120" Type="http://schemas.openxmlformats.org/officeDocument/2006/relationships/hyperlink" Target="https://doi.org/10.3390/bdcc8090105" TargetMode="External"/><Relationship Id="rId12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 Type="http://schemas.openxmlformats.org/officeDocument/2006/relationships/footnotes" Target="footnotes.xml"/><Relationship Id="rId71" Type="http://schemas.openxmlformats.org/officeDocument/2006/relationships/hyperlink" Target="https://doi.org/10.3390/ijfs12030060" TargetMode="External"/><Relationship Id="rId92" Type="http://schemas.openxmlformats.org/officeDocument/2006/relationships/hyperlink" Target="https://doi.org/10.3389/frai.2025.1696423." TargetMode="External"/><Relationship Id="rId2" Type="http://schemas.openxmlformats.org/officeDocument/2006/relationships/customXml" Target="../customXml/item2.xml"/><Relationship Id="rId29" Type="http://schemas.openxmlformats.org/officeDocument/2006/relationships/hyperlink" Target="https://doi.org/10.1177/07439156241302279." TargetMode="External"/><Relationship Id="rId24" Type="http://schemas.openxmlformats.org/officeDocument/2006/relationships/hyperlink" Target="https://doi.org/10.15420/ecr.2025.59." TargetMode="External"/><Relationship Id="rId40" Type="http://schemas.openxmlformats.org/officeDocument/2006/relationships/hyperlink" Target="https://doi.org/10.1080/0960085x.2024.2395531." TargetMode="External"/><Relationship Id="rId45" Type="http://schemas.openxmlformats.org/officeDocument/2006/relationships/hyperlink" Target="file:///C:\doi.org\10.1007\s44163-025-00432-4" TargetMode="External"/><Relationship Id="rId66" Type="http://schemas.openxmlformats.org/officeDocument/2006/relationships/hyperlink" Target="https://doi.org/https:/doi.org/10.3390/healthcare13030250." TargetMode="External"/><Relationship Id="rId87" Type="http://schemas.openxmlformats.org/officeDocument/2006/relationships/hyperlink" Target="https://commonslibrary.parliament.uk/research-briefings/cbp-10849/%20(" TargetMode="External"/><Relationship Id="rId110" Type="http://schemas.openxmlformats.org/officeDocument/2006/relationships/hyperlink" Target="https://doi.org/10.3389/frai.2025.1623534." TargetMode="External"/><Relationship Id="rId115" Type="http://schemas.openxmlformats.org/officeDocument/2006/relationships/hyperlink" Target="https://doi.org/10.1016/j.chest.2020.03.012." TargetMode="External"/><Relationship Id="rId61" Type="http://schemas.openxmlformats.org/officeDocument/2006/relationships/hyperlink" Target="https://doi.org/10.3390/su12187370." TargetMode="External"/><Relationship Id="rId82" Type="http://schemas.openxmlformats.org/officeDocument/2006/relationships/hyperlink" Target="file:///C:\Users\HP\AppData\Local\Packages\5319275A.WhatsAppDesktop_cv1g1gvanyjgm\LocalState\sessions\441E2AF784B76C1D64FE19DE1A987F8664DCBF8A\transfers\2026-39\%20https\doi.org\10.3390\jrfm18030167" TargetMode="External"/><Relationship Id="rId19" Type="http://schemas.openxmlformats.org/officeDocument/2006/relationships/hyperlink" Target="https://doi.org/10.1177/01672533261461402." TargetMode="External"/><Relationship Id="rId14" Type="http://schemas.openxmlformats.org/officeDocument/2006/relationships/image" Target="media/image6.png"/><Relationship Id="rId30" Type="http://schemas.openxmlformats.org/officeDocument/2006/relationships/hyperlink" Target="https://doi.org/10.1093/oxrep/grab016" TargetMode="External"/><Relationship Id="rId35" Type="http://schemas.openxmlformats.org/officeDocument/2006/relationships/hyperlink" Target="https://doi.org/10.1016/j.jbusres.2025.115576" TargetMode="External"/><Relationship Id="rId56" Type="http://schemas.openxmlformats.org/officeDocument/2006/relationships/hyperlink" Target="https://www.imarcgroup.com/uk-artificial-intelligence-in-finance-market%20" TargetMode="External"/><Relationship Id="rId77" Type="http://schemas.openxmlformats.org/officeDocument/2006/relationships/hyperlink" Target="https://doi.org/http:/dx.doi.org/10.37247/ADERES2EDN.2.2021.14." TargetMode="External"/><Relationship Id="rId100" Type="http://schemas.openxmlformats.org/officeDocument/2006/relationships/hyperlink" Target="https://doi.org/10.1016/j.cgpj.2025.100075." TargetMode="External"/><Relationship Id="rId105" Type="http://schemas.openxmlformats.org/officeDocument/2006/relationships/hyperlink" Target="https://doi.org/10.1007/s43681-021-00129-1." TargetMode="External"/><Relationship Id="rId126" Type="http://schemas.openxmlformats.org/officeDocument/2006/relationships/hyperlink" Target="https://www.uwtsd.ac.uk/research/research-ethics/" TargetMode="External"/><Relationship Id="rId8" Type="http://schemas.openxmlformats.org/officeDocument/2006/relationships/endnotes" Target="endnotes.xml"/><Relationship Id="rId51" Type="http://schemas.openxmlformats.org/officeDocument/2006/relationships/hyperlink" Target="https://doi.org/10.1007/s44163-026-01219-x" TargetMode="External"/><Relationship Id="rId72" Type="http://schemas.openxmlformats.org/officeDocument/2006/relationships/hyperlink" Target="https://doi.org/https:/doi.org/10.1177/21582440221079922." TargetMode="External"/><Relationship Id="rId93" Type="http://schemas.openxmlformats.org/officeDocument/2006/relationships/hyperlink" Target="https://doi.org/10.1007/s00146-025-02422-7." TargetMode="External"/><Relationship Id="rId98" Type="http://schemas.openxmlformats.org/officeDocument/2006/relationships/hyperlink" Target="https://doi.org/10.3390/systems13080683." TargetMode="External"/><Relationship Id="rId121" Type="http://schemas.openxmlformats.org/officeDocument/2006/relationships/hyperlink" Target="https://doi.org/10.3390/systems13060461" TargetMode="External"/><Relationship Id="rId3" Type="http://schemas.openxmlformats.org/officeDocument/2006/relationships/numbering" Target="numbering.xml"/><Relationship Id="rId25" Type="http://schemas.openxmlformats.org/officeDocument/2006/relationships/hyperlink" Target="https://doi.org/10.1016/j.ribaf.2023.102028." TargetMode="External"/><Relationship Id="rId46" Type="http://schemas.openxmlformats.org/officeDocument/2006/relationships/hyperlink" Target="https://doi.org/10.1080/23311975.2025.2551809." TargetMode="External"/><Relationship Id="rId67" Type="http://schemas.openxmlformats.org/officeDocument/2006/relationships/hyperlink" Target="https://doi.org/10.3390/fintech3030025." TargetMode="External"/><Relationship Id="rId116" Type="http://schemas.openxmlformats.org/officeDocument/2006/relationships/hyperlink" Target="https://doi.org/10.1111/jpim.12795." TargetMode="External"/><Relationship Id="rId20" Type="http://schemas.openxmlformats.org/officeDocument/2006/relationships/hyperlink" Target="https://doi.org/10.1016/j.joitmc.2024.100338." TargetMode="External"/><Relationship Id="rId41" Type="http://schemas.openxmlformats.org/officeDocument/2006/relationships/hyperlink" Target="https://www.fca.org.uk/news/press-releases/fca-publishes-landmark-review-impact-ai-retail-financial-services%20" TargetMode="External"/><Relationship Id="rId62" Type="http://schemas.openxmlformats.org/officeDocument/2006/relationships/hyperlink" Target="https://doi.org/10.5125/jkaoms.2021.47.3.151." TargetMode="External"/><Relationship Id="rId83" Type="http://schemas.openxmlformats.org/officeDocument/2006/relationships/hyperlink" Target="file:///C:\doi.org\10.1016\j.jbef.2026.101158" TargetMode="External"/><Relationship Id="rId88" Type="http://schemas.openxmlformats.org/officeDocument/2006/relationships/hyperlink" Target="https://doi.org/https:/doi.org/10.1016/j.heliyon.2023.e23492." TargetMode="External"/><Relationship Id="rId111" Type="http://schemas.openxmlformats.org/officeDocument/2006/relationships/hyperlink" Target="https://doi.org/10.3389/frai.2026.1867266." TargetMode="External"/><Relationship Id="rId15" Type="http://schemas.openxmlformats.org/officeDocument/2006/relationships/image" Target="media/image7.png"/><Relationship Id="rId36" Type="http://schemas.openxmlformats.org/officeDocument/2006/relationships/hyperlink" Target="https://doi.org/https:/doi.org/10.1177/16094069231180160" TargetMode="External"/><Relationship Id="rId57" Type="http://schemas.openxmlformats.org/officeDocument/2006/relationships/hyperlink" Target="https://doi.org/10.1007/s10796-026-10727-1." TargetMode="External"/><Relationship Id="rId106" Type="http://schemas.openxmlformats.org/officeDocument/2006/relationships/hyperlink" Target="https://doi.org/10.1080/08839514.2026.2676353." TargetMode="External"/><Relationship Id="rId127" Type="http://schemas.openxmlformats.org/officeDocument/2006/relationships/image" Target="media/image8.png"/><Relationship Id="rId10" Type="http://schemas.openxmlformats.org/officeDocument/2006/relationships/image" Target="media/image2.png"/><Relationship Id="rId31" Type="http://schemas.openxmlformats.org/officeDocument/2006/relationships/hyperlink" Target="https://doi.org/10.1002/9781119111931.ch36." TargetMode="External"/><Relationship Id="rId52" Type="http://schemas.openxmlformats.org/officeDocument/2006/relationships/hyperlink" Target="https://doi.org/10.4018/JGIM.395344" TargetMode="External"/><Relationship Id="rId73" Type="http://schemas.openxmlformats.org/officeDocument/2006/relationships/hyperlink" Target="https://doi.org/10.3389/frai.2022.891529." TargetMode="External"/><Relationship Id="rId78" Type="http://schemas.openxmlformats.org/officeDocument/2006/relationships/hyperlink" Target="https://doi.org/10.1016/j.bir.2025.07.010." TargetMode="External"/><Relationship Id="rId94" Type="http://schemas.openxmlformats.org/officeDocument/2006/relationships/hyperlink" Target="https://doi.org/10.1016/j.jwb.2022.101419." TargetMode="External"/><Relationship Id="rId99" Type="http://schemas.openxmlformats.org/officeDocument/2006/relationships/hyperlink" Target="https://www.statista.com/statistics/1386806/uk-number-of-leaked-records/?srsltid=afmboorb4jklkj1djyblhszgmccqaistioerwrkqbu-teagrmvoaervp%20" TargetMode="External"/><Relationship Id="rId101" Type="http://schemas.openxmlformats.org/officeDocument/2006/relationships/hyperlink" Target="https://doi.org/10.1007/s44163-026-01451-5." TargetMode="External"/><Relationship Id="rId122" Type="http://schemas.openxmlformats.org/officeDocument/2006/relationships/hyperlink" Target="https://doi.org/10.1016/j.jbusres.2023.114494." TargetMode="External"/><Relationship Id="rId4" Type="http://schemas.openxmlformats.org/officeDocument/2006/relationships/styles" Target="styles.xml"/><Relationship Id="rId9" Type="http://schemas.openxmlformats.org/officeDocument/2006/relationships/image" Target="media/image1.png"/><Relationship Id="rId26" Type="http://schemas.openxmlformats.org/officeDocument/2006/relationships/hyperlink" Target="https://doi.org/10.3390/jrfm13110252."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XvXeXUGufTaX0ChBBsxD2suqqw==">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</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F373F40-9F6D-4DF0-9B2F-CF8AD1551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109</Pages>
  <Words>30371</Words>
  <Characters>173117</Characters>
  <Application>Microsoft Office Word</Application>
  <DocSecurity>0</DocSecurity>
  <Lines>1442</Lines>
  <Paragraphs>406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Jasveer Singh - HE31429</cp:lastModifiedBy>
  <cp:revision>3</cp:revision>
  <dcterms:created xsi:type="dcterms:W3CDTF">2026-09-25T04:14:00Z</dcterms:created>
  <dcterms:modified xsi:type="dcterms:W3CDTF">2026-09-25T04:17:00Z</dcterms:modified>
</cp:coreProperties>
</file>