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3B743" w14:textId="77777777" w:rsidR="0041725F" w:rsidRDefault="0041725F" w:rsidP="00FF1148">
      <w:pPr>
        <w:pStyle w:val="Titre"/>
        <w:jc w:val="both"/>
        <w:rPr>
          <w:sz w:val="52"/>
          <w:szCs w:val="52"/>
          <w:u w:val="single"/>
          <w:lang w:val="en-GB"/>
        </w:rPr>
      </w:pPr>
    </w:p>
    <w:p w14:paraId="4AD481EB" w14:textId="21B3372A" w:rsidR="0041725F" w:rsidRDefault="0041725F">
      <w:pPr>
        <w:rPr>
          <w:rFonts w:asciiTheme="majorHAnsi" w:eastAsiaTheme="majorEastAsia" w:hAnsiTheme="majorHAnsi" w:cstheme="majorBidi"/>
          <w:spacing w:val="-10"/>
          <w:kern w:val="28"/>
          <w:sz w:val="52"/>
          <w:szCs w:val="52"/>
          <w:u w:val="single"/>
          <w:lang w:val="en-GB"/>
        </w:rPr>
      </w:pPr>
      <w:r>
        <w:rPr>
          <w:i/>
          <w:iCs/>
          <w:sz w:val="36"/>
          <w:szCs w:val="36"/>
          <w:lang w:val="en-GB"/>
        </w:rPr>
        <w:t>Cover Page to be Added</w:t>
      </w:r>
      <w:r>
        <w:rPr>
          <w:sz w:val="52"/>
          <w:szCs w:val="52"/>
          <w:u w:val="single"/>
          <w:lang w:val="en-GB"/>
        </w:rPr>
        <w:br w:type="page"/>
      </w:r>
    </w:p>
    <w:p w14:paraId="270B8434" w14:textId="37D9AE6A" w:rsidR="00AF601D" w:rsidRDefault="0015598A" w:rsidP="00FF1148">
      <w:pPr>
        <w:pStyle w:val="Titre"/>
        <w:jc w:val="both"/>
        <w:rPr>
          <w:sz w:val="52"/>
          <w:szCs w:val="52"/>
          <w:u w:val="single"/>
          <w:lang w:val="en-GB"/>
        </w:rPr>
      </w:pPr>
      <w:r w:rsidRPr="0015598A">
        <w:rPr>
          <w:sz w:val="52"/>
          <w:szCs w:val="52"/>
          <w:u w:val="single"/>
          <w:lang w:val="en-GB"/>
        </w:rPr>
        <w:lastRenderedPageBreak/>
        <w:t xml:space="preserve">A Critical Comparison of </w:t>
      </w:r>
      <w:r>
        <w:rPr>
          <w:sz w:val="52"/>
          <w:szCs w:val="52"/>
          <w:u w:val="single"/>
          <w:lang w:val="en-GB"/>
        </w:rPr>
        <w:t>T</w:t>
      </w:r>
      <w:r w:rsidRPr="0015598A">
        <w:rPr>
          <w:sz w:val="52"/>
          <w:szCs w:val="52"/>
          <w:u w:val="single"/>
          <w:lang w:val="en-GB"/>
        </w:rPr>
        <w:t>wo JSTOR Papers</w:t>
      </w:r>
    </w:p>
    <w:p w14:paraId="2EF81B57" w14:textId="7F3D9478" w:rsidR="00D30423" w:rsidRDefault="00D30423" w:rsidP="00D30423">
      <w:pPr>
        <w:rPr>
          <w:lang w:val="en-GB"/>
        </w:rPr>
      </w:pPr>
    </w:p>
    <w:p w14:paraId="7875C4D0" w14:textId="48A08AC0" w:rsidR="00D30423" w:rsidRPr="00D30423" w:rsidRDefault="00D30423" w:rsidP="00D30423">
      <w:pPr>
        <w:rPr>
          <w:lang w:val="en-GB"/>
        </w:rPr>
      </w:pPr>
      <w:r>
        <w:rPr>
          <w:b/>
          <w:bCs/>
          <w:lang w:val="en-GB"/>
        </w:rPr>
        <w:t xml:space="preserve">Word Count: </w:t>
      </w:r>
      <w:r w:rsidRPr="00D30423">
        <w:rPr>
          <w:lang w:val="en-GB"/>
        </w:rPr>
        <w:t>200</w:t>
      </w:r>
      <w:r w:rsidR="00F65B68">
        <w:rPr>
          <w:lang w:val="en-GB"/>
        </w:rPr>
        <w:t>1</w:t>
      </w:r>
      <w:r>
        <w:rPr>
          <w:b/>
          <w:bCs/>
          <w:lang w:val="en-GB"/>
        </w:rPr>
        <w:t xml:space="preserve"> </w:t>
      </w:r>
      <w:r>
        <w:rPr>
          <w:lang w:val="en-GB"/>
        </w:rPr>
        <w:t>words</w:t>
      </w:r>
    </w:p>
    <w:p w14:paraId="250FAF32" w14:textId="65C0E322" w:rsidR="0015598A" w:rsidRDefault="0015598A" w:rsidP="00FF1148">
      <w:pPr>
        <w:jc w:val="both"/>
        <w:rPr>
          <w:lang w:val="en-GB"/>
        </w:rPr>
      </w:pPr>
    </w:p>
    <w:p w14:paraId="33D6849E" w14:textId="4EF78247" w:rsidR="00DB5A03" w:rsidRPr="00C10ADA" w:rsidRDefault="0015598A" w:rsidP="00CE5DE9">
      <w:pPr>
        <w:spacing w:line="300" w:lineRule="auto"/>
        <w:ind w:firstLine="708"/>
        <w:jc w:val="both"/>
        <w:rPr>
          <w:sz w:val="24"/>
          <w:szCs w:val="24"/>
          <w:lang w:val="en-GB"/>
        </w:rPr>
      </w:pPr>
      <w:r w:rsidRPr="00C10ADA">
        <w:rPr>
          <w:sz w:val="24"/>
          <w:szCs w:val="24"/>
          <w:lang w:val="en-GB"/>
        </w:rPr>
        <w:t xml:space="preserve">This essay critically compares and contrasts </w:t>
      </w:r>
      <w:r w:rsidR="00607F8D" w:rsidRPr="00C10ADA">
        <w:rPr>
          <w:sz w:val="24"/>
          <w:szCs w:val="24"/>
          <w:lang w:val="en-GB"/>
        </w:rPr>
        <w:t>the following</w:t>
      </w:r>
      <w:r w:rsidRPr="00C10ADA">
        <w:rPr>
          <w:sz w:val="24"/>
          <w:szCs w:val="24"/>
          <w:lang w:val="en-GB"/>
        </w:rPr>
        <w:t xml:space="preserve"> JSTOR papers</w:t>
      </w:r>
      <w:r w:rsidR="00607F8D" w:rsidRPr="00C10ADA">
        <w:rPr>
          <w:sz w:val="24"/>
          <w:szCs w:val="24"/>
          <w:lang w:val="en-GB"/>
        </w:rPr>
        <w:t>:</w:t>
      </w:r>
      <w:r w:rsidRPr="00C10ADA">
        <w:rPr>
          <w:sz w:val="24"/>
          <w:szCs w:val="24"/>
          <w:lang w:val="en-GB"/>
        </w:rPr>
        <w:t xml:space="preserve"> Head, Raymond, “Holst - Astrology and Modernism in ‘The Planets’”, Tempo, New Series, no. 187 (Dec. 1993), pp.15-22, and Hamacher, Duane, Fuller, Robert, and Norris, Ray</w:t>
      </w:r>
      <w:r w:rsidR="009C288E" w:rsidRPr="00C10ADA">
        <w:rPr>
          <w:sz w:val="24"/>
          <w:szCs w:val="24"/>
          <w:lang w:val="en-GB"/>
        </w:rPr>
        <w:t>,</w:t>
      </w:r>
      <w:r w:rsidRPr="00C10ADA">
        <w:rPr>
          <w:sz w:val="24"/>
          <w:szCs w:val="24"/>
          <w:lang w:val="en-GB"/>
        </w:rPr>
        <w:t xml:space="preserve"> “Orientations of Linear Stone Arrangements in New South Wales”, Australian Archaeology, no. 75 (2012), pp. 46-54.</w:t>
      </w:r>
      <w:r w:rsidR="00893838" w:rsidRPr="00C10ADA">
        <w:rPr>
          <w:sz w:val="24"/>
          <w:szCs w:val="24"/>
          <w:lang w:val="en-GB"/>
        </w:rPr>
        <w:t xml:space="preserve"> </w:t>
      </w:r>
      <w:r w:rsidR="00EC65D0" w:rsidRPr="00C10ADA">
        <w:rPr>
          <w:sz w:val="24"/>
          <w:szCs w:val="24"/>
          <w:lang w:val="en-GB"/>
        </w:rPr>
        <w:t>Special attention will be paid to the texts’ respective theoretical and methodological approaches.</w:t>
      </w:r>
    </w:p>
    <w:p w14:paraId="7EE1D23E" w14:textId="7AE1E2CE" w:rsidR="00514BD0" w:rsidRPr="00C10ADA" w:rsidRDefault="00F85807" w:rsidP="00CE5DE9">
      <w:pPr>
        <w:spacing w:line="300" w:lineRule="auto"/>
        <w:ind w:firstLine="708"/>
        <w:jc w:val="both"/>
        <w:rPr>
          <w:sz w:val="24"/>
          <w:szCs w:val="24"/>
          <w:lang w:val="en-GB"/>
        </w:rPr>
      </w:pPr>
      <w:r w:rsidRPr="00C10ADA">
        <w:rPr>
          <w:sz w:val="24"/>
          <w:szCs w:val="24"/>
          <w:lang w:val="en-GB"/>
        </w:rPr>
        <w:t xml:space="preserve"> </w:t>
      </w:r>
    </w:p>
    <w:p w14:paraId="0ADA0189" w14:textId="2404E613" w:rsidR="00EB154A" w:rsidRDefault="00EB154A" w:rsidP="00CE5DE9">
      <w:pPr>
        <w:spacing w:line="300" w:lineRule="auto"/>
        <w:ind w:firstLine="708"/>
        <w:jc w:val="both"/>
        <w:rPr>
          <w:sz w:val="24"/>
          <w:szCs w:val="24"/>
          <w:lang w:val="en-GB"/>
        </w:rPr>
      </w:pPr>
      <w:r w:rsidRPr="00C10ADA">
        <w:rPr>
          <w:sz w:val="24"/>
          <w:szCs w:val="24"/>
          <w:lang w:val="en-GB"/>
        </w:rPr>
        <w:t>Raymond Head is simultaneously a composer</w:t>
      </w:r>
      <w:r w:rsidR="008C0A63" w:rsidRPr="00C10ADA">
        <w:rPr>
          <w:sz w:val="24"/>
          <w:szCs w:val="24"/>
          <w:lang w:val="en-GB"/>
        </w:rPr>
        <w:t xml:space="preserve"> and</w:t>
      </w:r>
      <w:r w:rsidRPr="00C10ADA">
        <w:rPr>
          <w:sz w:val="24"/>
          <w:szCs w:val="24"/>
          <w:lang w:val="en-GB"/>
        </w:rPr>
        <w:t xml:space="preserve"> a </w:t>
      </w:r>
      <w:r w:rsidR="008C0A63" w:rsidRPr="00C10ADA">
        <w:rPr>
          <w:sz w:val="24"/>
          <w:szCs w:val="24"/>
          <w:lang w:val="en-GB"/>
        </w:rPr>
        <w:t xml:space="preserve">music </w:t>
      </w:r>
      <w:r w:rsidRPr="00C10ADA">
        <w:rPr>
          <w:sz w:val="24"/>
          <w:szCs w:val="24"/>
          <w:lang w:val="en-GB"/>
        </w:rPr>
        <w:t>teacher and scholar</w:t>
      </w:r>
      <w:r w:rsidR="00026042" w:rsidRPr="00C10ADA">
        <w:rPr>
          <w:rStyle w:val="Appelnotedebasdep"/>
          <w:sz w:val="24"/>
          <w:szCs w:val="24"/>
          <w:lang w:val="en-GB"/>
        </w:rPr>
        <w:footnoteReference w:id="1"/>
      </w:r>
      <w:r w:rsidRPr="00C10ADA">
        <w:rPr>
          <w:sz w:val="24"/>
          <w:szCs w:val="24"/>
          <w:lang w:val="en-GB"/>
        </w:rPr>
        <w:t xml:space="preserve">. </w:t>
      </w:r>
      <w:r w:rsidR="00E67408" w:rsidRPr="00C10ADA">
        <w:rPr>
          <w:sz w:val="24"/>
          <w:szCs w:val="24"/>
          <w:lang w:val="en-GB"/>
        </w:rPr>
        <w:t>“H</w:t>
      </w:r>
      <w:r w:rsidRPr="00C10ADA">
        <w:rPr>
          <w:sz w:val="24"/>
          <w:szCs w:val="24"/>
          <w:lang w:val="en-GB"/>
        </w:rPr>
        <w:t xml:space="preserve">olst - Astrology and Modernism in ‘The Planets’” is one of his earlier works, but to date remains his most </w:t>
      </w:r>
      <w:r w:rsidR="002F57CE" w:rsidRPr="00C10ADA">
        <w:rPr>
          <w:sz w:val="24"/>
          <w:szCs w:val="24"/>
          <w:lang w:val="en-GB"/>
        </w:rPr>
        <w:t>influential</w:t>
      </w:r>
      <w:r w:rsidRPr="00C10ADA">
        <w:rPr>
          <w:sz w:val="24"/>
          <w:szCs w:val="24"/>
          <w:lang w:val="en-GB"/>
        </w:rPr>
        <w:t xml:space="preserve"> paper on JSTO</w:t>
      </w:r>
      <w:r w:rsidR="0041725F" w:rsidRPr="00C10ADA">
        <w:rPr>
          <w:sz w:val="24"/>
          <w:szCs w:val="24"/>
          <w:lang w:val="en-GB"/>
        </w:rPr>
        <w:t>R</w:t>
      </w:r>
      <w:r w:rsidRPr="00C10ADA">
        <w:rPr>
          <w:sz w:val="24"/>
          <w:szCs w:val="24"/>
          <w:lang w:val="en-GB"/>
        </w:rPr>
        <w:t xml:space="preserve">. </w:t>
      </w:r>
      <w:r w:rsidR="002F57CE" w:rsidRPr="00C10ADA">
        <w:rPr>
          <w:sz w:val="24"/>
          <w:szCs w:val="24"/>
          <w:lang w:val="en-GB"/>
        </w:rPr>
        <w:t>Even so, h</w:t>
      </w:r>
      <w:r w:rsidRPr="00C10ADA">
        <w:rPr>
          <w:sz w:val="24"/>
          <w:szCs w:val="24"/>
          <w:lang w:val="en-GB"/>
        </w:rPr>
        <w:t xml:space="preserve">is </w:t>
      </w:r>
      <w:r w:rsidR="008C0A63" w:rsidRPr="00C10ADA">
        <w:rPr>
          <w:sz w:val="24"/>
          <w:szCs w:val="24"/>
          <w:lang w:val="en-GB"/>
        </w:rPr>
        <w:t xml:space="preserve">main </w:t>
      </w:r>
      <w:r w:rsidRPr="00C10ADA">
        <w:rPr>
          <w:sz w:val="24"/>
          <w:szCs w:val="24"/>
          <w:lang w:val="en-GB"/>
        </w:rPr>
        <w:t xml:space="preserve">academic </w:t>
      </w:r>
      <w:r w:rsidR="008C0A63" w:rsidRPr="00C10ADA">
        <w:rPr>
          <w:sz w:val="24"/>
          <w:szCs w:val="24"/>
          <w:lang w:val="en-GB"/>
        </w:rPr>
        <w:t xml:space="preserve">interest, as can be seen </w:t>
      </w:r>
      <w:r w:rsidR="00856937" w:rsidRPr="00C10ADA">
        <w:rPr>
          <w:sz w:val="24"/>
          <w:szCs w:val="24"/>
          <w:lang w:val="en-GB"/>
        </w:rPr>
        <w:t xml:space="preserve">both </w:t>
      </w:r>
      <w:r w:rsidR="008C0A63" w:rsidRPr="00C10ADA">
        <w:rPr>
          <w:sz w:val="24"/>
          <w:szCs w:val="24"/>
          <w:lang w:val="en-GB"/>
        </w:rPr>
        <w:t xml:space="preserve">from his previous </w:t>
      </w:r>
      <w:r w:rsidR="0057754B" w:rsidRPr="00C10ADA">
        <w:rPr>
          <w:sz w:val="24"/>
          <w:szCs w:val="24"/>
          <w:lang w:val="en-GB"/>
        </w:rPr>
        <w:t xml:space="preserve">and later </w:t>
      </w:r>
      <w:r w:rsidR="008C0A63" w:rsidRPr="00C10ADA">
        <w:rPr>
          <w:sz w:val="24"/>
          <w:szCs w:val="24"/>
          <w:lang w:val="en-GB"/>
        </w:rPr>
        <w:t>works, is</w:t>
      </w:r>
      <w:r w:rsidRPr="00C10ADA">
        <w:rPr>
          <w:sz w:val="24"/>
          <w:szCs w:val="24"/>
          <w:lang w:val="en-GB"/>
        </w:rPr>
        <w:t xml:space="preserve"> focused on</w:t>
      </w:r>
      <w:r w:rsidR="00A5498C" w:rsidRPr="00C10ADA">
        <w:rPr>
          <w:sz w:val="24"/>
          <w:szCs w:val="24"/>
          <w:lang w:val="en-GB"/>
        </w:rPr>
        <w:t xml:space="preserve"> a different topic, namely,</w:t>
      </w:r>
      <w:r w:rsidR="009C288E" w:rsidRPr="00C10ADA">
        <w:rPr>
          <w:sz w:val="24"/>
          <w:szCs w:val="24"/>
          <w:lang w:val="en-GB"/>
        </w:rPr>
        <w:t xml:space="preserve"> </w:t>
      </w:r>
      <w:r w:rsidRPr="00C10ADA">
        <w:rPr>
          <w:sz w:val="24"/>
          <w:szCs w:val="24"/>
          <w:lang w:val="en-GB"/>
        </w:rPr>
        <w:t>Indian influences on Western culture,</w:t>
      </w:r>
      <w:r w:rsidR="00856937" w:rsidRPr="00C10ADA">
        <w:rPr>
          <w:sz w:val="24"/>
          <w:szCs w:val="24"/>
          <w:lang w:val="en-GB"/>
        </w:rPr>
        <w:t xml:space="preserve"> </w:t>
      </w:r>
      <w:r w:rsidR="002F57CE" w:rsidRPr="00C10ADA">
        <w:rPr>
          <w:sz w:val="24"/>
          <w:szCs w:val="24"/>
          <w:lang w:val="en-GB"/>
        </w:rPr>
        <w:t>although again</w:t>
      </w:r>
      <w:r w:rsidRPr="00C10ADA">
        <w:rPr>
          <w:sz w:val="24"/>
          <w:szCs w:val="24"/>
          <w:lang w:val="en-GB"/>
        </w:rPr>
        <w:t xml:space="preserve"> specifically on Gustav Holst</w:t>
      </w:r>
      <w:r w:rsidR="00026042" w:rsidRPr="00C10ADA">
        <w:rPr>
          <w:rStyle w:val="Appelnotedebasdep"/>
          <w:sz w:val="24"/>
          <w:szCs w:val="24"/>
          <w:lang w:val="en-GB"/>
        </w:rPr>
        <w:footnoteReference w:id="2"/>
      </w:r>
      <w:r w:rsidR="008F6377" w:rsidRPr="00C10ADA">
        <w:rPr>
          <w:sz w:val="24"/>
          <w:szCs w:val="24"/>
          <w:lang w:val="en-GB"/>
        </w:rPr>
        <w:t>.</w:t>
      </w:r>
      <w:r w:rsidRPr="00C10ADA">
        <w:rPr>
          <w:sz w:val="24"/>
          <w:szCs w:val="24"/>
          <w:lang w:val="en-GB"/>
        </w:rPr>
        <w:t xml:space="preserve"> </w:t>
      </w:r>
      <w:r w:rsidR="002F57CE" w:rsidRPr="00C10ADA">
        <w:rPr>
          <w:sz w:val="24"/>
          <w:szCs w:val="24"/>
          <w:lang w:val="en-GB"/>
        </w:rPr>
        <w:t>T</w:t>
      </w:r>
      <w:r w:rsidR="008C0A63" w:rsidRPr="00C10ADA">
        <w:rPr>
          <w:sz w:val="24"/>
          <w:szCs w:val="24"/>
          <w:lang w:val="en-GB"/>
        </w:rPr>
        <w:t xml:space="preserve">he journal </w:t>
      </w:r>
      <w:r w:rsidR="008C0A63" w:rsidRPr="00C10ADA">
        <w:rPr>
          <w:i/>
          <w:iCs/>
          <w:sz w:val="24"/>
          <w:szCs w:val="24"/>
          <w:lang w:val="en-GB"/>
        </w:rPr>
        <w:t>Tempo</w:t>
      </w:r>
      <w:r w:rsidR="009C288E" w:rsidRPr="00C10ADA">
        <w:rPr>
          <w:sz w:val="24"/>
          <w:szCs w:val="24"/>
          <w:lang w:val="en-GB"/>
        </w:rPr>
        <w:t>,</w:t>
      </w:r>
      <w:r w:rsidR="008C0A63" w:rsidRPr="00C10ADA">
        <w:rPr>
          <w:sz w:val="24"/>
          <w:szCs w:val="24"/>
          <w:lang w:val="en-GB"/>
        </w:rPr>
        <w:t xml:space="preserve"> </w:t>
      </w:r>
      <w:r w:rsidR="00E67408" w:rsidRPr="00C10ADA">
        <w:rPr>
          <w:sz w:val="24"/>
          <w:szCs w:val="24"/>
          <w:lang w:val="en-GB"/>
        </w:rPr>
        <w:t xml:space="preserve">in which the 1993 article </w:t>
      </w:r>
      <w:r w:rsidR="009C288E" w:rsidRPr="00C10ADA">
        <w:rPr>
          <w:sz w:val="24"/>
          <w:szCs w:val="24"/>
          <w:lang w:val="en-GB"/>
        </w:rPr>
        <w:t xml:space="preserve">appears, is </w:t>
      </w:r>
      <w:r w:rsidR="008C0A63" w:rsidRPr="00C10ADA">
        <w:rPr>
          <w:sz w:val="24"/>
          <w:szCs w:val="24"/>
          <w:lang w:val="en-GB"/>
        </w:rPr>
        <w:t>described as “the premier English-language journal devoted to 20th-century and contemporary concert music”</w:t>
      </w:r>
      <w:r w:rsidR="008A2F7D" w:rsidRPr="00C10ADA">
        <w:rPr>
          <w:rStyle w:val="Appelnotedebasdep"/>
          <w:sz w:val="24"/>
          <w:szCs w:val="24"/>
          <w:lang w:val="en-GB"/>
        </w:rPr>
        <w:footnoteReference w:id="3"/>
      </w:r>
      <w:r w:rsidR="008C0A63" w:rsidRPr="00C10ADA">
        <w:rPr>
          <w:sz w:val="24"/>
          <w:szCs w:val="24"/>
          <w:lang w:val="en-GB"/>
        </w:rPr>
        <w:t xml:space="preserve">, </w:t>
      </w:r>
      <w:r w:rsidR="002F57CE" w:rsidRPr="00C10ADA">
        <w:rPr>
          <w:sz w:val="24"/>
          <w:szCs w:val="24"/>
          <w:lang w:val="en-GB"/>
        </w:rPr>
        <w:t>adding to the surprise of</w:t>
      </w:r>
      <w:r w:rsidR="008C0A63" w:rsidRPr="00C10ADA">
        <w:rPr>
          <w:sz w:val="24"/>
          <w:szCs w:val="24"/>
          <w:lang w:val="en-GB"/>
        </w:rPr>
        <w:t xml:space="preserve"> find</w:t>
      </w:r>
      <w:r w:rsidR="002F57CE" w:rsidRPr="00C10ADA">
        <w:rPr>
          <w:sz w:val="24"/>
          <w:szCs w:val="24"/>
          <w:lang w:val="en-GB"/>
        </w:rPr>
        <w:t>ing</w:t>
      </w:r>
      <w:r w:rsidR="008C0A63" w:rsidRPr="00C10ADA">
        <w:rPr>
          <w:sz w:val="24"/>
          <w:szCs w:val="24"/>
          <w:lang w:val="en-GB"/>
        </w:rPr>
        <w:t xml:space="preserve"> a discussion about astrology. This is </w:t>
      </w:r>
      <w:r w:rsidR="002F57CE" w:rsidRPr="00C10ADA">
        <w:rPr>
          <w:sz w:val="24"/>
          <w:szCs w:val="24"/>
          <w:lang w:val="en-GB"/>
        </w:rPr>
        <w:t xml:space="preserve">addressed </w:t>
      </w:r>
      <w:r w:rsidR="008C0A63" w:rsidRPr="00C10ADA">
        <w:rPr>
          <w:sz w:val="24"/>
          <w:szCs w:val="24"/>
          <w:lang w:val="en-GB"/>
        </w:rPr>
        <w:t>by Head himself in the opening of this paper</w:t>
      </w:r>
      <w:r w:rsidR="002F57CE" w:rsidRPr="00C10ADA">
        <w:rPr>
          <w:sz w:val="24"/>
          <w:szCs w:val="24"/>
          <w:lang w:val="en-GB"/>
        </w:rPr>
        <w:t>,</w:t>
      </w:r>
      <w:r w:rsidR="008C0A63" w:rsidRPr="00C10ADA">
        <w:rPr>
          <w:sz w:val="24"/>
          <w:szCs w:val="24"/>
          <w:lang w:val="en-GB"/>
        </w:rPr>
        <w:t xml:space="preserve"> where he states that “one must be prepared to engage subjects, which, in this country, are normally considered </w:t>
      </w:r>
      <w:r w:rsidR="008C0A63" w:rsidRPr="00C10ADA">
        <w:rPr>
          <w:i/>
          <w:iCs/>
          <w:sz w:val="24"/>
          <w:szCs w:val="24"/>
          <w:lang w:val="en-GB"/>
        </w:rPr>
        <w:t>Verboten</w:t>
      </w:r>
      <w:r w:rsidR="008C0A63" w:rsidRPr="00C10ADA">
        <w:rPr>
          <w:sz w:val="24"/>
          <w:szCs w:val="24"/>
          <w:lang w:val="en-GB"/>
        </w:rPr>
        <w:t>”</w:t>
      </w:r>
      <w:r w:rsidR="008A2F7D" w:rsidRPr="00C10ADA">
        <w:rPr>
          <w:rStyle w:val="Appelnotedebasdep"/>
          <w:sz w:val="24"/>
          <w:szCs w:val="24"/>
          <w:lang w:val="en-GB"/>
        </w:rPr>
        <w:footnoteReference w:id="4"/>
      </w:r>
      <w:r w:rsidR="008C0A63" w:rsidRPr="00C10ADA">
        <w:rPr>
          <w:sz w:val="24"/>
          <w:szCs w:val="24"/>
          <w:lang w:val="en-GB"/>
        </w:rPr>
        <w:t>. It is worth considering that, after praising “the intellectual rehabilitation of esoteric tradition […] and the change in mental outlook generally”</w:t>
      </w:r>
      <w:r w:rsidR="00D70AD4" w:rsidRPr="00C10ADA">
        <w:rPr>
          <w:rStyle w:val="Appelnotedebasdep"/>
          <w:sz w:val="24"/>
          <w:szCs w:val="24"/>
          <w:lang w:val="en-GB"/>
        </w:rPr>
        <w:footnoteReference w:id="5"/>
      </w:r>
      <w:r w:rsidR="008C0A63" w:rsidRPr="00C10ADA">
        <w:rPr>
          <w:sz w:val="24"/>
          <w:szCs w:val="24"/>
          <w:lang w:val="en-GB"/>
        </w:rPr>
        <w:t>, in</w:t>
      </w:r>
      <w:r w:rsidR="00D70AD4" w:rsidRPr="00C10ADA">
        <w:rPr>
          <w:sz w:val="24"/>
          <w:szCs w:val="24"/>
          <w:lang w:val="en-GB"/>
        </w:rPr>
        <w:t xml:space="preserve"> </w:t>
      </w:r>
      <w:r w:rsidR="008C0A63" w:rsidRPr="00C10ADA">
        <w:rPr>
          <w:sz w:val="24"/>
          <w:szCs w:val="24"/>
          <w:lang w:val="en-GB"/>
        </w:rPr>
        <w:t>footnote 21 he clarifies that: “in 1992 astrology was proscribed by the Roman Catholic Church”</w:t>
      </w:r>
      <w:r w:rsidR="00D70AD4" w:rsidRPr="00C10ADA">
        <w:rPr>
          <w:rStyle w:val="Appelnotedebasdep"/>
          <w:sz w:val="24"/>
          <w:szCs w:val="24"/>
          <w:lang w:val="en-GB"/>
        </w:rPr>
        <w:footnoteReference w:id="6"/>
      </w:r>
      <w:r w:rsidR="008C0A63" w:rsidRPr="00C10ADA">
        <w:rPr>
          <w:sz w:val="24"/>
          <w:szCs w:val="24"/>
          <w:lang w:val="en-GB"/>
        </w:rPr>
        <w:t>. This paper published one year after can thus easily be seen as the reaction to th</w:t>
      </w:r>
      <w:r w:rsidR="00846727" w:rsidRPr="00C10ADA">
        <w:rPr>
          <w:sz w:val="24"/>
          <w:szCs w:val="24"/>
          <w:lang w:val="en-GB"/>
        </w:rPr>
        <w:t>is</w:t>
      </w:r>
      <w:r w:rsidR="008C0A63" w:rsidRPr="00C10ADA">
        <w:rPr>
          <w:sz w:val="24"/>
          <w:szCs w:val="24"/>
          <w:lang w:val="en-GB"/>
        </w:rPr>
        <w:t xml:space="preserve"> proscription by a passionate author, who indeed does not shy away from using value-laden terms like “infamous”</w:t>
      </w:r>
      <w:r w:rsidR="00D70AD4" w:rsidRPr="00C10ADA">
        <w:rPr>
          <w:rStyle w:val="Appelnotedebasdep"/>
          <w:sz w:val="24"/>
          <w:szCs w:val="24"/>
          <w:lang w:val="en-GB"/>
        </w:rPr>
        <w:footnoteReference w:id="7"/>
      </w:r>
      <w:r w:rsidR="008C0A63" w:rsidRPr="00C10ADA">
        <w:rPr>
          <w:sz w:val="24"/>
          <w:szCs w:val="24"/>
          <w:lang w:val="en-GB"/>
        </w:rPr>
        <w:t xml:space="preserve"> when describing the </w:t>
      </w:r>
      <w:r w:rsidR="0057754B" w:rsidRPr="00C10ADA">
        <w:rPr>
          <w:sz w:val="24"/>
          <w:szCs w:val="24"/>
          <w:lang w:val="en-GB"/>
        </w:rPr>
        <w:t xml:space="preserve">1824 </w:t>
      </w:r>
      <w:r w:rsidR="008C0A63" w:rsidRPr="00C10ADA">
        <w:rPr>
          <w:sz w:val="24"/>
          <w:szCs w:val="24"/>
          <w:lang w:val="en-GB"/>
        </w:rPr>
        <w:t xml:space="preserve">Vagrancy Act </w:t>
      </w:r>
      <w:r w:rsidR="0057754B" w:rsidRPr="00C10ADA">
        <w:rPr>
          <w:sz w:val="24"/>
          <w:szCs w:val="24"/>
          <w:lang w:val="en-GB"/>
        </w:rPr>
        <w:t>which</w:t>
      </w:r>
      <w:r w:rsidR="008C0A63" w:rsidRPr="00C10ADA">
        <w:rPr>
          <w:sz w:val="24"/>
          <w:szCs w:val="24"/>
          <w:lang w:val="en-GB"/>
        </w:rPr>
        <w:t xml:space="preserve"> </w:t>
      </w:r>
      <w:r w:rsidR="0057754B" w:rsidRPr="00C10ADA">
        <w:rPr>
          <w:sz w:val="24"/>
          <w:szCs w:val="24"/>
          <w:lang w:val="en-GB"/>
        </w:rPr>
        <w:t>outlaws fortune-telling, including astrology.</w:t>
      </w:r>
      <w:r w:rsidR="00EA4EEB" w:rsidRPr="00C10ADA">
        <w:rPr>
          <w:sz w:val="24"/>
          <w:szCs w:val="24"/>
          <w:lang w:val="en-GB"/>
        </w:rPr>
        <w:t xml:space="preserve"> Despite this inclination towards astrology and the esoteric, </w:t>
      </w:r>
      <w:r w:rsidR="008D2E4B" w:rsidRPr="00C10ADA">
        <w:rPr>
          <w:sz w:val="24"/>
          <w:szCs w:val="24"/>
          <w:lang w:val="en-GB"/>
        </w:rPr>
        <w:t xml:space="preserve">one should </w:t>
      </w:r>
      <w:r w:rsidR="002F57CE" w:rsidRPr="00C10ADA">
        <w:rPr>
          <w:sz w:val="24"/>
          <w:szCs w:val="24"/>
          <w:lang w:val="en-GB"/>
        </w:rPr>
        <w:t xml:space="preserve">again </w:t>
      </w:r>
      <w:r w:rsidR="008D2E4B" w:rsidRPr="00C10ADA">
        <w:rPr>
          <w:sz w:val="24"/>
          <w:szCs w:val="24"/>
          <w:lang w:val="en-GB"/>
        </w:rPr>
        <w:t xml:space="preserve">note that </w:t>
      </w:r>
      <w:r w:rsidR="00EA4EEB" w:rsidRPr="00C10ADA">
        <w:rPr>
          <w:sz w:val="24"/>
          <w:szCs w:val="24"/>
          <w:lang w:val="en-GB"/>
        </w:rPr>
        <w:t>Head has no training</w:t>
      </w:r>
      <w:r w:rsidR="008C0A63" w:rsidRPr="00C10ADA">
        <w:rPr>
          <w:sz w:val="24"/>
          <w:szCs w:val="24"/>
          <w:lang w:val="en-GB"/>
        </w:rPr>
        <w:t xml:space="preserve"> </w:t>
      </w:r>
      <w:r w:rsidR="00EA4EEB" w:rsidRPr="00C10ADA">
        <w:rPr>
          <w:sz w:val="24"/>
          <w:szCs w:val="24"/>
          <w:lang w:val="en-GB"/>
        </w:rPr>
        <w:t>in these matters</w:t>
      </w:r>
      <w:r w:rsidR="008D2E4B" w:rsidRPr="00C10ADA">
        <w:rPr>
          <w:sz w:val="24"/>
          <w:szCs w:val="24"/>
          <w:lang w:val="en-GB"/>
        </w:rPr>
        <w:t xml:space="preserve"> or in the study thereof</w:t>
      </w:r>
      <w:r w:rsidR="00EA4EEB" w:rsidRPr="00C10ADA">
        <w:rPr>
          <w:sz w:val="24"/>
          <w:szCs w:val="24"/>
          <w:lang w:val="en-GB"/>
        </w:rPr>
        <w:t xml:space="preserve">. </w:t>
      </w:r>
      <w:r w:rsidR="00CE5DE9">
        <w:rPr>
          <w:sz w:val="24"/>
          <w:szCs w:val="24"/>
          <w:lang w:val="en-GB"/>
        </w:rPr>
        <w:br/>
      </w:r>
      <w:r w:rsidR="00BF177D" w:rsidRPr="00C10ADA">
        <w:rPr>
          <w:sz w:val="24"/>
          <w:szCs w:val="24"/>
          <w:lang w:val="en-GB"/>
        </w:rPr>
        <w:t xml:space="preserve">By contrast, </w:t>
      </w:r>
      <w:r w:rsidR="009A1B3F" w:rsidRPr="00C10ADA">
        <w:rPr>
          <w:sz w:val="24"/>
          <w:szCs w:val="24"/>
          <w:lang w:val="en-GB"/>
        </w:rPr>
        <w:t xml:space="preserve">Duane </w:t>
      </w:r>
      <w:r w:rsidRPr="00C10ADA">
        <w:rPr>
          <w:sz w:val="24"/>
          <w:szCs w:val="24"/>
          <w:lang w:val="en-GB"/>
        </w:rPr>
        <w:t>Hamacher</w:t>
      </w:r>
      <w:r w:rsidR="00BF177D" w:rsidRPr="00C10ADA">
        <w:rPr>
          <w:sz w:val="24"/>
          <w:szCs w:val="24"/>
          <w:lang w:val="en-GB"/>
        </w:rPr>
        <w:t xml:space="preserve"> gathered an interdisciplinary team</w:t>
      </w:r>
      <w:r w:rsidR="004A5C6F" w:rsidRPr="00C10ADA">
        <w:rPr>
          <w:sz w:val="24"/>
          <w:szCs w:val="24"/>
          <w:lang w:val="en-GB"/>
        </w:rPr>
        <w:t xml:space="preserve"> of researchers</w:t>
      </w:r>
      <w:r w:rsidR="00BF177D" w:rsidRPr="00C10ADA">
        <w:rPr>
          <w:sz w:val="24"/>
          <w:szCs w:val="24"/>
          <w:lang w:val="en-GB"/>
        </w:rPr>
        <w:t xml:space="preserve"> to support the research pertaining to the “Orientations of Linear Stone Arrangements</w:t>
      </w:r>
      <w:r w:rsidR="00FC7417" w:rsidRPr="00C10ADA">
        <w:rPr>
          <w:sz w:val="24"/>
          <w:szCs w:val="24"/>
          <w:lang w:val="en-GB"/>
        </w:rPr>
        <w:t xml:space="preserve"> in New South Wales</w:t>
      </w:r>
      <w:r w:rsidR="00BF177D" w:rsidRPr="00C10ADA">
        <w:rPr>
          <w:sz w:val="24"/>
          <w:szCs w:val="24"/>
          <w:lang w:val="en-GB"/>
        </w:rPr>
        <w:t>”</w:t>
      </w:r>
      <w:r w:rsidR="002248FD" w:rsidRPr="00C10ADA">
        <w:rPr>
          <w:sz w:val="24"/>
          <w:szCs w:val="24"/>
          <w:lang w:val="en-GB"/>
        </w:rPr>
        <w:t xml:space="preserve"> where</w:t>
      </w:r>
      <w:r w:rsidR="00FC7417" w:rsidRPr="00C10ADA">
        <w:rPr>
          <w:sz w:val="24"/>
          <w:szCs w:val="24"/>
          <w:lang w:val="en-GB"/>
        </w:rPr>
        <w:t>,</w:t>
      </w:r>
      <w:r w:rsidR="00BF177D" w:rsidRPr="00C10ADA">
        <w:rPr>
          <w:sz w:val="24"/>
          <w:szCs w:val="24"/>
          <w:lang w:val="en-GB"/>
        </w:rPr>
        <w:t xml:space="preserve"> </w:t>
      </w:r>
      <w:r w:rsidR="002248FD" w:rsidRPr="00C10ADA">
        <w:rPr>
          <w:sz w:val="24"/>
          <w:szCs w:val="24"/>
          <w:lang w:val="en-GB"/>
        </w:rPr>
        <w:t>although reference is made to potential ceremonial uses of certain Aboriginal stone arrangements, the notion of astrology is absent, in favour of “Aboriginal astronomy”</w:t>
      </w:r>
      <w:r w:rsidR="00522EEB" w:rsidRPr="00C10ADA">
        <w:rPr>
          <w:rStyle w:val="Appelnotedebasdep"/>
          <w:sz w:val="24"/>
          <w:szCs w:val="24"/>
          <w:lang w:val="en-GB"/>
        </w:rPr>
        <w:footnoteReference w:id="8"/>
      </w:r>
      <w:r w:rsidR="00BF177D" w:rsidRPr="00C10ADA">
        <w:rPr>
          <w:sz w:val="24"/>
          <w:szCs w:val="24"/>
          <w:lang w:val="en-GB"/>
        </w:rPr>
        <w:t>.</w:t>
      </w:r>
      <w:r w:rsidR="002248FD" w:rsidRPr="00C10ADA">
        <w:rPr>
          <w:sz w:val="24"/>
          <w:szCs w:val="24"/>
          <w:lang w:val="en-GB"/>
        </w:rPr>
        <w:t xml:space="preserve"> </w:t>
      </w:r>
      <w:r w:rsidR="00BF177D" w:rsidRPr="00C10ADA">
        <w:rPr>
          <w:sz w:val="24"/>
          <w:szCs w:val="24"/>
          <w:lang w:val="en-GB"/>
        </w:rPr>
        <w:t>Robert Fuller</w:t>
      </w:r>
      <w:r w:rsidR="004A5C6F" w:rsidRPr="00C10ADA">
        <w:rPr>
          <w:sz w:val="24"/>
          <w:szCs w:val="24"/>
          <w:lang w:val="en-GB"/>
        </w:rPr>
        <w:t>,</w:t>
      </w:r>
      <w:r w:rsidR="00BF177D" w:rsidRPr="00C10ADA">
        <w:rPr>
          <w:sz w:val="24"/>
          <w:szCs w:val="24"/>
          <w:lang w:val="en-GB"/>
        </w:rPr>
        <w:t xml:space="preserve"> being an MPhil student in the Department of Indigenous Studies </w:t>
      </w:r>
      <w:r w:rsidR="004A5C6F" w:rsidRPr="00C10ADA">
        <w:rPr>
          <w:sz w:val="24"/>
          <w:szCs w:val="24"/>
          <w:lang w:val="en-GB"/>
        </w:rPr>
        <w:t>at the time</w:t>
      </w:r>
      <w:r w:rsidR="0086078C" w:rsidRPr="00C10ADA">
        <w:rPr>
          <w:rStyle w:val="Appelnotedebasdep"/>
          <w:sz w:val="24"/>
          <w:szCs w:val="24"/>
          <w:lang w:val="en-GB"/>
        </w:rPr>
        <w:footnoteReference w:id="9"/>
      </w:r>
      <w:r w:rsidR="004A5C6F" w:rsidRPr="00C10ADA">
        <w:rPr>
          <w:sz w:val="24"/>
          <w:szCs w:val="24"/>
          <w:lang w:val="en-GB"/>
        </w:rPr>
        <w:t xml:space="preserve">, would have </w:t>
      </w:r>
      <w:r w:rsidR="00BF177D" w:rsidRPr="00C10ADA">
        <w:rPr>
          <w:sz w:val="24"/>
          <w:szCs w:val="24"/>
          <w:lang w:val="en-GB"/>
        </w:rPr>
        <w:t>assist</w:t>
      </w:r>
      <w:r w:rsidR="004A5C6F" w:rsidRPr="00C10ADA">
        <w:rPr>
          <w:sz w:val="24"/>
          <w:szCs w:val="24"/>
          <w:lang w:val="en-GB"/>
        </w:rPr>
        <w:t>ed</w:t>
      </w:r>
      <w:r w:rsidR="00BF177D" w:rsidRPr="00C10ADA">
        <w:rPr>
          <w:sz w:val="24"/>
          <w:szCs w:val="24"/>
          <w:lang w:val="en-GB"/>
        </w:rPr>
        <w:t xml:space="preserve"> with the “Aboriginal” </w:t>
      </w:r>
      <w:r w:rsidR="002F57CE" w:rsidRPr="00C10ADA">
        <w:rPr>
          <w:sz w:val="24"/>
          <w:szCs w:val="24"/>
          <w:lang w:val="en-GB"/>
        </w:rPr>
        <w:t>side</w:t>
      </w:r>
      <w:r w:rsidR="002248FD" w:rsidRPr="00C10ADA">
        <w:rPr>
          <w:sz w:val="24"/>
          <w:szCs w:val="24"/>
          <w:lang w:val="en-GB"/>
        </w:rPr>
        <w:t xml:space="preserve"> of the project and</w:t>
      </w:r>
      <w:r w:rsidR="00BF177D" w:rsidRPr="00C10ADA">
        <w:rPr>
          <w:sz w:val="24"/>
          <w:szCs w:val="24"/>
          <w:lang w:val="en-GB"/>
        </w:rPr>
        <w:t xml:space="preserve"> Ray Norris</w:t>
      </w:r>
      <w:r w:rsidR="002248FD" w:rsidRPr="00C10ADA">
        <w:rPr>
          <w:sz w:val="24"/>
          <w:szCs w:val="24"/>
          <w:lang w:val="en-GB"/>
        </w:rPr>
        <w:t>, who had</w:t>
      </w:r>
      <w:r w:rsidR="00BF177D" w:rsidRPr="00C10ADA">
        <w:rPr>
          <w:sz w:val="24"/>
          <w:szCs w:val="24"/>
          <w:lang w:val="en-GB"/>
        </w:rPr>
        <w:t xml:space="preserve"> already </w:t>
      </w:r>
      <w:r w:rsidR="002248FD" w:rsidRPr="00C10ADA">
        <w:rPr>
          <w:sz w:val="24"/>
          <w:szCs w:val="24"/>
          <w:lang w:val="en-GB"/>
        </w:rPr>
        <w:t xml:space="preserve">been </w:t>
      </w:r>
      <w:r w:rsidR="00BF177D" w:rsidRPr="00C10ADA">
        <w:rPr>
          <w:sz w:val="24"/>
          <w:szCs w:val="24"/>
          <w:lang w:val="en-GB"/>
        </w:rPr>
        <w:t>Hamacher’s PhD advisor</w:t>
      </w:r>
      <w:r w:rsidR="002248FD" w:rsidRPr="00C10ADA">
        <w:rPr>
          <w:sz w:val="24"/>
          <w:szCs w:val="24"/>
          <w:lang w:val="en-GB"/>
        </w:rPr>
        <w:t xml:space="preserve"> on the “Astronomy</w:t>
      </w:r>
      <w:r w:rsidR="00BF177D" w:rsidRPr="00C10ADA">
        <w:rPr>
          <w:sz w:val="24"/>
          <w:szCs w:val="24"/>
          <w:lang w:val="en-GB"/>
        </w:rPr>
        <w:t>” aspect of th</w:t>
      </w:r>
      <w:r w:rsidR="002248FD" w:rsidRPr="00C10ADA">
        <w:rPr>
          <w:sz w:val="24"/>
          <w:szCs w:val="24"/>
          <w:lang w:val="en-GB"/>
        </w:rPr>
        <w:t>at</w:t>
      </w:r>
      <w:r w:rsidR="00BF177D" w:rsidRPr="00C10ADA">
        <w:rPr>
          <w:sz w:val="24"/>
          <w:szCs w:val="24"/>
          <w:lang w:val="en-GB"/>
        </w:rPr>
        <w:t xml:space="preserve"> project</w:t>
      </w:r>
      <w:r w:rsidR="0086078C" w:rsidRPr="00C10ADA">
        <w:rPr>
          <w:rStyle w:val="Appelnotedebasdep"/>
          <w:sz w:val="24"/>
          <w:szCs w:val="24"/>
          <w:lang w:val="en-GB"/>
        </w:rPr>
        <w:footnoteReference w:id="10"/>
      </w:r>
      <w:r w:rsidR="002248FD" w:rsidRPr="00C10ADA">
        <w:rPr>
          <w:sz w:val="24"/>
          <w:szCs w:val="24"/>
          <w:lang w:val="en-GB"/>
        </w:rPr>
        <w:t>, a</w:t>
      </w:r>
      <w:r w:rsidR="002F57CE" w:rsidRPr="00C10ADA">
        <w:rPr>
          <w:sz w:val="24"/>
          <w:szCs w:val="24"/>
          <w:lang w:val="en-GB"/>
        </w:rPr>
        <w:t>lso brought in his proficiency in data science with the use of Monte Carlo statistics</w:t>
      </w:r>
      <w:r w:rsidR="00967755" w:rsidRPr="00C10ADA">
        <w:rPr>
          <w:rStyle w:val="Appelnotedebasdep"/>
          <w:sz w:val="24"/>
          <w:szCs w:val="24"/>
          <w:lang w:val="en-GB"/>
        </w:rPr>
        <w:footnoteReference w:id="11"/>
      </w:r>
      <w:r w:rsidR="00BF177D" w:rsidRPr="00C10ADA">
        <w:rPr>
          <w:sz w:val="24"/>
          <w:szCs w:val="24"/>
          <w:lang w:val="en-GB"/>
        </w:rPr>
        <w:t>.</w:t>
      </w:r>
      <w:r w:rsidR="002248FD" w:rsidRPr="00C10ADA">
        <w:rPr>
          <w:sz w:val="24"/>
          <w:szCs w:val="24"/>
          <w:lang w:val="en-GB"/>
        </w:rPr>
        <w:t xml:space="preserve"> </w:t>
      </w:r>
      <w:r w:rsidR="00BF177D" w:rsidRPr="00C10ADA">
        <w:rPr>
          <w:sz w:val="24"/>
          <w:szCs w:val="24"/>
          <w:lang w:val="en-GB"/>
        </w:rPr>
        <w:t xml:space="preserve">Moreover, </w:t>
      </w:r>
      <w:r w:rsidRPr="00C10ADA">
        <w:rPr>
          <w:sz w:val="24"/>
          <w:szCs w:val="24"/>
          <w:lang w:val="en-GB"/>
        </w:rPr>
        <w:t xml:space="preserve">this is </w:t>
      </w:r>
      <w:r w:rsidR="00BF177D" w:rsidRPr="00C10ADA">
        <w:rPr>
          <w:sz w:val="24"/>
          <w:szCs w:val="24"/>
          <w:lang w:val="en-GB"/>
        </w:rPr>
        <w:t>Hamacher’s</w:t>
      </w:r>
      <w:r w:rsidRPr="00C10ADA">
        <w:rPr>
          <w:sz w:val="24"/>
          <w:szCs w:val="24"/>
          <w:lang w:val="en-GB"/>
        </w:rPr>
        <w:t xml:space="preserve"> first academic paper </w:t>
      </w:r>
      <w:r w:rsidR="009A1B3F" w:rsidRPr="00C10ADA">
        <w:rPr>
          <w:sz w:val="24"/>
          <w:szCs w:val="24"/>
          <w:lang w:val="en-GB"/>
        </w:rPr>
        <w:t>following the award of</w:t>
      </w:r>
      <w:r w:rsidRPr="00C10ADA">
        <w:rPr>
          <w:sz w:val="24"/>
          <w:szCs w:val="24"/>
          <w:lang w:val="en-GB"/>
        </w:rPr>
        <w:t xml:space="preserve"> his</w:t>
      </w:r>
      <w:r w:rsidR="002248FD" w:rsidRPr="00C10ADA">
        <w:rPr>
          <w:sz w:val="24"/>
          <w:szCs w:val="24"/>
          <w:lang w:val="en-GB"/>
        </w:rPr>
        <w:t xml:space="preserve"> aforementioned</w:t>
      </w:r>
      <w:r w:rsidRPr="00C10ADA">
        <w:rPr>
          <w:sz w:val="24"/>
          <w:szCs w:val="24"/>
          <w:lang w:val="en-GB"/>
        </w:rPr>
        <w:t xml:space="preserve"> PhD</w:t>
      </w:r>
      <w:r w:rsidR="002248FD" w:rsidRPr="00C10ADA">
        <w:rPr>
          <w:sz w:val="24"/>
          <w:szCs w:val="24"/>
          <w:lang w:val="en-GB"/>
        </w:rPr>
        <w:t>, entitled</w:t>
      </w:r>
      <w:r w:rsidRPr="00C10ADA">
        <w:rPr>
          <w:sz w:val="24"/>
          <w:szCs w:val="24"/>
          <w:lang w:val="en-GB"/>
        </w:rPr>
        <w:t xml:space="preserve"> </w:t>
      </w:r>
      <w:r w:rsidR="009A1B3F" w:rsidRPr="00C10ADA">
        <w:rPr>
          <w:sz w:val="24"/>
          <w:szCs w:val="24"/>
          <w:lang w:val="en-GB"/>
        </w:rPr>
        <w:t>“On the Astronomical Knowledge and Traditions of Aboriginal Australians</w:t>
      </w:r>
      <w:r w:rsidR="002248FD" w:rsidRPr="00C10ADA">
        <w:rPr>
          <w:sz w:val="24"/>
          <w:szCs w:val="24"/>
          <w:lang w:val="en-GB"/>
        </w:rPr>
        <w:t>”</w:t>
      </w:r>
      <w:r w:rsidR="00C10ADA">
        <w:rPr>
          <w:rStyle w:val="Appelnotedebasdep"/>
          <w:sz w:val="24"/>
          <w:szCs w:val="24"/>
          <w:lang w:val="en-GB"/>
        </w:rPr>
        <w:footnoteReference w:id="12"/>
      </w:r>
      <w:r w:rsidR="002248FD" w:rsidRPr="00C10ADA">
        <w:rPr>
          <w:sz w:val="24"/>
          <w:szCs w:val="24"/>
          <w:lang w:val="en-GB"/>
        </w:rPr>
        <w:t xml:space="preserve"> - </w:t>
      </w:r>
      <w:r w:rsidR="00BF177D" w:rsidRPr="00C10ADA">
        <w:rPr>
          <w:sz w:val="24"/>
          <w:szCs w:val="24"/>
          <w:lang w:val="en-GB"/>
        </w:rPr>
        <w:t xml:space="preserve">interestingly, his published thesis is not referenced </w:t>
      </w:r>
      <w:r w:rsidR="0086078C" w:rsidRPr="00C10ADA">
        <w:rPr>
          <w:sz w:val="24"/>
          <w:szCs w:val="24"/>
          <w:lang w:val="en-GB"/>
        </w:rPr>
        <w:t xml:space="preserve">in the Orientations paper </w:t>
      </w:r>
      <w:r w:rsidR="00BF177D" w:rsidRPr="00C10ADA">
        <w:rPr>
          <w:sz w:val="24"/>
          <w:szCs w:val="24"/>
          <w:lang w:val="en-GB"/>
        </w:rPr>
        <w:t xml:space="preserve">as an in-depth study of the nature of Aboriginal Astronomy. </w:t>
      </w:r>
      <w:r w:rsidR="00E84559" w:rsidRPr="00C10ADA">
        <w:rPr>
          <w:sz w:val="24"/>
          <w:szCs w:val="24"/>
          <w:lang w:val="en-GB"/>
        </w:rPr>
        <w:t xml:space="preserve">Additionally, </w:t>
      </w:r>
      <w:r w:rsidR="002248FD" w:rsidRPr="00C10ADA">
        <w:rPr>
          <w:sz w:val="24"/>
          <w:szCs w:val="24"/>
          <w:lang w:val="en-GB"/>
        </w:rPr>
        <w:t xml:space="preserve">Hamacher, Fuller and Norris have a plethora of background literature to base their expertise on and reference over 50 publications in the first sections of the paper </w:t>
      </w:r>
      <w:r w:rsidR="002248FD" w:rsidRPr="00AA02CF">
        <w:rPr>
          <w:i/>
          <w:iCs/>
          <w:sz w:val="24"/>
          <w:szCs w:val="24"/>
          <w:lang w:val="en-GB"/>
        </w:rPr>
        <w:t>Cardinal Directions in Aboriginal Languages</w:t>
      </w:r>
      <w:r w:rsidR="002248FD" w:rsidRPr="00C10ADA">
        <w:rPr>
          <w:sz w:val="24"/>
          <w:szCs w:val="24"/>
          <w:lang w:val="en-GB"/>
        </w:rPr>
        <w:t xml:space="preserve"> and </w:t>
      </w:r>
      <w:r w:rsidR="002248FD" w:rsidRPr="00AA02CF">
        <w:rPr>
          <w:i/>
          <w:iCs/>
          <w:sz w:val="24"/>
          <w:szCs w:val="24"/>
          <w:lang w:val="en-GB"/>
        </w:rPr>
        <w:t>Stone Arrangements</w:t>
      </w:r>
      <w:r w:rsidR="002248FD" w:rsidRPr="00C10ADA">
        <w:rPr>
          <w:sz w:val="24"/>
          <w:szCs w:val="24"/>
          <w:lang w:val="en-GB"/>
        </w:rPr>
        <w:t xml:space="preserve">, yet do not provide a definition of Aboriginal astronomy. </w:t>
      </w:r>
      <w:r w:rsidR="00FA21B7" w:rsidRPr="00C10ADA">
        <w:rPr>
          <w:sz w:val="24"/>
          <w:szCs w:val="24"/>
          <w:lang w:val="en-GB"/>
        </w:rPr>
        <w:t xml:space="preserve">This is </w:t>
      </w:r>
      <w:r w:rsidR="001210A6" w:rsidRPr="00C10ADA">
        <w:rPr>
          <w:sz w:val="24"/>
          <w:szCs w:val="24"/>
          <w:lang w:val="en-GB"/>
        </w:rPr>
        <w:t>similar to</w:t>
      </w:r>
      <w:r w:rsidR="00FA21B7" w:rsidRPr="00C10ADA">
        <w:rPr>
          <w:sz w:val="24"/>
          <w:szCs w:val="24"/>
          <w:lang w:val="en-GB"/>
        </w:rPr>
        <w:t xml:space="preserve"> Head</w:t>
      </w:r>
      <w:r w:rsidR="001210A6" w:rsidRPr="00C10ADA">
        <w:rPr>
          <w:sz w:val="24"/>
          <w:szCs w:val="24"/>
          <w:lang w:val="en-GB"/>
        </w:rPr>
        <w:t>,</w:t>
      </w:r>
      <w:r w:rsidR="00FA21B7" w:rsidRPr="00C10ADA">
        <w:rPr>
          <w:sz w:val="24"/>
          <w:szCs w:val="24"/>
          <w:lang w:val="en-GB"/>
        </w:rPr>
        <w:t xml:space="preserve"> who attempts to define Holst’s understanding of astrol</w:t>
      </w:r>
      <w:r w:rsidR="002248FD" w:rsidRPr="00C10ADA">
        <w:rPr>
          <w:sz w:val="24"/>
          <w:szCs w:val="24"/>
          <w:lang w:val="en-GB"/>
        </w:rPr>
        <w:t>o</w:t>
      </w:r>
      <w:r w:rsidR="00FA21B7" w:rsidRPr="00C10ADA">
        <w:rPr>
          <w:sz w:val="24"/>
          <w:szCs w:val="24"/>
          <w:lang w:val="en-GB"/>
        </w:rPr>
        <w:t>gy based on Alan Leo and his book “The Art of Synthesis”</w:t>
      </w:r>
      <w:r w:rsidR="001210A6" w:rsidRPr="00C10ADA">
        <w:rPr>
          <w:sz w:val="24"/>
          <w:szCs w:val="24"/>
          <w:lang w:val="en-GB"/>
        </w:rPr>
        <w:t>,</w:t>
      </w:r>
      <w:r w:rsidR="00FA21B7" w:rsidRPr="00C10ADA">
        <w:rPr>
          <w:sz w:val="24"/>
          <w:szCs w:val="24"/>
          <w:lang w:val="en-GB"/>
        </w:rPr>
        <w:t xml:space="preserve"> since Holst </w:t>
      </w:r>
      <w:r w:rsidR="00B16BE7" w:rsidRPr="00C10ADA">
        <w:rPr>
          <w:sz w:val="24"/>
          <w:szCs w:val="24"/>
          <w:lang w:val="en-GB"/>
        </w:rPr>
        <w:t xml:space="preserve">is known to have </w:t>
      </w:r>
      <w:r w:rsidR="00FA21B7" w:rsidRPr="00C10ADA">
        <w:rPr>
          <w:sz w:val="24"/>
          <w:szCs w:val="24"/>
          <w:lang w:val="en-GB"/>
        </w:rPr>
        <w:t>owned it</w:t>
      </w:r>
      <w:r w:rsidR="001210A6" w:rsidRPr="00C10ADA">
        <w:rPr>
          <w:sz w:val="24"/>
          <w:szCs w:val="24"/>
          <w:lang w:val="en-GB"/>
        </w:rPr>
        <w:t xml:space="preserve">, although there is no </w:t>
      </w:r>
      <w:r w:rsidR="00CA0B26" w:rsidRPr="00C10ADA">
        <w:rPr>
          <w:sz w:val="24"/>
          <w:szCs w:val="24"/>
          <w:lang w:val="en-GB"/>
        </w:rPr>
        <w:t xml:space="preserve">explicit </w:t>
      </w:r>
      <w:r w:rsidR="001210A6" w:rsidRPr="00C10ADA">
        <w:rPr>
          <w:sz w:val="24"/>
          <w:szCs w:val="24"/>
          <w:lang w:val="en-GB"/>
        </w:rPr>
        <w:t>statement as to the definition of astrology</w:t>
      </w:r>
      <w:r w:rsidR="002248FD" w:rsidRPr="00C10ADA">
        <w:rPr>
          <w:sz w:val="24"/>
          <w:szCs w:val="24"/>
          <w:lang w:val="en-GB"/>
        </w:rPr>
        <w:t xml:space="preserve"> either</w:t>
      </w:r>
      <w:r w:rsidR="00FA21B7" w:rsidRPr="00C10ADA">
        <w:rPr>
          <w:sz w:val="24"/>
          <w:szCs w:val="24"/>
          <w:lang w:val="en-GB"/>
        </w:rPr>
        <w:t>.</w:t>
      </w:r>
      <w:r w:rsidR="00846727" w:rsidRPr="00C10ADA">
        <w:rPr>
          <w:sz w:val="24"/>
          <w:szCs w:val="24"/>
          <w:lang w:val="en-GB"/>
        </w:rPr>
        <w:t xml:space="preserve"> </w:t>
      </w:r>
      <w:r w:rsidR="00DC54F6" w:rsidRPr="00C10ADA">
        <w:rPr>
          <w:sz w:val="24"/>
          <w:szCs w:val="24"/>
          <w:lang w:val="en-GB"/>
        </w:rPr>
        <w:t>So, Head’s expertise is predominantly in terms of music while Hamacher, Norris and Fuller form a multidisciplinary consortium of authors</w:t>
      </w:r>
      <w:r w:rsidR="00912260" w:rsidRPr="00C10ADA">
        <w:rPr>
          <w:sz w:val="24"/>
          <w:szCs w:val="24"/>
          <w:lang w:val="en-GB"/>
        </w:rPr>
        <w:t>,</w:t>
      </w:r>
      <w:r w:rsidR="00DC54F6" w:rsidRPr="00C10ADA">
        <w:rPr>
          <w:sz w:val="24"/>
          <w:szCs w:val="24"/>
          <w:lang w:val="en-GB"/>
        </w:rPr>
        <w:t xml:space="preserve"> yet </w:t>
      </w:r>
      <w:r w:rsidR="001B4144" w:rsidRPr="00C10ADA">
        <w:rPr>
          <w:sz w:val="24"/>
          <w:szCs w:val="24"/>
          <w:lang w:val="en-GB"/>
        </w:rPr>
        <w:t>in</w:t>
      </w:r>
      <w:r w:rsidR="00DC54F6" w:rsidRPr="00C10ADA">
        <w:rPr>
          <w:sz w:val="24"/>
          <w:szCs w:val="24"/>
          <w:lang w:val="en-GB"/>
        </w:rPr>
        <w:t xml:space="preserve"> both papers </w:t>
      </w:r>
      <w:r w:rsidR="001B4144" w:rsidRPr="00C10ADA">
        <w:rPr>
          <w:sz w:val="24"/>
          <w:szCs w:val="24"/>
          <w:lang w:val="en-GB"/>
        </w:rPr>
        <w:t>the authors chose to provide</w:t>
      </w:r>
      <w:r w:rsidR="00DC54F6" w:rsidRPr="00C10ADA">
        <w:rPr>
          <w:sz w:val="24"/>
          <w:szCs w:val="24"/>
          <w:lang w:val="en-GB"/>
        </w:rPr>
        <w:t xml:space="preserve"> no </w:t>
      </w:r>
      <w:r w:rsidR="00255D14" w:rsidRPr="00C10ADA">
        <w:rPr>
          <w:sz w:val="24"/>
          <w:szCs w:val="24"/>
          <w:lang w:val="en-GB"/>
        </w:rPr>
        <w:t xml:space="preserve">explanation </w:t>
      </w:r>
      <w:r w:rsidR="00DC54F6" w:rsidRPr="00C10ADA">
        <w:rPr>
          <w:sz w:val="24"/>
          <w:szCs w:val="24"/>
          <w:lang w:val="en-GB"/>
        </w:rPr>
        <w:t>of the key terms “astrology” and “aboriginal astronomy”</w:t>
      </w:r>
      <w:r w:rsidR="00912260" w:rsidRPr="00C10ADA">
        <w:rPr>
          <w:sz w:val="24"/>
          <w:szCs w:val="24"/>
          <w:lang w:val="en-GB"/>
        </w:rPr>
        <w:t>, even if these are fundamental</w:t>
      </w:r>
      <w:r w:rsidR="00032965" w:rsidRPr="00C10ADA">
        <w:rPr>
          <w:sz w:val="24"/>
          <w:szCs w:val="24"/>
          <w:lang w:val="en-GB"/>
        </w:rPr>
        <w:t xml:space="preserve"> </w:t>
      </w:r>
      <w:r w:rsidR="00CC3156" w:rsidRPr="00C10ADA">
        <w:rPr>
          <w:sz w:val="24"/>
          <w:szCs w:val="24"/>
          <w:lang w:val="en-GB"/>
        </w:rPr>
        <w:t xml:space="preserve">and essential </w:t>
      </w:r>
      <w:r w:rsidR="00032965" w:rsidRPr="00C10ADA">
        <w:rPr>
          <w:sz w:val="24"/>
          <w:szCs w:val="24"/>
          <w:lang w:val="en-GB"/>
        </w:rPr>
        <w:t>concepts</w:t>
      </w:r>
      <w:r w:rsidR="00912260" w:rsidRPr="00C10ADA">
        <w:rPr>
          <w:sz w:val="24"/>
          <w:szCs w:val="24"/>
          <w:lang w:val="en-GB"/>
        </w:rPr>
        <w:t xml:space="preserve"> to the topics of the </w:t>
      </w:r>
      <w:r w:rsidR="00FD2F83" w:rsidRPr="00C10ADA">
        <w:rPr>
          <w:sz w:val="24"/>
          <w:szCs w:val="24"/>
          <w:lang w:val="en-GB"/>
        </w:rPr>
        <w:t>corresponding</w:t>
      </w:r>
      <w:r w:rsidR="00912260" w:rsidRPr="00C10ADA">
        <w:rPr>
          <w:sz w:val="24"/>
          <w:szCs w:val="24"/>
          <w:lang w:val="en-GB"/>
        </w:rPr>
        <w:t xml:space="preserve"> papers</w:t>
      </w:r>
      <w:r w:rsidR="00DC54F6" w:rsidRPr="00C10ADA">
        <w:rPr>
          <w:sz w:val="24"/>
          <w:szCs w:val="24"/>
          <w:lang w:val="en-GB"/>
        </w:rPr>
        <w:t xml:space="preserve">. </w:t>
      </w:r>
    </w:p>
    <w:p w14:paraId="4FB0DB4D" w14:textId="77777777" w:rsidR="00C4213C" w:rsidRDefault="00DC571B" w:rsidP="00CE5DE9">
      <w:pPr>
        <w:spacing w:line="300" w:lineRule="auto"/>
        <w:ind w:firstLine="708"/>
        <w:jc w:val="both"/>
        <w:rPr>
          <w:sz w:val="24"/>
          <w:szCs w:val="24"/>
          <w:lang w:val="en-GB"/>
        </w:rPr>
      </w:pPr>
      <w:r w:rsidRPr="00C10ADA">
        <w:rPr>
          <w:sz w:val="24"/>
          <w:szCs w:val="24"/>
          <w:lang w:val="en-GB"/>
        </w:rPr>
        <w:t>Despite th</w:t>
      </w:r>
      <w:r w:rsidR="009600D5" w:rsidRPr="00C10ADA">
        <w:rPr>
          <w:sz w:val="24"/>
          <w:szCs w:val="24"/>
          <w:lang w:val="en-GB"/>
        </w:rPr>
        <w:t>e</w:t>
      </w:r>
      <w:r w:rsidRPr="00C10ADA">
        <w:rPr>
          <w:sz w:val="24"/>
          <w:szCs w:val="24"/>
          <w:lang w:val="en-GB"/>
        </w:rPr>
        <w:t xml:space="preserve"> </w:t>
      </w:r>
      <w:r w:rsidR="00DA3C9E" w:rsidRPr="00C10ADA">
        <w:rPr>
          <w:sz w:val="24"/>
          <w:szCs w:val="24"/>
          <w:lang w:val="en-GB"/>
        </w:rPr>
        <w:t xml:space="preserve">remaining </w:t>
      </w:r>
      <w:r w:rsidRPr="00C10ADA">
        <w:rPr>
          <w:sz w:val="24"/>
          <w:szCs w:val="24"/>
          <w:lang w:val="en-GB"/>
        </w:rPr>
        <w:t>ambiguity around the</w:t>
      </w:r>
      <w:r w:rsidR="009600D5" w:rsidRPr="00C10ADA">
        <w:rPr>
          <w:sz w:val="24"/>
          <w:szCs w:val="24"/>
          <w:lang w:val="en-GB"/>
        </w:rPr>
        <w:t>se central</w:t>
      </w:r>
      <w:r w:rsidRPr="00C10ADA">
        <w:rPr>
          <w:sz w:val="24"/>
          <w:szCs w:val="24"/>
          <w:lang w:val="en-GB"/>
        </w:rPr>
        <w:t xml:space="preserve"> </w:t>
      </w:r>
      <w:r w:rsidR="00032965" w:rsidRPr="00C10ADA">
        <w:rPr>
          <w:sz w:val="24"/>
          <w:szCs w:val="24"/>
          <w:lang w:val="en-GB"/>
        </w:rPr>
        <w:t>definitions</w:t>
      </w:r>
      <w:r w:rsidR="00DC54F6" w:rsidRPr="00C10ADA">
        <w:rPr>
          <w:sz w:val="24"/>
          <w:szCs w:val="24"/>
          <w:lang w:val="en-GB"/>
        </w:rPr>
        <w:t xml:space="preserve"> of</w:t>
      </w:r>
      <w:r w:rsidRPr="00C10ADA">
        <w:rPr>
          <w:sz w:val="24"/>
          <w:szCs w:val="24"/>
          <w:lang w:val="en-GB"/>
        </w:rPr>
        <w:t xml:space="preserve"> </w:t>
      </w:r>
      <w:r w:rsidR="009600D5" w:rsidRPr="00C10ADA">
        <w:rPr>
          <w:sz w:val="24"/>
          <w:szCs w:val="24"/>
          <w:lang w:val="en-GB"/>
        </w:rPr>
        <w:t>“</w:t>
      </w:r>
      <w:r w:rsidRPr="00C10ADA">
        <w:rPr>
          <w:sz w:val="24"/>
          <w:szCs w:val="24"/>
          <w:lang w:val="en-GB"/>
        </w:rPr>
        <w:t>astrology</w:t>
      </w:r>
      <w:r w:rsidR="009600D5" w:rsidRPr="00C10ADA">
        <w:rPr>
          <w:sz w:val="24"/>
          <w:szCs w:val="24"/>
          <w:lang w:val="en-GB"/>
        </w:rPr>
        <w:t>”</w:t>
      </w:r>
      <w:r w:rsidRPr="00C10ADA">
        <w:rPr>
          <w:sz w:val="24"/>
          <w:szCs w:val="24"/>
          <w:lang w:val="en-GB"/>
        </w:rPr>
        <w:t xml:space="preserve"> and indigenous or </w:t>
      </w:r>
      <w:r w:rsidR="009600D5" w:rsidRPr="00C10ADA">
        <w:rPr>
          <w:sz w:val="24"/>
          <w:szCs w:val="24"/>
          <w:lang w:val="en-GB"/>
        </w:rPr>
        <w:t>“</w:t>
      </w:r>
      <w:r w:rsidR="00BF177D" w:rsidRPr="00C10ADA">
        <w:rPr>
          <w:sz w:val="24"/>
          <w:szCs w:val="24"/>
          <w:lang w:val="en-GB"/>
        </w:rPr>
        <w:t>A</w:t>
      </w:r>
      <w:r w:rsidRPr="00C10ADA">
        <w:rPr>
          <w:sz w:val="24"/>
          <w:szCs w:val="24"/>
          <w:lang w:val="en-GB"/>
        </w:rPr>
        <w:t>boriginal astronomy</w:t>
      </w:r>
      <w:r w:rsidR="009600D5" w:rsidRPr="00C10ADA">
        <w:rPr>
          <w:sz w:val="24"/>
          <w:szCs w:val="24"/>
          <w:lang w:val="en-GB"/>
        </w:rPr>
        <w:t>”</w:t>
      </w:r>
      <w:r w:rsidR="008B5726" w:rsidRPr="00C10ADA">
        <w:rPr>
          <w:sz w:val="24"/>
          <w:szCs w:val="24"/>
          <w:lang w:val="en-GB"/>
        </w:rPr>
        <w:t xml:space="preserve">, </w:t>
      </w:r>
      <w:r w:rsidR="004B49EC" w:rsidRPr="00C10ADA">
        <w:rPr>
          <w:sz w:val="24"/>
          <w:szCs w:val="24"/>
          <w:lang w:val="en-GB"/>
        </w:rPr>
        <w:t xml:space="preserve">it is </w:t>
      </w:r>
      <w:r w:rsidR="000249EF" w:rsidRPr="00C10ADA">
        <w:rPr>
          <w:sz w:val="24"/>
          <w:szCs w:val="24"/>
          <w:lang w:val="en-GB"/>
        </w:rPr>
        <w:t xml:space="preserve">at least </w:t>
      </w:r>
      <w:r w:rsidR="004B49EC" w:rsidRPr="00C10ADA">
        <w:rPr>
          <w:sz w:val="24"/>
          <w:szCs w:val="24"/>
          <w:lang w:val="en-GB"/>
        </w:rPr>
        <w:t xml:space="preserve">possible to contrast </w:t>
      </w:r>
      <w:r w:rsidR="00893838" w:rsidRPr="00C10ADA">
        <w:rPr>
          <w:sz w:val="24"/>
          <w:szCs w:val="24"/>
          <w:lang w:val="en-GB"/>
        </w:rPr>
        <w:t xml:space="preserve">further </w:t>
      </w:r>
      <w:r w:rsidR="004B49EC" w:rsidRPr="00C10ADA">
        <w:rPr>
          <w:sz w:val="24"/>
          <w:szCs w:val="24"/>
          <w:lang w:val="en-GB"/>
        </w:rPr>
        <w:t>the methodologies used</w:t>
      </w:r>
      <w:r w:rsidR="000249EF" w:rsidRPr="00C10ADA">
        <w:rPr>
          <w:sz w:val="24"/>
          <w:szCs w:val="24"/>
          <w:lang w:val="en-GB"/>
        </w:rPr>
        <w:t xml:space="preserve"> in the two papers</w:t>
      </w:r>
      <w:r w:rsidR="004B49EC" w:rsidRPr="00C10ADA">
        <w:rPr>
          <w:sz w:val="24"/>
          <w:szCs w:val="24"/>
          <w:lang w:val="en-GB"/>
        </w:rPr>
        <w:t>.</w:t>
      </w:r>
      <w:r w:rsidR="00DA281D" w:rsidRPr="00C10ADA">
        <w:rPr>
          <w:sz w:val="24"/>
          <w:szCs w:val="24"/>
          <w:lang w:val="en-GB"/>
        </w:rPr>
        <w:t xml:space="preserve"> Considering the structure itself,</w:t>
      </w:r>
      <w:r w:rsidR="00CB391D" w:rsidRPr="00C10ADA">
        <w:rPr>
          <w:sz w:val="24"/>
          <w:szCs w:val="24"/>
          <w:lang w:val="en-GB"/>
        </w:rPr>
        <w:t xml:space="preserve"> the subheadings “Abstract”, “Introduction”, “Cardinal Directions in Aboriginal Language”, “Stone Arrangements”, “Methods”, “Results and Statistical Analysis”, and “Discussion” provide a very clear framework to the “Orientations of Linear Stone Arrangements” paper.</w:t>
      </w:r>
      <w:r w:rsidR="00DA281D" w:rsidRPr="00C10ADA">
        <w:rPr>
          <w:sz w:val="24"/>
          <w:szCs w:val="24"/>
          <w:lang w:val="en-GB"/>
        </w:rPr>
        <w:t xml:space="preserve"> </w:t>
      </w:r>
      <w:r w:rsidR="00CB391D" w:rsidRPr="00C10ADA">
        <w:rPr>
          <w:sz w:val="24"/>
          <w:szCs w:val="24"/>
          <w:lang w:val="en-GB"/>
        </w:rPr>
        <w:t>On the contrary, Head’s te</w:t>
      </w:r>
      <w:r w:rsidR="00CB391D" w:rsidRPr="00C10ADA">
        <w:rPr>
          <w:rFonts w:cstheme="minorHAnsi"/>
          <w:sz w:val="24"/>
          <w:szCs w:val="24"/>
          <w:lang w:val="en-GB"/>
        </w:rPr>
        <w:t>x</w:t>
      </w:r>
      <w:r w:rsidR="00CB391D" w:rsidRPr="00C10ADA">
        <w:rPr>
          <w:sz w:val="24"/>
          <w:szCs w:val="24"/>
          <w:lang w:val="en-GB"/>
        </w:rPr>
        <w:t>t flows from top to bottom, with the reader having to identify which section he finds himself in.</w:t>
      </w:r>
      <w:r w:rsidR="008D3575" w:rsidRPr="00C10ADA">
        <w:rPr>
          <w:sz w:val="24"/>
          <w:szCs w:val="24"/>
          <w:lang w:val="en-GB"/>
        </w:rPr>
        <w:t xml:space="preserve"> </w:t>
      </w:r>
      <w:r w:rsidR="00423680" w:rsidRPr="00C10ADA">
        <w:rPr>
          <w:sz w:val="24"/>
          <w:szCs w:val="24"/>
          <w:lang w:val="en-GB"/>
        </w:rPr>
        <w:t xml:space="preserve">This may be due to the evolution </w:t>
      </w:r>
      <w:r w:rsidR="00A66333" w:rsidRPr="00C10ADA">
        <w:rPr>
          <w:sz w:val="24"/>
          <w:szCs w:val="24"/>
          <w:lang w:val="en-GB"/>
        </w:rPr>
        <w:t xml:space="preserve">between 1993 and 2012 </w:t>
      </w:r>
      <w:r w:rsidR="00423680" w:rsidRPr="00C10ADA">
        <w:rPr>
          <w:sz w:val="24"/>
          <w:szCs w:val="24"/>
          <w:lang w:val="en-GB"/>
        </w:rPr>
        <w:t>of academia and</w:t>
      </w:r>
      <w:r w:rsidR="00A66333" w:rsidRPr="00C10ADA">
        <w:rPr>
          <w:sz w:val="24"/>
          <w:szCs w:val="24"/>
          <w:lang w:val="en-GB"/>
        </w:rPr>
        <w:t xml:space="preserve"> the way papers are</w:t>
      </w:r>
      <w:r w:rsidR="00423680" w:rsidRPr="00C10ADA">
        <w:rPr>
          <w:sz w:val="24"/>
          <w:szCs w:val="24"/>
          <w:lang w:val="en-GB"/>
        </w:rPr>
        <w:t xml:space="preserve"> publish</w:t>
      </w:r>
      <w:r w:rsidR="00A66333" w:rsidRPr="00C10ADA">
        <w:rPr>
          <w:sz w:val="24"/>
          <w:szCs w:val="24"/>
          <w:lang w:val="en-GB"/>
        </w:rPr>
        <w:t xml:space="preserve">ed in journals, </w:t>
      </w:r>
      <w:r w:rsidR="00423680" w:rsidRPr="00C10ADA">
        <w:rPr>
          <w:sz w:val="24"/>
          <w:szCs w:val="24"/>
          <w:lang w:val="en-GB"/>
        </w:rPr>
        <w:t xml:space="preserve">although such a discussion is beyond the scope of this essay. </w:t>
      </w:r>
    </w:p>
    <w:p w14:paraId="6DF6C259" w14:textId="70B77477" w:rsidR="00CE5DE9" w:rsidRDefault="00C4213C" w:rsidP="00C4213C">
      <w:pPr>
        <w:spacing w:line="300" w:lineRule="auto"/>
        <w:jc w:val="both"/>
        <w:rPr>
          <w:sz w:val="24"/>
          <w:szCs w:val="24"/>
          <w:lang w:val="en-GB"/>
        </w:rPr>
      </w:pPr>
      <w:r>
        <w:rPr>
          <w:sz w:val="24"/>
          <w:szCs w:val="24"/>
          <w:lang w:val="en-GB"/>
        </w:rPr>
        <w:br/>
      </w:r>
      <w:r>
        <w:rPr>
          <w:sz w:val="24"/>
          <w:szCs w:val="24"/>
          <w:lang w:val="en-GB"/>
        </w:rPr>
        <w:br/>
      </w:r>
      <w:r w:rsidR="00130D2E" w:rsidRPr="00C10ADA">
        <w:rPr>
          <w:sz w:val="24"/>
          <w:szCs w:val="24"/>
          <w:lang w:val="en-GB"/>
        </w:rPr>
        <w:t xml:space="preserve">Anyway, </w:t>
      </w:r>
      <w:r w:rsidR="00DA281D" w:rsidRPr="00C10ADA">
        <w:rPr>
          <w:sz w:val="24"/>
          <w:szCs w:val="24"/>
          <w:lang w:val="en-GB"/>
        </w:rPr>
        <w:t>both</w:t>
      </w:r>
      <w:r w:rsidR="00130D2E" w:rsidRPr="00C10ADA">
        <w:rPr>
          <w:sz w:val="24"/>
          <w:szCs w:val="24"/>
          <w:lang w:val="en-GB"/>
        </w:rPr>
        <w:t xml:space="preserve"> sets of authors</w:t>
      </w:r>
      <w:r w:rsidR="00DA281D" w:rsidRPr="00C10ADA">
        <w:rPr>
          <w:sz w:val="24"/>
          <w:szCs w:val="24"/>
          <w:lang w:val="en-GB"/>
        </w:rPr>
        <w:t xml:space="preserve"> start by providing background knowledge. As previously mentioned there is more literature available on Indigenous language and stone arrangements that the reader can access, thus Head’s provision of a much less-known context is much longer than Hamacher et </w:t>
      </w:r>
      <w:proofErr w:type="spellStart"/>
      <w:r w:rsidR="00DA281D" w:rsidRPr="00C10ADA">
        <w:rPr>
          <w:sz w:val="24"/>
          <w:szCs w:val="24"/>
          <w:lang w:val="en-GB"/>
        </w:rPr>
        <w:t>al’s</w:t>
      </w:r>
      <w:proofErr w:type="spellEnd"/>
      <w:r w:rsidR="00DA281D" w:rsidRPr="00C10ADA">
        <w:rPr>
          <w:sz w:val="24"/>
          <w:szCs w:val="24"/>
          <w:lang w:val="en-GB"/>
        </w:rPr>
        <w:t>.</w:t>
      </w:r>
      <w:r w:rsidR="00130D2E" w:rsidRPr="00C10ADA">
        <w:rPr>
          <w:sz w:val="24"/>
          <w:szCs w:val="24"/>
          <w:lang w:val="en-GB"/>
        </w:rPr>
        <w:t xml:space="preserve"> Then, w</w:t>
      </w:r>
      <w:r w:rsidR="004B49EC" w:rsidRPr="00C10ADA">
        <w:rPr>
          <w:sz w:val="24"/>
          <w:szCs w:val="24"/>
          <w:lang w:val="en-GB"/>
        </w:rPr>
        <w:t xml:space="preserve">hile </w:t>
      </w:r>
      <w:r w:rsidR="008B5726" w:rsidRPr="00C10ADA">
        <w:rPr>
          <w:sz w:val="24"/>
          <w:szCs w:val="24"/>
          <w:lang w:val="en-GB"/>
        </w:rPr>
        <w:t xml:space="preserve">in </w:t>
      </w:r>
      <w:r w:rsidR="009600D5" w:rsidRPr="00C10ADA">
        <w:rPr>
          <w:sz w:val="24"/>
          <w:szCs w:val="24"/>
          <w:lang w:val="en-GB"/>
        </w:rPr>
        <w:t>both cases</w:t>
      </w:r>
      <w:r w:rsidR="004B49EC" w:rsidRPr="00C10ADA">
        <w:rPr>
          <w:sz w:val="24"/>
          <w:szCs w:val="24"/>
          <w:lang w:val="en-GB"/>
        </w:rPr>
        <w:t>,</w:t>
      </w:r>
      <w:r w:rsidR="008B5726" w:rsidRPr="00C10ADA">
        <w:rPr>
          <w:sz w:val="24"/>
          <w:szCs w:val="24"/>
          <w:lang w:val="en-GB"/>
        </w:rPr>
        <w:t xml:space="preserve"> the author</w:t>
      </w:r>
      <w:r w:rsidR="004B49EC" w:rsidRPr="00C10ADA">
        <w:rPr>
          <w:sz w:val="24"/>
          <w:szCs w:val="24"/>
          <w:lang w:val="en-GB"/>
        </w:rPr>
        <w:t>s</w:t>
      </w:r>
      <w:r w:rsidR="009600D5" w:rsidRPr="00C10ADA">
        <w:rPr>
          <w:sz w:val="24"/>
          <w:szCs w:val="24"/>
          <w:lang w:val="en-GB"/>
        </w:rPr>
        <w:t xml:space="preserve"> aim to uncover their primary sources’ authors’ intentions</w:t>
      </w:r>
      <w:r w:rsidR="004B49EC" w:rsidRPr="00C10ADA">
        <w:rPr>
          <w:sz w:val="24"/>
          <w:szCs w:val="24"/>
          <w:lang w:val="en-GB"/>
        </w:rPr>
        <w:t xml:space="preserve">, </w:t>
      </w:r>
      <w:r w:rsidR="00F85807" w:rsidRPr="00C10ADA">
        <w:rPr>
          <w:sz w:val="24"/>
          <w:szCs w:val="24"/>
          <w:lang w:val="en-GB"/>
        </w:rPr>
        <w:t>Hamacher</w:t>
      </w:r>
      <w:r w:rsidR="00AA4863" w:rsidRPr="00C10ADA">
        <w:rPr>
          <w:sz w:val="24"/>
          <w:szCs w:val="24"/>
          <w:lang w:val="en-GB"/>
        </w:rPr>
        <w:t>, Fuller</w:t>
      </w:r>
      <w:r w:rsidR="00130D2E" w:rsidRPr="00C10ADA">
        <w:rPr>
          <w:sz w:val="24"/>
          <w:szCs w:val="24"/>
          <w:lang w:val="en-GB"/>
        </w:rPr>
        <w:t xml:space="preserve"> and</w:t>
      </w:r>
      <w:r w:rsidR="00AA4863" w:rsidRPr="00C10ADA">
        <w:rPr>
          <w:sz w:val="24"/>
          <w:szCs w:val="24"/>
          <w:lang w:val="en-GB"/>
        </w:rPr>
        <w:t xml:space="preserve"> Norris</w:t>
      </w:r>
      <w:r w:rsidR="00423680" w:rsidRPr="00C10ADA">
        <w:rPr>
          <w:sz w:val="24"/>
          <w:szCs w:val="24"/>
          <w:lang w:val="en-GB"/>
        </w:rPr>
        <w:t xml:space="preserve"> </w:t>
      </w:r>
      <w:r w:rsidR="00B16BE7" w:rsidRPr="00C10ADA">
        <w:rPr>
          <w:sz w:val="24"/>
          <w:szCs w:val="24"/>
          <w:lang w:val="en-GB"/>
        </w:rPr>
        <w:t>need to establish</w:t>
      </w:r>
      <w:r w:rsidR="00F85807" w:rsidRPr="00C10ADA">
        <w:rPr>
          <w:sz w:val="24"/>
          <w:szCs w:val="24"/>
          <w:lang w:val="en-GB"/>
        </w:rPr>
        <w:t xml:space="preserve"> whether</w:t>
      </w:r>
      <w:r w:rsidR="00B16BE7" w:rsidRPr="00C10ADA">
        <w:rPr>
          <w:sz w:val="24"/>
          <w:szCs w:val="24"/>
          <w:lang w:val="en-GB"/>
        </w:rPr>
        <w:t xml:space="preserve"> and how</w:t>
      </w:r>
      <w:r w:rsidR="00F85807" w:rsidRPr="00C10ADA">
        <w:rPr>
          <w:sz w:val="24"/>
          <w:szCs w:val="24"/>
          <w:lang w:val="en-GB"/>
        </w:rPr>
        <w:t xml:space="preserve"> Australian Aboriginals have </w:t>
      </w:r>
      <w:r w:rsidR="008A7BC6" w:rsidRPr="00C10ADA">
        <w:rPr>
          <w:sz w:val="24"/>
          <w:szCs w:val="24"/>
          <w:lang w:val="en-GB"/>
        </w:rPr>
        <w:t>practice</w:t>
      </w:r>
      <w:r w:rsidR="008C23B8" w:rsidRPr="00C10ADA">
        <w:rPr>
          <w:sz w:val="24"/>
          <w:szCs w:val="24"/>
          <w:lang w:val="en-GB"/>
        </w:rPr>
        <w:t>d</w:t>
      </w:r>
      <w:r w:rsidR="008A7BC6" w:rsidRPr="00C10ADA">
        <w:rPr>
          <w:sz w:val="24"/>
          <w:szCs w:val="24"/>
          <w:lang w:val="en-GB"/>
        </w:rPr>
        <w:t xml:space="preserve"> </w:t>
      </w:r>
      <w:r w:rsidR="00F85807" w:rsidRPr="00C10ADA">
        <w:rPr>
          <w:sz w:val="24"/>
          <w:szCs w:val="24"/>
          <w:lang w:val="en-GB"/>
        </w:rPr>
        <w:t>align</w:t>
      </w:r>
      <w:r w:rsidR="008A7BC6" w:rsidRPr="00C10ADA">
        <w:rPr>
          <w:sz w:val="24"/>
          <w:szCs w:val="24"/>
          <w:lang w:val="en-GB"/>
        </w:rPr>
        <w:t>ing</w:t>
      </w:r>
      <w:r w:rsidR="00F85807" w:rsidRPr="00C10ADA">
        <w:rPr>
          <w:sz w:val="24"/>
          <w:szCs w:val="24"/>
          <w:lang w:val="en-GB"/>
        </w:rPr>
        <w:t xml:space="preserve"> stone arrangements to cardinal directions</w:t>
      </w:r>
      <w:r w:rsidR="00423680" w:rsidRPr="00C10ADA">
        <w:rPr>
          <w:sz w:val="24"/>
          <w:szCs w:val="24"/>
          <w:lang w:val="en-GB"/>
        </w:rPr>
        <w:t xml:space="preserve"> in the first place, before addressing the purpose of such alignments</w:t>
      </w:r>
      <w:r w:rsidR="00F85807" w:rsidRPr="00C10ADA">
        <w:rPr>
          <w:sz w:val="24"/>
          <w:szCs w:val="24"/>
          <w:lang w:val="en-GB"/>
        </w:rPr>
        <w:t xml:space="preserve">. </w:t>
      </w:r>
      <w:r w:rsidR="004B49EC" w:rsidRPr="00C10ADA">
        <w:rPr>
          <w:sz w:val="24"/>
          <w:szCs w:val="24"/>
          <w:lang w:val="en-GB"/>
        </w:rPr>
        <w:t xml:space="preserve">For Head, the question is </w:t>
      </w:r>
      <w:r w:rsidR="00B37AE2" w:rsidRPr="00C10ADA">
        <w:rPr>
          <w:sz w:val="24"/>
          <w:szCs w:val="24"/>
          <w:lang w:val="en-GB"/>
        </w:rPr>
        <w:t xml:space="preserve">more straightforwardly examining why Holst composed </w:t>
      </w:r>
      <w:r w:rsidR="00B37AE2" w:rsidRPr="00C10ADA">
        <w:rPr>
          <w:i/>
          <w:iCs/>
          <w:sz w:val="24"/>
          <w:szCs w:val="24"/>
          <w:lang w:val="en-GB"/>
        </w:rPr>
        <w:t>The Planets</w:t>
      </w:r>
      <w:r w:rsidR="00B37AE2" w:rsidRPr="00C10ADA">
        <w:rPr>
          <w:sz w:val="24"/>
          <w:szCs w:val="24"/>
          <w:lang w:val="en-GB"/>
        </w:rPr>
        <w:t xml:space="preserve">, </w:t>
      </w:r>
      <w:r w:rsidR="000C7643" w:rsidRPr="00C10ADA">
        <w:rPr>
          <w:sz w:val="24"/>
          <w:szCs w:val="24"/>
          <w:lang w:val="en-GB"/>
        </w:rPr>
        <w:t xml:space="preserve">or as he puts it </w:t>
      </w:r>
      <w:r w:rsidR="004B49EC" w:rsidRPr="00C10ADA">
        <w:rPr>
          <w:sz w:val="24"/>
          <w:szCs w:val="24"/>
          <w:lang w:val="en-GB"/>
        </w:rPr>
        <w:t xml:space="preserve">“how [the particular interest Holst had in astrology] resulted in the striking modernism of </w:t>
      </w:r>
      <w:r w:rsidR="004B49EC" w:rsidRPr="00C10ADA">
        <w:rPr>
          <w:i/>
          <w:iCs/>
          <w:sz w:val="24"/>
          <w:szCs w:val="24"/>
          <w:lang w:val="en-GB"/>
        </w:rPr>
        <w:t>The Planets</w:t>
      </w:r>
      <w:r w:rsidR="004B49EC" w:rsidRPr="00C10ADA">
        <w:rPr>
          <w:sz w:val="24"/>
          <w:szCs w:val="24"/>
          <w:lang w:val="en-GB"/>
        </w:rPr>
        <w:t>”</w:t>
      </w:r>
      <w:r w:rsidR="00B80DD4">
        <w:rPr>
          <w:rStyle w:val="Appelnotedebasdep"/>
          <w:sz w:val="24"/>
          <w:szCs w:val="24"/>
          <w:lang w:val="en-GB"/>
        </w:rPr>
        <w:footnoteReference w:id="13"/>
      </w:r>
      <w:r w:rsidR="004B49EC" w:rsidRPr="00C10ADA">
        <w:rPr>
          <w:i/>
          <w:iCs/>
          <w:sz w:val="24"/>
          <w:szCs w:val="24"/>
          <w:lang w:val="en-GB"/>
        </w:rPr>
        <w:t>.</w:t>
      </w:r>
      <w:r w:rsidR="004B49EC" w:rsidRPr="00C10ADA">
        <w:rPr>
          <w:sz w:val="24"/>
          <w:szCs w:val="24"/>
          <w:lang w:val="en-GB"/>
        </w:rPr>
        <w:t xml:space="preserve"> </w:t>
      </w:r>
      <w:r w:rsidR="00B37AE2" w:rsidRPr="00C10ADA">
        <w:rPr>
          <w:sz w:val="24"/>
          <w:szCs w:val="24"/>
          <w:lang w:val="en-GB"/>
        </w:rPr>
        <w:t>Following on from that, i</w:t>
      </w:r>
      <w:r w:rsidR="00B97CD8" w:rsidRPr="00C10ADA">
        <w:rPr>
          <w:sz w:val="24"/>
          <w:szCs w:val="24"/>
          <w:lang w:val="en-GB"/>
        </w:rPr>
        <w:t xml:space="preserve">t can be seen that </w:t>
      </w:r>
      <w:r w:rsidR="00F85807" w:rsidRPr="00C10ADA">
        <w:rPr>
          <w:sz w:val="24"/>
          <w:szCs w:val="24"/>
          <w:lang w:val="en-GB"/>
        </w:rPr>
        <w:t xml:space="preserve">Head has a thesis that he defends, namely, that Holst was heavily influenced while composing </w:t>
      </w:r>
      <w:r w:rsidR="00F85807" w:rsidRPr="00C10ADA">
        <w:rPr>
          <w:i/>
          <w:iCs/>
          <w:sz w:val="24"/>
          <w:szCs w:val="24"/>
          <w:lang w:val="en-GB"/>
        </w:rPr>
        <w:t xml:space="preserve">The Planets </w:t>
      </w:r>
      <w:r w:rsidR="00F85807" w:rsidRPr="00C10ADA">
        <w:rPr>
          <w:sz w:val="24"/>
          <w:szCs w:val="24"/>
          <w:lang w:val="en-GB"/>
        </w:rPr>
        <w:t xml:space="preserve">by his understanding of astrology and friendships, </w:t>
      </w:r>
      <w:r w:rsidR="00B37AE2" w:rsidRPr="00C10ADA">
        <w:rPr>
          <w:sz w:val="24"/>
          <w:szCs w:val="24"/>
          <w:lang w:val="en-GB"/>
        </w:rPr>
        <w:t>especially</w:t>
      </w:r>
      <w:r w:rsidR="00F85807" w:rsidRPr="00C10ADA">
        <w:rPr>
          <w:sz w:val="24"/>
          <w:szCs w:val="24"/>
          <w:lang w:val="en-GB"/>
        </w:rPr>
        <w:t xml:space="preserve"> through Leo. On the other hand, Hamacher et al. have a hypothesis that they seek to</w:t>
      </w:r>
      <w:r w:rsidR="00B97CD8" w:rsidRPr="00C10ADA">
        <w:rPr>
          <w:sz w:val="24"/>
          <w:szCs w:val="24"/>
          <w:lang w:val="en-GB"/>
        </w:rPr>
        <w:t xml:space="preserve"> put to the</w:t>
      </w:r>
      <w:r w:rsidR="00F85807" w:rsidRPr="00C10ADA">
        <w:rPr>
          <w:sz w:val="24"/>
          <w:szCs w:val="24"/>
          <w:lang w:val="en-GB"/>
        </w:rPr>
        <w:t xml:space="preserve"> test: that linear stone arrangements in New South Wales are indeed aligned, and</w:t>
      </w:r>
      <w:r w:rsidR="000249EF" w:rsidRPr="00C10ADA">
        <w:rPr>
          <w:sz w:val="24"/>
          <w:szCs w:val="24"/>
          <w:lang w:val="en-GB"/>
        </w:rPr>
        <w:t xml:space="preserve"> only</w:t>
      </w:r>
      <w:r w:rsidR="00F85807" w:rsidRPr="00C10ADA">
        <w:rPr>
          <w:sz w:val="24"/>
          <w:szCs w:val="24"/>
          <w:lang w:val="en-GB"/>
        </w:rPr>
        <w:t xml:space="preserve"> the</w:t>
      </w:r>
      <w:r w:rsidR="000249EF" w:rsidRPr="00C10ADA">
        <w:rPr>
          <w:sz w:val="24"/>
          <w:szCs w:val="24"/>
          <w:lang w:val="en-GB"/>
        </w:rPr>
        <w:t>n offer</w:t>
      </w:r>
      <w:r w:rsidR="00F85807" w:rsidRPr="00C10ADA">
        <w:rPr>
          <w:sz w:val="24"/>
          <w:szCs w:val="24"/>
          <w:lang w:val="en-GB"/>
        </w:rPr>
        <w:t xml:space="preserve"> possible explanations for such deliberate positionings of stones. The fact that one paper starts with a thesis and the other with a hypothesis is </w:t>
      </w:r>
      <w:r w:rsidR="003F6B3C" w:rsidRPr="00C10ADA">
        <w:rPr>
          <w:sz w:val="24"/>
          <w:szCs w:val="24"/>
          <w:lang w:val="en-GB"/>
        </w:rPr>
        <w:t>then echoed</w:t>
      </w:r>
      <w:r w:rsidR="00F85807" w:rsidRPr="00C10ADA">
        <w:rPr>
          <w:sz w:val="24"/>
          <w:szCs w:val="24"/>
          <w:lang w:val="en-GB"/>
        </w:rPr>
        <w:t xml:space="preserve"> in the authors’ conclusions: Head makes the statement that “Holst found he had created his first truly personal, modern work”</w:t>
      </w:r>
      <w:r w:rsidR="00B80DD4">
        <w:rPr>
          <w:rStyle w:val="Appelnotedebasdep"/>
          <w:sz w:val="24"/>
          <w:szCs w:val="24"/>
          <w:lang w:val="en-GB"/>
        </w:rPr>
        <w:footnoteReference w:id="14"/>
      </w:r>
      <w:r w:rsidR="00F85807" w:rsidRPr="00C10ADA">
        <w:rPr>
          <w:sz w:val="24"/>
          <w:szCs w:val="24"/>
          <w:lang w:val="en-GB"/>
        </w:rPr>
        <w:t>, while Hamacher et al. are much more nuanced when they say that “we cannot currently say with any certainty why these structures were oriented to the cardinal directions”</w:t>
      </w:r>
      <w:r w:rsidR="00B80DD4">
        <w:rPr>
          <w:rStyle w:val="Appelnotedebasdep"/>
          <w:sz w:val="24"/>
          <w:szCs w:val="24"/>
          <w:lang w:val="en-GB"/>
        </w:rPr>
        <w:footnoteReference w:id="15"/>
      </w:r>
      <w:r w:rsidR="00F85807" w:rsidRPr="00C10ADA">
        <w:rPr>
          <w:sz w:val="24"/>
          <w:szCs w:val="24"/>
          <w:lang w:val="en-GB"/>
        </w:rPr>
        <w:t>.</w:t>
      </w:r>
      <w:r w:rsidR="008F6377" w:rsidRPr="00C10ADA">
        <w:rPr>
          <w:sz w:val="24"/>
          <w:szCs w:val="24"/>
          <w:lang w:val="en-GB"/>
        </w:rPr>
        <w:t xml:space="preserve"> </w:t>
      </w:r>
      <w:r w:rsidR="00F85807" w:rsidRPr="00C10ADA">
        <w:rPr>
          <w:sz w:val="24"/>
          <w:szCs w:val="24"/>
          <w:lang w:val="en-GB"/>
        </w:rPr>
        <w:t xml:space="preserve">This </w:t>
      </w:r>
      <w:r w:rsidR="004B49EC" w:rsidRPr="00C10ADA">
        <w:rPr>
          <w:sz w:val="24"/>
          <w:szCs w:val="24"/>
          <w:lang w:val="en-GB"/>
        </w:rPr>
        <w:t xml:space="preserve">difference in approach </w:t>
      </w:r>
      <w:r w:rsidR="00F85807" w:rsidRPr="00C10ADA">
        <w:rPr>
          <w:sz w:val="24"/>
          <w:szCs w:val="24"/>
          <w:lang w:val="en-GB"/>
        </w:rPr>
        <w:t>can</w:t>
      </w:r>
      <w:r w:rsidR="00AD6DF9" w:rsidRPr="00C10ADA">
        <w:rPr>
          <w:sz w:val="24"/>
          <w:szCs w:val="24"/>
          <w:lang w:val="en-GB"/>
        </w:rPr>
        <w:t xml:space="preserve"> </w:t>
      </w:r>
      <w:r w:rsidR="00F85807" w:rsidRPr="00C10ADA">
        <w:rPr>
          <w:sz w:val="24"/>
          <w:szCs w:val="24"/>
          <w:lang w:val="en-GB"/>
        </w:rPr>
        <w:t xml:space="preserve">be understood </w:t>
      </w:r>
      <w:r w:rsidR="008F6377" w:rsidRPr="00C10ADA">
        <w:rPr>
          <w:sz w:val="24"/>
          <w:szCs w:val="24"/>
          <w:lang w:val="en-GB"/>
        </w:rPr>
        <w:t xml:space="preserve">further </w:t>
      </w:r>
      <w:r w:rsidR="00F85807" w:rsidRPr="00C10ADA">
        <w:rPr>
          <w:sz w:val="24"/>
          <w:szCs w:val="24"/>
          <w:lang w:val="en-GB"/>
        </w:rPr>
        <w:t xml:space="preserve">from the </w:t>
      </w:r>
      <w:r w:rsidR="00AD6DF9" w:rsidRPr="00C10ADA">
        <w:rPr>
          <w:sz w:val="24"/>
          <w:szCs w:val="24"/>
          <w:lang w:val="en-GB"/>
        </w:rPr>
        <w:t>nature of their respective primary source.</w:t>
      </w:r>
      <w:r w:rsidR="00F85807" w:rsidRPr="00C10ADA">
        <w:rPr>
          <w:sz w:val="24"/>
          <w:szCs w:val="24"/>
          <w:lang w:val="en-GB"/>
        </w:rPr>
        <w:t xml:space="preserve"> </w:t>
      </w:r>
      <w:r w:rsidR="00F85807" w:rsidRPr="00C10ADA">
        <w:rPr>
          <w:i/>
          <w:iCs/>
          <w:sz w:val="24"/>
          <w:szCs w:val="24"/>
          <w:lang w:val="en-GB"/>
        </w:rPr>
        <w:t xml:space="preserve">The Planets </w:t>
      </w:r>
      <w:r w:rsidR="00F85807" w:rsidRPr="00C10ADA">
        <w:rPr>
          <w:sz w:val="24"/>
          <w:szCs w:val="24"/>
          <w:lang w:val="en-GB"/>
        </w:rPr>
        <w:t>has a well-established author and date</w:t>
      </w:r>
      <w:r w:rsidR="00AD6DF9" w:rsidRPr="00C10ADA">
        <w:rPr>
          <w:sz w:val="24"/>
          <w:szCs w:val="24"/>
          <w:lang w:val="en-GB"/>
        </w:rPr>
        <w:t xml:space="preserve"> – it was composed by Gustav</w:t>
      </w:r>
      <w:r w:rsidR="00F85807" w:rsidRPr="00C10ADA">
        <w:rPr>
          <w:sz w:val="24"/>
          <w:szCs w:val="24"/>
          <w:lang w:val="en-GB"/>
        </w:rPr>
        <w:t xml:space="preserve"> Holst between 1914</w:t>
      </w:r>
      <w:r w:rsidR="00AD6DF9" w:rsidRPr="00C10ADA">
        <w:rPr>
          <w:sz w:val="24"/>
          <w:szCs w:val="24"/>
          <w:lang w:val="en-GB"/>
        </w:rPr>
        <w:t xml:space="preserve"> and </w:t>
      </w:r>
      <w:r w:rsidR="00F85807" w:rsidRPr="00C10ADA">
        <w:rPr>
          <w:sz w:val="24"/>
          <w:szCs w:val="24"/>
          <w:lang w:val="en-GB"/>
        </w:rPr>
        <w:t>1916. However,</w:t>
      </w:r>
      <w:r w:rsidR="00ED4256" w:rsidRPr="00C10ADA">
        <w:rPr>
          <w:sz w:val="24"/>
          <w:szCs w:val="24"/>
          <w:lang w:val="en-GB"/>
        </w:rPr>
        <w:t xml:space="preserve"> </w:t>
      </w:r>
      <w:r w:rsidR="00F85807" w:rsidRPr="00C10ADA">
        <w:rPr>
          <w:sz w:val="24"/>
          <w:szCs w:val="24"/>
          <w:lang w:val="en-GB"/>
        </w:rPr>
        <w:t>the linear stone arrangements are much harder to date</w:t>
      </w:r>
      <w:r w:rsidR="00412FE9" w:rsidRPr="00C10ADA">
        <w:rPr>
          <w:sz w:val="24"/>
          <w:szCs w:val="24"/>
          <w:lang w:val="en-GB"/>
        </w:rPr>
        <w:t>, though they are estimated to “be in the order of hundreds of years old”</w:t>
      </w:r>
      <w:r w:rsidR="00B80DD4">
        <w:rPr>
          <w:rStyle w:val="Appelnotedebasdep"/>
          <w:sz w:val="24"/>
          <w:szCs w:val="24"/>
          <w:lang w:val="en-GB"/>
        </w:rPr>
        <w:footnoteReference w:id="16"/>
      </w:r>
      <w:r w:rsidR="00412FE9" w:rsidRPr="00C10ADA">
        <w:rPr>
          <w:sz w:val="24"/>
          <w:szCs w:val="24"/>
          <w:lang w:val="en-GB"/>
        </w:rPr>
        <w:t xml:space="preserve">,  </w:t>
      </w:r>
      <w:r w:rsidR="00F85807" w:rsidRPr="00C10ADA">
        <w:rPr>
          <w:sz w:val="24"/>
          <w:szCs w:val="24"/>
          <w:lang w:val="en-GB"/>
        </w:rPr>
        <w:t>and there is contention as to who built them</w:t>
      </w:r>
      <w:r w:rsidR="00AD6DF9" w:rsidRPr="00C10ADA">
        <w:rPr>
          <w:sz w:val="24"/>
          <w:szCs w:val="24"/>
          <w:lang w:val="en-GB"/>
        </w:rPr>
        <w:t>. S</w:t>
      </w:r>
      <w:r w:rsidR="00F85807" w:rsidRPr="00C10ADA">
        <w:rPr>
          <w:sz w:val="24"/>
          <w:szCs w:val="24"/>
          <w:lang w:val="en-GB"/>
        </w:rPr>
        <w:t xml:space="preserve">ome arrangements </w:t>
      </w:r>
      <w:r w:rsidR="00AD6DF9" w:rsidRPr="00C10ADA">
        <w:rPr>
          <w:sz w:val="24"/>
          <w:szCs w:val="24"/>
          <w:lang w:val="en-GB"/>
        </w:rPr>
        <w:t>we</w:t>
      </w:r>
      <w:r w:rsidR="00F85807" w:rsidRPr="00C10ADA">
        <w:rPr>
          <w:sz w:val="24"/>
          <w:szCs w:val="24"/>
          <w:lang w:val="en-GB"/>
        </w:rPr>
        <w:t>re reclassified as European survey lockspits</w:t>
      </w:r>
      <w:r w:rsidR="00AD6DF9" w:rsidRPr="00C10ADA">
        <w:rPr>
          <w:sz w:val="24"/>
          <w:szCs w:val="24"/>
          <w:lang w:val="en-GB"/>
        </w:rPr>
        <w:t xml:space="preserve">; in fact, this </w:t>
      </w:r>
      <w:r w:rsidR="006745A5" w:rsidRPr="00C10ADA">
        <w:rPr>
          <w:sz w:val="24"/>
          <w:szCs w:val="24"/>
          <w:lang w:val="en-GB"/>
        </w:rPr>
        <w:t>re</w:t>
      </w:r>
      <w:r w:rsidR="00AD6DF9" w:rsidRPr="00C10ADA">
        <w:rPr>
          <w:sz w:val="24"/>
          <w:szCs w:val="24"/>
          <w:lang w:val="en-GB"/>
        </w:rPr>
        <w:t>categorization</w:t>
      </w:r>
      <w:r w:rsidR="006745A5" w:rsidRPr="00C10ADA">
        <w:rPr>
          <w:sz w:val="24"/>
          <w:szCs w:val="24"/>
          <w:lang w:val="en-GB"/>
        </w:rPr>
        <w:t xml:space="preserve"> </w:t>
      </w:r>
      <w:r w:rsidR="00AD6DF9" w:rsidRPr="00C10ADA">
        <w:rPr>
          <w:sz w:val="24"/>
          <w:szCs w:val="24"/>
          <w:lang w:val="en-GB"/>
        </w:rPr>
        <w:t xml:space="preserve">is still </w:t>
      </w:r>
      <w:r w:rsidR="006745A5" w:rsidRPr="00C10ADA">
        <w:rPr>
          <w:sz w:val="24"/>
          <w:szCs w:val="24"/>
          <w:lang w:val="en-GB"/>
        </w:rPr>
        <w:t>ongo</w:t>
      </w:r>
      <w:r w:rsidR="00AD6DF9" w:rsidRPr="00C10ADA">
        <w:rPr>
          <w:sz w:val="24"/>
          <w:szCs w:val="24"/>
          <w:lang w:val="en-GB"/>
        </w:rPr>
        <w:t>ing after the publication of Hamacher et al.’s paper</w:t>
      </w:r>
      <w:r w:rsidR="00B80DD4">
        <w:rPr>
          <w:rStyle w:val="Appelnotedebasdep"/>
          <w:sz w:val="24"/>
          <w:szCs w:val="24"/>
          <w:lang w:val="en-GB"/>
        </w:rPr>
        <w:footnoteReference w:id="17"/>
      </w:r>
      <w:r w:rsidR="001E58C3" w:rsidRPr="00C10ADA">
        <w:rPr>
          <w:sz w:val="24"/>
          <w:szCs w:val="24"/>
          <w:lang w:val="en-GB"/>
        </w:rPr>
        <w:t>. It should be highlighted that this ongoing work</w:t>
      </w:r>
      <w:r w:rsidR="00AD6DF9" w:rsidRPr="00C10ADA">
        <w:rPr>
          <w:sz w:val="24"/>
          <w:szCs w:val="24"/>
          <w:lang w:val="en-GB"/>
        </w:rPr>
        <w:t xml:space="preserve"> could affect their results, especially considering </w:t>
      </w:r>
      <w:r w:rsidR="004B0F7F" w:rsidRPr="00C10ADA">
        <w:rPr>
          <w:sz w:val="24"/>
          <w:szCs w:val="24"/>
          <w:lang w:val="en-GB"/>
        </w:rPr>
        <w:t>that</w:t>
      </w:r>
      <w:r w:rsidR="00AD6DF9" w:rsidRPr="00C10ADA">
        <w:rPr>
          <w:sz w:val="24"/>
          <w:szCs w:val="24"/>
          <w:lang w:val="en-GB"/>
        </w:rPr>
        <w:t xml:space="preserve"> their selection of surveyed sites is</w:t>
      </w:r>
      <w:r w:rsidR="004B0F7F" w:rsidRPr="00C10ADA">
        <w:rPr>
          <w:sz w:val="24"/>
          <w:szCs w:val="24"/>
          <w:lang w:val="en-GB"/>
        </w:rPr>
        <w:t xml:space="preserve"> quite small</w:t>
      </w:r>
      <w:r w:rsidR="00AD6DF9" w:rsidRPr="00C10ADA">
        <w:rPr>
          <w:sz w:val="24"/>
          <w:szCs w:val="24"/>
          <w:lang w:val="en-GB"/>
        </w:rPr>
        <w:t xml:space="preserve"> (5 sites)</w:t>
      </w:r>
      <w:r w:rsidR="004B0F7F" w:rsidRPr="00C10ADA">
        <w:rPr>
          <w:sz w:val="24"/>
          <w:szCs w:val="24"/>
          <w:lang w:val="en-GB"/>
        </w:rPr>
        <w:t xml:space="preserve"> and therefore, one error </w:t>
      </w:r>
      <w:r w:rsidR="008F6377" w:rsidRPr="00C10ADA">
        <w:rPr>
          <w:sz w:val="24"/>
          <w:szCs w:val="24"/>
          <w:lang w:val="en-GB"/>
        </w:rPr>
        <w:t xml:space="preserve">would </w:t>
      </w:r>
      <w:r w:rsidR="004C2EC9" w:rsidRPr="00C10ADA">
        <w:rPr>
          <w:sz w:val="24"/>
          <w:szCs w:val="24"/>
          <w:lang w:val="en-GB"/>
        </w:rPr>
        <w:t>ha</w:t>
      </w:r>
      <w:r w:rsidR="008F6377" w:rsidRPr="00C10ADA">
        <w:rPr>
          <w:sz w:val="24"/>
          <w:szCs w:val="24"/>
          <w:lang w:val="en-GB"/>
        </w:rPr>
        <w:t>ve</w:t>
      </w:r>
      <w:r w:rsidR="004C2EC9" w:rsidRPr="00C10ADA">
        <w:rPr>
          <w:sz w:val="24"/>
          <w:szCs w:val="24"/>
          <w:lang w:val="en-GB"/>
        </w:rPr>
        <w:t xml:space="preserve"> a </w:t>
      </w:r>
      <w:r w:rsidR="008F6377" w:rsidRPr="00C10ADA">
        <w:rPr>
          <w:sz w:val="24"/>
          <w:szCs w:val="24"/>
          <w:lang w:val="en-GB"/>
        </w:rPr>
        <w:t xml:space="preserve">statistically </w:t>
      </w:r>
      <w:r w:rsidR="004B0F7F" w:rsidRPr="00C10ADA">
        <w:rPr>
          <w:sz w:val="24"/>
          <w:szCs w:val="24"/>
          <w:lang w:val="en-GB"/>
        </w:rPr>
        <w:t>significant</w:t>
      </w:r>
      <w:r w:rsidR="004C2EC9" w:rsidRPr="00C10ADA">
        <w:rPr>
          <w:sz w:val="24"/>
          <w:szCs w:val="24"/>
          <w:lang w:val="en-GB"/>
        </w:rPr>
        <w:t xml:space="preserve"> impact</w:t>
      </w:r>
      <w:r w:rsidR="00AD6DF9" w:rsidRPr="00C10ADA">
        <w:rPr>
          <w:sz w:val="24"/>
          <w:szCs w:val="24"/>
          <w:lang w:val="en-GB"/>
        </w:rPr>
        <w:t>.</w:t>
      </w:r>
      <w:r w:rsidR="00ED4256" w:rsidRPr="00C10ADA">
        <w:rPr>
          <w:sz w:val="24"/>
          <w:szCs w:val="24"/>
          <w:lang w:val="en-GB"/>
        </w:rPr>
        <w:t xml:space="preserve"> </w:t>
      </w:r>
    </w:p>
    <w:p w14:paraId="278B2A10" w14:textId="77777777" w:rsidR="00C4213C" w:rsidRDefault="00C4213C" w:rsidP="008819D3">
      <w:pPr>
        <w:spacing w:line="300" w:lineRule="auto"/>
        <w:ind w:firstLine="708"/>
        <w:jc w:val="both"/>
        <w:rPr>
          <w:sz w:val="24"/>
          <w:szCs w:val="24"/>
          <w:lang w:val="en-GB"/>
        </w:rPr>
      </w:pPr>
    </w:p>
    <w:p w14:paraId="0D8473FD" w14:textId="05C0C81D" w:rsidR="00E75633" w:rsidRDefault="001E58C3" w:rsidP="008819D3">
      <w:pPr>
        <w:spacing w:line="300" w:lineRule="auto"/>
        <w:ind w:firstLine="708"/>
        <w:jc w:val="both"/>
        <w:rPr>
          <w:sz w:val="24"/>
          <w:szCs w:val="24"/>
          <w:lang w:val="en-GB"/>
        </w:rPr>
      </w:pPr>
      <w:r w:rsidRPr="00C10ADA">
        <w:rPr>
          <w:sz w:val="24"/>
          <w:szCs w:val="24"/>
          <w:lang w:val="en-GB"/>
        </w:rPr>
        <w:t>This</w:t>
      </w:r>
      <w:r w:rsidR="001D7609" w:rsidRPr="00C10ADA">
        <w:rPr>
          <w:sz w:val="24"/>
          <w:szCs w:val="24"/>
          <w:lang w:val="en-GB"/>
        </w:rPr>
        <w:t xml:space="preserve"> observation</w:t>
      </w:r>
      <w:r w:rsidRPr="00C10ADA">
        <w:rPr>
          <w:sz w:val="24"/>
          <w:szCs w:val="24"/>
          <w:lang w:val="en-GB"/>
        </w:rPr>
        <w:t xml:space="preserve"> naturally leads into </w:t>
      </w:r>
      <w:r w:rsidR="00BA191A" w:rsidRPr="00C10ADA">
        <w:rPr>
          <w:sz w:val="24"/>
          <w:szCs w:val="24"/>
          <w:lang w:val="en-GB"/>
        </w:rPr>
        <w:t xml:space="preserve">another </w:t>
      </w:r>
      <w:r w:rsidRPr="00C10ADA">
        <w:rPr>
          <w:sz w:val="24"/>
          <w:szCs w:val="24"/>
          <w:lang w:val="en-GB"/>
        </w:rPr>
        <w:t xml:space="preserve">aspect of the methodological approach taken by the authors, which is the evidence that they use to </w:t>
      </w:r>
      <w:r w:rsidR="009900DA" w:rsidRPr="00C10ADA">
        <w:rPr>
          <w:sz w:val="24"/>
          <w:szCs w:val="24"/>
          <w:lang w:val="en-GB"/>
        </w:rPr>
        <w:t>support their argument</w:t>
      </w:r>
      <w:r w:rsidRPr="00C10ADA">
        <w:rPr>
          <w:sz w:val="24"/>
          <w:szCs w:val="24"/>
          <w:lang w:val="en-GB"/>
        </w:rPr>
        <w:t>.</w:t>
      </w:r>
      <w:r w:rsidR="009900DA" w:rsidRPr="00C10ADA">
        <w:rPr>
          <w:sz w:val="24"/>
          <w:szCs w:val="24"/>
          <w:lang w:val="en-GB"/>
        </w:rPr>
        <w:t xml:space="preserve"> </w:t>
      </w:r>
      <w:r w:rsidRPr="00C10ADA">
        <w:rPr>
          <w:sz w:val="24"/>
          <w:szCs w:val="24"/>
          <w:lang w:val="en-GB"/>
        </w:rPr>
        <w:t>I</w:t>
      </w:r>
      <w:r w:rsidR="009900DA" w:rsidRPr="00C10ADA">
        <w:rPr>
          <w:sz w:val="24"/>
          <w:szCs w:val="24"/>
          <w:lang w:val="en-GB"/>
        </w:rPr>
        <w:t>n both papers</w:t>
      </w:r>
      <w:r w:rsidR="006D403D" w:rsidRPr="00C10ADA">
        <w:rPr>
          <w:sz w:val="24"/>
          <w:szCs w:val="24"/>
          <w:lang w:val="en-GB"/>
        </w:rPr>
        <w:t>,</w:t>
      </w:r>
      <w:r w:rsidR="009900DA" w:rsidRPr="00C10ADA">
        <w:rPr>
          <w:sz w:val="24"/>
          <w:szCs w:val="24"/>
          <w:lang w:val="en-GB"/>
        </w:rPr>
        <w:t xml:space="preserve"> </w:t>
      </w:r>
      <w:r w:rsidR="008C5D32" w:rsidRPr="00C10ADA">
        <w:rPr>
          <w:sz w:val="24"/>
          <w:szCs w:val="24"/>
          <w:lang w:val="en-GB"/>
        </w:rPr>
        <w:t>there is</w:t>
      </w:r>
      <w:r w:rsidR="009900DA" w:rsidRPr="00C10ADA">
        <w:rPr>
          <w:sz w:val="24"/>
          <w:szCs w:val="24"/>
          <w:lang w:val="en-GB"/>
        </w:rPr>
        <w:t xml:space="preserve"> a combination </w:t>
      </w:r>
      <w:r w:rsidRPr="00C10ADA">
        <w:rPr>
          <w:sz w:val="24"/>
          <w:szCs w:val="24"/>
          <w:lang w:val="en-GB"/>
        </w:rPr>
        <w:t>of</w:t>
      </w:r>
      <w:r w:rsidR="009900DA" w:rsidRPr="00C10ADA">
        <w:rPr>
          <w:sz w:val="24"/>
          <w:szCs w:val="24"/>
          <w:lang w:val="en-GB"/>
        </w:rPr>
        <w:t xml:space="preserve"> technical and human</w:t>
      </w:r>
      <w:r w:rsidRPr="00C10ADA">
        <w:rPr>
          <w:sz w:val="24"/>
          <w:szCs w:val="24"/>
          <w:lang w:val="en-GB"/>
        </w:rPr>
        <w:t xml:space="preserve"> evidence</w:t>
      </w:r>
      <w:r w:rsidR="00A93C0E" w:rsidRPr="00C10ADA">
        <w:rPr>
          <w:sz w:val="24"/>
          <w:szCs w:val="24"/>
          <w:lang w:val="en-GB"/>
        </w:rPr>
        <w:t xml:space="preserve"> concerning</w:t>
      </w:r>
      <w:r w:rsidR="00D07762" w:rsidRPr="00C10ADA">
        <w:rPr>
          <w:sz w:val="24"/>
          <w:szCs w:val="24"/>
          <w:lang w:val="en-GB"/>
        </w:rPr>
        <w:t xml:space="preserve"> the primary source</w:t>
      </w:r>
      <w:r w:rsidR="00A93C0E" w:rsidRPr="00C10ADA">
        <w:rPr>
          <w:sz w:val="24"/>
          <w:szCs w:val="24"/>
          <w:lang w:val="en-GB"/>
        </w:rPr>
        <w:t xml:space="preserve"> that the authors </w:t>
      </w:r>
      <w:r w:rsidR="006D403D" w:rsidRPr="00C10ADA">
        <w:rPr>
          <w:sz w:val="24"/>
          <w:szCs w:val="24"/>
          <w:lang w:val="en-GB"/>
        </w:rPr>
        <w:t>put forward</w:t>
      </w:r>
      <w:r w:rsidR="009900DA" w:rsidRPr="00C10ADA">
        <w:rPr>
          <w:sz w:val="24"/>
          <w:szCs w:val="24"/>
          <w:lang w:val="en-GB"/>
        </w:rPr>
        <w:t>. F</w:t>
      </w:r>
      <w:r w:rsidR="00AA196C" w:rsidRPr="00C10ADA">
        <w:rPr>
          <w:sz w:val="24"/>
          <w:szCs w:val="24"/>
          <w:lang w:val="en-GB"/>
        </w:rPr>
        <w:t xml:space="preserve">or Head, </w:t>
      </w:r>
      <w:r w:rsidR="004573AB" w:rsidRPr="00C10ADA">
        <w:rPr>
          <w:sz w:val="24"/>
          <w:szCs w:val="24"/>
          <w:lang w:val="en-GB"/>
        </w:rPr>
        <w:t xml:space="preserve">the technical element is where his </w:t>
      </w:r>
      <w:r w:rsidR="00AA196C" w:rsidRPr="00C10ADA">
        <w:rPr>
          <w:sz w:val="24"/>
          <w:szCs w:val="24"/>
          <w:lang w:val="en-GB"/>
        </w:rPr>
        <w:t xml:space="preserve">expertise </w:t>
      </w:r>
      <w:r w:rsidR="004573AB" w:rsidRPr="00C10ADA">
        <w:rPr>
          <w:sz w:val="24"/>
          <w:szCs w:val="24"/>
          <w:lang w:val="en-GB"/>
        </w:rPr>
        <w:t>is strongest</w:t>
      </w:r>
      <w:r w:rsidR="00AA196C" w:rsidRPr="00C10ADA">
        <w:rPr>
          <w:sz w:val="24"/>
          <w:szCs w:val="24"/>
          <w:lang w:val="en-GB"/>
        </w:rPr>
        <w:t xml:space="preserve"> since that</w:t>
      </w:r>
      <w:r w:rsidR="009900DA" w:rsidRPr="00C10ADA">
        <w:rPr>
          <w:sz w:val="24"/>
          <w:szCs w:val="24"/>
          <w:lang w:val="en-GB"/>
        </w:rPr>
        <w:t xml:space="preserve"> is</w:t>
      </w:r>
      <w:r w:rsidR="002248FD" w:rsidRPr="00C10ADA">
        <w:rPr>
          <w:sz w:val="24"/>
          <w:szCs w:val="24"/>
          <w:lang w:val="en-GB"/>
        </w:rPr>
        <w:t xml:space="preserve"> </w:t>
      </w:r>
      <w:r w:rsidR="004573AB" w:rsidRPr="00C10ADA">
        <w:rPr>
          <w:sz w:val="24"/>
          <w:szCs w:val="24"/>
          <w:lang w:val="en-GB"/>
        </w:rPr>
        <w:t xml:space="preserve">the </w:t>
      </w:r>
      <w:r w:rsidR="009900DA" w:rsidRPr="00C10ADA">
        <w:rPr>
          <w:sz w:val="24"/>
          <w:szCs w:val="24"/>
          <w:lang w:val="en-GB"/>
        </w:rPr>
        <w:t>musical analysis</w:t>
      </w:r>
      <w:r w:rsidR="004573AB" w:rsidRPr="00C10ADA">
        <w:rPr>
          <w:sz w:val="24"/>
          <w:szCs w:val="24"/>
          <w:lang w:val="en-GB"/>
        </w:rPr>
        <w:t>: h</w:t>
      </w:r>
      <w:r w:rsidR="009900DA" w:rsidRPr="00C10ADA">
        <w:rPr>
          <w:sz w:val="24"/>
          <w:szCs w:val="24"/>
          <w:lang w:val="en-GB"/>
        </w:rPr>
        <w:t>e studies features</w:t>
      </w:r>
      <w:r w:rsidR="004573AB" w:rsidRPr="00C10ADA">
        <w:rPr>
          <w:sz w:val="24"/>
          <w:szCs w:val="24"/>
          <w:lang w:val="en-GB"/>
        </w:rPr>
        <w:t xml:space="preserve"> of </w:t>
      </w:r>
      <w:r w:rsidR="004573AB" w:rsidRPr="00C10ADA">
        <w:rPr>
          <w:i/>
          <w:iCs/>
          <w:sz w:val="24"/>
          <w:szCs w:val="24"/>
          <w:lang w:val="en-GB"/>
        </w:rPr>
        <w:t>The Planets</w:t>
      </w:r>
      <w:r w:rsidR="009900DA" w:rsidRPr="00C10ADA">
        <w:rPr>
          <w:sz w:val="24"/>
          <w:szCs w:val="24"/>
          <w:lang w:val="en-GB"/>
        </w:rPr>
        <w:t xml:space="preserve"> like the melodic lines</w:t>
      </w:r>
      <w:r w:rsidR="006D403D" w:rsidRPr="00C10ADA">
        <w:rPr>
          <w:sz w:val="24"/>
          <w:szCs w:val="24"/>
          <w:lang w:val="en-GB"/>
        </w:rPr>
        <w:t xml:space="preserve"> and</w:t>
      </w:r>
      <w:r w:rsidR="009900DA" w:rsidRPr="00C10ADA">
        <w:rPr>
          <w:sz w:val="24"/>
          <w:szCs w:val="24"/>
          <w:lang w:val="en-GB"/>
        </w:rPr>
        <w:t xml:space="preserve"> their repetitions, the instruments playing, Holst’s indications of tempo and mood, and even annotations </w:t>
      </w:r>
      <w:r w:rsidR="004573AB" w:rsidRPr="00C10ADA">
        <w:rPr>
          <w:sz w:val="24"/>
          <w:szCs w:val="24"/>
          <w:lang w:val="en-GB"/>
        </w:rPr>
        <w:t xml:space="preserve">about the music </w:t>
      </w:r>
      <w:r w:rsidR="009900DA" w:rsidRPr="00C10ADA">
        <w:rPr>
          <w:sz w:val="24"/>
          <w:szCs w:val="24"/>
          <w:lang w:val="en-GB"/>
        </w:rPr>
        <w:t>that the composer left in the score.</w:t>
      </w:r>
      <w:r w:rsidR="004573AB" w:rsidRPr="00C10ADA">
        <w:rPr>
          <w:sz w:val="24"/>
          <w:szCs w:val="24"/>
          <w:lang w:val="en-GB"/>
        </w:rPr>
        <w:t xml:space="preserve"> It could be argued that </w:t>
      </w:r>
      <w:r w:rsidR="00F23FD9" w:rsidRPr="00C10ADA">
        <w:rPr>
          <w:sz w:val="24"/>
          <w:szCs w:val="24"/>
          <w:lang w:val="en-GB"/>
        </w:rPr>
        <w:t>Head’s use of emotional adjectives, e.g., “phlegmatic flutes”, “romantic feeling” or “anguished augmented fourths”</w:t>
      </w:r>
      <w:r w:rsidR="001C44BB">
        <w:rPr>
          <w:rStyle w:val="Appelnotedebasdep"/>
          <w:sz w:val="24"/>
          <w:szCs w:val="24"/>
          <w:lang w:val="en-GB"/>
        </w:rPr>
        <w:footnoteReference w:id="18"/>
      </w:r>
      <w:r w:rsidR="00F23FD9" w:rsidRPr="00C10ADA">
        <w:rPr>
          <w:sz w:val="24"/>
          <w:szCs w:val="24"/>
          <w:lang w:val="en-GB"/>
        </w:rPr>
        <w:t>, are subjective</w:t>
      </w:r>
      <w:r w:rsidR="00BA191A" w:rsidRPr="00C10ADA">
        <w:rPr>
          <w:sz w:val="24"/>
          <w:szCs w:val="24"/>
          <w:lang w:val="en-GB"/>
        </w:rPr>
        <w:t>;</w:t>
      </w:r>
      <w:r w:rsidR="00F23FD9" w:rsidRPr="00C10ADA">
        <w:rPr>
          <w:sz w:val="24"/>
          <w:szCs w:val="24"/>
          <w:lang w:val="en-GB"/>
        </w:rPr>
        <w:t xml:space="preserve"> however</w:t>
      </w:r>
      <w:r w:rsidR="00B57F12" w:rsidRPr="00C10ADA">
        <w:rPr>
          <w:sz w:val="24"/>
          <w:szCs w:val="24"/>
          <w:lang w:val="en-GB"/>
        </w:rPr>
        <w:t>,</w:t>
      </w:r>
      <w:r w:rsidR="00F23FD9" w:rsidRPr="00C10ADA">
        <w:rPr>
          <w:sz w:val="24"/>
          <w:szCs w:val="24"/>
          <w:lang w:val="en-GB"/>
        </w:rPr>
        <w:t xml:space="preserve"> it is established that</w:t>
      </w:r>
      <w:r w:rsidR="00BA191A" w:rsidRPr="00C10ADA">
        <w:rPr>
          <w:sz w:val="24"/>
          <w:szCs w:val="24"/>
          <w:lang w:val="en-GB"/>
        </w:rPr>
        <w:t>, in Head’s words,</w:t>
      </w:r>
      <w:r w:rsidR="00F23FD9" w:rsidRPr="00C10ADA">
        <w:rPr>
          <w:sz w:val="24"/>
          <w:szCs w:val="24"/>
          <w:lang w:val="en-GB"/>
        </w:rPr>
        <w:t xml:space="preserve">  “a composer […] can alter states of consciousness in the listener”</w:t>
      </w:r>
      <w:r w:rsidR="001C44BB">
        <w:rPr>
          <w:rStyle w:val="Appelnotedebasdep"/>
          <w:sz w:val="24"/>
          <w:szCs w:val="24"/>
          <w:lang w:val="en-GB"/>
        </w:rPr>
        <w:footnoteReference w:id="19"/>
      </w:r>
      <w:r w:rsidR="00F23FD9" w:rsidRPr="00C10ADA">
        <w:rPr>
          <w:sz w:val="24"/>
          <w:szCs w:val="24"/>
          <w:lang w:val="en-GB"/>
        </w:rPr>
        <w:t>. A composer like Head is most certainly aware of the fact</w:t>
      </w:r>
      <w:r w:rsidR="00BA191A" w:rsidRPr="00C10ADA">
        <w:rPr>
          <w:sz w:val="24"/>
          <w:szCs w:val="24"/>
          <w:lang w:val="en-GB"/>
        </w:rPr>
        <w:t>,</w:t>
      </w:r>
      <w:r w:rsidR="00F23FD9" w:rsidRPr="00C10ADA">
        <w:rPr>
          <w:sz w:val="24"/>
          <w:szCs w:val="24"/>
          <w:lang w:val="en-GB"/>
        </w:rPr>
        <w:t xml:space="preserve"> and </w:t>
      </w:r>
      <w:r w:rsidR="00BA191A" w:rsidRPr="00C10ADA">
        <w:rPr>
          <w:sz w:val="24"/>
          <w:szCs w:val="24"/>
          <w:lang w:val="en-GB"/>
        </w:rPr>
        <w:t>what’s more</w:t>
      </w:r>
      <w:r w:rsidR="00B57F12" w:rsidRPr="00C10ADA">
        <w:rPr>
          <w:sz w:val="24"/>
          <w:szCs w:val="24"/>
          <w:lang w:val="en-GB"/>
        </w:rPr>
        <w:t>,</w:t>
      </w:r>
      <w:r w:rsidR="00BA191A" w:rsidRPr="00C10ADA">
        <w:rPr>
          <w:sz w:val="24"/>
          <w:szCs w:val="24"/>
          <w:lang w:val="en-GB"/>
        </w:rPr>
        <w:t xml:space="preserve"> he is </w:t>
      </w:r>
      <w:r w:rsidR="00F23FD9" w:rsidRPr="00C10ADA">
        <w:rPr>
          <w:sz w:val="24"/>
          <w:szCs w:val="24"/>
          <w:lang w:val="en-GB"/>
        </w:rPr>
        <w:t>best placed to comment on the emotions</w:t>
      </w:r>
      <w:r w:rsidR="00BA191A" w:rsidRPr="00C10ADA">
        <w:rPr>
          <w:sz w:val="24"/>
          <w:szCs w:val="24"/>
          <w:lang w:val="en-GB"/>
        </w:rPr>
        <w:t xml:space="preserve"> which</w:t>
      </w:r>
      <w:r w:rsidR="00F23FD9" w:rsidRPr="00C10ADA">
        <w:rPr>
          <w:sz w:val="24"/>
          <w:szCs w:val="24"/>
          <w:lang w:val="en-GB"/>
        </w:rPr>
        <w:t xml:space="preserve"> another composer intended to convey. </w:t>
      </w:r>
      <w:r w:rsidR="009900DA" w:rsidRPr="00C10ADA">
        <w:rPr>
          <w:sz w:val="24"/>
          <w:szCs w:val="24"/>
          <w:lang w:val="en-GB"/>
        </w:rPr>
        <w:t xml:space="preserve"> For Hamacher et al., the technical aspect is also direct measurements o</w:t>
      </w:r>
      <w:r w:rsidR="008C5D32" w:rsidRPr="00C10ADA">
        <w:rPr>
          <w:sz w:val="24"/>
          <w:szCs w:val="24"/>
          <w:lang w:val="en-GB"/>
        </w:rPr>
        <w:t>n</w:t>
      </w:r>
      <w:r w:rsidR="009900DA" w:rsidRPr="00C10ADA">
        <w:rPr>
          <w:sz w:val="24"/>
          <w:szCs w:val="24"/>
          <w:lang w:val="en-GB"/>
        </w:rPr>
        <w:t xml:space="preserve"> the primary source, in this case through </w:t>
      </w:r>
      <w:r w:rsidR="001D7609" w:rsidRPr="00C10ADA">
        <w:rPr>
          <w:sz w:val="24"/>
          <w:szCs w:val="24"/>
          <w:lang w:val="en-GB"/>
        </w:rPr>
        <w:t xml:space="preserve">the surveys and </w:t>
      </w:r>
      <w:r w:rsidR="009900DA" w:rsidRPr="00C10ADA">
        <w:rPr>
          <w:sz w:val="24"/>
          <w:szCs w:val="24"/>
          <w:lang w:val="en-GB"/>
        </w:rPr>
        <w:t>field measurements</w:t>
      </w:r>
      <w:r w:rsidR="001D7609" w:rsidRPr="00C10ADA">
        <w:rPr>
          <w:sz w:val="24"/>
          <w:szCs w:val="24"/>
          <w:lang w:val="en-GB"/>
        </w:rPr>
        <w:t xml:space="preserve"> briefly mentioned previously</w:t>
      </w:r>
      <w:r w:rsidR="0080111A" w:rsidRPr="00C10ADA">
        <w:rPr>
          <w:sz w:val="24"/>
          <w:szCs w:val="24"/>
          <w:lang w:val="en-GB"/>
        </w:rPr>
        <w:t>.</w:t>
      </w:r>
      <w:r w:rsidR="004573AB" w:rsidRPr="00C10ADA">
        <w:rPr>
          <w:sz w:val="24"/>
          <w:szCs w:val="24"/>
          <w:lang w:val="en-GB"/>
        </w:rPr>
        <w:t xml:space="preserve"> </w:t>
      </w:r>
      <w:r w:rsidR="0080111A" w:rsidRPr="00C10ADA">
        <w:rPr>
          <w:sz w:val="24"/>
          <w:szCs w:val="24"/>
          <w:lang w:val="en-GB"/>
        </w:rPr>
        <w:t>However,</w:t>
      </w:r>
      <w:r w:rsidR="004573AB" w:rsidRPr="00C10ADA">
        <w:rPr>
          <w:sz w:val="24"/>
          <w:szCs w:val="24"/>
          <w:lang w:val="en-GB"/>
        </w:rPr>
        <w:t xml:space="preserve"> even if it gets quantified, one of the main sources of uncertainty in their paper concerns the skills of the surveyors</w:t>
      </w:r>
      <w:r w:rsidR="00BA191A" w:rsidRPr="00C10ADA">
        <w:rPr>
          <w:sz w:val="24"/>
          <w:szCs w:val="24"/>
          <w:lang w:val="en-GB"/>
        </w:rPr>
        <w:t>. T</w:t>
      </w:r>
      <w:r w:rsidR="004573AB" w:rsidRPr="00C10ADA">
        <w:rPr>
          <w:sz w:val="24"/>
          <w:szCs w:val="24"/>
          <w:lang w:val="en-GB"/>
        </w:rPr>
        <w:t xml:space="preserve">he authors </w:t>
      </w:r>
      <w:r w:rsidR="00BA191A" w:rsidRPr="00C10ADA">
        <w:rPr>
          <w:sz w:val="24"/>
          <w:szCs w:val="24"/>
          <w:lang w:val="en-GB"/>
        </w:rPr>
        <w:t xml:space="preserve">notably </w:t>
      </w:r>
      <w:r w:rsidR="004573AB" w:rsidRPr="00C10ADA">
        <w:rPr>
          <w:sz w:val="24"/>
          <w:szCs w:val="24"/>
          <w:lang w:val="en-GB"/>
        </w:rPr>
        <w:t>mention that: “most of the surveyors probably recorded the magnetic compass bearing rather than true north”</w:t>
      </w:r>
      <w:r w:rsidR="00674E36">
        <w:rPr>
          <w:rStyle w:val="Appelnotedebasdep"/>
          <w:sz w:val="24"/>
          <w:szCs w:val="24"/>
          <w:lang w:val="en-GB"/>
        </w:rPr>
        <w:footnoteReference w:id="20"/>
      </w:r>
      <w:r w:rsidR="004573AB" w:rsidRPr="00C10ADA">
        <w:rPr>
          <w:sz w:val="24"/>
          <w:szCs w:val="24"/>
          <w:lang w:val="en-GB"/>
        </w:rPr>
        <w:t xml:space="preserve">, </w:t>
      </w:r>
      <w:r w:rsidR="00EF2D3E" w:rsidRPr="00C10ADA">
        <w:rPr>
          <w:sz w:val="24"/>
          <w:szCs w:val="24"/>
          <w:lang w:val="en-GB"/>
        </w:rPr>
        <w:t>and</w:t>
      </w:r>
      <w:r w:rsidR="004573AB" w:rsidRPr="00C10ADA">
        <w:rPr>
          <w:sz w:val="24"/>
          <w:szCs w:val="24"/>
          <w:lang w:val="en-GB"/>
        </w:rPr>
        <w:t xml:space="preserve"> “bias may lay with the surveyors”</w:t>
      </w:r>
      <w:r w:rsidR="00674E36">
        <w:rPr>
          <w:rStyle w:val="Appelnotedebasdep"/>
          <w:sz w:val="24"/>
          <w:szCs w:val="24"/>
          <w:lang w:val="en-GB"/>
        </w:rPr>
        <w:footnoteReference w:id="21"/>
      </w:r>
      <w:r w:rsidR="004573AB" w:rsidRPr="00C10ADA">
        <w:rPr>
          <w:sz w:val="24"/>
          <w:szCs w:val="24"/>
          <w:lang w:val="en-GB"/>
        </w:rPr>
        <w:t xml:space="preserve">. </w:t>
      </w:r>
      <w:r w:rsidR="007D5773" w:rsidRPr="00C10ADA">
        <w:rPr>
          <w:sz w:val="24"/>
          <w:szCs w:val="24"/>
          <w:lang w:val="en-GB"/>
        </w:rPr>
        <w:t>This greatly impacts their findings and justifies why the conclusion is so nuanced, especially their comment that this “is why we say ‘reasonably accurate’”</w:t>
      </w:r>
      <w:r w:rsidR="00CE5DE9">
        <w:rPr>
          <w:rStyle w:val="Appelnotedebasdep"/>
          <w:sz w:val="24"/>
          <w:szCs w:val="24"/>
          <w:lang w:val="en-GB"/>
        </w:rPr>
        <w:footnoteReference w:id="22"/>
      </w:r>
      <w:r w:rsidR="007D5773" w:rsidRPr="00C10ADA">
        <w:rPr>
          <w:sz w:val="24"/>
          <w:szCs w:val="24"/>
          <w:lang w:val="en-GB"/>
        </w:rPr>
        <w:t>.</w:t>
      </w:r>
      <w:r w:rsidR="001C44BB">
        <w:rPr>
          <w:sz w:val="24"/>
          <w:szCs w:val="24"/>
          <w:lang w:val="en-GB"/>
        </w:rPr>
        <w:t xml:space="preserve"> </w:t>
      </w:r>
      <w:r w:rsidR="007D5773" w:rsidRPr="00C10ADA">
        <w:rPr>
          <w:sz w:val="24"/>
          <w:szCs w:val="24"/>
          <w:lang w:val="en-GB"/>
        </w:rPr>
        <w:t>I</w:t>
      </w:r>
      <w:r w:rsidR="00694150" w:rsidRPr="00C10ADA">
        <w:rPr>
          <w:sz w:val="24"/>
          <w:szCs w:val="24"/>
          <w:lang w:val="en-GB"/>
        </w:rPr>
        <w:t>n the same way, w</w:t>
      </w:r>
      <w:r w:rsidR="004573AB" w:rsidRPr="00C10ADA">
        <w:rPr>
          <w:sz w:val="24"/>
          <w:szCs w:val="24"/>
          <w:lang w:val="en-GB"/>
        </w:rPr>
        <w:t>ith regards to t</w:t>
      </w:r>
      <w:r w:rsidR="0080111A" w:rsidRPr="00C10ADA">
        <w:rPr>
          <w:sz w:val="24"/>
          <w:szCs w:val="24"/>
          <w:lang w:val="en-GB"/>
        </w:rPr>
        <w:t>he human evidence</w:t>
      </w:r>
      <w:r w:rsidR="004573AB" w:rsidRPr="00C10ADA">
        <w:rPr>
          <w:sz w:val="24"/>
          <w:szCs w:val="24"/>
          <w:lang w:val="en-GB"/>
        </w:rPr>
        <w:t>,</w:t>
      </w:r>
      <w:r w:rsidR="00B71AFD" w:rsidRPr="00C10ADA">
        <w:rPr>
          <w:sz w:val="24"/>
          <w:szCs w:val="24"/>
          <w:lang w:val="en-GB"/>
        </w:rPr>
        <w:t xml:space="preserve"> what is available to the two sets of authors</w:t>
      </w:r>
      <w:r w:rsidR="00921875" w:rsidRPr="00C10ADA">
        <w:rPr>
          <w:sz w:val="24"/>
          <w:szCs w:val="24"/>
          <w:lang w:val="en-GB"/>
        </w:rPr>
        <w:t xml:space="preserve"> diverges greatly</w:t>
      </w:r>
      <w:r w:rsidR="00694150" w:rsidRPr="00C10ADA">
        <w:rPr>
          <w:sz w:val="24"/>
          <w:szCs w:val="24"/>
          <w:lang w:val="en-GB"/>
        </w:rPr>
        <w:t>. F</w:t>
      </w:r>
      <w:r w:rsidR="00F23FD9" w:rsidRPr="00C10ADA">
        <w:rPr>
          <w:sz w:val="24"/>
          <w:szCs w:val="24"/>
          <w:lang w:val="en-GB"/>
        </w:rPr>
        <w:t>or Head</w:t>
      </w:r>
      <w:r w:rsidR="00694150" w:rsidRPr="00C10ADA">
        <w:rPr>
          <w:sz w:val="24"/>
          <w:szCs w:val="24"/>
          <w:lang w:val="en-GB"/>
        </w:rPr>
        <w:t>, he studies</w:t>
      </w:r>
      <w:r w:rsidR="00F23FD9" w:rsidRPr="00C10ADA">
        <w:rPr>
          <w:sz w:val="24"/>
          <w:szCs w:val="24"/>
          <w:lang w:val="en-GB"/>
        </w:rPr>
        <w:t xml:space="preserve"> </w:t>
      </w:r>
      <w:r w:rsidR="00694150" w:rsidRPr="00C10ADA">
        <w:rPr>
          <w:sz w:val="24"/>
          <w:szCs w:val="24"/>
          <w:lang w:val="en-GB"/>
        </w:rPr>
        <w:t xml:space="preserve">specific </w:t>
      </w:r>
      <w:r w:rsidR="00F23FD9" w:rsidRPr="00C10ADA">
        <w:rPr>
          <w:sz w:val="24"/>
          <w:szCs w:val="24"/>
          <w:lang w:val="en-GB"/>
        </w:rPr>
        <w:t>written records of interactions between Holst and his friends and family, such as “letters from Holst’s brother”</w:t>
      </w:r>
      <w:r w:rsidR="00CE5DE9">
        <w:rPr>
          <w:rStyle w:val="Appelnotedebasdep"/>
          <w:sz w:val="24"/>
          <w:szCs w:val="24"/>
          <w:lang w:val="en-GB"/>
        </w:rPr>
        <w:footnoteReference w:id="23"/>
      </w:r>
      <w:r w:rsidR="00F23FD9" w:rsidRPr="00C10ADA">
        <w:rPr>
          <w:sz w:val="24"/>
          <w:szCs w:val="24"/>
          <w:lang w:val="en-GB"/>
        </w:rPr>
        <w:t xml:space="preserve"> and Richard Capell’s “Music and Letters”</w:t>
      </w:r>
      <w:r w:rsidR="00CE5DE9">
        <w:rPr>
          <w:rStyle w:val="Appelnotedebasdep"/>
          <w:sz w:val="24"/>
          <w:szCs w:val="24"/>
          <w:lang w:val="en-GB"/>
        </w:rPr>
        <w:footnoteReference w:id="24"/>
      </w:r>
      <w:r w:rsidR="00F23FD9" w:rsidRPr="00C10ADA">
        <w:rPr>
          <w:sz w:val="24"/>
          <w:szCs w:val="24"/>
          <w:lang w:val="en-GB"/>
        </w:rPr>
        <w:t>. I</w:t>
      </w:r>
      <w:r w:rsidR="004573AB" w:rsidRPr="00C10ADA">
        <w:rPr>
          <w:sz w:val="24"/>
          <w:szCs w:val="24"/>
          <w:lang w:val="en-GB"/>
        </w:rPr>
        <w:t>n th</w:t>
      </w:r>
      <w:r w:rsidR="00F23FD9" w:rsidRPr="00C10ADA">
        <w:rPr>
          <w:sz w:val="24"/>
          <w:szCs w:val="24"/>
          <w:lang w:val="en-GB"/>
        </w:rPr>
        <w:t>e other paper,</w:t>
      </w:r>
      <w:r w:rsidR="004573AB" w:rsidRPr="00C10ADA">
        <w:rPr>
          <w:sz w:val="24"/>
          <w:szCs w:val="24"/>
          <w:lang w:val="en-GB"/>
        </w:rPr>
        <w:t xml:space="preserve"> </w:t>
      </w:r>
      <w:r w:rsidR="00B71AFD" w:rsidRPr="00C10ADA">
        <w:rPr>
          <w:sz w:val="24"/>
          <w:szCs w:val="24"/>
          <w:lang w:val="en-GB"/>
        </w:rPr>
        <w:t>this type of evidence comes from</w:t>
      </w:r>
      <w:r w:rsidR="0080111A" w:rsidRPr="00C10ADA">
        <w:rPr>
          <w:sz w:val="24"/>
          <w:szCs w:val="24"/>
          <w:lang w:val="en-GB"/>
        </w:rPr>
        <w:t xml:space="preserve"> </w:t>
      </w:r>
      <w:r w:rsidR="00623920" w:rsidRPr="00C10ADA">
        <w:rPr>
          <w:sz w:val="24"/>
          <w:szCs w:val="24"/>
          <w:lang w:val="en-GB"/>
        </w:rPr>
        <w:t>the</w:t>
      </w:r>
      <w:r w:rsidR="008C5D32" w:rsidRPr="00C10ADA">
        <w:rPr>
          <w:sz w:val="24"/>
          <w:szCs w:val="24"/>
          <w:lang w:val="en-GB"/>
        </w:rPr>
        <w:t xml:space="preserve"> more ancient and above all,</w:t>
      </w:r>
      <w:r w:rsidR="0080111A" w:rsidRPr="00C10ADA">
        <w:rPr>
          <w:sz w:val="24"/>
          <w:szCs w:val="24"/>
          <w:lang w:val="en-GB"/>
        </w:rPr>
        <w:t xml:space="preserve"> oral</w:t>
      </w:r>
      <w:r w:rsidR="008C5D32" w:rsidRPr="00C10ADA">
        <w:rPr>
          <w:sz w:val="24"/>
          <w:szCs w:val="24"/>
          <w:lang w:val="en-GB"/>
        </w:rPr>
        <w:t>,</w:t>
      </w:r>
      <w:r w:rsidR="0080111A" w:rsidRPr="00C10ADA">
        <w:rPr>
          <w:sz w:val="24"/>
          <w:szCs w:val="24"/>
          <w:lang w:val="en-GB"/>
        </w:rPr>
        <w:t xml:space="preserve"> tradition of the Australian </w:t>
      </w:r>
      <w:r w:rsidR="004573AB" w:rsidRPr="00C10ADA">
        <w:rPr>
          <w:sz w:val="24"/>
          <w:szCs w:val="24"/>
          <w:lang w:val="en-GB"/>
        </w:rPr>
        <w:t>A</w:t>
      </w:r>
      <w:r w:rsidR="0080111A" w:rsidRPr="00C10ADA">
        <w:rPr>
          <w:sz w:val="24"/>
          <w:szCs w:val="24"/>
          <w:lang w:val="en-GB"/>
        </w:rPr>
        <w:t>boriginal p</w:t>
      </w:r>
      <w:r w:rsidR="004573AB" w:rsidRPr="00C10ADA">
        <w:rPr>
          <w:sz w:val="24"/>
          <w:szCs w:val="24"/>
          <w:lang w:val="en-GB"/>
        </w:rPr>
        <w:t>eople</w:t>
      </w:r>
      <w:r w:rsidR="0080111A" w:rsidRPr="00C10ADA">
        <w:rPr>
          <w:sz w:val="24"/>
          <w:szCs w:val="24"/>
          <w:lang w:val="en-GB"/>
        </w:rPr>
        <w:t>, hence notably the problematic described at the start of the paper when discussing aboriginal languages and whether “directions are based on an abstract concept of relative space, or an absolute concept”</w:t>
      </w:r>
      <w:r w:rsidR="008819D3">
        <w:rPr>
          <w:rStyle w:val="Appelnotedebasdep"/>
          <w:sz w:val="24"/>
          <w:szCs w:val="24"/>
          <w:lang w:val="en-GB"/>
        </w:rPr>
        <w:footnoteReference w:id="25"/>
      </w:r>
      <w:r w:rsidR="0080111A" w:rsidRPr="00C10ADA">
        <w:rPr>
          <w:sz w:val="24"/>
          <w:szCs w:val="24"/>
          <w:lang w:val="en-GB"/>
        </w:rPr>
        <w:t>.</w:t>
      </w:r>
      <w:r w:rsidR="00FD2F83" w:rsidRPr="00C10ADA">
        <w:rPr>
          <w:sz w:val="24"/>
          <w:szCs w:val="24"/>
          <w:lang w:val="en-GB"/>
        </w:rPr>
        <w:t xml:space="preserve"> They also acknowledge that although New South Wales is a specific region of Australia, the stone arrangements they surveyed do “belong to different Aboriginal language groups”</w:t>
      </w:r>
      <w:r w:rsidR="008819D3">
        <w:rPr>
          <w:rStyle w:val="Appelnotedebasdep"/>
          <w:sz w:val="24"/>
          <w:szCs w:val="24"/>
          <w:lang w:val="en-GB"/>
        </w:rPr>
        <w:footnoteReference w:id="26"/>
      </w:r>
      <w:r w:rsidR="00FD2F83" w:rsidRPr="00C10ADA">
        <w:rPr>
          <w:sz w:val="24"/>
          <w:szCs w:val="24"/>
          <w:lang w:val="en-GB"/>
        </w:rPr>
        <w:t>, suggesting that each group’s conception of cardinal directions is likely to differ.</w:t>
      </w:r>
      <w:r w:rsidR="0080111A" w:rsidRPr="00C10ADA">
        <w:rPr>
          <w:sz w:val="24"/>
          <w:szCs w:val="24"/>
          <w:lang w:val="en-GB"/>
        </w:rPr>
        <w:t xml:space="preserve"> </w:t>
      </w:r>
      <w:r w:rsidR="00FD2F83" w:rsidRPr="00C10ADA">
        <w:rPr>
          <w:sz w:val="24"/>
          <w:szCs w:val="24"/>
          <w:lang w:val="en-GB"/>
        </w:rPr>
        <w:t>Furthermore,</w:t>
      </w:r>
      <w:r w:rsidR="00623920" w:rsidRPr="00C10ADA">
        <w:rPr>
          <w:sz w:val="24"/>
          <w:szCs w:val="24"/>
          <w:lang w:val="en-GB"/>
        </w:rPr>
        <w:t xml:space="preserve"> yet</w:t>
      </w:r>
      <w:r w:rsidR="00FD2F83" w:rsidRPr="00C10ADA">
        <w:rPr>
          <w:sz w:val="24"/>
          <w:szCs w:val="24"/>
          <w:lang w:val="en-GB"/>
        </w:rPr>
        <w:t xml:space="preserve"> an</w:t>
      </w:r>
      <w:r w:rsidR="0080111A" w:rsidRPr="00C10ADA">
        <w:rPr>
          <w:sz w:val="24"/>
          <w:szCs w:val="24"/>
          <w:lang w:val="en-GB"/>
        </w:rPr>
        <w:t xml:space="preserve"> additional complexity emerges at the end of the paper, where </w:t>
      </w:r>
      <w:r w:rsidR="00FD2F83" w:rsidRPr="00C10ADA">
        <w:rPr>
          <w:sz w:val="24"/>
          <w:szCs w:val="24"/>
          <w:lang w:val="en-GB"/>
        </w:rPr>
        <w:t>two</w:t>
      </w:r>
      <w:r w:rsidR="0080111A" w:rsidRPr="00C10ADA">
        <w:rPr>
          <w:sz w:val="24"/>
          <w:szCs w:val="24"/>
          <w:lang w:val="en-GB"/>
        </w:rPr>
        <w:t xml:space="preserve"> testimonies of Aboriginal men are </w:t>
      </w:r>
      <w:r w:rsidR="00FD2F83" w:rsidRPr="00C10ADA">
        <w:rPr>
          <w:sz w:val="24"/>
          <w:szCs w:val="24"/>
          <w:lang w:val="en-GB"/>
        </w:rPr>
        <w:t>included</w:t>
      </w:r>
      <w:r w:rsidR="0080111A" w:rsidRPr="00C10ADA">
        <w:rPr>
          <w:sz w:val="24"/>
          <w:szCs w:val="24"/>
          <w:lang w:val="en-GB"/>
        </w:rPr>
        <w:t>. The</w:t>
      </w:r>
      <w:r w:rsidR="00FD2F83" w:rsidRPr="00C10ADA">
        <w:rPr>
          <w:sz w:val="24"/>
          <w:szCs w:val="24"/>
          <w:lang w:val="en-GB"/>
        </w:rPr>
        <w:t>se men</w:t>
      </w:r>
      <w:r w:rsidR="0080111A" w:rsidRPr="00C10ADA">
        <w:rPr>
          <w:sz w:val="24"/>
          <w:szCs w:val="24"/>
          <w:lang w:val="en-GB"/>
        </w:rPr>
        <w:t xml:space="preserve"> suggest cardinal directions </w:t>
      </w:r>
      <w:r w:rsidR="00C06F9A" w:rsidRPr="00C10ADA">
        <w:rPr>
          <w:sz w:val="24"/>
          <w:szCs w:val="24"/>
          <w:lang w:val="en-GB"/>
        </w:rPr>
        <w:t>could be taken to be</w:t>
      </w:r>
      <w:r w:rsidR="0080111A" w:rsidRPr="00C10ADA">
        <w:rPr>
          <w:sz w:val="24"/>
          <w:szCs w:val="24"/>
          <w:lang w:val="en-GB"/>
        </w:rPr>
        <w:t xml:space="preserve"> indicated by</w:t>
      </w:r>
      <w:r w:rsidR="00C06F9A" w:rsidRPr="00C10ADA">
        <w:rPr>
          <w:sz w:val="24"/>
          <w:szCs w:val="24"/>
          <w:lang w:val="en-GB"/>
        </w:rPr>
        <w:t>, in one case,</w:t>
      </w:r>
      <w:r w:rsidR="0080111A" w:rsidRPr="00C10ADA">
        <w:rPr>
          <w:sz w:val="24"/>
          <w:szCs w:val="24"/>
          <w:lang w:val="en-GB"/>
        </w:rPr>
        <w:t xml:space="preserve"> Venus or</w:t>
      </w:r>
      <w:r w:rsidR="00FD2F83" w:rsidRPr="00C10ADA">
        <w:rPr>
          <w:sz w:val="24"/>
          <w:szCs w:val="24"/>
          <w:lang w:val="en-GB"/>
        </w:rPr>
        <w:t>,</w:t>
      </w:r>
      <w:r w:rsidR="00C06F9A" w:rsidRPr="00C10ADA">
        <w:rPr>
          <w:sz w:val="24"/>
          <w:szCs w:val="24"/>
          <w:lang w:val="en-GB"/>
        </w:rPr>
        <w:t xml:space="preserve"> in the other</w:t>
      </w:r>
      <w:r w:rsidR="00FD2F83" w:rsidRPr="00C10ADA">
        <w:rPr>
          <w:sz w:val="24"/>
          <w:szCs w:val="24"/>
          <w:lang w:val="en-GB"/>
        </w:rPr>
        <w:t>,</w:t>
      </w:r>
      <w:r w:rsidR="00C06F9A" w:rsidRPr="00C10ADA">
        <w:rPr>
          <w:sz w:val="24"/>
          <w:szCs w:val="24"/>
          <w:lang w:val="en-GB"/>
        </w:rPr>
        <w:t xml:space="preserve"> by</w:t>
      </w:r>
      <w:r w:rsidR="0080111A" w:rsidRPr="00C10ADA">
        <w:rPr>
          <w:sz w:val="24"/>
          <w:szCs w:val="24"/>
          <w:lang w:val="en-GB"/>
        </w:rPr>
        <w:t xml:space="preserve"> “the position of the Milky Way”</w:t>
      </w:r>
      <w:r w:rsidR="008819D3">
        <w:rPr>
          <w:rStyle w:val="Appelnotedebasdep"/>
          <w:sz w:val="24"/>
          <w:szCs w:val="24"/>
          <w:lang w:val="en-GB"/>
        </w:rPr>
        <w:footnoteReference w:id="27"/>
      </w:r>
      <w:r w:rsidR="0080111A" w:rsidRPr="00C10ADA">
        <w:rPr>
          <w:sz w:val="24"/>
          <w:szCs w:val="24"/>
          <w:lang w:val="en-GB"/>
        </w:rPr>
        <w:t>.</w:t>
      </w:r>
      <w:r w:rsidR="007C48E3" w:rsidRPr="00C10ADA">
        <w:rPr>
          <w:sz w:val="24"/>
          <w:szCs w:val="24"/>
          <w:lang w:val="en-GB"/>
        </w:rPr>
        <w:t xml:space="preserve"> Overall, Hamacher et al. recognise that these features of the Australian Aboriginal oral tradition </w:t>
      </w:r>
      <w:r w:rsidR="00E9391B" w:rsidRPr="00C10ADA">
        <w:rPr>
          <w:sz w:val="24"/>
          <w:szCs w:val="24"/>
          <w:lang w:val="en-GB"/>
        </w:rPr>
        <w:t>form</w:t>
      </w:r>
      <w:r w:rsidR="007C48E3" w:rsidRPr="00C10ADA">
        <w:rPr>
          <w:sz w:val="24"/>
          <w:szCs w:val="24"/>
          <w:lang w:val="en-GB"/>
        </w:rPr>
        <w:t xml:space="preserve"> a limitation to the human evidence that they can use. Besides,</w:t>
      </w:r>
      <w:r w:rsidR="00E9391B" w:rsidRPr="00C10ADA">
        <w:rPr>
          <w:sz w:val="24"/>
          <w:szCs w:val="24"/>
          <w:lang w:val="en-GB"/>
        </w:rPr>
        <w:t xml:space="preserve"> this is consistent with the general opinion within academia that even though “oral tradition and oral teaching can continue to be of major importance long after the introduction of written records and literary account”</w:t>
      </w:r>
      <w:r w:rsidR="008819D3">
        <w:rPr>
          <w:rStyle w:val="Appelnotedebasdep"/>
          <w:sz w:val="24"/>
          <w:szCs w:val="24"/>
          <w:lang w:val="en-GB"/>
        </w:rPr>
        <w:footnoteReference w:id="28"/>
      </w:r>
      <w:r w:rsidR="00E9391B" w:rsidRPr="00C10ADA">
        <w:rPr>
          <w:sz w:val="24"/>
          <w:szCs w:val="24"/>
          <w:lang w:val="en-GB"/>
        </w:rPr>
        <w:t>,</w:t>
      </w:r>
      <w:r w:rsidR="007C48E3" w:rsidRPr="00C10ADA">
        <w:rPr>
          <w:sz w:val="24"/>
          <w:szCs w:val="24"/>
          <w:lang w:val="en-GB"/>
        </w:rPr>
        <w:t xml:space="preserve"> “the oral transmission is not always of the same reliability”</w:t>
      </w:r>
      <w:r w:rsidR="008819D3">
        <w:rPr>
          <w:rStyle w:val="Appelnotedebasdep"/>
          <w:sz w:val="24"/>
          <w:szCs w:val="24"/>
          <w:lang w:val="en-GB"/>
        </w:rPr>
        <w:footnoteReference w:id="29"/>
      </w:r>
      <w:r w:rsidR="00E9391B" w:rsidRPr="00C10ADA">
        <w:rPr>
          <w:sz w:val="24"/>
          <w:szCs w:val="24"/>
          <w:lang w:val="en-GB"/>
        </w:rPr>
        <w:t xml:space="preserve">. </w:t>
      </w:r>
      <w:r w:rsidR="00C06F9A" w:rsidRPr="00C10ADA">
        <w:rPr>
          <w:sz w:val="24"/>
          <w:szCs w:val="24"/>
          <w:lang w:val="en-GB"/>
        </w:rPr>
        <w:t>Therefore,</w:t>
      </w:r>
      <w:r w:rsidR="008C5D32" w:rsidRPr="00C10ADA">
        <w:rPr>
          <w:sz w:val="24"/>
          <w:szCs w:val="24"/>
          <w:lang w:val="en-GB"/>
        </w:rPr>
        <w:t xml:space="preserve"> while in both papers attention</w:t>
      </w:r>
      <w:r w:rsidR="000279E8" w:rsidRPr="00C10ADA">
        <w:rPr>
          <w:sz w:val="24"/>
          <w:szCs w:val="24"/>
          <w:lang w:val="en-GB"/>
        </w:rPr>
        <w:t xml:space="preserve"> is given to authoritative </w:t>
      </w:r>
      <w:r w:rsidR="00E9391B" w:rsidRPr="00C10ADA">
        <w:rPr>
          <w:sz w:val="24"/>
          <w:szCs w:val="24"/>
          <w:lang w:val="en-GB"/>
        </w:rPr>
        <w:t>human sources of evidence</w:t>
      </w:r>
      <w:r w:rsidR="000279E8" w:rsidRPr="00C10ADA">
        <w:rPr>
          <w:sz w:val="24"/>
          <w:szCs w:val="24"/>
          <w:lang w:val="en-GB"/>
        </w:rPr>
        <w:t xml:space="preserve">, Hamacher, Fuller and Norris’ task is complicated by the fact that their primary source </w:t>
      </w:r>
      <w:r w:rsidR="0042734D" w:rsidRPr="00C10ADA">
        <w:rPr>
          <w:sz w:val="24"/>
          <w:szCs w:val="24"/>
          <w:lang w:val="en-GB"/>
        </w:rPr>
        <w:t>benefits only from an oral record</w:t>
      </w:r>
      <w:r w:rsidR="00E9391B" w:rsidRPr="00C10ADA">
        <w:rPr>
          <w:sz w:val="24"/>
          <w:szCs w:val="24"/>
          <w:lang w:val="en-GB"/>
        </w:rPr>
        <w:t xml:space="preserve"> from a diverse group of witnesses</w:t>
      </w:r>
      <w:r w:rsidR="00AA196C" w:rsidRPr="00C10ADA">
        <w:rPr>
          <w:sz w:val="24"/>
          <w:szCs w:val="24"/>
          <w:lang w:val="en-GB"/>
        </w:rPr>
        <w:t>,</w:t>
      </w:r>
      <w:r w:rsidR="000279E8" w:rsidRPr="00C10ADA">
        <w:rPr>
          <w:sz w:val="24"/>
          <w:szCs w:val="24"/>
          <w:lang w:val="en-GB"/>
        </w:rPr>
        <w:t xml:space="preserve"> </w:t>
      </w:r>
      <w:r w:rsidR="00E9391B" w:rsidRPr="00C10ADA">
        <w:rPr>
          <w:sz w:val="24"/>
          <w:szCs w:val="24"/>
          <w:lang w:val="en-GB"/>
        </w:rPr>
        <w:t>rather than</w:t>
      </w:r>
      <w:r w:rsidR="00623920" w:rsidRPr="00C10ADA">
        <w:rPr>
          <w:sz w:val="24"/>
          <w:szCs w:val="24"/>
          <w:lang w:val="en-GB"/>
        </w:rPr>
        <w:t xml:space="preserve"> the written</w:t>
      </w:r>
      <w:r w:rsidR="00E9391B" w:rsidRPr="00C10ADA">
        <w:rPr>
          <w:sz w:val="24"/>
          <w:szCs w:val="24"/>
          <w:lang w:val="en-GB"/>
        </w:rPr>
        <w:t xml:space="preserve"> </w:t>
      </w:r>
      <w:r w:rsidR="00623920" w:rsidRPr="00C10ADA">
        <w:rPr>
          <w:sz w:val="24"/>
          <w:szCs w:val="24"/>
          <w:lang w:val="en-GB"/>
        </w:rPr>
        <w:t>details of</w:t>
      </w:r>
      <w:r w:rsidR="00E9391B" w:rsidRPr="00C10ADA">
        <w:rPr>
          <w:sz w:val="24"/>
          <w:szCs w:val="24"/>
          <w:lang w:val="en-GB"/>
        </w:rPr>
        <w:t xml:space="preserve"> exchanges around the specific person of Holst</w:t>
      </w:r>
      <w:r w:rsidR="002F70EA" w:rsidRPr="00C10ADA">
        <w:rPr>
          <w:sz w:val="24"/>
          <w:szCs w:val="24"/>
          <w:lang w:val="en-GB"/>
        </w:rPr>
        <w:t xml:space="preserve"> that Head has access to</w:t>
      </w:r>
      <w:r w:rsidR="00E9391B" w:rsidRPr="00C10ADA">
        <w:rPr>
          <w:sz w:val="24"/>
          <w:szCs w:val="24"/>
          <w:lang w:val="en-GB"/>
        </w:rPr>
        <w:t>.</w:t>
      </w:r>
    </w:p>
    <w:p w14:paraId="461CBAC0" w14:textId="4946D416" w:rsidR="00514BD0" w:rsidRPr="00C10ADA" w:rsidRDefault="00C7260E" w:rsidP="00CE5DE9">
      <w:pPr>
        <w:spacing w:line="300" w:lineRule="auto"/>
        <w:ind w:firstLine="708"/>
        <w:jc w:val="both"/>
        <w:rPr>
          <w:sz w:val="24"/>
          <w:szCs w:val="24"/>
          <w:lang w:val="en-GB"/>
        </w:rPr>
      </w:pPr>
      <w:r w:rsidRPr="00C10ADA">
        <w:rPr>
          <w:sz w:val="24"/>
          <w:szCs w:val="24"/>
          <w:lang w:val="en-GB"/>
        </w:rPr>
        <w:t>As an additional note, one should say that f</w:t>
      </w:r>
      <w:r w:rsidR="00B05315" w:rsidRPr="00C10ADA">
        <w:rPr>
          <w:sz w:val="24"/>
          <w:szCs w:val="24"/>
          <w:lang w:val="en-GB"/>
        </w:rPr>
        <w:t>ollow-up work on both topics has been very limited.</w:t>
      </w:r>
      <w:r w:rsidR="00E75633" w:rsidRPr="00C10ADA">
        <w:rPr>
          <w:sz w:val="24"/>
          <w:szCs w:val="24"/>
          <w:lang w:val="en-GB"/>
        </w:rPr>
        <w:t xml:space="preserve"> </w:t>
      </w:r>
      <w:r w:rsidR="002F57CE" w:rsidRPr="00C10ADA">
        <w:rPr>
          <w:sz w:val="24"/>
          <w:szCs w:val="24"/>
          <w:lang w:val="en-GB"/>
        </w:rPr>
        <w:t xml:space="preserve">20 years </w:t>
      </w:r>
      <w:r w:rsidRPr="00C10ADA">
        <w:rPr>
          <w:sz w:val="24"/>
          <w:szCs w:val="24"/>
          <w:lang w:val="en-GB"/>
        </w:rPr>
        <w:t>after his 1993 paper</w:t>
      </w:r>
      <w:r w:rsidR="002F57CE" w:rsidRPr="00C10ADA">
        <w:rPr>
          <w:sz w:val="24"/>
          <w:szCs w:val="24"/>
          <w:lang w:val="en-GB"/>
        </w:rPr>
        <w:t xml:space="preserve">, for the eightieth anniversary of the death of the composer, </w:t>
      </w:r>
      <w:r w:rsidRPr="00C10ADA">
        <w:rPr>
          <w:sz w:val="24"/>
          <w:szCs w:val="24"/>
          <w:lang w:val="en-GB"/>
        </w:rPr>
        <w:t xml:space="preserve">Head </w:t>
      </w:r>
      <w:r w:rsidR="002F57CE" w:rsidRPr="00C10ADA">
        <w:rPr>
          <w:sz w:val="24"/>
          <w:szCs w:val="24"/>
          <w:lang w:val="en-GB"/>
        </w:rPr>
        <w:t xml:space="preserve">published a booklet on </w:t>
      </w:r>
      <w:r w:rsidR="002F57CE" w:rsidRPr="00C10ADA">
        <w:rPr>
          <w:i/>
          <w:iCs/>
          <w:sz w:val="24"/>
          <w:szCs w:val="24"/>
          <w:lang w:val="en-GB"/>
        </w:rPr>
        <w:t>The Planets</w:t>
      </w:r>
      <w:r w:rsidR="002F57CE" w:rsidRPr="00C10ADA">
        <w:rPr>
          <w:sz w:val="24"/>
          <w:szCs w:val="24"/>
          <w:lang w:val="en-GB"/>
        </w:rPr>
        <w:t xml:space="preserve"> where </w:t>
      </w:r>
      <w:r w:rsidRPr="00C10ADA">
        <w:rPr>
          <w:sz w:val="24"/>
          <w:szCs w:val="24"/>
          <w:lang w:val="en-GB"/>
        </w:rPr>
        <w:t xml:space="preserve">the interest that Holst had in </w:t>
      </w:r>
      <w:r w:rsidR="002F57CE" w:rsidRPr="00C10ADA">
        <w:rPr>
          <w:sz w:val="24"/>
          <w:szCs w:val="24"/>
          <w:lang w:val="en-GB"/>
        </w:rPr>
        <w:t>astrology</w:t>
      </w:r>
      <w:r w:rsidRPr="00C10ADA">
        <w:rPr>
          <w:sz w:val="24"/>
          <w:szCs w:val="24"/>
          <w:lang w:val="en-GB"/>
        </w:rPr>
        <w:t xml:space="preserve"> is once again explored in depth</w:t>
      </w:r>
      <w:r w:rsidR="00F4094D">
        <w:rPr>
          <w:rStyle w:val="Appelnotedebasdep"/>
          <w:sz w:val="24"/>
          <w:szCs w:val="24"/>
          <w:lang w:val="en-GB"/>
        </w:rPr>
        <w:footnoteReference w:id="30"/>
      </w:r>
      <w:r w:rsidR="002F57CE" w:rsidRPr="00C10ADA">
        <w:rPr>
          <w:sz w:val="24"/>
          <w:szCs w:val="24"/>
          <w:lang w:val="en-GB"/>
        </w:rPr>
        <w:t>.</w:t>
      </w:r>
      <w:r w:rsidRPr="00C10ADA">
        <w:rPr>
          <w:sz w:val="24"/>
          <w:szCs w:val="24"/>
          <w:lang w:val="en-GB"/>
        </w:rPr>
        <w:t xml:space="preserve"> However, most citations of his original paper</w:t>
      </w:r>
      <w:r w:rsidR="002F57CE" w:rsidRPr="00C10ADA">
        <w:rPr>
          <w:sz w:val="24"/>
          <w:szCs w:val="24"/>
          <w:lang w:val="en-GB"/>
        </w:rPr>
        <w:t xml:space="preserve"> </w:t>
      </w:r>
      <w:r w:rsidRPr="00C10ADA">
        <w:rPr>
          <w:sz w:val="24"/>
          <w:szCs w:val="24"/>
          <w:lang w:val="en-GB"/>
        </w:rPr>
        <w:t xml:space="preserve">are not made in papers where astrology plays a predominant role; in fact, a </w:t>
      </w:r>
      <w:r w:rsidR="001E74A4" w:rsidRPr="00C10ADA">
        <w:rPr>
          <w:sz w:val="24"/>
          <w:szCs w:val="24"/>
          <w:lang w:val="en-GB"/>
        </w:rPr>
        <w:t>contemporary</w:t>
      </w:r>
      <w:r w:rsidRPr="00C10ADA">
        <w:rPr>
          <w:sz w:val="24"/>
          <w:szCs w:val="24"/>
          <w:lang w:val="en-GB"/>
        </w:rPr>
        <w:t xml:space="preserve"> composer in his </w:t>
      </w:r>
      <w:proofErr w:type="gramStart"/>
      <w:r w:rsidRPr="00C10ADA">
        <w:rPr>
          <w:sz w:val="24"/>
          <w:szCs w:val="24"/>
          <w:lang w:val="en-GB"/>
        </w:rPr>
        <w:t>Master’s</w:t>
      </w:r>
      <w:proofErr w:type="gramEnd"/>
      <w:r w:rsidRPr="00C10ADA">
        <w:rPr>
          <w:sz w:val="24"/>
          <w:szCs w:val="24"/>
          <w:lang w:val="en-GB"/>
        </w:rPr>
        <w:t xml:space="preserve"> thesis</w:t>
      </w:r>
      <w:r w:rsidR="00B501BE" w:rsidRPr="00C10ADA">
        <w:rPr>
          <w:sz w:val="24"/>
          <w:szCs w:val="24"/>
          <w:lang w:val="en-GB"/>
        </w:rPr>
        <w:t xml:space="preserve"> describing his work</w:t>
      </w:r>
      <w:r w:rsidR="000C6EC1">
        <w:rPr>
          <w:sz w:val="24"/>
          <w:szCs w:val="24"/>
          <w:lang w:val="en-GB"/>
        </w:rPr>
        <w:t xml:space="preserve"> being</w:t>
      </w:r>
      <w:r w:rsidR="00B839E8" w:rsidRPr="00C10ADA">
        <w:rPr>
          <w:sz w:val="24"/>
          <w:szCs w:val="24"/>
          <w:lang w:val="en-GB"/>
        </w:rPr>
        <w:t xml:space="preserve"> inspired by Holst’s </w:t>
      </w:r>
      <w:r w:rsidR="00B839E8" w:rsidRPr="00C10ADA">
        <w:rPr>
          <w:i/>
          <w:iCs/>
          <w:sz w:val="24"/>
          <w:szCs w:val="24"/>
          <w:lang w:val="en-GB"/>
        </w:rPr>
        <w:t>The Planets</w:t>
      </w:r>
      <w:r w:rsidRPr="00C10ADA">
        <w:rPr>
          <w:sz w:val="24"/>
          <w:szCs w:val="24"/>
          <w:lang w:val="en-GB"/>
        </w:rPr>
        <w:t xml:space="preserve"> prides himself in taking a “scientific” approach rather than an astrological one</w:t>
      </w:r>
      <w:r w:rsidR="00BB616C">
        <w:rPr>
          <w:rStyle w:val="Appelnotedebasdep"/>
          <w:sz w:val="24"/>
          <w:szCs w:val="24"/>
          <w:lang w:val="en-GB"/>
        </w:rPr>
        <w:footnoteReference w:id="31"/>
      </w:r>
      <w:r w:rsidRPr="00C10ADA">
        <w:rPr>
          <w:sz w:val="24"/>
          <w:szCs w:val="24"/>
          <w:lang w:val="en-GB"/>
        </w:rPr>
        <w:t xml:space="preserve">. In a similar vein, </w:t>
      </w:r>
      <w:r w:rsidR="00E75633" w:rsidRPr="00C10ADA">
        <w:rPr>
          <w:sz w:val="24"/>
          <w:szCs w:val="24"/>
          <w:lang w:val="en-GB"/>
        </w:rPr>
        <w:t>Hamacher, Fuller and Norris repeatedly publish papers with each other and cite their own previous publications</w:t>
      </w:r>
      <w:r w:rsidRPr="00C10ADA">
        <w:rPr>
          <w:sz w:val="24"/>
          <w:szCs w:val="24"/>
          <w:lang w:val="en-GB"/>
        </w:rPr>
        <w:t>, which seem to indicate researche</w:t>
      </w:r>
      <w:r w:rsidR="00935F6A" w:rsidRPr="00C10ADA">
        <w:rPr>
          <w:sz w:val="24"/>
          <w:szCs w:val="24"/>
          <w:lang w:val="en-GB"/>
        </w:rPr>
        <w:t>r</w:t>
      </w:r>
      <w:r w:rsidR="00E75633" w:rsidRPr="00C10ADA">
        <w:rPr>
          <w:sz w:val="24"/>
          <w:szCs w:val="24"/>
          <w:lang w:val="en-GB"/>
        </w:rPr>
        <w:t xml:space="preserve">s from across the disciplinary spectrum </w:t>
      </w:r>
      <w:r w:rsidRPr="00C10ADA">
        <w:rPr>
          <w:sz w:val="24"/>
          <w:szCs w:val="24"/>
          <w:lang w:val="en-GB"/>
        </w:rPr>
        <w:t xml:space="preserve">are not inclined </w:t>
      </w:r>
      <w:r w:rsidR="00E75633" w:rsidRPr="00C10ADA">
        <w:rPr>
          <w:sz w:val="24"/>
          <w:szCs w:val="24"/>
          <w:lang w:val="en-GB"/>
        </w:rPr>
        <w:t>to collaborat</w:t>
      </w:r>
      <w:r w:rsidRPr="00C10ADA">
        <w:rPr>
          <w:sz w:val="24"/>
          <w:szCs w:val="24"/>
          <w:lang w:val="en-GB"/>
        </w:rPr>
        <w:t>e. Added to that</w:t>
      </w:r>
      <w:r w:rsidR="00E31B25" w:rsidRPr="00C10ADA">
        <w:rPr>
          <w:sz w:val="24"/>
          <w:szCs w:val="24"/>
          <w:lang w:val="en-GB"/>
        </w:rPr>
        <w:t xml:space="preserve">, Norris later </w:t>
      </w:r>
      <w:r w:rsidR="0071592F" w:rsidRPr="00C10ADA">
        <w:rPr>
          <w:sz w:val="24"/>
          <w:szCs w:val="24"/>
          <w:lang w:val="en-GB"/>
        </w:rPr>
        <w:t xml:space="preserve">even </w:t>
      </w:r>
      <w:r w:rsidR="00E31B25" w:rsidRPr="00C10ADA">
        <w:rPr>
          <w:sz w:val="24"/>
          <w:szCs w:val="24"/>
          <w:lang w:val="en-GB"/>
        </w:rPr>
        <w:t xml:space="preserve">exaggerates their findings, </w:t>
      </w:r>
      <w:r w:rsidR="0071592F" w:rsidRPr="00C10ADA">
        <w:rPr>
          <w:sz w:val="24"/>
          <w:szCs w:val="24"/>
          <w:lang w:val="en-GB"/>
        </w:rPr>
        <w:t xml:space="preserve">definitely stating that they determined </w:t>
      </w:r>
      <w:r w:rsidR="00E31B25" w:rsidRPr="00C10ADA">
        <w:rPr>
          <w:sz w:val="24"/>
          <w:szCs w:val="24"/>
          <w:lang w:val="en-GB"/>
        </w:rPr>
        <w:t>“an accuracy attainable only by astronomical measurement”</w:t>
      </w:r>
      <w:r w:rsidR="00DF4125">
        <w:rPr>
          <w:rStyle w:val="Appelnotedebasdep"/>
          <w:sz w:val="24"/>
          <w:szCs w:val="24"/>
          <w:lang w:val="en-GB"/>
        </w:rPr>
        <w:footnoteReference w:id="32"/>
      </w:r>
      <w:r w:rsidR="009A4229" w:rsidRPr="00C10ADA">
        <w:rPr>
          <w:sz w:val="24"/>
          <w:szCs w:val="24"/>
          <w:lang w:val="en-GB"/>
        </w:rPr>
        <w:t>,</w:t>
      </w:r>
      <w:r w:rsidR="00E31B25" w:rsidRPr="00C10ADA">
        <w:rPr>
          <w:sz w:val="24"/>
          <w:szCs w:val="24"/>
          <w:lang w:val="en-GB"/>
        </w:rPr>
        <w:t xml:space="preserve"> although the </w:t>
      </w:r>
      <w:r w:rsidR="00F36EDC" w:rsidRPr="00C10ADA">
        <w:rPr>
          <w:sz w:val="24"/>
          <w:szCs w:val="24"/>
          <w:lang w:val="en-GB"/>
        </w:rPr>
        <w:t xml:space="preserve">potential for </w:t>
      </w:r>
      <w:r w:rsidR="00E31B25" w:rsidRPr="00C10ADA">
        <w:rPr>
          <w:sz w:val="24"/>
          <w:szCs w:val="24"/>
          <w:lang w:val="en-GB"/>
        </w:rPr>
        <w:t>future work reco</w:t>
      </w:r>
      <w:r w:rsidR="00F36EDC" w:rsidRPr="00C10ADA">
        <w:rPr>
          <w:sz w:val="24"/>
          <w:szCs w:val="24"/>
          <w:lang w:val="en-GB"/>
        </w:rPr>
        <w:t xml:space="preserve">gnised in 2012 </w:t>
      </w:r>
      <w:r w:rsidR="009A4229" w:rsidRPr="00C10ADA">
        <w:rPr>
          <w:sz w:val="24"/>
          <w:szCs w:val="24"/>
          <w:lang w:val="en-GB"/>
        </w:rPr>
        <w:t xml:space="preserve">remains to be </w:t>
      </w:r>
      <w:r w:rsidR="00F36EDC" w:rsidRPr="00C10ADA">
        <w:rPr>
          <w:sz w:val="24"/>
          <w:szCs w:val="24"/>
          <w:lang w:val="en-GB"/>
        </w:rPr>
        <w:t xml:space="preserve">capitalised upon. </w:t>
      </w:r>
      <w:r w:rsidR="0015508E" w:rsidRPr="00C10ADA">
        <w:rPr>
          <w:sz w:val="24"/>
          <w:szCs w:val="24"/>
          <w:lang w:val="en-GB"/>
        </w:rPr>
        <w:t>Just like the evolution of academia and the publishing industry are topics that go beyond the scope of this essay, it is not possible to discuss here</w:t>
      </w:r>
      <w:r w:rsidR="00B501BE" w:rsidRPr="00C10ADA">
        <w:rPr>
          <w:sz w:val="24"/>
          <w:szCs w:val="24"/>
          <w:lang w:val="en-GB"/>
        </w:rPr>
        <w:t xml:space="preserve"> whether there is a </w:t>
      </w:r>
      <w:r w:rsidR="005F2B1D" w:rsidRPr="00C10ADA">
        <w:rPr>
          <w:sz w:val="24"/>
          <w:szCs w:val="24"/>
          <w:lang w:val="en-GB"/>
        </w:rPr>
        <w:t xml:space="preserve">dominance of the disciplines of science over those of </w:t>
      </w:r>
      <w:r w:rsidR="00264F31" w:rsidRPr="00C10ADA">
        <w:rPr>
          <w:sz w:val="24"/>
          <w:szCs w:val="24"/>
          <w:lang w:val="en-GB"/>
        </w:rPr>
        <w:t xml:space="preserve">the </w:t>
      </w:r>
      <w:r w:rsidR="005F2B1D" w:rsidRPr="00C10ADA">
        <w:rPr>
          <w:sz w:val="24"/>
          <w:szCs w:val="24"/>
          <w:lang w:val="en-GB"/>
        </w:rPr>
        <w:t>humanities</w:t>
      </w:r>
      <w:r w:rsidR="0015508E" w:rsidRPr="00C10ADA">
        <w:rPr>
          <w:sz w:val="24"/>
          <w:szCs w:val="24"/>
          <w:lang w:val="en-GB"/>
        </w:rPr>
        <w:t xml:space="preserve">. Nevertheless, the question is posed as to whether some subjects are still considered </w:t>
      </w:r>
      <w:r w:rsidR="0015508E" w:rsidRPr="00C10ADA">
        <w:rPr>
          <w:i/>
          <w:iCs/>
          <w:sz w:val="24"/>
          <w:szCs w:val="24"/>
          <w:lang w:val="en-GB"/>
        </w:rPr>
        <w:t>Verboten</w:t>
      </w:r>
      <w:r w:rsidR="0015508E" w:rsidRPr="00C10ADA">
        <w:rPr>
          <w:sz w:val="24"/>
          <w:szCs w:val="24"/>
          <w:lang w:val="en-GB"/>
        </w:rPr>
        <w:t xml:space="preserve">, 30 years after Head made his observation. </w:t>
      </w:r>
    </w:p>
    <w:p w14:paraId="76D8420D" w14:textId="30A01154" w:rsidR="00C4213C" w:rsidRDefault="003910D7" w:rsidP="00C4213C">
      <w:pPr>
        <w:spacing w:line="300" w:lineRule="auto"/>
        <w:jc w:val="both"/>
        <w:rPr>
          <w:sz w:val="24"/>
          <w:szCs w:val="24"/>
          <w:lang w:val="en-GB"/>
        </w:rPr>
      </w:pPr>
      <w:r w:rsidRPr="00C10ADA">
        <w:rPr>
          <w:sz w:val="24"/>
          <w:szCs w:val="24"/>
          <w:lang w:val="en-GB"/>
        </w:rPr>
        <w:tab/>
      </w:r>
    </w:p>
    <w:p w14:paraId="39A98AA3" w14:textId="19BCB0D3" w:rsidR="0086078C" w:rsidRPr="00C10ADA" w:rsidRDefault="003910D7" w:rsidP="00C4213C">
      <w:pPr>
        <w:spacing w:line="300" w:lineRule="auto"/>
        <w:ind w:firstLine="708"/>
        <w:jc w:val="both"/>
        <w:rPr>
          <w:sz w:val="24"/>
          <w:szCs w:val="24"/>
          <w:lang w:val="en-GB"/>
        </w:rPr>
      </w:pPr>
      <w:r w:rsidRPr="00C10ADA">
        <w:rPr>
          <w:sz w:val="24"/>
          <w:szCs w:val="24"/>
          <w:lang w:val="en-GB"/>
        </w:rPr>
        <w:t xml:space="preserve">In summary, both for ““Holst - Astrology and Modernism in ‘The Planets’” and “Orientations of Linear Stone Arrangements in New South Wales” the authors omit to provide a definition of the key terms “Astrology” and “Aboriginal astronomy”, respectively. In terms of the methodology, the differences that can be found when comparing the papers’ structure and use of evidence can be understood from the nature of the primary sources. </w:t>
      </w:r>
    </w:p>
    <w:p w14:paraId="71763CF5" w14:textId="77777777" w:rsidR="0086078C" w:rsidRDefault="0086078C">
      <w:pPr>
        <w:rPr>
          <w:lang w:val="en-GB"/>
        </w:rPr>
      </w:pPr>
      <w:r>
        <w:rPr>
          <w:lang w:val="en-GB"/>
        </w:rPr>
        <w:br w:type="page"/>
      </w:r>
    </w:p>
    <w:p w14:paraId="55360BB6" w14:textId="600D6742" w:rsidR="0015598A" w:rsidRDefault="0015598A" w:rsidP="003910D7">
      <w:pPr>
        <w:ind w:firstLine="708"/>
        <w:jc w:val="both"/>
        <w:rPr>
          <w:lang w:val="en-GB"/>
        </w:rPr>
      </w:pPr>
    </w:p>
    <w:p w14:paraId="7D3F2A50" w14:textId="558600B6" w:rsidR="0086078C" w:rsidRPr="0015598A" w:rsidRDefault="0086078C" w:rsidP="003910D7">
      <w:pPr>
        <w:ind w:firstLine="708"/>
        <w:jc w:val="both"/>
        <w:rPr>
          <w:lang w:val="en-GB"/>
        </w:rPr>
      </w:pPr>
      <w:r>
        <w:rPr>
          <w:i/>
          <w:iCs/>
          <w:sz w:val="36"/>
          <w:szCs w:val="36"/>
          <w:lang w:val="en-GB"/>
        </w:rPr>
        <w:t>Bibliography to be Added</w:t>
      </w:r>
    </w:p>
    <w:sectPr w:rsidR="0086078C" w:rsidRPr="0015598A" w:rsidSect="00C4213C">
      <w:headerReference w:type="default" r:id="rId7"/>
      <w:pgSz w:w="11906" w:h="16838"/>
      <w:pgMar w:top="1531" w:right="1418" w:bottom="1531"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896744" w14:textId="77777777" w:rsidR="00D4511C" w:rsidRDefault="00D4511C" w:rsidP="0015598A">
      <w:pPr>
        <w:spacing w:after="0"/>
      </w:pPr>
      <w:r>
        <w:separator/>
      </w:r>
    </w:p>
  </w:endnote>
  <w:endnote w:type="continuationSeparator" w:id="0">
    <w:p w14:paraId="764A34CE" w14:textId="77777777" w:rsidR="00D4511C" w:rsidRDefault="00D4511C" w:rsidP="0015598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54CC6" w14:textId="77777777" w:rsidR="00D4511C" w:rsidRDefault="00D4511C" w:rsidP="0015598A">
      <w:pPr>
        <w:spacing w:after="0"/>
      </w:pPr>
      <w:r>
        <w:separator/>
      </w:r>
    </w:p>
  </w:footnote>
  <w:footnote w:type="continuationSeparator" w:id="0">
    <w:p w14:paraId="24840485" w14:textId="77777777" w:rsidR="00D4511C" w:rsidRDefault="00D4511C" w:rsidP="0015598A">
      <w:pPr>
        <w:spacing w:after="0"/>
      </w:pPr>
      <w:r>
        <w:continuationSeparator/>
      </w:r>
    </w:p>
  </w:footnote>
  <w:footnote w:id="1">
    <w:p w14:paraId="51A2F7A7" w14:textId="06DBA3F0" w:rsidR="00026042" w:rsidRPr="00026042" w:rsidRDefault="00026042">
      <w:pPr>
        <w:pStyle w:val="Notedebasdepage"/>
        <w:rPr>
          <w:lang w:val="en-GB"/>
        </w:rPr>
      </w:pPr>
      <w:r>
        <w:rPr>
          <w:rStyle w:val="Appelnotedebasdep"/>
        </w:rPr>
        <w:footnoteRef/>
      </w:r>
      <w:r w:rsidRPr="00026042">
        <w:rPr>
          <w:lang w:val="en-GB"/>
        </w:rPr>
        <w:t xml:space="preserve"> Raymond Head, </w:t>
      </w:r>
      <w:r w:rsidRPr="00026042">
        <w:rPr>
          <w:i/>
          <w:iCs/>
          <w:lang w:val="en-GB"/>
        </w:rPr>
        <w:t>Raymond Head</w:t>
      </w:r>
      <w:r w:rsidR="008A2F7D">
        <w:rPr>
          <w:i/>
          <w:iCs/>
          <w:lang w:val="en-GB"/>
        </w:rPr>
        <w:t xml:space="preserve"> - Biography</w:t>
      </w:r>
      <w:r>
        <w:rPr>
          <w:lang w:val="en-GB"/>
        </w:rPr>
        <w:t xml:space="preserve"> (2021)</w:t>
      </w:r>
      <w:r w:rsidR="008A2F7D">
        <w:rPr>
          <w:lang w:val="en-GB"/>
        </w:rPr>
        <w:t xml:space="preserve">, </w:t>
      </w:r>
      <w:hyperlink r:id="rId1" w:history="1">
        <w:r w:rsidR="008A2F7D" w:rsidRPr="00B876C2">
          <w:rPr>
            <w:rStyle w:val="Lienhypertexte"/>
            <w:lang w:val="en-GB"/>
          </w:rPr>
          <w:t>https://raymondhead.com/biography</w:t>
        </w:r>
      </w:hyperlink>
      <w:r>
        <w:rPr>
          <w:lang w:val="en-GB"/>
        </w:rPr>
        <w:t xml:space="preserve"> [accessed 04 November 2022]</w:t>
      </w:r>
    </w:p>
  </w:footnote>
  <w:footnote w:id="2">
    <w:p w14:paraId="796D6143" w14:textId="080054A9" w:rsidR="00026042" w:rsidRPr="00026042" w:rsidRDefault="00026042">
      <w:pPr>
        <w:pStyle w:val="Notedebasdepage"/>
        <w:rPr>
          <w:lang w:val="en-GB"/>
        </w:rPr>
      </w:pPr>
      <w:r>
        <w:rPr>
          <w:rStyle w:val="Appelnotedebasdep"/>
        </w:rPr>
        <w:footnoteRef/>
      </w:r>
      <w:r w:rsidRPr="00026042">
        <w:rPr>
          <w:lang w:val="en-GB"/>
        </w:rPr>
        <w:t xml:space="preserve"> Raymond Head, </w:t>
      </w:r>
      <w:r w:rsidRPr="00026042">
        <w:rPr>
          <w:i/>
          <w:iCs/>
          <w:lang w:val="en-GB"/>
        </w:rPr>
        <w:t>Raymond Head</w:t>
      </w:r>
      <w:r w:rsidR="008A2F7D">
        <w:rPr>
          <w:i/>
          <w:iCs/>
          <w:lang w:val="en-GB"/>
        </w:rPr>
        <w:t xml:space="preserve"> - Bibliography</w:t>
      </w:r>
      <w:r>
        <w:rPr>
          <w:lang w:val="en-GB"/>
        </w:rPr>
        <w:t xml:space="preserve"> (2021)</w:t>
      </w:r>
      <w:r w:rsidR="008A2F7D">
        <w:rPr>
          <w:lang w:val="en-GB"/>
        </w:rPr>
        <w:t>,</w:t>
      </w:r>
      <w:r w:rsidRPr="00026042">
        <w:rPr>
          <w:lang w:val="en-GB"/>
        </w:rPr>
        <w:t xml:space="preserve"> </w:t>
      </w:r>
      <w:hyperlink r:id="rId2" w:history="1">
        <w:r w:rsidRPr="00B876C2">
          <w:rPr>
            <w:rStyle w:val="Lienhypertexte"/>
            <w:lang w:val="en-GB"/>
          </w:rPr>
          <w:t>https://raymondhead.com/bibliography</w:t>
        </w:r>
      </w:hyperlink>
      <w:r>
        <w:rPr>
          <w:lang w:val="en-GB"/>
        </w:rPr>
        <w:t xml:space="preserve"> [accessed 04 November 2022]</w:t>
      </w:r>
    </w:p>
  </w:footnote>
  <w:footnote w:id="3">
    <w:p w14:paraId="4730D298" w14:textId="009FA221" w:rsidR="008A2F7D" w:rsidRPr="00D70AD4" w:rsidRDefault="008A2F7D">
      <w:pPr>
        <w:pStyle w:val="Notedebasdepage"/>
        <w:rPr>
          <w:lang w:val="en-GB"/>
        </w:rPr>
      </w:pPr>
      <w:r>
        <w:rPr>
          <w:rStyle w:val="Appelnotedebasdep"/>
        </w:rPr>
        <w:footnoteRef/>
      </w:r>
      <w:r w:rsidRPr="00D70AD4">
        <w:rPr>
          <w:lang w:val="en-GB"/>
        </w:rPr>
        <w:t xml:space="preserve"> JSTOR, </w:t>
      </w:r>
      <w:r w:rsidRPr="00D70AD4">
        <w:rPr>
          <w:i/>
          <w:iCs/>
          <w:lang w:val="en-GB"/>
        </w:rPr>
        <w:t>Tempo</w:t>
      </w:r>
      <w:r w:rsidRPr="00D70AD4">
        <w:rPr>
          <w:lang w:val="en-GB"/>
        </w:rPr>
        <w:t xml:space="preserve"> (2000), </w:t>
      </w:r>
      <w:r w:rsidRPr="00D70AD4">
        <w:rPr>
          <w:rFonts w:cstheme="minorHAnsi"/>
          <w:lang w:val="en-GB"/>
        </w:rPr>
        <w:t xml:space="preserve">https://www.jstor.org/journal/tempo </w:t>
      </w:r>
      <w:r>
        <w:rPr>
          <w:lang w:val="en-GB"/>
        </w:rPr>
        <w:t>[accessed 04 November 2022]</w:t>
      </w:r>
    </w:p>
  </w:footnote>
  <w:footnote w:id="4">
    <w:p w14:paraId="2F62356B" w14:textId="606B7539" w:rsidR="008A2F7D" w:rsidRPr="00D70AD4" w:rsidRDefault="008A2F7D">
      <w:pPr>
        <w:pStyle w:val="Notedebasdepage"/>
        <w:rPr>
          <w:lang w:val="en-GB"/>
        </w:rPr>
      </w:pPr>
      <w:r>
        <w:rPr>
          <w:rStyle w:val="Appelnotedebasdep"/>
        </w:rPr>
        <w:footnoteRef/>
      </w:r>
      <w:r w:rsidRPr="00D70AD4">
        <w:rPr>
          <w:lang w:val="en-GB"/>
        </w:rPr>
        <w:t xml:space="preserve"> </w:t>
      </w:r>
      <w:r w:rsidR="00D70AD4" w:rsidRPr="0015598A">
        <w:rPr>
          <w:lang w:val="en-GB"/>
        </w:rPr>
        <w:t xml:space="preserve">Head, </w:t>
      </w:r>
      <w:r w:rsidR="00D70AD4">
        <w:rPr>
          <w:lang w:val="en-GB"/>
        </w:rPr>
        <w:t>“</w:t>
      </w:r>
      <w:r w:rsidR="00D70AD4" w:rsidRPr="0015598A">
        <w:rPr>
          <w:lang w:val="en-GB"/>
        </w:rPr>
        <w:t>Holst - Astrology and Modernism in ‘The Planets’</w:t>
      </w:r>
      <w:r w:rsidR="00D70AD4">
        <w:rPr>
          <w:lang w:val="en-GB"/>
        </w:rPr>
        <w:t>”</w:t>
      </w:r>
      <w:r w:rsidR="00D70AD4" w:rsidRPr="0015598A">
        <w:rPr>
          <w:lang w:val="en-GB"/>
        </w:rPr>
        <w:t>, p</w:t>
      </w:r>
      <w:r w:rsidR="00D70AD4">
        <w:rPr>
          <w:lang w:val="en-GB"/>
        </w:rPr>
        <w:t>.15</w:t>
      </w:r>
    </w:p>
  </w:footnote>
  <w:footnote w:id="5">
    <w:p w14:paraId="007A416E" w14:textId="7EABD563" w:rsidR="00D70AD4" w:rsidRDefault="00D70AD4">
      <w:pPr>
        <w:pStyle w:val="Notedebasdepage"/>
      </w:pPr>
      <w:r>
        <w:rPr>
          <w:rStyle w:val="Appelnotedebasdep"/>
        </w:rPr>
        <w:t>5</w:t>
      </w:r>
      <w:r>
        <w:t xml:space="preserve"> Ibid., p.22</w:t>
      </w:r>
    </w:p>
  </w:footnote>
  <w:footnote w:id="6">
    <w:p w14:paraId="43AD3018" w14:textId="3FFD646D" w:rsidR="00D70AD4" w:rsidRDefault="00D70AD4">
      <w:pPr>
        <w:pStyle w:val="Notedebasdepage"/>
      </w:pPr>
      <w:r>
        <w:rPr>
          <w:rStyle w:val="Appelnotedebasdep"/>
        </w:rPr>
        <w:footnoteRef/>
      </w:r>
      <w:r>
        <w:t xml:space="preserve"> Ibid.</w:t>
      </w:r>
    </w:p>
  </w:footnote>
  <w:footnote w:id="7">
    <w:p w14:paraId="35B5BA28" w14:textId="2F8A127C" w:rsidR="00D70AD4" w:rsidRDefault="00D70AD4">
      <w:pPr>
        <w:pStyle w:val="Notedebasdepage"/>
      </w:pPr>
      <w:r>
        <w:rPr>
          <w:rStyle w:val="Appelnotedebasdep"/>
        </w:rPr>
        <w:footnoteRef/>
      </w:r>
      <w:r>
        <w:t xml:space="preserve"> Ibid., p.21</w:t>
      </w:r>
    </w:p>
  </w:footnote>
  <w:footnote w:id="8">
    <w:p w14:paraId="0F8054F9" w14:textId="7A2CE5FA" w:rsidR="00522EEB" w:rsidRPr="00522EEB" w:rsidRDefault="00522EEB">
      <w:pPr>
        <w:pStyle w:val="Notedebasdepage"/>
        <w:rPr>
          <w:lang w:val="en-GB"/>
        </w:rPr>
      </w:pPr>
      <w:r>
        <w:rPr>
          <w:rStyle w:val="Appelnotedebasdep"/>
        </w:rPr>
        <w:footnoteRef/>
      </w:r>
      <w:r w:rsidRPr="00522EEB">
        <w:rPr>
          <w:lang w:val="en-GB"/>
        </w:rPr>
        <w:t xml:space="preserve"> </w:t>
      </w:r>
      <w:r w:rsidRPr="0015598A">
        <w:rPr>
          <w:lang w:val="en-GB"/>
        </w:rPr>
        <w:t>Hamacher</w:t>
      </w:r>
      <w:r>
        <w:rPr>
          <w:lang w:val="en-GB"/>
        </w:rPr>
        <w:t xml:space="preserve"> et al.,</w:t>
      </w:r>
      <w:r w:rsidRPr="0015598A">
        <w:rPr>
          <w:lang w:val="en-GB"/>
        </w:rPr>
        <w:t xml:space="preserve"> </w:t>
      </w:r>
      <w:r>
        <w:rPr>
          <w:lang w:val="en-GB"/>
        </w:rPr>
        <w:t>“</w:t>
      </w:r>
      <w:r w:rsidRPr="0015598A">
        <w:rPr>
          <w:lang w:val="en-GB"/>
        </w:rPr>
        <w:t>Orientations of Linear Stone Arrangements in</w:t>
      </w:r>
      <w:r>
        <w:rPr>
          <w:lang w:val="en-GB"/>
        </w:rPr>
        <w:t xml:space="preserve"> </w:t>
      </w:r>
      <w:r w:rsidRPr="0015598A">
        <w:rPr>
          <w:lang w:val="en-GB"/>
        </w:rPr>
        <w:t>New South Wales</w:t>
      </w:r>
      <w:r>
        <w:rPr>
          <w:lang w:val="en-GB"/>
        </w:rPr>
        <w:t>”,</w:t>
      </w:r>
      <w:r w:rsidRPr="0015598A">
        <w:rPr>
          <w:lang w:val="en-GB"/>
        </w:rPr>
        <w:t xml:space="preserve"> </w:t>
      </w:r>
      <w:r>
        <w:rPr>
          <w:lang w:val="en-GB"/>
        </w:rPr>
        <w:t>p.</w:t>
      </w:r>
      <w:r w:rsidRPr="0015598A">
        <w:rPr>
          <w:lang w:val="en-GB"/>
        </w:rPr>
        <w:t>46</w:t>
      </w:r>
    </w:p>
  </w:footnote>
  <w:footnote w:id="9">
    <w:p w14:paraId="1CD22DAD" w14:textId="3ABC2F7D" w:rsidR="0086078C" w:rsidRPr="0086078C" w:rsidRDefault="0086078C">
      <w:pPr>
        <w:pStyle w:val="Notedebasdepage"/>
        <w:rPr>
          <w:lang w:val="en-GB"/>
        </w:rPr>
      </w:pPr>
      <w:r>
        <w:rPr>
          <w:rStyle w:val="Appelnotedebasdep"/>
        </w:rPr>
        <w:footnoteRef/>
      </w:r>
      <w:r w:rsidRPr="0086078C">
        <w:rPr>
          <w:lang w:val="en-GB"/>
        </w:rPr>
        <w:t xml:space="preserve"> ResearchGate, </w:t>
      </w:r>
      <w:r w:rsidRPr="0086078C">
        <w:rPr>
          <w:i/>
          <w:iCs/>
          <w:lang w:val="en-GB"/>
        </w:rPr>
        <w:t xml:space="preserve">Robert S. Fuller </w:t>
      </w:r>
      <w:r w:rsidRPr="0086078C">
        <w:rPr>
          <w:lang w:val="en-GB"/>
        </w:rPr>
        <w:t xml:space="preserve">(2012), </w:t>
      </w:r>
      <w:hyperlink r:id="rId3" w:history="1">
        <w:r w:rsidRPr="00B876C2">
          <w:rPr>
            <w:rStyle w:val="Lienhypertexte"/>
            <w:lang w:val="en-GB"/>
          </w:rPr>
          <w:t>https://www.researchgate.net/profile/Robert-Fuller-13</w:t>
        </w:r>
      </w:hyperlink>
      <w:r>
        <w:rPr>
          <w:lang w:val="en-GB"/>
        </w:rPr>
        <w:t xml:space="preserve"> [accessed 04 November 2</w:t>
      </w:r>
      <w:r w:rsidR="00FE509C">
        <w:rPr>
          <w:lang w:val="en-GB"/>
        </w:rPr>
        <w:t>02</w:t>
      </w:r>
      <w:r>
        <w:rPr>
          <w:lang w:val="en-GB"/>
        </w:rPr>
        <w:t>2]</w:t>
      </w:r>
    </w:p>
  </w:footnote>
  <w:footnote w:id="10">
    <w:p w14:paraId="129A33B8" w14:textId="7B498E25" w:rsidR="0086078C" w:rsidRPr="00FE509C" w:rsidRDefault="0086078C">
      <w:pPr>
        <w:pStyle w:val="Notedebasdepage"/>
        <w:rPr>
          <w:lang w:val="en-GB"/>
        </w:rPr>
      </w:pPr>
      <w:r>
        <w:rPr>
          <w:rStyle w:val="Appelnotedebasdep"/>
        </w:rPr>
        <w:footnoteRef/>
      </w:r>
      <w:r w:rsidRPr="00FE509C">
        <w:rPr>
          <w:lang w:val="en-GB"/>
        </w:rPr>
        <w:t xml:space="preserve"> Duane Hamacher, </w:t>
      </w:r>
      <w:r w:rsidR="00FE509C" w:rsidRPr="00FE509C">
        <w:rPr>
          <w:i/>
          <w:iCs/>
          <w:lang w:val="en-GB"/>
        </w:rPr>
        <w:t>Curriculum Vitae</w:t>
      </w:r>
      <w:r w:rsidR="00FE509C" w:rsidRPr="00FE509C">
        <w:rPr>
          <w:lang w:val="en-GB"/>
        </w:rPr>
        <w:t xml:space="preserve"> (2022), </w:t>
      </w:r>
      <w:hyperlink r:id="rId4" w:history="1">
        <w:r w:rsidR="00FE509C" w:rsidRPr="00FE509C">
          <w:rPr>
            <w:rStyle w:val="Lienhypertexte"/>
            <w:lang w:val="en-GB"/>
          </w:rPr>
          <w:t>https://unimelb.academia.edu/DuaneHamacher/CurriculumVitae</w:t>
        </w:r>
      </w:hyperlink>
      <w:r w:rsidR="00FE509C" w:rsidRPr="00FE509C">
        <w:rPr>
          <w:lang w:val="en-GB"/>
        </w:rPr>
        <w:t xml:space="preserve"> [accessed 04 No</w:t>
      </w:r>
      <w:r w:rsidR="00FE509C">
        <w:rPr>
          <w:lang w:val="en-GB"/>
        </w:rPr>
        <w:t>vember 2022</w:t>
      </w:r>
      <w:r w:rsidR="00FE509C" w:rsidRPr="00FE509C">
        <w:rPr>
          <w:lang w:val="en-GB"/>
        </w:rPr>
        <w:t>]</w:t>
      </w:r>
    </w:p>
  </w:footnote>
  <w:footnote w:id="11">
    <w:p w14:paraId="4AE18989" w14:textId="257D0E51" w:rsidR="00967755" w:rsidRPr="00967755" w:rsidRDefault="00967755">
      <w:pPr>
        <w:pStyle w:val="Notedebasdepage"/>
        <w:rPr>
          <w:lang w:val="en-GB"/>
        </w:rPr>
      </w:pPr>
      <w:r>
        <w:rPr>
          <w:rStyle w:val="Appelnotedebasdep"/>
        </w:rPr>
        <w:footnoteRef/>
      </w:r>
      <w:r w:rsidRPr="00967755">
        <w:rPr>
          <w:lang w:val="en-GB"/>
        </w:rPr>
        <w:t xml:space="preserve"> </w:t>
      </w:r>
      <w:r w:rsidRPr="0015598A">
        <w:rPr>
          <w:lang w:val="en-GB"/>
        </w:rPr>
        <w:t>Hamacher</w:t>
      </w:r>
      <w:r>
        <w:rPr>
          <w:lang w:val="en-GB"/>
        </w:rPr>
        <w:t xml:space="preserve"> et al.,</w:t>
      </w:r>
      <w:r w:rsidRPr="0015598A">
        <w:rPr>
          <w:lang w:val="en-GB"/>
        </w:rPr>
        <w:t xml:space="preserve"> </w:t>
      </w:r>
      <w:r>
        <w:rPr>
          <w:lang w:val="en-GB"/>
        </w:rPr>
        <w:t>“</w:t>
      </w:r>
      <w:r w:rsidRPr="0015598A">
        <w:rPr>
          <w:lang w:val="en-GB"/>
        </w:rPr>
        <w:t>Orientations of Linear Stone Arrangements in</w:t>
      </w:r>
      <w:r>
        <w:rPr>
          <w:lang w:val="en-GB"/>
        </w:rPr>
        <w:t xml:space="preserve"> </w:t>
      </w:r>
      <w:r w:rsidRPr="0015598A">
        <w:rPr>
          <w:lang w:val="en-GB"/>
        </w:rPr>
        <w:t>New South Wales</w:t>
      </w:r>
      <w:r>
        <w:rPr>
          <w:lang w:val="en-GB"/>
        </w:rPr>
        <w:t>”,</w:t>
      </w:r>
      <w:r w:rsidRPr="0015598A">
        <w:rPr>
          <w:lang w:val="en-GB"/>
        </w:rPr>
        <w:t xml:space="preserve"> </w:t>
      </w:r>
      <w:r>
        <w:rPr>
          <w:lang w:val="en-GB"/>
        </w:rPr>
        <w:t>p.</w:t>
      </w:r>
      <w:r w:rsidRPr="0015598A">
        <w:rPr>
          <w:lang w:val="en-GB"/>
        </w:rPr>
        <w:t>4</w:t>
      </w:r>
      <w:r>
        <w:rPr>
          <w:lang w:val="en-GB"/>
        </w:rPr>
        <w:t>9</w:t>
      </w:r>
    </w:p>
  </w:footnote>
  <w:footnote w:id="12">
    <w:p w14:paraId="1FD05E2B" w14:textId="7073A11C" w:rsidR="00C10ADA" w:rsidRDefault="00C10ADA">
      <w:pPr>
        <w:pStyle w:val="Notedebasdepage"/>
      </w:pPr>
      <w:r>
        <w:rPr>
          <w:rStyle w:val="Appelnotedebasdep"/>
        </w:rPr>
        <w:footnoteRef/>
      </w:r>
      <w:r>
        <w:t xml:space="preserve"> </w:t>
      </w:r>
      <w:r w:rsidRPr="00FE509C">
        <w:rPr>
          <w:lang w:val="en-GB"/>
        </w:rPr>
        <w:t xml:space="preserve">Hamacher, </w:t>
      </w:r>
      <w:r w:rsidRPr="00FE509C">
        <w:rPr>
          <w:i/>
          <w:iCs/>
          <w:lang w:val="en-GB"/>
        </w:rPr>
        <w:t>Curriculum Vitae</w:t>
      </w:r>
    </w:p>
  </w:footnote>
  <w:footnote w:id="13">
    <w:p w14:paraId="1CCD5B65" w14:textId="6E227BB0" w:rsidR="00B80DD4" w:rsidRPr="00B80DD4" w:rsidRDefault="00B80DD4">
      <w:pPr>
        <w:pStyle w:val="Notedebasdepage"/>
        <w:rPr>
          <w:lang w:val="en-GB"/>
        </w:rPr>
      </w:pPr>
      <w:r>
        <w:rPr>
          <w:rStyle w:val="Appelnotedebasdep"/>
        </w:rPr>
        <w:footnoteRef/>
      </w:r>
      <w:r w:rsidRPr="00B80DD4">
        <w:rPr>
          <w:lang w:val="en-GB"/>
        </w:rPr>
        <w:t xml:space="preserve"> </w:t>
      </w:r>
      <w:r w:rsidRPr="0015598A">
        <w:rPr>
          <w:lang w:val="en-GB"/>
        </w:rPr>
        <w:t xml:space="preserve">Head, </w:t>
      </w:r>
      <w:r>
        <w:rPr>
          <w:lang w:val="en-GB"/>
        </w:rPr>
        <w:t>“</w:t>
      </w:r>
      <w:r w:rsidRPr="0015598A">
        <w:rPr>
          <w:lang w:val="en-GB"/>
        </w:rPr>
        <w:t>Holst - Astrology and Modernism in ‘The Planets’</w:t>
      </w:r>
      <w:r>
        <w:rPr>
          <w:lang w:val="en-GB"/>
        </w:rPr>
        <w:t>”</w:t>
      </w:r>
      <w:r w:rsidRPr="0015598A">
        <w:rPr>
          <w:lang w:val="en-GB"/>
        </w:rPr>
        <w:t>, p</w:t>
      </w:r>
      <w:r>
        <w:rPr>
          <w:lang w:val="en-GB"/>
        </w:rPr>
        <w:t>.16</w:t>
      </w:r>
    </w:p>
  </w:footnote>
  <w:footnote w:id="14">
    <w:p w14:paraId="40627F4B" w14:textId="6E55C874" w:rsidR="00B80DD4" w:rsidRPr="00B80DD4" w:rsidRDefault="00B80DD4">
      <w:pPr>
        <w:pStyle w:val="Notedebasdepage"/>
        <w:rPr>
          <w:lang w:val="en-GB"/>
        </w:rPr>
      </w:pPr>
      <w:r>
        <w:rPr>
          <w:rStyle w:val="Appelnotedebasdep"/>
        </w:rPr>
        <w:footnoteRef/>
      </w:r>
      <w:r w:rsidRPr="00B80DD4">
        <w:rPr>
          <w:lang w:val="en-GB"/>
        </w:rPr>
        <w:t xml:space="preserve"> </w:t>
      </w:r>
      <w:r w:rsidRPr="0015598A">
        <w:rPr>
          <w:lang w:val="en-GB"/>
        </w:rPr>
        <w:t xml:space="preserve">Head, </w:t>
      </w:r>
      <w:r>
        <w:rPr>
          <w:lang w:val="en-GB"/>
        </w:rPr>
        <w:t>“</w:t>
      </w:r>
      <w:r w:rsidRPr="0015598A">
        <w:rPr>
          <w:lang w:val="en-GB"/>
        </w:rPr>
        <w:t>Holst - Astrology and Modernism in ‘The Planets’</w:t>
      </w:r>
      <w:r>
        <w:rPr>
          <w:lang w:val="en-GB"/>
        </w:rPr>
        <w:t>”</w:t>
      </w:r>
      <w:r w:rsidRPr="0015598A">
        <w:rPr>
          <w:lang w:val="en-GB"/>
        </w:rPr>
        <w:t>, p</w:t>
      </w:r>
      <w:r>
        <w:rPr>
          <w:lang w:val="en-GB"/>
        </w:rPr>
        <w:t>.22</w:t>
      </w:r>
    </w:p>
  </w:footnote>
  <w:footnote w:id="15">
    <w:p w14:paraId="23BD7A38" w14:textId="7D5858EA" w:rsidR="00B80DD4" w:rsidRPr="00B80DD4" w:rsidRDefault="00B80DD4">
      <w:pPr>
        <w:pStyle w:val="Notedebasdepage"/>
        <w:rPr>
          <w:lang w:val="en-GB"/>
        </w:rPr>
      </w:pPr>
      <w:r>
        <w:rPr>
          <w:rStyle w:val="Appelnotedebasdep"/>
        </w:rPr>
        <w:footnoteRef/>
      </w:r>
      <w:r w:rsidRPr="00B80DD4">
        <w:rPr>
          <w:lang w:val="en-GB"/>
        </w:rPr>
        <w:t xml:space="preserve"> </w:t>
      </w:r>
      <w:r w:rsidRPr="0015598A">
        <w:rPr>
          <w:lang w:val="en-GB"/>
        </w:rPr>
        <w:t>Hamacher</w:t>
      </w:r>
      <w:r>
        <w:rPr>
          <w:lang w:val="en-GB"/>
        </w:rPr>
        <w:t xml:space="preserve"> et al.,</w:t>
      </w:r>
      <w:r w:rsidRPr="0015598A">
        <w:rPr>
          <w:lang w:val="en-GB"/>
        </w:rPr>
        <w:t xml:space="preserve"> </w:t>
      </w:r>
      <w:r>
        <w:rPr>
          <w:lang w:val="en-GB"/>
        </w:rPr>
        <w:t>“</w:t>
      </w:r>
      <w:r w:rsidRPr="0015598A">
        <w:rPr>
          <w:lang w:val="en-GB"/>
        </w:rPr>
        <w:t>Orientations of Linear Stone Arrangements in</w:t>
      </w:r>
      <w:r>
        <w:rPr>
          <w:lang w:val="en-GB"/>
        </w:rPr>
        <w:t xml:space="preserve"> </w:t>
      </w:r>
      <w:r w:rsidRPr="0015598A">
        <w:rPr>
          <w:lang w:val="en-GB"/>
        </w:rPr>
        <w:t>New South Wales</w:t>
      </w:r>
      <w:r>
        <w:rPr>
          <w:lang w:val="en-GB"/>
        </w:rPr>
        <w:t>”,</w:t>
      </w:r>
      <w:r w:rsidRPr="0015598A">
        <w:rPr>
          <w:lang w:val="en-GB"/>
        </w:rPr>
        <w:t xml:space="preserve"> </w:t>
      </w:r>
      <w:r>
        <w:rPr>
          <w:lang w:val="en-GB"/>
        </w:rPr>
        <w:t>p.5</w:t>
      </w:r>
      <w:r w:rsidR="008819D3">
        <w:rPr>
          <w:lang w:val="en-GB"/>
        </w:rPr>
        <w:t>3</w:t>
      </w:r>
    </w:p>
  </w:footnote>
  <w:footnote w:id="16">
    <w:p w14:paraId="7019BA6B" w14:textId="2C15B891" w:rsidR="00B80DD4" w:rsidRDefault="00B80DD4">
      <w:pPr>
        <w:pStyle w:val="Notedebasdepage"/>
      </w:pPr>
      <w:r>
        <w:rPr>
          <w:rStyle w:val="Appelnotedebasdep"/>
        </w:rPr>
        <w:footnoteRef/>
      </w:r>
      <w:r>
        <w:t xml:space="preserve"> Ibid., p.47</w:t>
      </w:r>
    </w:p>
  </w:footnote>
  <w:footnote w:id="17">
    <w:p w14:paraId="0699551D" w14:textId="7217E012" w:rsidR="00B80DD4" w:rsidRPr="00B80DD4" w:rsidRDefault="00B80DD4">
      <w:pPr>
        <w:pStyle w:val="Notedebasdepage"/>
        <w:rPr>
          <w:lang w:val="en-GB"/>
        </w:rPr>
      </w:pPr>
      <w:r>
        <w:rPr>
          <w:rStyle w:val="Appelnotedebasdep"/>
        </w:rPr>
        <w:footnoteRef/>
      </w:r>
      <w:r w:rsidRPr="00B80DD4">
        <w:rPr>
          <w:lang w:val="en-GB"/>
        </w:rPr>
        <w:t xml:space="preserve"> </w:t>
      </w:r>
      <w:r>
        <w:rPr>
          <w:lang w:val="en-GB"/>
        </w:rPr>
        <w:t>John Pickard, “</w:t>
      </w:r>
      <w:r w:rsidRPr="00B80DD4">
        <w:rPr>
          <w:lang w:val="en-GB"/>
        </w:rPr>
        <w:t>Stone walls near Jindabyne NSW: European fences, not Aboriginal stone arrangements</w:t>
      </w:r>
      <w:r>
        <w:rPr>
          <w:lang w:val="en-GB"/>
        </w:rPr>
        <w:t>”,</w:t>
      </w:r>
      <w:r w:rsidRPr="00B80DD4">
        <w:rPr>
          <w:lang w:val="en-GB"/>
        </w:rPr>
        <w:t xml:space="preserve"> Australasian Historical Archaeology , Vol. 33</w:t>
      </w:r>
      <w:r>
        <w:rPr>
          <w:lang w:val="en-GB"/>
        </w:rPr>
        <w:t xml:space="preserve"> (2015)</w:t>
      </w:r>
      <w:r w:rsidRPr="00B80DD4">
        <w:rPr>
          <w:lang w:val="en-GB"/>
        </w:rPr>
        <w:t>, pp. 64-72</w:t>
      </w:r>
    </w:p>
  </w:footnote>
  <w:footnote w:id="18">
    <w:p w14:paraId="0627FCD0" w14:textId="630E6CE0" w:rsidR="001C44BB" w:rsidRPr="001C44BB" w:rsidRDefault="001C44BB">
      <w:pPr>
        <w:pStyle w:val="Notedebasdepage"/>
        <w:rPr>
          <w:lang w:val="en-GB"/>
        </w:rPr>
      </w:pPr>
      <w:r>
        <w:rPr>
          <w:rStyle w:val="Appelnotedebasdep"/>
        </w:rPr>
        <w:footnoteRef/>
      </w:r>
      <w:r w:rsidRPr="001C44BB">
        <w:rPr>
          <w:lang w:val="en-GB"/>
        </w:rPr>
        <w:t xml:space="preserve"> </w:t>
      </w:r>
      <w:r w:rsidRPr="0015598A">
        <w:rPr>
          <w:lang w:val="en-GB"/>
        </w:rPr>
        <w:t xml:space="preserve">Head, </w:t>
      </w:r>
      <w:r>
        <w:rPr>
          <w:lang w:val="en-GB"/>
        </w:rPr>
        <w:t>“</w:t>
      </w:r>
      <w:r w:rsidRPr="0015598A">
        <w:rPr>
          <w:lang w:val="en-GB"/>
        </w:rPr>
        <w:t>Holst - Astrology and Modernism in ‘The Planets’</w:t>
      </w:r>
      <w:r>
        <w:rPr>
          <w:lang w:val="en-GB"/>
        </w:rPr>
        <w:t>”</w:t>
      </w:r>
      <w:r w:rsidRPr="0015598A">
        <w:rPr>
          <w:lang w:val="en-GB"/>
        </w:rPr>
        <w:t>, p</w:t>
      </w:r>
      <w:r>
        <w:rPr>
          <w:lang w:val="en-GB"/>
        </w:rPr>
        <w:t>.19-21</w:t>
      </w:r>
    </w:p>
  </w:footnote>
  <w:footnote w:id="19">
    <w:p w14:paraId="239C5377" w14:textId="283002AC" w:rsidR="001C44BB" w:rsidRPr="00576E9C" w:rsidRDefault="001C44BB">
      <w:pPr>
        <w:pStyle w:val="Notedebasdepage"/>
        <w:rPr>
          <w:lang w:val="en-GB"/>
        </w:rPr>
      </w:pPr>
      <w:r>
        <w:rPr>
          <w:rStyle w:val="Appelnotedebasdep"/>
        </w:rPr>
        <w:footnoteRef/>
      </w:r>
      <w:r w:rsidRPr="001C44BB">
        <w:rPr>
          <w:lang w:val="en-GB"/>
        </w:rPr>
        <w:t xml:space="preserve"> </w:t>
      </w:r>
      <w:r w:rsidRPr="0015598A">
        <w:rPr>
          <w:lang w:val="en-GB"/>
        </w:rPr>
        <w:t xml:space="preserve">Head, </w:t>
      </w:r>
      <w:r>
        <w:rPr>
          <w:lang w:val="en-GB"/>
        </w:rPr>
        <w:t>“</w:t>
      </w:r>
      <w:r w:rsidRPr="0015598A">
        <w:rPr>
          <w:lang w:val="en-GB"/>
        </w:rPr>
        <w:t>Holst - Astrology and Modernism in ‘The Planets’</w:t>
      </w:r>
      <w:r>
        <w:rPr>
          <w:lang w:val="en-GB"/>
        </w:rPr>
        <w:t>”</w:t>
      </w:r>
      <w:r w:rsidRPr="0015598A">
        <w:rPr>
          <w:lang w:val="en-GB"/>
        </w:rPr>
        <w:t>, p</w:t>
      </w:r>
      <w:r>
        <w:rPr>
          <w:lang w:val="en-GB"/>
        </w:rPr>
        <w:t>.21</w:t>
      </w:r>
      <w:r w:rsidR="00576E9C">
        <w:rPr>
          <w:lang w:val="en-GB"/>
        </w:rPr>
        <w:t xml:space="preserve">. For further references see e.g., Helen Bonny, “Music and Consciousness”, </w:t>
      </w:r>
      <w:r w:rsidR="00576E9C" w:rsidRPr="00576E9C">
        <w:rPr>
          <w:lang w:val="en-GB"/>
        </w:rPr>
        <w:t>Journal of Music Therapy, Vol</w:t>
      </w:r>
      <w:r w:rsidR="00576E9C">
        <w:rPr>
          <w:lang w:val="en-GB"/>
        </w:rPr>
        <w:t xml:space="preserve">. </w:t>
      </w:r>
      <w:r w:rsidR="00576E9C" w:rsidRPr="00576E9C">
        <w:rPr>
          <w:lang w:val="en-GB"/>
        </w:rPr>
        <w:t>12</w:t>
      </w:r>
      <w:r w:rsidR="00576E9C">
        <w:rPr>
          <w:lang w:val="en-GB"/>
        </w:rPr>
        <w:t xml:space="preserve"> (</w:t>
      </w:r>
      <w:r w:rsidR="00576E9C" w:rsidRPr="00576E9C">
        <w:rPr>
          <w:lang w:val="en-GB"/>
        </w:rPr>
        <w:t>1975</w:t>
      </w:r>
      <w:r w:rsidR="00576E9C">
        <w:rPr>
          <w:lang w:val="en-GB"/>
        </w:rPr>
        <w:t>)</w:t>
      </w:r>
      <w:r w:rsidR="00576E9C" w:rsidRPr="00576E9C">
        <w:rPr>
          <w:lang w:val="en-GB"/>
        </w:rPr>
        <w:t xml:space="preserve">, </w:t>
      </w:r>
      <w:r w:rsidR="00576E9C">
        <w:rPr>
          <w:lang w:val="en-GB"/>
        </w:rPr>
        <w:t>pp.</w:t>
      </w:r>
      <w:r w:rsidR="00576E9C" w:rsidRPr="00576E9C">
        <w:rPr>
          <w:lang w:val="en-GB"/>
        </w:rPr>
        <w:t xml:space="preserve"> 121–135</w:t>
      </w:r>
      <w:r w:rsidR="00576E9C">
        <w:rPr>
          <w:lang w:val="en-GB"/>
        </w:rPr>
        <w:t xml:space="preserve"> or </w:t>
      </w:r>
      <w:r w:rsidR="00576E9C" w:rsidRPr="00576E9C">
        <w:rPr>
          <w:lang w:val="en-GB"/>
        </w:rPr>
        <w:t>Manoochehr Khatami</w:t>
      </w:r>
      <w:r w:rsidR="00576E9C">
        <w:rPr>
          <w:lang w:val="en-GB"/>
        </w:rPr>
        <w:t xml:space="preserve">, “Creativity and Altered States of Consciousness”, Psychiatric Annals, Vol. 8 (1978), </w:t>
      </w:r>
      <w:r w:rsidR="000C2937">
        <w:rPr>
          <w:lang w:val="en-GB"/>
        </w:rPr>
        <w:t>p. 126</w:t>
      </w:r>
    </w:p>
  </w:footnote>
  <w:footnote w:id="20">
    <w:p w14:paraId="4391D9B5" w14:textId="04B21DBB" w:rsidR="00674E36" w:rsidRPr="00674E36" w:rsidRDefault="00674E36">
      <w:pPr>
        <w:pStyle w:val="Notedebasdepage"/>
        <w:rPr>
          <w:lang w:val="en-GB"/>
        </w:rPr>
      </w:pPr>
      <w:r>
        <w:rPr>
          <w:rStyle w:val="Appelnotedebasdep"/>
        </w:rPr>
        <w:footnoteRef/>
      </w:r>
      <w:r w:rsidRPr="00674E36">
        <w:rPr>
          <w:lang w:val="en-GB"/>
        </w:rPr>
        <w:t xml:space="preserve"> </w:t>
      </w:r>
      <w:r w:rsidRPr="0015598A">
        <w:rPr>
          <w:lang w:val="en-GB"/>
        </w:rPr>
        <w:t>Hamacher</w:t>
      </w:r>
      <w:r>
        <w:rPr>
          <w:lang w:val="en-GB"/>
        </w:rPr>
        <w:t xml:space="preserve"> et al.,</w:t>
      </w:r>
      <w:r w:rsidRPr="0015598A">
        <w:rPr>
          <w:lang w:val="en-GB"/>
        </w:rPr>
        <w:t xml:space="preserve"> </w:t>
      </w:r>
      <w:r>
        <w:rPr>
          <w:lang w:val="en-GB"/>
        </w:rPr>
        <w:t>“</w:t>
      </w:r>
      <w:r w:rsidRPr="0015598A">
        <w:rPr>
          <w:lang w:val="en-GB"/>
        </w:rPr>
        <w:t>Orientations of Linear Stone Arrangements in</w:t>
      </w:r>
      <w:r>
        <w:rPr>
          <w:lang w:val="en-GB"/>
        </w:rPr>
        <w:t xml:space="preserve"> </w:t>
      </w:r>
      <w:r w:rsidRPr="0015598A">
        <w:rPr>
          <w:lang w:val="en-GB"/>
        </w:rPr>
        <w:t>New South Wales</w:t>
      </w:r>
      <w:r>
        <w:rPr>
          <w:lang w:val="en-GB"/>
        </w:rPr>
        <w:t>”,</w:t>
      </w:r>
      <w:r w:rsidRPr="0015598A">
        <w:rPr>
          <w:lang w:val="en-GB"/>
        </w:rPr>
        <w:t xml:space="preserve"> </w:t>
      </w:r>
      <w:r>
        <w:rPr>
          <w:lang w:val="en-GB"/>
        </w:rPr>
        <w:t>p.51</w:t>
      </w:r>
    </w:p>
  </w:footnote>
  <w:footnote w:id="21">
    <w:p w14:paraId="606CAF21" w14:textId="1BE36489" w:rsidR="00674E36" w:rsidRPr="00674E36" w:rsidRDefault="00674E36">
      <w:pPr>
        <w:pStyle w:val="Notedebasdepage"/>
        <w:rPr>
          <w:lang w:val="en-GB"/>
        </w:rPr>
      </w:pPr>
      <w:r>
        <w:rPr>
          <w:rStyle w:val="Appelnotedebasdep"/>
        </w:rPr>
        <w:footnoteRef/>
      </w:r>
      <w:r w:rsidRPr="00674E36">
        <w:rPr>
          <w:lang w:val="en-GB"/>
        </w:rPr>
        <w:t xml:space="preserve"> </w:t>
      </w:r>
      <w:r w:rsidR="00CE5DE9">
        <w:rPr>
          <w:lang w:val="en-GB"/>
        </w:rPr>
        <w:t>Ibid.,</w:t>
      </w:r>
      <w:r w:rsidRPr="0015598A">
        <w:rPr>
          <w:lang w:val="en-GB"/>
        </w:rPr>
        <w:t xml:space="preserve"> </w:t>
      </w:r>
      <w:r>
        <w:rPr>
          <w:lang w:val="en-GB"/>
        </w:rPr>
        <w:t>p.52</w:t>
      </w:r>
    </w:p>
  </w:footnote>
  <w:footnote w:id="22">
    <w:p w14:paraId="66D9A53E" w14:textId="6AAE31B2" w:rsidR="00CE5DE9" w:rsidRDefault="00CE5DE9">
      <w:pPr>
        <w:pStyle w:val="Notedebasdepage"/>
      </w:pPr>
      <w:r>
        <w:rPr>
          <w:rStyle w:val="Appelnotedebasdep"/>
        </w:rPr>
        <w:footnoteRef/>
      </w:r>
      <w:r>
        <w:t xml:space="preserve"> Ibid., p.52</w:t>
      </w:r>
    </w:p>
  </w:footnote>
  <w:footnote w:id="23">
    <w:p w14:paraId="482AEA28" w14:textId="66831AE7" w:rsidR="00CE5DE9" w:rsidRPr="00CE5DE9" w:rsidRDefault="00CE5DE9">
      <w:pPr>
        <w:pStyle w:val="Notedebasdepage"/>
        <w:rPr>
          <w:lang w:val="en-GB"/>
        </w:rPr>
      </w:pPr>
      <w:r>
        <w:rPr>
          <w:rStyle w:val="Appelnotedebasdep"/>
        </w:rPr>
        <w:footnoteRef/>
      </w:r>
      <w:r w:rsidRPr="00CE5DE9">
        <w:rPr>
          <w:lang w:val="en-GB"/>
        </w:rPr>
        <w:t xml:space="preserve"> </w:t>
      </w:r>
      <w:r w:rsidRPr="0015598A">
        <w:rPr>
          <w:lang w:val="en-GB"/>
        </w:rPr>
        <w:t xml:space="preserve">Head, </w:t>
      </w:r>
      <w:r>
        <w:rPr>
          <w:lang w:val="en-GB"/>
        </w:rPr>
        <w:t>“</w:t>
      </w:r>
      <w:r w:rsidRPr="0015598A">
        <w:rPr>
          <w:lang w:val="en-GB"/>
        </w:rPr>
        <w:t>Holst - Astrology and Modernism in ‘The Planets’</w:t>
      </w:r>
      <w:r>
        <w:rPr>
          <w:lang w:val="en-GB"/>
        </w:rPr>
        <w:t>”</w:t>
      </w:r>
      <w:r w:rsidRPr="0015598A">
        <w:rPr>
          <w:lang w:val="en-GB"/>
        </w:rPr>
        <w:t>, p</w:t>
      </w:r>
      <w:r>
        <w:rPr>
          <w:lang w:val="en-GB"/>
        </w:rPr>
        <w:t>.15</w:t>
      </w:r>
    </w:p>
  </w:footnote>
  <w:footnote w:id="24">
    <w:p w14:paraId="745929AF" w14:textId="65BDA0EA" w:rsidR="00CE5DE9" w:rsidRDefault="00CE5DE9">
      <w:pPr>
        <w:pStyle w:val="Notedebasdepage"/>
      </w:pPr>
      <w:r>
        <w:rPr>
          <w:rStyle w:val="Appelnotedebasdep"/>
        </w:rPr>
        <w:footnoteRef/>
      </w:r>
      <w:r>
        <w:t xml:space="preserve"> Ibid., p.20</w:t>
      </w:r>
    </w:p>
  </w:footnote>
  <w:footnote w:id="25">
    <w:p w14:paraId="39592744" w14:textId="759E6F80" w:rsidR="008819D3" w:rsidRPr="008819D3" w:rsidRDefault="008819D3">
      <w:pPr>
        <w:pStyle w:val="Notedebasdepage"/>
        <w:rPr>
          <w:lang w:val="en-GB"/>
        </w:rPr>
      </w:pPr>
      <w:r>
        <w:rPr>
          <w:rStyle w:val="Appelnotedebasdep"/>
        </w:rPr>
        <w:footnoteRef/>
      </w:r>
      <w:r w:rsidRPr="008819D3">
        <w:rPr>
          <w:lang w:val="en-GB"/>
        </w:rPr>
        <w:t xml:space="preserve"> </w:t>
      </w:r>
      <w:r w:rsidRPr="0015598A">
        <w:rPr>
          <w:lang w:val="en-GB"/>
        </w:rPr>
        <w:t>Hamacher</w:t>
      </w:r>
      <w:r>
        <w:rPr>
          <w:lang w:val="en-GB"/>
        </w:rPr>
        <w:t xml:space="preserve"> et al.,</w:t>
      </w:r>
      <w:r w:rsidRPr="0015598A">
        <w:rPr>
          <w:lang w:val="en-GB"/>
        </w:rPr>
        <w:t xml:space="preserve"> </w:t>
      </w:r>
      <w:r>
        <w:rPr>
          <w:lang w:val="en-GB"/>
        </w:rPr>
        <w:t>“</w:t>
      </w:r>
      <w:r w:rsidRPr="0015598A">
        <w:rPr>
          <w:lang w:val="en-GB"/>
        </w:rPr>
        <w:t>Orientations of Linear Stone Arrangements in</w:t>
      </w:r>
      <w:r>
        <w:rPr>
          <w:lang w:val="en-GB"/>
        </w:rPr>
        <w:t xml:space="preserve"> </w:t>
      </w:r>
      <w:r w:rsidRPr="0015598A">
        <w:rPr>
          <w:lang w:val="en-GB"/>
        </w:rPr>
        <w:t>New South Wales</w:t>
      </w:r>
      <w:r>
        <w:rPr>
          <w:lang w:val="en-GB"/>
        </w:rPr>
        <w:t>”,</w:t>
      </w:r>
      <w:r w:rsidRPr="0015598A">
        <w:rPr>
          <w:lang w:val="en-GB"/>
        </w:rPr>
        <w:t xml:space="preserve"> </w:t>
      </w:r>
      <w:r>
        <w:rPr>
          <w:lang w:val="en-GB"/>
        </w:rPr>
        <w:t>p.46</w:t>
      </w:r>
    </w:p>
  </w:footnote>
  <w:footnote w:id="26">
    <w:p w14:paraId="5CC8A1CC" w14:textId="711FE434" w:rsidR="008819D3" w:rsidRDefault="008819D3">
      <w:pPr>
        <w:pStyle w:val="Notedebasdepage"/>
      </w:pPr>
      <w:r>
        <w:rPr>
          <w:rStyle w:val="Appelnotedebasdep"/>
        </w:rPr>
        <w:footnoteRef/>
      </w:r>
      <w:r>
        <w:t xml:space="preserve"> Ibid., p.53</w:t>
      </w:r>
    </w:p>
  </w:footnote>
  <w:footnote w:id="27">
    <w:p w14:paraId="6AED1CC6" w14:textId="592A66A0" w:rsidR="008819D3" w:rsidRDefault="008819D3">
      <w:pPr>
        <w:pStyle w:val="Notedebasdepage"/>
      </w:pPr>
      <w:r>
        <w:rPr>
          <w:rStyle w:val="Appelnotedebasdep"/>
        </w:rPr>
        <w:footnoteRef/>
      </w:r>
      <w:r>
        <w:t xml:space="preserve"> Ibid.</w:t>
      </w:r>
    </w:p>
  </w:footnote>
  <w:footnote w:id="28">
    <w:p w14:paraId="59CFC324" w14:textId="070F4357" w:rsidR="008819D3" w:rsidRPr="000457F4" w:rsidRDefault="008819D3">
      <w:pPr>
        <w:pStyle w:val="Notedebasdepage"/>
        <w:rPr>
          <w:lang w:val="en-GB"/>
        </w:rPr>
      </w:pPr>
      <w:r>
        <w:rPr>
          <w:rStyle w:val="Appelnotedebasdep"/>
        </w:rPr>
        <w:footnoteRef/>
      </w:r>
      <w:r w:rsidRPr="000457F4">
        <w:rPr>
          <w:lang w:val="en-GB"/>
        </w:rPr>
        <w:t xml:space="preserve"> </w:t>
      </w:r>
      <w:r w:rsidR="000457F4" w:rsidRPr="000457F4">
        <w:rPr>
          <w:lang w:val="en-GB"/>
        </w:rPr>
        <w:t xml:space="preserve">Ghada Osman, </w:t>
      </w:r>
      <w:r w:rsidR="000457F4">
        <w:rPr>
          <w:lang w:val="en-GB"/>
        </w:rPr>
        <w:t>“</w:t>
      </w:r>
      <w:r w:rsidR="000457F4" w:rsidRPr="000457F4">
        <w:rPr>
          <w:lang w:val="en-GB"/>
        </w:rPr>
        <w:t>Oral vs. Written Transmission: The Case of Ṭabarī and Ibn Saʿd</w:t>
      </w:r>
      <w:r w:rsidR="000457F4">
        <w:rPr>
          <w:lang w:val="en-GB"/>
        </w:rPr>
        <w:t>”, Arabica, no. 78 (2001), p.80</w:t>
      </w:r>
    </w:p>
  </w:footnote>
  <w:footnote w:id="29">
    <w:p w14:paraId="582661A2" w14:textId="6EFEF605" w:rsidR="008819D3" w:rsidRPr="000457F4" w:rsidRDefault="008819D3" w:rsidP="000457F4">
      <w:pPr>
        <w:pStyle w:val="Notedebasdepage"/>
        <w:rPr>
          <w:lang w:val="en-GB"/>
        </w:rPr>
      </w:pPr>
      <w:r>
        <w:rPr>
          <w:rStyle w:val="Appelnotedebasdep"/>
        </w:rPr>
        <w:footnoteRef/>
      </w:r>
      <w:r w:rsidRPr="000457F4">
        <w:rPr>
          <w:lang w:val="en-GB"/>
        </w:rPr>
        <w:t xml:space="preserve"> </w:t>
      </w:r>
      <w:r w:rsidR="000457F4">
        <w:rPr>
          <w:lang w:val="en-GB"/>
        </w:rPr>
        <w:t xml:space="preserve">Gosta </w:t>
      </w:r>
      <w:r w:rsidR="000457F4" w:rsidRPr="000457F4">
        <w:rPr>
          <w:lang w:val="en-GB"/>
        </w:rPr>
        <w:t>Ahlström</w:t>
      </w:r>
      <w:r w:rsidR="000457F4">
        <w:rPr>
          <w:lang w:val="en-GB"/>
        </w:rPr>
        <w:t>, “</w:t>
      </w:r>
      <w:r w:rsidR="000457F4" w:rsidRPr="000457F4">
        <w:rPr>
          <w:lang w:val="en-GB"/>
        </w:rPr>
        <w:t>Oral and Written Transmission: Some Considerations</w:t>
      </w:r>
      <w:r w:rsidR="000457F4">
        <w:rPr>
          <w:lang w:val="en-GB"/>
        </w:rPr>
        <w:t xml:space="preserve">”, </w:t>
      </w:r>
      <w:r w:rsidR="000457F4" w:rsidRPr="000457F4">
        <w:rPr>
          <w:lang w:val="en-GB"/>
        </w:rPr>
        <w:t>The Harvard Theological Review</w:t>
      </w:r>
      <w:r w:rsidR="000457F4">
        <w:rPr>
          <w:lang w:val="en-GB"/>
        </w:rPr>
        <w:t xml:space="preserve">, </w:t>
      </w:r>
      <w:r w:rsidR="000457F4" w:rsidRPr="000457F4">
        <w:rPr>
          <w:lang w:val="en-GB"/>
        </w:rPr>
        <w:t>Vol. 59</w:t>
      </w:r>
      <w:r w:rsidR="000457F4">
        <w:rPr>
          <w:lang w:val="en-GB"/>
        </w:rPr>
        <w:t xml:space="preserve"> </w:t>
      </w:r>
      <w:r w:rsidR="000457F4" w:rsidRPr="000457F4">
        <w:rPr>
          <w:lang w:val="en-GB"/>
        </w:rPr>
        <w:t>(1966), p.69</w:t>
      </w:r>
    </w:p>
  </w:footnote>
  <w:footnote w:id="30">
    <w:p w14:paraId="2037C4A0" w14:textId="5D5199CB" w:rsidR="00F4094D" w:rsidRPr="00F4094D" w:rsidRDefault="00F4094D">
      <w:pPr>
        <w:pStyle w:val="Notedebasdepage"/>
        <w:rPr>
          <w:lang w:val="en-GB"/>
        </w:rPr>
      </w:pPr>
      <w:r>
        <w:rPr>
          <w:rStyle w:val="Appelnotedebasdep"/>
        </w:rPr>
        <w:footnoteRef/>
      </w:r>
      <w:r w:rsidRPr="00F4094D">
        <w:rPr>
          <w:lang w:val="en-GB"/>
        </w:rPr>
        <w:t xml:space="preserve"> </w:t>
      </w:r>
      <w:r w:rsidRPr="00026042">
        <w:rPr>
          <w:lang w:val="en-GB"/>
        </w:rPr>
        <w:t xml:space="preserve">Raymond Head, </w:t>
      </w:r>
      <w:r w:rsidRPr="00026042">
        <w:rPr>
          <w:i/>
          <w:iCs/>
          <w:lang w:val="en-GB"/>
        </w:rPr>
        <w:t>Raymond Head</w:t>
      </w:r>
      <w:r>
        <w:rPr>
          <w:i/>
          <w:iCs/>
          <w:lang w:val="en-GB"/>
        </w:rPr>
        <w:t xml:space="preserve"> - Bibliography</w:t>
      </w:r>
      <w:r>
        <w:rPr>
          <w:lang w:val="en-GB"/>
        </w:rPr>
        <w:t xml:space="preserve"> (2021),</w:t>
      </w:r>
      <w:r w:rsidRPr="00026042">
        <w:rPr>
          <w:lang w:val="en-GB"/>
        </w:rPr>
        <w:t xml:space="preserve"> </w:t>
      </w:r>
      <w:hyperlink r:id="rId5" w:history="1">
        <w:r w:rsidRPr="00B876C2">
          <w:rPr>
            <w:rStyle w:val="Lienhypertexte"/>
            <w:lang w:val="en-GB"/>
          </w:rPr>
          <w:t>https://raymondhead.com/bibliography</w:t>
        </w:r>
      </w:hyperlink>
      <w:r>
        <w:rPr>
          <w:lang w:val="en-GB"/>
        </w:rPr>
        <w:t xml:space="preserve"> [accessed 04 November 2022]</w:t>
      </w:r>
    </w:p>
  </w:footnote>
  <w:footnote w:id="31">
    <w:p w14:paraId="403D214F" w14:textId="37F15E9B" w:rsidR="00BB616C" w:rsidRPr="00BB616C" w:rsidRDefault="00BB616C">
      <w:pPr>
        <w:pStyle w:val="Notedebasdepage"/>
        <w:rPr>
          <w:lang w:val="en-GB"/>
        </w:rPr>
      </w:pPr>
      <w:r>
        <w:rPr>
          <w:rStyle w:val="Appelnotedebasdep"/>
        </w:rPr>
        <w:footnoteRef/>
      </w:r>
      <w:r w:rsidRPr="00BB616C">
        <w:rPr>
          <w:lang w:val="en-GB"/>
        </w:rPr>
        <w:t xml:space="preserve"> Austin Ali, </w:t>
      </w:r>
      <w:r>
        <w:rPr>
          <w:lang w:val="en-US"/>
        </w:rPr>
        <w:t>“</w:t>
      </w:r>
      <w:r w:rsidRPr="00BB616C">
        <w:rPr>
          <w:lang w:val="en-GB"/>
        </w:rPr>
        <w:t xml:space="preserve">A Musical Portrait </w:t>
      </w:r>
      <w:r>
        <w:rPr>
          <w:lang w:val="en-GB"/>
        </w:rPr>
        <w:t>o</w:t>
      </w:r>
      <w:r w:rsidRPr="00BB616C">
        <w:rPr>
          <w:lang w:val="en-GB"/>
        </w:rPr>
        <w:t xml:space="preserve">f Triton, </w:t>
      </w:r>
      <w:r>
        <w:rPr>
          <w:lang w:val="en-GB"/>
        </w:rPr>
        <w:t>t</w:t>
      </w:r>
      <w:r w:rsidRPr="00BB616C">
        <w:rPr>
          <w:lang w:val="en-GB"/>
        </w:rPr>
        <w:t xml:space="preserve">he Rogue Moon </w:t>
      </w:r>
      <w:r>
        <w:rPr>
          <w:lang w:val="en-GB"/>
        </w:rPr>
        <w:t>o</w:t>
      </w:r>
      <w:r w:rsidRPr="00BB616C">
        <w:rPr>
          <w:lang w:val="en-GB"/>
        </w:rPr>
        <w:t>f Neptune</w:t>
      </w:r>
      <w:r>
        <w:rPr>
          <w:lang w:val="en-US"/>
        </w:rPr>
        <w:t>”, University of Te</w:t>
      </w:r>
      <w:r>
        <w:rPr>
          <w:rFonts w:cstheme="minorHAnsi"/>
          <w:lang w:val="en-US"/>
        </w:rPr>
        <w:t>x</w:t>
      </w:r>
      <w:r>
        <w:rPr>
          <w:lang w:val="en-US"/>
        </w:rPr>
        <w:t xml:space="preserve">as Libraries - </w:t>
      </w:r>
      <w:r w:rsidRPr="00BB616C">
        <w:rPr>
          <w:lang w:val="en-US"/>
        </w:rPr>
        <w:t>Plan II Honors Theses - Openly Available</w:t>
      </w:r>
      <w:r>
        <w:rPr>
          <w:lang w:val="en-US"/>
        </w:rPr>
        <w:t xml:space="preserve"> (2019), p.1-26</w:t>
      </w:r>
    </w:p>
  </w:footnote>
  <w:footnote w:id="32">
    <w:p w14:paraId="4AFA880D" w14:textId="1633FD7A" w:rsidR="00DF4125" w:rsidRPr="00DF4125" w:rsidRDefault="00DF4125">
      <w:pPr>
        <w:pStyle w:val="Notedebasdepage"/>
        <w:rPr>
          <w:lang w:val="en-US"/>
        </w:rPr>
      </w:pPr>
      <w:r>
        <w:rPr>
          <w:rStyle w:val="Appelnotedebasdep"/>
        </w:rPr>
        <w:footnoteRef/>
      </w:r>
      <w:r w:rsidRPr="00DF4125">
        <w:rPr>
          <w:lang w:val="en-GB"/>
        </w:rPr>
        <w:t xml:space="preserve"> Ray Norris and Bill </w:t>
      </w:r>
      <w:r w:rsidRPr="00DF4125">
        <w:rPr>
          <w:lang w:val="en-GB"/>
        </w:rPr>
        <w:t>Yidumduma Harney</w:t>
      </w:r>
      <w:r>
        <w:rPr>
          <w:lang w:val="en-GB"/>
        </w:rPr>
        <w:t>,</w:t>
      </w:r>
      <w:r w:rsidRPr="00DF4125">
        <w:rPr>
          <w:lang w:val="en-GB"/>
        </w:rPr>
        <w:t xml:space="preserve"> </w:t>
      </w:r>
      <w:r>
        <w:rPr>
          <w:lang w:val="en-US"/>
        </w:rPr>
        <w:t>“</w:t>
      </w:r>
      <w:r w:rsidRPr="00DF4125">
        <w:rPr>
          <w:lang w:val="en-GB"/>
        </w:rPr>
        <w:t>Songlines and Navigation in Wardaman and other Australian Aboriginal Cultures</w:t>
      </w:r>
      <w:r>
        <w:rPr>
          <w:lang w:val="en-US"/>
        </w:rPr>
        <w:t xml:space="preserve">”, </w:t>
      </w:r>
      <w:r w:rsidRPr="00DF4125">
        <w:rPr>
          <w:lang w:val="en-US"/>
        </w:rPr>
        <w:t>Journal of Astronomical History and Heritage, Vol</w:t>
      </w:r>
      <w:r>
        <w:rPr>
          <w:lang w:val="en-US"/>
        </w:rPr>
        <w:t>.</w:t>
      </w:r>
      <w:r w:rsidRPr="00DF4125">
        <w:rPr>
          <w:lang w:val="en-US"/>
        </w:rPr>
        <w:t xml:space="preserve"> 17</w:t>
      </w:r>
      <w:r>
        <w:rPr>
          <w:lang w:val="en-US"/>
        </w:rPr>
        <w:t xml:space="preserve"> (</w:t>
      </w:r>
      <w:r w:rsidR="00E56EC5">
        <w:rPr>
          <w:lang w:val="en-US"/>
        </w:rPr>
        <w:t>2014-Preprint</w:t>
      </w:r>
      <w:r>
        <w:rPr>
          <w:lang w:val="en-US"/>
        </w:rPr>
        <w:t>), p.</w:t>
      </w:r>
      <w:r w:rsidR="00E56EC5">
        <w:rPr>
          <w:lang w:val="en-US"/>
        </w:rPr>
        <w:t>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FD9277" w14:textId="60E510FA" w:rsidR="00DB5A03" w:rsidRDefault="00DB5A03">
    <w:pPr>
      <w:pStyle w:val="En-tte"/>
      <w:jc w:val="right"/>
    </w:pPr>
    <w:r>
      <w:t xml:space="preserve">Maurane GISIGER </w:t>
    </w:r>
    <w:r>
      <w:tab/>
      <w:t>2219166</w:t>
    </w:r>
    <w:r>
      <w:tab/>
    </w:r>
    <w:sdt>
      <w:sdtPr>
        <w:id w:val="1894159460"/>
        <w:docPartObj>
          <w:docPartGallery w:val="Page Numbers (Top of Page)"/>
          <w:docPartUnique/>
        </w:docPartObj>
      </w:sdtPr>
      <w:sdtContent>
        <w:r>
          <w:fldChar w:fldCharType="begin"/>
        </w:r>
        <w:r>
          <w:instrText>PAGE   \* MERGEFORMAT</w:instrText>
        </w:r>
        <w:r>
          <w:fldChar w:fldCharType="separate"/>
        </w:r>
        <w:r>
          <w:t>2</w:t>
        </w:r>
        <w:r>
          <w:fldChar w:fldCharType="end"/>
        </w:r>
      </w:sdtContent>
    </w:sdt>
  </w:p>
  <w:p w14:paraId="638DFFB6" w14:textId="7F04FA26" w:rsidR="0015598A" w:rsidRDefault="0015598A">
    <w:pPr>
      <w:pStyle w:val="En-tte"/>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08"/>
  <w:hyphenationZone w:val="425"/>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98A"/>
    <w:rsid w:val="000249EF"/>
    <w:rsid w:val="00026042"/>
    <w:rsid w:val="000279E8"/>
    <w:rsid w:val="00030B2F"/>
    <w:rsid w:val="00032965"/>
    <w:rsid w:val="000457F4"/>
    <w:rsid w:val="000C2937"/>
    <w:rsid w:val="000C6EC1"/>
    <w:rsid w:val="000C7643"/>
    <w:rsid w:val="000E1174"/>
    <w:rsid w:val="001210A6"/>
    <w:rsid w:val="00130D2E"/>
    <w:rsid w:val="0013698E"/>
    <w:rsid w:val="0015508E"/>
    <w:rsid w:val="0015598A"/>
    <w:rsid w:val="00196D7A"/>
    <w:rsid w:val="001B4144"/>
    <w:rsid w:val="001C44BB"/>
    <w:rsid w:val="001D7609"/>
    <w:rsid w:val="001E58C3"/>
    <w:rsid w:val="001E74A4"/>
    <w:rsid w:val="002248FD"/>
    <w:rsid w:val="00255D14"/>
    <w:rsid w:val="00264F31"/>
    <w:rsid w:val="00283CE3"/>
    <w:rsid w:val="002A629C"/>
    <w:rsid w:val="002B1D16"/>
    <w:rsid w:val="002F57CE"/>
    <w:rsid w:val="002F70EA"/>
    <w:rsid w:val="003720AF"/>
    <w:rsid w:val="003910D7"/>
    <w:rsid w:val="003C7377"/>
    <w:rsid w:val="003F6B3C"/>
    <w:rsid w:val="0040029D"/>
    <w:rsid w:val="00412FE9"/>
    <w:rsid w:val="0041725F"/>
    <w:rsid w:val="00423680"/>
    <w:rsid w:val="0042734D"/>
    <w:rsid w:val="004573AB"/>
    <w:rsid w:val="004A18BE"/>
    <w:rsid w:val="004A5C6F"/>
    <w:rsid w:val="004B0F7F"/>
    <w:rsid w:val="004B49EC"/>
    <w:rsid w:val="004C2EC9"/>
    <w:rsid w:val="00514BD0"/>
    <w:rsid w:val="00522EEB"/>
    <w:rsid w:val="00576E9C"/>
    <w:rsid w:val="0057754B"/>
    <w:rsid w:val="005F2B1D"/>
    <w:rsid w:val="00607F8D"/>
    <w:rsid w:val="00611476"/>
    <w:rsid w:val="0061271B"/>
    <w:rsid w:val="00623920"/>
    <w:rsid w:val="00632C85"/>
    <w:rsid w:val="00634A9D"/>
    <w:rsid w:val="006745A5"/>
    <w:rsid w:val="00674E36"/>
    <w:rsid w:val="00694150"/>
    <w:rsid w:val="006B093C"/>
    <w:rsid w:val="006D403D"/>
    <w:rsid w:val="0071592F"/>
    <w:rsid w:val="007C48E3"/>
    <w:rsid w:val="007C6A53"/>
    <w:rsid w:val="007D5773"/>
    <w:rsid w:val="0080111A"/>
    <w:rsid w:val="00846727"/>
    <w:rsid w:val="00856937"/>
    <w:rsid w:val="0086078C"/>
    <w:rsid w:val="0087529C"/>
    <w:rsid w:val="008819D3"/>
    <w:rsid w:val="00893838"/>
    <w:rsid w:val="008A2F7D"/>
    <w:rsid w:val="008A7BC6"/>
    <w:rsid w:val="008B5726"/>
    <w:rsid w:val="008C0A63"/>
    <w:rsid w:val="008C23B8"/>
    <w:rsid w:val="008C5D32"/>
    <w:rsid w:val="008D2E4B"/>
    <w:rsid w:val="008D3575"/>
    <w:rsid w:val="008F6377"/>
    <w:rsid w:val="00912260"/>
    <w:rsid w:val="00921875"/>
    <w:rsid w:val="00935F6A"/>
    <w:rsid w:val="0094783C"/>
    <w:rsid w:val="00952515"/>
    <w:rsid w:val="009600D5"/>
    <w:rsid w:val="00967755"/>
    <w:rsid w:val="009900DA"/>
    <w:rsid w:val="009A1B3F"/>
    <w:rsid w:val="009A4229"/>
    <w:rsid w:val="009C288E"/>
    <w:rsid w:val="00A20A87"/>
    <w:rsid w:val="00A5498C"/>
    <w:rsid w:val="00A62890"/>
    <w:rsid w:val="00A66333"/>
    <w:rsid w:val="00A71468"/>
    <w:rsid w:val="00A93C0E"/>
    <w:rsid w:val="00AA02CF"/>
    <w:rsid w:val="00AA196C"/>
    <w:rsid w:val="00AA4863"/>
    <w:rsid w:val="00AD6DF9"/>
    <w:rsid w:val="00AE07CA"/>
    <w:rsid w:val="00AF601D"/>
    <w:rsid w:val="00B05315"/>
    <w:rsid w:val="00B12BE6"/>
    <w:rsid w:val="00B16BE7"/>
    <w:rsid w:val="00B37AE2"/>
    <w:rsid w:val="00B501BE"/>
    <w:rsid w:val="00B55A7F"/>
    <w:rsid w:val="00B57F12"/>
    <w:rsid w:val="00B71AFD"/>
    <w:rsid w:val="00B80DD4"/>
    <w:rsid w:val="00B839E8"/>
    <w:rsid w:val="00B94880"/>
    <w:rsid w:val="00B97CD8"/>
    <w:rsid w:val="00BA191A"/>
    <w:rsid w:val="00BB616C"/>
    <w:rsid w:val="00BF177D"/>
    <w:rsid w:val="00C06F9A"/>
    <w:rsid w:val="00C10ADA"/>
    <w:rsid w:val="00C205C2"/>
    <w:rsid w:val="00C4213C"/>
    <w:rsid w:val="00C7260E"/>
    <w:rsid w:val="00C873F3"/>
    <w:rsid w:val="00CA0B26"/>
    <w:rsid w:val="00CB23DB"/>
    <w:rsid w:val="00CB391D"/>
    <w:rsid w:val="00CC3156"/>
    <w:rsid w:val="00CD7360"/>
    <w:rsid w:val="00CE5DE9"/>
    <w:rsid w:val="00D07762"/>
    <w:rsid w:val="00D30423"/>
    <w:rsid w:val="00D35FC6"/>
    <w:rsid w:val="00D4511C"/>
    <w:rsid w:val="00D70833"/>
    <w:rsid w:val="00D70AD4"/>
    <w:rsid w:val="00DA281D"/>
    <w:rsid w:val="00DA3C9E"/>
    <w:rsid w:val="00DB5A03"/>
    <w:rsid w:val="00DC54F6"/>
    <w:rsid w:val="00DC571B"/>
    <w:rsid w:val="00DC66E3"/>
    <w:rsid w:val="00DE4BBB"/>
    <w:rsid w:val="00DF4125"/>
    <w:rsid w:val="00E31B25"/>
    <w:rsid w:val="00E56EC5"/>
    <w:rsid w:val="00E67408"/>
    <w:rsid w:val="00E75633"/>
    <w:rsid w:val="00E84559"/>
    <w:rsid w:val="00E9391B"/>
    <w:rsid w:val="00E96800"/>
    <w:rsid w:val="00EA4EEB"/>
    <w:rsid w:val="00EB154A"/>
    <w:rsid w:val="00EC65D0"/>
    <w:rsid w:val="00ED4256"/>
    <w:rsid w:val="00EF2D3E"/>
    <w:rsid w:val="00F23FD9"/>
    <w:rsid w:val="00F34F0A"/>
    <w:rsid w:val="00F36EDC"/>
    <w:rsid w:val="00F4094D"/>
    <w:rsid w:val="00F65B68"/>
    <w:rsid w:val="00F74E2A"/>
    <w:rsid w:val="00F85807"/>
    <w:rsid w:val="00FA21B7"/>
    <w:rsid w:val="00FC7417"/>
    <w:rsid w:val="00FD2F83"/>
    <w:rsid w:val="00FE509C"/>
    <w:rsid w:val="00FF1148"/>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E14DBE"/>
  <w15:chartTrackingRefBased/>
  <w15:docId w15:val="{3FF3E992-F02D-43E7-8FF6-3F6C4FC4B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fr-FR"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Titre">
    <w:name w:val="Title"/>
    <w:basedOn w:val="Normal"/>
    <w:next w:val="Normal"/>
    <w:link w:val="TitreCar"/>
    <w:uiPriority w:val="10"/>
    <w:qFormat/>
    <w:rsid w:val="0015598A"/>
    <w:pPr>
      <w:spacing w:after="0"/>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15598A"/>
    <w:rPr>
      <w:rFonts w:asciiTheme="majorHAnsi" w:eastAsiaTheme="majorEastAsia" w:hAnsiTheme="majorHAnsi" w:cstheme="majorBidi"/>
      <w:spacing w:val="-10"/>
      <w:kern w:val="28"/>
      <w:sz w:val="56"/>
      <w:szCs w:val="56"/>
    </w:rPr>
  </w:style>
  <w:style w:type="paragraph" w:styleId="En-tte">
    <w:name w:val="header"/>
    <w:basedOn w:val="Normal"/>
    <w:link w:val="En-tteCar"/>
    <w:uiPriority w:val="99"/>
    <w:unhideWhenUsed/>
    <w:rsid w:val="0015598A"/>
    <w:pPr>
      <w:tabs>
        <w:tab w:val="center" w:pos="4536"/>
        <w:tab w:val="right" w:pos="9072"/>
      </w:tabs>
      <w:spacing w:after="0"/>
    </w:pPr>
  </w:style>
  <w:style w:type="character" w:customStyle="1" w:styleId="En-tteCar">
    <w:name w:val="En-tête Car"/>
    <w:basedOn w:val="Policepardfaut"/>
    <w:link w:val="En-tte"/>
    <w:uiPriority w:val="99"/>
    <w:rsid w:val="0015598A"/>
  </w:style>
  <w:style w:type="paragraph" w:styleId="Pieddepage">
    <w:name w:val="footer"/>
    <w:basedOn w:val="Normal"/>
    <w:link w:val="PieddepageCar"/>
    <w:uiPriority w:val="99"/>
    <w:unhideWhenUsed/>
    <w:rsid w:val="0015598A"/>
    <w:pPr>
      <w:tabs>
        <w:tab w:val="center" w:pos="4536"/>
        <w:tab w:val="right" w:pos="9072"/>
      </w:tabs>
      <w:spacing w:after="0"/>
    </w:pPr>
  </w:style>
  <w:style w:type="character" w:customStyle="1" w:styleId="PieddepageCar">
    <w:name w:val="Pied de page Car"/>
    <w:basedOn w:val="Policepardfaut"/>
    <w:link w:val="Pieddepage"/>
    <w:uiPriority w:val="99"/>
    <w:rsid w:val="0015598A"/>
  </w:style>
  <w:style w:type="paragraph" w:styleId="Notedebasdepage">
    <w:name w:val="footnote text"/>
    <w:basedOn w:val="Normal"/>
    <w:link w:val="NotedebasdepageCar"/>
    <w:uiPriority w:val="99"/>
    <w:semiHidden/>
    <w:unhideWhenUsed/>
    <w:rsid w:val="00514BD0"/>
    <w:pPr>
      <w:spacing w:after="0"/>
    </w:pPr>
    <w:rPr>
      <w:sz w:val="20"/>
      <w:szCs w:val="20"/>
    </w:rPr>
  </w:style>
  <w:style w:type="character" w:customStyle="1" w:styleId="NotedebasdepageCar">
    <w:name w:val="Note de bas de page Car"/>
    <w:basedOn w:val="Policepardfaut"/>
    <w:link w:val="Notedebasdepage"/>
    <w:uiPriority w:val="99"/>
    <w:semiHidden/>
    <w:rsid w:val="00514BD0"/>
    <w:rPr>
      <w:sz w:val="20"/>
      <w:szCs w:val="20"/>
    </w:rPr>
  </w:style>
  <w:style w:type="character" w:styleId="Appelnotedebasdep">
    <w:name w:val="footnote reference"/>
    <w:basedOn w:val="Policepardfaut"/>
    <w:uiPriority w:val="99"/>
    <w:semiHidden/>
    <w:unhideWhenUsed/>
    <w:rsid w:val="00514BD0"/>
    <w:rPr>
      <w:vertAlign w:val="superscript"/>
    </w:rPr>
  </w:style>
  <w:style w:type="character" w:styleId="Lienhypertexte">
    <w:name w:val="Hyperlink"/>
    <w:basedOn w:val="Policepardfaut"/>
    <w:uiPriority w:val="99"/>
    <w:unhideWhenUsed/>
    <w:rsid w:val="00514BD0"/>
    <w:rPr>
      <w:color w:val="0563C1" w:themeColor="hyperlink"/>
      <w:u w:val="single"/>
    </w:rPr>
  </w:style>
  <w:style w:type="character" w:styleId="Mentionnonrsolue">
    <w:name w:val="Unresolved Mention"/>
    <w:basedOn w:val="Policepardfaut"/>
    <w:uiPriority w:val="99"/>
    <w:semiHidden/>
    <w:unhideWhenUsed/>
    <w:rsid w:val="00514BD0"/>
    <w:rPr>
      <w:color w:val="605E5C"/>
      <w:shd w:val="clear" w:color="auto" w:fill="E1DFDD"/>
    </w:rPr>
  </w:style>
  <w:style w:type="character" w:styleId="Textedelespacerserv">
    <w:name w:val="Placeholder Text"/>
    <w:basedOn w:val="Policepardfaut"/>
    <w:uiPriority w:val="99"/>
    <w:semiHidden/>
    <w:rsid w:val="00026042"/>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9277471">
      <w:bodyDiv w:val="1"/>
      <w:marLeft w:val="0"/>
      <w:marRight w:val="0"/>
      <w:marTop w:val="0"/>
      <w:marBottom w:val="0"/>
      <w:divBdr>
        <w:top w:val="none" w:sz="0" w:space="0" w:color="auto"/>
        <w:left w:val="none" w:sz="0" w:space="0" w:color="auto"/>
        <w:bottom w:val="none" w:sz="0" w:space="0" w:color="auto"/>
        <w:right w:val="none" w:sz="0" w:space="0" w:color="auto"/>
      </w:divBdr>
    </w:div>
    <w:div w:id="2075155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researchgate.net/profile/Robert-Fuller-13" TargetMode="External"/><Relationship Id="rId2" Type="http://schemas.openxmlformats.org/officeDocument/2006/relationships/hyperlink" Target="https://raymondhead.com/bibliography" TargetMode="External"/><Relationship Id="rId1" Type="http://schemas.openxmlformats.org/officeDocument/2006/relationships/hyperlink" Target="https://raymondhead.com/biography" TargetMode="External"/><Relationship Id="rId5" Type="http://schemas.openxmlformats.org/officeDocument/2006/relationships/hyperlink" Target="https://raymondhead.com/bibliography" TargetMode="External"/><Relationship Id="rId4" Type="http://schemas.openxmlformats.org/officeDocument/2006/relationships/hyperlink" Target="https://unimelb.academia.edu/DuaneHamacher/CurriculumVitae"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E0A010-456A-408E-8B78-308B55622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1935</Words>
  <Characters>11033</Characters>
  <Application>Microsoft Office Word</Application>
  <DocSecurity>0</DocSecurity>
  <Lines>91</Lines>
  <Paragraphs>25</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12943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Maurane Gisiger</dc:creator>
  <cp:keywords/>
  <dc:description/>
  <cp:lastModifiedBy>Maurane Gisiger</cp:lastModifiedBy>
  <cp:revision>2</cp:revision>
  <dcterms:created xsi:type="dcterms:W3CDTF">2022-11-04T18:38:00Z</dcterms:created>
  <dcterms:modified xsi:type="dcterms:W3CDTF">2022-11-04T18:38:00Z</dcterms:modified>
</cp:coreProperties>
</file>