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D46D2E">
      <w:pPr>
        <w:jc w:val="center"/>
        <w:rPr>
          <w:b/>
          <w:sz w:val="36"/>
          <w:szCs w:val="36"/>
          <w:u w:val="single"/>
          <w:lang w:val="en-GB"/>
        </w:rPr>
      </w:pPr>
      <w:r>
        <w:rPr>
          <w:b/>
          <w:sz w:val="36"/>
          <w:szCs w:val="36"/>
          <w:u w:val="single"/>
          <w:lang w:val="en-GB"/>
        </w:rPr>
        <w:t>Component</w:t>
      </w:r>
      <w:r>
        <w:rPr>
          <w:rFonts w:hint="default"/>
          <w:b/>
          <w:sz w:val="36"/>
          <w:szCs w:val="36"/>
          <w:u w:val="single"/>
          <w:lang w:val="en-IN"/>
        </w:rPr>
        <w:t>-</w:t>
      </w:r>
      <w:r>
        <w:rPr>
          <w:b/>
          <w:sz w:val="36"/>
          <w:szCs w:val="36"/>
          <w:u w:val="single"/>
          <w:lang w:val="en-GB"/>
        </w:rPr>
        <w:t>1</w:t>
      </w:r>
    </w:p>
    <w:p w14:paraId="05DE867B">
      <w:pPr>
        <w:jc w:val="center"/>
        <w:rPr>
          <w:rFonts w:hint="default"/>
          <w:b/>
          <w:sz w:val="32"/>
          <w:szCs w:val="32"/>
          <w:lang w:val="en-IN"/>
        </w:rPr>
      </w:pPr>
      <w:r>
        <w:rPr>
          <w:b/>
          <w:sz w:val="32"/>
          <w:szCs w:val="32"/>
          <w:lang w:val="en-GB"/>
        </w:rPr>
        <w:t>Task 1- Blog</w:t>
      </w:r>
      <w:r>
        <w:rPr>
          <w:rFonts w:hint="default"/>
          <w:b/>
          <w:sz w:val="32"/>
          <w:szCs w:val="32"/>
          <w:lang w:val="en-IN"/>
        </w:rPr>
        <w:t>s</w:t>
      </w:r>
    </w:p>
    <w:p w14:paraId="4D45C695">
      <w:pPr>
        <w:jc w:val="center"/>
        <w:rPr>
          <w:b/>
          <w:sz w:val="32"/>
          <w:szCs w:val="32"/>
          <w:lang w:val="en-GB"/>
        </w:rPr>
      </w:pPr>
      <w:r>
        <w:rPr>
          <w:b/>
          <w:sz w:val="32"/>
          <w:szCs w:val="32"/>
          <w:lang w:val="en-GB"/>
        </w:rPr>
        <w:t>Task 2- Poster</w:t>
      </w:r>
    </w:p>
    <w:p w14:paraId="17969387">
      <w:pPr>
        <w:jc w:val="both"/>
        <w:rPr>
          <w:b/>
          <w:sz w:val="32"/>
          <w:szCs w:val="32"/>
          <w:lang w:val="en-GB"/>
        </w:rPr>
      </w:pPr>
    </w:p>
    <w:p w14:paraId="387F0CCC">
      <w:pPr>
        <w:jc w:val="both"/>
        <w:rPr>
          <w:b/>
          <w:sz w:val="32"/>
          <w:szCs w:val="32"/>
          <w:lang w:val="en-GB"/>
        </w:rPr>
      </w:pPr>
    </w:p>
    <w:p w14:paraId="652CA4BA">
      <w:pPr>
        <w:jc w:val="center"/>
        <w:rPr>
          <w:b/>
          <w:sz w:val="32"/>
          <w:szCs w:val="32"/>
          <w:lang w:val="en-GB"/>
        </w:rPr>
      </w:pPr>
    </w:p>
    <w:p w14:paraId="30C1DB6B">
      <w:pPr>
        <w:jc w:val="center"/>
        <w:rPr>
          <w:b/>
          <w:sz w:val="32"/>
          <w:szCs w:val="32"/>
          <w:lang w:val="en-GB"/>
        </w:rPr>
      </w:pPr>
    </w:p>
    <w:p w14:paraId="23B56B6E">
      <w:pPr>
        <w:jc w:val="both"/>
        <w:rPr>
          <w:rFonts w:hint="default"/>
          <w:b/>
          <w:sz w:val="36"/>
          <w:szCs w:val="36"/>
          <w:lang w:val="en-US"/>
        </w:rPr>
      </w:pPr>
      <w:r>
        <w:rPr>
          <w:rFonts w:hint="default"/>
          <w:b/>
          <w:sz w:val="36"/>
          <w:szCs w:val="36"/>
          <w:lang w:val="en-US"/>
        </w:rPr>
        <w:t>Studdent Name: Khushi Harshadkumar Patel</w:t>
      </w:r>
    </w:p>
    <w:p w14:paraId="080877E2">
      <w:pPr>
        <w:jc w:val="both"/>
        <w:rPr>
          <w:rFonts w:hint="default"/>
          <w:b/>
          <w:sz w:val="36"/>
          <w:szCs w:val="36"/>
          <w:lang w:val="en-US"/>
        </w:rPr>
      </w:pPr>
      <w:r>
        <w:rPr>
          <w:rFonts w:hint="default"/>
          <w:b/>
          <w:sz w:val="36"/>
          <w:szCs w:val="36"/>
          <w:lang w:val="en-US"/>
        </w:rPr>
        <w:t>Student ID: 2406318</w:t>
      </w:r>
    </w:p>
    <w:p w14:paraId="57DC0BEC">
      <w:pPr>
        <w:jc w:val="both"/>
        <w:rPr>
          <w:b/>
          <w:sz w:val="36"/>
          <w:szCs w:val="36"/>
          <w:lang w:val="en-GB"/>
        </w:rPr>
      </w:pPr>
      <w:r>
        <w:rPr>
          <w:b/>
          <w:sz w:val="36"/>
          <w:szCs w:val="36"/>
        </w:rPr>
        <w:t xml:space="preserve">Module: </w:t>
      </w:r>
      <w:r>
        <w:rPr>
          <w:b/>
          <w:sz w:val="36"/>
          <w:szCs w:val="36"/>
          <w:lang w:val="en-GB"/>
        </w:rPr>
        <w:t>Population Health and Digital Health Promotion</w:t>
      </w:r>
    </w:p>
    <w:p w14:paraId="74045BDF">
      <w:pPr>
        <w:jc w:val="both"/>
        <w:rPr>
          <w:b/>
          <w:sz w:val="36"/>
          <w:szCs w:val="36"/>
        </w:rPr>
      </w:pPr>
      <w:r>
        <w:rPr>
          <w:b/>
          <w:sz w:val="36"/>
          <w:szCs w:val="36"/>
        </w:rPr>
        <w:t xml:space="preserve">Module code: </w:t>
      </w:r>
      <w:r>
        <w:rPr>
          <w:b/>
          <w:sz w:val="36"/>
          <w:szCs w:val="36"/>
          <w:lang w:val="en-GB"/>
        </w:rPr>
        <w:t xml:space="preserve">LCHS7007 </w:t>
      </w:r>
    </w:p>
    <w:p w14:paraId="4A19E0E3">
      <w:pPr>
        <w:jc w:val="both"/>
        <w:rPr>
          <w:b/>
          <w:bCs/>
          <w:sz w:val="36"/>
          <w:szCs w:val="36"/>
        </w:rPr>
      </w:pPr>
      <w:r>
        <w:rPr>
          <w:b/>
          <w:bCs/>
          <w:sz w:val="36"/>
          <w:szCs w:val="36"/>
        </w:rPr>
        <w:t>Programme: MSc Public Health and Social Care in Practice</w:t>
      </w:r>
    </w:p>
    <w:p w14:paraId="0D0B940D">
      <w:pPr>
        <w:jc w:val="both"/>
        <w:rPr>
          <w:rFonts w:hint="default" w:ascii="Times New Roman" w:hAnsi="Times New Roman" w:cs="Times New Roman"/>
          <w:b/>
          <w:bCs/>
          <w:sz w:val="36"/>
          <w:szCs w:val="36"/>
        </w:rPr>
      </w:pPr>
      <w:r>
        <w:rPr>
          <w:rFonts w:hint="default"/>
          <w:b/>
          <w:bCs/>
          <w:sz w:val="36"/>
          <w:szCs w:val="36"/>
          <w:lang w:val="en-US"/>
        </w:rPr>
        <w:t>Lecturer’s Name:</w:t>
      </w:r>
      <w:r>
        <w:rPr>
          <w:rFonts w:hint="default" w:ascii="Times New Roman" w:hAnsi="Times New Roman" w:cs="Times New Roman"/>
          <w:b/>
          <w:bCs/>
          <w:sz w:val="36"/>
          <w:szCs w:val="36"/>
          <w:lang w:val="en-US"/>
        </w:rPr>
        <w:t xml:space="preserve"> </w:t>
      </w:r>
      <w:r>
        <w:rPr>
          <w:rFonts w:hint="default" w:ascii="Times New Roman" w:hAnsi="Times New Roman" w:eastAsia="SimSun" w:cs="Times New Roman"/>
          <w:b/>
          <w:bCs/>
          <w:sz w:val="36"/>
          <w:szCs w:val="36"/>
        </w:rPr>
        <w:t>Dr Ping Wu</w:t>
      </w:r>
    </w:p>
    <w:p w14:paraId="0000000E">
      <w:pPr>
        <w:jc w:val="both"/>
        <w:rPr>
          <w:b/>
          <w:sz w:val="32"/>
          <w:szCs w:val="32"/>
          <w:lang w:val="en-GB"/>
        </w:rPr>
      </w:pPr>
      <w:r>
        <w:rPr>
          <w:lang w:val="en-GB"/>
        </w:rPr>
        <w:br w:type="page"/>
      </w:r>
    </w:p>
    <w:p w14:paraId="00000010">
      <w:pPr>
        <w:pStyle w:val="2"/>
        <w:rPr>
          <w:rFonts w:hint="default"/>
          <w:lang w:val="en-IN"/>
        </w:rPr>
      </w:pPr>
      <w:bookmarkStart w:id="0" w:name="_racew9kahxh9" w:colFirst="0" w:colLast="0"/>
      <w:bookmarkEnd w:id="0"/>
      <w:r>
        <w:rPr>
          <w:lang w:val="en-GB"/>
        </w:rPr>
        <w:t xml:space="preserve">TASK 1 – </w:t>
      </w:r>
      <w:r>
        <w:rPr>
          <w:rFonts w:hint="default"/>
          <w:lang w:val="en-IN"/>
        </w:rPr>
        <w:t>2-</w:t>
      </w:r>
      <w:r>
        <w:rPr>
          <w:lang w:val="en-GB"/>
        </w:rPr>
        <w:t xml:space="preserve">Blogs </w:t>
      </w:r>
      <w:bookmarkStart w:id="1" w:name="_ol4e3j8cphgk" w:colFirst="0" w:colLast="0"/>
      <w:bookmarkEnd w:id="1"/>
    </w:p>
    <w:p w14:paraId="00000013">
      <w:pPr>
        <w:pStyle w:val="3"/>
        <w:jc w:val="center"/>
        <w:rPr>
          <w:color w:val="auto"/>
          <w:sz w:val="44"/>
          <w:szCs w:val="44"/>
          <w:lang w:val="en-GB"/>
        </w:rPr>
      </w:pPr>
      <w:bookmarkStart w:id="2" w:name="_fh678we9qi0" w:colFirst="0" w:colLast="0"/>
      <w:bookmarkEnd w:id="2"/>
      <w:r>
        <w:rPr>
          <w:color w:val="auto"/>
          <w:sz w:val="44"/>
          <w:szCs w:val="44"/>
          <w:lang w:val="en-GB"/>
        </w:rPr>
        <w:t>Blog 1</w:t>
      </w:r>
    </w:p>
    <w:p w14:paraId="1005690B">
      <w:pPr>
        <w:jc w:val="center"/>
        <w:rPr>
          <w:b/>
          <w:bCs/>
          <w:color w:val="FFC700"/>
          <w:sz w:val="36"/>
          <w:szCs w:val="36"/>
          <w:u w:val="single"/>
          <w:lang w:val="en-GB"/>
        </w:rPr>
      </w:pPr>
      <w:r>
        <w:rPr>
          <w:b/>
          <w:bCs/>
          <w:color w:val="E46C0A" w:themeColor="accent6" w:themeShade="BF"/>
          <w:sz w:val="36"/>
          <w:szCs w:val="36"/>
          <w:u w:val="single"/>
        </w:rPr>
        <w:t xml:space="preserve">Mindfulness on the Go: How </w:t>
      </w:r>
      <w:r>
        <w:rPr>
          <w:b/>
          <w:bCs/>
          <w:i/>
          <w:iCs/>
          <w:color w:val="E46C0A" w:themeColor="accent6" w:themeShade="BF"/>
          <w:sz w:val="36"/>
          <w:szCs w:val="36"/>
          <w:u w:val="single"/>
        </w:rPr>
        <w:t>Headspace</w:t>
      </w:r>
      <w:r>
        <w:rPr>
          <w:b/>
          <w:bCs/>
          <w:color w:val="E46C0A" w:themeColor="accent6" w:themeShade="BF"/>
          <w:sz w:val="36"/>
          <w:szCs w:val="36"/>
          <w:u w:val="single"/>
        </w:rPr>
        <w:t xml:space="preserve"> is Transforming Mental Wellness</w:t>
      </w:r>
    </w:p>
    <w:p w14:paraId="5AF8F391">
      <w:pPr>
        <w:numPr>
          <w:ilvl w:val="0"/>
          <w:numId w:val="1"/>
        </w:numPr>
        <w:ind w:left="420" w:leftChars="0" w:hanging="420" w:firstLineChars="0"/>
        <w:rPr>
          <w:sz w:val="24"/>
          <w:szCs w:val="24"/>
          <w:lang w:val="en-GB"/>
        </w:rPr>
      </w:pPr>
      <w:r>
        <w:rPr>
          <w:sz w:val="24"/>
          <w:szCs w:val="24"/>
          <w:lang w:val="en-GB"/>
        </w:rPr>
        <w:t>Due to multiple factors, mental wellness has emerged as a crucial public health problem that affects large numbers of people. Attention from the World Health Organisation (WHO) showed that worldwide, 4 out of every 10 people will suffer from mental health disorders throughout their existence. Adult mental health problems occur weekly throughout the UK, affecting 16% of the adult population (</w:t>
      </w:r>
      <w:r>
        <w:rPr>
          <w:color w:val="222222"/>
          <w:sz w:val="24"/>
          <w:szCs w:val="24"/>
          <w:highlight w:val="white"/>
          <w:lang w:val="en-GB"/>
        </w:rPr>
        <w:t>World Health Organization, 2022)</w:t>
      </w:r>
      <w:r>
        <w:rPr>
          <w:sz w:val="24"/>
          <w:szCs w:val="24"/>
          <w:lang w:val="en-GB"/>
        </w:rPr>
        <w:t xml:space="preserve">. </w:t>
      </w:r>
    </w:p>
    <w:p w14:paraId="00000014">
      <w:pPr>
        <w:numPr>
          <w:ilvl w:val="0"/>
          <w:numId w:val="1"/>
        </w:numPr>
        <w:ind w:left="420" w:leftChars="0" w:hanging="420" w:firstLineChars="0"/>
        <w:rPr>
          <w:sz w:val="24"/>
          <w:szCs w:val="24"/>
          <w:lang w:val="en-GB"/>
        </w:rPr>
      </w:pPr>
      <w:r>
        <w:rPr>
          <w:sz w:val="24"/>
          <w:szCs w:val="24"/>
          <w:lang w:val="en-GB"/>
        </w:rPr>
        <w:t>The seriousness of the situation pushes us to develop creative solutions that address an escalating issue. Digital health technology, particularly mental health apps like “</w:t>
      </w:r>
      <w:r>
        <w:rPr>
          <w:b/>
          <w:bCs/>
          <w:i/>
          <w:iCs/>
          <w:sz w:val="24"/>
          <w:szCs w:val="24"/>
          <w:lang w:val="en-GB"/>
        </w:rPr>
        <w:t>Headspace</w:t>
      </w:r>
      <w:r>
        <w:rPr>
          <w:sz w:val="24"/>
          <w:szCs w:val="24"/>
          <w:lang w:val="en-GB"/>
        </w:rPr>
        <w:t>” has become the rising solution to address public health challenges.</w:t>
      </w:r>
    </w:p>
    <w:p w14:paraId="68A3EDE8">
      <w:pPr>
        <w:jc w:val="center"/>
        <w:rPr>
          <w:lang w:val="en-GB"/>
        </w:rPr>
      </w:pPr>
      <w:r>
        <w:fldChar w:fldCharType="begin"/>
      </w:r>
      <w:r>
        <w:instrText xml:space="preserve"> INCLUDEPICTURE "https://play-lh.googleusercontent.com/sSjK8ZpCafvsAeQdC5KbpjuHXZQFzXH_gRodS4kBZ6peK9AxhM5ikTIsWqoIAgkrlXI=w526-h296-rw" \* MERGEFORMATINET </w:instrText>
      </w:r>
      <w:r>
        <w:fldChar w:fldCharType="separate"/>
      </w:r>
      <w:r>
        <w:drawing>
          <wp:inline distT="0" distB="0" distL="0" distR="0">
            <wp:extent cx="2105660" cy="3759200"/>
            <wp:effectExtent l="0" t="0" r="2540" b="0"/>
            <wp:docPr id="2050669587" name="Picture 1" descr="Headspace: Meditation &amp; Health - Apps on Google 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669587" name="Picture 1" descr="Headspace: Meditation &amp; Health - Apps on Google Pla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05660" cy="3759200"/>
                    </a:xfrm>
                    <a:prstGeom prst="rect">
                      <a:avLst/>
                    </a:prstGeom>
                    <a:noFill/>
                    <a:ln>
                      <a:noFill/>
                    </a:ln>
                  </pic:spPr>
                </pic:pic>
              </a:graphicData>
            </a:graphic>
          </wp:inline>
        </w:drawing>
      </w:r>
      <w:r>
        <w:fldChar w:fldCharType="end"/>
      </w:r>
      <w:bookmarkStart w:id="8" w:name="_GoBack"/>
      <w:bookmarkEnd w:id="8"/>
    </w:p>
    <w:p w14:paraId="7CD958DE">
      <w:pPr>
        <w:numPr>
          <w:ilvl w:val="0"/>
          <w:numId w:val="1"/>
        </w:numPr>
        <w:ind w:left="420" w:leftChars="0" w:hanging="420" w:firstLineChars="0"/>
        <w:rPr>
          <w:lang w:val="en-GB"/>
        </w:rPr>
      </w:pPr>
      <w:r>
        <w:rPr>
          <w:b/>
          <w:i/>
          <w:lang w:val="en-GB"/>
        </w:rPr>
        <w:t>Headspace</w:t>
      </w:r>
      <w:r>
        <w:rPr>
          <w:lang w:val="en-GB"/>
        </w:rPr>
        <w:t xml:space="preserve"> functions as a mindfulness application providing meditation-based exercises that assist users in dealing with mental health problems through guided practice sessions (</w:t>
      </w:r>
      <w:r>
        <w:rPr>
          <w:color w:val="222222"/>
          <w:highlight w:val="white"/>
          <w:lang w:val="en-GB"/>
        </w:rPr>
        <w:t>Headspace, 2024)</w:t>
      </w:r>
      <w:r>
        <w:rPr>
          <w:lang w:val="en-GB"/>
        </w:rPr>
        <w:t xml:space="preserve">. Digital tools prove their essential role in supporting mental health by providing accessible, flexible, and cost-effective support to users, which represents a great example. </w:t>
      </w:r>
    </w:p>
    <w:p w14:paraId="3A3C7A75">
      <w:pPr>
        <w:numPr>
          <w:ilvl w:val="0"/>
          <w:numId w:val="0"/>
        </w:numPr>
        <w:ind w:leftChars="0"/>
        <w:rPr>
          <w:lang w:val="en-GB"/>
        </w:rPr>
      </w:pPr>
    </w:p>
    <w:p w14:paraId="00000015">
      <w:pPr>
        <w:numPr>
          <w:ilvl w:val="0"/>
          <w:numId w:val="1"/>
        </w:numPr>
        <w:ind w:left="420" w:leftChars="0" w:hanging="420" w:firstLineChars="0"/>
        <w:rPr>
          <w:lang w:val="en-GB"/>
        </w:rPr>
      </w:pPr>
      <w:r>
        <w:rPr>
          <w:lang w:val="en-GB"/>
        </w:rPr>
        <w:t>The application equips users with various therapeutic practices, which include breathing techniques along with meditation guidance to develop emotional strength.</w:t>
      </w:r>
    </w:p>
    <w:p w14:paraId="3A2FE795">
      <w:pPr>
        <w:numPr>
          <w:ilvl w:val="0"/>
          <w:numId w:val="0"/>
        </w:numPr>
        <w:ind w:leftChars="0"/>
        <w:rPr>
          <w:lang w:val="en-GB"/>
        </w:rPr>
      </w:pPr>
    </w:p>
    <w:p w14:paraId="00000016">
      <w:pPr>
        <w:jc w:val="center"/>
        <w:rPr>
          <w:b/>
          <w:color w:val="E46C0A" w:themeColor="accent6" w:themeShade="BF"/>
          <w:sz w:val="36"/>
          <w:szCs w:val="36"/>
          <w:u w:val="single"/>
          <w:lang w:val="en-GB"/>
        </w:rPr>
      </w:pPr>
      <w:r>
        <w:rPr>
          <w:b/>
          <w:color w:val="E46C0A" w:themeColor="accent6" w:themeShade="BF"/>
          <w:sz w:val="36"/>
          <w:szCs w:val="36"/>
          <w:u w:val="single"/>
          <w:lang w:val="en-GB"/>
        </w:rPr>
        <w:t>So, how does it work?</w:t>
      </w:r>
    </w:p>
    <w:p w14:paraId="061FC36A">
      <w:pPr>
        <w:jc w:val="center"/>
        <w:rPr>
          <w:b/>
          <w:color w:val="E46C0A" w:themeColor="accent6" w:themeShade="BF"/>
          <w:sz w:val="36"/>
          <w:szCs w:val="36"/>
          <w:u w:val="single"/>
          <w:lang w:val="en-GB"/>
        </w:rPr>
      </w:pPr>
    </w:p>
    <w:p w14:paraId="37C58456">
      <w:pPr>
        <w:jc w:val="center"/>
        <w:rPr>
          <w:b/>
          <w:bCs/>
          <w:i/>
          <w:iCs/>
          <w:color w:val="7030A0"/>
          <w:sz w:val="28"/>
          <w:szCs w:val="28"/>
          <w:lang w:val="en-GB"/>
        </w:rPr>
      </w:pPr>
      <w:r>
        <w:fldChar w:fldCharType="begin"/>
      </w:r>
      <w:r>
        <w:instrText xml:space="preserve"> INCLUDEPICTURE "https://mms.businesswire.com/media/20231031458164/en/1929663/5/image_3.jpg?download=1" \* MERGEFORMATINET </w:instrText>
      </w:r>
      <w:r>
        <w:fldChar w:fldCharType="separate"/>
      </w:r>
      <w:r>
        <w:drawing>
          <wp:inline distT="0" distB="0" distL="0" distR="0">
            <wp:extent cx="5943600" cy="3343910"/>
            <wp:effectExtent l="0" t="0" r="0" b="0"/>
            <wp:docPr id="1501496018" name="Picture 2" descr="Headspace Unveils Refreshed Brand as Company Expands Offerings for Lifelong  Mental Health Sup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496018" name="Picture 2" descr="Headspace Unveils Refreshed Brand as Company Expands Offerings for Lifelong  Mental Health Suppo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943600" cy="3343910"/>
                    </a:xfrm>
                    <a:prstGeom prst="rect">
                      <a:avLst/>
                    </a:prstGeom>
                    <a:noFill/>
                    <a:ln>
                      <a:noFill/>
                    </a:ln>
                  </pic:spPr>
                </pic:pic>
              </a:graphicData>
            </a:graphic>
          </wp:inline>
        </w:drawing>
      </w:r>
      <w:r>
        <w:fldChar w:fldCharType="end"/>
      </w:r>
    </w:p>
    <w:p w14:paraId="425567A8">
      <w:pPr>
        <w:rPr>
          <w:b/>
          <w:bCs/>
          <w:i/>
          <w:iCs/>
          <w:color w:val="7030A0"/>
          <w:sz w:val="28"/>
          <w:szCs w:val="28"/>
          <w:lang w:val="en-GB"/>
        </w:rPr>
      </w:pPr>
      <w:r>
        <w:rPr>
          <w:b/>
          <w:bCs/>
          <w:i/>
          <w:iCs/>
          <w:color w:val="7030A0"/>
          <w:sz w:val="28"/>
          <w:szCs w:val="28"/>
          <w:lang w:val="en-GB"/>
        </w:rPr>
        <w:t>Strengths:</w:t>
      </w:r>
    </w:p>
    <w:p w14:paraId="1A0C31E4">
      <w:pPr>
        <w:pStyle w:val="14"/>
        <w:numPr>
          <w:ilvl w:val="0"/>
          <w:numId w:val="2"/>
        </w:numPr>
        <w:spacing w:line="360" w:lineRule="auto"/>
        <w:ind w:left="600" w:leftChars="0" w:firstLineChars="0"/>
        <w:rPr>
          <w:lang w:val="en-GB"/>
        </w:rPr>
      </w:pPr>
      <w:r>
        <w:rPr>
          <w:lang w:val="en-GB"/>
        </w:rPr>
        <w:t xml:space="preserve">Scientific research demonstrates that practicing mindfulness alongside meditation helps people decrease their symptoms of anxiety as well as depression and stress. </w:t>
      </w:r>
    </w:p>
    <w:p w14:paraId="741A5243">
      <w:pPr>
        <w:pStyle w:val="14"/>
        <w:numPr>
          <w:ilvl w:val="0"/>
          <w:numId w:val="2"/>
        </w:numPr>
        <w:spacing w:line="360" w:lineRule="auto"/>
        <w:ind w:left="600" w:leftChars="0" w:firstLineChars="0"/>
        <w:rPr>
          <w:lang w:val="en-GB"/>
        </w:rPr>
      </w:pPr>
      <w:r>
        <w:rPr>
          <w:lang w:val="en-GB"/>
        </w:rPr>
        <w:t>The JAMA Internal Medicine research study demonstrated an application like Headspace helped decrease anxiety symptoms and depression symptoms in users (</w:t>
      </w:r>
      <w:r>
        <w:rPr>
          <w:color w:val="222222"/>
          <w:highlight w:val="white"/>
          <w:lang w:val="en-GB"/>
        </w:rPr>
        <w:t>Headspace, 2024)</w:t>
      </w:r>
      <w:r>
        <w:rPr>
          <w:lang w:val="en-GB"/>
        </w:rPr>
        <w:t xml:space="preserve">. </w:t>
      </w:r>
    </w:p>
    <w:p w14:paraId="00000017">
      <w:pPr>
        <w:pStyle w:val="14"/>
        <w:numPr>
          <w:ilvl w:val="0"/>
          <w:numId w:val="2"/>
        </w:numPr>
        <w:spacing w:line="360" w:lineRule="auto"/>
        <w:ind w:left="600" w:leftChars="0" w:firstLineChars="0"/>
        <w:rPr>
          <w:lang w:val="en-GB"/>
        </w:rPr>
      </w:pPr>
      <w:r>
        <w:rPr>
          <w:lang w:val="en-GB"/>
        </w:rPr>
        <w:t>Digital platforms establish their ability to deliver mental health support at three levels which includes both instant relief alongside continued vitalisation of mental wellness outside standard clinical services (</w:t>
      </w:r>
      <w:r>
        <w:rPr>
          <w:color w:val="222222"/>
          <w:highlight w:val="white"/>
          <w:lang w:val="en-GB"/>
        </w:rPr>
        <w:t>Mensah, 2024</w:t>
      </w:r>
      <w:r>
        <w:rPr>
          <w:color w:val="222222"/>
          <w:lang w:val="en-GB"/>
        </w:rPr>
        <w:t>)</w:t>
      </w:r>
      <w:r>
        <w:rPr>
          <w:lang w:val="en-GB"/>
        </w:rPr>
        <w:t>.</w:t>
      </w:r>
    </w:p>
    <w:p w14:paraId="0815EF61">
      <w:pPr>
        <w:pStyle w:val="14"/>
        <w:numPr>
          <w:ilvl w:val="0"/>
          <w:numId w:val="0"/>
        </w:numPr>
        <w:ind w:left="360" w:leftChars="0"/>
        <w:rPr>
          <w:lang w:val="en-GB"/>
        </w:rPr>
      </w:pPr>
    </w:p>
    <w:p w14:paraId="2B26F5BB">
      <w:pPr>
        <w:pStyle w:val="14"/>
        <w:numPr>
          <w:ilvl w:val="0"/>
          <w:numId w:val="0"/>
        </w:numPr>
        <w:ind w:left="360" w:leftChars="0"/>
        <w:rPr>
          <w:lang w:val="en-GB"/>
        </w:rPr>
      </w:pPr>
    </w:p>
    <w:p w14:paraId="56A8D5B3">
      <w:pPr>
        <w:pStyle w:val="14"/>
        <w:numPr>
          <w:ilvl w:val="0"/>
          <w:numId w:val="0"/>
        </w:numPr>
        <w:ind w:left="360" w:leftChars="0"/>
        <w:rPr>
          <w:lang w:val="en-GB"/>
        </w:rPr>
      </w:pPr>
    </w:p>
    <w:p w14:paraId="499FBF60">
      <w:pPr>
        <w:pStyle w:val="14"/>
        <w:numPr>
          <w:ilvl w:val="0"/>
          <w:numId w:val="0"/>
        </w:numPr>
        <w:ind w:left="360" w:leftChars="0"/>
        <w:rPr>
          <w:lang w:val="en-GB"/>
        </w:rPr>
      </w:pPr>
    </w:p>
    <w:p w14:paraId="240488FD">
      <w:pPr>
        <w:pStyle w:val="14"/>
        <w:numPr>
          <w:ilvl w:val="0"/>
          <w:numId w:val="0"/>
        </w:numPr>
        <w:ind w:left="360" w:leftChars="0"/>
        <w:rPr>
          <w:lang w:val="en-GB"/>
        </w:rPr>
      </w:pPr>
    </w:p>
    <w:p w14:paraId="20AEC1CD">
      <w:pPr>
        <w:rPr>
          <w:b/>
          <w:bCs/>
          <w:i/>
          <w:iCs/>
          <w:color w:val="7030A0"/>
          <w:sz w:val="28"/>
          <w:szCs w:val="28"/>
          <w:lang w:val="en-GB"/>
        </w:rPr>
      </w:pPr>
      <w:r>
        <w:rPr>
          <w:b/>
          <w:bCs/>
          <w:i/>
          <w:iCs/>
          <w:color w:val="7030A0"/>
          <w:sz w:val="28"/>
          <w:szCs w:val="28"/>
          <w:lang w:val="en-GB"/>
        </w:rPr>
        <w:t>Weaknesses</w:t>
      </w:r>
      <w:r>
        <w:rPr>
          <w:rFonts w:hint="default"/>
          <w:b/>
          <w:bCs/>
          <w:i/>
          <w:iCs/>
          <w:color w:val="7030A0"/>
          <w:sz w:val="28"/>
          <w:szCs w:val="28"/>
          <w:lang w:val="en-IN"/>
        </w:rPr>
        <w:t>:</w:t>
      </w:r>
      <w:r>
        <w:rPr>
          <w:b/>
          <w:bCs/>
          <w:i/>
          <w:iCs/>
          <w:color w:val="7030A0"/>
          <w:sz w:val="28"/>
          <w:szCs w:val="28"/>
          <w:lang w:val="en-GB"/>
        </w:rPr>
        <w:t xml:space="preserve"> </w:t>
      </w:r>
    </w:p>
    <w:p w14:paraId="5CCCABD2">
      <w:pPr>
        <w:pStyle w:val="14"/>
        <w:numPr>
          <w:ilvl w:val="0"/>
          <w:numId w:val="3"/>
        </w:numPr>
        <w:rPr>
          <w:lang w:val="en-GB"/>
        </w:rPr>
      </w:pPr>
      <w:r>
        <w:rPr>
          <w:lang w:val="en-GB"/>
        </w:rPr>
        <w:t>Not all communities can utilise smartphones or access reliable internet due to the digital divide, which bars some people from reaping digital resource benefits (</w:t>
      </w:r>
      <w:r>
        <w:rPr>
          <w:color w:val="222222"/>
          <w:highlight w:val="white"/>
          <w:lang w:val="en-GB"/>
        </w:rPr>
        <w:t xml:space="preserve">Andrea Causio </w:t>
      </w:r>
      <w:r>
        <w:rPr>
          <w:i/>
          <w:color w:val="222222"/>
          <w:highlight w:val="white"/>
          <w:lang w:val="en-GB"/>
        </w:rPr>
        <w:t>et al.,</w:t>
      </w:r>
      <w:r>
        <w:rPr>
          <w:color w:val="222222"/>
          <w:highlight w:val="white"/>
          <w:lang w:val="en-GB"/>
        </w:rPr>
        <w:t xml:space="preserve"> 2025)</w:t>
      </w:r>
      <w:r>
        <w:rPr>
          <w:lang w:val="en-GB"/>
        </w:rPr>
        <w:t xml:space="preserve">. </w:t>
      </w:r>
    </w:p>
    <w:p w14:paraId="1EE07BC5">
      <w:pPr>
        <w:pStyle w:val="14"/>
        <w:numPr>
          <w:ilvl w:val="0"/>
          <w:numId w:val="3"/>
        </w:numPr>
        <w:rPr>
          <w:lang w:val="en-GB"/>
        </w:rPr>
      </w:pPr>
      <w:r>
        <w:rPr>
          <w:lang w:val="en-GB"/>
        </w:rPr>
        <w:t xml:space="preserve">Although the Headspace application acts as a valuable resource, it fails to deliver sufficient support that severe mental health patients require. </w:t>
      </w:r>
    </w:p>
    <w:p w14:paraId="7C385C2C">
      <w:pPr>
        <w:pStyle w:val="14"/>
        <w:numPr>
          <w:ilvl w:val="0"/>
          <w:numId w:val="3"/>
        </w:numPr>
        <w:rPr>
          <w:lang w:val="en-GB"/>
        </w:rPr>
      </w:pPr>
      <w:r>
        <w:rPr>
          <w:lang w:val="en-GB"/>
        </w:rPr>
        <w:t>The accessibility of these tools requires enhancement so people can access them better through healthcare provider collaborations and in-application professional support links (</w:t>
      </w:r>
      <w:r>
        <w:rPr>
          <w:color w:val="222222"/>
          <w:shd w:val="clear" w:color="auto" w:fill="FFFFFF"/>
        </w:rPr>
        <w:t xml:space="preserve">Zwack </w:t>
      </w:r>
      <w:r>
        <w:rPr>
          <w:i/>
          <w:iCs/>
          <w:color w:val="222222"/>
          <w:shd w:val="clear" w:color="auto" w:fill="FFFFFF"/>
        </w:rPr>
        <w:t xml:space="preserve">et al., </w:t>
      </w:r>
      <w:r>
        <w:rPr>
          <w:color w:val="222222"/>
          <w:shd w:val="clear" w:color="auto" w:fill="FFFFFF"/>
        </w:rPr>
        <w:t>2023)</w:t>
      </w:r>
      <w:r>
        <w:rPr>
          <w:lang w:val="en-GB"/>
        </w:rPr>
        <w:t xml:space="preserve">. </w:t>
      </w:r>
    </w:p>
    <w:p w14:paraId="226FD14B">
      <w:pPr>
        <w:pStyle w:val="14"/>
        <w:numPr>
          <w:ilvl w:val="0"/>
          <w:numId w:val="3"/>
        </w:numPr>
        <w:rPr>
          <w:lang w:val="en-GB"/>
        </w:rPr>
      </w:pPr>
      <w:r>
        <w:rPr>
          <w:lang w:val="en-GB"/>
        </w:rPr>
        <w:t xml:space="preserve">Digital health technologies will expand their impact on global mental health when these revealed gaps receive proper solutions. </w:t>
      </w:r>
    </w:p>
    <w:p w14:paraId="00000019">
      <w:pPr>
        <w:pStyle w:val="14"/>
        <w:numPr>
          <w:ilvl w:val="0"/>
          <w:numId w:val="3"/>
        </w:numPr>
        <w:rPr>
          <w:lang w:val="en-GB"/>
        </w:rPr>
      </w:pPr>
      <w:r>
        <w:rPr>
          <w:lang w:val="en-GB"/>
        </w:rPr>
        <w:t>The portable technology of today has the potential to become the future approach to mental health therapy.</w:t>
      </w:r>
    </w:p>
    <w:p w14:paraId="7EEC7926">
      <w:pPr>
        <w:pStyle w:val="2"/>
        <w:rPr>
          <w:lang w:val="en-GB"/>
        </w:rPr>
      </w:pPr>
      <w:bookmarkStart w:id="3" w:name="_o7ct0v8r4nur" w:colFirst="0" w:colLast="0"/>
      <w:bookmarkEnd w:id="3"/>
      <w:r>
        <w:rPr>
          <w:lang w:val="en-GB"/>
        </w:rPr>
        <w:br w:type="page"/>
      </w:r>
    </w:p>
    <w:p w14:paraId="5F72D385">
      <w:pPr>
        <w:pStyle w:val="2"/>
        <w:rPr>
          <w:lang w:val="en-GB"/>
        </w:rPr>
      </w:pPr>
    </w:p>
    <w:p w14:paraId="4D933457">
      <w:pPr>
        <w:pStyle w:val="2"/>
        <w:rPr>
          <w:sz w:val="28"/>
          <w:szCs w:val="28"/>
          <w:u w:val="single"/>
          <w:lang w:val="en-GB"/>
        </w:rPr>
      </w:pPr>
      <w:r>
        <w:rPr>
          <w:sz w:val="28"/>
          <w:szCs w:val="28"/>
          <w:u w:val="single"/>
          <w:lang w:val="en-GB"/>
        </w:rPr>
        <w:t>References</w:t>
      </w:r>
    </w:p>
    <w:p w14:paraId="04884091">
      <w:pPr>
        <w:rPr>
          <w:lang w:val="en-GB"/>
        </w:rPr>
      </w:pPr>
    </w:p>
    <w:p w14:paraId="7BC9E2D4">
      <w:pPr>
        <w:numPr>
          <w:ilvl w:val="0"/>
          <w:numId w:val="4"/>
        </w:numPr>
        <w:ind w:left="425" w:leftChars="0" w:hanging="65" w:firstLineChars="0"/>
        <w:rPr>
          <w:color w:val="222222"/>
          <w:highlight w:val="white"/>
          <w:lang w:val="en-GB"/>
        </w:rPr>
      </w:pPr>
      <w:r>
        <w:rPr>
          <w:color w:val="222222"/>
          <w:highlight w:val="white"/>
          <w:lang w:val="en-GB"/>
        </w:rPr>
        <w:t xml:space="preserve">Andrea Causio, F., Gandolfi, S., Kaur, J., Sert, B., Fakhfakh, M., De Angelis, L., Di Pumpo, M., Diedenhofen, G., Berionni, A., Rizzo, C. and Cascini, F., 2025. Impact of Digital Health Interventions on Health Literacy: A Systematic Review with Quality Appraisal. </w:t>
      </w:r>
      <w:r>
        <w:rPr>
          <w:i/>
          <w:color w:val="222222"/>
          <w:highlight w:val="white"/>
          <w:lang w:val="en-GB"/>
        </w:rPr>
        <w:t>medRxiv</w:t>
      </w:r>
      <w:r>
        <w:rPr>
          <w:color w:val="222222"/>
          <w:highlight w:val="white"/>
          <w:lang w:val="en-GB"/>
        </w:rPr>
        <w:t xml:space="preserve">, pp.2025-02. </w:t>
      </w:r>
      <w:r>
        <w:fldChar w:fldCharType="begin"/>
      </w:r>
      <w:r>
        <w:instrText xml:space="preserve"> HYPERLINK "https://www.medrxiv.org/content/10.1101/2025.02.27.25323025.full.pdf" \h </w:instrText>
      </w:r>
      <w:r>
        <w:fldChar w:fldCharType="separate"/>
      </w:r>
      <w:r>
        <w:rPr>
          <w:color w:val="1155CC"/>
          <w:highlight w:val="white"/>
          <w:u w:val="single"/>
          <w:lang w:val="en-GB"/>
        </w:rPr>
        <w:t>https://www.medrxiv.org/content/10.1101/2025.02.27.25323025.full.pdf</w:t>
      </w:r>
      <w:r>
        <w:rPr>
          <w:color w:val="1155CC"/>
          <w:highlight w:val="white"/>
          <w:u w:val="single"/>
          <w:lang w:val="en-GB"/>
        </w:rPr>
        <w:fldChar w:fldCharType="end"/>
      </w:r>
    </w:p>
    <w:p w14:paraId="0B0FE208">
      <w:pPr>
        <w:numPr>
          <w:ilvl w:val="0"/>
          <w:numId w:val="4"/>
        </w:numPr>
        <w:spacing w:after="240"/>
        <w:ind w:left="425" w:leftChars="0" w:hanging="65" w:firstLineChars="0"/>
        <w:jc w:val="left"/>
        <w:rPr>
          <w:lang w:val="en-GB"/>
        </w:rPr>
      </w:pPr>
      <w:r>
        <w:rPr>
          <w:color w:val="222222"/>
          <w:highlight w:val="white"/>
          <w:lang w:val="en-GB"/>
        </w:rPr>
        <w:t xml:space="preserve">Headspace, 2024. </w:t>
      </w:r>
      <w:r>
        <w:rPr>
          <w:i/>
          <w:color w:val="222222"/>
          <w:highlight w:val="white"/>
          <w:lang w:val="en-GB"/>
        </w:rPr>
        <w:t>Meditation and Mindfulness Made Simple - Headspace</w:t>
      </w:r>
      <w:r>
        <w:rPr>
          <w:color w:val="222222"/>
          <w:highlight w:val="white"/>
          <w:lang w:val="en-GB"/>
        </w:rPr>
        <w:t>. [online] Headspace. Available at: https://www.headspace.com/ [Accessed 22 Mar. 2025].</w:t>
      </w:r>
    </w:p>
    <w:p w14:paraId="7B5F0420">
      <w:pPr>
        <w:numPr>
          <w:ilvl w:val="0"/>
          <w:numId w:val="4"/>
        </w:numPr>
        <w:spacing w:after="240"/>
        <w:ind w:left="425" w:leftChars="0" w:hanging="65" w:firstLineChars="0"/>
        <w:rPr>
          <w:color w:val="222222"/>
          <w:highlight w:val="white"/>
          <w:lang w:val="en-GB"/>
        </w:rPr>
      </w:pPr>
      <w:r>
        <w:rPr>
          <w:color w:val="222222"/>
          <w:highlight w:val="white"/>
          <w:lang w:val="en-GB"/>
        </w:rPr>
        <w:t xml:space="preserve">Mensah, G.B., 2024. Regulating Malpractice in Telemedicine and Digital Health. </w:t>
      </w:r>
      <w:r>
        <w:rPr>
          <w:i/>
          <w:color w:val="222222"/>
          <w:highlight w:val="white"/>
          <w:lang w:val="en-GB"/>
        </w:rPr>
        <w:t>Africa Journal For Regulatory Affairs (AJFRA)</w:t>
      </w:r>
      <w:r>
        <w:rPr>
          <w:color w:val="222222"/>
          <w:highlight w:val="white"/>
          <w:lang w:val="en-GB"/>
        </w:rPr>
        <w:t xml:space="preserve">, </w:t>
      </w:r>
      <w:r>
        <w:rPr>
          <w:i/>
          <w:color w:val="222222"/>
          <w:highlight w:val="white"/>
          <w:lang w:val="en-GB"/>
        </w:rPr>
        <w:t>1</w:t>
      </w:r>
      <w:r>
        <w:rPr>
          <w:color w:val="222222"/>
          <w:highlight w:val="white"/>
          <w:lang w:val="en-GB"/>
        </w:rPr>
        <w:t xml:space="preserve">, pp.1-16. </w:t>
      </w:r>
      <w:r>
        <w:fldChar w:fldCharType="begin"/>
      </w:r>
      <w:r>
        <w:instrText xml:space="preserve"> HYPERLINK "https://jamanetwork.com/journals/jamanetworkopen/articlepdf/2815070/katz_2024_oi_231646_1707335323.06233.pdf" \h </w:instrText>
      </w:r>
      <w:r>
        <w:fldChar w:fldCharType="separate"/>
      </w:r>
      <w:r>
        <w:rPr>
          <w:color w:val="1155CC"/>
          <w:highlight w:val="white"/>
          <w:u w:val="single"/>
          <w:lang w:val="en-GB"/>
        </w:rPr>
        <w:t>https://jamanetwork.com/journals/jamanetworkopen/articlepdf/2815070/katz_2024_oi_231646_1707335323.06233.pdf</w:t>
      </w:r>
      <w:r>
        <w:rPr>
          <w:color w:val="1155CC"/>
          <w:highlight w:val="white"/>
          <w:u w:val="single"/>
          <w:lang w:val="en-GB"/>
        </w:rPr>
        <w:fldChar w:fldCharType="end"/>
      </w:r>
    </w:p>
    <w:p w14:paraId="072E3AD0">
      <w:pPr>
        <w:numPr>
          <w:ilvl w:val="0"/>
          <w:numId w:val="4"/>
        </w:numPr>
        <w:spacing w:after="240"/>
        <w:ind w:left="425" w:leftChars="0" w:hanging="65" w:firstLineChars="0"/>
        <w:jc w:val="left"/>
        <w:rPr>
          <w:color w:val="222222"/>
          <w:highlight w:val="white"/>
          <w:lang w:val="en-GB"/>
        </w:rPr>
      </w:pPr>
      <w:r>
        <w:rPr>
          <w:color w:val="222222"/>
          <w:highlight w:val="white"/>
          <w:lang w:val="en-GB"/>
        </w:rPr>
        <w:t xml:space="preserve">World Health Organization, 2022. </w:t>
      </w:r>
      <w:r>
        <w:rPr>
          <w:i/>
          <w:color w:val="222222"/>
          <w:highlight w:val="white"/>
          <w:lang w:val="en-GB"/>
        </w:rPr>
        <w:t>Mental Disorders</w:t>
      </w:r>
      <w:r>
        <w:rPr>
          <w:color w:val="222222"/>
          <w:highlight w:val="white"/>
          <w:lang w:val="en-GB"/>
        </w:rPr>
        <w:t>. [online] World Health Organization. Available at: https://www.who.int/news-room/fact-sheets/detail/mental-disorders [Accessed 22 Mar. 2025].</w:t>
      </w:r>
    </w:p>
    <w:p w14:paraId="1392E25B">
      <w:pPr>
        <w:numPr>
          <w:ilvl w:val="0"/>
          <w:numId w:val="4"/>
        </w:numPr>
        <w:ind w:left="425" w:leftChars="0" w:hanging="65" w:firstLineChars="0"/>
        <w:rPr>
          <w:color w:val="222222"/>
          <w:shd w:val="clear" w:color="auto" w:fill="FFFFFF"/>
        </w:rPr>
      </w:pPr>
      <w:r>
        <w:rPr>
          <w:color w:val="222222"/>
          <w:shd w:val="clear" w:color="auto" w:fill="FFFFFF"/>
        </w:rPr>
        <w:t>Zwack, C.C., Haghani, M., Hollings, M., Zhang, L., Gauci, S., Gallagher, R. and Redfern, J., 2023. The evolution of digital health technologies in cardiovascular disease research. </w:t>
      </w:r>
      <w:r>
        <w:rPr>
          <w:i/>
          <w:iCs/>
          <w:color w:val="222222"/>
          <w:shd w:val="clear" w:color="auto" w:fill="FFFFFF"/>
        </w:rPr>
        <w:t>NPJ digital medicine</w:t>
      </w:r>
      <w:r>
        <w:rPr>
          <w:color w:val="222222"/>
          <w:shd w:val="clear" w:color="auto" w:fill="FFFFFF"/>
        </w:rPr>
        <w:t>, </w:t>
      </w:r>
      <w:r>
        <w:rPr>
          <w:i/>
          <w:iCs/>
          <w:color w:val="222222"/>
          <w:shd w:val="clear" w:color="auto" w:fill="FFFFFF"/>
        </w:rPr>
        <w:t>6</w:t>
      </w:r>
      <w:r>
        <w:rPr>
          <w:color w:val="222222"/>
          <w:shd w:val="clear" w:color="auto" w:fill="FFFFFF"/>
        </w:rPr>
        <w:t xml:space="preserve">(1), p.1. </w:t>
      </w:r>
      <w:r>
        <w:fldChar w:fldCharType="begin"/>
      </w:r>
      <w:r>
        <w:instrText xml:space="preserve"> HYPERLINK "https://www.nature.com/articles/s41746-022-00734-2.pdf" </w:instrText>
      </w:r>
      <w:r>
        <w:fldChar w:fldCharType="separate"/>
      </w:r>
      <w:r>
        <w:rPr>
          <w:rStyle w:val="10"/>
          <w:shd w:val="clear" w:color="auto" w:fill="FFFFFF"/>
        </w:rPr>
        <w:t>https://www.nature.com/articles/s41746-022-00734-2.pdf</w:t>
      </w:r>
      <w:r>
        <w:rPr>
          <w:rStyle w:val="10"/>
          <w:shd w:val="clear" w:color="auto" w:fill="FFFFFF"/>
        </w:rPr>
        <w:fldChar w:fldCharType="end"/>
      </w:r>
    </w:p>
    <w:p w14:paraId="59228125">
      <w:pPr>
        <w:rPr>
          <w:highlight w:val="white"/>
          <w:lang w:val="en-GB"/>
        </w:rPr>
      </w:pPr>
    </w:p>
    <w:p w14:paraId="7C14C033">
      <w:pPr>
        <w:numPr>
          <w:ilvl w:val="0"/>
          <w:numId w:val="4"/>
        </w:numPr>
        <w:ind w:left="425" w:leftChars="0" w:hanging="65" w:firstLineChars="0"/>
        <w:rPr>
          <w:lang w:val="en-GB"/>
        </w:rPr>
      </w:pPr>
      <w:r>
        <w:rPr>
          <w:lang w:val="en-GB"/>
        </w:rPr>
        <w:br w:type="page"/>
      </w:r>
    </w:p>
    <w:p w14:paraId="0000001B">
      <w:pPr>
        <w:pStyle w:val="3"/>
        <w:jc w:val="center"/>
        <w:rPr>
          <w:sz w:val="44"/>
          <w:szCs w:val="44"/>
          <w:lang w:val="en-GB"/>
        </w:rPr>
      </w:pPr>
      <w:r>
        <w:rPr>
          <w:sz w:val="44"/>
          <w:szCs w:val="44"/>
          <w:lang w:val="en-GB"/>
        </w:rPr>
        <w:t>Blog 2</w:t>
      </w:r>
    </w:p>
    <w:p w14:paraId="413AADDA">
      <w:pPr>
        <w:jc w:val="center"/>
        <w:rPr>
          <w:b/>
          <w:bCs/>
          <w:color w:val="953735" w:themeColor="accent2" w:themeShade="BF"/>
          <w:sz w:val="36"/>
          <w:szCs w:val="36"/>
          <w:u w:val="single"/>
        </w:rPr>
      </w:pPr>
      <w:r>
        <w:rPr>
          <w:b/>
          <w:bCs/>
          <w:color w:val="953735" w:themeColor="accent2" w:themeShade="BF"/>
          <w:sz w:val="36"/>
          <w:szCs w:val="36"/>
          <w:u w:val="single"/>
        </w:rPr>
        <w:t>“</w:t>
      </w:r>
      <w:r>
        <w:rPr>
          <w:b/>
          <w:bCs/>
          <w:i/>
          <w:iCs/>
          <w:color w:val="953735" w:themeColor="accent2" w:themeShade="BF"/>
          <w:sz w:val="36"/>
          <w:szCs w:val="36"/>
          <w:u w:val="single"/>
        </w:rPr>
        <w:t>MindCalm</w:t>
      </w:r>
      <w:r>
        <w:rPr>
          <w:b/>
          <w:bCs/>
          <w:color w:val="953735" w:themeColor="accent2" w:themeShade="BF"/>
          <w:sz w:val="36"/>
          <w:szCs w:val="36"/>
          <w:u w:val="single"/>
        </w:rPr>
        <w:t>”: A Personalised Path to Mental Wellness Through Digital Innovation</w:t>
      </w:r>
    </w:p>
    <w:p w14:paraId="08FF94C3">
      <w:pPr>
        <w:jc w:val="center"/>
        <w:rPr>
          <w:b/>
          <w:bCs/>
          <w:color w:val="953735" w:themeColor="accent2" w:themeShade="BF"/>
          <w:sz w:val="36"/>
          <w:szCs w:val="36"/>
          <w:u w:val="single"/>
          <w:lang w:val="en-GB"/>
        </w:rPr>
      </w:pPr>
    </w:p>
    <w:p w14:paraId="43FA8E08">
      <w:pPr>
        <w:numPr>
          <w:ilvl w:val="0"/>
          <w:numId w:val="5"/>
        </w:numPr>
        <w:ind w:left="420" w:leftChars="0" w:hanging="420" w:firstLineChars="0"/>
        <w:rPr>
          <w:lang w:val="en-GB"/>
        </w:rPr>
      </w:pPr>
      <w:r>
        <w:rPr>
          <w:lang w:val="en-GB"/>
        </w:rPr>
        <w:t>According to the World Health Organisation (WHO) data shows that 1 in 4 individuals will face mental health issues throughout their lifetime because anxiety and depression, along with stress, now spread across the global community (</w:t>
      </w:r>
      <w:r>
        <w:rPr>
          <w:color w:val="222222"/>
          <w:highlight w:val="white"/>
          <w:lang w:val="en-GB"/>
        </w:rPr>
        <w:t>World Health Organization, 2022)</w:t>
      </w:r>
      <w:r>
        <w:rPr>
          <w:lang w:val="en-GB"/>
        </w:rPr>
        <w:t xml:space="preserve">. The UK has a mental health problem rate of one adult in six undergoing problems each week. </w:t>
      </w:r>
    </w:p>
    <w:p w14:paraId="0000001C">
      <w:pPr>
        <w:numPr>
          <w:ilvl w:val="0"/>
          <w:numId w:val="5"/>
        </w:numPr>
        <w:ind w:left="420" w:leftChars="0" w:hanging="420" w:firstLineChars="0"/>
        <w:rPr>
          <w:lang w:val="en-GB"/>
        </w:rPr>
      </w:pPr>
      <w:r>
        <w:rPr>
          <w:lang w:val="en-GB"/>
        </w:rPr>
        <w:t>The search for appropriate mental health solutions that are available to everyone requires immediate action because mental health disorders affect vast populations. Traditional therapy poses two major barriers for underserved populations who need these services: high costs and difficulties obtaining treatment, which supports digital intervention development.</w:t>
      </w:r>
    </w:p>
    <w:p w14:paraId="4CD40994">
      <w:pPr>
        <w:numPr>
          <w:ilvl w:val="0"/>
          <w:numId w:val="0"/>
        </w:numPr>
        <w:ind w:leftChars="0"/>
        <w:rPr>
          <w:lang w:val="en-GB"/>
        </w:rPr>
      </w:pPr>
    </w:p>
    <w:p w14:paraId="18F2E291">
      <w:pPr>
        <w:jc w:val="center"/>
        <w:rPr>
          <w:b/>
          <w:bCs/>
          <w:i/>
          <w:iCs/>
          <w:color w:val="77933C" w:themeColor="accent3" w:themeShade="BF"/>
          <w:sz w:val="36"/>
          <w:szCs w:val="36"/>
          <w:u w:val="single"/>
          <w:lang w:val="en-GB"/>
        </w:rPr>
      </w:pPr>
      <w:r>
        <w:rPr>
          <w:b/>
          <w:bCs/>
          <w:i/>
          <w:iCs/>
          <w:color w:val="77933C" w:themeColor="accent3" w:themeShade="BF"/>
          <w:sz w:val="36"/>
          <w:szCs w:val="36"/>
          <w:u w:val="single"/>
        </w:rPr>
        <w:t>Rethinking Mental Health Solutions: How MindCalm Delivers Timely, Tailored Support</w:t>
      </w:r>
    </w:p>
    <w:p w14:paraId="7BD05181">
      <w:pPr>
        <w:jc w:val="center"/>
      </w:pPr>
      <w:r>
        <w:fldChar w:fldCharType="begin"/>
      </w:r>
      <w:r>
        <w:instrText xml:space="preserve"> INCLUDEPICTURE "https://encrypted-tbn0.gstatic.com/images?q=tbn:ANd9GcRkN7sfm-kRRS2qmOPU_2Kb5FK4C3v-kwSzVA&amp;s" \* MERGEFORMATINET </w:instrText>
      </w:r>
      <w:r>
        <w:fldChar w:fldCharType="separate"/>
      </w:r>
      <w:r>
        <w:drawing>
          <wp:inline distT="0" distB="0" distL="0" distR="0">
            <wp:extent cx="2854325" cy="2854325"/>
            <wp:effectExtent l="0" t="0" r="3175" b="3175"/>
            <wp:docPr id="1712707748" name="Picture 3" descr="Profile for MindCalm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07748" name="Picture 3" descr="Profile for MindCalm Psycholog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2854325" cy="2854325"/>
                    </a:xfrm>
                    <a:prstGeom prst="rect">
                      <a:avLst/>
                    </a:prstGeom>
                    <a:noFill/>
                    <a:ln>
                      <a:noFill/>
                    </a:ln>
                  </pic:spPr>
                </pic:pic>
              </a:graphicData>
            </a:graphic>
          </wp:inline>
        </w:drawing>
      </w:r>
      <w:r>
        <w:fldChar w:fldCharType="end"/>
      </w:r>
    </w:p>
    <w:p w14:paraId="3ACD38E3">
      <w:pPr>
        <w:jc w:val="both"/>
        <w:rPr>
          <w:lang w:val="en-GB"/>
        </w:rPr>
      </w:pPr>
    </w:p>
    <w:p w14:paraId="41203AD1">
      <w:pPr>
        <w:rPr>
          <w:lang w:val="en-GB"/>
        </w:rPr>
      </w:pPr>
      <w:r>
        <w:rPr>
          <w:lang w:val="en-GB"/>
        </w:rPr>
        <w:t>In order to solve the issue, I have designed an innovative mobile application known as “</w:t>
      </w:r>
      <w:r>
        <w:rPr>
          <w:b/>
          <w:i/>
          <w:lang w:val="en-GB"/>
        </w:rPr>
        <w:t>MindCalm</w:t>
      </w:r>
      <w:r>
        <w:rPr>
          <w:lang w:val="en-GB"/>
        </w:rPr>
        <w:t xml:space="preserve">”, which serves as my solution to help people improve their mental health and well-being. </w:t>
      </w:r>
    </w:p>
    <w:p w14:paraId="380508AD">
      <w:pPr>
        <w:rPr>
          <w:rFonts w:hint="default"/>
          <w:b/>
          <w:bCs/>
          <w:i/>
          <w:iCs/>
          <w:sz w:val="28"/>
          <w:szCs w:val="28"/>
          <w:lang w:val="en-IN"/>
        </w:rPr>
      </w:pPr>
      <w:r>
        <w:rPr>
          <w:b/>
          <w:bCs/>
          <w:i/>
          <w:iCs/>
          <w:sz w:val="28"/>
          <w:szCs w:val="28"/>
          <w:lang w:val="en-GB"/>
        </w:rPr>
        <w:t>Features and advantages</w:t>
      </w:r>
      <w:r>
        <w:rPr>
          <w:rFonts w:hint="default"/>
          <w:b/>
          <w:bCs/>
          <w:i/>
          <w:iCs/>
          <w:sz w:val="28"/>
          <w:szCs w:val="28"/>
          <w:lang w:val="en-IN"/>
        </w:rPr>
        <w:t>:</w:t>
      </w:r>
    </w:p>
    <w:p w14:paraId="43CCFE09">
      <w:pPr>
        <w:pStyle w:val="14"/>
        <w:numPr>
          <w:ilvl w:val="0"/>
          <w:numId w:val="6"/>
        </w:numPr>
        <w:rPr>
          <w:lang w:val="en-GB"/>
        </w:rPr>
      </w:pPr>
      <w:r>
        <w:rPr>
          <w:lang w:val="en-GB"/>
        </w:rPr>
        <w:t>The platform diverges from typical mindfulness or meditation applications.</w:t>
      </w:r>
    </w:p>
    <w:p w14:paraId="1277549A">
      <w:pPr>
        <w:pStyle w:val="14"/>
        <w:numPr>
          <w:ilvl w:val="0"/>
          <w:numId w:val="6"/>
        </w:numPr>
        <w:rPr>
          <w:lang w:val="en-GB"/>
        </w:rPr>
      </w:pPr>
      <w:r>
        <w:rPr>
          <w:lang w:val="en-GB"/>
        </w:rPr>
        <w:t>It will integrate mindful practices with emotional tracker systems and customise stress-management solutions and cognitive therapy methods (</w:t>
      </w:r>
      <w:r>
        <w:rPr>
          <w:shd w:val="clear" w:color="auto" w:fill="FFFFFF"/>
        </w:rPr>
        <w:t xml:space="preserve">Yee </w:t>
      </w:r>
      <w:r>
        <w:rPr>
          <w:i/>
          <w:iCs/>
          <w:shd w:val="clear" w:color="auto" w:fill="FFFFFF"/>
        </w:rPr>
        <w:t xml:space="preserve">et al., </w:t>
      </w:r>
      <w:r>
        <w:rPr>
          <w:shd w:val="clear" w:color="auto" w:fill="FFFFFF"/>
        </w:rPr>
        <w:t>2022)</w:t>
      </w:r>
      <w:r>
        <w:rPr>
          <w:lang w:val="en-GB"/>
        </w:rPr>
        <w:t xml:space="preserve">. </w:t>
      </w:r>
    </w:p>
    <w:p w14:paraId="31899157">
      <w:pPr>
        <w:pStyle w:val="14"/>
        <w:numPr>
          <w:ilvl w:val="0"/>
          <w:numId w:val="6"/>
        </w:numPr>
        <w:rPr>
          <w:lang w:val="en-GB"/>
        </w:rPr>
      </w:pPr>
      <w:r>
        <w:rPr>
          <w:lang w:val="en-GB"/>
        </w:rPr>
        <w:t xml:space="preserve">Daily practices in </w:t>
      </w:r>
      <w:r>
        <w:rPr>
          <w:b/>
          <w:bCs/>
          <w:i/>
          <w:iCs/>
          <w:lang w:val="en-GB"/>
        </w:rPr>
        <w:t>MindCalm</w:t>
      </w:r>
      <w:r>
        <w:rPr>
          <w:lang w:val="en-GB"/>
        </w:rPr>
        <w:t xml:space="preserve"> will be determined by the user’s emotional state.</w:t>
      </w:r>
    </w:p>
    <w:p w14:paraId="0B27823D">
      <w:pPr>
        <w:pStyle w:val="14"/>
        <w:numPr>
          <w:ilvl w:val="0"/>
          <w:numId w:val="6"/>
        </w:numPr>
        <w:rPr>
          <w:lang w:val="en-GB"/>
        </w:rPr>
      </w:pPr>
      <w:r>
        <w:rPr>
          <w:lang w:val="en-GB"/>
        </w:rPr>
        <w:t xml:space="preserve">It will offer personalised exercises that include guided meditation, breathing practice, and self-reflection exercises. </w:t>
      </w:r>
    </w:p>
    <w:p w14:paraId="0E3D9122">
      <w:pPr>
        <w:pStyle w:val="14"/>
        <w:numPr>
          <w:ilvl w:val="0"/>
          <w:numId w:val="6"/>
        </w:numPr>
        <w:rPr>
          <w:lang w:val="en-GB"/>
        </w:rPr>
      </w:pPr>
      <w:r>
        <w:rPr>
          <w:lang w:val="en-GB"/>
        </w:rPr>
        <w:t>Throughout the app, users can track their moods while the system.</w:t>
      </w:r>
    </w:p>
    <w:p w14:paraId="1A8A7110">
      <w:pPr>
        <w:pStyle w:val="14"/>
        <w:numPr>
          <w:ilvl w:val="0"/>
          <w:numId w:val="6"/>
        </w:numPr>
        <w:rPr>
          <w:lang w:val="en-GB"/>
        </w:rPr>
      </w:pPr>
      <w:r>
        <w:rPr>
          <w:lang w:val="en-GB"/>
        </w:rPr>
        <w:t>The app helps them identify patterns together with real-time assistance that appears when their emotional levels exceed normal thresholds (</w:t>
      </w:r>
      <w:r>
        <w:rPr>
          <w:color w:val="222222"/>
          <w:highlight w:val="white"/>
          <w:lang w:val="en-GB"/>
        </w:rPr>
        <w:t xml:space="preserve">Badr </w:t>
      </w:r>
      <w:r>
        <w:rPr>
          <w:i/>
          <w:color w:val="222222"/>
          <w:highlight w:val="white"/>
          <w:lang w:val="en-GB"/>
        </w:rPr>
        <w:t>et al.,</w:t>
      </w:r>
      <w:r>
        <w:rPr>
          <w:color w:val="222222"/>
          <w:highlight w:val="white"/>
          <w:lang w:val="en-GB"/>
        </w:rPr>
        <w:t xml:space="preserve"> 2024)</w:t>
      </w:r>
      <w:r>
        <w:rPr>
          <w:lang w:val="en-GB"/>
        </w:rPr>
        <w:t xml:space="preserve">. </w:t>
      </w:r>
    </w:p>
    <w:p w14:paraId="351F3F28">
      <w:pPr>
        <w:pStyle w:val="14"/>
        <w:numPr>
          <w:ilvl w:val="0"/>
          <w:numId w:val="0"/>
        </w:numPr>
        <w:ind w:left="360" w:leftChars="0"/>
        <w:rPr>
          <w:lang w:val="en-GB"/>
        </w:rPr>
      </w:pPr>
    </w:p>
    <w:p w14:paraId="0000001D">
      <w:pPr>
        <w:rPr>
          <w:lang w:val="en-GB"/>
        </w:rPr>
      </w:pPr>
      <w:r>
        <w:rPr>
          <w:lang w:val="en-GB"/>
        </w:rPr>
        <w:t xml:space="preserve">Health promotion will greatly depend on </w:t>
      </w:r>
      <w:r>
        <w:rPr>
          <w:b/>
          <w:bCs/>
          <w:i/>
          <w:iCs/>
          <w:lang w:val="en-GB"/>
        </w:rPr>
        <w:t>MindCalm's</w:t>
      </w:r>
      <w:r>
        <w:rPr>
          <w:lang w:val="en-GB"/>
        </w:rPr>
        <w:t xml:space="preserve"> function as a personal mental health resource available anytime to users. Users gain mental wellness independence through this tool which ensures flexibility together with ease of access to support. Real-time data-driven recommendations in </w:t>
      </w:r>
      <w:r>
        <w:rPr>
          <w:b/>
          <w:bCs/>
          <w:i/>
          <w:iCs/>
          <w:lang w:val="en-GB"/>
        </w:rPr>
        <w:t>MindCalm</w:t>
      </w:r>
      <w:r>
        <w:rPr>
          <w:lang w:val="en-GB"/>
        </w:rPr>
        <w:t xml:space="preserve"> will deliver timely mental health support directly to users so they can get the help that suits them at critical moments. Therefore, the service provides immediate accessibility for mental health management (</w:t>
      </w:r>
      <w:r>
        <w:rPr>
          <w:color w:val="222222"/>
          <w:shd w:val="clear" w:color="auto" w:fill="FFFFFF"/>
        </w:rPr>
        <w:t>Yeung</w:t>
      </w:r>
      <w:r>
        <w:rPr>
          <w:lang w:val="en-GB"/>
        </w:rPr>
        <w:t xml:space="preserve"> </w:t>
      </w:r>
      <w:r>
        <w:rPr>
          <w:i/>
          <w:iCs/>
          <w:lang w:val="en-GB"/>
        </w:rPr>
        <w:t xml:space="preserve">et al., </w:t>
      </w:r>
      <w:r>
        <w:rPr>
          <w:lang w:val="en-GB"/>
        </w:rPr>
        <w:t>2023).</w:t>
      </w:r>
    </w:p>
    <w:p w14:paraId="3D0B0E33">
      <w:pPr>
        <w:rPr>
          <w:lang w:val="en-GB"/>
        </w:rPr>
      </w:pPr>
    </w:p>
    <w:p w14:paraId="45860626">
      <w:pPr>
        <w:jc w:val="center"/>
        <w:rPr>
          <w:b/>
          <w:bCs/>
          <w:i/>
          <w:iCs/>
          <w:color w:val="31859C" w:themeColor="accent5" w:themeShade="BF"/>
          <w:sz w:val="36"/>
          <w:szCs w:val="36"/>
          <w:u w:val="single"/>
        </w:rPr>
      </w:pPr>
      <w:r>
        <w:rPr>
          <w:b/>
          <w:bCs/>
          <w:i/>
          <w:iCs/>
          <w:color w:val="31859C" w:themeColor="accent5" w:themeShade="BF"/>
          <w:sz w:val="36"/>
          <w:szCs w:val="36"/>
          <w:u w:val="single"/>
        </w:rPr>
        <w:t>Customised Calm: Why MindCalm Goes Beyond Traditional Mental Health Apps</w:t>
      </w:r>
    </w:p>
    <w:p w14:paraId="1455EBEA">
      <w:pPr>
        <w:jc w:val="center"/>
        <w:rPr>
          <w:b/>
          <w:bCs/>
          <w:color w:val="31859C" w:themeColor="accent5" w:themeShade="BF"/>
          <w:sz w:val="36"/>
          <w:szCs w:val="36"/>
          <w:lang w:val="en-GB"/>
        </w:rPr>
      </w:pPr>
      <w:r>
        <w:fldChar w:fldCharType="begin"/>
      </w:r>
      <w:r>
        <w:instrText xml:space="preserve"> INCLUDEPICTURE "https://encrypted-tbn0.gstatic.com/images?q=tbn:ANd9GcReoAf1I8Zn0zSgl-BxWmkmhIEEXvx40kWm7A&amp;s" \* MERGEFORMATINET </w:instrText>
      </w:r>
      <w:r>
        <w:fldChar w:fldCharType="separate"/>
      </w:r>
      <w:r>
        <w:drawing>
          <wp:inline distT="0" distB="0" distL="0" distR="0">
            <wp:extent cx="2854325" cy="2854325"/>
            <wp:effectExtent l="0" t="0" r="3175" b="3175"/>
            <wp:docPr id="884326250" name="Picture 4" descr="Profile for MindCalm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326250" name="Picture 4" descr="Profile for MindCalm Psycholog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2854325" cy="2854325"/>
                    </a:xfrm>
                    <a:prstGeom prst="rect">
                      <a:avLst/>
                    </a:prstGeom>
                    <a:noFill/>
                    <a:ln>
                      <a:noFill/>
                    </a:ln>
                  </pic:spPr>
                </pic:pic>
              </a:graphicData>
            </a:graphic>
          </wp:inline>
        </w:drawing>
      </w:r>
      <w:r>
        <w:fldChar w:fldCharType="end"/>
      </w:r>
    </w:p>
    <w:p w14:paraId="31CCAC90">
      <w:pPr>
        <w:rPr>
          <w:lang w:val="en-GB"/>
        </w:rPr>
      </w:pPr>
    </w:p>
    <w:p w14:paraId="711C0289">
      <w:pPr>
        <w:rPr>
          <w:lang w:val="en-GB"/>
        </w:rPr>
      </w:pPr>
      <w:r>
        <w:rPr>
          <w:lang w:val="en-GB"/>
        </w:rPr>
        <w:t xml:space="preserve">Similar to all digital health systems, </w:t>
      </w:r>
      <w:r>
        <w:rPr>
          <w:b/>
          <w:bCs/>
          <w:i/>
          <w:iCs/>
          <w:lang w:val="en-GB"/>
        </w:rPr>
        <w:t>MindCalm</w:t>
      </w:r>
      <w:r>
        <w:rPr>
          <w:lang w:val="en-GB"/>
        </w:rPr>
        <w:t xml:space="preserve"> comes with specific restrictions for its use. They are:</w:t>
      </w:r>
    </w:p>
    <w:p w14:paraId="6AF5DE39">
      <w:pPr>
        <w:pStyle w:val="14"/>
        <w:numPr>
          <w:ilvl w:val="0"/>
          <w:numId w:val="7"/>
        </w:numPr>
        <w:rPr>
          <w:lang w:val="en-GB"/>
        </w:rPr>
      </w:pPr>
      <w:r>
        <w:rPr>
          <w:lang w:val="en-GB"/>
        </w:rPr>
        <w:t xml:space="preserve">The primary obstacle consists of making the app available to people from marginalised communities which includes individuals who do not possess smartphone devices or lack internet connectivity. </w:t>
      </w:r>
    </w:p>
    <w:p w14:paraId="420C3EE2">
      <w:pPr>
        <w:pStyle w:val="14"/>
        <w:numPr>
          <w:ilvl w:val="0"/>
          <w:numId w:val="7"/>
        </w:numPr>
        <w:rPr>
          <w:lang w:val="en-GB"/>
        </w:rPr>
      </w:pPr>
      <w:r>
        <w:rPr>
          <w:lang w:val="en-GB"/>
        </w:rPr>
        <w:t>Although useful for those with mild to moderate mental health challenges, the app cannot provide suitable care for severe disorder cases (</w:t>
      </w:r>
      <w:r>
        <w:rPr>
          <w:color w:val="222222"/>
          <w:highlight w:val="white"/>
          <w:lang w:val="en-GB"/>
        </w:rPr>
        <w:t xml:space="preserve">Badr </w:t>
      </w:r>
      <w:r>
        <w:rPr>
          <w:i/>
          <w:color w:val="222222"/>
          <w:highlight w:val="white"/>
          <w:lang w:val="en-GB"/>
        </w:rPr>
        <w:t>et al.,</w:t>
      </w:r>
      <w:r>
        <w:rPr>
          <w:color w:val="222222"/>
          <w:highlight w:val="white"/>
          <w:lang w:val="en-GB"/>
        </w:rPr>
        <w:t xml:space="preserve"> 2024)</w:t>
      </w:r>
      <w:r>
        <w:rPr>
          <w:lang w:val="en-GB"/>
        </w:rPr>
        <w:t xml:space="preserve">. </w:t>
      </w:r>
    </w:p>
    <w:p w14:paraId="11AA98BE">
      <w:pPr>
        <w:pStyle w:val="14"/>
        <w:numPr>
          <w:ilvl w:val="0"/>
          <w:numId w:val="7"/>
        </w:numPr>
        <w:rPr>
          <w:lang w:val="en-GB"/>
        </w:rPr>
      </w:pPr>
      <w:r>
        <w:rPr>
          <w:lang w:val="en-GB"/>
        </w:rPr>
        <w:t xml:space="preserve">The shortfalls can be resolved by </w:t>
      </w:r>
      <w:r>
        <w:rPr>
          <w:b/>
          <w:bCs/>
          <w:i/>
          <w:iCs/>
          <w:lang w:val="en-GB"/>
        </w:rPr>
        <w:t>MindCalm</w:t>
      </w:r>
      <w:r>
        <w:rPr>
          <w:lang w:val="en-GB"/>
        </w:rPr>
        <w:t xml:space="preserve"> partnering with healthcare providers to create a combined service model allowing users to link with top professionals for specific needs (</w:t>
      </w:r>
      <w:r>
        <w:rPr>
          <w:color w:val="222222"/>
          <w:shd w:val="clear" w:color="auto" w:fill="FFFFFF"/>
        </w:rPr>
        <w:t xml:space="preserve">Giebel </w:t>
      </w:r>
      <w:r>
        <w:rPr>
          <w:i/>
          <w:iCs/>
          <w:color w:val="222222"/>
          <w:shd w:val="clear" w:color="auto" w:fill="FFFFFF"/>
        </w:rPr>
        <w:t>et al.,</w:t>
      </w:r>
      <w:r>
        <w:rPr>
          <w:color w:val="222222"/>
          <w:shd w:val="clear" w:color="auto" w:fill="FFFFFF"/>
        </w:rPr>
        <w:t xml:space="preserve"> 2023)</w:t>
      </w:r>
      <w:r>
        <w:rPr>
          <w:lang w:val="en-GB"/>
        </w:rPr>
        <w:t xml:space="preserve">. </w:t>
      </w:r>
    </w:p>
    <w:p w14:paraId="0000001E">
      <w:pPr>
        <w:pStyle w:val="14"/>
        <w:numPr>
          <w:ilvl w:val="0"/>
          <w:numId w:val="7"/>
        </w:numPr>
        <w:rPr>
          <w:lang w:val="en-GB"/>
        </w:rPr>
      </w:pPr>
      <w:r>
        <w:rPr>
          <w:b/>
          <w:bCs/>
          <w:i/>
          <w:iCs/>
          <w:lang w:val="en-GB"/>
        </w:rPr>
        <w:t>MindCalm</w:t>
      </w:r>
      <w:r>
        <w:rPr>
          <w:lang w:val="en-GB"/>
        </w:rPr>
        <w:t xml:space="preserve"> should include both offline functionality and community-run centres as part of its strategy to make mental health assistance accessible to all populations.</w:t>
      </w:r>
      <w:r>
        <w:rPr>
          <w:lang w:val="en-GB"/>
        </w:rPr>
        <w:br w:type="page"/>
      </w:r>
    </w:p>
    <w:p w14:paraId="427672B8">
      <w:pPr>
        <w:pStyle w:val="3"/>
        <w:rPr>
          <w:sz w:val="28"/>
          <w:szCs w:val="28"/>
          <w:u w:val="single"/>
          <w:lang w:val="en-GB"/>
        </w:rPr>
      </w:pPr>
      <w:bookmarkStart w:id="4" w:name="_flx0prr1seh8" w:colFirst="0" w:colLast="0"/>
      <w:bookmarkEnd w:id="4"/>
    </w:p>
    <w:p w14:paraId="0000001F">
      <w:pPr>
        <w:pStyle w:val="3"/>
        <w:rPr>
          <w:sz w:val="28"/>
          <w:szCs w:val="28"/>
          <w:u w:val="single"/>
          <w:lang w:val="en-GB"/>
        </w:rPr>
      </w:pPr>
      <w:r>
        <w:rPr>
          <w:sz w:val="28"/>
          <w:szCs w:val="28"/>
          <w:u w:val="single"/>
          <w:lang w:val="en-GB"/>
        </w:rPr>
        <w:t>References</w:t>
      </w:r>
    </w:p>
    <w:p w14:paraId="40B1542E">
      <w:pPr>
        <w:rPr>
          <w:lang w:val="en-GB"/>
        </w:rPr>
      </w:pPr>
    </w:p>
    <w:p w14:paraId="0E11C7CE">
      <w:pPr>
        <w:numPr>
          <w:ilvl w:val="0"/>
          <w:numId w:val="8"/>
        </w:numPr>
        <w:ind w:left="425" w:leftChars="0" w:hanging="425" w:firstLineChars="0"/>
        <w:rPr>
          <w:color w:val="222222"/>
          <w:highlight w:val="white"/>
          <w:lang w:val="en-GB"/>
        </w:rPr>
      </w:pPr>
      <w:r>
        <w:rPr>
          <w:color w:val="222222"/>
          <w:highlight w:val="white"/>
          <w:lang w:val="en-GB"/>
        </w:rPr>
        <w:t xml:space="preserve">Badr, J., Motulsky, A. and Denis, J.L., 2024. Digital health technologies and inequalities: A scoping review of potential impacts and policy recommendations. </w:t>
      </w:r>
      <w:r>
        <w:rPr>
          <w:i/>
          <w:color w:val="222222"/>
          <w:highlight w:val="white"/>
          <w:lang w:val="en-GB"/>
        </w:rPr>
        <w:t>Health Policy</w:t>
      </w:r>
      <w:r>
        <w:rPr>
          <w:color w:val="222222"/>
          <w:highlight w:val="white"/>
          <w:lang w:val="en-GB"/>
        </w:rPr>
        <w:t xml:space="preserve">, p.105122. </w:t>
      </w:r>
      <w:r>
        <w:fldChar w:fldCharType="begin"/>
      </w:r>
      <w:r>
        <w:instrText xml:space="preserve"> HYPERLINK "https://www.sciencedirect.com/science/article/pii/S0168851024001325" \h </w:instrText>
      </w:r>
      <w:r>
        <w:fldChar w:fldCharType="separate"/>
      </w:r>
      <w:r>
        <w:rPr>
          <w:color w:val="1155CC"/>
          <w:highlight w:val="white"/>
          <w:u w:val="single"/>
          <w:lang w:val="en-GB"/>
        </w:rPr>
        <w:t>https://www.sciencedirect.com/science/article/pii/S0168851024001325</w:t>
      </w:r>
      <w:r>
        <w:rPr>
          <w:color w:val="1155CC"/>
          <w:highlight w:val="white"/>
          <w:u w:val="single"/>
          <w:lang w:val="en-GB"/>
        </w:rPr>
        <w:fldChar w:fldCharType="end"/>
      </w:r>
    </w:p>
    <w:p w14:paraId="5B2AEAB9">
      <w:pPr>
        <w:numPr>
          <w:ilvl w:val="0"/>
          <w:numId w:val="8"/>
        </w:numPr>
        <w:ind w:left="425" w:leftChars="0" w:hanging="425" w:firstLineChars="0"/>
        <w:rPr>
          <w:highlight w:val="white"/>
          <w:lang w:val="en-GB"/>
        </w:rPr>
      </w:pPr>
      <w:r>
        <w:rPr>
          <w:color w:val="222222"/>
          <w:shd w:val="clear" w:color="auto" w:fill="FFFFFF"/>
        </w:rPr>
        <w:t>Giebel, G.D., Speckemeier, C., Abels, C., Plescher, F., Börchers, K., Wasem, J., Blase, N. and Neusser, S., 2023. Problems and barriers related to the use of digital health applications: scoping review. </w:t>
      </w:r>
      <w:r>
        <w:rPr>
          <w:i/>
          <w:iCs/>
          <w:color w:val="222222"/>
          <w:shd w:val="clear" w:color="auto" w:fill="FFFFFF"/>
        </w:rPr>
        <w:t>Journal of Medical Internet Research</w:t>
      </w:r>
      <w:r>
        <w:rPr>
          <w:color w:val="222222"/>
          <w:shd w:val="clear" w:color="auto" w:fill="FFFFFF"/>
        </w:rPr>
        <w:t>, </w:t>
      </w:r>
      <w:r>
        <w:rPr>
          <w:i/>
          <w:iCs/>
          <w:color w:val="222222"/>
          <w:shd w:val="clear" w:color="auto" w:fill="FFFFFF"/>
        </w:rPr>
        <w:t>25</w:t>
      </w:r>
      <w:r>
        <w:rPr>
          <w:color w:val="222222"/>
          <w:shd w:val="clear" w:color="auto" w:fill="FFFFFF"/>
        </w:rPr>
        <w:t xml:space="preserve">, p.e43808. </w:t>
      </w:r>
      <w:r>
        <w:fldChar w:fldCharType="begin"/>
      </w:r>
      <w:r>
        <w:instrText xml:space="preserve"> HYPERLINK "https://www.jmir.org/2023/1/e43808/" </w:instrText>
      </w:r>
      <w:r>
        <w:fldChar w:fldCharType="separate"/>
      </w:r>
      <w:r>
        <w:rPr>
          <w:rStyle w:val="10"/>
          <w:shd w:val="clear" w:color="auto" w:fill="FFFFFF"/>
        </w:rPr>
        <w:t>https://www.jmir.org/2023/1/e43808/</w:t>
      </w:r>
      <w:r>
        <w:rPr>
          <w:rStyle w:val="10"/>
          <w:shd w:val="clear" w:color="auto" w:fill="FFFFFF"/>
        </w:rPr>
        <w:fldChar w:fldCharType="end"/>
      </w:r>
    </w:p>
    <w:p w14:paraId="187BA096">
      <w:pPr>
        <w:numPr>
          <w:ilvl w:val="0"/>
          <w:numId w:val="8"/>
        </w:numPr>
        <w:spacing w:after="240"/>
        <w:ind w:left="425" w:leftChars="0" w:hanging="425" w:firstLineChars="0"/>
        <w:jc w:val="left"/>
        <w:rPr>
          <w:color w:val="222222"/>
          <w:highlight w:val="white"/>
          <w:lang w:val="en-GB"/>
        </w:rPr>
      </w:pPr>
      <w:r>
        <w:rPr>
          <w:color w:val="222222"/>
          <w:highlight w:val="white"/>
          <w:lang w:val="en-GB"/>
        </w:rPr>
        <w:t xml:space="preserve">World Health Organization, 2022. </w:t>
      </w:r>
      <w:r>
        <w:rPr>
          <w:i/>
          <w:color w:val="222222"/>
          <w:highlight w:val="white"/>
          <w:lang w:val="en-GB"/>
        </w:rPr>
        <w:t>Mental Disorders</w:t>
      </w:r>
      <w:r>
        <w:rPr>
          <w:color w:val="222222"/>
          <w:highlight w:val="white"/>
          <w:lang w:val="en-GB"/>
        </w:rPr>
        <w:t>. [online] World Health Organization. Available at: https://www.who.int/news-room/fact-sheets/detail/mental-disorders [Accessed 22 Mar. 2025].</w:t>
      </w:r>
    </w:p>
    <w:p w14:paraId="59CC6B1D">
      <w:pPr>
        <w:numPr>
          <w:ilvl w:val="0"/>
          <w:numId w:val="8"/>
        </w:numPr>
        <w:ind w:left="425" w:leftChars="0" w:hanging="425" w:firstLineChars="0"/>
        <w:rPr>
          <w:highlight w:val="white"/>
          <w:lang w:val="en-GB"/>
        </w:rPr>
      </w:pPr>
      <w:r>
        <w:rPr>
          <w:shd w:val="clear" w:color="auto" w:fill="FFFFFF"/>
        </w:rPr>
        <w:t>Yee, V., Bajaj, S.S. and Stanford, F.C., 2022. Paradox of telemedicine: building or neglecting trust and equity. </w:t>
      </w:r>
      <w:r>
        <w:rPr>
          <w:i/>
          <w:iCs/>
          <w:shd w:val="clear" w:color="auto" w:fill="FFFFFF"/>
        </w:rPr>
        <w:t>The Lancet Digital Health</w:t>
      </w:r>
      <w:r>
        <w:rPr>
          <w:shd w:val="clear" w:color="auto" w:fill="FFFFFF"/>
        </w:rPr>
        <w:t>, </w:t>
      </w:r>
      <w:r>
        <w:rPr>
          <w:i/>
          <w:iCs/>
          <w:shd w:val="clear" w:color="auto" w:fill="FFFFFF"/>
        </w:rPr>
        <w:t>4</w:t>
      </w:r>
      <w:r>
        <w:rPr>
          <w:shd w:val="clear" w:color="auto" w:fill="FFFFFF"/>
        </w:rPr>
        <w:t xml:space="preserve">(7), pp.e480-e481. </w:t>
      </w:r>
      <w:r>
        <w:fldChar w:fldCharType="begin"/>
      </w:r>
      <w:r>
        <w:instrText xml:space="preserve"> HYPERLINK "https://www.thelancet.com/pdfs/journals/landig/PIIS2589-7500(22)00100-5.pdf" </w:instrText>
      </w:r>
      <w:r>
        <w:fldChar w:fldCharType="separate"/>
      </w:r>
      <w:r>
        <w:rPr>
          <w:rStyle w:val="10"/>
          <w:shd w:val="clear" w:color="auto" w:fill="FFFFFF"/>
        </w:rPr>
        <w:t>https://www.thelancet.com/pdfs/journals/landig/PIIS2589-7500(22)00100-5.pdf</w:t>
      </w:r>
      <w:r>
        <w:rPr>
          <w:rStyle w:val="10"/>
          <w:shd w:val="clear" w:color="auto" w:fill="FFFFFF"/>
        </w:rPr>
        <w:fldChar w:fldCharType="end"/>
      </w:r>
      <w:r>
        <w:rPr>
          <w:shd w:val="clear" w:color="auto" w:fill="FFFFFF"/>
        </w:rPr>
        <w:t xml:space="preserve"> </w:t>
      </w:r>
    </w:p>
    <w:p w14:paraId="12362276">
      <w:pPr>
        <w:numPr>
          <w:ilvl w:val="0"/>
          <w:numId w:val="8"/>
        </w:numPr>
        <w:ind w:left="425" w:leftChars="0" w:hanging="425" w:firstLineChars="0"/>
        <w:rPr>
          <w:highlight w:val="white"/>
          <w:lang w:val="en-GB"/>
        </w:rPr>
      </w:pPr>
      <w:r>
        <w:rPr>
          <w:color w:val="222222"/>
          <w:shd w:val="clear" w:color="auto" w:fill="FFFFFF"/>
        </w:rPr>
        <w:t>Yeung, A.W.K., Torkamani, A., Butte, A.J., Glicksberg, B.S., Schuller, B., Rodriguez, B., Ting, D.S., Bates, D., Schaden, E., Peng, H. and Willschke, H., 2023. The promise of digital healthcare technologies. </w:t>
      </w:r>
      <w:r>
        <w:rPr>
          <w:i/>
          <w:iCs/>
          <w:color w:val="222222"/>
          <w:shd w:val="clear" w:color="auto" w:fill="FFFFFF"/>
        </w:rPr>
        <w:t>Frontiers in Public Health</w:t>
      </w:r>
      <w:r>
        <w:rPr>
          <w:color w:val="222222"/>
          <w:shd w:val="clear" w:color="auto" w:fill="FFFFFF"/>
        </w:rPr>
        <w:t>, </w:t>
      </w:r>
      <w:r>
        <w:rPr>
          <w:i/>
          <w:iCs/>
          <w:color w:val="222222"/>
          <w:shd w:val="clear" w:color="auto" w:fill="FFFFFF"/>
        </w:rPr>
        <w:t>11</w:t>
      </w:r>
      <w:r>
        <w:rPr>
          <w:color w:val="222222"/>
          <w:shd w:val="clear" w:color="auto" w:fill="FFFFFF"/>
        </w:rPr>
        <w:t xml:space="preserve">, p.1196596. </w:t>
      </w:r>
      <w:r>
        <w:fldChar w:fldCharType="begin"/>
      </w:r>
      <w:r>
        <w:instrText xml:space="preserve"> HYPERLINK "https://www.academia.edu/download/109640239/JURNAL_REG_8082219_PHDYOESOEP_EDHIE_RACHMAD.pdf" </w:instrText>
      </w:r>
      <w:r>
        <w:fldChar w:fldCharType="separate"/>
      </w:r>
      <w:r>
        <w:rPr>
          <w:rStyle w:val="10"/>
          <w:shd w:val="clear" w:color="auto" w:fill="FFFFFF"/>
        </w:rPr>
        <w:t>https://www.academia.edu/download/109640239/JURNAL_REG_8082219_PHDYOESOEP_EDHIE_RACHMAD.pdf</w:t>
      </w:r>
      <w:r>
        <w:rPr>
          <w:rStyle w:val="10"/>
          <w:shd w:val="clear" w:color="auto" w:fill="FFFFFF"/>
        </w:rPr>
        <w:fldChar w:fldCharType="end"/>
      </w:r>
    </w:p>
    <w:p w14:paraId="278E23B6">
      <w:pPr>
        <w:spacing w:after="240"/>
        <w:jc w:val="left"/>
        <w:rPr>
          <w:color w:val="222222"/>
          <w:highlight w:val="white"/>
          <w:lang w:val="en-GB"/>
        </w:rPr>
      </w:pPr>
    </w:p>
    <w:p w14:paraId="00000024">
      <w:pPr>
        <w:rPr>
          <w:lang w:val="en-GB"/>
        </w:rPr>
      </w:pPr>
      <w:r>
        <w:rPr>
          <w:lang w:val="en-GB"/>
        </w:rPr>
        <w:br w:type="page"/>
      </w:r>
    </w:p>
    <w:p w14:paraId="00000025">
      <w:pPr>
        <w:pStyle w:val="2"/>
        <w:rPr>
          <w:lang w:val="en-GB"/>
        </w:rPr>
      </w:pPr>
      <w:bookmarkStart w:id="5" w:name="_f4f87mfhh7wl" w:colFirst="0" w:colLast="0"/>
      <w:bookmarkEnd w:id="5"/>
      <w:r>
        <w:rPr>
          <w:lang w:val="en-GB"/>
        </w:rPr>
        <w:t>TASK 2- Poster</w:t>
      </w:r>
    </w:p>
    <w:p w14:paraId="73AA7433">
      <w:pPr>
        <w:jc w:val="center"/>
        <w:rPr>
          <w:lang w:val="en-GB"/>
        </w:rPr>
      </w:pPr>
      <w:r>
        <w:rPr>
          <w:lang w:val="en-GB"/>
        </w:rPr>
        <w:drawing>
          <wp:inline distT="0" distB="0" distL="0" distR="0">
            <wp:extent cx="5785485" cy="8154670"/>
            <wp:effectExtent l="0" t="0" r="5715" b="13970"/>
            <wp:docPr id="1047050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050904" name="Picture 1"/>
                    <pic:cNvPicPr>
                      <a:picLocks noChangeAspect="1"/>
                    </pic:cNvPicPr>
                  </pic:nvPicPr>
                  <pic:blipFill>
                    <a:blip r:embed="rId13"/>
                    <a:stretch>
                      <a:fillRect/>
                    </a:stretch>
                  </pic:blipFill>
                  <pic:spPr>
                    <a:xfrm>
                      <a:off x="0" y="0"/>
                      <a:ext cx="5785485" cy="8154670"/>
                    </a:xfrm>
                    <a:prstGeom prst="rect">
                      <a:avLst/>
                    </a:prstGeom>
                  </pic:spPr>
                </pic:pic>
              </a:graphicData>
            </a:graphic>
          </wp:inline>
        </w:drawing>
      </w:r>
    </w:p>
    <w:p w14:paraId="00000030">
      <w:pPr>
        <w:pStyle w:val="3"/>
        <w:rPr>
          <w:sz w:val="28"/>
          <w:szCs w:val="28"/>
          <w:u w:val="single"/>
          <w:lang w:val="en-GB"/>
        </w:rPr>
      </w:pPr>
      <w:bookmarkStart w:id="6" w:name="_wnd4vr6uhbbj" w:colFirst="0" w:colLast="0"/>
      <w:bookmarkEnd w:id="6"/>
      <w:bookmarkStart w:id="7" w:name="_e4e8d65b8qt2" w:colFirst="0" w:colLast="0"/>
      <w:bookmarkEnd w:id="7"/>
      <w:r>
        <w:rPr>
          <w:sz w:val="28"/>
          <w:szCs w:val="28"/>
          <w:u w:val="single"/>
          <w:lang w:val="en-GB"/>
        </w:rPr>
        <w:t>References</w:t>
      </w:r>
    </w:p>
    <w:p w14:paraId="6A5DEC47">
      <w:pPr>
        <w:rPr>
          <w:lang w:val="en-GB"/>
        </w:rPr>
      </w:pPr>
    </w:p>
    <w:p w14:paraId="4557F641">
      <w:pPr>
        <w:numPr>
          <w:ilvl w:val="0"/>
          <w:numId w:val="0"/>
        </w:numPr>
        <w:ind w:leftChars="0"/>
        <w:rPr>
          <w:shd w:val="clear" w:color="auto" w:fill="FFFFFF"/>
        </w:rPr>
      </w:pPr>
      <w:r>
        <w:rPr>
          <w:shd w:val="clear" w:color="auto" w:fill="FFFFFF"/>
        </w:rPr>
        <w:t>Ezeamii, V.C., Okobi, O.E., Wambai-Sani, H., Perera, G.S., Zaynieva, S., Okonkwo, C.C., Ohaiba, M.M., William-Enemali, P.C., Obodo, O.R. and Obiefuna, N.G., 2024. Revolutionizing Healthcare: how Telemedicine is improving patient outcomes and Expanding Access to Care. </w:t>
      </w:r>
      <w:r>
        <w:rPr>
          <w:i/>
          <w:iCs/>
          <w:shd w:val="clear" w:color="auto" w:fill="FFFFFF"/>
        </w:rPr>
        <w:t>Cureus</w:t>
      </w:r>
      <w:r>
        <w:rPr>
          <w:shd w:val="clear" w:color="auto" w:fill="FFFFFF"/>
        </w:rPr>
        <w:t>, </w:t>
      </w:r>
      <w:r>
        <w:rPr>
          <w:i/>
          <w:iCs/>
          <w:shd w:val="clear" w:color="auto" w:fill="FFFFFF"/>
        </w:rPr>
        <w:t>16</w:t>
      </w:r>
      <w:r>
        <w:rPr>
          <w:shd w:val="clear" w:color="auto" w:fill="FFFFFF"/>
        </w:rPr>
        <w:t xml:space="preserve">(7). </w:t>
      </w:r>
      <w:r>
        <w:fldChar w:fldCharType="begin"/>
      </w:r>
      <w:r>
        <w:instrText xml:space="preserve"> HYPERLINK "https://www.cureus.com/articles/265705-revolutionizing-healthcare-how-telemedicine-is-improving-patient-outcomes-and-expanding-access-to-care.pdf" </w:instrText>
      </w:r>
      <w:r>
        <w:fldChar w:fldCharType="separate"/>
      </w:r>
      <w:r>
        <w:rPr>
          <w:rStyle w:val="10"/>
          <w:shd w:val="clear" w:color="auto" w:fill="FFFFFF"/>
        </w:rPr>
        <w:t>https://www.cureus.com/articles/265705-revolutionizing-healthcare-how-telemedicine-is-improving-patient-outcomes-and-expanding-access-to-care.pdf</w:t>
      </w:r>
      <w:r>
        <w:rPr>
          <w:rStyle w:val="10"/>
          <w:shd w:val="clear" w:color="auto" w:fill="FFFFFF"/>
        </w:rPr>
        <w:fldChar w:fldCharType="end"/>
      </w:r>
    </w:p>
    <w:p w14:paraId="5A8EF154">
      <w:pPr>
        <w:numPr>
          <w:ilvl w:val="0"/>
          <w:numId w:val="0"/>
        </w:numPr>
        <w:ind w:leftChars="0"/>
        <w:rPr>
          <w:highlight w:val="white"/>
          <w:lang w:val="en-GB"/>
        </w:rPr>
      </w:pPr>
      <w:r>
        <w:rPr>
          <w:color w:val="222222"/>
          <w:shd w:val="clear" w:color="auto" w:fill="FFFFFF"/>
        </w:rPr>
        <w:t>Fitzpatrick, P.J., 2023. Improving health literacy using the power of digital communications to achieve better health outcomes for patients and practitioners. </w:t>
      </w:r>
      <w:r>
        <w:rPr>
          <w:i/>
          <w:iCs/>
          <w:color w:val="222222"/>
          <w:shd w:val="clear" w:color="auto" w:fill="FFFFFF"/>
        </w:rPr>
        <w:t>Frontiers in Digital Health</w:t>
      </w:r>
      <w:r>
        <w:rPr>
          <w:color w:val="222222"/>
          <w:shd w:val="clear" w:color="auto" w:fill="FFFFFF"/>
        </w:rPr>
        <w:t>, </w:t>
      </w:r>
      <w:r>
        <w:rPr>
          <w:i/>
          <w:iCs/>
          <w:color w:val="222222"/>
          <w:shd w:val="clear" w:color="auto" w:fill="FFFFFF"/>
        </w:rPr>
        <w:t>5</w:t>
      </w:r>
      <w:r>
        <w:rPr>
          <w:color w:val="222222"/>
          <w:shd w:val="clear" w:color="auto" w:fill="FFFFFF"/>
        </w:rPr>
        <w:t xml:space="preserve">, p.1264780. </w:t>
      </w:r>
      <w:r>
        <w:fldChar w:fldCharType="begin"/>
      </w:r>
      <w:r>
        <w:instrText xml:space="preserve"> HYPERLINK "https://www.frontiersin.org/journals/digital-health/articles/10.3389/fdgth.2023.1264780/pdf" </w:instrText>
      </w:r>
      <w:r>
        <w:fldChar w:fldCharType="separate"/>
      </w:r>
      <w:r>
        <w:rPr>
          <w:rStyle w:val="10"/>
          <w:shd w:val="clear" w:color="auto" w:fill="FFFFFF"/>
        </w:rPr>
        <w:t>https://www.frontiersin.org/journals/digital-health/articles/10.3389/fdgth.2023.1264780/pdf</w:t>
      </w:r>
      <w:r>
        <w:rPr>
          <w:rStyle w:val="10"/>
          <w:shd w:val="clear" w:color="auto" w:fill="FFFFFF"/>
        </w:rPr>
        <w:fldChar w:fldCharType="end"/>
      </w:r>
      <w:r>
        <w:rPr>
          <w:color w:val="222222"/>
          <w:shd w:val="clear" w:color="auto" w:fill="FFFFFF"/>
        </w:rPr>
        <w:t xml:space="preserve"> </w:t>
      </w:r>
    </w:p>
    <w:p w14:paraId="38CD1BED">
      <w:pPr>
        <w:numPr>
          <w:ilvl w:val="0"/>
          <w:numId w:val="0"/>
        </w:numPr>
        <w:ind w:leftChars="0"/>
        <w:rPr>
          <w:highlight w:val="white"/>
          <w:lang w:val="en-GB"/>
        </w:rPr>
      </w:pPr>
      <w:r>
        <w:rPr>
          <w:color w:val="222222"/>
          <w:shd w:val="clear" w:color="auto" w:fill="FFFFFF"/>
        </w:rPr>
        <w:t>Giebel, G.D., Speckemeier, C., Abels, C., Plescher, F., Börchers, K., Wasem, J., Blase, N. and Neusser, S., 2023. Problems and barriers related to the use of digital health applications: scoping review. </w:t>
      </w:r>
      <w:r>
        <w:rPr>
          <w:i/>
          <w:iCs/>
          <w:color w:val="222222"/>
          <w:shd w:val="clear" w:color="auto" w:fill="FFFFFF"/>
        </w:rPr>
        <w:t>Journal of Medical Internet Research</w:t>
      </w:r>
      <w:r>
        <w:rPr>
          <w:color w:val="222222"/>
          <w:shd w:val="clear" w:color="auto" w:fill="FFFFFF"/>
        </w:rPr>
        <w:t>, </w:t>
      </w:r>
      <w:r>
        <w:rPr>
          <w:i/>
          <w:iCs/>
          <w:color w:val="222222"/>
          <w:shd w:val="clear" w:color="auto" w:fill="FFFFFF"/>
        </w:rPr>
        <w:t>25</w:t>
      </w:r>
      <w:r>
        <w:rPr>
          <w:color w:val="222222"/>
          <w:shd w:val="clear" w:color="auto" w:fill="FFFFFF"/>
        </w:rPr>
        <w:t xml:space="preserve">, p.e43808. </w:t>
      </w:r>
      <w:r>
        <w:fldChar w:fldCharType="begin"/>
      </w:r>
      <w:r>
        <w:instrText xml:space="preserve"> HYPERLINK "https://www.jmir.org/2023/1/e43808/" </w:instrText>
      </w:r>
      <w:r>
        <w:fldChar w:fldCharType="separate"/>
      </w:r>
      <w:r>
        <w:rPr>
          <w:rStyle w:val="10"/>
          <w:shd w:val="clear" w:color="auto" w:fill="FFFFFF"/>
        </w:rPr>
        <w:t>https://www.jmir.org/2023/1/e43808/</w:t>
      </w:r>
      <w:r>
        <w:rPr>
          <w:rStyle w:val="10"/>
          <w:shd w:val="clear" w:color="auto" w:fill="FFFFFF"/>
        </w:rPr>
        <w:fldChar w:fldCharType="end"/>
      </w:r>
    </w:p>
    <w:p w14:paraId="2FB528F8">
      <w:pPr>
        <w:numPr>
          <w:ilvl w:val="0"/>
          <w:numId w:val="0"/>
        </w:numPr>
        <w:ind w:leftChars="0"/>
        <w:rPr>
          <w:shd w:val="clear" w:color="auto" w:fill="FFFFFF"/>
        </w:rPr>
      </w:pPr>
      <w:r>
        <w:rPr>
          <w:shd w:val="clear" w:color="auto" w:fill="FFFFFF"/>
        </w:rPr>
        <w:t>Haimi, M., Goren, U. and Grossman, Z., 2024. Barriers and challenges to telemedicine usage among the elderly population in Israel in light of the COVID-19 era: A qualitative study. </w:t>
      </w:r>
      <w:r>
        <w:rPr>
          <w:i/>
          <w:iCs/>
          <w:shd w:val="clear" w:color="auto" w:fill="FFFFFF"/>
        </w:rPr>
        <w:t>Digital Health</w:t>
      </w:r>
      <w:r>
        <w:rPr>
          <w:shd w:val="clear" w:color="auto" w:fill="FFFFFF"/>
        </w:rPr>
        <w:t>, </w:t>
      </w:r>
      <w:r>
        <w:rPr>
          <w:i/>
          <w:iCs/>
          <w:shd w:val="clear" w:color="auto" w:fill="FFFFFF"/>
        </w:rPr>
        <w:t>10</w:t>
      </w:r>
      <w:r>
        <w:rPr>
          <w:shd w:val="clear" w:color="auto" w:fill="FFFFFF"/>
        </w:rPr>
        <w:t xml:space="preserve">, p.20552076241240235. </w:t>
      </w:r>
      <w:r>
        <w:fldChar w:fldCharType="begin"/>
      </w:r>
      <w:r>
        <w:instrText xml:space="preserve"> HYPERLINK "https://scholar.google.com/scholar?output=instlink&amp;q=info:TIgbfJzEi7sJ:scholar.google.com/&amp;hl=en&amp;as_sdt=0,5&amp;as_ylo=2022&amp;scillfp=5026282216768233523&amp;oi=lle" </w:instrText>
      </w:r>
      <w:r>
        <w:fldChar w:fldCharType="separate"/>
      </w:r>
      <w:r>
        <w:rPr>
          <w:rStyle w:val="10"/>
          <w:shd w:val="clear" w:color="auto" w:fill="FFFFFF"/>
        </w:rPr>
        <w:t>https://scholar.google.com/scholar?output=instlink&amp;q=info:TIgbfJzEi7sJ:scholar.google.com/&amp;hl=en&amp;as_sdt=0,5&amp;as_ylo=2022&amp;scillfp=5026282216768233523&amp;oi=lle</w:t>
      </w:r>
      <w:r>
        <w:rPr>
          <w:rStyle w:val="10"/>
          <w:shd w:val="clear" w:color="auto" w:fill="FFFFFF"/>
        </w:rPr>
        <w:fldChar w:fldCharType="end"/>
      </w:r>
    </w:p>
    <w:p w14:paraId="53F16BB6">
      <w:pPr>
        <w:numPr>
          <w:ilvl w:val="0"/>
          <w:numId w:val="0"/>
        </w:numPr>
        <w:ind w:leftChars="0"/>
        <w:rPr>
          <w:shd w:val="clear" w:color="auto" w:fill="FFFFFF"/>
        </w:rPr>
      </w:pPr>
      <w:r>
        <w:rPr>
          <w:shd w:val="clear" w:color="auto" w:fill="FFFFFF"/>
        </w:rPr>
        <w:t>Kumsa, F.A., Prasad, R. and Shaban-Nejad, A., 2023. Medication abortion via digital health in the United States: a systematic scoping review. </w:t>
      </w:r>
      <w:r>
        <w:rPr>
          <w:i/>
          <w:iCs/>
          <w:shd w:val="clear" w:color="auto" w:fill="FFFFFF"/>
        </w:rPr>
        <w:t>NPJ Digital Medicine</w:t>
      </w:r>
      <w:r>
        <w:rPr>
          <w:shd w:val="clear" w:color="auto" w:fill="FFFFFF"/>
        </w:rPr>
        <w:t>, </w:t>
      </w:r>
      <w:r>
        <w:rPr>
          <w:i/>
          <w:iCs/>
          <w:shd w:val="clear" w:color="auto" w:fill="FFFFFF"/>
        </w:rPr>
        <w:t>6</w:t>
      </w:r>
      <w:r>
        <w:rPr>
          <w:shd w:val="clear" w:color="auto" w:fill="FFFFFF"/>
        </w:rPr>
        <w:t xml:space="preserve">(1), p.128. </w:t>
      </w:r>
      <w:r>
        <w:fldChar w:fldCharType="begin"/>
      </w:r>
      <w:r>
        <w:instrText xml:space="preserve"> HYPERLINK "https://www.nature.com/articles/s41746-023-00871-2.pdf" </w:instrText>
      </w:r>
      <w:r>
        <w:fldChar w:fldCharType="separate"/>
      </w:r>
      <w:r>
        <w:rPr>
          <w:rStyle w:val="10"/>
          <w:shd w:val="clear" w:color="auto" w:fill="FFFFFF"/>
        </w:rPr>
        <w:t>https://www.nature.com/articles/s41746-023-00871-2.pdf</w:t>
      </w:r>
      <w:r>
        <w:rPr>
          <w:rStyle w:val="10"/>
          <w:shd w:val="clear" w:color="auto" w:fill="FFFFFF"/>
        </w:rPr>
        <w:fldChar w:fldCharType="end"/>
      </w:r>
    </w:p>
    <w:p w14:paraId="6FBE191B">
      <w:pPr>
        <w:numPr>
          <w:ilvl w:val="0"/>
          <w:numId w:val="0"/>
        </w:numPr>
        <w:spacing w:after="240"/>
        <w:ind w:leftChars="0"/>
        <w:rPr>
          <w:color w:val="222222"/>
          <w:highlight w:val="white"/>
          <w:lang w:val="en-GB"/>
        </w:rPr>
      </w:pPr>
      <w:r>
        <w:rPr>
          <w:color w:val="222222"/>
          <w:highlight w:val="white"/>
          <w:lang w:val="en-GB"/>
        </w:rPr>
        <w:t xml:space="preserve">Mensah, G.B., 2024. Regulating Malpractice in Telemedicine and Digital Health. </w:t>
      </w:r>
      <w:r>
        <w:rPr>
          <w:i/>
          <w:color w:val="222222"/>
          <w:highlight w:val="white"/>
          <w:lang w:val="en-GB"/>
        </w:rPr>
        <w:t>Africa Journal For Regulatory Affairs (AJFRA)</w:t>
      </w:r>
      <w:r>
        <w:rPr>
          <w:color w:val="222222"/>
          <w:highlight w:val="white"/>
          <w:lang w:val="en-GB"/>
        </w:rPr>
        <w:t xml:space="preserve">, </w:t>
      </w:r>
      <w:r>
        <w:rPr>
          <w:i/>
          <w:color w:val="222222"/>
          <w:highlight w:val="white"/>
          <w:lang w:val="en-GB"/>
        </w:rPr>
        <w:t>1</w:t>
      </w:r>
      <w:r>
        <w:rPr>
          <w:color w:val="222222"/>
          <w:highlight w:val="white"/>
          <w:lang w:val="en-GB"/>
        </w:rPr>
        <w:t xml:space="preserve">, pp.1-16. </w:t>
      </w:r>
      <w:r>
        <w:fldChar w:fldCharType="begin"/>
      </w:r>
      <w:r>
        <w:instrText xml:space="preserve"> HYPERLINK "https://jamanetwork.com/journals/jamanetworkopen/articlepdf/2815070/katz_2024_oi_231646_1707335323.06233.pdf" \h </w:instrText>
      </w:r>
      <w:r>
        <w:fldChar w:fldCharType="separate"/>
      </w:r>
      <w:r>
        <w:rPr>
          <w:color w:val="1155CC"/>
          <w:highlight w:val="white"/>
          <w:u w:val="single"/>
          <w:lang w:val="en-GB"/>
        </w:rPr>
        <w:t>https://jamanetwork.com/journals/jamanetworkopen/articlepdf/2815070/katz_2024_oi_231646_1707335323.06233.pdf</w:t>
      </w:r>
      <w:r>
        <w:rPr>
          <w:color w:val="1155CC"/>
          <w:highlight w:val="white"/>
          <w:u w:val="single"/>
          <w:lang w:val="en-GB"/>
        </w:rPr>
        <w:fldChar w:fldCharType="end"/>
      </w:r>
    </w:p>
    <w:p w14:paraId="6AD6018A">
      <w:pPr>
        <w:numPr>
          <w:ilvl w:val="0"/>
          <w:numId w:val="0"/>
        </w:numPr>
        <w:spacing w:after="240"/>
        <w:ind w:leftChars="0"/>
        <w:rPr>
          <w:color w:val="222222"/>
          <w:highlight w:val="white"/>
          <w:lang w:val="en-GB"/>
        </w:rPr>
      </w:pPr>
      <w:r>
        <w:rPr>
          <w:color w:val="222222"/>
          <w:highlight w:val="white"/>
          <w:lang w:val="en-GB"/>
        </w:rPr>
        <w:t xml:space="preserve">Prasetya, H., Darmayanti, A.T. and Setyorini, Y., 2024. Theory of planned behavior in creating disease prevention behavior. </w:t>
      </w:r>
      <w:r>
        <w:rPr>
          <w:i/>
          <w:color w:val="222222"/>
          <w:highlight w:val="white"/>
          <w:lang w:val="en-GB"/>
        </w:rPr>
        <w:t>International Journal of Public Health</w:t>
      </w:r>
      <w:r>
        <w:rPr>
          <w:color w:val="222222"/>
          <w:highlight w:val="white"/>
          <w:lang w:val="en-GB"/>
        </w:rPr>
        <w:t xml:space="preserve">, </w:t>
      </w:r>
      <w:r>
        <w:rPr>
          <w:i/>
          <w:color w:val="222222"/>
          <w:highlight w:val="white"/>
          <w:lang w:val="en-GB"/>
        </w:rPr>
        <w:t>13</w:t>
      </w:r>
      <w:r>
        <w:rPr>
          <w:color w:val="222222"/>
          <w:highlight w:val="white"/>
          <w:lang w:val="en-GB"/>
        </w:rPr>
        <w:t xml:space="preserve">(1), pp.109-115. </w:t>
      </w:r>
      <w:r>
        <w:fldChar w:fldCharType="begin"/>
      </w:r>
      <w:r>
        <w:instrText xml:space="preserve"> HYPERLINK "https://pdfs.semanticscholar.org/b2fe/7354d3dfee005632883eca9dfe1202a01e0c.pdf" \h </w:instrText>
      </w:r>
      <w:r>
        <w:fldChar w:fldCharType="separate"/>
      </w:r>
      <w:r>
        <w:rPr>
          <w:color w:val="1155CC"/>
          <w:highlight w:val="white"/>
          <w:u w:val="single"/>
          <w:lang w:val="en-GB"/>
        </w:rPr>
        <w:t>https://pdfs.semanticscholar.org/b2fe/7354d3dfee005632883eca9dfe1202a01e0c.pdf</w:t>
      </w:r>
      <w:r>
        <w:rPr>
          <w:color w:val="1155CC"/>
          <w:highlight w:val="white"/>
          <w:u w:val="single"/>
          <w:lang w:val="en-GB"/>
        </w:rPr>
        <w:fldChar w:fldCharType="end"/>
      </w:r>
      <w:r>
        <w:rPr>
          <w:color w:val="222222"/>
          <w:highlight w:val="white"/>
          <w:lang w:val="en-GB"/>
        </w:rPr>
        <w:t xml:space="preserve"> </w:t>
      </w:r>
    </w:p>
    <w:p w14:paraId="2F05F828">
      <w:pPr>
        <w:numPr>
          <w:ilvl w:val="0"/>
          <w:numId w:val="0"/>
        </w:numPr>
        <w:ind w:leftChars="0"/>
        <w:rPr>
          <w:highlight w:val="white"/>
          <w:lang w:val="en-GB"/>
        </w:rPr>
      </w:pPr>
      <w:r>
        <w:rPr>
          <w:color w:val="222222"/>
          <w:shd w:val="clear" w:color="auto" w:fill="FFFFFF"/>
        </w:rPr>
        <w:t>Shaffer, K.M., Turner, K.L., Siwik, C., Gonzalez, B.D., Upasani, R., Glazer, J.V., Ferguson, R.J., Joshua, C. and Low, C.A., 2023. Digital health and telehealth in cancer care: a scoping review of reviews. </w:t>
      </w:r>
      <w:r>
        <w:rPr>
          <w:i/>
          <w:iCs/>
          <w:color w:val="222222"/>
          <w:shd w:val="clear" w:color="auto" w:fill="FFFFFF"/>
        </w:rPr>
        <w:t>The Lancet Digital Health</w:t>
      </w:r>
      <w:r>
        <w:rPr>
          <w:color w:val="222222"/>
          <w:shd w:val="clear" w:color="auto" w:fill="FFFFFF"/>
        </w:rPr>
        <w:t>, </w:t>
      </w:r>
      <w:r>
        <w:rPr>
          <w:i/>
          <w:iCs/>
          <w:color w:val="222222"/>
          <w:shd w:val="clear" w:color="auto" w:fill="FFFFFF"/>
        </w:rPr>
        <w:t>5</w:t>
      </w:r>
      <w:r>
        <w:rPr>
          <w:color w:val="222222"/>
          <w:shd w:val="clear" w:color="auto" w:fill="FFFFFF"/>
        </w:rPr>
        <w:t xml:space="preserve">(5), pp.e316-e327. </w:t>
      </w:r>
      <w:r>
        <w:fldChar w:fldCharType="begin"/>
      </w:r>
      <w:r>
        <w:instrText xml:space="preserve"> HYPERLINK "https://scholar.google.com/scholar?output=instlink&amp;q=info:lJsRXbnUuBAJ:scholar.google.com/&amp;hl=en&amp;as_sdt=0,5&amp;as_ylo=2022&amp;scillfp=3325505479052309658&amp;oi=lle" </w:instrText>
      </w:r>
      <w:r>
        <w:fldChar w:fldCharType="separate"/>
      </w:r>
      <w:r>
        <w:rPr>
          <w:rStyle w:val="10"/>
          <w:shd w:val="clear" w:color="auto" w:fill="FFFFFF"/>
        </w:rPr>
        <w:t>https://scholar.google.com/scholar?output=instlink&amp;q=info:lJsRXbnUuBAJ:scholar.google.com/&amp;hl=en&amp;as_sdt=0,5&amp;as_ylo=2022&amp;scillfp=3325505479052309658&amp;oi=lle</w:t>
      </w:r>
      <w:r>
        <w:rPr>
          <w:rStyle w:val="10"/>
          <w:shd w:val="clear" w:color="auto" w:fill="FFFFFF"/>
        </w:rPr>
        <w:fldChar w:fldCharType="end"/>
      </w:r>
      <w:r>
        <w:rPr>
          <w:color w:val="222222"/>
          <w:shd w:val="clear" w:color="auto" w:fill="FFFFFF"/>
        </w:rPr>
        <w:t xml:space="preserve"> </w:t>
      </w:r>
    </w:p>
    <w:p w14:paraId="130DD519">
      <w:pPr>
        <w:numPr>
          <w:ilvl w:val="0"/>
          <w:numId w:val="0"/>
        </w:numPr>
        <w:ind w:leftChars="0"/>
        <w:rPr>
          <w:highlight w:val="white"/>
          <w:lang w:val="en-GB"/>
        </w:rPr>
      </w:pPr>
      <w:r>
        <w:rPr>
          <w:color w:val="222222"/>
          <w:shd w:val="clear" w:color="auto" w:fill="FFFFFF"/>
        </w:rPr>
        <w:t>Whitehead, L., Talevski, J., Fatehi, F. and Beauchamp, A., 2023. Barriers to and facilitators of digital health among culturally and linguistically diverse populations: qualitative systematic review. </w:t>
      </w:r>
      <w:r>
        <w:rPr>
          <w:i/>
          <w:iCs/>
          <w:color w:val="222222"/>
          <w:shd w:val="clear" w:color="auto" w:fill="FFFFFF"/>
        </w:rPr>
        <w:t>Journal of medical Internet research</w:t>
      </w:r>
      <w:r>
        <w:rPr>
          <w:color w:val="222222"/>
          <w:shd w:val="clear" w:color="auto" w:fill="FFFFFF"/>
        </w:rPr>
        <w:t>, </w:t>
      </w:r>
      <w:r>
        <w:rPr>
          <w:i/>
          <w:iCs/>
          <w:color w:val="222222"/>
          <w:shd w:val="clear" w:color="auto" w:fill="FFFFFF"/>
        </w:rPr>
        <w:t>25</w:t>
      </w:r>
      <w:r>
        <w:rPr>
          <w:color w:val="222222"/>
          <w:shd w:val="clear" w:color="auto" w:fill="FFFFFF"/>
        </w:rPr>
        <w:t xml:space="preserve">, p.e42719. </w:t>
      </w:r>
      <w:r>
        <w:fldChar w:fldCharType="begin"/>
      </w:r>
      <w:r>
        <w:instrText xml:space="preserve"> HYPERLINK "https://www.jmir.org/2023/1/e42719/" </w:instrText>
      </w:r>
      <w:r>
        <w:fldChar w:fldCharType="separate"/>
      </w:r>
      <w:r>
        <w:rPr>
          <w:rStyle w:val="10"/>
          <w:shd w:val="clear" w:color="auto" w:fill="FFFFFF"/>
        </w:rPr>
        <w:t>https://www.jmir.org/2023/1/e42719/</w:t>
      </w:r>
      <w:r>
        <w:rPr>
          <w:rStyle w:val="10"/>
          <w:shd w:val="clear" w:color="auto" w:fill="FFFFFF"/>
        </w:rPr>
        <w:fldChar w:fldCharType="end"/>
      </w:r>
      <w:r>
        <w:rPr>
          <w:color w:val="222222"/>
          <w:shd w:val="clear" w:color="auto" w:fill="FFFFFF"/>
        </w:rPr>
        <w:t xml:space="preserve"> </w:t>
      </w:r>
    </w:p>
    <w:p w14:paraId="14B4ED43">
      <w:pPr>
        <w:numPr>
          <w:ilvl w:val="0"/>
          <w:numId w:val="0"/>
        </w:numPr>
        <w:ind w:leftChars="0"/>
        <w:rPr>
          <w:highlight w:val="white"/>
          <w:lang w:val="en-GB"/>
        </w:rPr>
      </w:pPr>
      <w:r>
        <w:rPr>
          <w:color w:val="222222"/>
          <w:shd w:val="clear" w:color="auto" w:fill="FFFFFF"/>
        </w:rPr>
        <w:t>Willis, V.C., Thomas Craig, K.J., Jabbarpour, Y., Scheufele, E.L., Arriaga, Y.E., Ajinkya, M., Rhee, K.B. and Bazemore, A., 2022. Digital health interventions to enhance prevention in primary care: scoping review. </w:t>
      </w:r>
      <w:r>
        <w:rPr>
          <w:i/>
          <w:iCs/>
          <w:color w:val="222222"/>
          <w:shd w:val="clear" w:color="auto" w:fill="FFFFFF"/>
        </w:rPr>
        <w:t>JMIR medical informatics</w:t>
      </w:r>
      <w:r>
        <w:rPr>
          <w:color w:val="222222"/>
          <w:shd w:val="clear" w:color="auto" w:fill="FFFFFF"/>
        </w:rPr>
        <w:t>, </w:t>
      </w:r>
      <w:r>
        <w:rPr>
          <w:i/>
          <w:iCs/>
          <w:color w:val="222222"/>
          <w:shd w:val="clear" w:color="auto" w:fill="FFFFFF"/>
        </w:rPr>
        <w:t>10</w:t>
      </w:r>
      <w:r>
        <w:rPr>
          <w:color w:val="222222"/>
          <w:shd w:val="clear" w:color="auto" w:fill="FFFFFF"/>
        </w:rPr>
        <w:t xml:space="preserve">(1), p.e33518. </w:t>
      </w:r>
      <w:r>
        <w:fldChar w:fldCharType="begin"/>
      </w:r>
      <w:r>
        <w:instrText xml:space="preserve"> HYPERLINK "https://medinform.jmir.org/2022/1/e33518" </w:instrText>
      </w:r>
      <w:r>
        <w:fldChar w:fldCharType="separate"/>
      </w:r>
      <w:r>
        <w:rPr>
          <w:rStyle w:val="10"/>
          <w:shd w:val="clear" w:color="auto" w:fill="FFFFFF"/>
        </w:rPr>
        <w:t>https://medinform.jmir.org/2022/1/e33518</w:t>
      </w:r>
      <w:r>
        <w:rPr>
          <w:rStyle w:val="10"/>
          <w:shd w:val="clear" w:color="auto" w:fill="FFFFFF"/>
        </w:rPr>
        <w:fldChar w:fldCharType="end"/>
      </w:r>
    </w:p>
    <w:p w14:paraId="7BFEDA42">
      <w:pPr>
        <w:numPr>
          <w:ilvl w:val="0"/>
          <w:numId w:val="0"/>
        </w:numPr>
        <w:spacing w:after="240"/>
        <w:ind w:leftChars="0"/>
        <w:rPr>
          <w:color w:val="222222"/>
          <w:highlight w:val="white"/>
          <w:lang w:val="en-GB"/>
        </w:rPr>
      </w:pPr>
      <w:r>
        <w:rPr>
          <w:color w:val="222222"/>
          <w:highlight w:val="white"/>
          <w:lang w:val="en-GB"/>
        </w:rPr>
        <w:t xml:space="preserve">Wilson, S., Tolley, C., Mc Ardle, R., Lawson, L., Beswick, E., Hassan, N., Slight, R. and Slight, S., 2024. Recommendations to advance digital health equity: a systematic review of qualitative studies. </w:t>
      </w:r>
      <w:r>
        <w:rPr>
          <w:i/>
          <w:color w:val="222222"/>
          <w:highlight w:val="white"/>
          <w:lang w:val="en-GB"/>
        </w:rPr>
        <w:t>NPJ digital medicine</w:t>
      </w:r>
      <w:r>
        <w:rPr>
          <w:color w:val="222222"/>
          <w:highlight w:val="white"/>
          <w:lang w:val="en-GB"/>
        </w:rPr>
        <w:t xml:space="preserve">, </w:t>
      </w:r>
      <w:r>
        <w:rPr>
          <w:i/>
          <w:color w:val="222222"/>
          <w:highlight w:val="white"/>
          <w:lang w:val="en-GB"/>
        </w:rPr>
        <w:t>7</w:t>
      </w:r>
      <w:r>
        <w:rPr>
          <w:color w:val="222222"/>
          <w:highlight w:val="white"/>
          <w:lang w:val="en-GB"/>
        </w:rPr>
        <w:t xml:space="preserve">(1), p.173. </w:t>
      </w:r>
      <w:r>
        <w:fldChar w:fldCharType="begin"/>
      </w:r>
      <w:r>
        <w:instrText xml:space="preserve"> HYPERLINK "https://www.nature.com/articles/s41746-024-01177-7.pdf" \h </w:instrText>
      </w:r>
      <w:r>
        <w:fldChar w:fldCharType="separate"/>
      </w:r>
      <w:r>
        <w:rPr>
          <w:color w:val="1155CC"/>
          <w:highlight w:val="white"/>
          <w:u w:val="single"/>
          <w:lang w:val="en-GB"/>
        </w:rPr>
        <w:t>https://www.nature.com/articles/s41746-024-01177-7.pdf</w:t>
      </w:r>
      <w:r>
        <w:rPr>
          <w:color w:val="1155CC"/>
          <w:highlight w:val="white"/>
          <w:u w:val="single"/>
          <w:lang w:val="en-GB"/>
        </w:rPr>
        <w:fldChar w:fldCharType="end"/>
      </w:r>
    </w:p>
    <w:p w14:paraId="7B081BA5">
      <w:pPr>
        <w:numPr>
          <w:ilvl w:val="0"/>
          <w:numId w:val="0"/>
        </w:numPr>
        <w:spacing w:after="240"/>
        <w:ind w:leftChars="0"/>
        <w:jc w:val="left"/>
        <w:rPr>
          <w:color w:val="222222"/>
          <w:highlight w:val="white"/>
          <w:lang w:val="en-GB"/>
        </w:rPr>
      </w:pPr>
      <w:r>
        <w:rPr>
          <w:color w:val="222222"/>
          <w:highlight w:val="white"/>
          <w:lang w:val="en-GB"/>
        </w:rPr>
        <w:t xml:space="preserve">World Health Organization, 2022. </w:t>
      </w:r>
      <w:r>
        <w:rPr>
          <w:i/>
          <w:color w:val="222222"/>
          <w:highlight w:val="white"/>
          <w:lang w:val="en-GB"/>
        </w:rPr>
        <w:t>Mental Disorders</w:t>
      </w:r>
      <w:r>
        <w:rPr>
          <w:color w:val="222222"/>
          <w:highlight w:val="white"/>
          <w:lang w:val="en-GB"/>
        </w:rPr>
        <w:t>. [online] World Health Organization. Available at: https://www.who.int/news-room/fact-sheets/detail/mental-disorders [Accessed 22 Mar. 2025].</w:t>
      </w:r>
    </w:p>
    <w:p w14:paraId="01198AF2">
      <w:pPr>
        <w:numPr>
          <w:ilvl w:val="0"/>
          <w:numId w:val="0"/>
        </w:numPr>
        <w:ind w:leftChars="0"/>
        <w:rPr>
          <w:highlight w:val="white"/>
          <w:lang w:val="en-GB"/>
        </w:rPr>
      </w:pPr>
      <w:r>
        <w:rPr>
          <w:shd w:val="clear" w:color="auto" w:fill="FFFFFF"/>
        </w:rPr>
        <w:t>Yee, V., Bajaj, S.S. and Stanford, F.C., 2022. Paradox of telemedicine: building or neglecting trust and equity. </w:t>
      </w:r>
      <w:r>
        <w:rPr>
          <w:i/>
          <w:iCs/>
          <w:shd w:val="clear" w:color="auto" w:fill="FFFFFF"/>
        </w:rPr>
        <w:t>The Lancet Digital Health</w:t>
      </w:r>
      <w:r>
        <w:rPr>
          <w:shd w:val="clear" w:color="auto" w:fill="FFFFFF"/>
        </w:rPr>
        <w:t>, </w:t>
      </w:r>
      <w:r>
        <w:rPr>
          <w:i/>
          <w:iCs/>
          <w:shd w:val="clear" w:color="auto" w:fill="FFFFFF"/>
        </w:rPr>
        <w:t>4</w:t>
      </w:r>
      <w:r>
        <w:rPr>
          <w:shd w:val="clear" w:color="auto" w:fill="FFFFFF"/>
        </w:rPr>
        <w:t xml:space="preserve">(7), pp.e480-e481. </w:t>
      </w:r>
      <w:r>
        <w:fldChar w:fldCharType="begin"/>
      </w:r>
      <w:r>
        <w:instrText xml:space="preserve"> HYPERLINK "https://www.thelancet.com/pdfs/journals/landig/PIIS2589-7500(22)00100-5.pdf" </w:instrText>
      </w:r>
      <w:r>
        <w:fldChar w:fldCharType="separate"/>
      </w:r>
      <w:r>
        <w:rPr>
          <w:rStyle w:val="10"/>
          <w:shd w:val="clear" w:color="auto" w:fill="FFFFFF"/>
        </w:rPr>
        <w:t>https://www.thelancet.com/pdfs/journals/landig/PIIS2589-7500(22)00100-5.pdf</w:t>
      </w:r>
      <w:r>
        <w:rPr>
          <w:rStyle w:val="10"/>
          <w:shd w:val="clear" w:color="auto" w:fill="FFFFFF"/>
        </w:rPr>
        <w:fldChar w:fldCharType="end"/>
      </w:r>
      <w:r>
        <w:rPr>
          <w:shd w:val="clear" w:color="auto" w:fill="FFFFFF"/>
        </w:rPr>
        <w:t xml:space="preserve"> </w:t>
      </w:r>
    </w:p>
    <w:p w14:paraId="4BF41F15">
      <w:pPr>
        <w:numPr>
          <w:ilvl w:val="0"/>
          <w:numId w:val="0"/>
        </w:numPr>
        <w:ind w:leftChars="0"/>
        <w:rPr>
          <w:highlight w:val="white"/>
          <w:lang w:val="en-GB"/>
        </w:rPr>
      </w:pPr>
      <w:r>
        <w:rPr>
          <w:color w:val="222222"/>
          <w:shd w:val="clear" w:color="auto" w:fill="FFFFFF"/>
        </w:rPr>
        <w:t>Yeung, A.W.K., Torkamani, A., Butte, A.J., Glicksberg, B.S., Schuller, B., Rodriguez, B., Ting, D.S., Bates, D., Schaden, E., Peng, H. and Willschke, H., 2023. The promise of digital healthcare technologies. </w:t>
      </w:r>
      <w:r>
        <w:rPr>
          <w:i/>
          <w:iCs/>
          <w:color w:val="222222"/>
          <w:shd w:val="clear" w:color="auto" w:fill="FFFFFF"/>
        </w:rPr>
        <w:t>Frontiers in Public Health</w:t>
      </w:r>
      <w:r>
        <w:rPr>
          <w:color w:val="222222"/>
          <w:shd w:val="clear" w:color="auto" w:fill="FFFFFF"/>
        </w:rPr>
        <w:t>, </w:t>
      </w:r>
      <w:r>
        <w:rPr>
          <w:i/>
          <w:iCs/>
          <w:color w:val="222222"/>
          <w:shd w:val="clear" w:color="auto" w:fill="FFFFFF"/>
        </w:rPr>
        <w:t>11</w:t>
      </w:r>
      <w:r>
        <w:rPr>
          <w:color w:val="222222"/>
          <w:shd w:val="clear" w:color="auto" w:fill="FFFFFF"/>
        </w:rPr>
        <w:t xml:space="preserve">, p.1196596. </w:t>
      </w:r>
      <w:r>
        <w:fldChar w:fldCharType="begin"/>
      </w:r>
      <w:r>
        <w:instrText xml:space="preserve"> HYPERLINK "https://www.academia.edu/download/109640239/JURNAL_REG_8082219_PHDYOESOEP_EDHIE_RACHMAD.pdf" </w:instrText>
      </w:r>
      <w:r>
        <w:fldChar w:fldCharType="separate"/>
      </w:r>
      <w:r>
        <w:rPr>
          <w:rStyle w:val="10"/>
          <w:shd w:val="clear" w:color="auto" w:fill="FFFFFF"/>
        </w:rPr>
        <w:t>https://www.academia.edu/download/109640239/JURNAL_REG_8082219_PHDYOESOEP_EDHIE_RACHMAD.pdf</w:t>
      </w:r>
      <w:r>
        <w:rPr>
          <w:rStyle w:val="10"/>
          <w:shd w:val="clear" w:color="auto" w:fill="FFFFFF"/>
        </w:rPr>
        <w:fldChar w:fldCharType="end"/>
      </w:r>
    </w:p>
    <w:p w14:paraId="6F59592B">
      <w:pPr>
        <w:numPr>
          <w:ilvl w:val="0"/>
          <w:numId w:val="0"/>
        </w:numPr>
        <w:ind w:leftChars="0"/>
        <w:rPr>
          <w:highlight w:val="white"/>
          <w:lang w:val="en-GB"/>
        </w:rPr>
      </w:pPr>
      <w:r>
        <w:rPr>
          <w:color w:val="222222"/>
          <w:shd w:val="clear" w:color="auto" w:fill="FFFFFF"/>
        </w:rPr>
        <w:t>Zwack, C.C., Haghani, M., Hollings, M., Zhang, L., Gauci, S., Gallagher, R. and Redfern, J., 2023. The evolution of digital health technologies in cardiovascular disease research. </w:t>
      </w:r>
      <w:r>
        <w:rPr>
          <w:i/>
          <w:iCs/>
          <w:color w:val="222222"/>
          <w:shd w:val="clear" w:color="auto" w:fill="FFFFFF"/>
        </w:rPr>
        <w:t>NPJ digital medicine</w:t>
      </w:r>
      <w:r>
        <w:rPr>
          <w:color w:val="222222"/>
          <w:shd w:val="clear" w:color="auto" w:fill="FFFFFF"/>
        </w:rPr>
        <w:t>, </w:t>
      </w:r>
      <w:r>
        <w:rPr>
          <w:i/>
          <w:iCs/>
          <w:color w:val="222222"/>
          <w:shd w:val="clear" w:color="auto" w:fill="FFFFFF"/>
        </w:rPr>
        <w:t>6</w:t>
      </w:r>
      <w:r>
        <w:rPr>
          <w:color w:val="222222"/>
          <w:shd w:val="clear" w:color="auto" w:fill="FFFFFF"/>
        </w:rPr>
        <w:t xml:space="preserve">(1), p.1. </w:t>
      </w:r>
      <w:r>
        <w:fldChar w:fldCharType="begin"/>
      </w:r>
      <w:r>
        <w:instrText xml:space="preserve"> HYPERLINK "https://www.nature.com/articles/s41746-022-00734-2.pdf" </w:instrText>
      </w:r>
      <w:r>
        <w:fldChar w:fldCharType="separate"/>
      </w:r>
      <w:r>
        <w:rPr>
          <w:rStyle w:val="10"/>
          <w:shd w:val="clear" w:color="auto" w:fill="FFFFFF"/>
        </w:rPr>
        <w:t>https://www.nature.com/articles/s41746-022-00734-2.pdf</w:t>
      </w:r>
      <w:r>
        <w:rPr>
          <w:rStyle w:val="10"/>
          <w:shd w:val="clear" w:color="auto" w:fill="FFFFFF"/>
        </w:rPr>
        <w:fldChar w:fldCharType="end"/>
      </w:r>
    </w:p>
    <w:sectPr>
      <w:footerReference r:id="rId7" w:type="first"/>
      <w:headerReference r:id="rId5" w:type="default"/>
      <w:footerReference r:id="rId6" w:type="default"/>
      <w:pgSz w:w="12240" w:h="15840"/>
      <w:pgMar w:top="1157" w:right="1157" w:bottom="1157" w:left="1157" w:header="720" w:footer="720" w:gutter="0"/>
      <w:pgBorders>
        <w:top w:val="double" w:color="auto" w:sz="12" w:space="1"/>
        <w:left w:val="double" w:color="auto" w:sz="12" w:space="4"/>
        <w:bottom w:val="double" w:color="auto" w:sz="12" w:space="1"/>
        <w:right w:val="double" w:color="auto" w:sz="12" w:space="4"/>
      </w:pgBorders>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3B">
    <w:pPr>
      <w:jc w:val="right"/>
    </w:pPr>
    <w:r>
      <w:fldChar w:fldCharType="begin"/>
    </w:r>
    <w:r>
      <w:instrText xml:space="preserve">PAGE</w:instrText>
    </w:r>
    <w:r>
      <w:fldChar w:fldCharType="separate"/>
    </w:r>
    <w: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3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D3187D"/>
    <w:multiLevelType w:val="singleLevel"/>
    <w:tmpl w:val="94D3187D"/>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C4EAD8A5"/>
    <w:multiLevelType w:val="singleLevel"/>
    <w:tmpl w:val="C4EAD8A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2">
    <w:nsid w:val="0554113A"/>
    <w:multiLevelType w:val="multilevel"/>
    <w:tmpl w:val="0554113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7D81AE9"/>
    <w:multiLevelType w:val="multilevel"/>
    <w:tmpl w:val="37D81AE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164D9EC"/>
    <w:multiLevelType w:val="singleLevel"/>
    <w:tmpl w:val="4164D9EC"/>
    <w:lvl w:ilvl="0" w:tentative="0">
      <w:start w:val="1"/>
      <w:numFmt w:val="decimal"/>
      <w:lvlText w:val="%1."/>
      <w:lvlJc w:val="left"/>
      <w:pPr>
        <w:tabs>
          <w:tab w:val="left" w:pos="425"/>
        </w:tabs>
        <w:ind w:left="425" w:leftChars="0" w:hanging="425" w:firstLineChars="0"/>
      </w:pPr>
      <w:rPr>
        <w:rFonts w:hint="default"/>
      </w:rPr>
    </w:lvl>
  </w:abstractNum>
  <w:abstractNum w:abstractNumId="5">
    <w:nsid w:val="5147ED1B"/>
    <w:multiLevelType w:val="multilevel"/>
    <w:tmpl w:val="5147ED1B"/>
    <w:lvl w:ilvl="0" w:tentative="0">
      <w:start w:val="1"/>
      <w:numFmt w:val="decimal"/>
      <w:lvlText w:val="%1."/>
      <w:lvlJc w:val="left"/>
      <w:pPr>
        <w:tabs>
          <w:tab w:val="left" w:pos="425"/>
        </w:tabs>
        <w:ind w:left="425" w:leftChars="0" w:hanging="65" w:firstLineChars="0"/>
      </w:pPr>
      <w:rPr>
        <w:rFonts w:hint="default" w:ascii="Symbol" w:hAnsi="Symbol"/>
      </w:rPr>
    </w:lvl>
    <w:lvl w:ilvl="1" w:tentative="0">
      <w:start w:val="1"/>
      <w:numFmt w:val="lowerLetter"/>
      <w:lvlText w:val="%2."/>
      <w:lvlJc w:val="left"/>
      <w:pPr>
        <w:tabs>
          <w:tab w:val="left" w:pos="425"/>
        </w:tabs>
        <w:ind w:left="425" w:leftChars="0" w:firstLine="655" w:firstLineChars="0"/>
      </w:pPr>
      <w:rPr>
        <w:rFonts w:hint="default" w:ascii="Courier New" w:hAnsi="Courier New"/>
      </w:rPr>
    </w:lvl>
    <w:lvl w:ilvl="2" w:tentative="0">
      <w:start w:val="1"/>
      <w:numFmt w:val="lowerRoman"/>
      <w:lvlText w:val="%3."/>
      <w:lvlJc w:val="left"/>
      <w:pPr>
        <w:tabs>
          <w:tab w:val="left" w:pos="425"/>
        </w:tabs>
        <w:ind w:left="425" w:leftChars="0" w:firstLine="1375" w:firstLineChars="0"/>
      </w:pPr>
      <w:rPr>
        <w:rFonts w:hint="default" w:ascii="Wingdings" w:hAnsi="Wingdings"/>
      </w:rPr>
    </w:lvl>
    <w:lvl w:ilvl="3" w:tentative="0">
      <w:start w:val="1"/>
      <w:numFmt w:val="decimal"/>
      <w:lvlText w:val="%4."/>
      <w:lvlJc w:val="left"/>
      <w:pPr>
        <w:tabs>
          <w:tab w:val="left" w:pos="425"/>
        </w:tabs>
        <w:ind w:left="425" w:leftChars="0" w:firstLine="2095" w:firstLineChars="0"/>
      </w:pPr>
      <w:rPr>
        <w:rFonts w:hint="default" w:ascii="Symbol" w:hAnsi="Symbol"/>
      </w:rPr>
    </w:lvl>
    <w:lvl w:ilvl="4" w:tentative="0">
      <w:start w:val="1"/>
      <w:numFmt w:val="lowerLetter"/>
      <w:lvlText w:val="%5."/>
      <w:lvlJc w:val="left"/>
      <w:pPr>
        <w:tabs>
          <w:tab w:val="left" w:pos="425"/>
        </w:tabs>
        <w:ind w:left="425" w:leftChars="0" w:firstLine="2815" w:firstLineChars="0"/>
      </w:pPr>
      <w:rPr>
        <w:rFonts w:hint="default" w:ascii="Courier New" w:hAnsi="Courier New"/>
      </w:rPr>
    </w:lvl>
    <w:lvl w:ilvl="5" w:tentative="0">
      <w:start w:val="1"/>
      <w:numFmt w:val="lowerRoman"/>
      <w:lvlText w:val="%6."/>
      <w:lvlJc w:val="left"/>
      <w:pPr>
        <w:tabs>
          <w:tab w:val="left" w:pos="425"/>
        </w:tabs>
        <w:ind w:left="425" w:leftChars="0" w:firstLine="3535" w:firstLineChars="0"/>
      </w:pPr>
      <w:rPr>
        <w:rFonts w:hint="default" w:ascii="Wingdings" w:hAnsi="Wingdings"/>
      </w:rPr>
    </w:lvl>
    <w:lvl w:ilvl="6" w:tentative="0">
      <w:start w:val="1"/>
      <w:numFmt w:val="decimal"/>
      <w:lvlText w:val="%7."/>
      <w:lvlJc w:val="left"/>
      <w:pPr>
        <w:tabs>
          <w:tab w:val="left" w:pos="425"/>
        </w:tabs>
        <w:ind w:left="425" w:leftChars="0" w:firstLine="4255" w:firstLineChars="0"/>
      </w:pPr>
      <w:rPr>
        <w:rFonts w:hint="default" w:ascii="Symbol" w:hAnsi="Symbol"/>
      </w:rPr>
    </w:lvl>
    <w:lvl w:ilvl="7" w:tentative="0">
      <w:start w:val="1"/>
      <w:numFmt w:val="lowerLetter"/>
      <w:lvlText w:val="%8."/>
      <w:lvlJc w:val="left"/>
      <w:pPr>
        <w:tabs>
          <w:tab w:val="left" w:pos="425"/>
        </w:tabs>
        <w:ind w:left="425" w:leftChars="0" w:firstLine="4975" w:firstLineChars="0"/>
      </w:pPr>
      <w:rPr>
        <w:rFonts w:hint="default" w:ascii="Courier New" w:hAnsi="Courier New"/>
      </w:rPr>
    </w:lvl>
    <w:lvl w:ilvl="8" w:tentative="0">
      <w:start w:val="1"/>
      <w:numFmt w:val="lowerRoman"/>
      <w:lvlText w:val="%9."/>
      <w:lvlJc w:val="left"/>
      <w:pPr>
        <w:tabs>
          <w:tab w:val="left" w:pos="425"/>
        </w:tabs>
        <w:ind w:left="425" w:leftChars="0" w:firstLine="5695" w:firstLineChars="0"/>
      </w:pPr>
      <w:rPr>
        <w:rFonts w:hint="default" w:ascii="Wingdings" w:hAnsi="Wingdings"/>
      </w:rPr>
    </w:lvl>
  </w:abstractNum>
  <w:abstractNum w:abstractNumId="6">
    <w:nsid w:val="79CA0BAE"/>
    <w:multiLevelType w:val="multilevel"/>
    <w:tmpl w:val="79CA0BA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A724B82"/>
    <w:multiLevelType w:val="multilevel"/>
    <w:tmpl w:val="7A724B82"/>
    <w:lvl w:ilvl="0" w:tentative="0">
      <w:start w:val="1"/>
      <w:numFmt w:val="bullet"/>
      <w:lvlText w:val=""/>
      <w:lvlJc w:val="left"/>
      <w:pPr>
        <w:ind w:left="600" w:hanging="360"/>
      </w:pPr>
      <w:rPr>
        <w:rFonts w:hint="default" w:ascii="Symbol" w:hAnsi="Symbol"/>
      </w:rPr>
    </w:lvl>
    <w:lvl w:ilvl="1" w:tentative="0">
      <w:start w:val="1"/>
      <w:numFmt w:val="bullet"/>
      <w:lvlText w:val="o"/>
      <w:lvlJc w:val="left"/>
      <w:pPr>
        <w:ind w:left="1320" w:hanging="360"/>
      </w:pPr>
      <w:rPr>
        <w:rFonts w:hint="default" w:ascii="Courier New" w:hAnsi="Courier New" w:cs="Courier New"/>
      </w:rPr>
    </w:lvl>
    <w:lvl w:ilvl="2" w:tentative="0">
      <w:start w:val="1"/>
      <w:numFmt w:val="bullet"/>
      <w:lvlText w:val=""/>
      <w:lvlJc w:val="left"/>
      <w:pPr>
        <w:ind w:left="2040" w:hanging="360"/>
      </w:pPr>
      <w:rPr>
        <w:rFonts w:hint="default" w:ascii="Wingdings" w:hAnsi="Wingdings"/>
      </w:rPr>
    </w:lvl>
    <w:lvl w:ilvl="3" w:tentative="0">
      <w:start w:val="1"/>
      <w:numFmt w:val="bullet"/>
      <w:lvlText w:val=""/>
      <w:lvlJc w:val="left"/>
      <w:pPr>
        <w:ind w:left="2760" w:hanging="360"/>
      </w:pPr>
      <w:rPr>
        <w:rFonts w:hint="default" w:ascii="Symbol" w:hAnsi="Symbol"/>
      </w:rPr>
    </w:lvl>
    <w:lvl w:ilvl="4" w:tentative="0">
      <w:start w:val="1"/>
      <w:numFmt w:val="bullet"/>
      <w:lvlText w:val="o"/>
      <w:lvlJc w:val="left"/>
      <w:pPr>
        <w:ind w:left="3480" w:hanging="360"/>
      </w:pPr>
      <w:rPr>
        <w:rFonts w:hint="default" w:ascii="Courier New" w:hAnsi="Courier New" w:cs="Courier New"/>
      </w:rPr>
    </w:lvl>
    <w:lvl w:ilvl="5" w:tentative="0">
      <w:start w:val="1"/>
      <w:numFmt w:val="bullet"/>
      <w:lvlText w:val=""/>
      <w:lvlJc w:val="left"/>
      <w:pPr>
        <w:ind w:left="4200" w:hanging="360"/>
      </w:pPr>
      <w:rPr>
        <w:rFonts w:hint="default" w:ascii="Wingdings" w:hAnsi="Wingdings"/>
      </w:rPr>
    </w:lvl>
    <w:lvl w:ilvl="6" w:tentative="0">
      <w:start w:val="1"/>
      <w:numFmt w:val="bullet"/>
      <w:lvlText w:val=""/>
      <w:lvlJc w:val="left"/>
      <w:pPr>
        <w:ind w:left="4920" w:hanging="360"/>
      </w:pPr>
      <w:rPr>
        <w:rFonts w:hint="default" w:ascii="Symbol" w:hAnsi="Symbol"/>
      </w:rPr>
    </w:lvl>
    <w:lvl w:ilvl="7" w:tentative="0">
      <w:start w:val="1"/>
      <w:numFmt w:val="bullet"/>
      <w:lvlText w:val="o"/>
      <w:lvlJc w:val="left"/>
      <w:pPr>
        <w:ind w:left="5640" w:hanging="360"/>
      </w:pPr>
      <w:rPr>
        <w:rFonts w:hint="default" w:ascii="Courier New" w:hAnsi="Courier New" w:cs="Courier New"/>
      </w:rPr>
    </w:lvl>
    <w:lvl w:ilvl="8" w:tentative="0">
      <w:start w:val="1"/>
      <w:numFmt w:val="bullet"/>
      <w:lvlText w:val=""/>
      <w:lvlJc w:val="left"/>
      <w:pPr>
        <w:ind w:left="6360" w:hanging="360"/>
      </w:pPr>
      <w:rPr>
        <w:rFonts w:hint="default" w:ascii="Wingdings" w:hAnsi="Wingdings"/>
      </w:rPr>
    </w:lvl>
  </w:abstractNum>
  <w:num w:numId="1">
    <w:abstractNumId w:val="1"/>
  </w:num>
  <w:num w:numId="2">
    <w:abstractNumId w:val="7"/>
  </w:num>
  <w:num w:numId="3">
    <w:abstractNumId w:val="6"/>
  </w:num>
  <w:num w:numId="4">
    <w:abstractNumId w:val="5"/>
  </w:num>
  <w:num w:numId="5">
    <w:abstractNumId w:val="0"/>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265"/>
    <w:rsid w:val="000E2F67"/>
    <w:rsid w:val="00151CEF"/>
    <w:rsid w:val="001B420E"/>
    <w:rsid w:val="00223B5A"/>
    <w:rsid w:val="00272E62"/>
    <w:rsid w:val="002924D0"/>
    <w:rsid w:val="002D4BAC"/>
    <w:rsid w:val="003318D7"/>
    <w:rsid w:val="003D3141"/>
    <w:rsid w:val="004020A2"/>
    <w:rsid w:val="00480CC0"/>
    <w:rsid w:val="0049241B"/>
    <w:rsid w:val="004B09E2"/>
    <w:rsid w:val="004C76B1"/>
    <w:rsid w:val="005C1C52"/>
    <w:rsid w:val="005C55EF"/>
    <w:rsid w:val="00763666"/>
    <w:rsid w:val="007B1AD5"/>
    <w:rsid w:val="008058FD"/>
    <w:rsid w:val="00814FB7"/>
    <w:rsid w:val="00887257"/>
    <w:rsid w:val="008B7770"/>
    <w:rsid w:val="00A17A0C"/>
    <w:rsid w:val="00A27D88"/>
    <w:rsid w:val="00B74B5F"/>
    <w:rsid w:val="00BD50B5"/>
    <w:rsid w:val="00D22265"/>
    <w:rsid w:val="00D92AD1"/>
    <w:rsid w:val="00E02EEC"/>
    <w:rsid w:val="00E33FC7"/>
    <w:rsid w:val="01657CDA"/>
    <w:rsid w:val="03132E98"/>
    <w:rsid w:val="03747A3A"/>
    <w:rsid w:val="03C4523A"/>
    <w:rsid w:val="03F919AF"/>
    <w:rsid w:val="0B5965AB"/>
    <w:rsid w:val="0B752658"/>
    <w:rsid w:val="0B8A17CC"/>
    <w:rsid w:val="0C2E7888"/>
    <w:rsid w:val="0D082A6E"/>
    <w:rsid w:val="0D6F3717"/>
    <w:rsid w:val="0D7C4FAB"/>
    <w:rsid w:val="0DC71BA8"/>
    <w:rsid w:val="0DE12751"/>
    <w:rsid w:val="0E9B0C86"/>
    <w:rsid w:val="11D129C7"/>
    <w:rsid w:val="12A84C29"/>
    <w:rsid w:val="14F55AF2"/>
    <w:rsid w:val="16252961"/>
    <w:rsid w:val="19D4436C"/>
    <w:rsid w:val="1B4951D2"/>
    <w:rsid w:val="1C8C2366"/>
    <w:rsid w:val="1FB91219"/>
    <w:rsid w:val="20F40FA1"/>
    <w:rsid w:val="24F2272A"/>
    <w:rsid w:val="27413274"/>
    <w:rsid w:val="276521AF"/>
    <w:rsid w:val="27B66AB6"/>
    <w:rsid w:val="2874236C"/>
    <w:rsid w:val="29BD1409"/>
    <w:rsid w:val="2A801147"/>
    <w:rsid w:val="2BBF4052"/>
    <w:rsid w:val="2EE72300"/>
    <w:rsid w:val="30817EA3"/>
    <w:rsid w:val="32113AB2"/>
    <w:rsid w:val="33944F3A"/>
    <w:rsid w:val="33CB0884"/>
    <w:rsid w:val="34D90A42"/>
    <w:rsid w:val="35316ED2"/>
    <w:rsid w:val="366A7ED3"/>
    <w:rsid w:val="36CC46F5"/>
    <w:rsid w:val="3733791C"/>
    <w:rsid w:val="386F5126"/>
    <w:rsid w:val="3A7C1983"/>
    <w:rsid w:val="3C60501B"/>
    <w:rsid w:val="3E0D055A"/>
    <w:rsid w:val="3E6853F0"/>
    <w:rsid w:val="3EC7320B"/>
    <w:rsid w:val="3F503279"/>
    <w:rsid w:val="3FA141F3"/>
    <w:rsid w:val="42064962"/>
    <w:rsid w:val="43A7080B"/>
    <w:rsid w:val="441A52C7"/>
    <w:rsid w:val="44E1728E"/>
    <w:rsid w:val="46BC589A"/>
    <w:rsid w:val="485830BD"/>
    <w:rsid w:val="49917942"/>
    <w:rsid w:val="49F308E0"/>
    <w:rsid w:val="4C6C5AF1"/>
    <w:rsid w:val="4C7450FB"/>
    <w:rsid w:val="4CDB5DA5"/>
    <w:rsid w:val="4D203016"/>
    <w:rsid w:val="4D2D232C"/>
    <w:rsid w:val="4E607225"/>
    <w:rsid w:val="4F290E6D"/>
    <w:rsid w:val="4F2E52F4"/>
    <w:rsid w:val="4F9F68AD"/>
    <w:rsid w:val="5075308D"/>
    <w:rsid w:val="51ED73F6"/>
    <w:rsid w:val="51F96A8C"/>
    <w:rsid w:val="53FE2659"/>
    <w:rsid w:val="579334BA"/>
    <w:rsid w:val="5AAE2453"/>
    <w:rsid w:val="5B7E72A8"/>
    <w:rsid w:val="5D1560C5"/>
    <w:rsid w:val="5ECE5416"/>
    <w:rsid w:val="5F651DDD"/>
    <w:rsid w:val="5F844F44"/>
    <w:rsid w:val="6061582C"/>
    <w:rsid w:val="637C4EB8"/>
    <w:rsid w:val="65736E7E"/>
    <w:rsid w:val="664107D0"/>
    <w:rsid w:val="66495BDD"/>
    <w:rsid w:val="67DB2AF0"/>
    <w:rsid w:val="67EC080C"/>
    <w:rsid w:val="684B1EAA"/>
    <w:rsid w:val="68B40255"/>
    <w:rsid w:val="69E057C4"/>
    <w:rsid w:val="6B225DD0"/>
    <w:rsid w:val="6BD510F7"/>
    <w:rsid w:val="6D783D26"/>
    <w:rsid w:val="71EC41F4"/>
    <w:rsid w:val="77740D08"/>
    <w:rsid w:val="77CA3C95"/>
    <w:rsid w:val="77D52026"/>
    <w:rsid w:val="79822FE7"/>
    <w:rsid w:val="79853F6B"/>
    <w:rsid w:val="7A2E0F01"/>
    <w:rsid w:val="7A3B6018"/>
    <w:rsid w:val="7B77219D"/>
    <w:rsid w:val="7B7D40A6"/>
    <w:rsid w:val="7DCF13F7"/>
    <w:rsid w:val="7E4B2F3F"/>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Times New Roman" w:hAnsi="Times New Roman" w:eastAsia="Times New Roman" w:cs="Times New Roman"/>
      <w:sz w:val="24"/>
      <w:szCs w:val="24"/>
      <w:lang w:val="en" w:eastAsia="en-GB" w:bidi="ar-SA"/>
    </w:rPr>
  </w:style>
  <w:style w:type="paragraph" w:styleId="2">
    <w:name w:val="heading 1"/>
    <w:basedOn w:val="1"/>
    <w:next w:val="1"/>
    <w:qFormat/>
    <w:uiPriority w:val="9"/>
    <w:pPr>
      <w:keepNext/>
      <w:keepLines/>
      <w:outlineLvl w:val="0"/>
    </w:pPr>
    <w:rPr>
      <w:b/>
    </w:rPr>
  </w:style>
  <w:style w:type="paragraph" w:styleId="3">
    <w:name w:val="heading 2"/>
    <w:basedOn w:val="1"/>
    <w:next w:val="1"/>
    <w:unhideWhenUsed/>
    <w:qFormat/>
    <w:uiPriority w:val="9"/>
    <w:pPr>
      <w:keepNext/>
      <w:keepLines/>
      <w:outlineLvl w:val="1"/>
    </w:pPr>
    <w:rPr>
      <w:b/>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rPr>
  </w:style>
  <w:style w:type="paragraph" w:styleId="6">
    <w:name w:val="heading 5"/>
    <w:basedOn w:val="1"/>
    <w:next w:val="1"/>
    <w:semiHidden/>
    <w:unhideWhenUsed/>
    <w:qFormat/>
    <w:uiPriority w:val="9"/>
    <w:pPr>
      <w:keepNext/>
      <w:keepLines/>
      <w:spacing w:before="240" w:after="80"/>
      <w:outlineLvl w:val="4"/>
    </w:pPr>
    <w:rPr>
      <w:color w:val="666666"/>
      <w:sz w:val="22"/>
      <w:szCs w:val="22"/>
    </w:rPr>
  </w:style>
  <w:style w:type="paragraph" w:styleId="7">
    <w:name w:val="heading 6"/>
    <w:basedOn w:val="1"/>
    <w:next w:val="1"/>
    <w:semiHidden/>
    <w:unhideWhenUsed/>
    <w:qFormat/>
    <w:uiPriority w:val="9"/>
    <w:pPr>
      <w:keepNext/>
      <w:keepLines/>
      <w:spacing w:before="240" w:after="80"/>
      <w:outlineLvl w:val="5"/>
    </w:pPr>
    <w:rPr>
      <w:i/>
      <w:color w:val="666666"/>
      <w:sz w:val="22"/>
      <w:szCs w:val="22"/>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basedOn w:val="8"/>
    <w:unhideWhenUsed/>
    <w:uiPriority w:val="99"/>
    <w:rPr>
      <w:color w:val="0000FF" w:themeColor="hyperlink"/>
      <w:u w:val="single"/>
      <w14:textFill>
        <w14:solidFill>
          <w14:schemeClr w14:val="hlink"/>
        </w14:solidFill>
      </w14:textFill>
    </w:rPr>
  </w:style>
  <w:style w:type="paragraph" w:styleId="11">
    <w:name w:val="Subtitle"/>
    <w:basedOn w:val="1"/>
    <w:next w:val="1"/>
    <w:qFormat/>
    <w:uiPriority w:val="11"/>
    <w:pPr>
      <w:keepNext/>
      <w:keepLines/>
      <w:spacing w:after="320"/>
    </w:pPr>
    <w:rPr>
      <w:rFonts w:ascii="Arial" w:hAnsi="Arial" w:eastAsia="Arial" w:cs="Arial"/>
      <w:color w:val="666666"/>
      <w:sz w:val="30"/>
      <w:szCs w:val="30"/>
    </w:rPr>
  </w:style>
  <w:style w:type="paragraph" w:styleId="12">
    <w:name w:val="Title"/>
    <w:basedOn w:val="1"/>
    <w:next w:val="1"/>
    <w:qFormat/>
    <w:uiPriority w:val="10"/>
    <w:pPr>
      <w:keepNext/>
      <w:keepLines/>
      <w:spacing w:after="60"/>
    </w:pPr>
    <w:rPr>
      <w:sz w:val="52"/>
      <w:szCs w:val="52"/>
    </w:rPr>
  </w:style>
  <w:style w:type="character" w:customStyle="1" w:styleId="13">
    <w:name w:val="Unresolved Mention"/>
    <w:basedOn w:val="8"/>
    <w:semiHidden/>
    <w:unhideWhenUsed/>
    <w:uiPriority w:val="99"/>
    <w:rPr>
      <w:color w:val="605E5C"/>
      <w:shd w:val="clear" w:color="auto" w:fill="E1DFDD"/>
    </w:rPr>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image" Target="media/image5.png"/><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Pages>12</Pages>
  <Words>2331</Words>
  <Characters>13289</Characters>
  <Lines>110</Lines>
  <Paragraphs>31</Paragraphs>
  <TotalTime>23</TotalTime>
  <ScaleCrop>false</ScaleCrop>
  <LinksUpToDate>false</LinksUpToDate>
  <CharactersWithSpaces>15589</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2025-04-01T11:03:00Z</dcterms:created>
  <dc:creator>Khushi</dc:creator>
  <cp:lastModifiedBy>Khushi</cp:lastModifiedBy>
  <dcterms:modified xsi:type="dcterms:W3CDTF">2025-04-01T21:00:16Z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1033-12.2.0.20782</vt:lpwstr>
  </property>
  <property fmtid="{D5CDD505-2E9C-101B-9397-08002B2CF9AE}" pid="3" name="ICV">
    <vt:lpwstr>BAF05272642B43D09F7250C7D2B5ED4C_12</vt:lpwstr>
  </property>
</Properties>
</file>