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761330" w14:textId="524DCCEB" w:rsidR="00D414F0" w:rsidRPr="00B81F27" w:rsidRDefault="00D414F0" w:rsidP="00D414F0">
      <w:pPr>
        <w:spacing w:line="480" w:lineRule="auto"/>
        <w:rPr>
          <w:sz w:val="24"/>
          <w:szCs w:val="24"/>
        </w:rPr>
      </w:pPr>
      <w:r w:rsidRPr="00B81F27">
        <w:rPr>
          <w:sz w:val="24"/>
          <w:szCs w:val="24"/>
        </w:rPr>
        <w:t>Student Name: Katie Leah Baugh</w:t>
      </w:r>
    </w:p>
    <w:p w14:paraId="62CAC5EB" w14:textId="3A0A4529" w:rsidR="00D414F0" w:rsidRPr="00B81F27" w:rsidRDefault="00356CCE" w:rsidP="00D414F0">
      <w:pPr>
        <w:spacing w:line="480" w:lineRule="auto"/>
        <w:rPr>
          <w:sz w:val="24"/>
          <w:szCs w:val="24"/>
        </w:rPr>
      </w:pPr>
      <w:r>
        <w:rPr>
          <w:sz w:val="24"/>
          <w:szCs w:val="24"/>
        </w:rPr>
        <w:t xml:space="preserve">Student ID </w:t>
      </w:r>
      <w:r w:rsidR="00D414F0" w:rsidRPr="00B81F27">
        <w:rPr>
          <w:sz w:val="24"/>
          <w:szCs w:val="24"/>
        </w:rPr>
        <w:t>Number: 2000620</w:t>
      </w:r>
    </w:p>
    <w:p w14:paraId="1817AC07" w14:textId="3196D7FF" w:rsidR="00D414F0" w:rsidRPr="00B81F27" w:rsidRDefault="00D414F0" w:rsidP="00D414F0">
      <w:pPr>
        <w:spacing w:line="480" w:lineRule="auto"/>
        <w:rPr>
          <w:sz w:val="24"/>
          <w:szCs w:val="24"/>
        </w:rPr>
      </w:pPr>
      <w:r w:rsidRPr="00B81F27">
        <w:rPr>
          <w:sz w:val="24"/>
          <w:szCs w:val="24"/>
        </w:rPr>
        <w:t>Programme of Study: BA Illustration</w:t>
      </w:r>
    </w:p>
    <w:p w14:paraId="5F2F5259" w14:textId="77777777" w:rsidR="00D414F0" w:rsidRPr="00B81F27" w:rsidRDefault="00D414F0" w:rsidP="00D414F0">
      <w:pPr>
        <w:spacing w:line="480" w:lineRule="auto"/>
        <w:rPr>
          <w:sz w:val="24"/>
          <w:szCs w:val="24"/>
        </w:rPr>
      </w:pPr>
      <w:r w:rsidRPr="00B81F27">
        <w:rPr>
          <w:sz w:val="24"/>
          <w:szCs w:val="24"/>
        </w:rPr>
        <w:t>Module: ADAD4018</w:t>
      </w:r>
    </w:p>
    <w:p w14:paraId="3576F6F3" w14:textId="1AE1DE93" w:rsidR="00D414F0" w:rsidRPr="00B81F27" w:rsidRDefault="00D414F0" w:rsidP="00D414F0">
      <w:pPr>
        <w:spacing w:line="480" w:lineRule="auto"/>
        <w:rPr>
          <w:sz w:val="24"/>
          <w:szCs w:val="24"/>
        </w:rPr>
      </w:pPr>
      <w:r w:rsidRPr="00B81F27">
        <w:rPr>
          <w:sz w:val="24"/>
          <w:szCs w:val="24"/>
        </w:rPr>
        <w:t>Ways of Thinking Lecturer’s Name: Jonathon Pugh</w:t>
      </w:r>
    </w:p>
    <w:p w14:paraId="2FECA138" w14:textId="77777777" w:rsidR="00D414F0" w:rsidRPr="00B81F27" w:rsidRDefault="00D414F0" w:rsidP="00D414F0">
      <w:pPr>
        <w:spacing w:line="480" w:lineRule="auto"/>
        <w:rPr>
          <w:sz w:val="24"/>
          <w:szCs w:val="24"/>
        </w:rPr>
      </w:pPr>
    </w:p>
    <w:p w14:paraId="23F1AC20" w14:textId="77777777" w:rsidR="00D414F0" w:rsidRPr="00B81F27" w:rsidRDefault="00D414F0" w:rsidP="00D414F0">
      <w:pPr>
        <w:spacing w:line="480" w:lineRule="auto"/>
        <w:rPr>
          <w:sz w:val="24"/>
          <w:szCs w:val="24"/>
        </w:rPr>
      </w:pPr>
    </w:p>
    <w:p w14:paraId="096505BF" w14:textId="77777777" w:rsidR="00D414F0" w:rsidRPr="00B81F27" w:rsidRDefault="00D414F0" w:rsidP="00D414F0">
      <w:pPr>
        <w:spacing w:line="480" w:lineRule="auto"/>
        <w:rPr>
          <w:sz w:val="24"/>
          <w:szCs w:val="24"/>
        </w:rPr>
      </w:pPr>
    </w:p>
    <w:p w14:paraId="039A13C2" w14:textId="77777777" w:rsidR="00D414F0" w:rsidRPr="00B81F27" w:rsidRDefault="00D414F0" w:rsidP="00D414F0">
      <w:pPr>
        <w:spacing w:line="480" w:lineRule="auto"/>
        <w:rPr>
          <w:sz w:val="24"/>
          <w:szCs w:val="24"/>
        </w:rPr>
      </w:pPr>
      <w:r w:rsidRPr="00B81F27">
        <w:rPr>
          <w:sz w:val="24"/>
          <w:szCs w:val="24"/>
        </w:rPr>
        <w:t xml:space="preserve">Tasks in the order I received them: </w:t>
      </w:r>
    </w:p>
    <w:p w14:paraId="48F4A2C3" w14:textId="50BE8851" w:rsidR="00D414F0" w:rsidRPr="00B81F27" w:rsidRDefault="00D414F0" w:rsidP="00D414F0">
      <w:pPr>
        <w:spacing w:line="480" w:lineRule="auto"/>
        <w:rPr>
          <w:sz w:val="24"/>
          <w:szCs w:val="24"/>
        </w:rPr>
      </w:pPr>
      <w:r w:rsidRPr="00B81F27">
        <w:rPr>
          <w:sz w:val="24"/>
          <w:szCs w:val="24"/>
        </w:rPr>
        <w:t>Task 1: Manifesto Writing = 5</w:t>
      </w:r>
      <w:r w:rsidR="0006744A">
        <w:rPr>
          <w:sz w:val="24"/>
          <w:szCs w:val="24"/>
        </w:rPr>
        <w:t>35</w:t>
      </w:r>
      <w:r w:rsidRPr="00B81F27">
        <w:rPr>
          <w:sz w:val="24"/>
          <w:szCs w:val="24"/>
        </w:rPr>
        <w:t xml:space="preserve"> words</w:t>
      </w:r>
    </w:p>
    <w:p w14:paraId="6C14EFE6" w14:textId="21E6332A" w:rsidR="00D414F0" w:rsidRPr="00B81F27" w:rsidRDefault="00D414F0" w:rsidP="00D414F0">
      <w:pPr>
        <w:spacing w:line="480" w:lineRule="auto"/>
        <w:rPr>
          <w:sz w:val="24"/>
          <w:szCs w:val="24"/>
        </w:rPr>
      </w:pPr>
      <w:r w:rsidRPr="00B81F27">
        <w:rPr>
          <w:sz w:val="24"/>
          <w:szCs w:val="24"/>
        </w:rPr>
        <w:t xml:space="preserve">Task 2: Observational Writing = </w:t>
      </w:r>
      <w:r w:rsidR="0006744A">
        <w:rPr>
          <w:sz w:val="24"/>
          <w:szCs w:val="24"/>
        </w:rPr>
        <w:t>550</w:t>
      </w:r>
      <w:r w:rsidRPr="00B81F27">
        <w:rPr>
          <w:sz w:val="24"/>
          <w:szCs w:val="24"/>
        </w:rPr>
        <w:t xml:space="preserve"> words</w:t>
      </w:r>
    </w:p>
    <w:p w14:paraId="5ADCF953" w14:textId="0555E335" w:rsidR="00D414F0" w:rsidRPr="00B81F27" w:rsidRDefault="00D414F0" w:rsidP="00D414F0">
      <w:pPr>
        <w:spacing w:line="480" w:lineRule="auto"/>
        <w:rPr>
          <w:sz w:val="24"/>
          <w:szCs w:val="24"/>
        </w:rPr>
      </w:pPr>
      <w:r w:rsidRPr="00B81F27">
        <w:rPr>
          <w:sz w:val="24"/>
          <w:szCs w:val="24"/>
        </w:rPr>
        <w:t>Task 3: Practice-based Writing = 5</w:t>
      </w:r>
      <w:r w:rsidR="00853DA0">
        <w:rPr>
          <w:sz w:val="24"/>
          <w:szCs w:val="24"/>
        </w:rPr>
        <w:t>50</w:t>
      </w:r>
      <w:r w:rsidRPr="00B81F27">
        <w:rPr>
          <w:sz w:val="24"/>
          <w:szCs w:val="24"/>
        </w:rPr>
        <w:t xml:space="preserve"> words</w:t>
      </w:r>
    </w:p>
    <w:p w14:paraId="79196A96" w14:textId="77777777" w:rsidR="00D414F0" w:rsidRPr="00B81F27" w:rsidRDefault="00D414F0">
      <w:pPr>
        <w:rPr>
          <w:sz w:val="24"/>
          <w:szCs w:val="24"/>
        </w:rPr>
      </w:pPr>
      <w:r w:rsidRPr="00B81F27">
        <w:rPr>
          <w:sz w:val="24"/>
          <w:szCs w:val="24"/>
        </w:rPr>
        <w:br w:type="page"/>
      </w:r>
    </w:p>
    <w:p w14:paraId="4E4F5ADD" w14:textId="06D94D49" w:rsidR="00D414F0" w:rsidRPr="00B81F27" w:rsidRDefault="00D414F0" w:rsidP="00D414F0">
      <w:pPr>
        <w:spacing w:line="480" w:lineRule="auto"/>
        <w:rPr>
          <w:b/>
          <w:bCs/>
          <w:sz w:val="24"/>
          <w:szCs w:val="24"/>
        </w:rPr>
      </w:pPr>
      <w:r w:rsidRPr="00B81F27">
        <w:rPr>
          <w:b/>
          <w:bCs/>
          <w:sz w:val="24"/>
          <w:szCs w:val="24"/>
        </w:rPr>
        <w:lastRenderedPageBreak/>
        <w:t>Task 1: Manifesto Writing</w:t>
      </w:r>
    </w:p>
    <w:p w14:paraId="555DA793" w14:textId="4FEC365F" w:rsidR="00D414F0" w:rsidRPr="00B81F27" w:rsidRDefault="00D414F0" w:rsidP="00D414F0">
      <w:pPr>
        <w:pStyle w:val="ListParagraph"/>
        <w:numPr>
          <w:ilvl w:val="0"/>
          <w:numId w:val="1"/>
        </w:numPr>
        <w:spacing w:line="480" w:lineRule="auto"/>
        <w:rPr>
          <w:sz w:val="24"/>
          <w:szCs w:val="24"/>
        </w:rPr>
      </w:pPr>
      <w:r w:rsidRPr="00B81F27">
        <w:rPr>
          <w:sz w:val="24"/>
          <w:szCs w:val="24"/>
        </w:rPr>
        <w:t>I believe that illustration has a responsibility to help others, either practically or in some cases mentally, in terms of mental health</w:t>
      </w:r>
    </w:p>
    <w:p w14:paraId="04F2A3B3" w14:textId="0658AC49" w:rsidR="00D414F0" w:rsidRPr="00B81F27" w:rsidRDefault="00D414F0" w:rsidP="00D414F0">
      <w:pPr>
        <w:pStyle w:val="ListParagraph"/>
        <w:numPr>
          <w:ilvl w:val="0"/>
          <w:numId w:val="1"/>
        </w:numPr>
        <w:spacing w:line="480" w:lineRule="auto"/>
        <w:rPr>
          <w:sz w:val="24"/>
          <w:szCs w:val="24"/>
        </w:rPr>
      </w:pPr>
      <w:r w:rsidRPr="00B81F27">
        <w:rPr>
          <w:sz w:val="24"/>
          <w:szCs w:val="24"/>
        </w:rPr>
        <w:t>I believe that illustration should have a purpose- it’s purpose is up to the artist</w:t>
      </w:r>
    </w:p>
    <w:p w14:paraId="6B7EAFB7" w14:textId="610B9854" w:rsidR="00D414F0" w:rsidRPr="00B81F27" w:rsidRDefault="00D414F0" w:rsidP="00D414F0">
      <w:pPr>
        <w:pStyle w:val="ListParagraph"/>
        <w:numPr>
          <w:ilvl w:val="0"/>
          <w:numId w:val="1"/>
        </w:numPr>
        <w:spacing w:line="480" w:lineRule="auto"/>
        <w:rPr>
          <w:sz w:val="24"/>
          <w:szCs w:val="24"/>
        </w:rPr>
      </w:pPr>
      <w:r w:rsidRPr="00B81F27">
        <w:rPr>
          <w:sz w:val="24"/>
          <w:szCs w:val="24"/>
        </w:rPr>
        <w:t>I believe that art should be accessible to everyone</w:t>
      </w:r>
    </w:p>
    <w:p w14:paraId="7627E754" w14:textId="1E10B96C" w:rsidR="00D414F0" w:rsidRPr="00B81F27" w:rsidRDefault="00D414F0" w:rsidP="00D414F0">
      <w:pPr>
        <w:pStyle w:val="ListParagraph"/>
        <w:numPr>
          <w:ilvl w:val="0"/>
          <w:numId w:val="1"/>
        </w:numPr>
        <w:spacing w:line="480" w:lineRule="auto"/>
        <w:rPr>
          <w:sz w:val="24"/>
          <w:szCs w:val="24"/>
        </w:rPr>
      </w:pPr>
      <w:r w:rsidRPr="00B81F27">
        <w:rPr>
          <w:sz w:val="24"/>
          <w:szCs w:val="24"/>
        </w:rPr>
        <w:t>I believe that art should be enjoyable- to both the artist and the viewer</w:t>
      </w:r>
    </w:p>
    <w:p w14:paraId="73E2786D" w14:textId="2DACA619" w:rsidR="00D414F0" w:rsidRPr="00B81F27" w:rsidRDefault="00D414F0" w:rsidP="00D414F0">
      <w:pPr>
        <w:pStyle w:val="ListParagraph"/>
        <w:numPr>
          <w:ilvl w:val="0"/>
          <w:numId w:val="1"/>
        </w:numPr>
        <w:spacing w:line="480" w:lineRule="auto"/>
        <w:rPr>
          <w:sz w:val="24"/>
          <w:szCs w:val="24"/>
        </w:rPr>
      </w:pPr>
      <w:r w:rsidRPr="00B81F27">
        <w:rPr>
          <w:sz w:val="24"/>
          <w:szCs w:val="24"/>
        </w:rPr>
        <w:t>I believe that art shouldn’t be censored</w:t>
      </w:r>
    </w:p>
    <w:p w14:paraId="5232D1A0" w14:textId="7B335F19" w:rsidR="00D414F0" w:rsidRPr="00B81F27" w:rsidRDefault="00D414F0" w:rsidP="00D414F0">
      <w:pPr>
        <w:pStyle w:val="ListParagraph"/>
        <w:numPr>
          <w:ilvl w:val="0"/>
          <w:numId w:val="1"/>
        </w:numPr>
        <w:spacing w:line="480" w:lineRule="auto"/>
        <w:rPr>
          <w:sz w:val="24"/>
          <w:szCs w:val="24"/>
        </w:rPr>
      </w:pPr>
      <w:r w:rsidRPr="00B81F27">
        <w:rPr>
          <w:sz w:val="24"/>
          <w:szCs w:val="24"/>
        </w:rPr>
        <w:t>I believe that illustration should involve skill</w:t>
      </w:r>
    </w:p>
    <w:p w14:paraId="02A0D3DA" w14:textId="3216FFB3" w:rsidR="00D414F0" w:rsidRPr="00B81F27" w:rsidRDefault="00D414F0" w:rsidP="00D414F0">
      <w:pPr>
        <w:pStyle w:val="ListParagraph"/>
        <w:numPr>
          <w:ilvl w:val="0"/>
          <w:numId w:val="1"/>
        </w:numPr>
        <w:spacing w:line="480" w:lineRule="auto"/>
        <w:rPr>
          <w:sz w:val="24"/>
          <w:szCs w:val="24"/>
        </w:rPr>
      </w:pPr>
      <w:r w:rsidRPr="00B81F27">
        <w:rPr>
          <w:sz w:val="24"/>
          <w:szCs w:val="24"/>
        </w:rPr>
        <w:t>I believe art should mirror the artist- you should be able to see the artist in the work</w:t>
      </w:r>
    </w:p>
    <w:p w14:paraId="6EEBF4CF" w14:textId="55E90FD7" w:rsidR="00D414F0" w:rsidRPr="00B81F27" w:rsidRDefault="00D414F0" w:rsidP="00D414F0">
      <w:pPr>
        <w:pStyle w:val="ListParagraph"/>
        <w:numPr>
          <w:ilvl w:val="0"/>
          <w:numId w:val="1"/>
        </w:numPr>
        <w:spacing w:line="480" w:lineRule="auto"/>
        <w:rPr>
          <w:sz w:val="24"/>
          <w:szCs w:val="24"/>
        </w:rPr>
      </w:pPr>
      <w:r w:rsidRPr="00B81F27">
        <w:rPr>
          <w:sz w:val="24"/>
          <w:szCs w:val="24"/>
        </w:rPr>
        <w:t>I believe that art has inherent value in our society</w:t>
      </w:r>
    </w:p>
    <w:p w14:paraId="67CEB5FC" w14:textId="6706CC6E" w:rsidR="00D414F0" w:rsidRDefault="00D414F0" w:rsidP="00D414F0">
      <w:pPr>
        <w:spacing w:line="480" w:lineRule="auto"/>
        <w:rPr>
          <w:b/>
          <w:bCs/>
          <w:sz w:val="24"/>
          <w:szCs w:val="24"/>
        </w:rPr>
      </w:pPr>
      <w:r w:rsidRPr="00B81F27">
        <w:rPr>
          <w:b/>
          <w:bCs/>
          <w:sz w:val="24"/>
          <w:szCs w:val="24"/>
        </w:rPr>
        <w:t>3 areas of exploration:</w:t>
      </w:r>
      <w:r w:rsidRPr="00B81F27">
        <w:rPr>
          <w:b/>
          <w:bCs/>
          <w:sz w:val="24"/>
          <w:szCs w:val="24"/>
        </w:rPr>
        <w:br/>
        <w:t>I believe that illustration has a responsibility to help others, either practically or in some cases mentally, in terms of mental health</w:t>
      </w:r>
    </w:p>
    <w:p w14:paraId="0ADD7D7E" w14:textId="44793796" w:rsidR="0006744A" w:rsidRPr="0006744A" w:rsidRDefault="0006744A" w:rsidP="00D414F0">
      <w:pPr>
        <w:spacing w:line="480" w:lineRule="auto"/>
        <w:rPr>
          <w:sz w:val="24"/>
          <w:szCs w:val="24"/>
        </w:rPr>
      </w:pPr>
      <w:r w:rsidRPr="0006744A">
        <w:rPr>
          <w:sz w:val="24"/>
          <w:szCs w:val="24"/>
        </w:rPr>
        <w:t xml:space="preserve">I believe that illustration has the responsibility to help others. Illustration is meant to illuminate, make known what was previously unknown (Vocobulary.com, no date). Whether this be something purely informative, like illustrations for an instruction manual, or whether the help is more emotional, like the work of Charles </w:t>
      </w:r>
      <w:proofErr w:type="spellStart"/>
      <w:r w:rsidRPr="0006744A">
        <w:rPr>
          <w:sz w:val="24"/>
          <w:szCs w:val="24"/>
        </w:rPr>
        <w:t>Mackesy</w:t>
      </w:r>
      <w:proofErr w:type="spellEnd"/>
      <w:r w:rsidRPr="0006744A">
        <w:rPr>
          <w:sz w:val="24"/>
          <w:szCs w:val="24"/>
        </w:rPr>
        <w:t xml:space="preserve"> (Comerford, 2020). His work helps people on a level deeper than simply practicality, as is shown by the inclusion of his work in a Public Health England video (Comerford, 2020). About the video, the article states its “an NHS initiative supporting mental health, particularly in the wake of the Covid-19 pandemic”. During </w:t>
      </w:r>
      <w:proofErr w:type="spellStart"/>
      <w:r w:rsidRPr="0006744A">
        <w:rPr>
          <w:sz w:val="24"/>
          <w:szCs w:val="24"/>
        </w:rPr>
        <w:t>unpresidented</w:t>
      </w:r>
      <w:proofErr w:type="spellEnd"/>
      <w:r w:rsidRPr="0006744A">
        <w:rPr>
          <w:sz w:val="24"/>
          <w:szCs w:val="24"/>
        </w:rPr>
        <w:t xml:space="preserve"> times, organisations such as the NHS turn to art to help for issues such as mental health. Furthermore, according to an interviewee in the report ‘The Public Benefits and Value of Arts and Culture’, they state “We have seen the arts save </w:t>
      </w:r>
      <w:r w:rsidRPr="0006744A">
        <w:rPr>
          <w:sz w:val="24"/>
          <w:szCs w:val="24"/>
        </w:rPr>
        <w:lastRenderedPageBreak/>
        <w:t>kids’ lives and give adults renewed sense of purpose. It’s real.” Therefore, my illustrations will help those who view them.</w:t>
      </w:r>
    </w:p>
    <w:p w14:paraId="1CF0D29D" w14:textId="0359F51D" w:rsidR="00D414F0" w:rsidRDefault="00D414F0" w:rsidP="00D414F0">
      <w:pPr>
        <w:spacing w:line="480" w:lineRule="auto"/>
        <w:rPr>
          <w:b/>
          <w:bCs/>
          <w:sz w:val="24"/>
          <w:szCs w:val="24"/>
        </w:rPr>
      </w:pPr>
      <w:r w:rsidRPr="00B81F27">
        <w:rPr>
          <w:b/>
          <w:bCs/>
          <w:sz w:val="24"/>
          <w:szCs w:val="24"/>
        </w:rPr>
        <w:t>I believe that art should be accessible to everyone</w:t>
      </w:r>
    </w:p>
    <w:p w14:paraId="2D1CFEED" w14:textId="51DC5158" w:rsidR="0006744A" w:rsidRPr="0006744A" w:rsidRDefault="0006744A" w:rsidP="00D414F0">
      <w:pPr>
        <w:spacing w:line="480" w:lineRule="auto"/>
        <w:rPr>
          <w:sz w:val="24"/>
          <w:szCs w:val="24"/>
        </w:rPr>
      </w:pPr>
      <w:r w:rsidRPr="0006744A">
        <w:rPr>
          <w:sz w:val="24"/>
          <w:szCs w:val="24"/>
        </w:rPr>
        <w:t xml:space="preserve">I believe that art should be accessible to everyone. According to a study in ‘Ways of Seeing’ (Berger, 1972, p.24), when asked what an art gallery reminds people of most, 66% of manual workers and 45% of skilled workers claimed that it reminded them of a church. The essay claims that “they believe that original masterpieces belong to the preserve (both materially and spiritually) of the rich” (Berger, 1972, p.24). It isn’t a holy artefact, and it shouldn’t exclusive (Berger, 1972, p.21). I do not want my art to be associated with a ruling upper class and cultural superiority; my art will be available to be seen by a anyone.  In an interview with illustrator Charles </w:t>
      </w:r>
      <w:proofErr w:type="spellStart"/>
      <w:r w:rsidRPr="0006744A">
        <w:rPr>
          <w:sz w:val="24"/>
          <w:szCs w:val="24"/>
        </w:rPr>
        <w:t>Mackesy</w:t>
      </w:r>
      <w:proofErr w:type="spellEnd"/>
      <w:r w:rsidRPr="0006744A">
        <w:rPr>
          <w:sz w:val="24"/>
          <w:szCs w:val="24"/>
        </w:rPr>
        <w:t xml:space="preserve"> in </w:t>
      </w:r>
      <w:proofErr w:type="spellStart"/>
      <w:r w:rsidRPr="0006744A">
        <w:rPr>
          <w:sz w:val="24"/>
          <w:szCs w:val="24"/>
        </w:rPr>
        <w:t>Luux</w:t>
      </w:r>
      <w:proofErr w:type="spellEnd"/>
      <w:r w:rsidRPr="0006744A">
        <w:rPr>
          <w:sz w:val="24"/>
          <w:szCs w:val="24"/>
        </w:rPr>
        <w:t xml:space="preserve"> magazine (Hodge, 2020, p.40), it claims “he distributed these pieces solely via social media, delighted that this enabled him to bypass the gallery system”. In general, the non-profit art organisations are seeing a downfall in public interest (</w:t>
      </w:r>
      <w:proofErr w:type="spellStart"/>
      <w:r w:rsidRPr="0006744A">
        <w:rPr>
          <w:sz w:val="24"/>
          <w:szCs w:val="24"/>
        </w:rPr>
        <w:t>Rabkin</w:t>
      </w:r>
      <w:proofErr w:type="spellEnd"/>
      <w:r w:rsidRPr="0006744A">
        <w:rPr>
          <w:sz w:val="24"/>
          <w:szCs w:val="24"/>
        </w:rPr>
        <w:t xml:space="preserve"> and </w:t>
      </w:r>
      <w:proofErr w:type="spellStart"/>
      <w:r w:rsidRPr="0006744A">
        <w:rPr>
          <w:sz w:val="24"/>
          <w:szCs w:val="24"/>
        </w:rPr>
        <w:t>Sidford</w:t>
      </w:r>
      <w:proofErr w:type="spellEnd"/>
      <w:r w:rsidRPr="0006744A">
        <w:rPr>
          <w:sz w:val="24"/>
          <w:szCs w:val="24"/>
        </w:rPr>
        <w:t xml:space="preserve">, 2015, p.2). </w:t>
      </w:r>
      <w:proofErr w:type="spellStart"/>
      <w:r w:rsidRPr="0006744A">
        <w:rPr>
          <w:sz w:val="24"/>
          <w:szCs w:val="24"/>
        </w:rPr>
        <w:t>Rabkin</w:t>
      </w:r>
      <w:proofErr w:type="spellEnd"/>
      <w:r w:rsidRPr="0006744A">
        <w:rPr>
          <w:sz w:val="24"/>
          <w:szCs w:val="24"/>
        </w:rPr>
        <w:t xml:space="preserve"> and </w:t>
      </w:r>
      <w:proofErr w:type="spellStart"/>
      <w:r w:rsidRPr="0006744A">
        <w:rPr>
          <w:sz w:val="24"/>
          <w:szCs w:val="24"/>
        </w:rPr>
        <w:t>Sidford</w:t>
      </w:r>
      <w:proofErr w:type="spellEnd"/>
      <w:r w:rsidRPr="0006744A">
        <w:rPr>
          <w:sz w:val="24"/>
          <w:szCs w:val="24"/>
        </w:rPr>
        <w:t xml:space="preserve"> state “Unless more people more highly value cultural programs and cultural organizations, the future of such cultural resources will be threatened”. My art will be accessible to all, as this will benefit both myself and the general public (</w:t>
      </w:r>
      <w:proofErr w:type="spellStart"/>
      <w:r w:rsidRPr="0006744A">
        <w:rPr>
          <w:sz w:val="24"/>
          <w:szCs w:val="24"/>
        </w:rPr>
        <w:t>Rabkin</w:t>
      </w:r>
      <w:proofErr w:type="spellEnd"/>
      <w:r w:rsidRPr="0006744A">
        <w:rPr>
          <w:sz w:val="24"/>
          <w:szCs w:val="24"/>
        </w:rPr>
        <w:t xml:space="preserve"> and </w:t>
      </w:r>
      <w:proofErr w:type="spellStart"/>
      <w:r w:rsidRPr="0006744A">
        <w:rPr>
          <w:sz w:val="24"/>
          <w:szCs w:val="24"/>
        </w:rPr>
        <w:t>Sidford</w:t>
      </w:r>
      <w:proofErr w:type="spellEnd"/>
      <w:r w:rsidRPr="0006744A">
        <w:rPr>
          <w:sz w:val="24"/>
          <w:szCs w:val="24"/>
        </w:rPr>
        <w:t>, 2015, p.3).</w:t>
      </w:r>
    </w:p>
    <w:p w14:paraId="2433EF2E" w14:textId="460C8528" w:rsidR="00D414F0" w:rsidRPr="0006744A" w:rsidRDefault="00D414F0" w:rsidP="00D414F0">
      <w:pPr>
        <w:spacing w:line="480" w:lineRule="auto"/>
        <w:rPr>
          <w:b/>
          <w:bCs/>
          <w:sz w:val="24"/>
          <w:szCs w:val="24"/>
        </w:rPr>
      </w:pPr>
      <w:r w:rsidRPr="0006744A">
        <w:rPr>
          <w:b/>
          <w:bCs/>
          <w:sz w:val="24"/>
          <w:szCs w:val="24"/>
        </w:rPr>
        <w:t>I believe that art has inherent value in our society</w:t>
      </w:r>
    </w:p>
    <w:p w14:paraId="29D94F6E" w14:textId="4D27DF13" w:rsidR="00D414F0" w:rsidRPr="0006744A" w:rsidRDefault="0006744A" w:rsidP="00D414F0">
      <w:pPr>
        <w:spacing w:line="480" w:lineRule="auto"/>
        <w:rPr>
          <w:sz w:val="24"/>
          <w:szCs w:val="24"/>
        </w:rPr>
      </w:pPr>
      <w:r w:rsidRPr="0006744A">
        <w:rPr>
          <w:sz w:val="24"/>
          <w:szCs w:val="24"/>
        </w:rPr>
        <w:t>I believe that art has value in our society. My art and my life as an illustrator will prove to people that art and illustration has purpose in our society, and it has value. In a report called ‘The Public Benefits and Value of Arts and Culture’, after researching the issue, found three possible ways the arts could benefit the general public. These included individual development, economic impact and quality of life (</w:t>
      </w:r>
      <w:proofErr w:type="spellStart"/>
      <w:r w:rsidRPr="0006744A">
        <w:rPr>
          <w:sz w:val="24"/>
          <w:szCs w:val="24"/>
        </w:rPr>
        <w:t>Rabkin</w:t>
      </w:r>
      <w:proofErr w:type="spellEnd"/>
      <w:r w:rsidRPr="0006744A">
        <w:rPr>
          <w:sz w:val="24"/>
          <w:szCs w:val="24"/>
        </w:rPr>
        <w:t xml:space="preserve"> and </w:t>
      </w:r>
      <w:proofErr w:type="spellStart"/>
      <w:r w:rsidRPr="0006744A">
        <w:rPr>
          <w:sz w:val="24"/>
          <w:szCs w:val="24"/>
        </w:rPr>
        <w:t>Sidford</w:t>
      </w:r>
      <w:proofErr w:type="spellEnd"/>
      <w:r w:rsidRPr="0006744A">
        <w:rPr>
          <w:sz w:val="24"/>
          <w:szCs w:val="24"/>
        </w:rPr>
        <w:t xml:space="preserve">, 2015, p.3). It listed </w:t>
      </w:r>
      <w:r w:rsidRPr="0006744A">
        <w:rPr>
          <w:sz w:val="24"/>
          <w:szCs w:val="24"/>
        </w:rPr>
        <w:lastRenderedPageBreak/>
        <w:t>the economic benefits of the arts as “generating jobs and spending, attracting tourists, and making places attractive to businesses and their employees” (</w:t>
      </w:r>
      <w:proofErr w:type="spellStart"/>
      <w:r w:rsidRPr="0006744A">
        <w:rPr>
          <w:sz w:val="24"/>
          <w:szCs w:val="24"/>
        </w:rPr>
        <w:t>Rabkin</w:t>
      </w:r>
      <w:proofErr w:type="spellEnd"/>
      <w:r w:rsidRPr="0006744A">
        <w:rPr>
          <w:sz w:val="24"/>
          <w:szCs w:val="24"/>
        </w:rPr>
        <w:t xml:space="preserve"> and </w:t>
      </w:r>
      <w:proofErr w:type="spellStart"/>
      <w:r w:rsidRPr="0006744A">
        <w:rPr>
          <w:sz w:val="24"/>
          <w:szCs w:val="24"/>
        </w:rPr>
        <w:t>Sidford</w:t>
      </w:r>
      <w:proofErr w:type="spellEnd"/>
      <w:r w:rsidRPr="0006744A">
        <w:rPr>
          <w:sz w:val="24"/>
          <w:szCs w:val="24"/>
        </w:rPr>
        <w:t>, 2015, p.3). This demonstrates that the arts add value to society on a practical, economical level. In a report by CEBR (2019), it explains how £10.8 billion a year is added to the UK economy by the arts and culture industry. This proves my belief that art has value in this current age, and my art will add to this.</w:t>
      </w:r>
    </w:p>
    <w:p w14:paraId="10C909C7" w14:textId="77777777" w:rsidR="00D414F0" w:rsidRPr="00B81F27" w:rsidRDefault="00D414F0" w:rsidP="00B81F27">
      <w:pPr>
        <w:spacing w:line="480" w:lineRule="auto"/>
        <w:jc w:val="center"/>
        <w:rPr>
          <w:b/>
          <w:bCs/>
          <w:sz w:val="24"/>
          <w:szCs w:val="24"/>
        </w:rPr>
      </w:pPr>
      <w:r w:rsidRPr="00B81F27">
        <w:rPr>
          <w:b/>
          <w:bCs/>
          <w:sz w:val="24"/>
          <w:szCs w:val="24"/>
        </w:rPr>
        <w:t>Bibliography</w:t>
      </w:r>
    </w:p>
    <w:p w14:paraId="0B88D077" w14:textId="77777777" w:rsidR="00D414F0" w:rsidRPr="00B81F27" w:rsidRDefault="00D414F0" w:rsidP="00B81F27">
      <w:pPr>
        <w:spacing w:line="240" w:lineRule="auto"/>
        <w:rPr>
          <w:sz w:val="20"/>
          <w:szCs w:val="20"/>
        </w:rPr>
      </w:pPr>
      <w:r w:rsidRPr="00B81F27">
        <w:rPr>
          <w:sz w:val="20"/>
          <w:szCs w:val="20"/>
        </w:rPr>
        <w:t xml:space="preserve">Berger, J. (1972) </w:t>
      </w:r>
      <w:r w:rsidRPr="00086FBC">
        <w:rPr>
          <w:i/>
          <w:iCs/>
          <w:sz w:val="20"/>
          <w:szCs w:val="20"/>
        </w:rPr>
        <w:t>Ways of Seeing</w:t>
      </w:r>
      <w:r w:rsidRPr="00B81F27">
        <w:rPr>
          <w:sz w:val="20"/>
          <w:szCs w:val="20"/>
        </w:rPr>
        <w:t>. London: British Broadcasting Corporation and Penguin Books</w:t>
      </w:r>
    </w:p>
    <w:p w14:paraId="1AB22F69" w14:textId="77777777" w:rsidR="00D414F0" w:rsidRPr="00B81F27" w:rsidRDefault="00D414F0" w:rsidP="00B81F27">
      <w:pPr>
        <w:spacing w:line="240" w:lineRule="auto"/>
        <w:rPr>
          <w:sz w:val="20"/>
          <w:szCs w:val="20"/>
        </w:rPr>
      </w:pPr>
      <w:r w:rsidRPr="00B81F27">
        <w:rPr>
          <w:sz w:val="20"/>
          <w:szCs w:val="20"/>
        </w:rPr>
        <w:t xml:space="preserve">Centre of Economics and Business Research (CEBR), (2019) </w:t>
      </w:r>
      <w:r w:rsidRPr="00086FBC">
        <w:rPr>
          <w:i/>
          <w:iCs/>
          <w:sz w:val="20"/>
          <w:szCs w:val="20"/>
        </w:rPr>
        <w:t>Contribution of the arts and culture industry to the UK</w:t>
      </w:r>
      <w:r w:rsidRPr="00B81F27">
        <w:rPr>
          <w:sz w:val="20"/>
          <w:szCs w:val="20"/>
        </w:rPr>
        <w:t>. Available at: economyhttps://www.artscouncil.org.uk/publication/contribution-arts-and-culture-industry-uk-economy-0 (Accessed: 25 November 2020)</w:t>
      </w:r>
    </w:p>
    <w:p w14:paraId="40D1A23E" w14:textId="77777777" w:rsidR="00D414F0" w:rsidRPr="00B81F27" w:rsidRDefault="00D414F0" w:rsidP="00B81F27">
      <w:pPr>
        <w:spacing w:line="240" w:lineRule="auto"/>
        <w:rPr>
          <w:sz w:val="20"/>
          <w:szCs w:val="20"/>
        </w:rPr>
      </w:pPr>
      <w:r w:rsidRPr="00B81F27">
        <w:rPr>
          <w:sz w:val="20"/>
          <w:szCs w:val="20"/>
        </w:rPr>
        <w:t xml:space="preserve">Comerford, R. (2020) </w:t>
      </w:r>
      <w:proofErr w:type="spellStart"/>
      <w:r w:rsidRPr="00086FBC">
        <w:rPr>
          <w:i/>
          <w:iCs/>
          <w:sz w:val="20"/>
          <w:szCs w:val="20"/>
        </w:rPr>
        <w:t>Mackesy</w:t>
      </w:r>
      <w:proofErr w:type="spellEnd"/>
      <w:r w:rsidRPr="00086FBC">
        <w:rPr>
          <w:i/>
          <w:iCs/>
          <w:sz w:val="20"/>
          <w:szCs w:val="20"/>
        </w:rPr>
        <w:t xml:space="preserve"> illustrations to feature in PHE mental health campaign</w:t>
      </w:r>
      <w:r w:rsidRPr="00B81F27">
        <w:rPr>
          <w:sz w:val="20"/>
          <w:szCs w:val="20"/>
        </w:rPr>
        <w:t>. Available at: https://www.thebookseller.com/news/mackesy-illustrations-feature-phe-mental-health-campaign-1219086 (Accessed: 25 November 2020)</w:t>
      </w:r>
    </w:p>
    <w:p w14:paraId="4549E8DC" w14:textId="77777777" w:rsidR="00D414F0" w:rsidRPr="00B81F27" w:rsidRDefault="00D414F0" w:rsidP="00B81F27">
      <w:pPr>
        <w:spacing w:line="240" w:lineRule="auto"/>
        <w:rPr>
          <w:sz w:val="20"/>
          <w:szCs w:val="20"/>
        </w:rPr>
      </w:pPr>
      <w:r w:rsidRPr="00B81F27">
        <w:rPr>
          <w:sz w:val="20"/>
          <w:szCs w:val="20"/>
        </w:rPr>
        <w:t xml:space="preserve">Dale, H. (2018) </w:t>
      </w:r>
      <w:r w:rsidRPr="00086FBC">
        <w:rPr>
          <w:i/>
          <w:iCs/>
          <w:sz w:val="20"/>
          <w:szCs w:val="20"/>
        </w:rPr>
        <w:t>My Unpopular Opinion: There Are Too Many Mediocre Artists</w:t>
      </w:r>
      <w:r w:rsidRPr="00B81F27">
        <w:rPr>
          <w:sz w:val="20"/>
          <w:szCs w:val="20"/>
        </w:rPr>
        <w:t>. Available at: https://quillette.com/2018/08/21/my-unpopular-opinion-theres-too-many-mediocre-artists/ (Accessed: 25 November 2020)</w:t>
      </w:r>
    </w:p>
    <w:p w14:paraId="3F770C93" w14:textId="77777777" w:rsidR="00D414F0" w:rsidRPr="00B81F27" w:rsidRDefault="00D414F0" w:rsidP="00B81F27">
      <w:pPr>
        <w:spacing w:line="240" w:lineRule="auto"/>
        <w:rPr>
          <w:sz w:val="20"/>
          <w:szCs w:val="20"/>
        </w:rPr>
      </w:pPr>
      <w:r w:rsidRPr="00B81F27">
        <w:rPr>
          <w:sz w:val="20"/>
          <w:szCs w:val="20"/>
        </w:rPr>
        <w:t>Hodge, G. (2020) When the book was finally signed off, I was broken. LUUX. 7 September 2020. 36-40.</w:t>
      </w:r>
    </w:p>
    <w:p w14:paraId="552A3646" w14:textId="77777777" w:rsidR="00D414F0" w:rsidRPr="00B81F27" w:rsidRDefault="00D414F0" w:rsidP="00B81F27">
      <w:pPr>
        <w:spacing w:line="240" w:lineRule="auto"/>
        <w:rPr>
          <w:sz w:val="20"/>
          <w:szCs w:val="20"/>
        </w:rPr>
      </w:pPr>
      <w:proofErr w:type="spellStart"/>
      <w:r w:rsidRPr="00B81F27">
        <w:rPr>
          <w:sz w:val="20"/>
          <w:szCs w:val="20"/>
        </w:rPr>
        <w:t>Rabkin</w:t>
      </w:r>
      <w:proofErr w:type="spellEnd"/>
      <w:r w:rsidRPr="00B81F27">
        <w:rPr>
          <w:sz w:val="20"/>
          <w:szCs w:val="20"/>
        </w:rPr>
        <w:t xml:space="preserve">, N and </w:t>
      </w:r>
      <w:proofErr w:type="spellStart"/>
      <w:r w:rsidRPr="00B81F27">
        <w:rPr>
          <w:sz w:val="20"/>
          <w:szCs w:val="20"/>
        </w:rPr>
        <w:t>Sidford</w:t>
      </w:r>
      <w:proofErr w:type="spellEnd"/>
      <w:r w:rsidRPr="00B81F27">
        <w:rPr>
          <w:sz w:val="20"/>
          <w:szCs w:val="20"/>
        </w:rPr>
        <w:t xml:space="preserve">, H (2015) </w:t>
      </w:r>
      <w:r w:rsidRPr="00086FBC">
        <w:rPr>
          <w:i/>
          <w:iCs/>
          <w:sz w:val="20"/>
          <w:szCs w:val="20"/>
        </w:rPr>
        <w:t>Public Benefits and Value of Arts and Culture</w:t>
      </w:r>
      <w:r w:rsidRPr="00B81F27">
        <w:rPr>
          <w:sz w:val="20"/>
          <w:szCs w:val="20"/>
        </w:rPr>
        <w:t>. Available at: https://www.giarts.org/sites/default/files/public-benefits-value-of-arts-culture.pdf (Accessed: 25 November 2020)</w:t>
      </w:r>
    </w:p>
    <w:p w14:paraId="4F70F139" w14:textId="77777777" w:rsidR="00D414F0" w:rsidRPr="00B81F27" w:rsidRDefault="00D414F0" w:rsidP="00B81F27">
      <w:pPr>
        <w:spacing w:line="240" w:lineRule="auto"/>
        <w:rPr>
          <w:sz w:val="20"/>
          <w:szCs w:val="20"/>
        </w:rPr>
      </w:pPr>
      <w:r w:rsidRPr="00B81F27">
        <w:rPr>
          <w:sz w:val="20"/>
          <w:szCs w:val="20"/>
        </w:rPr>
        <w:t xml:space="preserve">Snowball, J. (2016) </w:t>
      </w:r>
      <w:r w:rsidRPr="00086FBC">
        <w:rPr>
          <w:i/>
          <w:iCs/>
          <w:sz w:val="20"/>
          <w:szCs w:val="20"/>
        </w:rPr>
        <w:t>Why art and culture contribute more to an economy than growth and jobs</w:t>
      </w:r>
      <w:r w:rsidRPr="00B81F27">
        <w:rPr>
          <w:sz w:val="20"/>
          <w:szCs w:val="20"/>
        </w:rPr>
        <w:t>. Available at: https://theconversation.com/why-art-and-culture-contribute-more-to-an-economy-than-growth-and-jobs- 52224#:~:text=Cultural%20Times%20assesses%20the%20contribution,value%20of%20arts%20and%20culture. (Accessed: 25 November 2020)</w:t>
      </w:r>
    </w:p>
    <w:p w14:paraId="54C602FF" w14:textId="18961324" w:rsidR="00D414F0" w:rsidRPr="00EF0BC6" w:rsidRDefault="00D414F0" w:rsidP="00EF0BC6">
      <w:pPr>
        <w:spacing w:line="240" w:lineRule="auto"/>
        <w:rPr>
          <w:sz w:val="20"/>
          <w:szCs w:val="20"/>
        </w:rPr>
      </w:pPr>
      <w:r w:rsidRPr="00B81F27">
        <w:rPr>
          <w:sz w:val="20"/>
          <w:szCs w:val="20"/>
        </w:rPr>
        <w:t xml:space="preserve">Vocabulary.com (no date) </w:t>
      </w:r>
      <w:r w:rsidRPr="00086FBC">
        <w:rPr>
          <w:i/>
          <w:iCs/>
          <w:sz w:val="20"/>
          <w:szCs w:val="20"/>
        </w:rPr>
        <w:t>Illustrate.</w:t>
      </w:r>
      <w:r w:rsidRPr="00B81F27">
        <w:rPr>
          <w:sz w:val="20"/>
          <w:szCs w:val="20"/>
        </w:rPr>
        <w:t xml:space="preserve"> Available at: https://www.vocabulary.com/dictionary/illustrate#:~:text=To%20illustrate%20is%20to%20make,books%20are%20illustrated%20with%20pictures.&amp;text=The%20word%20illustrate%20comes%20from,someone%20on%20a%20complex%20topic. (Accessed: 25 November 2020)</w:t>
      </w:r>
    </w:p>
    <w:p w14:paraId="4B6DE11B" w14:textId="77777777" w:rsidR="00D414F0" w:rsidRPr="00B81F27" w:rsidRDefault="00D414F0" w:rsidP="00B81F27">
      <w:pPr>
        <w:spacing w:line="480" w:lineRule="auto"/>
        <w:jc w:val="center"/>
        <w:rPr>
          <w:b/>
          <w:bCs/>
          <w:sz w:val="24"/>
          <w:szCs w:val="24"/>
        </w:rPr>
      </w:pPr>
      <w:r w:rsidRPr="00B81F27">
        <w:rPr>
          <w:b/>
          <w:bCs/>
          <w:sz w:val="24"/>
          <w:szCs w:val="24"/>
        </w:rPr>
        <w:t>Reference List</w:t>
      </w:r>
    </w:p>
    <w:p w14:paraId="5B472B72" w14:textId="77777777" w:rsidR="00EF0BC6" w:rsidRDefault="00EF0BC6" w:rsidP="00B81F27">
      <w:pPr>
        <w:spacing w:line="240" w:lineRule="auto"/>
        <w:rPr>
          <w:sz w:val="20"/>
          <w:szCs w:val="20"/>
        </w:rPr>
      </w:pPr>
      <w:r w:rsidRPr="00B81F27">
        <w:rPr>
          <w:sz w:val="20"/>
          <w:szCs w:val="20"/>
        </w:rPr>
        <w:t xml:space="preserve">Berger, J. (1972) </w:t>
      </w:r>
      <w:r w:rsidRPr="00086FBC">
        <w:rPr>
          <w:i/>
          <w:iCs/>
          <w:sz w:val="20"/>
          <w:szCs w:val="20"/>
        </w:rPr>
        <w:t>Ways of Seeing</w:t>
      </w:r>
      <w:r w:rsidRPr="00B81F27">
        <w:rPr>
          <w:sz w:val="20"/>
          <w:szCs w:val="20"/>
        </w:rPr>
        <w:t>. London: British Broadcasting Corporation and Penguin Books</w:t>
      </w:r>
    </w:p>
    <w:p w14:paraId="545A93F2" w14:textId="77777777" w:rsidR="00EF0BC6" w:rsidRPr="00B81F27" w:rsidRDefault="00EF0BC6" w:rsidP="00B81F27">
      <w:pPr>
        <w:spacing w:line="240" w:lineRule="auto"/>
        <w:rPr>
          <w:sz w:val="20"/>
          <w:szCs w:val="20"/>
        </w:rPr>
      </w:pPr>
      <w:r w:rsidRPr="00B81F27">
        <w:rPr>
          <w:sz w:val="20"/>
          <w:szCs w:val="20"/>
        </w:rPr>
        <w:t xml:space="preserve">Centre of Economics and Business Research (CEBR), (2019) </w:t>
      </w:r>
      <w:r w:rsidRPr="00086FBC">
        <w:rPr>
          <w:i/>
          <w:iCs/>
          <w:sz w:val="20"/>
          <w:szCs w:val="20"/>
        </w:rPr>
        <w:t>Contribution of the arts and culture industry to the UK</w:t>
      </w:r>
      <w:r w:rsidRPr="00B81F27">
        <w:rPr>
          <w:sz w:val="20"/>
          <w:szCs w:val="20"/>
        </w:rPr>
        <w:t>. Available at: economyhttps://www.artscouncil.org.uk/publication/contribution-arts-and-culture-industry-uk-economy-0 (Accessed: 25 November 2020)</w:t>
      </w:r>
    </w:p>
    <w:p w14:paraId="31EA9B75" w14:textId="77777777" w:rsidR="00EF0BC6" w:rsidRPr="00B81F27" w:rsidRDefault="00EF0BC6" w:rsidP="00B81F27">
      <w:pPr>
        <w:spacing w:line="240" w:lineRule="auto"/>
        <w:rPr>
          <w:sz w:val="20"/>
          <w:szCs w:val="20"/>
        </w:rPr>
      </w:pPr>
      <w:r w:rsidRPr="00B81F27">
        <w:rPr>
          <w:sz w:val="20"/>
          <w:szCs w:val="20"/>
        </w:rPr>
        <w:t xml:space="preserve">Comerford, R. (2020) </w:t>
      </w:r>
      <w:proofErr w:type="spellStart"/>
      <w:r w:rsidRPr="00086FBC">
        <w:rPr>
          <w:i/>
          <w:iCs/>
          <w:sz w:val="20"/>
          <w:szCs w:val="20"/>
        </w:rPr>
        <w:t>Mackesy</w:t>
      </w:r>
      <w:proofErr w:type="spellEnd"/>
      <w:r w:rsidRPr="00086FBC">
        <w:rPr>
          <w:i/>
          <w:iCs/>
          <w:sz w:val="20"/>
          <w:szCs w:val="20"/>
        </w:rPr>
        <w:t xml:space="preserve"> illustrations to feature in PHE mental health campaign</w:t>
      </w:r>
      <w:r w:rsidRPr="00B81F27">
        <w:rPr>
          <w:sz w:val="20"/>
          <w:szCs w:val="20"/>
        </w:rPr>
        <w:t>. Available at: https://www.thebookseller.com/news/mackesy-illustrations-feature-phe-mental-health-campaign-1219086 (Accessed: 25 November 2020)</w:t>
      </w:r>
    </w:p>
    <w:p w14:paraId="105AAA9A" w14:textId="77777777" w:rsidR="00EF0BC6" w:rsidRPr="00B81F27" w:rsidRDefault="00EF0BC6" w:rsidP="00B81F27">
      <w:pPr>
        <w:spacing w:line="240" w:lineRule="auto"/>
        <w:rPr>
          <w:sz w:val="20"/>
          <w:szCs w:val="20"/>
        </w:rPr>
      </w:pPr>
      <w:r w:rsidRPr="00B81F27">
        <w:rPr>
          <w:sz w:val="20"/>
          <w:szCs w:val="20"/>
        </w:rPr>
        <w:lastRenderedPageBreak/>
        <w:t xml:space="preserve">Hodge, G. (2020) </w:t>
      </w:r>
      <w:r w:rsidRPr="00086FBC">
        <w:rPr>
          <w:i/>
          <w:iCs/>
          <w:sz w:val="20"/>
          <w:szCs w:val="20"/>
        </w:rPr>
        <w:t>When the book was finally signed off, I was broken</w:t>
      </w:r>
      <w:r w:rsidRPr="00B81F27">
        <w:rPr>
          <w:sz w:val="20"/>
          <w:szCs w:val="20"/>
        </w:rPr>
        <w:t>. LUUX. 7 September 2020. 36-40.</w:t>
      </w:r>
    </w:p>
    <w:p w14:paraId="014F9A49" w14:textId="77777777" w:rsidR="00EF0BC6" w:rsidRPr="00B81F27" w:rsidRDefault="00EF0BC6" w:rsidP="00B81F27">
      <w:pPr>
        <w:spacing w:line="240" w:lineRule="auto"/>
        <w:rPr>
          <w:sz w:val="20"/>
          <w:szCs w:val="20"/>
        </w:rPr>
      </w:pPr>
      <w:proofErr w:type="spellStart"/>
      <w:r w:rsidRPr="00B81F27">
        <w:rPr>
          <w:sz w:val="20"/>
          <w:szCs w:val="20"/>
        </w:rPr>
        <w:t>Rabkin</w:t>
      </w:r>
      <w:proofErr w:type="spellEnd"/>
      <w:r w:rsidRPr="00B81F27">
        <w:rPr>
          <w:sz w:val="20"/>
          <w:szCs w:val="20"/>
        </w:rPr>
        <w:t xml:space="preserve">, N and </w:t>
      </w:r>
      <w:proofErr w:type="spellStart"/>
      <w:r w:rsidRPr="00B81F27">
        <w:rPr>
          <w:sz w:val="20"/>
          <w:szCs w:val="20"/>
        </w:rPr>
        <w:t>Sidford</w:t>
      </w:r>
      <w:proofErr w:type="spellEnd"/>
      <w:r w:rsidRPr="00B81F27">
        <w:rPr>
          <w:sz w:val="20"/>
          <w:szCs w:val="20"/>
        </w:rPr>
        <w:t xml:space="preserve">, H (2015) </w:t>
      </w:r>
      <w:r w:rsidRPr="00086FBC">
        <w:rPr>
          <w:i/>
          <w:iCs/>
          <w:sz w:val="20"/>
          <w:szCs w:val="20"/>
        </w:rPr>
        <w:t>Public Benefits and Value of Arts and Culture</w:t>
      </w:r>
      <w:r w:rsidRPr="00B81F27">
        <w:rPr>
          <w:sz w:val="20"/>
          <w:szCs w:val="20"/>
        </w:rPr>
        <w:t>. Available at: https://www.giarts.org/sites/default/files/public-benefits-value-of-arts-culture.pdf (Accessed: 25 November 2020)</w:t>
      </w:r>
    </w:p>
    <w:p w14:paraId="65DE88CE" w14:textId="77777777" w:rsidR="00EF0BC6" w:rsidRPr="00B81F27" w:rsidRDefault="00EF0BC6" w:rsidP="00B81F27">
      <w:pPr>
        <w:spacing w:line="240" w:lineRule="auto"/>
        <w:rPr>
          <w:sz w:val="20"/>
          <w:szCs w:val="20"/>
        </w:rPr>
      </w:pPr>
      <w:r w:rsidRPr="00B81F27">
        <w:rPr>
          <w:sz w:val="20"/>
          <w:szCs w:val="20"/>
        </w:rPr>
        <w:t xml:space="preserve">Vocabulary.com (no date) </w:t>
      </w:r>
      <w:r w:rsidRPr="00086FBC">
        <w:rPr>
          <w:i/>
          <w:iCs/>
          <w:sz w:val="20"/>
          <w:szCs w:val="20"/>
        </w:rPr>
        <w:t>Illustrate</w:t>
      </w:r>
      <w:r w:rsidRPr="00B81F27">
        <w:rPr>
          <w:sz w:val="20"/>
          <w:szCs w:val="20"/>
        </w:rPr>
        <w:t>. Available at: https://www.vocabulary.com/dictionary/illustrate#:~:text=To%20illustrate%20is%20to%20make,books%20are%20illustrated%20with%20pictures.&amp;text=The%20word%20illustrate%20comes%20from,someone%20on%20a%20complex%20topic. (Accessed: 25 November 2020)</w:t>
      </w:r>
    </w:p>
    <w:p w14:paraId="05D76C55" w14:textId="3463A3F7" w:rsidR="00B81F27" w:rsidRDefault="00B81F27" w:rsidP="00B81F27">
      <w:pPr>
        <w:spacing w:line="240" w:lineRule="auto"/>
        <w:rPr>
          <w:sz w:val="20"/>
          <w:szCs w:val="20"/>
        </w:rPr>
      </w:pPr>
    </w:p>
    <w:p w14:paraId="6D95FF36" w14:textId="53A78A9F" w:rsidR="00B81F27" w:rsidRPr="00B81F27" w:rsidRDefault="00B81F27" w:rsidP="00B81F27">
      <w:pPr>
        <w:spacing w:line="240" w:lineRule="auto"/>
        <w:rPr>
          <w:b/>
          <w:bCs/>
          <w:sz w:val="24"/>
          <w:szCs w:val="24"/>
        </w:rPr>
      </w:pPr>
      <w:r w:rsidRPr="00B81F27">
        <w:rPr>
          <w:b/>
          <w:bCs/>
          <w:sz w:val="24"/>
          <w:szCs w:val="24"/>
        </w:rPr>
        <w:t>Task 2: Observational Writing</w:t>
      </w:r>
    </w:p>
    <w:p w14:paraId="73273D21" w14:textId="29EBE5DB" w:rsidR="00D414F0" w:rsidRPr="00865F28" w:rsidRDefault="00D414F0" w:rsidP="00865F28">
      <w:pPr>
        <w:spacing w:line="480" w:lineRule="auto"/>
        <w:jc w:val="center"/>
        <w:rPr>
          <w:sz w:val="20"/>
          <w:szCs w:val="20"/>
        </w:rPr>
      </w:pPr>
      <w:r>
        <w:rPr>
          <w:noProof/>
        </w:rPr>
        <w:drawing>
          <wp:anchor distT="0" distB="0" distL="114300" distR="114300" simplePos="0" relativeHeight="251658240" behindDoc="0" locked="0" layoutInCell="1" allowOverlap="1" wp14:anchorId="24929AB5" wp14:editId="01426223">
            <wp:simplePos x="0" y="0"/>
            <wp:positionH relativeFrom="column">
              <wp:posOffset>1760220</wp:posOffset>
            </wp:positionH>
            <wp:positionV relativeFrom="paragraph">
              <wp:posOffset>0</wp:posOffset>
            </wp:positionV>
            <wp:extent cx="2365375" cy="360299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65375" cy="3602990"/>
                    </a:xfrm>
                    <a:prstGeom prst="rect">
                      <a:avLst/>
                    </a:prstGeom>
                    <a:noFill/>
                  </pic:spPr>
                </pic:pic>
              </a:graphicData>
            </a:graphic>
          </wp:anchor>
        </w:drawing>
      </w:r>
      <w:r w:rsidR="00865F28">
        <w:rPr>
          <w:sz w:val="20"/>
          <w:szCs w:val="20"/>
        </w:rPr>
        <w:t xml:space="preserve">Fig. 1 </w:t>
      </w:r>
    </w:p>
    <w:p w14:paraId="71321A98" w14:textId="6A792A00" w:rsidR="00D414F0" w:rsidRPr="00B81F27" w:rsidRDefault="00D414F0" w:rsidP="00D414F0">
      <w:pPr>
        <w:spacing w:line="480" w:lineRule="auto"/>
        <w:rPr>
          <w:sz w:val="24"/>
          <w:szCs w:val="24"/>
        </w:rPr>
      </w:pPr>
      <w:r w:rsidRPr="00B81F27">
        <w:rPr>
          <w:sz w:val="24"/>
          <w:szCs w:val="24"/>
        </w:rPr>
        <w:t xml:space="preserve">The original poster </w:t>
      </w:r>
      <w:r w:rsidR="00865F28">
        <w:rPr>
          <w:sz w:val="24"/>
          <w:szCs w:val="24"/>
        </w:rPr>
        <w:t xml:space="preserve">(fig.1) </w:t>
      </w:r>
      <w:r w:rsidRPr="00B81F27">
        <w:rPr>
          <w:sz w:val="24"/>
          <w:szCs w:val="24"/>
        </w:rPr>
        <w:t>created for Star Wars (1977) was made in 1977 by illustrator Tom Hung (</w:t>
      </w:r>
      <w:proofErr w:type="spellStart"/>
      <w:r w:rsidRPr="00B81F27">
        <w:rPr>
          <w:sz w:val="24"/>
          <w:szCs w:val="24"/>
        </w:rPr>
        <w:t>Screencrush</w:t>
      </w:r>
      <w:proofErr w:type="spellEnd"/>
      <w:r w:rsidRPr="00B81F27">
        <w:rPr>
          <w:sz w:val="24"/>
          <w:szCs w:val="24"/>
        </w:rPr>
        <w:t xml:space="preserve"> Staff, 2015). He incorporated earlier designs by Greg and Tim Hildebrandt (</w:t>
      </w:r>
      <w:proofErr w:type="spellStart"/>
      <w:r w:rsidRPr="00B81F27">
        <w:rPr>
          <w:sz w:val="24"/>
          <w:szCs w:val="24"/>
        </w:rPr>
        <w:t>Screencrush</w:t>
      </w:r>
      <w:proofErr w:type="spellEnd"/>
      <w:r w:rsidRPr="00B81F27">
        <w:rPr>
          <w:sz w:val="24"/>
          <w:szCs w:val="24"/>
        </w:rPr>
        <w:t xml:space="preserve"> Staff, 2015). The poster includes two of the main protagonists, Luke and Leia, as well as the antagonist Darth Vader. As the poster was made in 1977, it is easy to see that it is very structuralist. Luke and Leia, the protagonists, are in white, a colour that connotes goodness and purity (Wolchover, 2011). This makes it clear that they are the protagonists of the movie, along with their placement in the foreground of the poster. On </w:t>
      </w:r>
      <w:r w:rsidRPr="00B81F27">
        <w:rPr>
          <w:sz w:val="24"/>
          <w:szCs w:val="24"/>
        </w:rPr>
        <w:lastRenderedPageBreak/>
        <w:t>the other hand, Darth Vader wears all black, indicating that he is associated with death and mystery, therefor being the antagonist (Natalie Wolchover, 2011). Ferdinand de Saussure explains this using signifiers and the signified (Chandler, 2007, p.14): the signifier is Darth Vader’s black helmet, the signified meaning that he is mysterious, obscured, evil. An article called ‘How did white become the metaphor for all things good’ (Krishna, 2020) explores why white and black have become what they mean to the present society. It states that:</w:t>
      </w:r>
    </w:p>
    <w:p w14:paraId="2A333E38" w14:textId="77777777" w:rsidR="00D414F0" w:rsidRPr="00B81F27" w:rsidRDefault="00D414F0" w:rsidP="007B0DA4">
      <w:pPr>
        <w:spacing w:line="480" w:lineRule="auto"/>
        <w:ind w:left="720"/>
        <w:rPr>
          <w:sz w:val="24"/>
          <w:szCs w:val="24"/>
        </w:rPr>
      </w:pPr>
      <w:r w:rsidRPr="00B81F27">
        <w:rPr>
          <w:sz w:val="24"/>
          <w:szCs w:val="24"/>
        </w:rPr>
        <w:t>Metaphors are a cognitive tool allowing people to comprehend what they cannot see, taste, hear, smell or touch. They help people understand difficult, abstract concepts through simpler, more tangible, paradigms</w:t>
      </w:r>
    </w:p>
    <w:p w14:paraId="0AE6ADB5" w14:textId="77777777" w:rsidR="00D414F0" w:rsidRPr="00B81F27" w:rsidRDefault="00D414F0" w:rsidP="00D414F0">
      <w:pPr>
        <w:spacing w:line="480" w:lineRule="auto"/>
        <w:rPr>
          <w:sz w:val="24"/>
          <w:szCs w:val="24"/>
        </w:rPr>
      </w:pPr>
      <w:r w:rsidRPr="00B81F27">
        <w:rPr>
          <w:sz w:val="24"/>
          <w:szCs w:val="24"/>
        </w:rPr>
        <w:t xml:space="preserve">                                                                                                                                           (Krishna, 2020) </w:t>
      </w:r>
    </w:p>
    <w:p w14:paraId="4EA2B78B" w14:textId="77777777" w:rsidR="00D414F0" w:rsidRPr="00B81F27" w:rsidRDefault="00D414F0" w:rsidP="00D414F0">
      <w:pPr>
        <w:spacing w:line="480" w:lineRule="auto"/>
        <w:rPr>
          <w:sz w:val="24"/>
          <w:szCs w:val="24"/>
        </w:rPr>
      </w:pPr>
      <w:r w:rsidRPr="00B81F27">
        <w:rPr>
          <w:sz w:val="24"/>
          <w:szCs w:val="24"/>
        </w:rPr>
        <w:t xml:space="preserve">What this quote shows is that people use metaphors to understand these concepts to make them simpler. This could also explain why the artist behind the poster, Tom Hung, plays into these pre-established metaphors to quickly and efficiently communicate to the viewer who is good and who is evil. </w:t>
      </w:r>
    </w:p>
    <w:p w14:paraId="53683194" w14:textId="77777777" w:rsidR="00D414F0" w:rsidRPr="00B81F27" w:rsidRDefault="00D414F0" w:rsidP="00D414F0">
      <w:pPr>
        <w:spacing w:line="480" w:lineRule="auto"/>
        <w:rPr>
          <w:sz w:val="24"/>
          <w:szCs w:val="24"/>
        </w:rPr>
      </w:pPr>
      <w:r w:rsidRPr="00B81F27">
        <w:rPr>
          <w:sz w:val="24"/>
          <w:szCs w:val="24"/>
        </w:rPr>
        <w:t xml:space="preserve">The two protagonists are represented in contrasting ways. In the book Ways of Thinking (Berger, 1972), one essay summarises quite accurately what is going on in the poster. When talking about how men are presented in images, it states “A man’s presence is dependent upon the power which he embodies…The promised power may be moral, physical, temperamental, economic, social, sexual- but its object is always exterior to the man.” (Berger, 1972, p.45). Applying this to the poster, Luke’s pose, along with his open shirt revealing a muscular body, shows that his presence is one of strength and power. Using Ferdinand de Saussure’s theory on semiotics (Chandler, 2007, p.14), a muscular body might be signified as being powerful and desirable. Alternatively, when talking about women, the </w:t>
      </w:r>
      <w:r w:rsidRPr="00B81F27">
        <w:rPr>
          <w:sz w:val="24"/>
          <w:szCs w:val="24"/>
        </w:rPr>
        <w:lastRenderedPageBreak/>
        <w:t xml:space="preserve">Berger’s essay says “Women are depicted in a quite different way from men…because the ‘ideal’ spectator is always assumed to be male and the image of the woman is designed to flatter him” (Berger, 1972, p.64). Although here Berger is referring to oil paintings, the same could be said about a film poster who’s primary audience would be male (Young, 2015). Tom Jung relies on her sexuality rather than power or might to signify Leia as desirable. Again using Saussure’s theory on semiotics, it could be said that the signifier of Leia’s bare leg could be signified as sexual to a Western audience. While Luke stretches his light </w:t>
      </w:r>
      <w:proofErr w:type="spellStart"/>
      <w:r w:rsidRPr="00B81F27">
        <w:rPr>
          <w:sz w:val="24"/>
          <w:szCs w:val="24"/>
        </w:rPr>
        <w:t>saber</w:t>
      </w:r>
      <w:proofErr w:type="spellEnd"/>
      <w:r w:rsidRPr="00B81F27">
        <w:rPr>
          <w:sz w:val="24"/>
          <w:szCs w:val="24"/>
        </w:rPr>
        <w:t xml:space="preserve"> into the sky and looks up valiantly, Leia looks out to the viewer, almost aware that her role is to be subservient and give in to the demands of those looking. To summarise, the Berger’s essay states “men act and women appear” (1972, p.47). </w:t>
      </w:r>
    </w:p>
    <w:p w14:paraId="5F42CBB0" w14:textId="77777777" w:rsidR="00D414F0" w:rsidRPr="00B81F27" w:rsidRDefault="00D414F0" w:rsidP="00B81F27">
      <w:pPr>
        <w:spacing w:line="480" w:lineRule="auto"/>
        <w:jc w:val="center"/>
        <w:rPr>
          <w:b/>
          <w:bCs/>
          <w:sz w:val="24"/>
          <w:szCs w:val="24"/>
        </w:rPr>
      </w:pPr>
      <w:r w:rsidRPr="00B81F27">
        <w:rPr>
          <w:b/>
          <w:bCs/>
          <w:sz w:val="24"/>
          <w:szCs w:val="24"/>
        </w:rPr>
        <w:t>Bibliography</w:t>
      </w:r>
    </w:p>
    <w:p w14:paraId="208CFF5F" w14:textId="77777777" w:rsidR="00D414F0" w:rsidRPr="00B81F27" w:rsidRDefault="00D414F0" w:rsidP="00B81F27">
      <w:pPr>
        <w:spacing w:line="240" w:lineRule="auto"/>
        <w:rPr>
          <w:sz w:val="20"/>
          <w:szCs w:val="20"/>
        </w:rPr>
      </w:pPr>
      <w:r w:rsidRPr="00B81F27">
        <w:rPr>
          <w:sz w:val="20"/>
          <w:szCs w:val="20"/>
        </w:rPr>
        <w:t xml:space="preserve">Berger, J. (1972) </w:t>
      </w:r>
      <w:r w:rsidRPr="00086FBC">
        <w:rPr>
          <w:i/>
          <w:iCs/>
          <w:sz w:val="20"/>
          <w:szCs w:val="20"/>
        </w:rPr>
        <w:t>Ways of Seeing</w:t>
      </w:r>
      <w:r w:rsidRPr="00B81F27">
        <w:rPr>
          <w:sz w:val="20"/>
          <w:szCs w:val="20"/>
        </w:rPr>
        <w:t>. London: British Broadcasting Corporation and Penguin Books</w:t>
      </w:r>
    </w:p>
    <w:p w14:paraId="5C2DB095" w14:textId="77777777" w:rsidR="00D414F0" w:rsidRPr="00B81F27" w:rsidRDefault="00D414F0" w:rsidP="00B81F27">
      <w:pPr>
        <w:spacing w:line="240" w:lineRule="auto"/>
        <w:rPr>
          <w:sz w:val="20"/>
          <w:szCs w:val="20"/>
        </w:rPr>
      </w:pPr>
      <w:r w:rsidRPr="00B81F27">
        <w:rPr>
          <w:sz w:val="20"/>
          <w:szCs w:val="20"/>
        </w:rPr>
        <w:t xml:space="preserve">Chandler, D. (2007) </w:t>
      </w:r>
      <w:r w:rsidRPr="00086FBC">
        <w:rPr>
          <w:i/>
          <w:iCs/>
          <w:sz w:val="20"/>
          <w:szCs w:val="20"/>
        </w:rPr>
        <w:t>Semiotics the basics</w:t>
      </w:r>
      <w:r w:rsidRPr="00B81F27">
        <w:rPr>
          <w:sz w:val="20"/>
          <w:szCs w:val="20"/>
        </w:rPr>
        <w:t>. Oxford: Routledge</w:t>
      </w:r>
    </w:p>
    <w:p w14:paraId="5FDC327F" w14:textId="77777777" w:rsidR="00D414F0" w:rsidRPr="00B81F27" w:rsidRDefault="00D414F0" w:rsidP="00B81F27">
      <w:pPr>
        <w:spacing w:line="240" w:lineRule="auto"/>
        <w:rPr>
          <w:sz w:val="20"/>
          <w:szCs w:val="20"/>
        </w:rPr>
      </w:pPr>
      <w:proofErr w:type="spellStart"/>
      <w:r w:rsidRPr="00B81F27">
        <w:rPr>
          <w:sz w:val="20"/>
          <w:szCs w:val="20"/>
        </w:rPr>
        <w:t>Dass</w:t>
      </w:r>
      <w:proofErr w:type="spellEnd"/>
      <w:r w:rsidRPr="00B81F27">
        <w:rPr>
          <w:sz w:val="20"/>
          <w:szCs w:val="20"/>
        </w:rPr>
        <w:t xml:space="preserve">, W. (2016) </w:t>
      </w:r>
      <w:r w:rsidRPr="00086FBC">
        <w:rPr>
          <w:i/>
          <w:iCs/>
          <w:sz w:val="20"/>
          <w:szCs w:val="20"/>
        </w:rPr>
        <w:t>The History of Star Wars Posters</w:t>
      </w:r>
      <w:r w:rsidRPr="00B81F27">
        <w:rPr>
          <w:sz w:val="20"/>
          <w:szCs w:val="20"/>
        </w:rPr>
        <w:t>. Available at: https://filmschoolrejects.com/star-wars-the-posters-14ad09654325/ (Accessed: 20 October 2020)</w:t>
      </w:r>
    </w:p>
    <w:p w14:paraId="1D8A2155" w14:textId="77777777" w:rsidR="00D414F0" w:rsidRPr="00B81F27" w:rsidRDefault="00D414F0" w:rsidP="00B81F27">
      <w:pPr>
        <w:spacing w:line="240" w:lineRule="auto"/>
        <w:rPr>
          <w:sz w:val="20"/>
          <w:szCs w:val="20"/>
        </w:rPr>
      </w:pPr>
      <w:r w:rsidRPr="00B81F27">
        <w:rPr>
          <w:sz w:val="20"/>
          <w:szCs w:val="20"/>
        </w:rPr>
        <w:t xml:space="preserve">Encyclopaedia Britannica (2020) </w:t>
      </w:r>
      <w:r w:rsidRPr="00086FBC">
        <w:rPr>
          <w:i/>
          <w:iCs/>
          <w:sz w:val="20"/>
          <w:szCs w:val="20"/>
        </w:rPr>
        <w:t>Ferdinand de Saussure</w:t>
      </w:r>
      <w:r w:rsidRPr="00B81F27">
        <w:rPr>
          <w:sz w:val="20"/>
          <w:szCs w:val="20"/>
        </w:rPr>
        <w:t>. Available at: https://www.britannica.com/biography/Ferdinand-de-Saussure (Accessed: 17 November 2020)</w:t>
      </w:r>
    </w:p>
    <w:p w14:paraId="572D82A2" w14:textId="77777777" w:rsidR="00D414F0" w:rsidRPr="00B81F27" w:rsidRDefault="00D414F0" w:rsidP="00B81F27">
      <w:pPr>
        <w:spacing w:line="240" w:lineRule="auto"/>
        <w:rPr>
          <w:sz w:val="20"/>
          <w:szCs w:val="20"/>
        </w:rPr>
      </w:pPr>
      <w:r w:rsidRPr="00B81F27">
        <w:rPr>
          <w:sz w:val="20"/>
          <w:szCs w:val="20"/>
        </w:rPr>
        <w:t xml:space="preserve">Krishna, A. (2020) </w:t>
      </w:r>
      <w:r w:rsidRPr="00086FBC">
        <w:rPr>
          <w:i/>
          <w:iCs/>
          <w:sz w:val="20"/>
          <w:szCs w:val="20"/>
        </w:rPr>
        <w:t>How did ‘white’ become a metaphor for all things good?</w:t>
      </w:r>
      <w:r w:rsidRPr="00B81F27">
        <w:rPr>
          <w:sz w:val="20"/>
          <w:szCs w:val="20"/>
        </w:rPr>
        <w:t xml:space="preserve"> Available at: https://theconversation.com/how-did-white-become-a-metaphor-for-all-things-good-140674 (Accessed: 20 October 2020)</w:t>
      </w:r>
    </w:p>
    <w:p w14:paraId="07F96901" w14:textId="77777777" w:rsidR="00D414F0" w:rsidRPr="00B81F27" w:rsidRDefault="00D414F0" w:rsidP="00B81F27">
      <w:pPr>
        <w:spacing w:line="240" w:lineRule="auto"/>
        <w:rPr>
          <w:sz w:val="20"/>
          <w:szCs w:val="20"/>
        </w:rPr>
      </w:pPr>
      <w:proofErr w:type="spellStart"/>
      <w:r w:rsidRPr="00B81F27">
        <w:rPr>
          <w:sz w:val="20"/>
          <w:szCs w:val="20"/>
        </w:rPr>
        <w:t>Lanir</w:t>
      </w:r>
      <w:proofErr w:type="spellEnd"/>
      <w:r w:rsidRPr="00B81F27">
        <w:rPr>
          <w:sz w:val="20"/>
          <w:szCs w:val="20"/>
        </w:rPr>
        <w:t xml:space="preserve">, L. (2019) </w:t>
      </w:r>
      <w:r w:rsidRPr="00086FBC">
        <w:rPr>
          <w:i/>
          <w:iCs/>
          <w:sz w:val="20"/>
          <w:szCs w:val="20"/>
        </w:rPr>
        <w:t>Ferdinand de Saussure: The Linguistic Unit — Sign, Signified and Signifier Explained</w:t>
      </w:r>
      <w:r w:rsidRPr="00B81F27">
        <w:rPr>
          <w:sz w:val="20"/>
          <w:szCs w:val="20"/>
        </w:rPr>
        <w:t>. Available at: https://medium.com/@llanirfreelance/ferdinand-de-saussure-the-linguistic-unit-sign-signified-and-signifier-explained-a7e361b5a2f3 (Accessed: 17 November 2020)</w:t>
      </w:r>
    </w:p>
    <w:p w14:paraId="063E1146" w14:textId="77777777" w:rsidR="00D414F0" w:rsidRPr="00B81F27" w:rsidRDefault="00D414F0" w:rsidP="00B81F27">
      <w:pPr>
        <w:spacing w:line="240" w:lineRule="auto"/>
        <w:rPr>
          <w:sz w:val="20"/>
          <w:szCs w:val="20"/>
        </w:rPr>
      </w:pPr>
      <w:r w:rsidRPr="00B81F27">
        <w:rPr>
          <w:sz w:val="20"/>
          <w:szCs w:val="20"/>
        </w:rPr>
        <w:t>Star Wars (1977) Directed by George Lucas [DVD] California: Lucasfilm</w:t>
      </w:r>
    </w:p>
    <w:p w14:paraId="16296FF7" w14:textId="77777777" w:rsidR="00D414F0" w:rsidRPr="00B81F27" w:rsidRDefault="00D414F0" w:rsidP="00B81F27">
      <w:pPr>
        <w:spacing w:line="240" w:lineRule="auto"/>
        <w:rPr>
          <w:sz w:val="20"/>
          <w:szCs w:val="20"/>
        </w:rPr>
      </w:pPr>
      <w:r w:rsidRPr="00B81F27">
        <w:rPr>
          <w:sz w:val="20"/>
          <w:szCs w:val="20"/>
        </w:rPr>
        <w:t xml:space="preserve">Nicholas, T. (2017) </w:t>
      </w:r>
      <w:r w:rsidRPr="00086FBC">
        <w:rPr>
          <w:i/>
          <w:iCs/>
          <w:sz w:val="20"/>
          <w:szCs w:val="20"/>
        </w:rPr>
        <w:t>Semiotics: WTF? Introduction to Saussure, the Signifier and Signified</w:t>
      </w:r>
      <w:r w:rsidRPr="00B81F27">
        <w:rPr>
          <w:sz w:val="20"/>
          <w:szCs w:val="20"/>
        </w:rPr>
        <w:t>. Available at: https://www.youtube.com/watch?v=0JtJu9HdQVM (Accessed: 17 November 2020)</w:t>
      </w:r>
    </w:p>
    <w:p w14:paraId="4EB91FC9" w14:textId="77777777" w:rsidR="00D414F0" w:rsidRPr="00B81F27" w:rsidRDefault="00D414F0" w:rsidP="00B81F27">
      <w:pPr>
        <w:spacing w:line="240" w:lineRule="auto"/>
        <w:rPr>
          <w:sz w:val="20"/>
          <w:szCs w:val="20"/>
        </w:rPr>
      </w:pPr>
      <w:proofErr w:type="spellStart"/>
      <w:r w:rsidRPr="00B81F27">
        <w:rPr>
          <w:sz w:val="20"/>
          <w:szCs w:val="20"/>
        </w:rPr>
        <w:t>Screencrush</w:t>
      </w:r>
      <w:proofErr w:type="spellEnd"/>
      <w:r w:rsidRPr="00B81F27">
        <w:rPr>
          <w:sz w:val="20"/>
          <w:szCs w:val="20"/>
        </w:rPr>
        <w:t xml:space="preserve"> Staff (2015) </w:t>
      </w:r>
      <w:r w:rsidRPr="00086FBC">
        <w:rPr>
          <w:i/>
          <w:iCs/>
          <w:sz w:val="20"/>
          <w:szCs w:val="20"/>
        </w:rPr>
        <w:t>‘Star Wars’ Posters: A Visual History</w:t>
      </w:r>
      <w:r w:rsidRPr="00B81F27">
        <w:rPr>
          <w:sz w:val="20"/>
          <w:szCs w:val="20"/>
        </w:rPr>
        <w:t>. Available at: https://screencrush.com/star-wars-posters-gallery/ (Accessed: 20 October 2020)</w:t>
      </w:r>
    </w:p>
    <w:p w14:paraId="2F053FAE" w14:textId="77777777" w:rsidR="00D414F0" w:rsidRPr="00B81F27" w:rsidRDefault="00D414F0" w:rsidP="00B81F27">
      <w:pPr>
        <w:spacing w:line="240" w:lineRule="auto"/>
        <w:rPr>
          <w:sz w:val="20"/>
          <w:szCs w:val="20"/>
        </w:rPr>
      </w:pPr>
      <w:r w:rsidRPr="00B81F27">
        <w:rPr>
          <w:sz w:val="20"/>
          <w:szCs w:val="20"/>
        </w:rPr>
        <w:t xml:space="preserve">Watson, A. (2019) </w:t>
      </w:r>
      <w:r w:rsidRPr="00086FBC">
        <w:rPr>
          <w:i/>
          <w:iCs/>
          <w:sz w:val="20"/>
          <w:szCs w:val="20"/>
        </w:rPr>
        <w:t>Share of adults who are fans of Star Wars in the United Stated as of July 2019, by gender</w:t>
      </w:r>
      <w:r w:rsidRPr="00B81F27">
        <w:rPr>
          <w:sz w:val="20"/>
          <w:szCs w:val="20"/>
        </w:rPr>
        <w:t>. Available at: https://www.statista.com/statistics/725503/star-wars-favorability-gender/ (Accessed: 17 November 2020)</w:t>
      </w:r>
    </w:p>
    <w:p w14:paraId="7768D1FF" w14:textId="77777777" w:rsidR="00D414F0" w:rsidRPr="00B81F27" w:rsidRDefault="00D414F0" w:rsidP="00B81F27">
      <w:pPr>
        <w:spacing w:line="240" w:lineRule="auto"/>
        <w:rPr>
          <w:sz w:val="20"/>
          <w:szCs w:val="20"/>
        </w:rPr>
      </w:pPr>
      <w:r w:rsidRPr="00B81F27">
        <w:rPr>
          <w:sz w:val="20"/>
          <w:szCs w:val="20"/>
        </w:rPr>
        <w:t xml:space="preserve">Wolchover, N. (2011) </w:t>
      </w:r>
      <w:r w:rsidRPr="00086FBC">
        <w:rPr>
          <w:i/>
          <w:iCs/>
          <w:sz w:val="20"/>
          <w:szCs w:val="20"/>
        </w:rPr>
        <w:t xml:space="preserve">How 8 </w:t>
      </w:r>
      <w:proofErr w:type="spellStart"/>
      <w:r w:rsidRPr="00086FBC">
        <w:rPr>
          <w:i/>
          <w:iCs/>
          <w:sz w:val="20"/>
          <w:szCs w:val="20"/>
        </w:rPr>
        <w:t>Colors</w:t>
      </w:r>
      <w:proofErr w:type="spellEnd"/>
      <w:r w:rsidRPr="00086FBC">
        <w:rPr>
          <w:i/>
          <w:iCs/>
          <w:sz w:val="20"/>
          <w:szCs w:val="20"/>
        </w:rPr>
        <w:t xml:space="preserve"> Got Their Symbolic Meanings</w:t>
      </w:r>
      <w:r w:rsidRPr="00B81F27">
        <w:rPr>
          <w:sz w:val="20"/>
          <w:szCs w:val="20"/>
        </w:rPr>
        <w:t>. Available at: https://www.livescience.com/33523-color-symbolism-</w:t>
      </w:r>
      <w:r w:rsidRPr="00B81F27">
        <w:rPr>
          <w:sz w:val="20"/>
          <w:szCs w:val="20"/>
        </w:rPr>
        <w:lastRenderedPageBreak/>
        <w:t>meanings.html#:~:text=In%20a%20wide%20range%20of,of%20dirt%2C%20destroys%20the%20color (Accessed: 17 November 2020)</w:t>
      </w:r>
    </w:p>
    <w:p w14:paraId="0B4D1109" w14:textId="77777777" w:rsidR="00D414F0" w:rsidRPr="00B81F27" w:rsidRDefault="00D414F0" w:rsidP="00B81F27">
      <w:pPr>
        <w:spacing w:line="240" w:lineRule="auto"/>
        <w:rPr>
          <w:sz w:val="20"/>
          <w:szCs w:val="20"/>
        </w:rPr>
      </w:pPr>
      <w:r w:rsidRPr="00B81F27">
        <w:rPr>
          <w:sz w:val="20"/>
          <w:szCs w:val="20"/>
        </w:rPr>
        <w:t xml:space="preserve">Young, L. (no date) </w:t>
      </w:r>
      <w:r w:rsidRPr="00086FBC">
        <w:rPr>
          <w:i/>
          <w:iCs/>
          <w:sz w:val="20"/>
          <w:szCs w:val="20"/>
        </w:rPr>
        <w:t>The Fans Behind the Force: A Look at the Demographics and Interests of Star Wars Fans.</w:t>
      </w:r>
      <w:r w:rsidRPr="00B81F27">
        <w:rPr>
          <w:sz w:val="20"/>
          <w:szCs w:val="20"/>
        </w:rPr>
        <w:t xml:space="preserve"> Available at: https://www.quantcast.com/blog/the-fans-behind-the-force/ (Accessed: 17 November 2020)</w:t>
      </w:r>
    </w:p>
    <w:p w14:paraId="2693413D" w14:textId="77777777" w:rsidR="00D414F0" w:rsidRDefault="00D414F0" w:rsidP="00D414F0">
      <w:pPr>
        <w:spacing w:line="480" w:lineRule="auto"/>
      </w:pPr>
    </w:p>
    <w:p w14:paraId="7A3A991F" w14:textId="77777777" w:rsidR="00D414F0" w:rsidRPr="00B81F27" w:rsidRDefault="00D414F0" w:rsidP="00B81F27">
      <w:pPr>
        <w:spacing w:line="480" w:lineRule="auto"/>
        <w:jc w:val="center"/>
        <w:rPr>
          <w:b/>
          <w:bCs/>
          <w:sz w:val="24"/>
          <w:szCs w:val="24"/>
        </w:rPr>
      </w:pPr>
      <w:r w:rsidRPr="00B81F27">
        <w:rPr>
          <w:b/>
          <w:bCs/>
          <w:sz w:val="24"/>
          <w:szCs w:val="24"/>
        </w:rPr>
        <w:t>Reference List</w:t>
      </w:r>
    </w:p>
    <w:p w14:paraId="351143E8" w14:textId="77777777" w:rsidR="00D414F0" w:rsidRPr="00B81F27" w:rsidRDefault="00D414F0" w:rsidP="00B81F27">
      <w:pPr>
        <w:spacing w:line="240" w:lineRule="auto"/>
        <w:rPr>
          <w:sz w:val="20"/>
          <w:szCs w:val="20"/>
        </w:rPr>
      </w:pPr>
      <w:r w:rsidRPr="00B81F27">
        <w:rPr>
          <w:sz w:val="20"/>
          <w:szCs w:val="20"/>
        </w:rPr>
        <w:t xml:space="preserve">Berger, J. (1972) </w:t>
      </w:r>
      <w:r w:rsidRPr="00086FBC">
        <w:rPr>
          <w:i/>
          <w:iCs/>
          <w:sz w:val="20"/>
          <w:szCs w:val="20"/>
        </w:rPr>
        <w:t xml:space="preserve">Ways of Seeing. </w:t>
      </w:r>
      <w:r w:rsidRPr="000A0757">
        <w:rPr>
          <w:sz w:val="20"/>
          <w:szCs w:val="20"/>
        </w:rPr>
        <w:t>London:</w:t>
      </w:r>
      <w:r w:rsidRPr="00B81F27">
        <w:rPr>
          <w:sz w:val="20"/>
          <w:szCs w:val="20"/>
        </w:rPr>
        <w:t xml:space="preserve"> British Broadcasting Corporation and Penguin Books</w:t>
      </w:r>
    </w:p>
    <w:p w14:paraId="7266E8AE" w14:textId="77777777" w:rsidR="00D414F0" w:rsidRPr="00B81F27" w:rsidRDefault="00D414F0" w:rsidP="00B81F27">
      <w:pPr>
        <w:spacing w:line="240" w:lineRule="auto"/>
        <w:rPr>
          <w:sz w:val="20"/>
          <w:szCs w:val="20"/>
        </w:rPr>
      </w:pPr>
      <w:r w:rsidRPr="00B81F27">
        <w:rPr>
          <w:sz w:val="20"/>
          <w:szCs w:val="20"/>
        </w:rPr>
        <w:t xml:space="preserve">Chandler, D. (2007) </w:t>
      </w:r>
      <w:r w:rsidRPr="00086FBC">
        <w:rPr>
          <w:i/>
          <w:iCs/>
          <w:sz w:val="20"/>
          <w:szCs w:val="20"/>
        </w:rPr>
        <w:t>Semiotics the basics</w:t>
      </w:r>
      <w:r w:rsidRPr="00B81F27">
        <w:rPr>
          <w:sz w:val="20"/>
          <w:szCs w:val="20"/>
        </w:rPr>
        <w:t>. Oxford: Routledge</w:t>
      </w:r>
    </w:p>
    <w:p w14:paraId="70F94D66" w14:textId="77777777" w:rsidR="00D414F0" w:rsidRPr="00B81F27" w:rsidRDefault="00D414F0" w:rsidP="00B81F27">
      <w:pPr>
        <w:spacing w:line="240" w:lineRule="auto"/>
        <w:rPr>
          <w:sz w:val="20"/>
          <w:szCs w:val="20"/>
        </w:rPr>
      </w:pPr>
      <w:r w:rsidRPr="00B81F27">
        <w:rPr>
          <w:sz w:val="20"/>
          <w:szCs w:val="20"/>
        </w:rPr>
        <w:t xml:space="preserve">Krishna, A. (2020) </w:t>
      </w:r>
      <w:r w:rsidRPr="00086FBC">
        <w:rPr>
          <w:i/>
          <w:iCs/>
          <w:sz w:val="20"/>
          <w:szCs w:val="20"/>
        </w:rPr>
        <w:t>How did ‘white’ become a metaphor for all things good?</w:t>
      </w:r>
      <w:r w:rsidRPr="00B81F27">
        <w:rPr>
          <w:sz w:val="20"/>
          <w:szCs w:val="20"/>
        </w:rPr>
        <w:t xml:space="preserve"> Available at: https://theconversation.com/how-did-white-become-a-metaphor-for-all-things-good-140674 (Accessed: 20 October 2020)</w:t>
      </w:r>
    </w:p>
    <w:p w14:paraId="271B3B5E" w14:textId="77777777" w:rsidR="00D414F0" w:rsidRPr="00B81F27" w:rsidRDefault="00D414F0" w:rsidP="00B81F27">
      <w:pPr>
        <w:spacing w:line="240" w:lineRule="auto"/>
        <w:rPr>
          <w:sz w:val="20"/>
          <w:szCs w:val="20"/>
        </w:rPr>
      </w:pPr>
      <w:r w:rsidRPr="00B81F27">
        <w:rPr>
          <w:sz w:val="20"/>
          <w:szCs w:val="20"/>
        </w:rPr>
        <w:t>Star Wars (1977) Directed by George Lucas [DVD] California: Lucasfilm</w:t>
      </w:r>
    </w:p>
    <w:p w14:paraId="5AC13B9F" w14:textId="77777777" w:rsidR="00D414F0" w:rsidRPr="00B81F27" w:rsidRDefault="00D414F0" w:rsidP="00B81F27">
      <w:pPr>
        <w:spacing w:line="240" w:lineRule="auto"/>
        <w:rPr>
          <w:sz w:val="20"/>
          <w:szCs w:val="20"/>
        </w:rPr>
      </w:pPr>
      <w:proofErr w:type="spellStart"/>
      <w:r w:rsidRPr="00B81F27">
        <w:rPr>
          <w:sz w:val="20"/>
          <w:szCs w:val="20"/>
        </w:rPr>
        <w:t>Screencrush</w:t>
      </w:r>
      <w:proofErr w:type="spellEnd"/>
      <w:r w:rsidRPr="00B81F27">
        <w:rPr>
          <w:sz w:val="20"/>
          <w:szCs w:val="20"/>
        </w:rPr>
        <w:t xml:space="preserve"> Staff (2015) </w:t>
      </w:r>
      <w:r w:rsidRPr="00086FBC">
        <w:rPr>
          <w:i/>
          <w:iCs/>
          <w:sz w:val="20"/>
          <w:szCs w:val="20"/>
        </w:rPr>
        <w:t>‘Star Wars’ Posters: A Visual History</w:t>
      </w:r>
      <w:r w:rsidRPr="00B81F27">
        <w:rPr>
          <w:sz w:val="20"/>
          <w:szCs w:val="20"/>
        </w:rPr>
        <w:t>. Available at: https://screencrush.com/star-wars-posters-gallery/ (Accessed: 20 October 2020)</w:t>
      </w:r>
    </w:p>
    <w:p w14:paraId="42191EA0" w14:textId="77777777" w:rsidR="00D414F0" w:rsidRPr="00B81F27" w:rsidRDefault="00D414F0" w:rsidP="00B81F27">
      <w:pPr>
        <w:spacing w:line="240" w:lineRule="auto"/>
        <w:rPr>
          <w:sz w:val="20"/>
          <w:szCs w:val="20"/>
        </w:rPr>
      </w:pPr>
      <w:r w:rsidRPr="00B81F27">
        <w:rPr>
          <w:sz w:val="20"/>
          <w:szCs w:val="20"/>
        </w:rPr>
        <w:t xml:space="preserve">Wolchover, N. (2011) </w:t>
      </w:r>
      <w:r w:rsidRPr="00086FBC">
        <w:rPr>
          <w:i/>
          <w:iCs/>
          <w:sz w:val="20"/>
          <w:szCs w:val="20"/>
        </w:rPr>
        <w:t xml:space="preserve">How 8 </w:t>
      </w:r>
      <w:proofErr w:type="spellStart"/>
      <w:r w:rsidRPr="00086FBC">
        <w:rPr>
          <w:i/>
          <w:iCs/>
          <w:sz w:val="20"/>
          <w:szCs w:val="20"/>
        </w:rPr>
        <w:t>Colors</w:t>
      </w:r>
      <w:proofErr w:type="spellEnd"/>
      <w:r w:rsidRPr="00086FBC">
        <w:rPr>
          <w:i/>
          <w:iCs/>
          <w:sz w:val="20"/>
          <w:szCs w:val="20"/>
        </w:rPr>
        <w:t xml:space="preserve"> Got Their Symbolic Meanings</w:t>
      </w:r>
      <w:r w:rsidRPr="00B81F27">
        <w:rPr>
          <w:sz w:val="20"/>
          <w:szCs w:val="20"/>
        </w:rPr>
        <w:t>. Available at: https://www.livescience.com/33523-color-symbolism-meanings.html#:~:text=In%20a%20wide%20range%20of,of%20dirt%2C%20destroys%20the%20color (Accessed: 17 November 2020)</w:t>
      </w:r>
    </w:p>
    <w:p w14:paraId="4D5DB19F" w14:textId="1717071B" w:rsidR="009F2A79" w:rsidRDefault="00D414F0" w:rsidP="00B81F27">
      <w:pPr>
        <w:spacing w:line="240" w:lineRule="auto"/>
        <w:rPr>
          <w:sz w:val="20"/>
          <w:szCs w:val="20"/>
        </w:rPr>
      </w:pPr>
      <w:r w:rsidRPr="00B81F27">
        <w:rPr>
          <w:sz w:val="20"/>
          <w:szCs w:val="20"/>
        </w:rPr>
        <w:t xml:space="preserve">Young, L. (no date) </w:t>
      </w:r>
      <w:r w:rsidRPr="00086FBC">
        <w:rPr>
          <w:i/>
          <w:iCs/>
          <w:sz w:val="20"/>
          <w:szCs w:val="20"/>
        </w:rPr>
        <w:t>The Fans Behind the Force: A Look at the Demographics and Interests of Star Wars Fans.</w:t>
      </w:r>
      <w:r w:rsidRPr="00B81F27">
        <w:rPr>
          <w:sz w:val="20"/>
          <w:szCs w:val="20"/>
        </w:rPr>
        <w:t xml:space="preserve"> Available at: https://www.quantcast.com/blog/the-fans-behind-the-force/ (Accessed: 17 November 2020)</w:t>
      </w:r>
    </w:p>
    <w:p w14:paraId="6978450A" w14:textId="45FD6D3F" w:rsidR="00B81F27" w:rsidRDefault="00B81F27" w:rsidP="00B81F27">
      <w:pPr>
        <w:spacing w:line="240" w:lineRule="auto"/>
        <w:rPr>
          <w:sz w:val="20"/>
          <w:szCs w:val="20"/>
        </w:rPr>
      </w:pPr>
    </w:p>
    <w:p w14:paraId="2654D0D9" w14:textId="2E61DDB1" w:rsidR="00B81F27" w:rsidRDefault="00B81F27" w:rsidP="00B81F27">
      <w:pPr>
        <w:spacing w:line="240" w:lineRule="auto"/>
        <w:jc w:val="center"/>
        <w:rPr>
          <w:b/>
          <w:bCs/>
          <w:sz w:val="24"/>
          <w:szCs w:val="24"/>
        </w:rPr>
      </w:pPr>
      <w:r>
        <w:rPr>
          <w:b/>
          <w:bCs/>
          <w:sz w:val="24"/>
          <w:szCs w:val="24"/>
        </w:rPr>
        <w:t>List of figures</w:t>
      </w:r>
    </w:p>
    <w:p w14:paraId="7B8294E8" w14:textId="49381285" w:rsidR="00B81F27" w:rsidRDefault="00B81F27" w:rsidP="00B81F27">
      <w:pPr>
        <w:spacing w:line="240" w:lineRule="auto"/>
        <w:rPr>
          <w:sz w:val="20"/>
          <w:szCs w:val="20"/>
        </w:rPr>
      </w:pPr>
      <w:r w:rsidRPr="00B81F27">
        <w:rPr>
          <w:i/>
          <w:iCs/>
          <w:sz w:val="20"/>
          <w:szCs w:val="20"/>
        </w:rPr>
        <w:t>Figure 1</w:t>
      </w:r>
      <w:r>
        <w:rPr>
          <w:i/>
          <w:iCs/>
          <w:sz w:val="20"/>
          <w:szCs w:val="20"/>
        </w:rPr>
        <w:t xml:space="preserve">. </w:t>
      </w:r>
      <w:r>
        <w:rPr>
          <w:sz w:val="20"/>
          <w:szCs w:val="20"/>
        </w:rPr>
        <w:t xml:space="preserve">Star Wars poster (1977) </w:t>
      </w:r>
      <w:r w:rsidR="00086FBC" w:rsidRPr="00086FBC">
        <w:rPr>
          <w:i/>
          <w:iCs/>
          <w:sz w:val="20"/>
          <w:szCs w:val="20"/>
        </w:rPr>
        <w:t>‘Star Wars’ Posters: A Visual History</w:t>
      </w:r>
      <w:r w:rsidR="00086FBC">
        <w:rPr>
          <w:sz w:val="20"/>
          <w:szCs w:val="20"/>
        </w:rPr>
        <w:t xml:space="preserve">. </w:t>
      </w:r>
      <w:r w:rsidR="00086FBC" w:rsidRPr="00086FBC">
        <w:rPr>
          <w:sz w:val="20"/>
          <w:szCs w:val="20"/>
        </w:rPr>
        <w:t xml:space="preserve">Available at: </w:t>
      </w:r>
      <w:hyperlink r:id="rId6" w:history="1">
        <w:r w:rsidR="00086FBC" w:rsidRPr="00503CD3">
          <w:rPr>
            <w:rStyle w:val="Hyperlink"/>
            <w:sz w:val="20"/>
            <w:szCs w:val="20"/>
          </w:rPr>
          <w:t>https://screencrush.com/star-wars-posters-gallery/</w:t>
        </w:r>
      </w:hyperlink>
      <w:r w:rsidR="00086FBC">
        <w:rPr>
          <w:sz w:val="20"/>
          <w:szCs w:val="20"/>
        </w:rPr>
        <w:t xml:space="preserve"> </w:t>
      </w:r>
      <w:r w:rsidR="00086FBC" w:rsidRPr="00086FBC">
        <w:rPr>
          <w:sz w:val="20"/>
          <w:szCs w:val="20"/>
        </w:rPr>
        <w:t xml:space="preserve"> (Accessed: 20 October 2020)</w:t>
      </w:r>
      <w:r w:rsidR="00086FBC">
        <w:rPr>
          <w:sz w:val="20"/>
          <w:szCs w:val="20"/>
        </w:rPr>
        <w:t xml:space="preserve"> </w:t>
      </w:r>
    </w:p>
    <w:p w14:paraId="072B4BA4" w14:textId="680F97A0" w:rsidR="00656C78" w:rsidRDefault="00656C78" w:rsidP="00B81F27">
      <w:pPr>
        <w:spacing w:line="240" w:lineRule="auto"/>
        <w:rPr>
          <w:sz w:val="20"/>
          <w:szCs w:val="20"/>
        </w:rPr>
      </w:pPr>
    </w:p>
    <w:p w14:paraId="550D72B9" w14:textId="77777777" w:rsidR="00656C78" w:rsidRPr="00656C78" w:rsidRDefault="00656C78" w:rsidP="00656C78">
      <w:pPr>
        <w:spacing w:line="240" w:lineRule="auto"/>
        <w:rPr>
          <w:sz w:val="20"/>
          <w:szCs w:val="20"/>
        </w:rPr>
      </w:pPr>
    </w:p>
    <w:p w14:paraId="7FF70AC1" w14:textId="6EB841CE" w:rsidR="00656C78" w:rsidRPr="00656C78" w:rsidRDefault="00656C78" w:rsidP="00656C78">
      <w:pPr>
        <w:spacing w:line="480" w:lineRule="auto"/>
        <w:rPr>
          <w:b/>
          <w:bCs/>
          <w:sz w:val="24"/>
          <w:szCs w:val="24"/>
        </w:rPr>
      </w:pPr>
      <w:r>
        <w:rPr>
          <w:b/>
          <w:bCs/>
          <w:sz w:val="24"/>
          <w:szCs w:val="24"/>
        </w:rPr>
        <w:t>Task 3: Practise-based Writing</w:t>
      </w:r>
    </w:p>
    <w:p w14:paraId="6CF7C02C" w14:textId="1037020F" w:rsidR="007B0DA4" w:rsidRDefault="00FF32FA" w:rsidP="00656C78">
      <w:pPr>
        <w:spacing w:line="480" w:lineRule="auto"/>
        <w:rPr>
          <w:sz w:val="24"/>
          <w:szCs w:val="24"/>
        </w:rPr>
      </w:pPr>
      <w:r>
        <w:rPr>
          <w:sz w:val="24"/>
          <w:szCs w:val="24"/>
        </w:rPr>
        <w:t xml:space="preserve"> </w:t>
      </w:r>
      <w:r w:rsidR="00545970">
        <w:rPr>
          <w:sz w:val="24"/>
          <w:szCs w:val="24"/>
        </w:rPr>
        <w:t xml:space="preserve">To begin an illustration, I first need to be inspired or have a want to illustrate a particular mood, emotion or event. I am largely inspired by my own thoughts and experiences. In this way, my work is </w:t>
      </w:r>
      <w:r w:rsidR="00656C78" w:rsidRPr="00656C78">
        <w:rPr>
          <w:sz w:val="24"/>
          <w:szCs w:val="24"/>
        </w:rPr>
        <w:t>autobiographica</w:t>
      </w:r>
      <w:r w:rsidR="00545970">
        <w:rPr>
          <w:sz w:val="24"/>
          <w:szCs w:val="24"/>
        </w:rPr>
        <w:t>l, as I often allow my emotions and personal life to dictate what I draw</w:t>
      </w:r>
      <w:r w:rsidR="00656C78" w:rsidRPr="00656C78">
        <w:rPr>
          <w:sz w:val="24"/>
          <w:szCs w:val="24"/>
        </w:rPr>
        <w:t xml:space="preserve">. </w:t>
      </w:r>
      <w:r w:rsidR="00656C78">
        <w:rPr>
          <w:sz w:val="24"/>
          <w:szCs w:val="24"/>
        </w:rPr>
        <w:t>M</w:t>
      </w:r>
      <w:r w:rsidR="00656C78" w:rsidRPr="00656C78">
        <w:rPr>
          <w:sz w:val="24"/>
          <w:szCs w:val="24"/>
        </w:rPr>
        <w:t>y work becomes more emotional and more impactful because of this.</w:t>
      </w:r>
      <w:r w:rsidR="007B0DA4">
        <w:rPr>
          <w:sz w:val="24"/>
          <w:szCs w:val="24"/>
        </w:rPr>
        <w:t xml:space="preserve"> I would </w:t>
      </w:r>
      <w:proofErr w:type="spellStart"/>
      <w:r w:rsidR="007B0DA4">
        <w:rPr>
          <w:sz w:val="24"/>
          <w:szCs w:val="24"/>
        </w:rPr>
        <w:t>liken</w:t>
      </w:r>
      <w:proofErr w:type="spellEnd"/>
      <w:r w:rsidR="007B0DA4">
        <w:rPr>
          <w:sz w:val="24"/>
          <w:szCs w:val="24"/>
        </w:rPr>
        <w:t xml:space="preserve"> this to being self-aware</w:t>
      </w:r>
      <w:r w:rsidR="00545970">
        <w:rPr>
          <w:sz w:val="24"/>
          <w:szCs w:val="24"/>
        </w:rPr>
        <w:t xml:space="preserve">- </w:t>
      </w:r>
      <w:r w:rsidR="007B0DA4">
        <w:rPr>
          <w:sz w:val="24"/>
          <w:szCs w:val="24"/>
        </w:rPr>
        <w:t xml:space="preserve">at least self-aware of my own emotions. In the book </w:t>
      </w:r>
      <w:r w:rsidR="007B0DA4">
        <w:rPr>
          <w:sz w:val="24"/>
          <w:szCs w:val="24"/>
        </w:rPr>
        <w:lastRenderedPageBreak/>
        <w:t>‘Emotion</w:t>
      </w:r>
      <w:r w:rsidR="00545970">
        <w:rPr>
          <w:sz w:val="24"/>
          <w:szCs w:val="24"/>
        </w:rPr>
        <w:t>al</w:t>
      </w:r>
      <w:r w:rsidR="007B0DA4">
        <w:rPr>
          <w:sz w:val="24"/>
          <w:szCs w:val="24"/>
        </w:rPr>
        <w:t xml:space="preserve"> Intelligence’ by Daniel Goleman</w:t>
      </w:r>
      <w:r w:rsidR="00545970">
        <w:rPr>
          <w:sz w:val="24"/>
          <w:szCs w:val="24"/>
        </w:rPr>
        <w:t xml:space="preserve"> (1996)</w:t>
      </w:r>
      <w:r w:rsidR="007B0DA4">
        <w:rPr>
          <w:sz w:val="24"/>
          <w:szCs w:val="24"/>
        </w:rPr>
        <w:t>, he stated (when discussing the idea of self-awareness):</w:t>
      </w:r>
    </w:p>
    <w:p w14:paraId="797F1A6B" w14:textId="547BC2C8" w:rsidR="007B0DA4" w:rsidRDefault="007B0DA4" w:rsidP="007B0DA4">
      <w:pPr>
        <w:spacing w:line="480" w:lineRule="auto"/>
        <w:ind w:left="720"/>
        <w:rPr>
          <w:sz w:val="24"/>
          <w:szCs w:val="24"/>
        </w:rPr>
      </w:pPr>
      <w:r>
        <w:rPr>
          <w:sz w:val="24"/>
          <w:szCs w:val="24"/>
        </w:rPr>
        <w:t xml:space="preserve"> it manifests itself simply as a slight stepping-back from experience, a parallel stream of consciousness that is ‘meta’: hovering above or beside the main flow, aware of what is happening</w:t>
      </w:r>
    </w:p>
    <w:p w14:paraId="44BF19A3" w14:textId="77777777" w:rsidR="007B0DA4" w:rsidRDefault="007B0DA4" w:rsidP="007B0DA4">
      <w:pPr>
        <w:spacing w:line="480" w:lineRule="auto"/>
        <w:ind w:left="720"/>
        <w:jc w:val="right"/>
        <w:rPr>
          <w:sz w:val="24"/>
          <w:szCs w:val="24"/>
        </w:rPr>
      </w:pPr>
      <w:r>
        <w:rPr>
          <w:sz w:val="24"/>
          <w:szCs w:val="24"/>
        </w:rPr>
        <w:t>(Goleman, 1996, p.47)</w:t>
      </w:r>
    </w:p>
    <w:p w14:paraId="275F7E9E" w14:textId="79611C0E" w:rsidR="00865F28" w:rsidRDefault="00865F28" w:rsidP="007B0DA4">
      <w:pPr>
        <w:spacing w:line="480" w:lineRule="auto"/>
        <w:rPr>
          <w:noProof/>
          <w:sz w:val="24"/>
          <w:szCs w:val="24"/>
        </w:rPr>
      </w:pPr>
      <w:r>
        <w:rPr>
          <w:noProof/>
          <w:sz w:val="24"/>
          <w:szCs w:val="24"/>
        </w:rPr>
        <w:drawing>
          <wp:anchor distT="0" distB="0" distL="114300" distR="114300" simplePos="0" relativeHeight="251661312" behindDoc="0" locked="0" layoutInCell="1" allowOverlap="1" wp14:anchorId="2589622F" wp14:editId="0E84C118">
            <wp:simplePos x="0" y="0"/>
            <wp:positionH relativeFrom="column">
              <wp:posOffset>1295400</wp:posOffset>
            </wp:positionH>
            <wp:positionV relativeFrom="paragraph">
              <wp:posOffset>1548130</wp:posOffset>
            </wp:positionV>
            <wp:extent cx="3002280" cy="2343785"/>
            <wp:effectExtent l="0" t="0" r="762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2280" cy="2343785"/>
                    </a:xfrm>
                    <a:prstGeom prst="rect">
                      <a:avLst/>
                    </a:prstGeom>
                    <a:noFill/>
                  </pic:spPr>
                </pic:pic>
              </a:graphicData>
            </a:graphic>
            <wp14:sizeRelH relativeFrom="margin">
              <wp14:pctWidth>0</wp14:pctWidth>
            </wp14:sizeRelH>
            <wp14:sizeRelV relativeFrom="margin">
              <wp14:pctHeight>0</wp14:pctHeight>
            </wp14:sizeRelV>
          </wp:anchor>
        </w:drawing>
      </w:r>
      <w:r w:rsidR="00F76E08">
        <w:rPr>
          <w:sz w:val="24"/>
          <w:szCs w:val="24"/>
        </w:rPr>
        <w:t>Goleman discusses the idea of a</w:t>
      </w:r>
      <w:r w:rsidR="007B0DA4">
        <w:rPr>
          <w:sz w:val="24"/>
          <w:szCs w:val="24"/>
        </w:rPr>
        <w:t xml:space="preserve"> “parallel stream of consciousness” (1996, p,47)</w:t>
      </w:r>
      <w:r w:rsidR="00F76E08">
        <w:rPr>
          <w:sz w:val="24"/>
          <w:szCs w:val="24"/>
        </w:rPr>
        <w:t xml:space="preserve">, and I see this as </w:t>
      </w:r>
      <w:r w:rsidR="007B0DA4">
        <w:rPr>
          <w:sz w:val="24"/>
          <w:szCs w:val="24"/>
        </w:rPr>
        <w:t>me the artist, and I am illustrating me the person, or the experiences I go through</w:t>
      </w:r>
      <w:r w:rsidR="00545970">
        <w:rPr>
          <w:sz w:val="24"/>
          <w:szCs w:val="24"/>
        </w:rPr>
        <w:t>; the two are separate</w:t>
      </w:r>
      <w:r w:rsidR="00656C78" w:rsidRPr="00656C78">
        <w:rPr>
          <w:sz w:val="24"/>
          <w:szCs w:val="24"/>
        </w:rPr>
        <w:t xml:space="preserve">. </w:t>
      </w:r>
      <w:r w:rsidR="00656C78">
        <w:rPr>
          <w:sz w:val="24"/>
          <w:szCs w:val="24"/>
        </w:rPr>
        <w:t xml:space="preserve">For example, the </w:t>
      </w:r>
      <w:r w:rsidR="00656C78" w:rsidRPr="00656C78">
        <w:rPr>
          <w:sz w:val="24"/>
          <w:szCs w:val="24"/>
        </w:rPr>
        <w:t xml:space="preserve">illustration ‘Torn Apart’ </w:t>
      </w:r>
      <w:r w:rsidR="00656C78">
        <w:rPr>
          <w:sz w:val="24"/>
          <w:szCs w:val="24"/>
        </w:rPr>
        <w:t>(Fi</w:t>
      </w:r>
      <w:r>
        <w:rPr>
          <w:sz w:val="24"/>
          <w:szCs w:val="24"/>
        </w:rPr>
        <w:t>g</w:t>
      </w:r>
      <w:r w:rsidR="00656C78">
        <w:rPr>
          <w:sz w:val="24"/>
          <w:szCs w:val="24"/>
        </w:rPr>
        <w:t xml:space="preserve"> 1) </w:t>
      </w:r>
      <w:r w:rsidR="00656C78" w:rsidRPr="00656C78">
        <w:rPr>
          <w:sz w:val="24"/>
          <w:szCs w:val="24"/>
        </w:rPr>
        <w:t xml:space="preserve">was made </w:t>
      </w:r>
      <w:r w:rsidR="00F76E08">
        <w:rPr>
          <w:sz w:val="24"/>
          <w:szCs w:val="24"/>
        </w:rPr>
        <w:t>in response to my personal feelings about lockdown in March 2020</w:t>
      </w:r>
      <w:r w:rsidR="00656C78" w:rsidRPr="00656C78">
        <w:rPr>
          <w:sz w:val="24"/>
          <w:szCs w:val="24"/>
        </w:rPr>
        <w:t xml:space="preserve">. </w:t>
      </w:r>
    </w:p>
    <w:p w14:paraId="231D2AA2" w14:textId="55DF9314" w:rsidR="00865F28" w:rsidRPr="00865F28" w:rsidRDefault="00865F28" w:rsidP="00865F28">
      <w:pPr>
        <w:spacing w:line="480" w:lineRule="auto"/>
        <w:jc w:val="center"/>
        <w:rPr>
          <w:sz w:val="20"/>
          <w:szCs w:val="20"/>
        </w:rPr>
      </w:pPr>
      <w:r>
        <w:rPr>
          <w:sz w:val="20"/>
          <w:szCs w:val="20"/>
        </w:rPr>
        <w:t>Fig. 1</w:t>
      </w:r>
    </w:p>
    <w:p w14:paraId="3FA3FA0E" w14:textId="77777777" w:rsidR="00865F28" w:rsidRDefault="00865F28" w:rsidP="007B0DA4">
      <w:pPr>
        <w:spacing w:line="480" w:lineRule="auto"/>
        <w:rPr>
          <w:sz w:val="24"/>
          <w:szCs w:val="24"/>
        </w:rPr>
      </w:pPr>
    </w:p>
    <w:p w14:paraId="24C7A35C" w14:textId="624275E8" w:rsidR="00865F28" w:rsidRDefault="00545970" w:rsidP="007B0DA4">
      <w:pPr>
        <w:spacing w:line="480" w:lineRule="auto"/>
        <w:rPr>
          <w:sz w:val="24"/>
          <w:szCs w:val="24"/>
        </w:rPr>
      </w:pPr>
      <w:r>
        <w:rPr>
          <w:sz w:val="24"/>
          <w:szCs w:val="24"/>
        </w:rPr>
        <w:t xml:space="preserve">I was aware of how I was feeling at the time (isolated, confused, separate) and I translated this onto paper in the form of an illustration. </w:t>
      </w:r>
      <w:r w:rsidR="009251DC" w:rsidRPr="009251DC">
        <w:rPr>
          <w:sz w:val="24"/>
          <w:szCs w:val="24"/>
        </w:rPr>
        <w:t>An artist who heavily feature</w:t>
      </w:r>
      <w:r>
        <w:rPr>
          <w:sz w:val="24"/>
          <w:szCs w:val="24"/>
        </w:rPr>
        <w:t>d</w:t>
      </w:r>
      <w:r w:rsidR="009251DC" w:rsidRPr="009251DC">
        <w:rPr>
          <w:sz w:val="24"/>
          <w:szCs w:val="24"/>
        </w:rPr>
        <w:t xml:space="preserve"> in their own artwork i</w:t>
      </w:r>
      <w:r w:rsidR="009251DC">
        <w:rPr>
          <w:sz w:val="24"/>
          <w:szCs w:val="24"/>
        </w:rPr>
        <w:t>s</w:t>
      </w:r>
      <w:r w:rsidR="009251DC" w:rsidRPr="009251DC">
        <w:rPr>
          <w:sz w:val="24"/>
          <w:szCs w:val="24"/>
        </w:rPr>
        <w:t xml:space="preserve"> Frida Kahlo. Her painting ‘The Two </w:t>
      </w:r>
      <w:proofErr w:type="spellStart"/>
      <w:r w:rsidR="009251DC" w:rsidRPr="009251DC">
        <w:rPr>
          <w:sz w:val="24"/>
          <w:szCs w:val="24"/>
        </w:rPr>
        <w:t>Fridas</w:t>
      </w:r>
      <w:proofErr w:type="spellEnd"/>
      <w:r w:rsidR="009251DC" w:rsidRPr="009251DC">
        <w:rPr>
          <w:sz w:val="24"/>
          <w:szCs w:val="24"/>
        </w:rPr>
        <w:t>’ (Fig</w:t>
      </w:r>
      <w:r w:rsidR="00865F28">
        <w:rPr>
          <w:sz w:val="24"/>
          <w:szCs w:val="24"/>
        </w:rPr>
        <w:t>.</w:t>
      </w:r>
      <w:r w:rsidR="009251DC" w:rsidRPr="009251DC">
        <w:rPr>
          <w:sz w:val="24"/>
          <w:szCs w:val="24"/>
        </w:rPr>
        <w:t xml:space="preserve"> </w:t>
      </w:r>
      <w:r w:rsidR="009251DC">
        <w:rPr>
          <w:sz w:val="24"/>
          <w:szCs w:val="24"/>
        </w:rPr>
        <w:t>2</w:t>
      </w:r>
      <w:r w:rsidR="009251DC" w:rsidRPr="009251DC">
        <w:rPr>
          <w:sz w:val="24"/>
          <w:szCs w:val="24"/>
        </w:rPr>
        <w:t xml:space="preserve">) reminds me of my </w:t>
      </w:r>
      <w:r w:rsidR="002A5E4A">
        <w:rPr>
          <w:sz w:val="24"/>
          <w:szCs w:val="24"/>
        </w:rPr>
        <w:t xml:space="preserve">own </w:t>
      </w:r>
      <w:r w:rsidR="009251DC" w:rsidRPr="009251DC">
        <w:rPr>
          <w:sz w:val="24"/>
          <w:szCs w:val="24"/>
        </w:rPr>
        <w:t xml:space="preserve">work </w:t>
      </w:r>
      <w:r w:rsidR="009251DC" w:rsidRPr="009251DC">
        <w:rPr>
          <w:sz w:val="24"/>
          <w:szCs w:val="24"/>
        </w:rPr>
        <w:lastRenderedPageBreak/>
        <w:t xml:space="preserve">because she was an autobiographical artist. </w:t>
      </w:r>
      <w:r w:rsidR="009251DC">
        <w:rPr>
          <w:sz w:val="24"/>
          <w:szCs w:val="24"/>
        </w:rPr>
        <w:t xml:space="preserve">Kahlo very much created art centred around her </w:t>
      </w:r>
      <w:r w:rsidR="00865F28">
        <w:rPr>
          <w:noProof/>
          <w:sz w:val="24"/>
          <w:szCs w:val="24"/>
        </w:rPr>
        <w:drawing>
          <wp:anchor distT="0" distB="0" distL="114300" distR="114300" simplePos="0" relativeHeight="251662336" behindDoc="0" locked="0" layoutInCell="1" allowOverlap="1" wp14:anchorId="4FB79D31" wp14:editId="031A3E07">
            <wp:simplePos x="0" y="0"/>
            <wp:positionH relativeFrom="margin">
              <wp:align>center</wp:align>
            </wp:positionH>
            <wp:positionV relativeFrom="paragraph">
              <wp:posOffset>830580</wp:posOffset>
            </wp:positionV>
            <wp:extent cx="2339340" cy="2346325"/>
            <wp:effectExtent l="0" t="0" r="381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9340" cy="2346325"/>
                    </a:xfrm>
                    <a:prstGeom prst="rect">
                      <a:avLst/>
                    </a:prstGeom>
                    <a:noFill/>
                  </pic:spPr>
                </pic:pic>
              </a:graphicData>
            </a:graphic>
            <wp14:sizeRelH relativeFrom="margin">
              <wp14:pctWidth>0</wp14:pctWidth>
            </wp14:sizeRelH>
            <wp14:sizeRelV relativeFrom="margin">
              <wp14:pctHeight>0</wp14:pctHeight>
            </wp14:sizeRelV>
          </wp:anchor>
        </w:drawing>
      </w:r>
      <w:r w:rsidR="009251DC">
        <w:rPr>
          <w:sz w:val="24"/>
          <w:szCs w:val="24"/>
        </w:rPr>
        <w:t xml:space="preserve">own experiences. </w:t>
      </w:r>
    </w:p>
    <w:p w14:paraId="48375795" w14:textId="07BAF0E7" w:rsidR="00865F28" w:rsidRPr="00865F28" w:rsidRDefault="00865F28" w:rsidP="00865F28">
      <w:pPr>
        <w:spacing w:line="480" w:lineRule="auto"/>
        <w:jc w:val="center"/>
        <w:rPr>
          <w:sz w:val="20"/>
          <w:szCs w:val="20"/>
        </w:rPr>
      </w:pPr>
      <w:r>
        <w:rPr>
          <w:sz w:val="20"/>
          <w:szCs w:val="20"/>
        </w:rPr>
        <w:t>Fig. 2</w:t>
      </w:r>
    </w:p>
    <w:p w14:paraId="18A1F93D" w14:textId="77777777" w:rsidR="00865F28" w:rsidRDefault="00865F28" w:rsidP="007B0DA4">
      <w:pPr>
        <w:spacing w:line="480" w:lineRule="auto"/>
        <w:rPr>
          <w:sz w:val="24"/>
          <w:szCs w:val="24"/>
        </w:rPr>
      </w:pPr>
    </w:p>
    <w:p w14:paraId="4825C1D0" w14:textId="1295D1E5" w:rsidR="00656C78" w:rsidRPr="00656C78" w:rsidRDefault="009251DC" w:rsidP="007B0DA4">
      <w:pPr>
        <w:spacing w:line="480" w:lineRule="auto"/>
        <w:rPr>
          <w:sz w:val="24"/>
          <w:szCs w:val="24"/>
        </w:rPr>
      </w:pPr>
      <w:r>
        <w:rPr>
          <w:sz w:val="24"/>
          <w:szCs w:val="24"/>
        </w:rPr>
        <w:t>According to an article called ‘</w:t>
      </w:r>
      <w:r w:rsidRPr="009251DC">
        <w:rPr>
          <w:sz w:val="24"/>
          <w:szCs w:val="24"/>
        </w:rPr>
        <w:t xml:space="preserve">What the Iconic Painting, “The Two </w:t>
      </w:r>
      <w:proofErr w:type="spellStart"/>
      <w:r w:rsidRPr="009251DC">
        <w:rPr>
          <w:sz w:val="24"/>
          <w:szCs w:val="24"/>
        </w:rPr>
        <w:t>Fridas</w:t>
      </w:r>
      <w:proofErr w:type="spellEnd"/>
      <w:r w:rsidRPr="009251DC">
        <w:rPr>
          <w:sz w:val="24"/>
          <w:szCs w:val="24"/>
        </w:rPr>
        <w:t>,” Actually Tells Us About Frida Kahlo</w:t>
      </w:r>
      <w:r>
        <w:rPr>
          <w:sz w:val="24"/>
          <w:szCs w:val="24"/>
        </w:rPr>
        <w:t xml:space="preserve">’ (Halliday, 2020), the painting ‘The Two </w:t>
      </w:r>
      <w:proofErr w:type="spellStart"/>
      <w:r>
        <w:rPr>
          <w:sz w:val="24"/>
          <w:szCs w:val="24"/>
        </w:rPr>
        <w:t>Fridas</w:t>
      </w:r>
      <w:proofErr w:type="spellEnd"/>
      <w:r>
        <w:rPr>
          <w:sz w:val="24"/>
          <w:szCs w:val="24"/>
        </w:rPr>
        <w:t xml:space="preserve">’ contains many symbolic gestures to Kahlo’s personal life, largely about her divorce from her husband Diego Rivera. </w:t>
      </w:r>
      <w:r w:rsidR="002A5E4A">
        <w:rPr>
          <w:sz w:val="24"/>
          <w:szCs w:val="24"/>
        </w:rPr>
        <w:t xml:space="preserve">Being able to be self-aware of her own emotions allowed Kahlo to create striking works of art- therefore I will continue to use this method to influence my own practise as an illustrator. </w:t>
      </w:r>
    </w:p>
    <w:p w14:paraId="6B8917E9" w14:textId="63C7BA3F" w:rsidR="00656C78" w:rsidRDefault="00656C78" w:rsidP="009251DC">
      <w:pPr>
        <w:spacing w:line="480" w:lineRule="auto"/>
        <w:ind w:firstLine="720"/>
        <w:rPr>
          <w:sz w:val="24"/>
          <w:szCs w:val="24"/>
        </w:rPr>
      </w:pPr>
      <w:r w:rsidRPr="00656C78">
        <w:rPr>
          <w:sz w:val="24"/>
          <w:szCs w:val="24"/>
        </w:rPr>
        <w:t>After I have my initial inspiration, I make a series of thumbnail drawings to get my ideas to paper. This allows me to work out the composition of the work.</w:t>
      </w:r>
      <w:r w:rsidR="002A5E4A">
        <w:rPr>
          <w:sz w:val="24"/>
          <w:szCs w:val="24"/>
        </w:rPr>
        <w:t xml:space="preserve"> Once I have settled on a composition,</w:t>
      </w:r>
      <w:r w:rsidRPr="00656C78">
        <w:rPr>
          <w:sz w:val="24"/>
          <w:szCs w:val="24"/>
        </w:rPr>
        <w:t xml:space="preserve"> I start to collect reference material. In an article called </w:t>
      </w:r>
      <w:r>
        <w:rPr>
          <w:sz w:val="24"/>
          <w:szCs w:val="24"/>
        </w:rPr>
        <w:t>‘</w:t>
      </w:r>
      <w:r w:rsidRPr="00656C78">
        <w:rPr>
          <w:sz w:val="24"/>
          <w:szCs w:val="24"/>
        </w:rPr>
        <w:t xml:space="preserve">10 Contemporary Artists Talk About Their Creative Process’ (Park West Gallery, 2019), one artist in particular shared a similar process to mine. David Le </w:t>
      </w:r>
      <w:proofErr w:type="spellStart"/>
      <w:r w:rsidRPr="00656C78">
        <w:rPr>
          <w:sz w:val="24"/>
          <w:szCs w:val="24"/>
        </w:rPr>
        <w:t>Batard</w:t>
      </w:r>
      <w:proofErr w:type="spellEnd"/>
      <w:r w:rsidRPr="00656C78">
        <w:rPr>
          <w:sz w:val="24"/>
          <w:szCs w:val="24"/>
        </w:rPr>
        <w:t xml:space="preserve"> stated in the article “I do a lot of sketches, I do a lot of reference work and gather a lot of source material” (2019). As my work is autobiographical, I tend to feature in a lot of my own art. Therefore, I take photos of myself </w:t>
      </w:r>
      <w:r w:rsidRPr="00656C78">
        <w:rPr>
          <w:sz w:val="24"/>
          <w:szCs w:val="24"/>
        </w:rPr>
        <w:lastRenderedPageBreak/>
        <w:t xml:space="preserve">to later use as reference for the final illustration. For example, the illustration ‘Shut In, Shut Out’ </w:t>
      </w:r>
      <w:r>
        <w:rPr>
          <w:sz w:val="24"/>
          <w:szCs w:val="24"/>
        </w:rPr>
        <w:t>(Fi</w:t>
      </w:r>
      <w:r w:rsidR="00865F28">
        <w:rPr>
          <w:sz w:val="24"/>
          <w:szCs w:val="24"/>
        </w:rPr>
        <w:t>g.</w:t>
      </w:r>
      <w:r>
        <w:rPr>
          <w:sz w:val="24"/>
          <w:szCs w:val="24"/>
        </w:rPr>
        <w:t xml:space="preserve"> </w:t>
      </w:r>
      <w:r w:rsidR="009251DC">
        <w:rPr>
          <w:sz w:val="24"/>
          <w:szCs w:val="24"/>
        </w:rPr>
        <w:t>3</w:t>
      </w:r>
      <w:r>
        <w:rPr>
          <w:sz w:val="24"/>
          <w:szCs w:val="24"/>
        </w:rPr>
        <w:t xml:space="preserve">) </w:t>
      </w:r>
      <w:r w:rsidRPr="00656C78">
        <w:rPr>
          <w:sz w:val="24"/>
          <w:szCs w:val="24"/>
        </w:rPr>
        <w:t>feature</w:t>
      </w:r>
      <w:r w:rsidR="002A5E4A">
        <w:rPr>
          <w:sz w:val="24"/>
          <w:szCs w:val="24"/>
        </w:rPr>
        <w:t xml:space="preserve">d </w:t>
      </w:r>
      <w:r w:rsidRPr="00656C78">
        <w:rPr>
          <w:sz w:val="24"/>
          <w:szCs w:val="24"/>
        </w:rPr>
        <w:t xml:space="preserve">myself three times, where I incorporated three separated photos of </w:t>
      </w:r>
      <w:r w:rsidR="00865F28">
        <w:rPr>
          <w:noProof/>
          <w:sz w:val="24"/>
          <w:szCs w:val="24"/>
        </w:rPr>
        <w:drawing>
          <wp:anchor distT="0" distB="0" distL="114300" distR="114300" simplePos="0" relativeHeight="251663360" behindDoc="0" locked="0" layoutInCell="1" allowOverlap="1" wp14:anchorId="67DFEB02" wp14:editId="1C5DB26C">
            <wp:simplePos x="0" y="0"/>
            <wp:positionH relativeFrom="margin">
              <wp:align>center</wp:align>
            </wp:positionH>
            <wp:positionV relativeFrom="paragraph">
              <wp:posOffset>1165860</wp:posOffset>
            </wp:positionV>
            <wp:extent cx="2994660" cy="206438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4660" cy="2064385"/>
                    </a:xfrm>
                    <a:prstGeom prst="rect">
                      <a:avLst/>
                    </a:prstGeom>
                    <a:noFill/>
                  </pic:spPr>
                </pic:pic>
              </a:graphicData>
            </a:graphic>
            <wp14:sizeRelH relativeFrom="margin">
              <wp14:pctWidth>0</wp14:pctWidth>
            </wp14:sizeRelH>
            <wp14:sizeRelV relativeFrom="margin">
              <wp14:pctHeight>0</wp14:pctHeight>
            </wp14:sizeRelV>
          </wp:anchor>
        </w:drawing>
      </w:r>
      <w:r w:rsidRPr="00656C78">
        <w:rPr>
          <w:sz w:val="24"/>
          <w:szCs w:val="24"/>
        </w:rPr>
        <w:t xml:space="preserve">myself into one drawing.  </w:t>
      </w:r>
    </w:p>
    <w:p w14:paraId="60BA4A2D" w14:textId="5FC73EBA" w:rsidR="00865F28" w:rsidRPr="00865F28" w:rsidRDefault="00865F28" w:rsidP="00865F28">
      <w:pPr>
        <w:spacing w:line="480" w:lineRule="auto"/>
        <w:ind w:firstLine="720"/>
        <w:jc w:val="center"/>
        <w:rPr>
          <w:sz w:val="20"/>
          <w:szCs w:val="20"/>
        </w:rPr>
      </w:pPr>
      <w:r>
        <w:rPr>
          <w:sz w:val="20"/>
          <w:szCs w:val="20"/>
        </w:rPr>
        <w:t>Fig. 3</w:t>
      </w:r>
    </w:p>
    <w:p w14:paraId="7F036DC9" w14:textId="6793E7AC" w:rsidR="00656C78" w:rsidRDefault="002A5E4A" w:rsidP="00865F28">
      <w:pPr>
        <w:spacing w:line="480" w:lineRule="auto"/>
        <w:ind w:firstLine="720"/>
        <w:rPr>
          <w:sz w:val="24"/>
          <w:szCs w:val="24"/>
        </w:rPr>
      </w:pPr>
      <w:r>
        <w:rPr>
          <w:sz w:val="24"/>
          <w:szCs w:val="24"/>
        </w:rPr>
        <w:t>After I have finished my work I think about it critically to assess whether I achieved my goals for the drawing. In an article called ‘</w:t>
      </w:r>
      <w:r w:rsidRPr="002A5E4A">
        <w:rPr>
          <w:sz w:val="24"/>
          <w:szCs w:val="24"/>
        </w:rPr>
        <w:t>What (I Think) Makes Good Illustration</w:t>
      </w:r>
      <w:r>
        <w:rPr>
          <w:sz w:val="24"/>
          <w:szCs w:val="24"/>
        </w:rPr>
        <w:t>’</w:t>
      </w:r>
      <w:r w:rsidR="00790A5B">
        <w:rPr>
          <w:sz w:val="24"/>
          <w:szCs w:val="24"/>
        </w:rPr>
        <w:t xml:space="preserve"> (Yang, 2017), it stated that for Illustration to be considered ‘good’, it needs to have a reason or a purpose for existing. Therefore, as long as my illustrations suit their intended purpose, I consider them successful. </w:t>
      </w:r>
    </w:p>
    <w:p w14:paraId="631C211F" w14:textId="77777777" w:rsidR="00865F28" w:rsidRDefault="00865F28" w:rsidP="00865F28">
      <w:pPr>
        <w:spacing w:line="480" w:lineRule="auto"/>
        <w:jc w:val="center"/>
        <w:rPr>
          <w:b/>
          <w:bCs/>
          <w:sz w:val="24"/>
          <w:szCs w:val="24"/>
        </w:rPr>
      </w:pPr>
      <w:r>
        <w:rPr>
          <w:b/>
          <w:bCs/>
          <w:sz w:val="24"/>
          <w:szCs w:val="24"/>
        </w:rPr>
        <w:t>Bibliography</w:t>
      </w:r>
    </w:p>
    <w:p w14:paraId="76F0810C" w14:textId="77777777" w:rsidR="00075085" w:rsidRPr="000A0757" w:rsidRDefault="00075085" w:rsidP="00656C78">
      <w:pPr>
        <w:spacing w:line="240" w:lineRule="auto"/>
        <w:rPr>
          <w:sz w:val="20"/>
          <w:szCs w:val="20"/>
        </w:rPr>
      </w:pPr>
      <w:r>
        <w:rPr>
          <w:sz w:val="20"/>
          <w:szCs w:val="20"/>
        </w:rPr>
        <w:t xml:space="preserve">Goleman, D. (1996) </w:t>
      </w:r>
      <w:r>
        <w:rPr>
          <w:i/>
          <w:iCs/>
          <w:sz w:val="20"/>
          <w:szCs w:val="20"/>
        </w:rPr>
        <w:t xml:space="preserve">Emotional Intelligence. </w:t>
      </w:r>
      <w:r>
        <w:rPr>
          <w:sz w:val="20"/>
          <w:szCs w:val="20"/>
        </w:rPr>
        <w:t>London: Bloomsbury Publishing</w:t>
      </w:r>
    </w:p>
    <w:p w14:paraId="03939B1B" w14:textId="77777777" w:rsidR="00075085" w:rsidRPr="00656C78" w:rsidRDefault="00075085" w:rsidP="00656C78">
      <w:pPr>
        <w:spacing w:line="240" w:lineRule="auto"/>
        <w:rPr>
          <w:sz w:val="20"/>
          <w:szCs w:val="20"/>
        </w:rPr>
      </w:pPr>
      <w:proofErr w:type="spellStart"/>
      <w:r>
        <w:rPr>
          <w:sz w:val="20"/>
          <w:szCs w:val="20"/>
        </w:rPr>
        <w:t>Gompertz</w:t>
      </w:r>
      <w:proofErr w:type="spellEnd"/>
      <w:r>
        <w:rPr>
          <w:sz w:val="20"/>
          <w:szCs w:val="20"/>
        </w:rPr>
        <w:t xml:space="preserve">, W. (2008) </w:t>
      </w:r>
      <w:r>
        <w:rPr>
          <w:i/>
          <w:iCs/>
          <w:sz w:val="20"/>
          <w:szCs w:val="20"/>
        </w:rPr>
        <w:t xml:space="preserve">My life in art: the day Bourgeois moved me to tears. </w:t>
      </w:r>
      <w:r>
        <w:rPr>
          <w:sz w:val="20"/>
          <w:szCs w:val="20"/>
        </w:rPr>
        <w:t xml:space="preserve">Available at: </w:t>
      </w:r>
      <w:r w:rsidRPr="00656C78">
        <w:rPr>
          <w:sz w:val="20"/>
          <w:szCs w:val="20"/>
        </w:rPr>
        <w:t>https://www.theguardian.com/artanddesign/2008/oct/07/louise.bourgeois</w:t>
      </w:r>
      <w:r>
        <w:rPr>
          <w:sz w:val="20"/>
          <w:szCs w:val="20"/>
        </w:rPr>
        <w:t xml:space="preserve"> (Accessed 17 November 2020)</w:t>
      </w:r>
    </w:p>
    <w:p w14:paraId="50B20418" w14:textId="77777777" w:rsidR="00075085" w:rsidRPr="00656C78" w:rsidRDefault="00075085" w:rsidP="00656C78">
      <w:pPr>
        <w:spacing w:line="240" w:lineRule="auto"/>
        <w:rPr>
          <w:sz w:val="20"/>
          <w:szCs w:val="20"/>
        </w:rPr>
      </w:pPr>
      <w:r>
        <w:t xml:space="preserve">Halliday, A. (2020) </w:t>
      </w:r>
      <w:r>
        <w:rPr>
          <w:i/>
          <w:iCs/>
        </w:rPr>
        <w:t xml:space="preserve">What the iconic painting ‘The two </w:t>
      </w:r>
      <w:proofErr w:type="spellStart"/>
      <w:r>
        <w:rPr>
          <w:i/>
          <w:iCs/>
        </w:rPr>
        <w:t>Fridas</w:t>
      </w:r>
      <w:proofErr w:type="spellEnd"/>
      <w:r>
        <w:rPr>
          <w:i/>
          <w:iCs/>
        </w:rPr>
        <w:t xml:space="preserve">’ actually tells us about Frida Kahlo. </w:t>
      </w:r>
      <w:r>
        <w:t xml:space="preserve">Available at: </w:t>
      </w:r>
      <w:hyperlink r:id="rId10" w:history="1">
        <w:r w:rsidRPr="002D0B22">
          <w:rPr>
            <w:rStyle w:val="Hyperlink"/>
            <w:sz w:val="20"/>
            <w:szCs w:val="20"/>
          </w:rPr>
          <w:t>https://www.openculture.com/2020/03/what-the-iconic-painting-the-two-fridas-actually-tells-us-about-frida-kahlo.html</w:t>
        </w:r>
      </w:hyperlink>
      <w:r>
        <w:rPr>
          <w:sz w:val="20"/>
          <w:szCs w:val="20"/>
        </w:rPr>
        <w:t xml:space="preserve"> (Accessed 17 November 2020)</w:t>
      </w:r>
    </w:p>
    <w:p w14:paraId="5853E9C7" w14:textId="77777777" w:rsidR="00075085" w:rsidRPr="00656C78" w:rsidRDefault="00075085" w:rsidP="00656C78">
      <w:pPr>
        <w:spacing w:line="240" w:lineRule="auto"/>
        <w:rPr>
          <w:sz w:val="20"/>
          <w:szCs w:val="20"/>
        </w:rPr>
      </w:pPr>
      <w:r>
        <w:rPr>
          <w:sz w:val="20"/>
          <w:szCs w:val="20"/>
        </w:rPr>
        <w:t xml:space="preserve">Jordan, C. (no date) </w:t>
      </w:r>
      <w:r>
        <w:rPr>
          <w:i/>
          <w:iCs/>
          <w:sz w:val="20"/>
          <w:szCs w:val="20"/>
        </w:rPr>
        <w:t xml:space="preserve">What artists reveal with self-portraits. </w:t>
      </w:r>
      <w:r>
        <w:rPr>
          <w:sz w:val="20"/>
          <w:szCs w:val="20"/>
        </w:rPr>
        <w:t xml:space="preserve">Available at: </w:t>
      </w:r>
      <w:hyperlink r:id="rId11" w:history="1">
        <w:r w:rsidRPr="002D0B22">
          <w:rPr>
            <w:rStyle w:val="Hyperlink"/>
            <w:sz w:val="20"/>
            <w:szCs w:val="20"/>
          </w:rPr>
          <w:t>https://www.artistsnetwork.com/art-subjects/portrait-figure/what-artists-reveal-with-self-portraits/</w:t>
        </w:r>
      </w:hyperlink>
      <w:r>
        <w:rPr>
          <w:sz w:val="20"/>
          <w:szCs w:val="20"/>
        </w:rPr>
        <w:t xml:space="preserve"> (Accessed 18 November 2020)</w:t>
      </w:r>
    </w:p>
    <w:p w14:paraId="263C6810" w14:textId="77777777" w:rsidR="00075085" w:rsidRPr="00656C78" w:rsidRDefault="00075085" w:rsidP="00656C78">
      <w:pPr>
        <w:spacing w:line="240" w:lineRule="auto"/>
        <w:rPr>
          <w:sz w:val="20"/>
          <w:szCs w:val="20"/>
        </w:rPr>
      </w:pPr>
      <w:r>
        <w:rPr>
          <w:sz w:val="20"/>
          <w:szCs w:val="20"/>
        </w:rPr>
        <w:t xml:space="preserve">Little, S. (no date) </w:t>
      </w:r>
      <w:r>
        <w:rPr>
          <w:i/>
          <w:iCs/>
          <w:sz w:val="20"/>
          <w:szCs w:val="20"/>
        </w:rPr>
        <w:t xml:space="preserve">Frida Kahlo’s Autobiography: A life in painting. </w:t>
      </w:r>
      <w:r>
        <w:rPr>
          <w:sz w:val="20"/>
          <w:szCs w:val="20"/>
        </w:rPr>
        <w:t xml:space="preserve">Available at: </w:t>
      </w:r>
      <w:hyperlink r:id="rId12" w:anchor=":~:text=Pieces%20such%20as%20Self%2D%20Portrait,intended%20to%20become%20an%20artist" w:history="1">
        <w:r w:rsidRPr="002D0B22">
          <w:rPr>
            <w:rStyle w:val="Hyperlink"/>
            <w:sz w:val="20"/>
            <w:szCs w:val="20"/>
          </w:rPr>
          <w:t>https://rdu-demo.unc.edu.ar/bitstream/handle/123456789/429/frida.pdf?sequence=1&amp;isAllowed=y#:~:text=Pieces%20such%20as%20Self%2D%20Portrait,intended%20to%20become%20an%20artist</w:t>
        </w:r>
      </w:hyperlink>
      <w:r>
        <w:rPr>
          <w:sz w:val="20"/>
          <w:szCs w:val="20"/>
        </w:rPr>
        <w:t xml:space="preserve"> (Accessed 18 November 2020)</w:t>
      </w:r>
    </w:p>
    <w:p w14:paraId="7670EF72" w14:textId="77777777" w:rsidR="00075085" w:rsidRDefault="00075085" w:rsidP="00656C78">
      <w:pPr>
        <w:spacing w:line="240" w:lineRule="auto"/>
        <w:rPr>
          <w:sz w:val="20"/>
          <w:szCs w:val="20"/>
        </w:rPr>
      </w:pPr>
      <w:proofErr w:type="spellStart"/>
      <w:r>
        <w:t>Medrut</w:t>
      </w:r>
      <w:proofErr w:type="spellEnd"/>
      <w:r>
        <w:t xml:space="preserve">, F. (2017) </w:t>
      </w:r>
      <w:r>
        <w:rPr>
          <w:i/>
          <w:iCs/>
        </w:rPr>
        <w:t xml:space="preserve">30 Frida Kahlo quotes to inspire you to turn pain into beauty. </w:t>
      </w:r>
      <w:r>
        <w:t xml:space="preserve">Available at: </w:t>
      </w:r>
      <w:hyperlink r:id="rId13" w:history="1">
        <w:r w:rsidRPr="002D0B22">
          <w:rPr>
            <w:rStyle w:val="Hyperlink"/>
            <w:sz w:val="20"/>
            <w:szCs w:val="20"/>
          </w:rPr>
          <w:t>https://www.goalcast.com/2017/11/28/17-frida-kahlo-quotes/</w:t>
        </w:r>
      </w:hyperlink>
      <w:r>
        <w:rPr>
          <w:sz w:val="20"/>
          <w:szCs w:val="20"/>
        </w:rPr>
        <w:t xml:space="preserve"> (Accessed 20 November 2020)</w:t>
      </w:r>
    </w:p>
    <w:p w14:paraId="659EED1C" w14:textId="77777777" w:rsidR="00075085" w:rsidRPr="00865F28" w:rsidRDefault="00075085" w:rsidP="0011689C">
      <w:pPr>
        <w:spacing w:line="240" w:lineRule="auto"/>
        <w:rPr>
          <w:b/>
          <w:bCs/>
          <w:sz w:val="24"/>
          <w:szCs w:val="24"/>
        </w:rPr>
      </w:pPr>
      <w:r>
        <w:rPr>
          <w:sz w:val="20"/>
          <w:szCs w:val="20"/>
        </w:rPr>
        <w:lastRenderedPageBreak/>
        <w:t xml:space="preserve">O’Brien, K. (2017) </w:t>
      </w:r>
      <w:r>
        <w:rPr>
          <w:i/>
          <w:iCs/>
          <w:sz w:val="20"/>
          <w:szCs w:val="20"/>
        </w:rPr>
        <w:t xml:space="preserve">Autobiographical art. </w:t>
      </w:r>
      <w:r>
        <w:rPr>
          <w:sz w:val="20"/>
          <w:szCs w:val="20"/>
        </w:rPr>
        <w:t xml:space="preserve">Available at:  </w:t>
      </w:r>
      <w:hyperlink r:id="rId14" w:history="1">
        <w:r w:rsidRPr="002D0B22">
          <w:rPr>
            <w:rStyle w:val="Hyperlink"/>
            <w:sz w:val="20"/>
            <w:szCs w:val="20"/>
          </w:rPr>
          <w:t>https://kellyobrien.co.uk/research-blog/2017/10/4/artists-who-use-personal-content-in-their-work</w:t>
        </w:r>
      </w:hyperlink>
      <w:r>
        <w:rPr>
          <w:sz w:val="20"/>
          <w:szCs w:val="20"/>
        </w:rPr>
        <w:t xml:space="preserve"> (Accessed 17 November 2020)</w:t>
      </w:r>
    </w:p>
    <w:p w14:paraId="1CFB3F63" w14:textId="77777777" w:rsidR="00075085" w:rsidRPr="00656C78" w:rsidRDefault="00075085" w:rsidP="00656C78">
      <w:pPr>
        <w:spacing w:line="240" w:lineRule="auto"/>
        <w:rPr>
          <w:sz w:val="20"/>
          <w:szCs w:val="20"/>
        </w:rPr>
      </w:pPr>
      <w:r>
        <w:rPr>
          <w:sz w:val="20"/>
          <w:szCs w:val="20"/>
        </w:rPr>
        <w:t xml:space="preserve">Park West Gallery, (2019) </w:t>
      </w:r>
      <w:r>
        <w:rPr>
          <w:i/>
          <w:iCs/>
          <w:sz w:val="20"/>
          <w:szCs w:val="20"/>
        </w:rPr>
        <w:t xml:space="preserve">10 contemporary artists on their creative process. </w:t>
      </w:r>
      <w:r>
        <w:rPr>
          <w:sz w:val="20"/>
          <w:szCs w:val="20"/>
        </w:rPr>
        <w:t xml:space="preserve">Available at: </w:t>
      </w:r>
      <w:hyperlink r:id="rId15" w:history="1">
        <w:r w:rsidRPr="002D0B22">
          <w:rPr>
            <w:rStyle w:val="Hyperlink"/>
            <w:sz w:val="20"/>
            <w:szCs w:val="20"/>
          </w:rPr>
          <w:t>https://www.parkwestgallery.com/10-contemporary-artists-creative-process/</w:t>
        </w:r>
      </w:hyperlink>
      <w:r>
        <w:rPr>
          <w:sz w:val="20"/>
          <w:szCs w:val="20"/>
        </w:rPr>
        <w:t xml:space="preserve"> (Accessed 20 November 2020)</w:t>
      </w:r>
    </w:p>
    <w:p w14:paraId="6DBB883D" w14:textId="77777777" w:rsidR="00075085" w:rsidRPr="00656C78" w:rsidRDefault="00075085" w:rsidP="00656C78">
      <w:pPr>
        <w:spacing w:line="240" w:lineRule="auto"/>
        <w:rPr>
          <w:sz w:val="20"/>
          <w:szCs w:val="20"/>
        </w:rPr>
      </w:pPr>
      <w:r>
        <w:rPr>
          <w:sz w:val="20"/>
          <w:szCs w:val="20"/>
        </w:rPr>
        <w:t xml:space="preserve">The Editorial Unit, (2018) </w:t>
      </w:r>
      <w:r>
        <w:rPr>
          <w:i/>
          <w:iCs/>
          <w:sz w:val="20"/>
          <w:szCs w:val="20"/>
        </w:rPr>
        <w:t xml:space="preserve">If all art is autobiographical, then how should we approach it? </w:t>
      </w:r>
      <w:hyperlink r:id="rId16" w:history="1">
        <w:r w:rsidRPr="002D0B22">
          <w:rPr>
            <w:rStyle w:val="Hyperlink"/>
            <w:sz w:val="20"/>
            <w:szCs w:val="20"/>
          </w:rPr>
          <w:t>https://www.theupcoming.co.uk/2018/04/11/if-all-art-is-autobiographical-how-should-we-approach-it/</w:t>
        </w:r>
      </w:hyperlink>
      <w:r>
        <w:rPr>
          <w:sz w:val="20"/>
          <w:szCs w:val="20"/>
        </w:rPr>
        <w:t xml:space="preserve"> (Accessed 18 November 2020)</w:t>
      </w:r>
    </w:p>
    <w:p w14:paraId="4E666CBE" w14:textId="6CCF9C1C" w:rsidR="00075085" w:rsidRDefault="00075085" w:rsidP="00656C78">
      <w:pPr>
        <w:spacing w:line="240" w:lineRule="auto"/>
        <w:rPr>
          <w:sz w:val="20"/>
          <w:szCs w:val="20"/>
        </w:rPr>
      </w:pPr>
      <w:r>
        <w:t xml:space="preserve">Yang, I. (2017) </w:t>
      </w:r>
      <w:r>
        <w:rPr>
          <w:i/>
          <w:iCs/>
        </w:rPr>
        <w:t xml:space="preserve">What (I think) makes good illustration. </w:t>
      </w:r>
      <w:r>
        <w:t xml:space="preserve">Available at: </w:t>
      </w:r>
      <w:hyperlink r:id="rId17" w:anchor=":~:text=A%20good%20Illustration%20has%20to,human%20being%2C%20for%20a%20purpose" w:history="1">
        <w:r w:rsidRPr="002D0B22">
          <w:rPr>
            <w:rStyle w:val="Hyperlink"/>
            <w:sz w:val="20"/>
            <w:szCs w:val="20"/>
          </w:rPr>
          <w:t>https://medium.com/@irfanyang/what-i-think-makes-good-illustration-c5be4ee6b5ad#:~:text=A%20good%20Illustration%20has%20to,human%20being%2C%20for%20a%20purpose</w:t>
        </w:r>
      </w:hyperlink>
      <w:r w:rsidRPr="00790A5B">
        <w:rPr>
          <w:sz w:val="20"/>
          <w:szCs w:val="20"/>
        </w:rPr>
        <w:t>.</w:t>
      </w:r>
      <w:r>
        <w:rPr>
          <w:sz w:val="20"/>
          <w:szCs w:val="20"/>
        </w:rPr>
        <w:t xml:space="preserve"> (Accessed 20 November 2020)</w:t>
      </w:r>
    </w:p>
    <w:p w14:paraId="73A4BFF3" w14:textId="1577B2F8" w:rsidR="00075085" w:rsidRDefault="00075085" w:rsidP="00075085">
      <w:pPr>
        <w:spacing w:line="240" w:lineRule="auto"/>
        <w:jc w:val="center"/>
        <w:rPr>
          <w:b/>
          <w:bCs/>
          <w:sz w:val="24"/>
          <w:szCs w:val="24"/>
        </w:rPr>
      </w:pPr>
      <w:r>
        <w:rPr>
          <w:b/>
          <w:bCs/>
          <w:sz w:val="24"/>
          <w:szCs w:val="24"/>
        </w:rPr>
        <w:t>Reference List</w:t>
      </w:r>
    </w:p>
    <w:p w14:paraId="1DF2B388" w14:textId="77777777" w:rsidR="00075085" w:rsidRDefault="00075085" w:rsidP="00075085">
      <w:pPr>
        <w:spacing w:line="240" w:lineRule="auto"/>
        <w:rPr>
          <w:sz w:val="20"/>
          <w:szCs w:val="20"/>
        </w:rPr>
      </w:pPr>
      <w:r w:rsidRPr="00075085">
        <w:rPr>
          <w:sz w:val="20"/>
          <w:szCs w:val="20"/>
        </w:rPr>
        <w:t xml:space="preserve">Goleman, D. (1996) </w:t>
      </w:r>
      <w:r w:rsidRPr="00075085">
        <w:rPr>
          <w:i/>
          <w:iCs/>
          <w:sz w:val="20"/>
          <w:szCs w:val="20"/>
        </w:rPr>
        <w:t>Emotional Intelligence</w:t>
      </w:r>
      <w:r w:rsidRPr="00075085">
        <w:rPr>
          <w:sz w:val="20"/>
          <w:szCs w:val="20"/>
        </w:rPr>
        <w:t>. London: Bloomsbury Publishing</w:t>
      </w:r>
    </w:p>
    <w:p w14:paraId="02DE1B49" w14:textId="77777777" w:rsidR="00075085" w:rsidRPr="00075085" w:rsidRDefault="00075085" w:rsidP="00075085">
      <w:pPr>
        <w:spacing w:line="240" w:lineRule="auto"/>
        <w:rPr>
          <w:sz w:val="20"/>
          <w:szCs w:val="20"/>
        </w:rPr>
      </w:pPr>
      <w:r w:rsidRPr="00075085">
        <w:rPr>
          <w:sz w:val="20"/>
          <w:szCs w:val="20"/>
        </w:rPr>
        <w:t xml:space="preserve">Halliday, A. (2020) </w:t>
      </w:r>
      <w:r w:rsidRPr="00075085">
        <w:rPr>
          <w:i/>
          <w:iCs/>
          <w:sz w:val="20"/>
          <w:szCs w:val="20"/>
        </w:rPr>
        <w:t xml:space="preserve">What the iconic painting ‘The two </w:t>
      </w:r>
      <w:proofErr w:type="spellStart"/>
      <w:r w:rsidRPr="00075085">
        <w:rPr>
          <w:i/>
          <w:iCs/>
          <w:sz w:val="20"/>
          <w:szCs w:val="20"/>
        </w:rPr>
        <w:t>Fridas</w:t>
      </w:r>
      <w:proofErr w:type="spellEnd"/>
      <w:r w:rsidRPr="00075085">
        <w:rPr>
          <w:i/>
          <w:iCs/>
          <w:sz w:val="20"/>
          <w:szCs w:val="20"/>
        </w:rPr>
        <w:t>’ actually tells us about Frida Kahlo</w:t>
      </w:r>
      <w:r w:rsidRPr="00075085">
        <w:rPr>
          <w:sz w:val="20"/>
          <w:szCs w:val="20"/>
        </w:rPr>
        <w:t>. Available at: https://www.openculture.com/2020/03/what-the-iconic-painting-the-two-fridas-actually-tells-us-about-frida-kahlo.html (Accessed 17 November 2020)</w:t>
      </w:r>
    </w:p>
    <w:p w14:paraId="1DC97FCF" w14:textId="77777777" w:rsidR="00075085" w:rsidRDefault="00075085" w:rsidP="00075085">
      <w:pPr>
        <w:spacing w:line="240" w:lineRule="auto"/>
        <w:rPr>
          <w:sz w:val="20"/>
          <w:szCs w:val="20"/>
        </w:rPr>
      </w:pPr>
      <w:proofErr w:type="spellStart"/>
      <w:r w:rsidRPr="00075085">
        <w:rPr>
          <w:sz w:val="20"/>
          <w:szCs w:val="20"/>
        </w:rPr>
        <w:t>Medrut</w:t>
      </w:r>
      <w:proofErr w:type="spellEnd"/>
      <w:r w:rsidRPr="00075085">
        <w:rPr>
          <w:sz w:val="20"/>
          <w:szCs w:val="20"/>
        </w:rPr>
        <w:t xml:space="preserve">, F. (2017) </w:t>
      </w:r>
      <w:r w:rsidRPr="00075085">
        <w:rPr>
          <w:i/>
          <w:iCs/>
          <w:sz w:val="20"/>
          <w:szCs w:val="20"/>
        </w:rPr>
        <w:t>30 Frida Kahlo quotes to inspire you to turn pain into beauty</w:t>
      </w:r>
      <w:r w:rsidRPr="00075085">
        <w:rPr>
          <w:sz w:val="20"/>
          <w:szCs w:val="20"/>
        </w:rPr>
        <w:t>. Available at: https://www.goalcast.com/2017/11/28/17-frida-kahlo-quotes/ (Accessed 20 November 2020)</w:t>
      </w:r>
    </w:p>
    <w:p w14:paraId="5638FC32" w14:textId="77777777" w:rsidR="00075085" w:rsidRDefault="00075085" w:rsidP="00075085">
      <w:pPr>
        <w:spacing w:line="240" w:lineRule="auto"/>
        <w:rPr>
          <w:sz w:val="20"/>
          <w:szCs w:val="20"/>
        </w:rPr>
      </w:pPr>
      <w:r w:rsidRPr="00075085">
        <w:rPr>
          <w:sz w:val="20"/>
          <w:szCs w:val="20"/>
        </w:rPr>
        <w:t xml:space="preserve">Park West Gallery, (2019) </w:t>
      </w:r>
      <w:r w:rsidRPr="00075085">
        <w:rPr>
          <w:i/>
          <w:iCs/>
          <w:sz w:val="20"/>
          <w:szCs w:val="20"/>
        </w:rPr>
        <w:t>10 contemporary artists on their creative process</w:t>
      </w:r>
      <w:r w:rsidRPr="00075085">
        <w:rPr>
          <w:sz w:val="20"/>
          <w:szCs w:val="20"/>
        </w:rPr>
        <w:t>. Available at: https://www.parkwestgallery.com/10-contemporary-artists-creative-process/ (Accessed 20 November 2020)</w:t>
      </w:r>
    </w:p>
    <w:p w14:paraId="632FEC65" w14:textId="408CBD8D" w:rsidR="00075085" w:rsidRDefault="00075085" w:rsidP="00075085">
      <w:pPr>
        <w:spacing w:line="240" w:lineRule="auto"/>
        <w:rPr>
          <w:sz w:val="20"/>
          <w:szCs w:val="20"/>
        </w:rPr>
      </w:pPr>
      <w:r w:rsidRPr="00075085">
        <w:rPr>
          <w:sz w:val="20"/>
          <w:szCs w:val="20"/>
        </w:rPr>
        <w:t xml:space="preserve">Yang, I. (2017) </w:t>
      </w:r>
      <w:r w:rsidRPr="00075085">
        <w:rPr>
          <w:i/>
          <w:iCs/>
          <w:sz w:val="20"/>
          <w:szCs w:val="20"/>
        </w:rPr>
        <w:t>What (I think) makes good illustration</w:t>
      </w:r>
      <w:r w:rsidRPr="00075085">
        <w:rPr>
          <w:sz w:val="20"/>
          <w:szCs w:val="20"/>
        </w:rPr>
        <w:t>. Available at: https://medium.com/@irfanyang/what-i-think-makes-good-illustration-c5be4ee6b5ad#:~:text=A%20good%20Illustration%20has%20to,human%20being%2C%20for%20a%20purpose. (Accessed 20 November 2020)</w:t>
      </w:r>
    </w:p>
    <w:p w14:paraId="7250A269" w14:textId="1787A7CC" w:rsidR="00075085" w:rsidRDefault="00075085" w:rsidP="00075085">
      <w:pPr>
        <w:spacing w:line="240" w:lineRule="auto"/>
        <w:jc w:val="center"/>
        <w:rPr>
          <w:b/>
          <w:bCs/>
          <w:sz w:val="24"/>
          <w:szCs w:val="24"/>
        </w:rPr>
      </w:pPr>
      <w:r>
        <w:rPr>
          <w:b/>
          <w:bCs/>
          <w:sz w:val="24"/>
          <w:szCs w:val="24"/>
        </w:rPr>
        <w:t>List of Figures</w:t>
      </w:r>
    </w:p>
    <w:p w14:paraId="4A3CEABE" w14:textId="7802AD09" w:rsidR="00075085" w:rsidRDefault="00075085" w:rsidP="00075085">
      <w:pPr>
        <w:spacing w:line="240" w:lineRule="auto"/>
        <w:rPr>
          <w:sz w:val="20"/>
          <w:szCs w:val="20"/>
        </w:rPr>
      </w:pPr>
      <w:r>
        <w:rPr>
          <w:i/>
          <w:iCs/>
          <w:sz w:val="20"/>
          <w:szCs w:val="20"/>
        </w:rPr>
        <w:t xml:space="preserve">Figure 1. </w:t>
      </w:r>
      <w:r>
        <w:rPr>
          <w:sz w:val="20"/>
          <w:szCs w:val="20"/>
        </w:rPr>
        <w:t>Author’s own (2020)</w:t>
      </w:r>
      <w:r w:rsidR="00B15B45">
        <w:rPr>
          <w:sz w:val="20"/>
          <w:szCs w:val="20"/>
        </w:rPr>
        <w:t xml:space="preserve"> </w:t>
      </w:r>
      <w:r w:rsidR="00B15B45">
        <w:rPr>
          <w:i/>
          <w:iCs/>
          <w:sz w:val="20"/>
          <w:szCs w:val="20"/>
        </w:rPr>
        <w:t xml:space="preserve">Torn Apart </w:t>
      </w:r>
      <w:r w:rsidR="00B15B45">
        <w:rPr>
          <w:sz w:val="20"/>
          <w:szCs w:val="20"/>
        </w:rPr>
        <w:t xml:space="preserve">[Pen on paper]. </w:t>
      </w:r>
    </w:p>
    <w:p w14:paraId="79B1932E" w14:textId="6DE184C3" w:rsidR="00B15B45" w:rsidRDefault="00B15B45" w:rsidP="00075085">
      <w:pPr>
        <w:spacing w:line="240" w:lineRule="auto"/>
        <w:rPr>
          <w:sz w:val="20"/>
          <w:szCs w:val="20"/>
        </w:rPr>
      </w:pPr>
      <w:r>
        <w:rPr>
          <w:i/>
          <w:iCs/>
          <w:sz w:val="20"/>
          <w:szCs w:val="20"/>
        </w:rPr>
        <w:t xml:space="preserve">Figure 2. </w:t>
      </w:r>
      <w:r>
        <w:rPr>
          <w:sz w:val="20"/>
          <w:szCs w:val="20"/>
        </w:rPr>
        <w:t xml:space="preserve">Kahlo, F. (1939) </w:t>
      </w:r>
      <w:r>
        <w:rPr>
          <w:i/>
          <w:iCs/>
          <w:sz w:val="20"/>
          <w:szCs w:val="20"/>
        </w:rPr>
        <w:t xml:space="preserve">The Two </w:t>
      </w:r>
      <w:proofErr w:type="spellStart"/>
      <w:r>
        <w:rPr>
          <w:i/>
          <w:iCs/>
          <w:sz w:val="20"/>
          <w:szCs w:val="20"/>
        </w:rPr>
        <w:t>Fridas</w:t>
      </w:r>
      <w:proofErr w:type="spellEnd"/>
      <w:r>
        <w:rPr>
          <w:i/>
          <w:iCs/>
          <w:sz w:val="20"/>
          <w:szCs w:val="20"/>
        </w:rPr>
        <w:t xml:space="preserve"> </w:t>
      </w:r>
      <w:r>
        <w:rPr>
          <w:sz w:val="20"/>
          <w:szCs w:val="20"/>
        </w:rPr>
        <w:t xml:space="preserve">[Oil painting]. </w:t>
      </w:r>
      <w:r w:rsidRPr="00B15B45">
        <w:rPr>
          <w:sz w:val="20"/>
          <w:szCs w:val="20"/>
        </w:rPr>
        <w:t xml:space="preserve">Museo de </w:t>
      </w:r>
      <w:proofErr w:type="spellStart"/>
      <w:r w:rsidRPr="00B15B45">
        <w:rPr>
          <w:sz w:val="20"/>
          <w:szCs w:val="20"/>
        </w:rPr>
        <w:t>Arte</w:t>
      </w:r>
      <w:proofErr w:type="spellEnd"/>
      <w:r w:rsidRPr="00B15B45">
        <w:rPr>
          <w:sz w:val="20"/>
          <w:szCs w:val="20"/>
        </w:rPr>
        <w:t xml:space="preserve"> </w:t>
      </w:r>
      <w:proofErr w:type="spellStart"/>
      <w:r w:rsidRPr="00B15B45">
        <w:rPr>
          <w:sz w:val="20"/>
          <w:szCs w:val="20"/>
        </w:rPr>
        <w:t>Moderno</w:t>
      </w:r>
      <w:proofErr w:type="spellEnd"/>
      <w:r w:rsidRPr="00B15B45">
        <w:rPr>
          <w:sz w:val="20"/>
          <w:szCs w:val="20"/>
        </w:rPr>
        <w:t>, Mexico City</w:t>
      </w:r>
    </w:p>
    <w:p w14:paraId="7FAF2732" w14:textId="11534D67" w:rsidR="00B15B45" w:rsidRPr="00B15B45" w:rsidRDefault="00B15B45" w:rsidP="00075085">
      <w:pPr>
        <w:spacing w:line="240" w:lineRule="auto"/>
        <w:rPr>
          <w:sz w:val="20"/>
          <w:szCs w:val="20"/>
        </w:rPr>
      </w:pPr>
      <w:r>
        <w:rPr>
          <w:i/>
          <w:iCs/>
          <w:sz w:val="20"/>
          <w:szCs w:val="20"/>
        </w:rPr>
        <w:t xml:space="preserve">Figure 3. </w:t>
      </w:r>
      <w:r>
        <w:rPr>
          <w:sz w:val="20"/>
          <w:szCs w:val="20"/>
        </w:rPr>
        <w:t xml:space="preserve">Author’s own (2020) </w:t>
      </w:r>
      <w:r>
        <w:rPr>
          <w:i/>
          <w:iCs/>
          <w:sz w:val="20"/>
          <w:szCs w:val="20"/>
        </w:rPr>
        <w:t xml:space="preserve">Shut in, Shut Out </w:t>
      </w:r>
      <w:r>
        <w:rPr>
          <w:sz w:val="20"/>
          <w:szCs w:val="20"/>
        </w:rPr>
        <w:t>[Pencil on paper]</w:t>
      </w:r>
    </w:p>
    <w:sectPr w:rsidR="00B15B45" w:rsidRPr="00B15B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854F1"/>
    <w:multiLevelType w:val="hybridMultilevel"/>
    <w:tmpl w:val="D270C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E65E8"/>
    <w:multiLevelType w:val="hybridMultilevel"/>
    <w:tmpl w:val="C958B29A"/>
    <w:lvl w:ilvl="0" w:tplc="EFD4561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4F0"/>
    <w:rsid w:val="0006744A"/>
    <w:rsid w:val="00075085"/>
    <w:rsid w:val="00086FBC"/>
    <w:rsid w:val="000A0757"/>
    <w:rsid w:val="000B2D06"/>
    <w:rsid w:val="000C2DEA"/>
    <w:rsid w:val="0011689C"/>
    <w:rsid w:val="0021316D"/>
    <w:rsid w:val="002A5E4A"/>
    <w:rsid w:val="00356CCE"/>
    <w:rsid w:val="004B68D0"/>
    <w:rsid w:val="004C2489"/>
    <w:rsid w:val="00545970"/>
    <w:rsid w:val="005F4EC6"/>
    <w:rsid w:val="00656C78"/>
    <w:rsid w:val="00790A5B"/>
    <w:rsid w:val="007B0DA4"/>
    <w:rsid w:val="00853DA0"/>
    <w:rsid w:val="00865F28"/>
    <w:rsid w:val="009251DC"/>
    <w:rsid w:val="009F2A79"/>
    <w:rsid w:val="00B15B45"/>
    <w:rsid w:val="00B81F27"/>
    <w:rsid w:val="00D414F0"/>
    <w:rsid w:val="00EF0BC6"/>
    <w:rsid w:val="00F76E08"/>
    <w:rsid w:val="00FF32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A065C"/>
  <w15:chartTrackingRefBased/>
  <w15:docId w15:val="{A4CB26B2-AC72-4164-92B6-E22B59033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4F0"/>
    <w:pPr>
      <w:ind w:left="720"/>
      <w:contextualSpacing/>
    </w:pPr>
  </w:style>
  <w:style w:type="paragraph" w:styleId="Caption">
    <w:name w:val="caption"/>
    <w:basedOn w:val="Normal"/>
    <w:next w:val="Normal"/>
    <w:uiPriority w:val="35"/>
    <w:unhideWhenUsed/>
    <w:qFormat/>
    <w:rsid w:val="00B81F27"/>
    <w:pPr>
      <w:spacing w:after="200" w:line="240" w:lineRule="auto"/>
    </w:pPr>
    <w:rPr>
      <w:i/>
      <w:iCs/>
      <w:color w:val="44546A" w:themeColor="text2"/>
      <w:sz w:val="18"/>
      <w:szCs w:val="18"/>
    </w:rPr>
  </w:style>
  <w:style w:type="character" w:styleId="Hyperlink">
    <w:name w:val="Hyperlink"/>
    <w:basedOn w:val="DefaultParagraphFont"/>
    <w:uiPriority w:val="99"/>
    <w:unhideWhenUsed/>
    <w:rsid w:val="00086FBC"/>
    <w:rPr>
      <w:color w:val="0563C1" w:themeColor="hyperlink"/>
      <w:u w:val="single"/>
    </w:rPr>
  </w:style>
  <w:style w:type="character" w:styleId="UnresolvedMention">
    <w:name w:val="Unresolved Mention"/>
    <w:basedOn w:val="DefaultParagraphFont"/>
    <w:uiPriority w:val="99"/>
    <w:semiHidden/>
    <w:unhideWhenUsed/>
    <w:rsid w:val="00086FBC"/>
    <w:rPr>
      <w:color w:val="605E5C"/>
      <w:shd w:val="clear" w:color="auto" w:fill="E1DFDD"/>
    </w:rPr>
  </w:style>
  <w:style w:type="character" w:styleId="FollowedHyperlink">
    <w:name w:val="FollowedHyperlink"/>
    <w:basedOn w:val="DefaultParagraphFont"/>
    <w:uiPriority w:val="99"/>
    <w:semiHidden/>
    <w:unhideWhenUsed/>
    <w:rsid w:val="00086F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alcast.com/2017/11/28/17-frida-kahlo-quote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rdu-demo.unc.edu.ar/bitstream/handle/123456789/429/frida.pdf?sequence=1&amp;isAllowed=y" TargetMode="External"/><Relationship Id="rId17" Type="http://schemas.openxmlformats.org/officeDocument/2006/relationships/hyperlink" Target="https://medium.com/@irfanyang/what-i-think-makes-good-illustration-c5be4ee6b5ad" TargetMode="External"/><Relationship Id="rId2" Type="http://schemas.openxmlformats.org/officeDocument/2006/relationships/styles" Target="styles.xml"/><Relationship Id="rId16" Type="http://schemas.openxmlformats.org/officeDocument/2006/relationships/hyperlink" Target="https://www.theupcoming.co.uk/2018/04/11/if-all-art-is-autobiographical-how-should-we-approach-it/" TargetMode="External"/><Relationship Id="rId1" Type="http://schemas.openxmlformats.org/officeDocument/2006/relationships/numbering" Target="numbering.xml"/><Relationship Id="rId6" Type="http://schemas.openxmlformats.org/officeDocument/2006/relationships/hyperlink" Target="https://screencrush.com/star-wars-posters-gallery/" TargetMode="External"/><Relationship Id="rId11" Type="http://schemas.openxmlformats.org/officeDocument/2006/relationships/hyperlink" Target="https://www.artistsnetwork.com/art-subjects/portrait-figure/what-artists-reveal-with-self-portraits/" TargetMode="External"/><Relationship Id="rId5" Type="http://schemas.openxmlformats.org/officeDocument/2006/relationships/image" Target="media/image1.png"/><Relationship Id="rId15" Type="http://schemas.openxmlformats.org/officeDocument/2006/relationships/hyperlink" Target="https://www.parkwestgallery.com/10-contemporary-artists-creative-process/" TargetMode="External"/><Relationship Id="rId10" Type="http://schemas.openxmlformats.org/officeDocument/2006/relationships/hyperlink" Target="https://www.openculture.com/2020/03/what-the-iconic-painting-the-two-fridas-actually-tells-us-about-frida-kahlo.htm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kellyobrien.co.uk/research-blog/2017/10/4/artists-who-use-personal-content-in-their-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12</Pages>
  <Words>3256</Words>
  <Characters>18564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Baugh</dc:creator>
  <cp:keywords/>
  <dc:description/>
  <cp:lastModifiedBy>Katie Baugh</cp:lastModifiedBy>
  <cp:revision>14</cp:revision>
  <dcterms:created xsi:type="dcterms:W3CDTF">2020-12-27T13:59:00Z</dcterms:created>
  <dcterms:modified xsi:type="dcterms:W3CDTF">2021-01-01T18:48:00Z</dcterms:modified>
</cp:coreProperties>
</file>