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44EB36" w14:textId="4222CC88" w:rsidR="001E4D40" w:rsidRDefault="001E4D40" w:rsidP="001E4D40">
      <w:pPr>
        <w:spacing w:after="0" w:line="240" w:lineRule="auto"/>
        <w:jc w:val="both"/>
        <w:rPr>
          <w:rFonts w:asciiTheme="majorBidi" w:hAnsiTheme="majorBidi" w:cstheme="majorBidi"/>
          <w:sz w:val="24"/>
          <w:szCs w:val="24"/>
          <w:lang w:eastAsia="en-GB"/>
        </w:rPr>
      </w:pPr>
      <w:r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Cockburn, </w:t>
      </w:r>
      <w:r>
        <w:rPr>
          <w:rFonts w:asciiTheme="majorBidi" w:hAnsiTheme="majorBidi" w:cstheme="majorBidi"/>
          <w:sz w:val="24"/>
          <w:szCs w:val="24"/>
          <w:lang w:eastAsia="en-GB"/>
        </w:rPr>
        <w:t xml:space="preserve">David, </w:t>
      </w:r>
      <w:r w:rsidR="00717182">
        <w:rPr>
          <w:rFonts w:asciiTheme="majorBidi" w:hAnsiTheme="majorBidi" w:cstheme="majorBidi"/>
          <w:sz w:val="24"/>
          <w:szCs w:val="24"/>
          <w:lang w:eastAsia="en-GB"/>
        </w:rPr>
        <w:t xml:space="preserve">(1991) </w:t>
      </w:r>
      <w:r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‘The Evidence for Reincarnation’, </w:t>
      </w:r>
      <w:r w:rsidRPr="00172D92">
        <w:rPr>
          <w:rFonts w:asciiTheme="majorBidi" w:hAnsiTheme="majorBidi" w:cstheme="majorBidi"/>
          <w:i/>
          <w:iCs/>
          <w:sz w:val="24"/>
          <w:szCs w:val="24"/>
          <w:lang w:eastAsia="en-GB"/>
        </w:rPr>
        <w:t>Religious Studies</w:t>
      </w:r>
      <w:r w:rsidRPr="00172D92">
        <w:rPr>
          <w:rFonts w:asciiTheme="majorBidi" w:hAnsiTheme="majorBidi" w:cstheme="majorBidi"/>
          <w:sz w:val="24"/>
          <w:szCs w:val="24"/>
          <w:lang w:eastAsia="en-GB"/>
        </w:rPr>
        <w:t>, 27</w:t>
      </w:r>
    </w:p>
    <w:p w14:paraId="5E3CEBBE" w14:textId="655CC03D" w:rsidR="00172D92" w:rsidRPr="00172D92" w:rsidRDefault="00172D92" w:rsidP="006A7DF5">
      <w:pPr>
        <w:spacing w:after="0" w:line="240" w:lineRule="auto"/>
        <w:jc w:val="both"/>
        <w:rPr>
          <w:rFonts w:asciiTheme="majorBidi" w:hAnsiTheme="majorBidi" w:cstheme="majorBidi"/>
          <w:bCs/>
          <w:sz w:val="24"/>
          <w:szCs w:val="24"/>
          <w:lang w:eastAsia="en-GB"/>
        </w:rPr>
      </w:pPr>
      <w:r w:rsidRPr="00172D92">
        <w:rPr>
          <w:rFonts w:asciiTheme="majorBidi" w:hAnsiTheme="majorBidi" w:cstheme="majorBidi"/>
          <w:sz w:val="24"/>
          <w:szCs w:val="24"/>
          <w:lang w:eastAsia="en-GB"/>
        </w:rPr>
        <w:t>Collins, Steven</w:t>
      </w:r>
      <w:r w:rsidR="00717182">
        <w:rPr>
          <w:rFonts w:asciiTheme="majorBidi" w:hAnsiTheme="majorBidi" w:cstheme="majorBidi"/>
          <w:sz w:val="24"/>
          <w:szCs w:val="24"/>
          <w:lang w:eastAsia="en-GB"/>
        </w:rPr>
        <w:t>,</w:t>
      </w:r>
      <w:r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 (1985) ‘Buddhism in Recent British Philosophy and Theology’, </w:t>
      </w:r>
      <w:r w:rsidRPr="00172D92">
        <w:rPr>
          <w:rFonts w:asciiTheme="majorBidi" w:hAnsiTheme="majorBidi" w:cstheme="majorBidi"/>
          <w:i/>
          <w:iCs/>
          <w:sz w:val="24"/>
          <w:szCs w:val="24"/>
          <w:lang w:eastAsia="en-GB"/>
        </w:rPr>
        <w:t>Religious Studies</w:t>
      </w:r>
      <w:r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, </w:t>
      </w:r>
      <w:r w:rsidRPr="00172D92">
        <w:rPr>
          <w:rFonts w:asciiTheme="majorBidi" w:hAnsiTheme="majorBidi" w:cstheme="majorBidi"/>
          <w:b/>
          <w:bCs/>
          <w:sz w:val="24"/>
          <w:szCs w:val="24"/>
          <w:lang w:eastAsia="en-GB"/>
        </w:rPr>
        <w:t>21</w:t>
      </w:r>
      <w:r w:rsidRPr="00172D92">
        <w:rPr>
          <w:rFonts w:asciiTheme="majorBidi" w:hAnsiTheme="majorBidi" w:cstheme="majorBidi"/>
          <w:sz w:val="24"/>
          <w:szCs w:val="24"/>
          <w:lang w:eastAsia="en-GB"/>
        </w:rPr>
        <w:t>, 475-493</w:t>
      </w:r>
    </w:p>
    <w:p w14:paraId="622CB60F" w14:textId="77777777" w:rsidR="00172D92" w:rsidRPr="00172D92" w:rsidRDefault="00172D92" w:rsidP="006A7DF5">
      <w:pPr>
        <w:spacing w:after="0" w:line="240" w:lineRule="auto"/>
        <w:jc w:val="both"/>
        <w:rPr>
          <w:rFonts w:asciiTheme="majorBidi" w:hAnsiTheme="majorBidi" w:cstheme="majorBidi"/>
          <w:i/>
          <w:iCs/>
          <w:sz w:val="24"/>
          <w:szCs w:val="24"/>
          <w:lang w:eastAsia="en-GB"/>
        </w:rPr>
      </w:pPr>
      <w:r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Gethin, Rupert, (1998) </w:t>
      </w:r>
      <w:r w:rsidRPr="00172D92">
        <w:rPr>
          <w:rFonts w:asciiTheme="majorBidi" w:hAnsiTheme="majorBidi" w:cstheme="majorBidi"/>
          <w:i/>
          <w:sz w:val="24"/>
          <w:szCs w:val="24"/>
          <w:lang w:eastAsia="en-GB"/>
        </w:rPr>
        <w:t>The Foundations of Buddhism</w:t>
      </w:r>
      <w:r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, Oxford, Oxford University Press, </w:t>
      </w:r>
      <w:r w:rsidRPr="00172D92">
        <w:rPr>
          <w:rFonts w:asciiTheme="majorBidi" w:hAnsiTheme="majorBidi" w:cstheme="majorBidi"/>
          <w:i/>
          <w:iCs/>
          <w:sz w:val="24"/>
          <w:szCs w:val="24"/>
          <w:lang w:eastAsia="en-GB"/>
        </w:rPr>
        <w:t>Online in library</w:t>
      </w:r>
    </w:p>
    <w:p w14:paraId="685135B6" w14:textId="690ADAF5" w:rsidR="00172D92" w:rsidRPr="00172D92" w:rsidRDefault="00172D92" w:rsidP="006A7DF5">
      <w:pPr>
        <w:spacing w:after="0" w:line="240" w:lineRule="auto"/>
        <w:jc w:val="both"/>
        <w:rPr>
          <w:rFonts w:asciiTheme="majorBidi" w:hAnsiTheme="majorBidi" w:cstheme="majorBidi"/>
          <w:sz w:val="24"/>
          <w:szCs w:val="24"/>
          <w:lang w:eastAsia="en-GB"/>
        </w:rPr>
      </w:pPr>
      <w:r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Harvey, Peter, (1990) </w:t>
      </w:r>
      <w:r w:rsidRPr="00172D92">
        <w:rPr>
          <w:rFonts w:asciiTheme="majorBidi" w:hAnsiTheme="majorBidi" w:cstheme="majorBidi"/>
          <w:i/>
          <w:sz w:val="24"/>
          <w:szCs w:val="24"/>
          <w:lang w:eastAsia="en-GB"/>
        </w:rPr>
        <w:t xml:space="preserve">An Introduction to Buddhism, teachings, history and practices, </w:t>
      </w:r>
      <w:r w:rsidRPr="00172D92">
        <w:rPr>
          <w:rFonts w:asciiTheme="majorBidi" w:hAnsiTheme="majorBidi" w:cstheme="majorBidi"/>
          <w:sz w:val="24"/>
          <w:szCs w:val="24"/>
          <w:lang w:eastAsia="en-GB"/>
        </w:rPr>
        <w:t>Cambridge University Press</w:t>
      </w:r>
    </w:p>
    <w:p w14:paraId="030EFF7B" w14:textId="6443E569" w:rsidR="00172D92" w:rsidRPr="00172D92" w:rsidRDefault="00172D92" w:rsidP="00585784">
      <w:pPr>
        <w:spacing w:after="120" w:line="240" w:lineRule="auto"/>
        <w:rPr>
          <w:rFonts w:asciiTheme="majorBidi" w:eastAsia="Times New Roman" w:hAnsiTheme="majorBidi" w:cstheme="majorBidi"/>
          <w:sz w:val="24"/>
          <w:szCs w:val="24"/>
          <w:lang w:val="en-US" w:eastAsia="en-US"/>
        </w:rPr>
      </w:pPr>
      <w:r w:rsidRPr="00172D92">
        <w:rPr>
          <w:rFonts w:asciiTheme="majorBidi" w:eastAsia="Times New Roman" w:hAnsiTheme="majorBidi" w:cstheme="majorBidi"/>
          <w:sz w:val="24"/>
          <w:szCs w:val="24"/>
          <w:lang w:val="en-US" w:eastAsia="en-US"/>
        </w:rPr>
        <w:t xml:space="preserve">Edwards, Paul (2001) </w:t>
      </w:r>
      <w:r w:rsidRPr="00172D92">
        <w:rPr>
          <w:rFonts w:asciiTheme="majorBidi" w:eastAsia="Times New Roman" w:hAnsiTheme="majorBidi" w:cstheme="majorBidi"/>
          <w:i/>
          <w:iCs/>
          <w:sz w:val="24"/>
          <w:szCs w:val="24"/>
          <w:lang w:val="en-US" w:eastAsia="en-US"/>
        </w:rPr>
        <w:t xml:space="preserve">Reincarnation: Critical Examination, </w:t>
      </w:r>
      <w:r w:rsidRPr="00172D92">
        <w:rPr>
          <w:rFonts w:asciiTheme="majorBidi" w:eastAsia="Times New Roman" w:hAnsiTheme="majorBidi" w:cstheme="majorBidi"/>
          <w:sz w:val="24"/>
          <w:szCs w:val="24"/>
          <w:lang w:val="en-US" w:eastAsia="en-US"/>
        </w:rPr>
        <w:t xml:space="preserve">Prometheus </w:t>
      </w:r>
      <w:r w:rsidR="007E3D3F">
        <w:rPr>
          <w:rFonts w:asciiTheme="majorBidi" w:eastAsia="Times New Roman" w:hAnsiTheme="majorBidi" w:cstheme="majorBidi"/>
          <w:sz w:val="24"/>
          <w:szCs w:val="24"/>
          <w:lang w:val="en-US" w:eastAsia="en-US"/>
        </w:rPr>
        <w:br/>
      </w:r>
      <w:r w:rsidRPr="00172D92">
        <w:rPr>
          <w:rFonts w:asciiTheme="majorBidi" w:eastAsia="Times New Roman" w:hAnsiTheme="majorBidi" w:cstheme="majorBidi"/>
          <w:sz w:val="24"/>
          <w:szCs w:val="24"/>
          <w:lang w:val="en-US" w:eastAsia="en-US"/>
        </w:rPr>
        <w:t xml:space="preserve">Hick, John (1985) </w:t>
      </w:r>
      <w:r w:rsidRPr="00172D92">
        <w:rPr>
          <w:rFonts w:asciiTheme="majorBidi" w:eastAsia="Times New Roman" w:hAnsiTheme="majorBidi" w:cstheme="majorBidi"/>
          <w:i/>
          <w:iCs/>
          <w:sz w:val="24"/>
          <w:szCs w:val="24"/>
          <w:lang w:val="en-US" w:eastAsia="en-US"/>
        </w:rPr>
        <w:t xml:space="preserve">Death and Eternal Life, </w:t>
      </w:r>
      <w:r w:rsidRPr="00172D92">
        <w:rPr>
          <w:rFonts w:asciiTheme="majorBidi" w:eastAsia="Times New Roman" w:hAnsiTheme="majorBidi" w:cstheme="majorBidi"/>
          <w:sz w:val="24"/>
          <w:szCs w:val="24"/>
          <w:lang w:val="en-US" w:eastAsia="en-US"/>
        </w:rPr>
        <w:t>Basingstoke, Macmillan</w:t>
      </w:r>
      <w:r w:rsidRPr="00172D92">
        <w:rPr>
          <w:rFonts w:asciiTheme="majorBidi" w:eastAsia="Times New Roman" w:hAnsiTheme="majorBidi" w:cstheme="majorBidi"/>
          <w:i/>
          <w:iCs/>
          <w:sz w:val="24"/>
          <w:szCs w:val="24"/>
          <w:lang w:val="en-US" w:eastAsia="en-US"/>
        </w:rPr>
        <w:t xml:space="preserve"> </w:t>
      </w:r>
      <w:r w:rsidRPr="00172D92">
        <w:rPr>
          <w:rFonts w:asciiTheme="majorBidi" w:eastAsia="Times New Roman" w:hAnsiTheme="majorBidi" w:cstheme="majorBidi"/>
          <w:sz w:val="24"/>
          <w:szCs w:val="24"/>
          <w:lang w:val="en-US" w:eastAsia="en-US"/>
        </w:rPr>
        <w:t>(chapters 16-19)</w:t>
      </w:r>
      <w:r w:rsidR="007E3D3F">
        <w:rPr>
          <w:rFonts w:asciiTheme="majorBidi" w:eastAsia="Times New Roman" w:hAnsiTheme="majorBidi" w:cstheme="majorBidi"/>
          <w:sz w:val="24"/>
          <w:szCs w:val="24"/>
          <w:lang w:val="en-US" w:eastAsia="en-US"/>
        </w:rPr>
        <w:br/>
      </w:r>
      <w:proofErr w:type="spellStart"/>
      <w:r w:rsidR="006F5B49" w:rsidRPr="00172D92">
        <w:rPr>
          <w:rFonts w:asciiTheme="majorBidi" w:hAnsiTheme="majorBidi" w:cstheme="majorBidi"/>
          <w:sz w:val="24"/>
          <w:szCs w:val="24"/>
          <w:lang w:eastAsia="en-GB"/>
        </w:rPr>
        <w:t>Neufeldt</w:t>
      </w:r>
      <w:proofErr w:type="spellEnd"/>
      <w:r w:rsidR="006F5B49"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, R.W. (ed) 1986 </w:t>
      </w:r>
      <w:r w:rsidR="006F5B49" w:rsidRPr="00172D92">
        <w:rPr>
          <w:rFonts w:asciiTheme="majorBidi" w:hAnsiTheme="majorBidi" w:cstheme="majorBidi"/>
          <w:i/>
          <w:iCs/>
          <w:sz w:val="24"/>
          <w:szCs w:val="24"/>
          <w:lang w:eastAsia="en-GB"/>
        </w:rPr>
        <w:t>Karma and Rebirth: Post Classical Developments</w:t>
      </w:r>
      <w:r w:rsidR="006F5B49" w:rsidRPr="00172D92">
        <w:rPr>
          <w:rFonts w:asciiTheme="majorBidi" w:hAnsiTheme="majorBidi" w:cstheme="majorBidi"/>
          <w:sz w:val="24"/>
          <w:szCs w:val="24"/>
          <w:lang w:eastAsia="en-GB"/>
        </w:rPr>
        <w:t>. Albany:</w:t>
      </w:r>
      <w:r w:rsidR="0045221E">
        <w:rPr>
          <w:rFonts w:asciiTheme="majorBidi" w:hAnsiTheme="majorBidi" w:cstheme="majorBidi"/>
          <w:sz w:val="24"/>
          <w:szCs w:val="24"/>
          <w:lang w:eastAsia="en-GB"/>
        </w:rPr>
        <w:t xml:space="preserve"> </w:t>
      </w:r>
      <w:r w:rsidR="006F5B49" w:rsidRPr="00172D92">
        <w:rPr>
          <w:rFonts w:asciiTheme="majorBidi" w:hAnsiTheme="majorBidi" w:cstheme="majorBidi"/>
          <w:sz w:val="24"/>
          <w:szCs w:val="24"/>
          <w:lang w:eastAsia="en-GB"/>
        </w:rPr>
        <w:t>SUNY Press.</w:t>
      </w:r>
      <w:r w:rsidR="007E3D3F">
        <w:rPr>
          <w:rFonts w:asciiTheme="majorBidi" w:eastAsia="Times New Roman" w:hAnsiTheme="majorBidi" w:cstheme="majorBidi"/>
          <w:sz w:val="24"/>
          <w:szCs w:val="24"/>
          <w:lang w:val="en-US" w:eastAsia="en-US"/>
        </w:rPr>
        <w:br/>
      </w:r>
      <w:r w:rsidR="006F5B49"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O’Flaherty, Wendy </w:t>
      </w:r>
      <w:proofErr w:type="spellStart"/>
      <w:r w:rsidR="006F5B49" w:rsidRPr="00172D92">
        <w:rPr>
          <w:rFonts w:asciiTheme="majorBidi" w:hAnsiTheme="majorBidi" w:cstheme="majorBidi"/>
          <w:sz w:val="24"/>
          <w:szCs w:val="24"/>
          <w:lang w:eastAsia="en-GB"/>
        </w:rPr>
        <w:t>Doniger</w:t>
      </w:r>
      <w:proofErr w:type="spellEnd"/>
      <w:r w:rsidR="006F5B49"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 (ed.) 1983. </w:t>
      </w:r>
      <w:r w:rsidR="006F5B49" w:rsidRPr="00172D92">
        <w:rPr>
          <w:rFonts w:asciiTheme="majorBidi" w:hAnsiTheme="majorBidi" w:cstheme="majorBidi"/>
          <w:i/>
          <w:sz w:val="24"/>
          <w:szCs w:val="24"/>
          <w:lang w:eastAsia="en-GB"/>
        </w:rPr>
        <w:t xml:space="preserve">Karma and Rebirth in Classical Indian Traditions </w:t>
      </w:r>
      <w:r w:rsidR="006F5B49"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Delhi: Motilal </w:t>
      </w:r>
      <w:proofErr w:type="spellStart"/>
      <w:r w:rsidR="006F5B49" w:rsidRPr="00172D92">
        <w:rPr>
          <w:rFonts w:asciiTheme="majorBidi" w:hAnsiTheme="majorBidi" w:cstheme="majorBidi"/>
          <w:sz w:val="24"/>
          <w:szCs w:val="24"/>
          <w:lang w:eastAsia="en-GB"/>
        </w:rPr>
        <w:t>Banarsidass</w:t>
      </w:r>
      <w:proofErr w:type="spellEnd"/>
      <w:r w:rsidR="006F5B49"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. </w:t>
      </w:r>
      <w:r w:rsidRPr="00172D92">
        <w:rPr>
          <w:rFonts w:asciiTheme="majorBidi" w:eastAsia="Times New Roman" w:hAnsiTheme="majorBidi" w:cstheme="majorBidi"/>
          <w:sz w:val="24"/>
          <w:szCs w:val="24"/>
          <w:lang w:val="en-US" w:eastAsia="en-US"/>
        </w:rPr>
        <w:t xml:space="preserve">Prabha, Joseph (1989) ‘The Idea of Reincarnation’, Stephen T. Davies (ed), </w:t>
      </w:r>
      <w:r w:rsidRPr="00172D92">
        <w:rPr>
          <w:rFonts w:asciiTheme="majorBidi" w:eastAsia="Times New Roman" w:hAnsiTheme="majorBidi" w:cstheme="majorBidi"/>
          <w:i/>
          <w:iCs/>
          <w:sz w:val="24"/>
          <w:szCs w:val="24"/>
          <w:lang w:val="en-US" w:eastAsia="en-US"/>
        </w:rPr>
        <w:t>Death and Afterlife</w:t>
      </w:r>
      <w:r w:rsidRPr="00172D92">
        <w:rPr>
          <w:rFonts w:asciiTheme="majorBidi" w:eastAsia="Times New Roman" w:hAnsiTheme="majorBidi" w:cstheme="majorBidi"/>
          <w:sz w:val="24"/>
          <w:szCs w:val="24"/>
          <w:lang w:val="en-US" w:eastAsia="en-US"/>
        </w:rPr>
        <w:t>, London, Macmillan</w:t>
      </w:r>
      <w:r w:rsidR="00585784">
        <w:rPr>
          <w:rFonts w:asciiTheme="majorBidi" w:eastAsia="Times New Roman" w:hAnsiTheme="majorBidi" w:cstheme="majorBidi"/>
          <w:sz w:val="24"/>
          <w:szCs w:val="24"/>
          <w:lang w:val="en-US" w:eastAsia="en-US"/>
        </w:rPr>
        <w:br/>
      </w:r>
      <w:proofErr w:type="spellStart"/>
      <w:r w:rsidRPr="00172D92">
        <w:rPr>
          <w:rFonts w:asciiTheme="majorBidi" w:hAnsiTheme="majorBidi" w:cstheme="majorBidi"/>
          <w:sz w:val="24"/>
          <w:szCs w:val="24"/>
          <w:lang w:eastAsia="en-GB"/>
        </w:rPr>
        <w:t>Rahula</w:t>
      </w:r>
      <w:proofErr w:type="spellEnd"/>
      <w:r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, </w:t>
      </w:r>
      <w:proofErr w:type="spellStart"/>
      <w:r w:rsidRPr="00172D92">
        <w:rPr>
          <w:rFonts w:asciiTheme="majorBidi" w:hAnsiTheme="majorBidi" w:cstheme="majorBidi"/>
          <w:sz w:val="24"/>
          <w:szCs w:val="24"/>
          <w:lang w:eastAsia="en-GB"/>
        </w:rPr>
        <w:t>Walpola</w:t>
      </w:r>
      <w:proofErr w:type="spellEnd"/>
      <w:r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 (1967) </w:t>
      </w:r>
      <w:r w:rsidRPr="00172D92">
        <w:rPr>
          <w:rFonts w:asciiTheme="majorBidi" w:hAnsiTheme="majorBidi" w:cstheme="majorBidi"/>
          <w:i/>
          <w:sz w:val="24"/>
          <w:szCs w:val="24"/>
          <w:lang w:eastAsia="en-GB"/>
        </w:rPr>
        <w:t>What the Buddha Taught</w:t>
      </w:r>
      <w:r w:rsidRPr="00172D92">
        <w:rPr>
          <w:rFonts w:asciiTheme="majorBidi" w:hAnsiTheme="majorBidi" w:cstheme="majorBidi"/>
          <w:sz w:val="24"/>
          <w:szCs w:val="24"/>
          <w:lang w:eastAsia="en-GB"/>
        </w:rPr>
        <w:t xml:space="preserve">, London, Allen and Unwin. </w:t>
      </w:r>
    </w:p>
    <w:p w14:paraId="01DD523E" w14:textId="77777777" w:rsidR="007F4A61" w:rsidRDefault="007F4A61" w:rsidP="006A7DF5">
      <w:pPr>
        <w:spacing w:line="240" w:lineRule="auto"/>
      </w:pPr>
    </w:p>
    <w:sectPr w:rsidR="007F4A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D92"/>
    <w:rsid w:val="00172D92"/>
    <w:rsid w:val="001E4D40"/>
    <w:rsid w:val="003D2585"/>
    <w:rsid w:val="0045221E"/>
    <w:rsid w:val="00585784"/>
    <w:rsid w:val="006A7DF5"/>
    <w:rsid w:val="006F5B49"/>
    <w:rsid w:val="00717182"/>
    <w:rsid w:val="007E3D3F"/>
    <w:rsid w:val="007F4A61"/>
    <w:rsid w:val="00D96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13D7F"/>
  <w15:chartTrackingRefBased/>
  <w15:docId w15:val="{EF4763F5-A1AF-4068-9CD2-8C8D626E54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142</Words>
  <Characters>810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8</cp:revision>
  <dcterms:created xsi:type="dcterms:W3CDTF">2022-10-14T17:21:00Z</dcterms:created>
  <dcterms:modified xsi:type="dcterms:W3CDTF">2022-10-14T17:27:00Z</dcterms:modified>
</cp:coreProperties>
</file>