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862326692"/>
        <w:docPartObj>
          <w:docPartGallery w:val="Cover Pages"/>
          <w:docPartUnique/>
        </w:docPartObj>
      </w:sdtPr>
      <w:sdtEndPr>
        <w:rPr>
          <w:rFonts w:ascii="Arial" w:eastAsia="Times New Roman" w:hAnsi="Arial" w:cs="Arial"/>
          <w:color w:val="000000"/>
          <w:sz w:val="24"/>
          <w:szCs w:val="24"/>
          <w:u w:val="single"/>
          <w:lang w:eastAsia="en-GB"/>
        </w:rPr>
      </w:sdtEndPr>
      <w:sdtContent>
        <w:p w14:paraId="46F574BF" w14:textId="41B6B7BA" w:rsidR="002851B2" w:rsidRDefault="002851B2">
          <w:r>
            <w:rPr>
              <w:noProof/>
            </w:rPr>
            <mc:AlternateContent>
              <mc:Choice Requires="wpg">
                <w:drawing>
                  <wp:anchor distT="0" distB="0" distL="114300" distR="114300" simplePos="0" relativeHeight="251662336" behindDoc="0" locked="0" layoutInCell="1" allowOverlap="1" wp14:anchorId="518C8DDE" wp14:editId="182B51B9">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5"/>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0AAB264"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6"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50EAD20A" wp14:editId="5B88AD70">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598EBF4" w14:textId="6497817C" w:rsidR="002851B2" w:rsidRDefault="002851B2">
                                    <w:pPr>
                                      <w:pStyle w:val="NoSpacing"/>
                                      <w:jc w:val="right"/>
                                      <w:rPr>
                                        <w:color w:val="595959" w:themeColor="text1" w:themeTint="A6"/>
                                        <w:sz w:val="28"/>
                                        <w:szCs w:val="28"/>
                                      </w:rPr>
                                    </w:pPr>
                                    <w:r>
                                      <w:rPr>
                                        <w:color w:val="595959" w:themeColor="text1" w:themeTint="A6"/>
                                        <w:sz w:val="28"/>
                                        <w:szCs w:val="28"/>
                                      </w:rPr>
                                      <w:t>Aaron Williams</w:t>
                                    </w:r>
                                  </w:p>
                                </w:sdtContent>
                              </w:sdt>
                              <w:p w14:paraId="16A0BCE5" w14:textId="744268F2" w:rsidR="002851B2" w:rsidRDefault="002851B2">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507F41">
                                      <w:rPr>
                                        <w:color w:val="595959" w:themeColor="text1" w:themeTint="A6"/>
                                        <w:sz w:val="18"/>
                                        <w:szCs w:val="18"/>
                                      </w:rPr>
                                      <w:t>1900369</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0EAD20A"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598EBF4" w14:textId="6497817C" w:rsidR="002851B2" w:rsidRDefault="002851B2">
                              <w:pPr>
                                <w:pStyle w:val="NoSpacing"/>
                                <w:jc w:val="right"/>
                                <w:rPr>
                                  <w:color w:val="595959" w:themeColor="text1" w:themeTint="A6"/>
                                  <w:sz w:val="28"/>
                                  <w:szCs w:val="28"/>
                                </w:rPr>
                              </w:pPr>
                              <w:r>
                                <w:rPr>
                                  <w:color w:val="595959" w:themeColor="text1" w:themeTint="A6"/>
                                  <w:sz w:val="28"/>
                                  <w:szCs w:val="28"/>
                                </w:rPr>
                                <w:t>Aaron Williams</w:t>
                              </w:r>
                            </w:p>
                          </w:sdtContent>
                        </w:sdt>
                        <w:p w14:paraId="16A0BCE5" w14:textId="744268F2" w:rsidR="002851B2" w:rsidRDefault="002851B2">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507F41">
                                <w:rPr>
                                  <w:color w:val="595959" w:themeColor="text1" w:themeTint="A6"/>
                                  <w:sz w:val="18"/>
                                  <w:szCs w:val="18"/>
                                </w:rPr>
                                <w:t>1900369</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2572796E" wp14:editId="33A93F56">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A620FD1" w14:textId="5C888159" w:rsidR="002851B2" w:rsidRPr="00507F41" w:rsidRDefault="00507F41">
                                <w:pPr>
                                  <w:pStyle w:val="NoSpacing"/>
                                  <w:jc w:val="right"/>
                                  <w:rPr>
                                    <w:color w:val="595959" w:themeColor="text1" w:themeTint="A6"/>
                                    <w:sz w:val="28"/>
                                    <w:szCs w:val="28"/>
                                  </w:rPr>
                                </w:pPr>
                                <w:r w:rsidRPr="00507F41">
                                  <w:rPr>
                                    <w:color w:val="595959" w:themeColor="text1" w:themeTint="A6"/>
                                    <w:sz w:val="28"/>
                                    <w:szCs w:val="28"/>
                                  </w:rPr>
                                  <w:t>Lecturer: Rhiannon Lloyd</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0F05A0F1" w14:textId="068F2E33" w:rsidR="002851B2" w:rsidRDefault="00507F41" w:rsidP="00507F41">
                                    <w:pPr>
                                      <w:pStyle w:val="NoSpacing"/>
                                      <w:jc w:val="center"/>
                                      <w:rPr>
                                        <w:color w:val="595959" w:themeColor="text1" w:themeTint="A6"/>
                                        <w:sz w:val="20"/>
                                        <w:szCs w:val="20"/>
                                      </w:rPr>
                                    </w:pPr>
                                    <w:r>
                                      <w:rPr>
                                        <w:color w:val="595959" w:themeColor="text1" w:themeTint="A6"/>
                                        <w:sz w:val="20"/>
                                        <w:szCs w:val="20"/>
                                      </w:rPr>
                                      <w:t xml:space="preserve">                                                                                                                             Deadline: 04/03/2022</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2572796E"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2A620FD1" w14:textId="5C888159" w:rsidR="002851B2" w:rsidRPr="00507F41" w:rsidRDefault="00507F41">
                          <w:pPr>
                            <w:pStyle w:val="NoSpacing"/>
                            <w:jc w:val="right"/>
                            <w:rPr>
                              <w:color w:val="595959" w:themeColor="text1" w:themeTint="A6"/>
                              <w:sz w:val="28"/>
                              <w:szCs w:val="28"/>
                            </w:rPr>
                          </w:pPr>
                          <w:r w:rsidRPr="00507F41">
                            <w:rPr>
                              <w:color w:val="595959" w:themeColor="text1" w:themeTint="A6"/>
                              <w:sz w:val="28"/>
                              <w:szCs w:val="28"/>
                            </w:rPr>
                            <w:t>Lecturer: Rhiannon Lloyd</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0F05A0F1" w14:textId="068F2E33" w:rsidR="002851B2" w:rsidRDefault="00507F41" w:rsidP="00507F41">
                              <w:pPr>
                                <w:pStyle w:val="NoSpacing"/>
                                <w:jc w:val="center"/>
                                <w:rPr>
                                  <w:color w:val="595959" w:themeColor="text1" w:themeTint="A6"/>
                                  <w:sz w:val="20"/>
                                  <w:szCs w:val="20"/>
                                </w:rPr>
                              </w:pPr>
                              <w:r>
                                <w:rPr>
                                  <w:color w:val="595959" w:themeColor="text1" w:themeTint="A6"/>
                                  <w:sz w:val="20"/>
                                  <w:szCs w:val="20"/>
                                </w:rPr>
                                <w:t xml:space="preserve">                                                                                                                             Deadline: 04/03/2022</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7EEF9FEE" wp14:editId="3098EC9D">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DAAE799" w14:textId="4D19C467" w:rsidR="002851B2" w:rsidRDefault="002851B2">
                                <w:pPr>
                                  <w:jc w:val="right"/>
                                  <w:rPr>
                                    <w:color w:val="4472C4" w:themeColor="accent1"/>
                                    <w:sz w:val="64"/>
                                    <w:szCs w:val="64"/>
                                  </w:rPr>
                                </w:pPr>
                                <w:sdt>
                                  <w:sdtPr>
                                    <w:rPr>
                                      <w:rFonts w:ascii="Arial" w:eastAsia="Times New Roman" w:hAnsi="Arial" w:cs="Arial"/>
                                      <w:color w:val="000000"/>
                                      <w:sz w:val="24"/>
                                      <w:szCs w:val="24"/>
                                      <w:u w:val="single"/>
                                      <w:lang w:eastAsia="en-GB"/>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2851B2">
                                      <w:rPr>
                                        <w:rFonts w:ascii="Arial" w:eastAsia="Times New Roman" w:hAnsi="Arial" w:cs="Arial"/>
                                        <w:color w:val="000000"/>
                                        <w:sz w:val="24"/>
                                        <w:szCs w:val="24"/>
                                        <w:u w:val="single"/>
                                        <w:lang w:eastAsia="en-GB"/>
                                      </w:rPr>
                                      <w:t>Processes and Procedures Adopted by the First Attending Officer to prevent cross-contamination at a crime scene - Part A</w:t>
                                    </w:r>
                                    <w:r w:rsidRPr="002851B2">
                                      <w:rPr>
                                        <w:rFonts w:ascii="Arial" w:eastAsia="Times New Roman" w:hAnsi="Arial" w:cs="Arial"/>
                                        <w:color w:val="000000"/>
                                        <w:sz w:val="24"/>
                                        <w:szCs w:val="24"/>
                                        <w:u w:val="single"/>
                                        <w:lang w:eastAsia="en-GB"/>
                                      </w:rPr>
                                      <w:br/>
                                      <w:t>AND</w:t>
                                    </w:r>
                                    <w:r w:rsidRPr="002851B2">
                                      <w:rPr>
                                        <w:rFonts w:ascii="Arial" w:eastAsia="Times New Roman" w:hAnsi="Arial" w:cs="Arial"/>
                                        <w:color w:val="000000"/>
                                        <w:sz w:val="24"/>
                                        <w:szCs w:val="24"/>
                                        <w:u w:val="single"/>
                                        <w:lang w:eastAsia="en-GB"/>
                                      </w:rPr>
                                      <w:br/>
                                      <w:t>Methods in Practise for the Recovery and Examination of Forensic Evidence at a Crime Scene - Part B</w:t>
                                    </w:r>
                                    <w:r w:rsidRPr="002851B2">
                                      <w:rPr>
                                        <w:rFonts w:ascii="Arial" w:eastAsia="Times New Roman" w:hAnsi="Arial" w:cs="Arial"/>
                                        <w:color w:val="000000"/>
                                        <w:sz w:val="24"/>
                                        <w:szCs w:val="24"/>
                                        <w:u w:val="single"/>
                                        <w:lang w:eastAsia="en-GB"/>
                                      </w:rPr>
                                      <w:br/>
                                    </w:r>
                                  </w:sdtContent>
                                </w:sdt>
                              </w:p>
                              <w:sdt>
                                <w:sdtPr>
                                  <w:rPr>
                                    <w:rFonts w:ascii="Arial" w:eastAsia="Times New Roman" w:hAnsi="Arial" w:cs="Arial"/>
                                    <w:b/>
                                    <w:lang w:eastAsia="en-GB"/>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0838B4E" w14:textId="4DFCA92F" w:rsidR="002851B2" w:rsidRDefault="002851B2">
                                    <w:pPr>
                                      <w:jc w:val="right"/>
                                      <w:rPr>
                                        <w:smallCaps/>
                                        <w:color w:val="404040" w:themeColor="text1" w:themeTint="BF"/>
                                        <w:sz w:val="36"/>
                                        <w:szCs w:val="36"/>
                                      </w:rPr>
                                    </w:pPr>
                                    <w:r w:rsidRPr="002851B2">
                                      <w:rPr>
                                        <w:rFonts w:ascii="Arial" w:eastAsia="Times New Roman" w:hAnsi="Arial" w:cs="Arial"/>
                                        <w:b/>
                                        <w:lang w:eastAsia="en-GB"/>
                                      </w:rPr>
                                      <w:t>Forensic Recovery and Examination</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7EEF9FEE"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0DAAE799" w14:textId="4D19C467" w:rsidR="002851B2" w:rsidRDefault="002851B2">
                          <w:pPr>
                            <w:jc w:val="right"/>
                            <w:rPr>
                              <w:color w:val="4472C4" w:themeColor="accent1"/>
                              <w:sz w:val="64"/>
                              <w:szCs w:val="64"/>
                            </w:rPr>
                          </w:pPr>
                          <w:sdt>
                            <w:sdtPr>
                              <w:rPr>
                                <w:rFonts w:ascii="Arial" w:eastAsia="Times New Roman" w:hAnsi="Arial" w:cs="Arial"/>
                                <w:color w:val="000000"/>
                                <w:sz w:val="24"/>
                                <w:szCs w:val="24"/>
                                <w:u w:val="single"/>
                                <w:lang w:eastAsia="en-GB"/>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2851B2">
                                <w:rPr>
                                  <w:rFonts w:ascii="Arial" w:eastAsia="Times New Roman" w:hAnsi="Arial" w:cs="Arial"/>
                                  <w:color w:val="000000"/>
                                  <w:sz w:val="24"/>
                                  <w:szCs w:val="24"/>
                                  <w:u w:val="single"/>
                                  <w:lang w:eastAsia="en-GB"/>
                                </w:rPr>
                                <w:t>Processes and Procedures Adopted by the First Attending Officer to prevent cross-contamination at a crime scene - Part A</w:t>
                              </w:r>
                              <w:r w:rsidRPr="002851B2">
                                <w:rPr>
                                  <w:rFonts w:ascii="Arial" w:eastAsia="Times New Roman" w:hAnsi="Arial" w:cs="Arial"/>
                                  <w:color w:val="000000"/>
                                  <w:sz w:val="24"/>
                                  <w:szCs w:val="24"/>
                                  <w:u w:val="single"/>
                                  <w:lang w:eastAsia="en-GB"/>
                                </w:rPr>
                                <w:br/>
                                <w:t>AND</w:t>
                              </w:r>
                              <w:r w:rsidRPr="002851B2">
                                <w:rPr>
                                  <w:rFonts w:ascii="Arial" w:eastAsia="Times New Roman" w:hAnsi="Arial" w:cs="Arial"/>
                                  <w:color w:val="000000"/>
                                  <w:sz w:val="24"/>
                                  <w:szCs w:val="24"/>
                                  <w:u w:val="single"/>
                                  <w:lang w:eastAsia="en-GB"/>
                                </w:rPr>
                                <w:br/>
                                <w:t>Methods in Practise for the Recovery and Examination of Forensic Evidence at a Crime Scene - Part B</w:t>
                              </w:r>
                              <w:r w:rsidRPr="002851B2">
                                <w:rPr>
                                  <w:rFonts w:ascii="Arial" w:eastAsia="Times New Roman" w:hAnsi="Arial" w:cs="Arial"/>
                                  <w:color w:val="000000"/>
                                  <w:sz w:val="24"/>
                                  <w:szCs w:val="24"/>
                                  <w:u w:val="single"/>
                                  <w:lang w:eastAsia="en-GB"/>
                                </w:rPr>
                                <w:br/>
                              </w:r>
                            </w:sdtContent>
                          </w:sdt>
                        </w:p>
                        <w:sdt>
                          <w:sdtPr>
                            <w:rPr>
                              <w:rFonts w:ascii="Arial" w:eastAsia="Times New Roman" w:hAnsi="Arial" w:cs="Arial"/>
                              <w:b/>
                              <w:lang w:eastAsia="en-GB"/>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0838B4E" w14:textId="4DFCA92F" w:rsidR="002851B2" w:rsidRDefault="002851B2">
                              <w:pPr>
                                <w:jc w:val="right"/>
                                <w:rPr>
                                  <w:smallCaps/>
                                  <w:color w:val="404040" w:themeColor="text1" w:themeTint="BF"/>
                                  <w:sz w:val="36"/>
                                  <w:szCs w:val="36"/>
                                </w:rPr>
                              </w:pPr>
                              <w:r w:rsidRPr="002851B2">
                                <w:rPr>
                                  <w:rFonts w:ascii="Arial" w:eastAsia="Times New Roman" w:hAnsi="Arial" w:cs="Arial"/>
                                  <w:b/>
                                  <w:lang w:eastAsia="en-GB"/>
                                </w:rPr>
                                <w:t>Forensic Recovery and Examination</w:t>
                              </w:r>
                            </w:p>
                          </w:sdtContent>
                        </w:sdt>
                      </w:txbxContent>
                    </v:textbox>
                    <w10:wrap type="square" anchorx="page" anchory="page"/>
                  </v:shape>
                </w:pict>
              </mc:Fallback>
            </mc:AlternateContent>
          </w:r>
        </w:p>
        <w:p w14:paraId="52713173" w14:textId="6546EA94" w:rsidR="002851B2" w:rsidRDefault="002851B2">
          <w:pPr>
            <w:rPr>
              <w:rFonts w:ascii="Arial" w:eastAsia="Times New Roman" w:hAnsi="Arial" w:cs="Arial"/>
              <w:color w:val="000000"/>
              <w:sz w:val="24"/>
              <w:szCs w:val="24"/>
              <w:u w:val="single"/>
              <w:lang w:eastAsia="en-GB"/>
            </w:rPr>
          </w:pPr>
          <w:r>
            <w:rPr>
              <w:rFonts w:ascii="Arial" w:eastAsia="Times New Roman" w:hAnsi="Arial" w:cs="Arial"/>
              <w:color w:val="000000"/>
              <w:sz w:val="24"/>
              <w:szCs w:val="24"/>
              <w:u w:val="single"/>
              <w:lang w:eastAsia="en-GB"/>
            </w:rPr>
            <w:br w:type="page"/>
          </w:r>
        </w:p>
      </w:sdtContent>
    </w:sdt>
    <w:p w14:paraId="5178783A" w14:textId="21B5B1C2" w:rsidR="005E69E3" w:rsidRPr="005E69E3" w:rsidRDefault="005E69E3" w:rsidP="005E69E3">
      <w:pPr>
        <w:spacing w:after="0" w:line="240" w:lineRule="auto"/>
        <w:jc w:val="center"/>
        <w:rPr>
          <w:rFonts w:ascii="Times New Roman" w:eastAsia="Times New Roman" w:hAnsi="Times New Roman" w:cs="Times New Roman"/>
          <w:sz w:val="24"/>
          <w:szCs w:val="24"/>
          <w:lang w:eastAsia="en-GB"/>
        </w:rPr>
      </w:pPr>
      <w:r w:rsidRPr="005E69E3">
        <w:rPr>
          <w:rFonts w:ascii="Arial" w:eastAsia="Times New Roman" w:hAnsi="Arial" w:cs="Arial"/>
          <w:color w:val="000000"/>
          <w:sz w:val="24"/>
          <w:szCs w:val="24"/>
          <w:u w:val="single"/>
          <w:lang w:eastAsia="en-GB"/>
        </w:rPr>
        <w:lastRenderedPageBreak/>
        <w:t>Processes and Procedures Adopted by the First Attending Officer to prevent cross-contamination at a crime scene - Part A</w:t>
      </w:r>
    </w:p>
    <w:p w14:paraId="15A9199F" w14:textId="77777777" w:rsidR="005E69E3" w:rsidRPr="005E69E3" w:rsidRDefault="005E69E3" w:rsidP="005E69E3">
      <w:pPr>
        <w:spacing w:after="240" w:line="240" w:lineRule="auto"/>
        <w:rPr>
          <w:rFonts w:ascii="Times New Roman" w:eastAsia="Times New Roman" w:hAnsi="Times New Roman" w:cs="Times New Roman"/>
          <w:sz w:val="24"/>
          <w:szCs w:val="24"/>
          <w:lang w:eastAsia="en-GB"/>
        </w:rPr>
      </w:pPr>
    </w:p>
    <w:p w14:paraId="1348A65B" w14:textId="2F011A6E" w:rsidR="005E69E3" w:rsidRPr="005E69E3" w:rsidRDefault="005E69E3" w:rsidP="00507F41">
      <w:pPr>
        <w:spacing w:after="0" w:line="480" w:lineRule="auto"/>
        <w:ind w:firstLine="720"/>
        <w:rPr>
          <w:rFonts w:ascii="Times New Roman" w:eastAsia="Times New Roman" w:hAnsi="Times New Roman" w:cs="Times New Roman"/>
          <w:sz w:val="24"/>
          <w:szCs w:val="24"/>
          <w:lang w:eastAsia="en-GB"/>
        </w:rPr>
      </w:pPr>
      <w:r w:rsidRPr="005E69E3">
        <w:rPr>
          <w:rFonts w:ascii="Arial" w:eastAsia="Times New Roman" w:hAnsi="Arial" w:cs="Arial"/>
          <w:color w:val="000000"/>
          <w:sz w:val="24"/>
          <w:szCs w:val="24"/>
          <w:lang w:eastAsia="en-GB"/>
        </w:rPr>
        <w:t>This essay will be made up of two sections, part A and part B. Part A will focus on the processes and procedures adopted by the First Attending Officer (FOA) at a crime scene which helps reduce the possibility of cross-contamination. It will begin by analysing the definition, role and responsibilities of the FOA. Then it will cover DNA, what it means and why procedures are helpful in reducing cross-contamination. It will also cover key concepts such as Locard’s principle of exchange, the Golden Hour and the National Decision Model and their appliance to forensic policing. Other processes such as the common approach path, inner and outer cordons will be explored, focusing on the procedures and processes that the police use to prevent contamination of evidence.  </w:t>
      </w:r>
    </w:p>
    <w:p w14:paraId="6522B05F" w14:textId="5F2313C0" w:rsidR="005E69E3" w:rsidRPr="005E69E3" w:rsidRDefault="005E69E3" w:rsidP="005E69E3">
      <w:pPr>
        <w:spacing w:after="0" w:line="480" w:lineRule="auto"/>
        <w:ind w:firstLine="720"/>
        <w:rPr>
          <w:rFonts w:ascii="Times New Roman" w:eastAsia="Times New Roman" w:hAnsi="Times New Roman" w:cs="Times New Roman"/>
          <w:sz w:val="24"/>
          <w:szCs w:val="24"/>
          <w:lang w:eastAsia="en-GB"/>
        </w:rPr>
      </w:pPr>
      <w:r w:rsidRPr="005E69E3">
        <w:rPr>
          <w:rFonts w:ascii="Arial" w:eastAsia="Times New Roman" w:hAnsi="Arial" w:cs="Arial"/>
          <w:color w:val="000000"/>
          <w:sz w:val="24"/>
          <w:szCs w:val="24"/>
          <w:lang w:eastAsia="en-GB"/>
        </w:rPr>
        <w:t xml:space="preserve">Part B will begin by looking at different sources of evidence to understand where they come from and how it can be recovered. After this, the investigative mindset will be explained what it is and what it is used for along with the ABC approach which is briefly mentioned. The recovery and examination of forensic evidence will be explored by covering the different types of equipment a Crime Scene Investigator can use. Unbroken continuity of evidence is emphasised to show the importance of protecting </w:t>
      </w:r>
      <w:r w:rsidR="00C363E5" w:rsidRPr="005E69E3">
        <w:rPr>
          <w:rFonts w:ascii="Arial" w:eastAsia="Times New Roman" w:hAnsi="Arial" w:cs="Arial"/>
          <w:color w:val="000000"/>
          <w:sz w:val="24"/>
          <w:szCs w:val="24"/>
          <w:lang w:eastAsia="en-GB"/>
        </w:rPr>
        <w:t>evidence,</w:t>
      </w:r>
      <w:r w:rsidRPr="005E69E3">
        <w:rPr>
          <w:rFonts w:ascii="Arial" w:eastAsia="Times New Roman" w:hAnsi="Arial" w:cs="Arial"/>
          <w:color w:val="000000"/>
          <w:sz w:val="24"/>
          <w:szCs w:val="24"/>
          <w:lang w:eastAsia="en-GB"/>
        </w:rPr>
        <w:t xml:space="preserve"> so it is not cross-contaminated. Different strategies and policies are mentioned such as health and safety and using the correct equipment in a crime scene along with the importance of correctly labelling evidence as exhibits.     </w:t>
      </w:r>
    </w:p>
    <w:p w14:paraId="7ED51901" w14:textId="77777777" w:rsidR="005E69E3" w:rsidRPr="005E69E3" w:rsidRDefault="005E69E3" w:rsidP="005E69E3">
      <w:pPr>
        <w:spacing w:after="0" w:line="480" w:lineRule="auto"/>
        <w:ind w:firstLine="720"/>
        <w:rPr>
          <w:rFonts w:ascii="Times New Roman" w:eastAsia="Times New Roman" w:hAnsi="Times New Roman" w:cs="Times New Roman"/>
          <w:sz w:val="24"/>
          <w:szCs w:val="24"/>
          <w:lang w:eastAsia="en-GB"/>
        </w:rPr>
      </w:pPr>
      <w:r w:rsidRPr="005E69E3">
        <w:rPr>
          <w:rFonts w:ascii="Arial" w:eastAsia="Times New Roman" w:hAnsi="Arial" w:cs="Arial"/>
          <w:color w:val="000000"/>
          <w:sz w:val="24"/>
          <w:szCs w:val="24"/>
          <w:lang w:eastAsia="en-GB"/>
        </w:rPr>
        <w:t xml:space="preserve">According to Mears and Neyround (2015), the police officers who follow procedures show they follow law enforcement training which leads them to know the legislation, criminal procedure, and investigative techniques. Birzer and Robertson </w:t>
      </w:r>
      <w:r w:rsidRPr="005E69E3">
        <w:rPr>
          <w:rFonts w:ascii="Arial" w:eastAsia="Times New Roman" w:hAnsi="Arial" w:cs="Arial"/>
          <w:color w:val="000000"/>
          <w:sz w:val="24"/>
          <w:szCs w:val="24"/>
          <w:lang w:eastAsia="en-GB"/>
        </w:rPr>
        <w:lastRenderedPageBreak/>
        <w:t>(2018) agree and explain that the actions taken during a crime scene investigation can play a critical role in the success of the investigation. Emphasis is made on the proper handling of crime scene evidence as it could be vital in identifying a suspect. The processes and procedures prevent the likelihood of a scene being mishandled and the investigation failing. When a police officer is first on a crime scene, they are known as the First Attending Officer (FOA). The College of Policing (2015) lays out the responsibilities of the FOA such as ensuring everyone is safe, building rapport, carrying out initial investigation and identifying risks while on their way to a scene and when they arrive. Furthermore, the Ministry of Justice (2015) defines an investigator as a police officer who is involved in crime scenes and their responsibilities are to record information, to retain records of information and other material. Therefore, the retention of evidence is the main objective of the role of the FAO of a crime scene and to prevent that evidence from being cross-contaminated. </w:t>
      </w:r>
    </w:p>
    <w:p w14:paraId="502D3C2A" w14:textId="77777777" w:rsidR="005E69E3" w:rsidRPr="005E69E3" w:rsidRDefault="005E69E3" w:rsidP="005E69E3">
      <w:pPr>
        <w:spacing w:after="0" w:line="480" w:lineRule="auto"/>
        <w:ind w:firstLine="720"/>
        <w:rPr>
          <w:rFonts w:ascii="Times New Roman" w:eastAsia="Times New Roman" w:hAnsi="Times New Roman" w:cs="Times New Roman"/>
          <w:sz w:val="24"/>
          <w:szCs w:val="24"/>
          <w:lang w:eastAsia="en-GB"/>
        </w:rPr>
      </w:pPr>
      <w:r w:rsidRPr="005E69E3">
        <w:rPr>
          <w:rFonts w:ascii="Arial" w:eastAsia="Times New Roman" w:hAnsi="Arial" w:cs="Arial"/>
          <w:color w:val="000000"/>
          <w:sz w:val="24"/>
          <w:szCs w:val="24"/>
          <w:lang w:eastAsia="en-GB"/>
        </w:rPr>
        <w:t xml:space="preserve">The Forensic Science Regulator (2020) defines contamination as when DNA or another type of biological material containing DNA is introduced to the exhibit at or after the point of a controlled investigation. Following good practice procedures and standards by following methods during criminal investigations in crime scenes will reduce the likelihood of cross-contamination occurring. Cross-contamination is derived from Locard’s principle of exchange in which he said that every contact leaves a trace (College of Policing, 2013). This theory focuses on the evidence someone leaves behind when they enter a crime scene, for example, the first use of forensic evidence in the UK was in 1988 in which a man who killed a 15-year-old girl was caught as a result of the first mass screening of genetic fingerprints (Cobain, 2016). Rose (2021) further explains the importance of evidence preservation by stating that nobody has a second chance at recovering evidence that has been </w:t>
      </w:r>
      <w:r w:rsidRPr="005E69E3">
        <w:rPr>
          <w:rFonts w:ascii="Arial" w:eastAsia="Times New Roman" w:hAnsi="Arial" w:cs="Arial"/>
          <w:color w:val="000000"/>
          <w:sz w:val="24"/>
          <w:szCs w:val="24"/>
          <w:lang w:eastAsia="en-GB"/>
        </w:rPr>
        <w:lastRenderedPageBreak/>
        <w:t>damaged or destroyed by poor decision making, retrieval and handling. If an FAO does not follow procedure, crucial evidence in cases could be lost and the investigation would be closed with no success. </w:t>
      </w:r>
    </w:p>
    <w:p w14:paraId="7269FA63" w14:textId="5A789AD6" w:rsidR="005E69E3" w:rsidRPr="005E69E3" w:rsidRDefault="005E69E3" w:rsidP="005E69E3">
      <w:pPr>
        <w:spacing w:after="0" w:line="480" w:lineRule="auto"/>
        <w:ind w:firstLine="720"/>
        <w:rPr>
          <w:rFonts w:ascii="Times New Roman" w:eastAsia="Times New Roman" w:hAnsi="Times New Roman" w:cs="Times New Roman"/>
          <w:sz w:val="24"/>
          <w:szCs w:val="24"/>
          <w:lang w:eastAsia="en-GB"/>
        </w:rPr>
      </w:pPr>
      <w:r w:rsidRPr="005E69E3">
        <w:rPr>
          <w:rFonts w:ascii="Arial" w:eastAsia="Times New Roman" w:hAnsi="Arial" w:cs="Arial"/>
          <w:color w:val="000000"/>
          <w:sz w:val="24"/>
          <w:szCs w:val="24"/>
          <w:lang w:eastAsia="en-GB"/>
        </w:rPr>
        <w:t xml:space="preserve">To better understand the procedures to prevent cross-contamination, a basis must be made of different types of evidence and how to store them correctly. </w:t>
      </w:r>
      <w:r w:rsidR="00C363E5" w:rsidRPr="005E69E3">
        <w:rPr>
          <w:rFonts w:ascii="Arial" w:eastAsia="Times New Roman" w:hAnsi="Arial" w:cs="Arial"/>
          <w:color w:val="000000"/>
          <w:sz w:val="24"/>
          <w:szCs w:val="24"/>
          <w:lang w:eastAsia="en-GB"/>
        </w:rPr>
        <w:t>Firstly,</w:t>
      </w:r>
      <w:r w:rsidRPr="005E69E3">
        <w:rPr>
          <w:rFonts w:ascii="Arial" w:eastAsia="Times New Roman" w:hAnsi="Arial" w:cs="Arial"/>
          <w:color w:val="000000"/>
          <w:sz w:val="24"/>
          <w:szCs w:val="24"/>
          <w:lang w:eastAsia="en-GB"/>
        </w:rPr>
        <w:t xml:space="preserve"> trace evidence is very small amounts of substances, these would include fibres, hairs, glass fragments, paint chips, soil and other similar types. Trace evidence can often tell the story about what happened at a scene and for this reason, is often called the silent witness against a person because they do not notice the traces (Roux et al., 2015). Fingerprints can also be lifted and examined, they are separated into five categories: the arch, tench arch, left loop, right loop and whorl. These different types of classifications allow for identifying victims or suspects (Karu and Jain, 2001). Blood and other bodily fluids can be used to determine who it belongs to and the potential for looking at the time it was discharged due to its dryness (Zou et al., 2016). This evidence can also be uploaded to the National DNA Database which compares with samples on the database, it can also be compared with samples from other nations that use the system and is shared via INTERPOL if needed (Home Office, 2013, Buckleton et al., 2018). </w:t>
      </w:r>
    </w:p>
    <w:p w14:paraId="66B78DB7" w14:textId="77777777" w:rsidR="005E69E3" w:rsidRPr="005E69E3" w:rsidRDefault="005E69E3" w:rsidP="005E69E3">
      <w:pPr>
        <w:spacing w:after="0" w:line="480" w:lineRule="auto"/>
        <w:ind w:firstLine="720"/>
        <w:rPr>
          <w:rFonts w:ascii="Times New Roman" w:eastAsia="Times New Roman" w:hAnsi="Times New Roman" w:cs="Times New Roman"/>
          <w:sz w:val="24"/>
          <w:szCs w:val="24"/>
          <w:lang w:eastAsia="en-GB"/>
        </w:rPr>
      </w:pPr>
      <w:r w:rsidRPr="005E69E3">
        <w:rPr>
          <w:rFonts w:ascii="Arial" w:eastAsia="Times New Roman" w:hAnsi="Arial" w:cs="Arial"/>
          <w:color w:val="000000"/>
          <w:sz w:val="24"/>
          <w:szCs w:val="24"/>
          <w:lang w:eastAsia="en-GB"/>
        </w:rPr>
        <w:t xml:space="preserve">The National Decision Model (NDM) is a model that can be applied to sudden incidents or planned operations to ensure that key areas are covered when making decisions that oftentimes requires a rapid response. The model begins by gathering information and intelligence, assessing threat, risk, harm and developing a working strategy, looking at powers and policies, identifying options and contingencies and finally </w:t>
      </w:r>
      <w:proofErr w:type="gramStart"/>
      <w:r w:rsidRPr="005E69E3">
        <w:rPr>
          <w:rFonts w:ascii="Arial" w:eastAsia="Times New Roman" w:hAnsi="Arial" w:cs="Arial"/>
          <w:color w:val="000000"/>
          <w:sz w:val="24"/>
          <w:szCs w:val="24"/>
          <w:lang w:eastAsia="en-GB"/>
        </w:rPr>
        <w:t>taking action</w:t>
      </w:r>
      <w:proofErr w:type="gramEnd"/>
      <w:r w:rsidRPr="005E69E3">
        <w:rPr>
          <w:rFonts w:ascii="Arial" w:eastAsia="Times New Roman" w:hAnsi="Arial" w:cs="Arial"/>
          <w:color w:val="000000"/>
          <w:sz w:val="24"/>
          <w:szCs w:val="24"/>
          <w:lang w:eastAsia="en-GB"/>
        </w:rPr>
        <w:t xml:space="preserve"> and reviewing the whole decision (College of Policing, 2013). Hamilton et al. (2021) found that in a study across 10 states of assessed youths </w:t>
      </w:r>
      <w:r w:rsidRPr="005E69E3">
        <w:rPr>
          <w:rFonts w:ascii="Arial" w:eastAsia="Times New Roman" w:hAnsi="Arial" w:cs="Arial"/>
          <w:color w:val="000000"/>
          <w:sz w:val="24"/>
          <w:szCs w:val="24"/>
          <w:lang w:eastAsia="en-GB"/>
        </w:rPr>
        <w:lastRenderedPageBreak/>
        <w:t>found that risk assessing situations improved their link to each aspect they covered, being more mindful of them when carrying out a given task. Therefore, showing that having a dynamic risk assessment model can help police officers better their effectiveness in dealing with investigations and crime scenes. Having the access to a reliable risk assessment model, it will allow the officer to make sensible decisions to manage a situation (Bishop, 2015). Regarding forensic evidence, it will allow for an officer to preserve evidence and prevent cross-contamination by following a structured plan which is beneficial for justifying actions taken. </w:t>
      </w:r>
    </w:p>
    <w:p w14:paraId="2AC49919" w14:textId="77777777" w:rsidR="005E69E3" w:rsidRPr="005E69E3" w:rsidRDefault="005E69E3" w:rsidP="005E69E3">
      <w:pPr>
        <w:spacing w:after="0" w:line="480" w:lineRule="auto"/>
        <w:ind w:firstLine="720"/>
        <w:rPr>
          <w:rFonts w:ascii="Times New Roman" w:eastAsia="Times New Roman" w:hAnsi="Times New Roman" w:cs="Times New Roman"/>
          <w:sz w:val="24"/>
          <w:szCs w:val="24"/>
          <w:lang w:eastAsia="en-GB"/>
        </w:rPr>
      </w:pPr>
      <w:r w:rsidRPr="005E69E3">
        <w:rPr>
          <w:rFonts w:ascii="Arial" w:eastAsia="Times New Roman" w:hAnsi="Arial" w:cs="Arial"/>
          <w:color w:val="000000"/>
          <w:sz w:val="24"/>
          <w:szCs w:val="24"/>
          <w:lang w:eastAsia="en-GB"/>
        </w:rPr>
        <w:t>Another well-known principle is the golden hour, which when paired up with the NDM can increase the chance of evidence being preserved. According to the College of Policing (2013), the golden hour is the short period after an offence has occurred which the police need to contain before evidence is lost. If the FOA gets to the scene within the first hour and follows the principles of the NDM can maximise the chances of material being secured and able to be used in court. The golden hour considerations include identifying the victims, witnesses and suspects, creating a log of who attends the scene and collecting intelligence and physical evidence. The Police Criminal Evidence Act (1984) in section 19 states that evidence is necessary to be seized to prevent it from being concealed, lost, altered, damaged or destroyed. If the golden hour principle is applied, the chances of property or evidence from becoming cross-contaminated would be less likely.  </w:t>
      </w:r>
    </w:p>
    <w:p w14:paraId="533211F9" w14:textId="77777777" w:rsidR="005E69E3" w:rsidRPr="005E69E3" w:rsidRDefault="005E69E3" w:rsidP="005E69E3">
      <w:pPr>
        <w:spacing w:after="0" w:line="480" w:lineRule="auto"/>
        <w:ind w:firstLine="720"/>
        <w:rPr>
          <w:rFonts w:ascii="Times New Roman" w:eastAsia="Times New Roman" w:hAnsi="Times New Roman" w:cs="Times New Roman"/>
          <w:sz w:val="24"/>
          <w:szCs w:val="24"/>
          <w:lang w:eastAsia="en-GB"/>
        </w:rPr>
      </w:pPr>
      <w:r w:rsidRPr="005E69E3">
        <w:rPr>
          <w:rFonts w:ascii="Arial" w:eastAsia="Times New Roman" w:hAnsi="Arial" w:cs="Arial"/>
          <w:color w:val="000000"/>
          <w:sz w:val="24"/>
          <w:szCs w:val="24"/>
          <w:lang w:eastAsia="en-GB"/>
        </w:rPr>
        <w:t xml:space="preserve">Following the initial processes and procedures, there are methods the FOA can use to reduce cross-contamination. Horeswell (2004), offers opinions on the methods of the FOA. Depending on the case it may be more advantageous for the FOA to first observe and note everything in the crime scene before walking around it, potentially destroying evidence. The common approach path is mentioned as a </w:t>
      </w:r>
      <w:r w:rsidRPr="005E69E3">
        <w:rPr>
          <w:rFonts w:ascii="Arial" w:eastAsia="Times New Roman" w:hAnsi="Arial" w:cs="Arial"/>
          <w:color w:val="000000"/>
          <w:sz w:val="24"/>
          <w:szCs w:val="24"/>
          <w:lang w:eastAsia="en-GB"/>
        </w:rPr>
        <w:lastRenderedPageBreak/>
        <w:t>method of cross-contamination prevention. It works by the officer creating a simple path in and out of the crime scene which everyone would follow to prevent other people from walking into the crime scene without the correct training or equipment. Singh (2021) offers different ways to walk around a crime scene to ensure all the grounds are covered. This can be done by walking in different patterns around the room, some include the spiral method in which the officer would circle the room from the outer edge to the centre or a strip method, which is walking in a straight strip line across the area. This would prevent any pieces of evidence from being missed when searched and can be logged as exhibits, having a unique number for records (</w:t>
      </w:r>
      <w:proofErr w:type="spellStart"/>
      <w:r w:rsidRPr="005E69E3">
        <w:rPr>
          <w:rFonts w:ascii="Arial" w:eastAsia="Times New Roman" w:hAnsi="Arial" w:cs="Arial"/>
          <w:color w:val="000000"/>
          <w:sz w:val="24"/>
          <w:szCs w:val="24"/>
          <w:lang w:eastAsia="en-GB"/>
        </w:rPr>
        <w:t>Horswell</w:t>
      </w:r>
      <w:proofErr w:type="spellEnd"/>
      <w:r w:rsidRPr="005E69E3">
        <w:rPr>
          <w:rFonts w:ascii="Arial" w:eastAsia="Times New Roman" w:hAnsi="Arial" w:cs="Arial"/>
          <w:color w:val="000000"/>
          <w:sz w:val="24"/>
          <w:szCs w:val="24"/>
          <w:lang w:eastAsia="en-GB"/>
        </w:rPr>
        <w:t>, 2004).  </w:t>
      </w:r>
    </w:p>
    <w:p w14:paraId="42E858A5" w14:textId="20824EBB" w:rsidR="005E69E3" w:rsidRPr="005E69E3" w:rsidRDefault="005E69E3" w:rsidP="005E69E3">
      <w:pPr>
        <w:spacing w:after="0" w:line="480" w:lineRule="auto"/>
        <w:ind w:firstLine="720"/>
        <w:rPr>
          <w:rFonts w:ascii="Times New Roman" w:eastAsia="Times New Roman" w:hAnsi="Times New Roman" w:cs="Times New Roman"/>
          <w:sz w:val="24"/>
          <w:szCs w:val="24"/>
          <w:lang w:eastAsia="en-GB"/>
        </w:rPr>
      </w:pPr>
      <w:r w:rsidRPr="005E69E3">
        <w:rPr>
          <w:rFonts w:ascii="Arial" w:eastAsia="Times New Roman" w:hAnsi="Arial" w:cs="Arial"/>
          <w:color w:val="000000"/>
          <w:sz w:val="24"/>
          <w:szCs w:val="24"/>
          <w:lang w:eastAsia="en-GB"/>
        </w:rPr>
        <w:t xml:space="preserve">Along with the common approach path, cordons can be used to section off the crime scene. Butler (2020) highlights the use of the inner cordon in crime scenes around the primary scene. Everyone that passes under the inner cordon into the scene must be logged in using the scene log. This prevents a person from entering the primary section unaccounted for, changing or destroying evidence and leaving without anyone knowing. The PSNI (2016) further explains that the tape used for the inner cordon includes red and white tape and that is where the common approach path will begin. Furthermore, the outer cordon is the area signified by the blue and white police tape or natural </w:t>
      </w:r>
      <w:r w:rsidR="00C363E5" w:rsidRPr="005E69E3">
        <w:rPr>
          <w:rFonts w:ascii="Arial" w:eastAsia="Times New Roman" w:hAnsi="Arial" w:cs="Arial"/>
          <w:color w:val="000000"/>
          <w:sz w:val="24"/>
          <w:szCs w:val="24"/>
          <w:lang w:eastAsia="en-GB"/>
        </w:rPr>
        <w:t>man-made</w:t>
      </w:r>
      <w:r w:rsidRPr="005E69E3">
        <w:rPr>
          <w:rFonts w:ascii="Arial" w:eastAsia="Times New Roman" w:hAnsi="Arial" w:cs="Arial"/>
          <w:color w:val="000000"/>
          <w:sz w:val="24"/>
          <w:szCs w:val="24"/>
          <w:lang w:eastAsia="en-GB"/>
        </w:rPr>
        <w:t xml:space="preserve"> barriers. This is where the police can monitor the crime scene without cross-contaminating with the evidence within the inner cordon. </w:t>
      </w:r>
    </w:p>
    <w:p w14:paraId="669D8DF4" w14:textId="77777777" w:rsidR="005E69E3" w:rsidRPr="005E69E3" w:rsidRDefault="005E69E3" w:rsidP="005E69E3">
      <w:pPr>
        <w:spacing w:after="0" w:line="480" w:lineRule="auto"/>
        <w:ind w:firstLine="720"/>
        <w:rPr>
          <w:rFonts w:ascii="Times New Roman" w:eastAsia="Times New Roman" w:hAnsi="Times New Roman" w:cs="Times New Roman"/>
          <w:sz w:val="24"/>
          <w:szCs w:val="24"/>
          <w:lang w:eastAsia="en-GB"/>
        </w:rPr>
      </w:pPr>
      <w:r w:rsidRPr="005E69E3">
        <w:rPr>
          <w:rFonts w:ascii="Arial" w:eastAsia="Times New Roman" w:hAnsi="Arial" w:cs="Arial"/>
          <w:color w:val="000000"/>
          <w:sz w:val="24"/>
          <w:szCs w:val="24"/>
          <w:lang w:eastAsia="en-GB"/>
        </w:rPr>
        <w:t>Once the FOA has finalised their investigation the scene must be released to the appropriate authorities. According to the College of Policing (2013), the scene should not be released until the investigator is satisfied that all expert advice has been met and that a police search adviser (</w:t>
      </w:r>
      <w:proofErr w:type="spellStart"/>
      <w:r w:rsidRPr="005E69E3">
        <w:rPr>
          <w:rFonts w:ascii="Arial" w:eastAsia="Times New Roman" w:hAnsi="Arial" w:cs="Arial"/>
          <w:color w:val="000000"/>
          <w:sz w:val="24"/>
          <w:szCs w:val="24"/>
          <w:lang w:eastAsia="en-GB"/>
        </w:rPr>
        <w:t>PolSA</w:t>
      </w:r>
      <w:proofErr w:type="spellEnd"/>
      <w:r w:rsidRPr="005E69E3">
        <w:rPr>
          <w:rFonts w:ascii="Arial" w:eastAsia="Times New Roman" w:hAnsi="Arial" w:cs="Arial"/>
          <w:color w:val="000000"/>
          <w:sz w:val="24"/>
          <w:szCs w:val="24"/>
          <w:lang w:eastAsia="en-GB"/>
        </w:rPr>
        <w:t xml:space="preserve">) team has done a full and final </w:t>
      </w:r>
      <w:r w:rsidRPr="005E69E3">
        <w:rPr>
          <w:rFonts w:ascii="Arial" w:eastAsia="Times New Roman" w:hAnsi="Arial" w:cs="Arial"/>
          <w:color w:val="000000"/>
          <w:sz w:val="24"/>
          <w:szCs w:val="24"/>
          <w:lang w:eastAsia="en-GB"/>
        </w:rPr>
        <w:lastRenderedPageBreak/>
        <w:t xml:space="preserve">search. This is to ensure no key pieces of evidence were missed and that different people can view the scene with a fresh mind. Gardner and </w:t>
      </w:r>
      <w:proofErr w:type="spellStart"/>
      <w:r w:rsidRPr="005E69E3">
        <w:rPr>
          <w:rFonts w:ascii="Arial" w:eastAsia="Times New Roman" w:hAnsi="Arial" w:cs="Arial"/>
          <w:color w:val="000000"/>
          <w:sz w:val="24"/>
          <w:szCs w:val="24"/>
          <w:lang w:eastAsia="en-GB"/>
        </w:rPr>
        <w:t>Krouskup</w:t>
      </w:r>
      <w:proofErr w:type="spellEnd"/>
      <w:r w:rsidRPr="005E69E3">
        <w:rPr>
          <w:rFonts w:ascii="Arial" w:eastAsia="Times New Roman" w:hAnsi="Arial" w:cs="Arial"/>
          <w:color w:val="000000"/>
          <w:sz w:val="24"/>
          <w:szCs w:val="24"/>
          <w:lang w:eastAsia="en-GB"/>
        </w:rPr>
        <w:t xml:space="preserve"> (2018) highlight the importance of briefing the team who you work with about all the information gathered which would allow them to be more effective in their investigation. Recommendations are made to make notes during this waiting period since the crime scene is still newly observed and can gather the information accurately and correctly. Failure to do so would result in key pieces of evidence or information being forgotten which would hinder the investigation.  </w:t>
      </w:r>
    </w:p>
    <w:p w14:paraId="455BA594" w14:textId="77777777" w:rsidR="005E69E3" w:rsidRPr="005E69E3" w:rsidRDefault="005E69E3" w:rsidP="005E69E3">
      <w:pPr>
        <w:spacing w:after="0" w:line="480" w:lineRule="auto"/>
        <w:ind w:firstLine="720"/>
        <w:rPr>
          <w:rFonts w:ascii="Times New Roman" w:eastAsia="Times New Roman" w:hAnsi="Times New Roman" w:cs="Times New Roman"/>
          <w:sz w:val="24"/>
          <w:szCs w:val="24"/>
          <w:lang w:eastAsia="en-GB"/>
        </w:rPr>
      </w:pPr>
      <w:r w:rsidRPr="005E69E3">
        <w:rPr>
          <w:rFonts w:ascii="Arial" w:eastAsia="Times New Roman" w:hAnsi="Arial" w:cs="Arial"/>
          <w:color w:val="000000"/>
          <w:sz w:val="24"/>
          <w:szCs w:val="24"/>
          <w:lang w:eastAsia="en-GB"/>
        </w:rPr>
        <w:t>For a police officer to gather evidence within someone’s property, they must have grounds to do so and legislation to back them up. The Police and Criminal Evidence Act (1984) (PACE) holds entry powers the police can use to enter and search premises. Section 17(1)(b) allows officers to enter and search any premises for the purpose of arresting a person for an indictable offence and subsection (1)(e) allows for entry and search to save life or limb or prevent damage to the property. Section 17 is often used in times when the officer requires a rapid entry into the premises. As well as PACE, the police can also use common law for entry to prevent or deal with a breach of the peace and it can be used to rule against people in court under the Criminal Procedure and Investigations Act (1996). The Children Act (1989) under section 48 allows officers to obtain a warrant for entry if a child needs protection. </w:t>
      </w:r>
    </w:p>
    <w:p w14:paraId="67EBF3BB" w14:textId="0278CBDB" w:rsidR="005E69E3" w:rsidRPr="005E69E3" w:rsidRDefault="005E69E3" w:rsidP="005E69E3">
      <w:pPr>
        <w:spacing w:after="0" w:line="480" w:lineRule="auto"/>
        <w:ind w:firstLine="720"/>
        <w:rPr>
          <w:rFonts w:ascii="Times New Roman" w:eastAsia="Times New Roman" w:hAnsi="Times New Roman" w:cs="Times New Roman"/>
          <w:sz w:val="24"/>
          <w:szCs w:val="24"/>
          <w:lang w:eastAsia="en-GB"/>
        </w:rPr>
      </w:pPr>
      <w:r w:rsidRPr="005E69E3">
        <w:rPr>
          <w:rFonts w:ascii="Arial" w:eastAsia="Times New Roman" w:hAnsi="Arial" w:cs="Arial"/>
          <w:color w:val="000000"/>
          <w:sz w:val="24"/>
          <w:szCs w:val="24"/>
          <w:lang w:eastAsia="en-GB"/>
        </w:rPr>
        <w:t xml:space="preserve">These pieces of legislation allow lawful entry into buildings that often are homes or private property to further an investigation and later collect evidence. Section 19 of PACE acts as a general seizing power for the police to use to lawfully gather evidence that can be used in court. It may be mentioned also that laws like the Regulation of Investigatory Powers Act (2000) are in place to prevent officers </w:t>
      </w:r>
      <w:r w:rsidRPr="005E69E3">
        <w:rPr>
          <w:rFonts w:ascii="Arial" w:eastAsia="Times New Roman" w:hAnsi="Arial" w:cs="Arial"/>
          <w:color w:val="000000"/>
          <w:sz w:val="24"/>
          <w:szCs w:val="24"/>
          <w:lang w:eastAsia="en-GB"/>
        </w:rPr>
        <w:lastRenderedPageBreak/>
        <w:t xml:space="preserve">from gathering surveillance as evidence that is not lawful and would be admissible in court unless given the authorisation to do so. Code D of PACE also allows for officers to gather fingerprints or footwear from a person if they are suspected to be involved or committed a crime. Furthermore, photographs can be taken as an examination method for evidence and visuals of the crime scene and where items and exhibits were (Home Office, 2017). This allows them to match the fingerprints and footwear to ones found at the crime scene. The second part of the essay covered different sources of evidence and the different methods the police use through their investigative mindset. By using their </w:t>
      </w:r>
      <w:r w:rsidR="00C363E5" w:rsidRPr="005E69E3">
        <w:rPr>
          <w:rFonts w:ascii="Arial" w:eastAsia="Times New Roman" w:hAnsi="Arial" w:cs="Arial"/>
          <w:color w:val="000000"/>
          <w:sz w:val="24"/>
          <w:szCs w:val="24"/>
          <w:lang w:eastAsia="en-GB"/>
        </w:rPr>
        <w:t>knowledge,</w:t>
      </w:r>
      <w:r w:rsidRPr="005E69E3">
        <w:rPr>
          <w:rFonts w:ascii="Arial" w:eastAsia="Times New Roman" w:hAnsi="Arial" w:cs="Arial"/>
          <w:color w:val="000000"/>
          <w:sz w:val="24"/>
          <w:szCs w:val="24"/>
          <w:lang w:eastAsia="en-GB"/>
        </w:rPr>
        <w:t xml:space="preserve"> they would bag and label all evidence found and they would become exhibits and evidence that can be later used in court. Recovery of evidence is critical to police investigations and the correct equipment must be used to both collect and transport evidence. Recommendations were also explored on how to handle evidence and measures in place to prevent contamination. </w:t>
      </w:r>
    </w:p>
    <w:p w14:paraId="61F24C63" w14:textId="77777777" w:rsidR="005E69E3" w:rsidRPr="005E69E3" w:rsidRDefault="005E69E3" w:rsidP="005E69E3">
      <w:pPr>
        <w:spacing w:after="240" w:line="240" w:lineRule="auto"/>
        <w:rPr>
          <w:rFonts w:ascii="Times New Roman" w:eastAsia="Times New Roman" w:hAnsi="Times New Roman" w:cs="Times New Roman"/>
          <w:sz w:val="24"/>
          <w:szCs w:val="24"/>
          <w:lang w:eastAsia="en-GB"/>
        </w:rPr>
      </w:pPr>
      <w:r w:rsidRPr="005E69E3">
        <w:rPr>
          <w:rFonts w:ascii="Times New Roman" w:eastAsia="Times New Roman" w:hAnsi="Times New Roman" w:cs="Times New Roman"/>
          <w:sz w:val="24"/>
          <w:szCs w:val="24"/>
          <w:lang w:eastAsia="en-GB"/>
        </w:rPr>
        <w:br/>
      </w:r>
      <w:r w:rsidRPr="005E69E3">
        <w:rPr>
          <w:rFonts w:ascii="Times New Roman" w:eastAsia="Times New Roman" w:hAnsi="Times New Roman" w:cs="Times New Roman"/>
          <w:sz w:val="24"/>
          <w:szCs w:val="24"/>
          <w:lang w:eastAsia="en-GB"/>
        </w:rPr>
        <w:br/>
      </w:r>
      <w:r w:rsidRPr="005E69E3">
        <w:rPr>
          <w:rFonts w:ascii="Times New Roman" w:eastAsia="Times New Roman" w:hAnsi="Times New Roman" w:cs="Times New Roman"/>
          <w:sz w:val="24"/>
          <w:szCs w:val="24"/>
          <w:lang w:eastAsia="en-GB"/>
        </w:rPr>
        <w:br/>
      </w:r>
      <w:r w:rsidRPr="005E69E3">
        <w:rPr>
          <w:rFonts w:ascii="Times New Roman" w:eastAsia="Times New Roman" w:hAnsi="Times New Roman" w:cs="Times New Roman"/>
          <w:sz w:val="24"/>
          <w:szCs w:val="24"/>
          <w:lang w:eastAsia="en-GB"/>
        </w:rPr>
        <w:br/>
      </w:r>
      <w:r w:rsidRPr="005E69E3">
        <w:rPr>
          <w:rFonts w:ascii="Times New Roman" w:eastAsia="Times New Roman" w:hAnsi="Times New Roman" w:cs="Times New Roman"/>
          <w:sz w:val="24"/>
          <w:szCs w:val="24"/>
          <w:lang w:eastAsia="en-GB"/>
        </w:rPr>
        <w:br/>
      </w:r>
      <w:r w:rsidRPr="005E69E3">
        <w:rPr>
          <w:rFonts w:ascii="Times New Roman" w:eastAsia="Times New Roman" w:hAnsi="Times New Roman" w:cs="Times New Roman"/>
          <w:sz w:val="24"/>
          <w:szCs w:val="24"/>
          <w:lang w:eastAsia="en-GB"/>
        </w:rPr>
        <w:br/>
      </w:r>
      <w:r w:rsidRPr="005E69E3">
        <w:rPr>
          <w:rFonts w:ascii="Times New Roman" w:eastAsia="Times New Roman" w:hAnsi="Times New Roman" w:cs="Times New Roman"/>
          <w:sz w:val="24"/>
          <w:szCs w:val="24"/>
          <w:lang w:eastAsia="en-GB"/>
        </w:rPr>
        <w:br/>
      </w:r>
      <w:r w:rsidRPr="005E69E3">
        <w:rPr>
          <w:rFonts w:ascii="Times New Roman" w:eastAsia="Times New Roman" w:hAnsi="Times New Roman" w:cs="Times New Roman"/>
          <w:sz w:val="24"/>
          <w:szCs w:val="24"/>
          <w:lang w:eastAsia="en-GB"/>
        </w:rPr>
        <w:br/>
      </w:r>
    </w:p>
    <w:p w14:paraId="76CD55F7" w14:textId="77777777" w:rsidR="005E69E3" w:rsidRDefault="005E69E3" w:rsidP="005E69E3">
      <w:pPr>
        <w:spacing w:after="0" w:line="480" w:lineRule="auto"/>
        <w:jc w:val="center"/>
        <w:rPr>
          <w:rFonts w:ascii="Arial" w:eastAsia="Times New Roman" w:hAnsi="Arial" w:cs="Arial"/>
          <w:color w:val="000000"/>
          <w:sz w:val="24"/>
          <w:szCs w:val="24"/>
          <w:u w:val="single"/>
          <w:lang w:eastAsia="en-GB"/>
        </w:rPr>
      </w:pPr>
    </w:p>
    <w:p w14:paraId="2FE697AE" w14:textId="77777777" w:rsidR="005E69E3" w:rsidRDefault="005E69E3" w:rsidP="005E69E3">
      <w:pPr>
        <w:spacing w:after="0" w:line="480" w:lineRule="auto"/>
        <w:jc w:val="center"/>
        <w:rPr>
          <w:rFonts w:ascii="Arial" w:eastAsia="Times New Roman" w:hAnsi="Arial" w:cs="Arial"/>
          <w:color w:val="000000"/>
          <w:sz w:val="24"/>
          <w:szCs w:val="24"/>
          <w:u w:val="single"/>
          <w:lang w:eastAsia="en-GB"/>
        </w:rPr>
      </w:pPr>
    </w:p>
    <w:p w14:paraId="4002A240" w14:textId="77777777" w:rsidR="005E69E3" w:rsidRDefault="005E69E3" w:rsidP="005E69E3">
      <w:pPr>
        <w:spacing w:after="0" w:line="480" w:lineRule="auto"/>
        <w:jc w:val="center"/>
        <w:rPr>
          <w:rFonts w:ascii="Arial" w:eastAsia="Times New Roman" w:hAnsi="Arial" w:cs="Arial"/>
          <w:color w:val="000000"/>
          <w:sz w:val="24"/>
          <w:szCs w:val="24"/>
          <w:u w:val="single"/>
          <w:lang w:eastAsia="en-GB"/>
        </w:rPr>
      </w:pPr>
    </w:p>
    <w:p w14:paraId="597A5996" w14:textId="77777777" w:rsidR="005E69E3" w:rsidRDefault="005E69E3" w:rsidP="005E69E3">
      <w:pPr>
        <w:spacing w:after="0" w:line="480" w:lineRule="auto"/>
        <w:jc w:val="center"/>
        <w:rPr>
          <w:rFonts w:ascii="Arial" w:eastAsia="Times New Roman" w:hAnsi="Arial" w:cs="Arial"/>
          <w:color w:val="000000"/>
          <w:sz w:val="24"/>
          <w:szCs w:val="24"/>
          <w:u w:val="single"/>
          <w:lang w:eastAsia="en-GB"/>
        </w:rPr>
      </w:pPr>
    </w:p>
    <w:p w14:paraId="6DFDBEAD" w14:textId="77777777" w:rsidR="005E69E3" w:rsidRDefault="005E69E3" w:rsidP="005E69E3">
      <w:pPr>
        <w:spacing w:after="0" w:line="480" w:lineRule="auto"/>
        <w:jc w:val="center"/>
        <w:rPr>
          <w:rFonts w:ascii="Arial" w:eastAsia="Times New Roman" w:hAnsi="Arial" w:cs="Arial"/>
          <w:color w:val="000000"/>
          <w:sz w:val="24"/>
          <w:szCs w:val="24"/>
          <w:u w:val="single"/>
          <w:lang w:eastAsia="en-GB"/>
        </w:rPr>
      </w:pPr>
    </w:p>
    <w:p w14:paraId="27694AAF" w14:textId="4AF9D8C4" w:rsidR="005E69E3" w:rsidRPr="005E69E3" w:rsidRDefault="005E69E3" w:rsidP="005E69E3">
      <w:pPr>
        <w:spacing w:after="0" w:line="480" w:lineRule="auto"/>
        <w:jc w:val="center"/>
        <w:rPr>
          <w:rFonts w:ascii="Times New Roman" w:eastAsia="Times New Roman" w:hAnsi="Times New Roman" w:cs="Times New Roman"/>
          <w:sz w:val="24"/>
          <w:szCs w:val="24"/>
          <w:lang w:eastAsia="en-GB"/>
        </w:rPr>
      </w:pPr>
      <w:r w:rsidRPr="005E69E3">
        <w:rPr>
          <w:rFonts w:ascii="Arial" w:eastAsia="Times New Roman" w:hAnsi="Arial" w:cs="Arial"/>
          <w:color w:val="000000"/>
          <w:sz w:val="24"/>
          <w:szCs w:val="24"/>
          <w:u w:val="single"/>
          <w:lang w:eastAsia="en-GB"/>
        </w:rPr>
        <w:lastRenderedPageBreak/>
        <w:t>Methods in Practise for the Recovery and Examination of Forensic Evidence at a Crime Scene - Part B</w:t>
      </w:r>
      <w:r w:rsidRPr="005E69E3">
        <w:rPr>
          <w:rFonts w:ascii="Arial" w:eastAsia="Times New Roman" w:hAnsi="Arial" w:cs="Arial"/>
          <w:color w:val="000000"/>
          <w:sz w:val="24"/>
          <w:szCs w:val="24"/>
          <w:lang w:eastAsia="en-GB"/>
        </w:rPr>
        <w:t> </w:t>
      </w:r>
    </w:p>
    <w:p w14:paraId="0D62D173" w14:textId="77777777" w:rsidR="005E69E3" w:rsidRPr="005E69E3" w:rsidRDefault="005E69E3" w:rsidP="005E69E3">
      <w:pPr>
        <w:spacing w:after="0" w:line="240" w:lineRule="auto"/>
        <w:rPr>
          <w:rFonts w:ascii="Times New Roman" w:eastAsia="Times New Roman" w:hAnsi="Times New Roman" w:cs="Times New Roman"/>
          <w:sz w:val="24"/>
          <w:szCs w:val="24"/>
          <w:lang w:eastAsia="en-GB"/>
        </w:rPr>
      </w:pPr>
    </w:p>
    <w:p w14:paraId="2309F342" w14:textId="3F423D60" w:rsidR="005E69E3" w:rsidRPr="005E69E3" w:rsidRDefault="005E69E3" w:rsidP="00507F41">
      <w:pPr>
        <w:spacing w:after="0" w:line="480" w:lineRule="auto"/>
        <w:ind w:firstLine="720"/>
        <w:rPr>
          <w:rFonts w:ascii="Times New Roman" w:eastAsia="Times New Roman" w:hAnsi="Times New Roman" w:cs="Times New Roman"/>
          <w:sz w:val="24"/>
          <w:szCs w:val="24"/>
          <w:lang w:eastAsia="en-GB"/>
        </w:rPr>
      </w:pPr>
      <w:proofErr w:type="spellStart"/>
      <w:r w:rsidRPr="005E69E3">
        <w:rPr>
          <w:rFonts w:ascii="Arial" w:eastAsia="Times New Roman" w:hAnsi="Arial" w:cs="Arial"/>
          <w:color w:val="000000"/>
          <w:sz w:val="24"/>
          <w:szCs w:val="24"/>
          <w:lang w:eastAsia="en-GB"/>
        </w:rPr>
        <w:t>Touroo</w:t>
      </w:r>
      <w:proofErr w:type="spellEnd"/>
      <w:r w:rsidRPr="005E69E3">
        <w:rPr>
          <w:rFonts w:ascii="Arial" w:eastAsia="Times New Roman" w:hAnsi="Arial" w:cs="Arial"/>
          <w:color w:val="000000"/>
          <w:sz w:val="24"/>
          <w:szCs w:val="24"/>
          <w:lang w:eastAsia="en-GB"/>
        </w:rPr>
        <w:t xml:space="preserve"> and Fitch (2016) highlight sources of evidence that are present at crime scenes. Since every person leaves a trace in a crime scene, the person can become a source of evidence and the item they have come into contact with. The location is also another source of evidence as certain investigations are made up of multiple crime scenes. </w:t>
      </w:r>
      <w:r w:rsidR="001064F0" w:rsidRPr="005E69E3">
        <w:rPr>
          <w:rFonts w:ascii="Arial" w:eastAsia="Times New Roman" w:hAnsi="Arial" w:cs="Arial"/>
          <w:color w:val="000000"/>
          <w:sz w:val="24"/>
          <w:szCs w:val="24"/>
          <w:lang w:eastAsia="en-GB"/>
        </w:rPr>
        <w:t>Therefore,</w:t>
      </w:r>
      <w:r w:rsidRPr="005E69E3">
        <w:rPr>
          <w:rFonts w:ascii="Arial" w:eastAsia="Times New Roman" w:hAnsi="Arial" w:cs="Arial"/>
          <w:color w:val="000000"/>
          <w:sz w:val="24"/>
          <w:szCs w:val="24"/>
          <w:lang w:eastAsia="en-GB"/>
        </w:rPr>
        <w:t xml:space="preserve"> every item that is evidence or has evidence on it must be identified as so. Bryant and Bryant (2021) describe that a police officer or a member of the public who finds an article which could be used as evidence should ‘exhibit’ it. This is to make sure that the evidence is labelled correctly including the initials of the person who found it. Each exhibit is numbered so it can easily be identified when investigating or later in court. This follows the chain of evidence, as it would be noted where and when the evidence was found and notes the time and date of the seizure.   </w:t>
      </w:r>
    </w:p>
    <w:p w14:paraId="4FC5F395" w14:textId="11CF6860" w:rsidR="005E69E3" w:rsidRPr="005E69E3" w:rsidRDefault="005E69E3" w:rsidP="005E69E3">
      <w:pPr>
        <w:spacing w:after="0" w:line="480" w:lineRule="auto"/>
        <w:ind w:firstLine="720"/>
        <w:rPr>
          <w:rFonts w:ascii="Times New Roman" w:eastAsia="Times New Roman" w:hAnsi="Times New Roman" w:cs="Times New Roman"/>
          <w:sz w:val="24"/>
          <w:szCs w:val="24"/>
          <w:lang w:eastAsia="en-GB"/>
        </w:rPr>
      </w:pPr>
      <w:r w:rsidRPr="005E69E3">
        <w:rPr>
          <w:rFonts w:ascii="Arial" w:eastAsia="Times New Roman" w:hAnsi="Arial" w:cs="Arial"/>
          <w:color w:val="000000"/>
          <w:sz w:val="24"/>
          <w:szCs w:val="24"/>
          <w:lang w:eastAsia="en-GB"/>
        </w:rPr>
        <w:t xml:space="preserve">According to the College of Policing (2021), an investigative mindset is needed to conduct effective investigations and gather information. An investigative mindset is a systematic approach to gathering and assessing material. This is a method to carry out an investigation by searching the correct avenues for more information </w:t>
      </w:r>
      <w:r w:rsidR="001064F0" w:rsidRPr="005E69E3">
        <w:rPr>
          <w:rFonts w:ascii="Arial" w:eastAsia="Times New Roman" w:hAnsi="Arial" w:cs="Arial"/>
          <w:color w:val="000000"/>
          <w:sz w:val="24"/>
          <w:szCs w:val="24"/>
          <w:lang w:eastAsia="en-GB"/>
        </w:rPr>
        <w:t>in each</w:t>
      </w:r>
      <w:r w:rsidRPr="005E69E3">
        <w:rPr>
          <w:rFonts w:ascii="Arial" w:eastAsia="Times New Roman" w:hAnsi="Arial" w:cs="Arial"/>
          <w:color w:val="000000"/>
          <w:sz w:val="24"/>
          <w:szCs w:val="24"/>
          <w:lang w:eastAsia="en-GB"/>
        </w:rPr>
        <w:t xml:space="preserve"> case. A way of following this strategy would include identifying who to ask questions and knowing where those answers would lead to next, furthering the line of inquiry. Once the answers lead to an understanding of what happened, the officer can conduct the investigative action and contact whoever they need to assist in that situation, oftentimes it will be the Crime Scene Investigation and the Forensic Management Teams. The Forensic Interview Solutions (2015) mention the ABC approach which police officers use which means assume nothing, </w:t>
      </w:r>
      <w:r w:rsidRPr="005E69E3">
        <w:rPr>
          <w:rFonts w:ascii="Arial" w:eastAsia="Times New Roman" w:hAnsi="Arial" w:cs="Arial"/>
          <w:color w:val="000000"/>
          <w:sz w:val="24"/>
          <w:szCs w:val="24"/>
          <w:lang w:eastAsia="en-GB"/>
        </w:rPr>
        <w:lastRenderedPageBreak/>
        <w:t>believe nothing and to challenge everything. This is a form of the investigative mindset which is beneficial to police investigations because it ensures they do everything which is justified and legal. This process is also beneficial to crime scenes because the challenge everything aspect could prevent the officer from missing key pieces of evidence or trying to see the crime scene from another viewpoint.   </w:t>
      </w:r>
    </w:p>
    <w:p w14:paraId="781E7557" w14:textId="5E3F5709" w:rsidR="005E69E3" w:rsidRPr="005E69E3" w:rsidRDefault="005E69E3" w:rsidP="005E69E3">
      <w:pPr>
        <w:spacing w:after="0" w:line="480" w:lineRule="auto"/>
        <w:ind w:firstLine="720"/>
        <w:rPr>
          <w:rFonts w:ascii="Times New Roman" w:eastAsia="Times New Roman" w:hAnsi="Times New Roman" w:cs="Times New Roman"/>
          <w:sz w:val="24"/>
          <w:szCs w:val="24"/>
          <w:lang w:eastAsia="en-GB"/>
        </w:rPr>
      </w:pPr>
      <w:r w:rsidRPr="005E69E3">
        <w:rPr>
          <w:rFonts w:ascii="Arial" w:eastAsia="Times New Roman" w:hAnsi="Arial" w:cs="Arial"/>
          <w:color w:val="000000"/>
          <w:sz w:val="24"/>
          <w:szCs w:val="24"/>
          <w:lang w:eastAsia="en-GB"/>
        </w:rPr>
        <w:t xml:space="preserve">Recovering forensic evidence is a critical and delicate process of the investigation it is needed for a successful court case. Pepper (2010) describes the types of equipment a Crime Scene Investigator would have in their crime scene case. These include a selection of sizes of tamper-evident/polythene bags, sizes of brown paper sacks, plastic tubes and pots, disposable scalpels and sterile swabs. These would be used to collect exhibits, depending on the item it would need a specific type of bag or plastic to safely store it. For example, knives would not be placed in paper bags as they would </w:t>
      </w:r>
      <w:r w:rsidR="001064F0" w:rsidRPr="005E69E3">
        <w:rPr>
          <w:rFonts w:ascii="Arial" w:eastAsia="Times New Roman" w:hAnsi="Arial" w:cs="Arial"/>
          <w:color w:val="000000"/>
          <w:sz w:val="24"/>
          <w:szCs w:val="24"/>
          <w:lang w:eastAsia="en-GB"/>
        </w:rPr>
        <w:t>tear,</w:t>
      </w:r>
      <w:r w:rsidRPr="005E69E3">
        <w:rPr>
          <w:rFonts w:ascii="Arial" w:eastAsia="Times New Roman" w:hAnsi="Arial" w:cs="Arial"/>
          <w:color w:val="000000"/>
          <w:sz w:val="24"/>
          <w:szCs w:val="24"/>
          <w:lang w:eastAsia="en-GB"/>
        </w:rPr>
        <w:t xml:space="preserve"> and cross-contamination would occur.  Bryant and Bryant (2021) mention the unbroken continuity of evidence and state that exhibits should be packaged with intact integrity seals. The utmost care must be given to prevent cross-contamination and clear communication between the investigator and the forensic team to make sure every team knows what is happening and why. </w:t>
      </w:r>
    </w:p>
    <w:p w14:paraId="43887F1E" w14:textId="77777777" w:rsidR="005E69E3" w:rsidRPr="005E69E3" w:rsidRDefault="005E69E3" w:rsidP="005E69E3">
      <w:pPr>
        <w:spacing w:after="0" w:line="480" w:lineRule="auto"/>
        <w:ind w:firstLine="720"/>
        <w:rPr>
          <w:rFonts w:ascii="Times New Roman" w:eastAsia="Times New Roman" w:hAnsi="Times New Roman" w:cs="Times New Roman"/>
          <w:sz w:val="24"/>
          <w:szCs w:val="24"/>
          <w:lang w:eastAsia="en-GB"/>
        </w:rPr>
      </w:pPr>
      <w:r w:rsidRPr="005E69E3">
        <w:rPr>
          <w:rFonts w:ascii="Arial" w:eastAsia="Times New Roman" w:hAnsi="Arial" w:cs="Arial"/>
          <w:color w:val="000000"/>
          <w:sz w:val="24"/>
          <w:szCs w:val="24"/>
          <w:lang w:eastAsia="en-GB"/>
        </w:rPr>
        <w:t xml:space="preserve">The European Network of Forensic Science Institutes (2020) the recovered material should be handled as little as possible and packaged as soon as possible, lessening the chances of contamination. Health and safety should be considered when dealing with, using the correct equipment and gear can reduce the chances of an officer from being harmed or injured when handling evidence. When handling evidence, precautions such as sealing containers and providing adequate safety prior to transport can reduce the chances of the evidence being damaged or </w:t>
      </w:r>
      <w:r w:rsidRPr="005E69E3">
        <w:rPr>
          <w:rFonts w:ascii="Arial" w:eastAsia="Times New Roman" w:hAnsi="Arial" w:cs="Arial"/>
          <w:color w:val="000000"/>
          <w:sz w:val="24"/>
          <w:szCs w:val="24"/>
          <w:lang w:eastAsia="en-GB"/>
        </w:rPr>
        <w:lastRenderedPageBreak/>
        <w:t>destroyed. It may be noted also that packages should not be re-opened unless in a laboratory or controlled environment, thus reducing contamination risks. The reasons for labelling exhibits are for legal purposes and to maintain the chain of custody which is keeping evidence safe and making sure it goes to the correct facilities. Labels as well as including a unique identifying mark or number and initials of the officer as previously mentioned, other notes such as the description of the material, location of where and when it was gathered and the date and time it was seized.</w:t>
      </w:r>
    </w:p>
    <w:p w14:paraId="66818D1E" w14:textId="77777777" w:rsidR="005E69E3" w:rsidRPr="005E69E3" w:rsidRDefault="005E69E3" w:rsidP="005E69E3">
      <w:pPr>
        <w:spacing w:after="0" w:line="480" w:lineRule="auto"/>
        <w:ind w:firstLine="720"/>
        <w:rPr>
          <w:rFonts w:ascii="Times New Roman" w:eastAsia="Times New Roman" w:hAnsi="Times New Roman" w:cs="Times New Roman"/>
          <w:sz w:val="24"/>
          <w:szCs w:val="24"/>
          <w:lang w:eastAsia="en-GB"/>
        </w:rPr>
      </w:pPr>
      <w:r w:rsidRPr="005E69E3">
        <w:rPr>
          <w:rFonts w:ascii="Arial" w:eastAsia="Times New Roman" w:hAnsi="Arial" w:cs="Arial"/>
          <w:color w:val="000000"/>
          <w:sz w:val="24"/>
          <w:szCs w:val="24"/>
          <w:lang w:eastAsia="en-GB"/>
        </w:rPr>
        <w:t>In conclusion, this essay has explored the procedures and processes of the First Attending Officer at a crime scene and their importance. Their role and responsibilities were also explained and an understanding of what they needed to do when first attending a crime scene was covered. DNA was defined to understand the meaning of cross-contamination to then further the essay on methods of prevention methods of cross-contamination. Cross-contamination was explored in depth to understand why measures must be in place to prevent it from occurring. The different types of evidence were covered which include trace evidence, fingerprints, blood and other bodily fluids which can be contaminated. Two methods, namely the National Decision Model and the Golden Hour principles which are procedures the FOA uses to allow for an effective investigation, collect evidence and prevent cross-contamination. Methods such as common approach path, inner and outer cordons are also used along with different pieces of legislation granting the police different powers for effective investigations. This overall focuses on the primary methods the police can use for effective and successful investigations which also prevent the cross-contamination of evidence.   </w:t>
      </w:r>
    </w:p>
    <w:p w14:paraId="130FB555" w14:textId="77777777" w:rsidR="005E69E3" w:rsidRPr="005E69E3" w:rsidRDefault="005E69E3" w:rsidP="005E69E3">
      <w:pPr>
        <w:spacing w:after="0" w:line="240" w:lineRule="auto"/>
        <w:rPr>
          <w:rFonts w:ascii="Times New Roman" w:eastAsia="Times New Roman" w:hAnsi="Times New Roman" w:cs="Times New Roman"/>
          <w:sz w:val="24"/>
          <w:szCs w:val="24"/>
          <w:lang w:eastAsia="en-GB"/>
        </w:rPr>
      </w:pPr>
    </w:p>
    <w:p w14:paraId="5CAC33E7" w14:textId="77777777" w:rsidR="005E69E3" w:rsidRPr="005E69E3" w:rsidRDefault="005E69E3" w:rsidP="005E69E3">
      <w:pPr>
        <w:spacing w:after="0" w:line="480" w:lineRule="auto"/>
        <w:ind w:firstLine="720"/>
        <w:rPr>
          <w:rFonts w:ascii="Times New Roman" w:eastAsia="Times New Roman" w:hAnsi="Times New Roman" w:cs="Times New Roman"/>
          <w:sz w:val="24"/>
          <w:szCs w:val="24"/>
          <w:lang w:eastAsia="en-GB"/>
        </w:rPr>
      </w:pPr>
      <w:r w:rsidRPr="005E69E3">
        <w:rPr>
          <w:rFonts w:ascii="Arial" w:eastAsia="Times New Roman" w:hAnsi="Arial" w:cs="Arial"/>
          <w:color w:val="000000"/>
          <w:sz w:val="24"/>
          <w:szCs w:val="24"/>
          <w:lang w:eastAsia="en-GB"/>
        </w:rPr>
        <w:t>        </w:t>
      </w:r>
    </w:p>
    <w:p w14:paraId="38F8205E" w14:textId="77777777" w:rsidR="001064F0" w:rsidRDefault="001064F0" w:rsidP="005E69E3">
      <w:pPr>
        <w:spacing w:after="0" w:line="480" w:lineRule="auto"/>
        <w:rPr>
          <w:rFonts w:ascii="Arial" w:eastAsia="Times New Roman" w:hAnsi="Arial" w:cs="Arial"/>
          <w:color w:val="000000"/>
          <w:sz w:val="24"/>
          <w:szCs w:val="24"/>
          <w:u w:val="single"/>
          <w:lang w:eastAsia="en-GB"/>
        </w:rPr>
      </w:pPr>
    </w:p>
    <w:p w14:paraId="554FFD55" w14:textId="3EFADCDF" w:rsidR="005E69E3" w:rsidRPr="005E69E3" w:rsidRDefault="005E69E3" w:rsidP="005E69E3">
      <w:pPr>
        <w:spacing w:after="0" w:line="480" w:lineRule="auto"/>
        <w:rPr>
          <w:rFonts w:ascii="Times New Roman" w:eastAsia="Times New Roman" w:hAnsi="Times New Roman" w:cs="Times New Roman"/>
          <w:sz w:val="24"/>
          <w:szCs w:val="24"/>
          <w:lang w:eastAsia="en-GB"/>
        </w:rPr>
      </w:pPr>
      <w:r w:rsidRPr="005E69E3">
        <w:rPr>
          <w:rFonts w:ascii="Arial" w:eastAsia="Times New Roman" w:hAnsi="Arial" w:cs="Arial"/>
          <w:color w:val="000000"/>
          <w:sz w:val="24"/>
          <w:szCs w:val="24"/>
          <w:u w:val="single"/>
          <w:lang w:eastAsia="en-GB"/>
        </w:rPr>
        <w:lastRenderedPageBreak/>
        <w:t>References</w:t>
      </w:r>
    </w:p>
    <w:p w14:paraId="78B68C9A" w14:textId="77777777" w:rsidR="005E69E3" w:rsidRPr="005E69E3" w:rsidRDefault="005E69E3" w:rsidP="005E69E3">
      <w:pPr>
        <w:spacing w:after="0" w:line="240" w:lineRule="auto"/>
        <w:rPr>
          <w:rFonts w:ascii="Times New Roman" w:eastAsia="Times New Roman" w:hAnsi="Times New Roman" w:cs="Times New Roman"/>
          <w:sz w:val="24"/>
          <w:szCs w:val="24"/>
          <w:lang w:eastAsia="en-GB"/>
        </w:rPr>
      </w:pPr>
    </w:p>
    <w:p w14:paraId="0E3CF146" w14:textId="77777777" w:rsidR="005E69E3" w:rsidRPr="005E69E3" w:rsidRDefault="005E69E3" w:rsidP="005E69E3">
      <w:pPr>
        <w:spacing w:after="0" w:line="480" w:lineRule="auto"/>
        <w:rPr>
          <w:rFonts w:ascii="Times New Roman" w:eastAsia="Times New Roman" w:hAnsi="Times New Roman" w:cs="Times New Roman"/>
          <w:sz w:val="24"/>
          <w:szCs w:val="24"/>
          <w:lang w:eastAsia="en-GB"/>
        </w:rPr>
      </w:pPr>
      <w:r w:rsidRPr="005E69E3">
        <w:rPr>
          <w:rFonts w:ascii="Arial" w:eastAsia="Times New Roman" w:hAnsi="Arial" w:cs="Arial"/>
          <w:color w:val="000000"/>
          <w:sz w:val="24"/>
          <w:szCs w:val="24"/>
          <w:lang w:eastAsia="en-GB"/>
        </w:rPr>
        <w:t xml:space="preserve">Bishop, A (2015) ‘Risk Management in Policing’, </w:t>
      </w:r>
      <w:r w:rsidRPr="005E69E3">
        <w:rPr>
          <w:rFonts w:ascii="Arial" w:eastAsia="Times New Roman" w:hAnsi="Arial" w:cs="Arial"/>
          <w:i/>
          <w:iCs/>
          <w:color w:val="000000"/>
          <w:sz w:val="24"/>
          <w:szCs w:val="24"/>
          <w:lang w:eastAsia="en-GB"/>
        </w:rPr>
        <w:t>Public Services</w:t>
      </w:r>
      <w:r w:rsidRPr="005E69E3">
        <w:rPr>
          <w:rFonts w:ascii="Arial" w:eastAsia="Times New Roman" w:hAnsi="Arial" w:cs="Arial"/>
          <w:color w:val="000000"/>
          <w:sz w:val="24"/>
          <w:szCs w:val="24"/>
          <w:lang w:eastAsia="en-GB"/>
        </w:rPr>
        <w:t>, pp. 79-83.</w:t>
      </w:r>
    </w:p>
    <w:p w14:paraId="5300D1B0" w14:textId="77777777" w:rsidR="005E69E3" w:rsidRPr="005E69E3" w:rsidRDefault="005E69E3" w:rsidP="005E69E3">
      <w:pPr>
        <w:spacing w:after="0" w:line="480" w:lineRule="auto"/>
        <w:rPr>
          <w:rFonts w:ascii="Times New Roman" w:eastAsia="Times New Roman" w:hAnsi="Times New Roman" w:cs="Times New Roman"/>
          <w:sz w:val="24"/>
          <w:szCs w:val="24"/>
          <w:lang w:eastAsia="en-GB"/>
        </w:rPr>
      </w:pPr>
      <w:r w:rsidRPr="005E69E3">
        <w:rPr>
          <w:rFonts w:ascii="Arial" w:eastAsia="Times New Roman" w:hAnsi="Arial" w:cs="Arial"/>
          <w:color w:val="000000"/>
          <w:sz w:val="24"/>
          <w:szCs w:val="24"/>
          <w:lang w:eastAsia="en-GB"/>
        </w:rPr>
        <w:t xml:space="preserve">Available at: </w:t>
      </w:r>
      <w:hyperlink r:id="rId7" w:anchor="citeas" w:history="1">
        <w:r w:rsidRPr="005E69E3">
          <w:rPr>
            <w:rFonts w:ascii="Arial" w:eastAsia="Times New Roman" w:hAnsi="Arial" w:cs="Arial"/>
            <w:color w:val="1155CC"/>
            <w:sz w:val="24"/>
            <w:szCs w:val="24"/>
            <w:u w:val="single"/>
            <w:lang w:eastAsia="en-GB"/>
          </w:rPr>
          <w:t>https://link.springer.com/chapter/10.1007/978-3-319-16568-4_7#citeas</w:t>
        </w:r>
      </w:hyperlink>
      <w:r w:rsidRPr="005E69E3">
        <w:rPr>
          <w:rFonts w:ascii="Arial" w:eastAsia="Times New Roman" w:hAnsi="Arial" w:cs="Arial"/>
          <w:color w:val="000000"/>
          <w:sz w:val="24"/>
          <w:szCs w:val="24"/>
          <w:lang w:eastAsia="en-GB"/>
        </w:rPr>
        <w:t> </w:t>
      </w:r>
    </w:p>
    <w:p w14:paraId="61791CCF" w14:textId="77777777" w:rsidR="005E69E3" w:rsidRPr="005E69E3" w:rsidRDefault="005E69E3" w:rsidP="005E69E3">
      <w:pPr>
        <w:spacing w:after="0" w:line="480" w:lineRule="auto"/>
        <w:rPr>
          <w:rFonts w:ascii="Times New Roman" w:eastAsia="Times New Roman" w:hAnsi="Times New Roman" w:cs="Times New Roman"/>
          <w:sz w:val="24"/>
          <w:szCs w:val="24"/>
          <w:lang w:eastAsia="en-GB"/>
        </w:rPr>
      </w:pPr>
      <w:r w:rsidRPr="005E69E3">
        <w:rPr>
          <w:rFonts w:ascii="Arial" w:eastAsia="Times New Roman" w:hAnsi="Arial" w:cs="Arial"/>
          <w:color w:val="000000"/>
          <w:sz w:val="24"/>
          <w:szCs w:val="24"/>
          <w:lang w:eastAsia="en-GB"/>
        </w:rPr>
        <w:t>(Accessed: 24/02/2022)</w:t>
      </w:r>
    </w:p>
    <w:p w14:paraId="7E532329" w14:textId="77777777" w:rsidR="005E69E3" w:rsidRPr="005E69E3" w:rsidRDefault="005E69E3" w:rsidP="005E69E3">
      <w:pPr>
        <w:spacing w:after="0" w:line="240" w:lineRule="auto"/>
        <w:rPr>
          <w:rFonts w:ascii="Times New Roman" w:eastAsia="Times New Roman" w:hAnsi="Times New Roman" w:cs="Times New Roman"/>
          <w:sz w:val="24"/>
          <w:szCs w:val="24"/>
          <w:lang w:eastAsia="en-GB"/>
        </w:rPr>
      </w:pPr>
    </w:p>
    <w:p w14:paraId="5678E6A9" w14:textId="77777777" w:rsidR="005E69E3" w:rsidRPr="005E69E3" w:rsidRDefault="005E69E3" w:rsidP="005E69E3">
      <w:pPr>
        <w:spacing w:after="0" w:line="480" w:lineRule="auto"/>
        <w:rPr>
          <w:rFonts w:ascii="Times New Roman" w:eastAsia="Times New Roman" w:hAnsi="Times New Roman" w:cs="Times New Roman"/>
          <w:sz w:val="24"/>
          <w:szCs w:val="24"/>
          <w:lang w:eastAsia="en-GB"/>
        </w:rPr>
      </w:pPr>
      <w:r w:rsidRPr="005E69E3">
        <w:rPr>
          <w:rFonts w:ascii="Arial" w:eastAsia="Times New Roman" w:hAnsi="Arial" w:cs="Arial"/>
          <w:color w:val="000000"/>
          <w:sz w:val="24"/>
          <w:szCs w:val="24"/>
          <w:lang w:eastAsia="en-GB"/>
        </w:rPr>
        <w:t xml:space="preserve">Birzer, M., Robertson, C. (2018) </w:t>
      </w:r>
      <w:r w:rsidRPr="005E69E3">
        <w:rPr>
          <w:rFonts w:ascii="Arial" w:eastAsia="Times New Roman" w:hAnsi="Arial" w:cs="Arial"/>
          <w:i/>
          <w:iCs/>
          <w:color w:val="000000"/>
          <w:sz w:val="24"/>
          <w:szCs w:val="24"/>
          <w:lang w:eastAsia="en-GB"/>
        </w:rPr>
        <w:t>Introduction to Criminal Investigation</w:t>
      </w:r>
      <w:r w:rsidRPr="005E69E3">
        <w:rPr>
          <w:rFonts w:ascii="Arial" w:eastAsia="Times New Roman" w:hAnsi="Arial" w:cs="Arial"/>
          <w:color w:val="000000"/>
          <w:sz w:val="24"/>
          <w:szCs w:val="24"/>
          <w:lang w:eastAsia="en-GB"/>
        </w:rPr>
        <w:t>, Florida: CRC Press. </w:t>
      </w:r>
    </w:p>
    <w:p w14:paraId="7735CA84" w14:textId="77777777" w:rsidR="005E69E3" w:rsidRPr="005E69E3" w:rsidRDefault="005E69E3" w:rsidP="005E69E3">
      <w:pPr>
        <w:spacing w:after="0" w:line="240" w:lineRule="auto"/>
        <w:rPr>
          <w:rFonts w:ascii="Times New Roman" w:eastAsia="Times New Roman" w:hAnsi="Times New Roman" w:cs="Times New Roman"/>
          <w:sz w:val="24"/>
          <w:szCs w:val="24"/>
          <w:lang w:eastAsia="en-GB"/>
        </w:rPr>
      </w:pPr>
    </w:p>
    <w:p w14:paraId="65A72416" w14:textId="77777777" w:rsidR="005E69E3" w:rsidRPr="005E69E3" w:rsidRDefault="005E69E3" w:rsidP="005E69E3">
      <w:pPr>
        <w:spacing w:after="0" w:line="480" w:lineRule="auto"/>
        <w:rPr>
          <w:rFonts w:ascii="Times New Roman" w:eastAsia="Times New Roman" w:hAnsi="Times New Roman" w:cs="Times New Roman"/>
          <w:sz w:val="24"/>
          <w:szCs w:val="24"/>
          <w:lang w:eastAsia="en-GB"/>
        </w:rPr>
      </w:pPr>
      <w:r w:rsidRPr="005E69E3">
        <w:rPr>
          <w:rFonts w:ascii="Arial" w:eastAsia="Times New Roman" w:hAnsi="Arial" w:cs="Arial"/>
          <w:color w:val="000000"/>
          <w:sz w:val="24"/>
          <w:szCs w:val="24"/>
          <w:lang w:eastAsia="en-GB"/>
        </w:rPr>
        <w:t xml:space="preserve">Bryant, R., Bryant, S. (2021) </w:t>
      </w:r>
      <w:r w:rsidRPr="005E69E3">
        <w:rPr>
          <w:rFonts w:ascii="Arial" w:eastAsia="Times New Roman" w:hAnsi="Arial" w:cs="Arial"/>
          <w:i/>
          <w:iCs/>
          <w:color w:val="000000"/>
          <w:sz w:val="24"/>
          <w:szCs w:val="24"/>
          <w:lang w:eastAsia="en-GB"/>
        </w:rPr>
        <w:t>Black Stone’s Handbook for Policing Students</w:t>
      </w:r>
      <w:r w:rsidRPr="005E69E3">
        <w:rPr>
          <w:rFonts w:ascii="Arial" w:eastAsia="Times New Roman" w:hAnsi="Arial" w:cs="Arial"/>
          <w:color w:val="000000"/>
          <w:sz w:val="24"/>
          <w:szCs w:val="24"/>
          <w:lang w:eastAsia="en-GB"/>
        </w:rPr>
        <w:t>, Oxford: Oxford University Press. </w:t>
      </w:r>
    </w:p>
    <w:p w14:paraId="58203CD4" w14:textId="77777777" w:rsidR="005E69E3" w:rsidRPr="005E69E3" w:rsidRDefault="005E69E3" w:rsidP="005E69E3">
      <w:pPr>
        <w:spacing w:after="0" w:line="240" w:lineRule="auto"/>
        <w:rPr>
          <w:rFonts w:ascii="Times New Roman" w:eastAsia="Times New Roman" w:hAnsi="Times New Roman" w:cs="Times New Roman"/>
          <w:sz w:val="24"/>
          <w:szCs w:val="24"/>
          <w:lang w:eastAsia="en-GB"/>
        </w:rPr>
      </w:pPr>
    </w:p>
    <w:p w14:paraId="67CA6CE0" w14:textId="77777777" w:rsidR="005E69E3" w:rsidRPr="005E69E3" w:rsidRDefault="005E69E3" w:rsidP="005E69E3">
      <w:pPr>
        <w:spacing w:after="0" w:line="480" w:lineRule="auto"/>
        <w:rPr>
          <w:rFonts w:ascii="Times New Roman" w:eastAsia="Times New Roman" w:hAnsi="Times New Roman" w:cs="Times New Roman"/>
          <w:sz w:val="24"/>
          <w:szCs w:val="24"/>
          <w:lang w:eastAsia="en-GB"/>
        </w:rPr>
      </w:pPr>
      <w:r w:rsidRPr="005E69E3">
        <w:rPr>
          <w:rFonts w:ascii="Arial" w:eastAsia="Times New Roman" w:hAnsi="Arial" w:cs="Arial"/>
          <w:color w:val="000000"/>
          <w:sz w:val="24"/>
          <w:szCs w:val="24"/>
          <w:lang w:eastAsia="en-GB"/>
        </w:rPr>
        <w:t>Buckleton, J. S., Bright, J. A., Taylor, D. (2018) ‘Forensic DNA Evidence Interpretation’, Florida: CRC Press. </w:t>
      </w:r>
    </w:p>
    <w:p w14:paraId="5BBFC1BD" w14:textId="77777777" w:rsidR="005E69E3" w:rsidRPr="005E69E3" w:rsidRDefault="005E69E3" w:rsidP="005E69E3">
      <w:pPr>
        <w:spacing w:after="0" w:line="240" w:lineRule="auto"/>
        <w:rPr>
          <w:rFonts w:ascii="Times New Roman" w:eastAsia="Times New Roman" w:hAnsi="Times New Roman" w:cs="Times New Roman"/>
          <w:sz w:val="24"/>
          <w:szCs w:val="24"/>
          <w:lang w:eastAsia="en-GB"/>
        </w:rPr>
      </w:pPr>
    </w:p>
    <w:p w14:paraId="66784CDE" w14:textId="77777777" w:rsidR="005E69E3" w:rsidRPr="005E69E3" w:rsidRDefault="005E69E3" w:rsidP="005E69E3">
      <w:pPr>
        <w:spacing w:after="0" w:line="480" w:lineRule="auto"/>
        <w:rPr>
          <w:rFonts w:ascii="Times New Roman" w:eastAsia="Times New Roman" w:hAnsi="Times New Roman" w:cs="Times New Roman"/>
          <w:sz w:val="24"/>
          <w:szCs w:val="24"/>
          <w:lang w:eastAsia="en-GB"/>
        </w:rPr>
      </w:pPr>
      <w:r w:rsidRPr="005E69E3">
        <w:rPr>
          <w:rFonts w:ascii="Arial" w:eastAsia="Times New Roman" w:hAnsi="Arial" w:cs="Arial"/>
          <w:color w:val="000000"/>
          <w:sz w:val="24"/>
          <w:szCs w:val="24"/>
          <w:lang w:eastAsia="en-GB"/>
        </w:rPr>
        <w:t xml:space="preserve">Butler, M (2020) ‘The Crime Scene’, in White, P. C. (ed.) </w:t>
      </w:r>
      <w:r w:rsidRPr="005E69E3">
        <w:rPr>
          <w:rFonts w:ascii="Arial" w:eastAsia="Times New Roman" w:hAnsi="Arial" w:cs="Arial"/>
          <w:i/>
          <w:iCs/>
          <w:color w:val="000000"/>
          <w:sz w:val="24"/>
          <w:szCs w:val="24"/>
          <w:lang w:eastAsia="en-GB"/>
        </w:rPr>
        <w:t>Crime Scene to Court: The Essentials of Forensic Science</w:t>
      </w:r>
      <w:r w:rsidRPr="005E69E3">
        <w:rPr>
          <w:rFonts w:ascii="Arial" w:eastAsia="Times New Roman" w:hAnsi="Arial" w:cs="Arial"/>
          <w:color w:val="000000"/>
          <w:sz w:val="24"/>
          <w:szCs w:val="24"/>
          <w:lang w:eastAsia="en-GB"/>
        </w:rPr>
        <w:t>, London: Royal Society of Chemistry.</w:t>
      </w:r>
    </w:p>
    <w:p w14:paraId="3029DF5A" w14:textId="77777777" w:rsidR="005E69E3" w:rsidRPr="005E69E3" w:rsidRDefault="005E69E3" w:rsidP="005E69E3">
      <w:pPr>
        <w:spacing w:after="0" w:line="240" w:lineRule="auto"/>
        <w:rPr>
          <w:rFonts w:ascii="Times New Roman" w:eastAsia="Times New Roman" w:hAnsi="Times New Roman" w:cs="Times New Roman"/>
          <w:sz w:val="24"/>
          <w:szCs w:val="24"/>
          <w:lang w:eastAsia="en-GB"/>
        </w:rPr>
      </w:pPr>
    </w:p>
    <w:p w14:paraId="516A5F74" w14:textId="77777777" w:rsidR="005E69E3" w:rsidRPr="005E69E3" w:rsidRDefault="005E69E3" w:rsidP="005E69E3">
      <w:pPr>
        <w:spacing w:after="0" w:line="480" w:lineRule="auto"/>
        <w:rPr>
          <w:rFonts w:ascii="Times New Roman" w:eastAsia="Times New Roman" w:hAnsi="Times New Roman" w:cs="Times New Roman"/>
          <w:sz w:val="24"/>
          <w:szCs w:val="24"/>
          <w:lang w:eastAsia="en-GB"/>
        </w:rPr>
      </w:pPr>
      <w:r w:rsidRPr="005E69E3">
        <w:rPr>
          <w:rFonts w:ascii="Arial" w:eastAsia="Times New Roman" w:hAnsi="Arial" w:cs="Arial"/>
          <w:color w:val="000000"/>
          <w:sz w:val="24"/>
          <w:szCs w:val="24"/>
          <w:lang w:eastAsia="en-GB"/>
        </w:rPr>
        <w:t xml:space="preserve">Children Act (1989) c.41., </w:t>
      </w:r>
      <w:r w:rsidRPr="005E69E3">
        <w:rPr>
          <w:rFonts w:ascii="Arial" w:eastAsia="Times New Roman" w:hAnsi="Arial" w:cs="Arial"/>
          <w:i/>
          <w:iCs/>
          <w:color w:val="000000"/>
          <w:sz w:val="24"/>
          <w:szCs w:val="24"/>
          <w:lang w:eastAsia="en-GB"/>
        </w:rPr>
        <w:t>Changes over time for: Section 48</w:t>
      </w:r>
      <w:r w:rsidRPr="005E69E3">
        <w:rPr>
          <w:rFonts w:ascii="Arial" w:eastAsia="Times New Roman" w:hAnsi="Arial" w:cs="Arial"/>
          <w:color w:val="000000"/>
          <w:sz w:val="24"/>
          <w:szCs w:val="24"/>
          <w:lang w:eastAsia="en-GB"/>
        </w:rPr>
        <w:t>.</w:t>
      </w:r>
    </w:p>
    <w:p w14:paraId="78DCC439" w14:textId="77777777" w:rsidR="005E69E3" w:rsidRPr="005E69E3" w:rsidRDefault="005E69E3" w:rsidP="005E69E3">
      <w:pPr>
        <w:spacing w:after="0" w:line="480" w:lineRule="auto"/>
        <w:rPr>
          <w:rFonts w:ascii="Times New Roman" w:eastAsia="Times New Roman" w:hAnsi="Times New Roman" w:cs="Times New Roman"/>
          <w:sz w:val="24"/>
          <w:szCs w:val="24"/>
          <w:lang w:eastAsia="en-GB"/>
        </w:rPr>
      </w:pPr>
      <w:r w:rsidRPr="005E69E3">
        <w:rPr>
          <w:rFonts w:ascii="Arial" w:eastAsia="Times New Roman" w:hAnsi="Arial" w:cs="Arial"/>
          <w:color w:val="000000"/>
          <w:sz w:val="24"/>
          <w:szCs w:val="24"/>
          <w:lang w:eastAsia="en-GB"/>
        </w:rPr>
        <w:t xml:space="preserve">Available at: </w:t>
      </w:r>
      <w:hyperlink r:id="rId8" w:history="1">
        <w:r w:rsidRPr="005E69E3">
          <w:rPr>
            <w:rFonts w:ascii="Arial" w:eastAsia="Times New Roman" w:hAnsi="Arial" w:cs="Arial"/>
            <w:color w:val="1155CC"/>
            <w:sz w:val="24"/>
            <w:szCs w:val="24"/>
            <w:u w:val="single"/>
            <w:lang w:eastAsia="en-GB"/>
          </w:rPr>
          <w:t>https://www.legislation.gov.uk/ukpga/1989/41/section/48</w:t>
        </w:r>
      </w:hyperlink>
      <w:r w:rsidRPr="005E69E3">
        <w:rPr>
          <w:rFonts w:ascii="Arial" w:eastAsia="Times New Roman" w:hAnsi="Arial" w:cs="Arial"/>
          <w:color w:val="000000"/>
          <w:sz w:val="24"/>
          <w:szCs w:val="24"/>
          <w:lang w:eastAsia="en-GB"/>
        </w:rPr>
        <w:t> </w:t>
      </w:r>
    </w:p>
    <w:p w14:paraId="4860ABCD" w14:textId="77777777" w:rsidR="005E69E3" w:rsidRPr="005E69E3" w:rsidRDefault="005E69E3" w:rsidP="005E69E3">
      <w:pPr>
        <w:spacing w:after="0" w:line="480" w:lineRule="auto"/>
        <w:rPr>
          <w:rFonts w:ascii="Times New Roman" w:eastAsia="Times New Roman" w:hAnsi="Times New Roman" w:cs="Times New Roman"/>
          <w:sz w:val="24"/>
          <w:szCs w:val="24"/>
          <w:lang w:eastAsia="en-GB"/>
        </w:rPr>
      </w:pPr>
      <w:r w:rsidRPr="005E69E3">
        <w:rPr>
          <w:rFonts w:ascii="Arial" w:eastAsia="Times New Roman" w:hAnsi="Arial" w:cs="Arial"/>
          <w:color w:val="000000"/>
          <w:sz w:val="24"/>
          <w:szCs w:val="24"/>
          <w:lang w:eastAsia="en-GB"/>
        </w:rPr>
        <w:t>(Accessed: 27/02/2022)   </w:t>
      </w:r>
    </w:p>
    <w:p w14:paraId="3FABC34B" w14:textId="77777777" w:rsidR="005E69E3" w:rsidRPr="005E69E3" w:rsidRDefault="005E69E3" w:rsidP="005E69E3">
      <w:pPr>
        <w:spacing w:after="0" w:line="240" w:lineRule="auto"/>
        <w:rPr>
          <w:rFonts w:ascii="Times New Roman" w:eastAsia="Times New Roman" w:hAnsi="Times New Roman" w:cs="Times New Roman"/>
          <w:sz w:val="24"/>
          <w:szCs w:val="24"/>
          <w:lang w:eastAsia="en-GB"/>
        </w:rPr>
      </w:pPr>
    </w:p>
    <w:p w14:paraId="3B6FFCB2" w14:textId="77777777" w:rsidR="005E69E3" w:rsidRPr="005E69E3" w:rsidRDefault="005E69E3" w:rsidP="005E69E3">
      <w:pPr>
        <w:spacing w:after="0" w:line="480" w:lineRule="auto"/>
        <w:rPr>
          <w:rFonts w:ascii="Times New Roman" w:eastAsia="Times New Roman" w:hAnsi="Times New Roman" w:cs="Times New Roman"/>
          <w:sz w:val="24"/>
          <w:szCs w:val="24"/>
          <w:lang w:eastAsia="en-GB"/>
        </w:rPr>
      </w:pPr>
      <w:r w:rsidRPr="005E69E3">
        <w:rPr>
          <w:rFonts w:ascii="Arial" w:eastAsia="Times New Roman" w:hAnsi="Arial" w:cs="Arial"/>
          <w:color w:val="000000"/>
          <w:sz w:val="24"/>
          <w:szCs w:val="24"/>
          <w:lang w:eastAsia="en-GB"/>
        </w:rPr>
        <w:t xml:space="preserve">Cobain, I. (2016) ‘Killer breakthrough – the day DNA evidence first nailed a murderer’, </w:t>
      </w:r>
      <w:r w:rsidRPr="005E69E3">
        <w:rPr>
          <w:rFonts w:ascii="Arial" w:eastAsia="Times New Roman" w:hAnsi="Arial" w:cs="Arial"/>
          <w:i/>
          <w:iCs/>
          <w:color w:val="000000"/>
          <w:sz w:val="24"/>
          <w:szCs w:val="24"/>
          <w:lang w:eastAsia="en-GB"/>
        </w:rPr>
        <w:t>The Guardian</w:t>
      </w:r>
      <w:r w:rsidRPr="005E69E3">
        <w:rPr>
          <w:rFonts w:ascii="Arial" w:eastAsia="Times New Roman" w:hAnsi="Arial" w:cs="Arial"/>
          <w:color w:val="000000"/>
          <w:sz w:val="24"/>
          <w:szCs w:val="24"/>
          <w:lang w:eastAsia="en-GB"/>
        </w:rPr>
        <w:t>, 7th June.</w:t>
      </w:r>
    </w:p>
    <w:p w14:paraId="523E1A72" w14:textId="77777777" w:rsidR="005E69E3" w:rsidRPr="005E69E3" w:rsidRDefault="005E69E3" w:rsidP="005E69E3">
      <w:pPr>
        <w:spacing w:after="0" w:line="480" w:lineRule="auto"/>
        <w:rPr>
          <w:rFonts w:ascii="Times New Roman" w:eastAsia="Times New Roman" w:hAnsi="Times New Roman" w:cs="Times New Roman"/>
          <w:sz w:val="24"/>
          <w:szCs w:val="24"/>
          <w:lang w:eastAsia="en-GB"/>
        </w:rPr>
      </w:pPr>
      <w:r w:rsidRPr="005E69E3">
        <w:rPr>
          <w:rFonts w:ascii="Arial" w:eastAsia="Times New Roman" w:hAnsi="Arial" w:cs="Arial"/>
          <w:color w:val="000000"/>
          <w:sz w:val="24"/>
          <w:szCs w:val="24"/>
          <w:lang w:eastAsia="en-GB"/>
        </w:rPr>
        <w:t xml:space="preserve">Available at: </w:t>
      </w:r>
      <w:hyperlink r:id="rId9" w:history="1">
        <w:r w:rsidRPr="005E69E3">
          <w:rPr>
            <w:rFonts w:ascii="Arial" w:eastAsia="Times New Roman" w:hAnsi="Arial" w:cs="Arial"/>
            <w:color w:val="1155CC"/>
            <w:sz w:val="24"/>
            <w:szCs w:val="24"/>
            <w:u w:val="single"/>
            <w:lang w:eastAsia="en-GB"/>
          </w:rPr>
          <w:t>https://www.theguardian.com/uk-news/2016/jun/07/killer-dna-evidence-genetic-profiling-criminal-investigation</w:t>
        </w:r>
      </w:hyperlink>
      <w:r w:rsidRPr="005E69E3">
        <w:rPr>
          <w:rFonts w:ascii="Arial" w:eastAsia="Times New Roman" w:hAnsi="Arial" w:cs="Arial"/>
          <w:color w:val="000000"/>
          <w:sz w:val="24"/>
          <w:szCs w:val="24"/>
          <w:lang w:eastAsia="en-GB"/>
        </w:rPr>
        <w:t> </w:t>
      </w:r>
    </w:p>
    <w:p w14:paraId="338962D4" w14:textId="77777777" w:rsidR="005E69E3" w:rsidRPr="005E69E3" w:rsidRDefault="005E69E3" w:rsidP="005E69E3">
      <w:pPr>
        <w:spacing w:after="0" w:line="480" w:lineRule="auto"/>
        <w:rPr>
          <w:rFonts w:ascii="Times New Roman" w:eastAsia="Times New Roman" w:hAnsi="Times New Roman" w:cs="Times New Roman"/>
          <w:sz w:val="24"/>
          <w:szCs w:val="24"/>
          <w:lang w:eastAsia="en-GB"/>
        </w:rPr>
      </w:pPr>
      <w:r w:rsidRPr="005E69E3">
        <w:rPr>
          <w:rFonts w:ascii="Arial" w:eastAsia="Times New Roman" w:hAnsi="Arial" w:cs="Arial"/>
          <w:color w:val="000000"/>
          <w:sz w:val="24"/>
          <w:szCs w:val="24"/>
          <w:lang w:eastAsia="en-GB"/>
        </w:rPr>
        <w:t>(Accessed: 23/02/2022) </w:t>
      </w:r>
    </w:p>
    <w:p w14:paraId="38A12992" w14:textId="77777777" w:rsidR="005E69E3" w:rsidRPr="005E69E3" w:rsidRDefault="005E69E3" w:rsidP="005E69E3">
      <w:pPr>
        <w:spacing w:after="0" w:line="240" w:lineRule="auto"/>
        <w:rPr>
          <w:rFonts w:ascii="Times New Roman" w:eastAsia="Times New Roman" w:hAnsi="Times New Roman" w:cs="Times New Roman"/>
          <w:sz w:val="24"/>
          <w:szCs w:val="24"/>
          <w:lang w:eastAsia="en-GB"/>
        </w:rPr>
      </w:pPr>
    </w:p>
    <w:p w14:paraId="19C4959E" w14:textId="77777777" w:rsidR="005E69E3" w:rsidRPr="005E69E3" w:rsidRDefault="005E69E3" w:rsidP="005E69E3">
      <w:pPr>
        <w:spacing w:after="0" w:line="480" w:lineRule="auto"/>
        <w:rPr>
          <w:rFonts w:ascii="Times New Roman" w:eastAsia="Times New Roman" w:hAnsi="Times New Roman" w:cs="Times New Roman"/>
          <w:sz w:val="24"/>
          <w:szCs w:val="24"/>
          <w:lang w:eastAsia="en-GB"/>
        </w:rPr>
      </w:pPr>
      <w:r w:rsidRPr="005E69E3">
        <w:rPr>
          <w:rFonts w:ascii="Arial" w:eastAsia="Times New Roman" w:hAnsi="Arial" w:cs="Arial"/>
          <w:color w:val="000000"/>
          <w:sz w:val="24"/>
          <w:szCs w:val="24"/>
          <w:lang w:eastAsia="en-GB"/>
        </w:rPr>
        <w:t xml:space="preserve">College of Policing (2013) </w:t>
      </w:r>
      <w:r w:rsidRPr="005E69E3">
        <w:rPr>
          <w:rFonts w:ascii="Arial" w:eastAsia="Times New Roman" w:hAnsi="Arial" w:cs="Arial"/>
          <w:i/>
          <w:iCs/>
          <w:color w:val="000000"/>
          <w:sz w:val="24"/>
          <w:szCs w:val="24"/>
          <w:lang w:eastAsia="en-GB"/>
        </w:rPr>
        <w:t>Investigation</w:t>
      </w:r>
      <w:r w:rsidRPr="005E69E3">
        <w:rPr>
          <w:rFonts w:ascii="Arial" w:eastAsia="Times New Roman" w:hAnsi="Arial" w:cs="Arial"/>
          <w:color w:val="000000"/>
          <w:sz w:val="24"/>
          <w:szCs w:val="24"/>
          <w:lang w:eastAsia="en-GB"/>
        </w:rPr>
        <w:t>.</w:t>
      </w:r>
    </w:p>
    <w:p w14:paraId="25AC7E21" w14:textId="77777777" w:rsidR="005E69E3" w:rsidRPr="005E69E3" w:rsidRDefault="005E69E3" w:rsidP="005E69E3">
      <w:pPr>
        <w:spacing w:after="0" w:line="480" w:lineRule="auto"/>
        <w:rPr>
          <w:rFonts w:ascii="Times New Roman" w:eastAsia="Times New Roman" w:hAnsi="Times New Roman" w:cs="Times New Roman"/>
          <w:sz w:val="24"/>
          <w:szCs w:val="24"/>
          <w:lang w:eastAsia="en-GB"/>
        </w:rPr>
      </w:pPr>
      <w:r w:rsidRPr="005E69E3">
        <w:rPr>
          <w:rFonts w:ascii="Arial" w:eastAsia="Times New Roman" w:hAnsi="Arial" w:cs="Arial"/>
          <w:color w:val="000000"/>
          <w:sz w:val="24"/>
          <w:szCs w:val="24"/>
          <w:lang w:eastAsia="en-GB"/>
        </w:rPr>
        <w:lastRenderedPageBreak/>
        <w:t xml:space="preserve">Available at: </w:t>
      </w:r>
      <w:hyperlink r:id="rId10" w:history="1">
        <w:r w:rsidRPr="005E69E3">
          <w:rPr>
            <w:rFonts w:ascii="Arial" w:eastAsia="Times New Roman" w:hAnsi="Arial" w:cs="Arial"/>
            <w:color w:val="1155CC"/>
            <w:sz w:val="24"/>
            <w:szCs w:val="24"/>
            <w:u w:val="single"/>
            <w:lang w:eastAsia="en-GB"/>
          </w:rPr>
          <w:t>https://www.app.college.police.uk/app-content/investigations/investigation-process/</w:t>
        </w:r>
      </w:hyperlink>
      <w:r w:rsidRPr="005E69E3">
        <w:rPr>
          <w:rFonts w:ascii="Arial" w:eastAsia="Times New Roman" w:hAnsi="Arial" w:cs="Arial"/>
          <w:color w:val="000000"/>
          <w:sz w:val="24"/>
          <w:szCs w:val="24"/>
          <w:lang w:eastAsia="en-GB"/>
        </w:rPr>
        <w:t> </w:t>
      </w:r>
    </w:p>
    <w:p w14:paraId="656F8683" w14:textId="77777777" w:rsidR="005E69E3" w:rsidRPr="005E69E3" w:rsidRDefault="005E69E3" w:rsidP="005E69E3">
      <w:pPr>
        <w:spacing w:after="0" w:line="480" w:lineRule="auto"/>
        <w:rPr>
          <w:rFonts w:ascii="Times New Roman" w:eastAsia="Times New Roman" w:hAnsi="Times New Roman" w:cs="Times New Roman"/>
          <w:sz w:val="24"/>
          <w:szCs w:val="24"/>
          <w:lang w:eastAsia="en-GB"/>
        </w:rPr>
      </w:pPr>
      <w:r w:rsidRPr="005E69E3">
        <w:rPr>
          <w:rFonts w:ascii="Arial" w:eastAsia="Times New Roman" w:hAnsi="Arial" w:cs="Arial"/>
          <w:color w:val="000000"/>
          <w:sz w:val="24"/>
          <w:szCs w:val="24"/>
          <w:lang w:eastAsia="en-GB"/>
        </w:rPr>
        <w:t>(Accessed: 25/02/2022) </w:t>
      </w:r>
    </w:p>
    <w:p w14:paraId="02883738" w14:textId="77777777" w:rsidR="005E69E3" w:rsidRPr="005E69E3" w:rsidRDefault="005E69E3" w:rsidP="005E69E3">
      <w:pPr>
        <w:spacing w:after="0" w:line="240" w:lineRule="auto"/>
        <w:rPr>
          <w:rFonts w:ascii="Times New Roman" w:eastAsia="Times New Roman" w:hAnsi="Times New Roman" w:cs="Times New Roman"/>
          <w:sz w:val="24"/>
          <w:szCs w:val="24"/>
          <w:lang w:eastAsia="en-GB"/>
        </w:rPr>
      </w:pPr>
    </w:p>
    <w:p w14:paraId="3EBB1AD6" w14:textId="77777777" w:rsidR="005E69E3" w:rsidRPr="005E69E3" w:rsidRDefault="005E69E3" w:rsidP="005E69E3">
      <w:pPr>
        <w:spacing w:after="0" w:line="480" w:lineRule="auto"/>
        <w:rPr>
          <w:rFonts w:ascii="Times New Roman" w:eastAsia="Times New Roman" w:hAnsi="Times New Roman" w:cs="Times New Roman"/>
          <w:sz w:val="24"/>
          <w:szCs w:val="24"/>
          <w:lang w:eastAsia="en-GB"/>
        </w:rPr>
      </w:pPr>
      <w:r w:rsidRPr="005E69E3">
        <w:rPr>
          <w:rFonts w:ascii="Arial" w:eastAsia="Times New Roman" w:hAnsi="Arial" w:cs="Arial"/>
          <w:color w:val="000000"/>
          <w:sz w:val="24"/>
          <w:szCs w:val="24"/>
          <w:lang w:eastAsia="en-GB"/>
        </w:rPr>
        <w:t xml:space="preserve">College of Policing (2013) </w:t>
      </w:r>
      <w:r w:rsidRPr="005E69E3">
        <w:rPr>
          <w:rFonts w:ascii="Arial" w:eastAsia="Times New Roman" w:hAnsi="Arial" w:cs="Arial"/>
          <w:i/>
          <w:iCs/>
          <w:color w:val="000000"/>
          <w:sz w:val="24"/>
          <w:szCs w:val="24"/>
          <w:lang w:eastAsia="en-GB"/>
        </w:rPr>
        <w:t>Managing investigations</w:t>
      </w:r>
      <w:r w:rsidRPr="005E69E3">
        <w:rPr>
          <w:rFonts w:ascii="Arial" w:eastAsia="Times New Roman" w:hAnsi="Arial" w:cs="Arial"/>
          <w:color w:val="000000"/>
          <w:sz w:val="24"/>
          <w:szCs w:val="24"/>
          <w:lang w:eastAsia="en-GB"/>
        </w:rPr>
        <w:t>.</w:t>
      </w:r>
    </w:p>
    <w:p w14:paraId="2B016621" w14:textId="77777777" w:rsidR="005E69E3" w:rsidRPr="005E69E3" w:rsidRDefault="005E69E3" w:rsidP="005E69E3">
      <w:pPr>
        <w:spacing w:after="0" w:line="480" w:lineRule="auto"/>
        <w:rPr>
          <w:rFonts w:ascii="Times New Roman" w:eastAsia="Times New Roman" w:hAnsi="Times New Roman" w:cs="Times New Roman"/>
          <w:sz w:val="24"/>
          <w:szCs w:val="24"/>
          <w:lang w:eastAsia="en-GB"/>
        </w:rPr>
      </w:pPr>
      <w:r w:rsidRPr="005E69E3">
        <w:rPr>
          <w:rFonts w:ascii="Arial" w:eastAsia="Times New Roman" w:hAnsi="Arial" w:cs="Arial"/>
          <w:color w:val="000000"/>
          <w:sz w:val="24"/>
          <w:szCs w:val="24"/>
          <w:lang w:eastAsia="en-GB"/>
        </w:rPr>
        <w:t xml:space="preserve">Available at: </w:t>
      </w:r>
      <w:hyperlink r:id="rId11" w:anchor="releasing-the-scene" w:history="1">
        <w:r w:rsidRPr="005E69E3">
          <w:rPr>
            <w:rFonts w:ascii="Arial" w:eastAsia="Times New Roman" w:hAnsi="Arial" w:cs="Arial"/>
            <w:color w:val="1155CC"/>
            <w:sz w:val="24"/>
            <w:szCs w:val="24"/>
            <w:u w:val="single"/>
            <w:lang w:eastAsia="en-GB"/>
          </w:rPr>
          <w:t>https://www.app.college.police.uk/app-content/investigations/managing-investigations/#releasing-the-scene</w:t>
        </w:r>
      </w:hyperlink>
      <w:r w:rsidRPr="005E69E3">
        <w:rPr>
          <w:rFonts w:ascii="Arial" w:eastAsia="Times New Roman" w:hAnsi="Arial" w:cs="Arial"/>
          <w:color w:val="000000"/>
          <w:sz w:val="24"/>
          <w:szCs w:val="24"/>
          <w:lang w:eastAsia="en-GB"/>
        </w:rPr>
        <w:t> </w:t>
      </w:r>
    </w:p>
    <w:p w14:paraId="6FB7B70F" w14:textId="77777777" w:rsidR="005E69E3" w:rsidRPr="005E69E3" w:rsidRDefault="005E69E3" w:rsidP="005E69E3">
      <w:pPr>
        <w:spacing w:after="0" w:line="480" w:lineRule="auto"/>
        <w:rPr>
          <w:rFonts w:ascii="Times New Roman" w:eastAsia="Times New Roman" w:hAnsi="Times New Roman" w:cs="Times New Roman"/>
          <w:sz w:val="24"/>
          <w:szCs w:val="24"/>
          <w:lang w:eastAsia="en-GB"/>
        </w:rPr>
      </w:pPr>
      <w:r w:rsidRPr="005E69E3">
        <w:rPr>
          <w:rFonts w:ascii="Arial" w:eastAsia="Times New Roman" w:hAnsi="Arial" w:cs="Arial"/>
          <w:color w:val="000000"/>
          <w:sz w:val="24"/>
          <w:szCs w:val="24"/>
          <w:lang w:eastAsia="en-GB"/>
        </w:rPr>
        <w:t>(Accessed: 25/02/2022)</w:t>
      </w:r>
    </w:p>
    <w:p w14:paraId="75F6A7B1" w14:textId="77777777" w:rsidR="005E69E3" w:rsidRPr="005E69E3" w:rsidRDefault="005E69E3" w:rsidP="005E69E3">
      <w:pPr>
        <w:spacing w:after="0" w:line="240" w:lineRule="auto"/>
        <w:rPr>
          <w:rFonts w:ascii="Times New Roman" w:eastAsia="Times New Roman" w:hAnsi="Times New Roman" w:cs="Times New Roman"/>
          <w:sz w:val="24"/>
          <w:szCs w:val="24"/>
          <w:lang w:eastAsia="en-GB"/>
        </w:rPr>
      </w:pPr>
    </w:p>
    <w:p w14:paraId="128C2B36" w14:textId="77777777" w:rsidR="005E69E3" w:rsidRPr="005E69E3" w:rsidRDefault="005E69E3" w:rsidP="005E69E3">
      <w:pPr>
        <w:spacing w:after="0" w:line="480" w:lineRule="auto"/>
        <w:rPr>
          <w:rFonts w:ascii="Times New Roman" w:eastAsia="Times New Roman" w:hAnsi="Times New Roman" w:cs="Times New Roman"/>
          <w:sz w:val="24"/>
          <w:szCs w:val="24"/>
          <w:lang w:eastAsia="en-GB"/>
        </w:rPr>
      </w:pPr>
      <w:r w:rsidRPr="005E69E3">
        <w:rPr>
          <w:rFonts w:ascii="Arial" w:eastAsia="Times New Roman" w:hAnsi="Arial" w:cs="Arial"/>
          <w:color w:val="000000"/>
          <w:sz w:val="24"/>
          <w:szCs w:val="24"/>
          <w:lang w:eastAsia="en-GB"/>
        </w:rPr>
        <w:t xml:space="preserve">College of Policing (2013) </w:t>
      </w:r>
      <w:r w:rsidRPr="005E69E3">
        <w:rPr>
          <w:rFonts w:ascii="Arial" w:eastAsia="Times New Roman" w:hAnsi="Arial" w:cs="Arial"/>
          <w:i/>
          <w:iCs/>
          <w:color w:val="000000"/>
          <w:sz w:val="24"/>
          <w:szCs w:val="24"/>
          <w:lang w:eastAsia="en-GB"/>
        </w:rPr>
        <w:t>National Decision Model</w:t>
      </w:r>
      <w:r w:rsidRPr="005E69E3">
        <w:rPr>
          <w:rFonts w:ascii="Arial" w:eastAsia="Times New Roman" w:hAnsi="Arial" w:cs="Arial"/>
          <w:color w:val="000000"/>
          <w:sz w:val="24"/>
          <w:szCs w:val="24"/>
          <w:lang w:eastAsia="en-GB"/>
        </w:rPr>
        <w:t>.</w:t>
      </w:r>
    </w:p>
    <w:p w14:paraId="26627E7A" w14:textId="77777777" w:rsidR="005E69E3" w:rsidRPr="005E69E3" w:rsidRDefault="005E69E3" w:rsidP="005E69E3">
      <w:pPr>
        <w:spacing w:after="0" w:line="480" w:lineRule="auto"/>
        <w:rPr>
          <w:rFonts w:ascii="Times New Roman" w:eastAsia="Times New Roman" w:hAnsi="Times New Roman" w:cs="Times New Roman"/>
          <w:sz w:val="24"/>
          <w:szCs w:val="24"/>
          <w:lang w:eastAsia="en-GB"/>
        </w:rPr>
      </w:pPr>
      <w:r w:rsidRPr="005E69E3">
        <w:rPr>
          <w:rFonts w:ascii="Arial" w:eastAsia="Times New Roman" w:hAnsi="Arial" w:cs="Arial"/>
          <w:color w:val="000000"/>
          <w:sz w:val="24"/>
          <w:szCs w:val="24"/>
          <w:lang w:eastAsia="en-GB"/>
        </w:rPr>
        <w:t xml:space="preserve">Available at: </w:t>
      </w:r>
      <w:hyperlink r:id="rId12" w:history="1">
        <w:r w:rsidRPr="005E69E3">
          <w:rPr>
            <w:rFonts w:ascii="Arial" w:eastAsia="Times New Roman" w:hAnsi="Arial" w:cs="Arial"/>
            <w:color w:val="1155CC"/>
            <w:sz w:val="24"/>
            <w:szCs w:val="24"/>
            <w:u w:val="single"/>
            <w:lang w:eastAsia="en-GB"/>
          </w:rPr>
          <w:t>https://www.app.college.police.uk/app-content/national-decision-model/the-national-decision-model/</w:t>
        </w:r>
      </w:hyperlink>
      <w:r w:rsidRPr="005E69E3">
        <w:rPr>
          <w:rFonts w:ascii="Arial" w:eastAsia="Times New Roman" w:hAnsi="Arial" w:cs="Arial"/>
          <w:color w:val="000000"/>
          <w:sz w:val="24"/>
          <w:szCs w:val="24"/>
          <w:lang w:eastAsia="en-GB"/>
        </w:rPr>
        <w:t> </w:t>
      </w:r>
    </w:p>
    <w:p w14:paraId="2B9AC937" w14:textId="77777777" w:rsidR="005E69E3" w:rsidRPr="005E69E3" w:rsidRDefault="005E69E3" w:rsidP="005E69E3">
      <w:pPr>
        <w:spacing w:after="0" w:line="480" w:lineRule="auto"/>
        <w:rPr>
          <w:rFonts w:ascii="Times New Roman" w:eastAsia="Times New Roman" w:hAnsi="Times New Roman" w:cs="Times New Roman"/>
          <w:sz w:val="24"/>
          <w:szCs w:val="24"/>
          <w:lang w:eastAsia="en-GB"/>
        </w:rPr>
      </w:pPr>
      <w:r w:rsidRPr="005E69E3">
        <w:rPr>
          <w:rFonts w:ascii="Arial" w:eastAsia="Times New Roman" w:hAnsi="Arial" w:cs="Arial"/>
          <w:color w:val="000000"/>
          <w:sz w:val="24"/>
          <w:szCs w:val="24"/>
          <w:lang w:eastAsia="en-GB"/>
        </w:rPr>
        <w:t>(Accessed: 24/02/2022)   </w:t>
      </w:r>
    </w:p>
    <w:p w14:paraId="6C2613FA" w14:textId="77777777" w:rsidR="005E69E3" w:rsidRPr="005E69E3" w:rsidRDefault="005E69E3" w:rsidP="005E69E3">
      <w:pPr>
        <w:spacing w:after="0" w:line="240" w:lineRule="auto"/>
        <w:rPr>
          <w:rFonts w:ascii="Times New Roman" w:eastAsia="Times New Roman" w:hAnsi="Times New Roman" w:cs="Times New Roman"/>
          <w:sz w:val="24"/>
          <w:szCs w:val="24"/>
          <w:lang w:eastAsia="en-GB"/>
        </w:rPr>
      </w:pPr>
    </w:p>
    <w:p w14:paraId="0BD9453A" w14:textId="77777777" w:rsidR="005E69E3" w:rsidRPr="005E69E3" w:rsidRDefault="005E69E3" w:rsidP="005E69E3">
      <w:pPr>
        <w:spacing w:after="0" w:line="480" w:lineRule="auto"/>
        <w:rPr>
          <w:rFonts w:ascii="Times New Roman" w:eastAsia="Times New Roman" w:hAnsi="Times New Roman" w:cs="Times New Roman"/>
          <w:sz w:val="24"/>
          <w:szCs w:val="24"/>
          <w:lang w:eastAsia="en-GB"/>
        </w:rPr>
      </w:pPr>
      <w:r w:rsidRPr="005E69E3">
        <w:rPr>
          <w:rFonts w:ascii="Arial" w:eastAsia="Times New Roman" w:hAnsi="Arial" w:cs="Arial"/>
          <w:color w:val="000000"/>
          <w:sz w:val="24"/>
          <w:szCs w:val="24"/>
          <w:lang w:eastAsia="en-GB"/>
        </w:rPr>
        <w:t xml:space="preserve">College of Policing (2015) </w:t>
      </w:r>
      <w:r w:rsidRPr="005E69E3">
        <w:rPr>
          <w:rFonts w:ascii="Arial" w:eastAsia="Times New Roman" w:hAnsi="Arial" w:cs="Arial"/>
          <w:i/>
          <w:iCs/>
          <w:color w:val="000000"/>
          <w:sz w:val="24"/>
          <w:szCs w:val="24"/>
          <w:lang w:eastAsia="en-GB"/>
        </w:rPr>
        <w:t>Major investigation and public protection</w:t>
      </w:r>
      <w:r w:rsidRPr="005E69E3">
        <w:rPr>
          <w:rFonts w:ascii="Arial" w:eastAsia="Times New Roman" w:hAnsi="Arial" w:cs="Arial"/>
          <w:color w:val="000000"/>
          <w:sz w:val="24"/>
          <w:szCs w:val="24"/>
          <w:lang w:eastAsia="en-GB"/>
        </w:rPr>
        <w:t>.</w:t>
      </w:r>
    </w:p>
    <w:p w14:paraId="294168A9" w14:textId="77777777" w:rsidR="005E69E3" w:rsidRPr="005E69E3" w:rsidRDefault="005E69E3" w:rsidP="005E69E3">
      <w:pPr>
        <w:spacing w:after="0" w:line="480" w:lineRule="auto"/>
        <w:rPr>
          <w:rFonts w:ascii="Times New Roman" w:eastAsia="Times New Roman" w:hAnsi="Times New Roman" w:cs="Times New Roman"/>
          <w:sz w:val="24"/>
          <w:szCs w:val="24"/>
          <w:lang w:eastAsia="en-GB"/>
        </w:rPr>
      </w:pPr>
      <w:r w:rsidRPr="005E69E3">
        <w:rPr>
          <w:rFonts w:ascii="Arial" w:eastAsia="Times New Roman" w:hAnsi="Arial" w:cs="Arial"/>
          <w:color w:val="000000"/>
          <w:sz w:val="24"/>
          <w:szCs w:val="24"/>
          <w:lang w:eastAsia="en-GB"/>
        </w:rPr>
        <w:t xml:space="preserve">Available at: </w:t>
      </w:r>
      <w:hyperlink r:id="rId13" w:history="1">
        <w:r w:rsidRPr="005E69E3">
          <w:rPr>
            <w:rFonts w:ascii="Arial" w:eastAsia="Times New Roman" w:hAnsi="Arial" w:cs="Arial"/>
            <w:color w:val="1155CC"/>
            <w:sz w:val="24"/>
            <w:szCs w:val="24"/>
            <w:u w:val="single"/>
            <w:lang w:eastAsia="en-GB"/>
          </w:rPr>
          <w:t>https://www.app.college.police.uk/app-content/major-investigation-and-public-protection/domestic-abuse/first-response/</w:t>
        </w:r>
      </w:hyperlink>
      <w:r w:rsidRPr="005E69E3">
        <w:rPr>
          <w:rFonts w:ascii="Arial" w:eastAsia="Times New Roman" w:hAnsi="Arial" w:cs="Arial"/>
          <w:color w:val="000000"/>
          <w:sz w:val="24"/>
          <w:szCs w:val="24"/>
          <w:lang w:eastAsia="en-GB"/>
        </w:rPr>
        <w:t> </w:t>
      </w:r>
    </w:p>
    <w:p w14:paraId="4D58E3C6" w14:textId="77777777" w:rsidR="005E69E3" w:rsidRPr="005E69E3" w:rsidRDefault="005E69E3" w:rsidP="005E69E3">
      <w:pPr>
        <w:spacing w:after="0" w:line="480" w:lineRule="auto"/>
        <w:rPr>
          <w:rFonts w:ascii="Times New Roman" w:eastAsia="Times New Roman" w:hAnsi="Times New Roman" w:cs="Times New Roman"/>
          <w:sz w:val="24"/>
          <w:szCs w:val="24"/>
          <w:lang w:eastAsia="en-GB"/>
        </w:rPr>
      </w:pPr>
      <w:r w:rsidRPr="005E69E3">
        <w:rPr>
          <w:rFonts w:ascii="Arial" w:eastAsia="Times New Roman" w:hAnsi="Arial" w:cs="Arial"/>
          <w:color w:val="000000"/>
          <w:sz w:val="24"/>
          <w:szCs w:val="24"/>
          <w:lang w:eastAsia="en-GB"/>
        </w:rPr>
        <w:t>(Accessed: 23/02/2022)</w:t>
      </w:r>
    </w:p>
    <w:p w14:paraId="66270E9A" w14:textId="77777777" w:rsidR="005E69E3" w:rsidRPr="005E69E3" w:rsidRDefault="005E69E3" w:rsidP="005E69E3">
      <w:pPr>
        <w:spacing w:after="0" w:line="240" w:lineRule="auto"/>
        <w:rPr>
          <w:rFonts w:ascii="Times New Roman" w:eastAsia="Times New Roman" w:hAnsi="Times New Roman" w:cs="Times New Roman"/>
          <w:sz w:val="24"/>
          <w:szCs w:val="24"/>
          <w:lang w:eastAsia="en-GB"/>
        </w:rPr>
      </w:pPr>
    </w:p>
    <w:p w14:paraId="03680476" w14:textId="77777777" w:rsidR="005E69E3" w:rsidRPr="005E69E3" w:rsidRDefault="005E69E3" w:rsidP="005E69E3">
      <w:pPr>
        <w:spacing w:after="0" w:line="480" w:lineRule="auto"/>
        <w:rPr>
          <w:rFonts w:ascii="Times New Roman" w:eastAsia="Times New Roman" w:hAnsi="Times New Roman" w:cs="Times New Roman"/>
          <w:sz w:val="24"/>
          <w:szCs w:val="24"/>
          <w:lang w:eastAsia="en-GB"/>
        </w:rPr>
      </w:pPr>
      <w:r w:rsidRPr="005E69E3">
        <w:rPr>
          <w:rFonts w:ascii="Arial" w:eastAsia="Times New Roman" w:hAnsi="Arial" w:cs="Arial"/>
          <w:color w:val="000000"/>
          <w:sz w:val="24"/>
          <w:szCs w:val="24"/>
          <w:lang w:eastAsia="en-GB"/>
        </w:rPr>
        <w:t xml:space="preserve">College of Policing (2021) </w:t>
      </w:r>
      <w:r w:rsidRPr="005E69E3">
        <w:rPr>
          <w:rFonts w:ascii="Arial" w:eastAsia="Times New Roman" w:hAnsi="Arial" w:cs="Arial"/>
          <w:i/>
          <w:iCs/>
          <w:color w:val="000000"/>
          <w:sz w:val="24"/>
          <w:szCs w:val="24"/>
          <w:lang w:eastAsia="en-GB"/>
        </w:rPr>
        <w:t>Effective investigations</w:t>
      </w:r>
      <w:r w:rsidRPr="005E69E3">
        <w:rPr>
          <w:rFonts w:ascii="Arial" w:eastAsia="Times New Roman" w:hAnsi="Arial" w:cs="Arial"/>
          <w:color w:val="000000"/>
          <w:sz w:val="24"/>
          <w:szCs w:val="24"/>
          <w:lang w:eastAsia="en-GB"/>
        </w:rPr>
        <w:t>.</w:t>
      </w:r>
    </w:p>
    <w:p w14:paraId="487FE687" w14:textId="77777777" w:rsidR="005E69E3" w:rsidRPr="005E69E3" w:rsidRDefault="005E69E3" w:rsidP="005E69E3">
      <w:pPr>
        <w:spacing w:after="0" w:line="480" w:lineRule="auto"/>
        <w:rPr>
          <w:rFonts w:ascii="Times New Roman" w:eastAsia="Times New Roman" w:hAnsi="Times New Roman" w:cs="Times New Roman"/>
          <w:sz w:val="24"/>
          <w:szCs w:val="24"/>
          <w:lang w:eastAsia="en-GB"/>
        </w:rPr>
      </w:pPr>
      <w:r w:rsidRPr="005E69E3">
        <w:rPr>
          <w:rFonts w:ascii="Arial" w:eastAsia="Times New Roman" w:hAnsi="Arial" w:cs="Arial"/>
          <w:color w:val="000000"/>
          <w:sz w:val="24"/>
          <w:szCs w:val="24"/>
          <w:lang w:eastAsia="en-GB"/>
        </w:rPr>
        <w:t xml:space="preserve">Available at: </w:t>
      </w:r>
      <w:hyperlink r:id="rId14" w:history="1">
        <w:r w:rsidRPr="005E69E3">
          <w:rPr>
            <w:rFonts w:ascii="Arial" w:eastAsia="Times New Roman" w:hAnsi="Arial" w:cs="Arial"/>
            <w:color w:val="1155CC"/>
            <w:sz w:val="24"/>
            <w:szCs w:val="24"/>
            <w:u w:val="single"/>
            <w:lang w:eastAsia="en-GB"/>
          </w:rPr>
          <w:t>https://assets.college.police.uk/s3fs-public/2021-04/effective-investigations-scope-of-guidelines-0421.pdf</w:t>
        </w:r>
      </w:hyperlink>
      <w:r w:rsidRPr="005E69E3">
        <w:rPr>
          <w:rFonts w:ascii="Arial" w:eastAsia="Times New Roman" w:hAnsi="Arial" w:cs="Arial"/>
          <w:color w:val="000000"/>
          <w:sz w:val="24"/>
          <w:szCs w:val="24"/>
          <w:lang w:eastAsia="en-GB"/>
        </w:rPr>
        <w:t> </w:t>
      </w:r>
    </w:p>
    <w:p w14:paraId="6DBBA3B4" w14:textId="77777777" w:rsidR="005E69E3" w:rsidRPr="005E69E3" w:rsidRDefault="005E69E3" w:rsidP="005E69E3">
      <w:pPr>
        <w:spacing w:after="0" w:line="480" w:lineRule="auto"/>
        <w:rPr>
          <w:rFonts w:ascii="Times New Roman" w:eastAsia="Times New Roman" w:hAnsi="Times New Roman" w:cs="Times New Roman"/>
          <w:sz w:val="24"/>
          <w:szCs w:val="24"/>
          <w:lang w:eastAsia="en-GB"/>
        </w:rPr>
      </w:pPr>
      <w:r w:rsidRPr="005E69E3">
        <w:rPr>
          <w:rFonts w:ascii="Arial" w:eastAsia="Times New Roman" w:hAnsi="Arial" w:cs="Arial"/>
          <w:color w:val="000000"/>
          <w:sz w:val="24"/>
          <w:szCs w:val="24"/>
          <w:lang w:eastAsia="en-GB"/>
        </w:rPr>
        <w:t>(Accessed: 27/02/2022)  </w:t>
      </w:r>
    </w:p>
    <w:p w14:paraId="5284285A" w14:textId="77777777" w:rsidR="005E69E3" w:rsidRPr="005E69E3" w:rsidRDefault="005E69E3" w:rsidP="005E69E3">
      <w:pPr>
        <w:spacing w:after="0" w:line="240" w:lineRule="auto"/>
        <w:rPr>
          <w:rFonts w:ascii="Times New Roman" w:eastAsia="Times New Roman" w:hAnsi="Times New Roman" w:cs="Times New Roman"/>
          <w:sz w:val="24"/>
          <w:szCs w:val="24"/>
          <w:lang w:eastAsia="en-GB"/>
        </w:rPr>
      </w:pPr>
    </w:p>
    <w:p w14:paraId="330CD731" w14:textId="77777777" w:rsidR="005E69E3" w:rsidRPr="005E69E3" w:rsidRDefault="005E69E3" w:rsidP="005E69E3">
      <w:pPr>
        <w:spacing w:after="0" w:line="480" w:lineRule="auto"/>
        <w:rPr>
          <w:rFonts w:ascii="Times New Roman" w:eastAsia="Times New Roman" w:hAnsi="Times New Roman" w:cs="Times New Roman"/>
          <w:sz w:val="24"/>
          <w:szCs w:val="24"/>
          <w:lang w:eastAsia="en-GB"/>
        </w:rPr>
      </w:pPr>
      <w:r w:rsidRPr="005E69E3">
        <w:rPr>
          <w:rFonts w:ascii="Arial" w:eastAsia="Times New Roman" w:hAnsi="Arial" w:cs="Arial"/>
          <w:color w:val="000000"/>
          <w:sz w:val="24"/>
          <w:szCs w:val="24"/>
          <w:lang w:eastAsia="en-GB"/>
        </w:rPr>
        <w:t xml:space="preserve">Criminal Procedure and Investigations Act (1996) c.25., </w:t>
      </w:r>
      <w:r w:rsidRPr="005E69E3">
        <w:rPr>
          <w:rFonts w:ascii="Arial" w:eastAsia="Times New Roman" w:hAnsi="Arial" w:cs="Arial"/>
          <w:i/>
          <w:iCs/>
          <w:color w:val="000000"/>
          <w:sz w:val="24"/>
          <w:szCs w:val="24"/>
          <w:lang w:eastAsia="en-GB"/>
        </w:rPr>
        <w:t>Changes over time for: Section 27</w:t>
      </w:r>
      <w:r w:rsidRPr="005E69E3">
        <w:rPr>
          <w:rFonts w:ascii="Arial" w:eastAsia="Times New Roman" w:hAnsi="Arial" w:cs="Arial"/>
          <w:color w:val="000000"/>
          <w:sz w:val="24"/>
          <w:szCs w:val="24"/>
          <w:lang w:eastAsia="en-GB"/>
        </w:rPr>
        <w:t>.</w:t>
      </w:r>
    </w:p>
    <w:p w14:paraId="0EA84C1E" w14:textId="77777777" w:rsidR="005E69E3" w:rsidRPr="005E69E3" w:rsidRDefault="005E69E3" w:rsidP="005E69E3">
      <w:pPr>
        <w:spacing w:after="0" w:line="480" w:lineRule="auto"/>
        <w:rPr>
          <w:rFonts w:ascii="Times New Roman" w:eastAsia="Times New Roman" w:hAnsi="Times New Roman" w:cs="Times New Roman"/>
          <w:sz w:val="24"/>
          <w:szCs w:val="24"/>
          <w:lang w:eastAsia="en-GB"/>
        </w:rPr>
      </w:pPr>
      <w:r w:rsidRPr="005E69E3">
        <w:rPr>
          <w:rFonts w:ascii="Arial" w:eastAsia="Times New Roman" w:hAnsi="Arial" w:cs="Arial"/>
          <w:color w:val="000000"/>
          <w:sz w:val="24"/>
          <w:szCs w:val="24"/>
          <w:lang w:eastAsia="en-GB"/>
        </w:rPr>
        <w:t xml:space="preserve">Available at: </w:t>
      </w:r>
      <w:hyperlink r:id="rId15" w:history="1">
        <w:r w:rsidRPr="005E69E3">
          <w:rPr>
            <w:rFonts w:ascii="Arial" w:eastAsia="Times New Roman" w:hAnsi="Arial" w:cs="Arial"/>
            <w:color w:val="1155CC"/>
            <w:sz w:val="24"/>
            <w:szCs w:val="24"/>
            <w:u w:val="single"/>
            <w:lang w:eastAsia="en-GB"/>
          </w:rPr>
          <w:t>https://www.legislation.gov.uk/ukpga/1996/25/section/27</w:t>
        </w:r>
      </w:hyperlink>
      <w:r w:rsidRPr="005E69E3">
        <w:rPr>
          <w:rFonts w:ascii="Arial" w:eastAsia="Times New Roman" w:hAnsi="Arial" w:cs="Arial"/>
          <w:color w:val="000000"/>
          <w:sz w:val="24"/>
          <w:szCs w:val="24"/>
          <w:lang w:eastAsia="en-GB"/>
        </w:rPr>
        <w:t> </w:t>
      </w:r>
    </w:p>
    <w:p w14:paraId="697CE227" w14:textId="77777777" w:rsidR="005E69E3" w:rsidRPr="005E69E3" w:rsidRDefault="005E69E3" w:rsidP="005E69E3">
      <w:pPr>
        <w:spacing w:after="0" w:line="480" w:lineRule="auto"/>
        <w:rPr>
          <w:rFonts w:ascii="Times New Roman" w:eastAsia="Times New Roman" w:hAnsi="Times New Roman" w:cs="Times New Roman"/>
          <w:sz w:val="24"/>
          <w:szCs w:val="24"/>
          <w:lang w:eastAsia="en-GB"/>
        </w:rPr>
      </w:pPr>
      <w:r w:rsidRPr="005E69E3">
        <w:rPr>
          <w:rFonts w:ascii="Arial" w:eastAsia="Times New Roman" w:hAnsi="Arial" w:cs="Arial"/>
          <w:color w:val="000000"/>
          <w:sz w:val="24"/>
          <w:szCs w:val="24"/>
          <w:lang w:eastAsia="en-GB"/>
        </w:rPr>
        <w:t>(Accessed: 27/02/2022) </w:t>
      </w:r>
    </w:p>
    <w:p w14:paraId="76FCE867" w14:textId="77777777" w:rsidR="005E69E3" w:rsidRPr="005E69E3" w:rsidRDefault="005E69E3" w:rsidP="005E69E3">
      <w:pPr>
        <w:spacing w:after="0" w:line="240" w:lineRule="auto"/>
        <w:rPr>
          <w:rFonts w:ascii="Times New Roman" w:eastAsia="Times New Roman" w:hAnsi="Times New Roman" w:cs="Times New Roman"/>
          <w:sz w:val="24"/>
          <w:szCs w:val="24"/>
          <w:lang w:eastAsia="en-GB"/>
        </w:rPr>
      </w:pPr>
    </w:p>
    <w:p w14:paraId="5F6CA962" w14:textId="77777777" w:rsidR="005E69E3" w:rsidRPr="005E69E3" w:rsidRDefault="005E69E3" w:rsidP="005E69E3">
      <w:pPr>
        <w:spacing w:after="0" w:line="480" w:lineRule="auto"/>
        <w:rPr>
          <w:rFonts w:ascii="Times New Roman" w:eastAsia="Times New Roman" w:hAnsi="Times New Roman" w:cs="Times New Roman"/>
          <w:sz w:val="24"/>
          <w:szCs w:val="24"/>
          <w:lang w:eastAsia="en-GB"/>
        </w:rPr>
      </w:pPr>
      <w:r w:rsidRPr="005E69E3">
        <w:rPr>
          <w:rFonts w:ascii="Arial" w:eastAsia="Times New Roman" w:hAnsi="Arial" w:cs="Arial"/>
          <w:color w:val="000000"/>
          <w:sz w:val="24"/>
          <w:szCs w:val="24"/>
          <w:lang w:eastAsia="en-GB"/>
        </w:rPr>
        <w:t xml:space="preserve">European Network of Forensic Science Institutes (2020) </w:t>
      </w:r>
      <w:r w:rsidRPr="005E69E3">
        <w:rPr>
          <w:rFonts w:ascii="Arial" w:eastAsia="Times New Roman" w:hAnsi="Arial" w:cs="Arial"/>
          <w:i/>
          <w:iCs/>
          <w:color w:val="000000"/>
          <w:sz w:val="24"/>
          <w:szCs w:val="24"/>
          <w:lang w:eastAsia="en-GB"/>
        </w:rPr>
        <w:t>Scenes of Crime Examination Best Practice Manual</w:t>
      </w:r>
      <w:r w:rsidRPr="005E69E3">
        <w:rPr>
          <w:rFonts w:ascii="Arial" w:eastAsia="Times New Roman" w:hAnsi="Arial" w:cs="Arial"/>
          <w:color w:val="000000"/>
          <w:sz w:val="24"/>
          <w:szCs w:val="24"/>
          <w:lang w:eastAsia="en-GB"/>
        </w:rPr>
        <w:t>.</w:t>
      </w:r>
    </w:p>
    <w:p w14:paraId="66AAF914" w14:textId="77777777" w:rsidR="005E69E3" w:rsidRPr="005E69E3" w:rsidRDefault="005E69E3" w:rsidP="005E69E3">
      <w:pPr>
        <w:spacing w:after="0" w:line="480" w:lineRule="auto"/>
        <w:rPr>
          <w:rFonts w:ascii="Times New Roman" w:eastAsia="Times New Roman" w:hAnsi="Times New Roman" w:cs="Times New Roman"/>
          <w:sz w:val="24"/>
          <w:szCs w:val="24"/>
          <w:lang w:eastAsia="en-GB"/>
        </w:rPr>
      </w:pPr>
      <w:r w:rsidRPr="005E69E3">
        <w:rPr>
          <w:rFonts w:ascii="Arial" w:eastAsia="Times New Roman" w:hAnsi="Arial" w:cs="Arial"/>
          <w:color w:val="000000"/>
          <w:sz w:val="24"/>
          <w:szCs w:val="24"/>
          <w:lang w:eastAsia="en-GB"/>
        </w:rPr>
        <w:t xml:space="preserve">Available at: </w:t>
      </w:r>
      <w:hyperlink r:id="rId16" w:history="1">
        <w:r w:rsidRPr="005E69E3">
          <w:rPr>
            <w:rFonts w:ascii="Arial" w:eastAsia="Times New Roman" w:hAnsi="Arial" w:cs="Arial"/>
            <w:color w:val="1155CC"/>
            <w:sz w:val="24"/>
            <w:szCs w:val="24"/>
            <w:u w:val="single"/>
            <w:lang w:eastAsia="en-GB"/>
          </w:rPr>
          <w:t>https://library.college.police.uk/docs/appref/ENFSI-BPM-v1_0.pdf</w:t>
        </w:r>
      </w:hyperlink>
      <w:r w:rsidRPr="005E69E3">
        <w:rPr>
          <w:rFonts w:ascii="Arial" w:eastAsia="Times New Roman" w:hAnsi="Arial" w:cs="Arial"/>
          <w:color w:val="000000"/>
          <w:sz w:val="24"/>
          <w:szCs w:val="24"/>
          <w:lang w:eastAsia="en-GB"/>
        </w:rPr>
        <w:t> </w:t>
      </w:r>
    </w:p>
    <w:p w14:paraId="4822645C" w14:textId="77777777" w:rsidR="005E69E3" w:rsidRPr="005E69E3" w:rsidRDefault="005E69E3" w:rsidP="005E69E3">
      <w:pPr>
        <w:spacing w:after="0" w:line="480" w:lineRule="auto"/>
        <w:rPr>
          <w:rFonts w:ascii="Times New Roman" w:eastAsia="Times New Roman" w:hAnsi="Times New Roman" w:cs="Times New Roman"/>
          <w:sz w:val="24"/>
          <w:szCs w:val="24"/>
          <w:lang w:eastAsia="en-GB"/>
        </w:rPr>
      </w:pPr>
      <w:r w:rsidRPr="005E69E3">
        <w:rPr>
          <w:rFonts w:ascii="Arial" w:eastAsia="Times New Roman" w:hAnsi="Arial" w:cs="Arial"/>
          <w:color w:val="000000"/>
          <w:sz w:val="24"/>
          <w:szCs w:val="24"/>
          <w:lang w:eastAsia="en-GB"/>
        </w:rPr>
        <w:t>(Accessed: 27/02/2022) </w:t>
      </w:r>
    </w:p>
    <w:p w14:paraId="6A70ED12" w14:textId="77777777" w:rsidR="005E69E3" w:rsidRPr="005E69E3" w:rsidRDefault="005E69E3" w:rsidP="005E69E3">
      <w:pPr>
        <w:spacing w:after="0" w:line="240" w:lineRule="auto"/>
        <w:rPr>
          <w:rFonts w:ascii="Times New Roman" w:eastAsia="Times New Roman" w:hAnsi="Times New Roman" w:cs="Times New Roman"/>
          <w:sz w:val="24"/>
          <w:szCs w:val="24"/>
          <w:lang w:eastAsia="en-GB"/>
        </w:rPr>
      </w:pPr>
    </w:p>
    <w:p w14:paraId="0943A89B" w14:textId="77777777" w:rsidR="005E69E3" w:rsidRPr="005E69E3" w:rsidRDefault="005E69E3" w:rsidP="005E69E3">
      <w:pPr>
        <w:spacing w:after="0" w:line="480" w:lineRule="auto"/>
        <w:rPr>
          <w:rFonts w:ascii="Times New Roman" w:eastAsia="Times New Roman" w:hAnsi="Times New Roman" w:cs="Times New Roman"/>
          <w:sz w:val="24"/>
          <w:szCs w:val="24"/>
          <w:lang w:eastAsia="en-GB"/>
        </w:rPr>
      </w:pPr>
      <w:r w:rsidRPr="005E69E3">
        <w:rPr>
          <w:rFonts w:ascii="Arial" w:eastAsia="Times New Roman" w:hAnsi="Arial" w:cs="Arial"/>
          <w:color w:val="000000"/>
          <w:sz w:val="24"/>
          <w:szCs w:val="24"/>
          <w:lang w:eastAsia="en-GB"/>
        </w:rPr>
        <w:t xml:space="preserve">Forensic Science Regulator (2020) </w:t>
      </w:r>
      <w:r w:rsidRPr="005E69E3">
        <w:rPr>
          <w:rFonts w:ascii="Arial" w:eastAsia="Times New Roman" w:hAnsi="Arial" w:cs="Arial"/>
          <w:i/>
          <w:iCs/>
          <w:color w:val="000000"/>
          <w:sz w:val="24"/>
          <w:szCs w:val="24"/>
          <w:lang w:eastAsia="en-GB"/>
        </w:rPr>
        <w:t>The Control and Avoidance of Contamination in</w:t>
      </w:r>
    </w:p>
    <w:p w14:paraId="03A7E65A" w14:textId="77777777" w:rsidR="005E69E3" w:rsidRPr="005E69E3" w:rsidRDefault="005E69E3" w:rsidP="005E69E3">
      <w:pPr>
        <w:spacing w:after="0" w:line="480" w:lineRule="auto"/>
        <w:rPr>
          <w:rFonts w:ascii="Times New Roman" w:eastAsia="Times New Roman" w:hAnsi="Times New Roman" w:cs="Times New Roman"/>
          <w:sz w:val="24"/>
          <w:szCs w:val="24"/>
          <w:lang w:eastAsia="en-GB"/>
        </w:rPr>
      </w:pPr>
      <w:r w:rsidRPr="005E69E3">
        <w:rPr>
          <w:rFonts w:ascii="Arial" w:eastAsia="Times New Roman" w:hAnsi="Arial" w:cs="Arial"/>
          <w:i/>
          <w:iCs/>
          <w:color w:val="000000"/>
          <w:sz w:val="24"/>
          <w:szCs w:val="24"/>
          <w:lang w:eastAsia="en-GB"/>
        </w:rPr>
        <w:t>Scene Examination involving DNA Evidence Recovery</w:t>
      </w:r>
      <w:r w:rsidRPr="005E69E3">
        <w:rPr>
          <w:rFonts w:ascii="Arial" w:eastAsia="Times New Roman" w:hAnsi="Arial" w:cs="Arial"/>
          <w:color w:val="000000"/>
          <w:sz w:val="24"/>
          <w:szCs w:val="24"/>
          <w:lang w:eastAsia="en-GB"/>
        </w:rPr>
        <w:t>.</w:t>
      </w:r>
    </w:p>
    <w:p w14:paraId="5B3CCC55" w14:textId="77777777" w:rsidR="005E69E3" w:rsidRPr="005E69E3" w:rsidRDefault="005E69E3" w:rsidP="005E69E3">
      <w:pPr>
        <w:spacing w:after="0" w:line="480" w:lineRule="auto"/>
        <w:rPr>
          <w:rFonts w:ascii="Times New Roman" w:eastAsia="Times New Roman" w:hAnsi="Times New Roman" w:cs="Times New Roman"/>
          <w:sz w:val="24"/>
          <w:szCs w:val="24"/>
          <w:lang w:eastAsia="en-GB"/>
        </w:rPr>
      </w:pPr>
      <w:r w:rsidRPr="005E69E3">
        <w:rPr>
          <w:rFonts w:ascii="Arial" w:eastAsia="Times New Roman" w:hAnsi="Arial" w:cs="Arial"/>
          <w:color w:val="000000"/>
          <w:sz w:val="24"/>
          <w:szCs w:val="24"/>
          <w:lang w:eastAsia="en-GB"/>
        </w:rPr>
        <w:t xml:space="preserve">Available at: </w:t>
      </w:r>
      <w:hyperlink r:id="rId17" w:history="1">
        <w:r w:rsidRPr="005E69E3">
          <w:rPr>
            <w:rFonts w:ascii="Arial" w:eastAsia="Times New Roman" w:hAnsi="Arial" w:cs="Arial"/>
            <w:color w:val="1155CC"/>
            <w:sz w:val="24"/>
            <w:szCs w:val="24"/>
            <w:u w:val="single"/>
            <w:lang w:eastAsia="en-GB"/>
          </w:rPr>
          <w:t>https://assets.publishing.service.gov.uk/government/uploads/system/uploads/attachment_data/file/915221/FSR_G-206_Issue_2_Final.pdf</w:t>
        </w:r>
      </w:hyperlink>
      <w:r w:rsidRPr="005E69E3">
        <w:rPr>
          <w:rFonts w:ascii="Arial" w:eastAsia="Times New Roman" w:hAnsi="Arial" w:cs="Arial"/>
          <w:color w:val="000000"/>
          <w:sz w:val="24"/>
          <w:szCs w:val="24"/>
          <w:lang w:eastAsia="en-GB"/>
        </w:rPr>
        <w:t> </w:t>
      </w:r>
    </w:p>
    <w:p w14:paraId="4677B737" w14:textId="77777777" w:rsidR="005E69E3" w:rsidRPr="005E69E3" w:rsidRDefault="005E69E3" w:rsidP="005E69E3">
      <w:pPr>
        <w:spacing w:after="0" w:line="480" w:lineRule="auto"/>
        <w:rPr>
          <w:rFonts w:ascii="Times New Roman" w:eastAsia="Times New Roman" w:hAnsi="Times New Roman" w:cs="Times New Roman"/>
          <w:sz w:val="24"/>
          <w:szCs w:val="24"/>
          <w:lang w:eastAsia="en-GB"/>
        </w:rPr>
      </w:pPr>
      <w:r w:rsidRPr="005E69E3">
        <w:rPr>
          <w:rFonts w:ascii="Arial" w:eastAsia="Times New Roman" w:hAnsi="Arial" w:cs="Arial"/>
          <w:color w:val="000000"/>
          <w:sz w:val="24"/>
          <w:szCs w:val="24"/>
          <w:lang w:eastAsia="en-GB"/>
        </w:rPr>
        <w:t>(Accessed: 23/02/2022) </w:t>
      </w:r>
    </w:p>
    <w:p w14:paraId="79BC86C1" w14:textId="77777777" w:rsidR="005E69E3" w:rsidRPr="005E69E3" w:rsidRDefault="005E69E3" w:rsidP="005E69E3">
      <w:pPr>
        <w:spacing w:after="0" w:line="240" w:lineRule="auto"/>
        <w:rPr>
          <w:rFonts w:ascii="Times New Roman" w:eastAsia="Times New Roman" w:hAnsi="Times New Roman" w:cs="Times New Roman"/>
          <w:sz w:val="24"/>
          <w:szCs w:val="24"/>
          <w:lang w:eastAsia="en-GB"/>
        </w:rPr>
      </w:pPr>
    </w:p>
    <w:p w14:paraId="508A88C8" w14:textId="77777777" w:rsidR="005E69E3" w:rsidRPr="005E69E3" w:rsidRDefault="005E69E3" w:rsidP="005E69E3">
      <w:pPr>
        <w:spacing w:after="0" w:line="480" w:lineRule="auto"/>
        <w:rPr>
          <w:rFonts w:ascii="Times New Roman" w:eastAsia="Times New Roman" w:hAnsi="Times New Roman" w:cs="Times New Roman"/>
          <w:sz w:val="24"/>
          <w:szCs w:val="24"/>
          <w:lang w:eastAsia="en-GB"/>
        </w:rPr>
      </w:pPr>
      <w:r w:rsidRPr="005E69E3">
        <w:rPr>
          <w:rFonts w:ascii="Arial" w:eastAsia="Times New Roman" w:hAnsi="Arial" w:cs="Arial"/>
          <w:color w:val="000000"/>
          <w:sz w:val="24"/>
          <w:szCs w:val="24"/>
          <w:lang w:eastAsia="en-GB"/>
        </w:rPr>
        <w:t xml:space="preserve">Forensic Interview Solutions (2015) </w:t>
      </w:r>
      <w:r w:rsidRPr="005E69E3">
        <w:rPr>
          <w:rFonts w:ascii="Arial" w:eastAsia="Times New Roman" w:hAnsi="Arial" w:cs="Arial"/>
          <w:i/>
          <w:iCs/>
          <w:color w:val="000000"/>
          <w:sz w:val="24"/>
          <w:szCs w:val="24"/>
          <w:lang w:eastAsia="en-GB"/>
        </w:rPr>
        <w:t>P.E.A.C.E. A DIFFERENT APPROACH TO INVESTIGATIVE INTERVIEWING</w:t>
      </w:r>
      <w:r w:rsidRPr="005E69E3">
        <w:rPr>
          <w:rFonts w:ascii="Arial" w:eastAsia="Times New Roman" w:hAnsi="Arial" w:cs="Arial"/>
          <w:color w:val="000000"/>
          <w:sz w:val="24"/>
          <w:szCs w:val="24"/>
          <w:lang w:eastAsia="en-GB"/>
        </w:rPr>
        <w:t>.</w:t>
      </w:r>
    </w:p>
    <w:p w14:paraId="6DAE456F" w14:textId="77777777" w:rsidR="005E69E3" w:rsidRPr="005E69E3" w:rsidRDefault="005E69E3" w:rsidP="005E69E3">
      <w:pPr>
        <w:spacing w:after="0" w:line="480" w:lineRule="auto"/>
        <w:rPr>
          <w:rFonts w:ascii="Times New Roman" w:eastAsia="Times New Roman" w:hAnsi="Times New Roman" w:cs="Times New Roman"/>
          <w:sz w:val="24"/>
          <w:szCs w:val="24"/>
          <w:lang w:eastAsia="en-GB"/>
        </w:rPr>
      </w:pPr>
      <w:r w:rsidRPr="005E69E3">
        <w:rPr>
          <w:rFonts w:ascii="Arial" w:eastAsia="Times New Roman" w:hAnsi="Arial" w:cs="Arial"/>
          <w:color w:val="000000"/>
          <w:sz w:val="24"/>
          <w:szCs w:val="24"/>
          <w:lang w:eastAsia="en-GB"/>
        </w:rPr>
        <w:t xml:space="preserve">Available at: </w:t>
      </w:r>
      <w:hyperlink r:id="rId18" w:history="1">
        <w:r w:rsidRPr="005E69E3">
          <w:rPr>
            <w:rFonts w:ascii="Arial" w:eastAsia="Times New Roman" w:hAnsi="Arial" w:cs="Arial"/>
            <w:color w:val="1155CC"/>
            <w:sz w:val="24"/>
            <w:szCs w:val="24"/>
            <w:u w:val="single"/>
            <w:lang w:eastAsia="en-GB"/>
          </w:rPr>
          <w:t>https://www.fis-international.com/assets/Uploads/resources/PEACE-A-Different-Approach.pdf</w:t>
        </w:r>
      </w:hyperlink>
      <w:r w:rsidRPr="005E69E3">
        <w:rPr>
          <w:rFonts w:ascii="Arial" w:eastAsia="Times New Roman" w:hAnsi="Arial" w:cs="Arial"/>
          <w:color w:val="000000"/>
          <w:sz w:val="24"/>
          <w:szCs w:val="24"/>
          <w:lang w:eastAsia="en-GB"/>
        </w:rPr>
        <w:t> </w:t>
      </w:r>
    </w:p>
    <w:p w14:paraId="51AA98ED" w14:textId="77777777" w:rsidR="005E69E3" w:rsidRPr="005E69E3" w:rsidRDefault="005E69E3" w:rsidP="005E69E3">
      <w:pPr>
        <w:spacing w:after="0" w:line="480" w:lineRule="auto"/>
        <w:rPr>
          <w:rFonts w:ascii="Times New Roman" w:eastAsia="Times New Roman" w:hAnsi="Times New Roman" w:cs="Times New Roman"/>
          <w:sz w:val="24"/>
          <w:szCs w:val="24"/>
          <w:lang w:eastAsia="en-GB"/>
        </w:rPr>
      </w:pPr>
      <w:r w:rsidRPr="005E69E3">
        <w:rPr>
          <w:rFonts w:ascii="Arial" w:eastAsia="Times New Roman" w:hAnsi="Arial" w:cs="Arial"/>
          <w:color w:val="000000"/>
          <w:sz w:val="24"/>
          <w:szCs w:val="24"/>
          <w:lang w:eastAsia="en-GB"/>
        </w:rPr>
        <w:t>(Accessed: 03/03/2022)</w:t>
      </w:r>
    </w:p>
    <w:p w14:paraId="18B9A1A1" w14:textId="77777777" w:rsidR="005E69E3" w:rsidRPr="005E69E3" w:rsidRDefault="005E69E3" w:rsidP="005E69E3">
      <w:pPr>
        <w:spacing w:after="0" w:line="240" w:lineRule="auto"/>
        <w:rPr>
          <w:rFonts w:ascii="Times New Roman" w:eastAsia="Times New Roman" w:hAnsi="Times New Roman" w:cs="Times New Roman"/>
          <w:sz w:val="24"/>
          <w:szCs w:val="24"/>
          <w:lang w:eastAsia="en-GB"/>
        </w:rPr>
      </w:pPr>
    </w:p>
    <w:p w14:paraId="247A55B0" w14:textId="77777777" w:rsidR="005E69E3" w:rsidRPr="005E69E3" w:rsidRDefault="005E69E3" w:rsidP="005E69E3">
      <w:pPr>
        <w:spacing w:after="0" w:line="480" w:lineRule="auto"/>
        <w:rPr>
          <w:rFonts w:ascii="Times New Roman" w:eastAsia="Times New Roman" w:hAnsi="Times New Roman" w:cs="Times New Roman"/>
          <w:sz w:val="24"/>
          <w:szCs w:val="24"/>
          <w:lang w:eastAsia="en-GB"/>
        </w:rPr>
      </w:pPr>
      <w:r w:rsidRPr="005E69E3">
        <w:rPr>
          <w:rFonts w:ascii="Arial" w:eastAsia="Times New Roman" w:hAnsi="Arial" w:cs="Arial"/>
          <w:color w:val="000000"/>
          <w:sz w:val="24"/>
          <w:szCs w:val="24"/>
          <w:lang w:eastAsia="en-GB"/>
        </w:rPr>
        <w:t xml:space="preserve">Gardner, R. M., </w:t>
      </w:r>
      <w:proofErr w:type="spellStart"/>
      <w:r w:rsidRPr="005E69E3">
        <w:rPr>
          <w:rFonts w:ascii="Arial" w:eastAsia="Times New Roman" w:hAnsi="Arial" w:cs="Arial"/>
          <w:color w:val="000000"/>
          <w:sz w:val="24"/>
          <w:szCs w:val="24"/>
          <w:lang w:eastAsia="en-GB"/>
        </w:rPr>
        <w:t>Krouskup</w:t>
      </w:r>
      <w:proofErr w:type="spellEnd"/>
      <w:r w:rsidRPr="005E69E3">
        <w:rPr>
          <w:rFonts w:ascii="Arial" w:eastAsia="Times New Roman" w:hAnsi="Arial" w:cs="Arial"/>
          <w:color w:val="000000"/>
          <w:sz w:val="24"/>
          <w:szCs w:val="24"/>
          <w:lang w:eastAsia="en-GB"/>
        </w:rPr>
        <w:t xml:space="preserve">, D. (2018) </w:t>
      </w:r>
      <w:r w:rsidRPr="005E69E3">
        <w:rPr>
          <w:rFonts w:ascii="Arial" w:eastAsia="Times New Roman" w:hAnsi="Arial" w:cs="Arial"/>
          <w:i/>
          <w:iCs/>
          <w:color w:val="000000"/>
          <w:sz w:val="24"/>
          <w:szCs w:val="24"/>
          <w:lang w:eastAsia="en-GB"/>
        </w:rPr>
        <w:t>Practical Crime Scene Processing and Investigation, Third Edition</w:t>
      </w:r>
      <w:r w:rsidRPr="005E69E3">
        <w:rPr>
          <w:rFonts w:ascii="Arial" w:eastAsia="Times New Roman" w:hAnsi="Arial" w:cs="Arial"/>
          <w:color w:val="000000"/>
          <w:sz w:val="24"/>
          <w:szCs w:val="24"/>
          <w:lang w:eastAsia="en-GB"/>
        </w:rPr>
        <w:t>, Florida: CRC Press.</w:t>
      </w:r>
    </w:p>
    <w:p w14:paraId="0435FD42" w14:textId="77777777" w:rsidR="005E69E3" w:rsidRPr="005E69E3" w:rsidRDefault="005E69E3" w:rsidP="005E69E3">
      <w:pPr>
        <w:spacing w:after="0" w:line="240" w:lineRule="auto"/>
        <w:rPr>
          <w:rFonts w:ascii="Times New Roman" w:eastAsia="Times New Roman" w:hAnsi="Times New Roman" w:cs="Times New Roman"/>
          <w:sz w:val="24"/>
          <w:szCs w:val="24"/>
          <w:lang w:eastAsia="en-GB"/>
        </w:rPr>
      </w:pPr>
    </w:p>
    <w:p w14:paraId="264188EC" w14:textId="77777777" w:rsidR="005E69E3" w:rsidRPr="005E69E3" w:rsidRDefault="005E69E3" w:rsidP="005E69E3">
      <w:pPr>
        <w:spacing w:after="0" w:line="480" w:lineRule="auto"/>
        <w:rPr>
          <w:rFonts w:ascii="Times New Roman" w:eastAsia="Times New Roman" w:hAnsi="Times New Roman" w:cs="Times New Roman"/>
          <w:sz w:val="24"/>
          <w:szCs w:val="24"/>
          <w:lang w:eastAsia="en-GB"/>
        </w:rPr>
      </w:pPr>
      <w:r w:rsidRPr="005E69E3">
        <w:rPr>
          <w:rFonts w:ascii="Arial" w:eastAsia="Times New Roman" w:hAnsi="Arial" w:cs="Arial"/>
          <w:color w:val="000000"/>
          <w:sz w:val="24"/>
          <w:szCs w:val="24"/>
          <w:lang w:eastAsia="en-GB"/>
        </w:rPr>
        <w:t xml:space="preserve">Hamilton, Z., </w:t>
      </w:r>
      <w:proofErr w:type="spellStart"/>
      <w:r w:rsidRPr="005E69E3">
        <w:rPr>
          <w:rFonts w:ascii="Arial" w:eastAsia="Times New Roman" w:hAnsi="Arial" w:cs="Arial"/>
          <w:color w:val="000000"/>
          <w:sz w:val="24"/>
          <w:szCs w:val="24"/>
          <w:lang w:eastAsia="en-GB"/>
        </w:rPr>
        <w:t>Kigerl</w:t>
      </w:r>
      <w:proofErr w:type="spellEnd"/>
      <w:r w:rsidRPr="005E69E3">
        <w:rPr>
          <w:rFonts w:ascii="Arial" w:eastAsia="Times New Roman" w:hAnsi="Arial" w:cs="Arial"/>
          <w:color w:val="000000"/>
          <w:sz w:val="24"/>
          <w:szCs w:val="24"/>
          <w:lang w:eastAsia="en-GB"/>
        </w:rPr>
        <w:t xml:space="preserve">, A., </w:t>
      </w:r>
      <w:proofErr w:type="spellStart"/>
      <w:r w:rsidRPr="005E69E3">
        <w:rPr>
          <w:rFonts w:ascii="Arial" w:eastAsia="Times New Roman" w:hAnsi="Arial" w:cs="Arial"/>
          <w:color w:val="000000"/>
          <w:sz w:val="24"/>
          <w:szCs w:val="24"/>
          <w:lang w:eastAsia="en-GB"/>
        </w:rPr>
        <w:t>Kowlaski</w:t>
      </w:r>
      <w:proofErr w:type="spellEnd"/>
      <w:r w:rsidRPr="005E69E3">
        <w:rPr>
          <w:rFonts w:ascii="Arial" w:eastAsia="Times New Roman" w:hAnsi="Arial" w:cs="Arial"/>
          <w:color w:val="000000"/>
          <w:sz w:val="24"/>
          <w:szCs w:val="24"/>
          <w:lang w:eastAsia="en-GB"/>
        </w:rPr>
        <w:t xml:space="preserve">, M. (2021) ‘Prediction is Local: The Benefits of Risk Assessment Optimization’, </w:t>
      </w:r>
      <w:r w:rsidRPr="005E69E3">
        <w:rPr>
          <w:rFonts w:ascii="Arial" w:eastAsia="Times New Roman" w:hAnsi="Arial" w:cs="Arial"/>
          <w:i/>
          <w:iCs/>
          <w:color w:val="000000"/>
          <w:sz w:val="24"/>
          <w:szCs w:val="24"/>
          <w:lang w:eastAsia="en-GB"/>
        </w:rPr>
        <w:t>Justice Quarterly</w:t>
      </w:r>
      <w:r w:rsidRPr="005E69E3">
        <w:rPr>
          <w:rFonts w:ascii="Arial" w:eastAsia="Times New Roman" w:hAnsi="Arial" w:cs="Arial"/>
          <w:color w:val="000000"/>
          <w:sz w:val="24"/>
          <w:szCs w:val="24"/>
          <w:lang w:eastAsia="en-GB"/>
        </w:rPr>
        <w:t>, pp. 1-23.</w:t>
      </w:r>
    </w:p>
    <w:p w14:paraId="3B2E8533" w14:textId="77777777" w:rsidR="005E69E3" w:rsidRPr="005E69E3" w:rsidRDefault="005E69E3" w:rsidP="005E69E3">
      <w:pPr>
        <w:spacing w:after="0" w:line="480" w:lineRule="auto"/>
        <w:rPr>
          <w:rFonts w:ascii="Times New Roman" w:eastAsia="Times New Roman" w:hAnsi="Times New Roman" w:cs="Times New Roman"/>
          <w:sz w:val="24"/>
          <w:szCs w:val="24"/>
          <w:lang w:eastAsia="en-GB"/>
        </w:rPr>
      </w:pPr>
      <w:r w:rsidRPr="005E69E3">
        <w:rPr>
          <w:rFonts w:ascii="Arial" w:eastAsia="Times New Roman" w:hAnsi="Arial" w:cs="Arial"/>
          <w:color w:val="000000"/>
          <w:sz w:val="24"/>
          <w:szCs w:val="24"/>
          <w:lang w:eastAsia="en-GB"/>
        </w:rPr>
        <w:t xml:space="preserve">Available at: </w:t>
      </w:r>
      <w:hyperlink r:id="rId19" w:history="1">
        <w:r w:rsidRPr="005E69E3">
          <w:rPr>
            <w:rFonts w:ascii="Arial" w:eastAsia="Times New Roman" w:hAnsi="Arial" w:cs="Arial"/>
            <w:color w:val="1155CC"/>
            <w:sz w:val="24"/>
            <w:szCs w:val="24"/>
            <w:u w:val="single"/>
            <w:lang w:eastAsia="en-GB"/>
          </w:rPr>
          <w:t>https://www.tandfonline.com/doi/full/10.1080/07418825.2021.1894215?needAccess=true</w:t>
        </w:r>
      </w:hyperlink>
      <w:r w:rsidRPr="005E69E3">
        <w:rPr>
          <w:rFonts w:ascii="Arial" w:eastAsia="Times New Roman" w:hAnsi="Arial" w:cs="Arial"/>
          <w:color w:val="000000"/>
          <w:sz w:val="24"/>
          <w:szCs w:val="24"/>
          <w:lang w:eastAsia="en-GB"/>
        </w:rPr>
        <w:t> </w:t>
      </w:r>
    </w:p>
    <w:p w14:paraId="02B8C99A" w14:textId="77777777" w:rsidR="005E69E3" w:rsidRPr="005E69E3" w:rsidRDefault="005E69E3" w:rsidP="005E69E3">
      <w:pPr>
        <w:spacing w:after="0" w:line="480" w:lineRule="auto"/>
        <w:rPr>
          <w:rFonts w:ascii="Times New Roman" w:eastAsia="Times New Roman" w:hAnsi="Times New Roman" w:cs="Times New Roman"/>
          <w:sz w:val="24"/>
          <w:szCs w:val="24"/>
          <w:lang w:eastAsia="en-GB"/>
        </w:rPr>
      </w:pPr>
      <w:r w:rsidRPr="005E69E3">
        <w:rPr>
          <w:rFonts w:ascii="Arial" w:eastAsia="Times New Roman" w:hAnsi="Arial" w:cs="Arial"/>
          <w:color w:val="000000"/>
          <w:sz w:val="24"/>
          <w:szCs w:val="24"/>
          <w:lang w:eastAsia="en-GB"/>
        </w:rPr>
        <w:t>(Accessed: 25/02/2022)  </w:t>
      </w:r>
    </w:p>
    <w:p w14:paraId="061AC4C8" w14:textId="77777777" w:rsidR="005E69E3" w:rsidRPr="005E69E3" w:rsidRDefault="005E69E3" w:rsidP="005E69E3">
      <w:pPr>
        <w:spacing w:after="0" w:line="240" w:lineRule="auto"/>
        <w:rPr>
          <w:rFonts w:ascii="Times New Roman" w:eastAsia="Times New Roman" w:hAnsi="Times New Roman" w:cs="Times New Roman"/>
          <w:sz w:val="24"/>
          <w:szCs w:val="24"/>
          <w:lang w:eastAsia="en-GB"/>
        </w:rPr>
      </w:pPr>
    </w:p>
    <w:p w14:paraId="4BFBEA19" w14:textId="77777777" w:rsidR="005E69E3" w:rsidRPr="005E69E3" w:rsidRDefault="005E69E3" w:rsidP="005E69E3">
      <w:pPr>
        <w:spacing w:after="0" w:line="480" w:lineRule="auto"/>
        <w:rPr>
          <w:rFonts w:ascii="Times New Roman" w:eastAsia="Times New Roman" w:hAnsi="Times New Roman" w:cs="Times New Roman"/>
          <w:sz w:val="24"/>
          <w:szCs w:val="24"/>
          <w:lang w:eastAsia="en-GB"/>
        </w:rPr>
      </w:pPr>
      <w:r w:rsidRPr="005E69E3">
        <w:rPr>
          <w:rFonts w:ascii="Arial" w:eastAsia="Times New Roman" w:hAnsi="Arial" w:cs="Arial"/>
          <w:color w:val="000000"/>
          <w:sz w:val="24"/>
          <w:szCs w:val="24"/>
          <w:lang w:eastAsia="en-GB"/>
        </w:rPr>
        <w:t xml:space="preserve">Home Office (2013) </w:t>
      </w:r>
      <w:r w:rsidRPr="005E69E3">
        <w:rPr>
          <w:rFonts w:ascii="Arial" w:eastAsia="Times New Roman" w:hAnsi="Arial" w:cs="Arial"/>
          <w:i/>
          <w:iCs/>
          <w:color w:val="000000"/>
          <w:sz w:val="24"/>
          <w:szCs w:val="24"/>
          <w:lang w:eastAsia="en-GB"/>
        </w:rPr>
        <w:t>National DNA Database statistics</w:t>
      </w:r>
      <w:r w:rsidRPr="005E69E3">
        <w:rPr>
          <w:rFonts w:ascii="Arial" w:eastAsia="Times New Roman" w:hAnsi="Arial" w:cs="Arial"/>
          <w:color w:val="000000"/>
          <w:sz w:val="24"/>
          <w:szCs w:val="24"/>
          <w:lang w:eastAsia="en-GB"/>
        </w:rPr>
        <w:t>.</w:t>
      </w:r>
    </w:p>
    <w:p w14:paraId="1A50AFD2" w14:textId="77777777" w:rsidR="005E69E3" w:rsidRPr="005E69E3" w:rsidRDefault="005E69E3" w:rsidP="005E69E3">
      <w:pPr>
        <w:spacing w:after="0" w:line="480" w:lineRule="auto"/>
        <w:rPr>
          <w:rFonts w:ascii="Times New Roman" w:eastAsia="Times New Roman" w:hAnsi="Times New Roman" w:cs="Times New Roman"/>
          <w:sz w:val="24"/>
          <w:szCs w:val="24"/>
          <w:lang w:eastAsia="en-GB"/>
        </w:rPr>
      </w:pPr>
      <w:r w:rsidRPr="005E69E3">
        <w:rPr>
          <w:rFonts w:ascii="Arial" w:eastAsia="Times New Roman" w:hAnsi="Arial" w:cs="Arial"/>
          <w:color w:val="000000"/>
          <w:sz w:val="24"/>
          <w:szCs w:val="24"/>
          <w:lang w:eastAsia="en-GB"/>
        </w:rPr>
        <w:t xml:space="preserve">Available at: </w:t>
      </w:r>
      <w:hyperlink r:id="rId20" w:history="1">
        <w:r w:rsidRPr="005E69E3">
          <w:rPr>
            <w:rFonts w:ascii="Arial" w:eastAsia="Times New Roman" w:hAnsi="Arial" w:cs="Arial"/>
            <w:color w:val="1155CC"/>
            <w:sz w:val="24"/>
            <w:szCs w:val="24"/>
            <w:u w:val="single"/>
            <w:lang w:eastAsia="en-GB"/>
          </w:rPr>
          <w:t>https://www.gov.uk/government/statistics/national-dna-database-statistics</w:t>
        </w:r>
      </w:hyperlink>
      <w:r w:rsidRPr="005E69E3">
        <w:rPr>
          <w:rFonts w:ascii="Arial" w:eastAsia="Times New Roman" w:hAnsi="Arial" w:cs="Arial"/>
          <w:color w:val="000000"/>
          <w:sz w:val="24"/>
          <w:szCs w:val="24"/>
          <w:lang w:eastAsia="en-GB"/>
        </w:rPr>
        <w:t> </w:t>
      </w:r>
    </w:p>
    <w:p w14:paraId="2475C150" w14:textId="77777777" w:rsidR="005E69E3" w:rsidRPr="005E69E3" w:rsidRDefault="005E69E3" w:rsidP="005E69E3">
      <w:pPr>
        <w:spacing w:after="0" w:line="480" w:lineRule="auto"/>
        <w:rPr>
          <w:rFonts w:ascii="Times New Roman" w:eastAsia="Times New Roman" w:hAnsi="Times New Roman" w:cs="Times New Roman"/>
          <w:sz w:val="24"/>
          <w:szCs w:val="24"/>
          <w:lang w:eastAsia="en-GB"/>
        </w:rPr>
      </w:pPr>
      <w:r w:rsidRPr="005E69E3">
        <w:rPr>
          <w:rFonts w:ascii="Arial" w:eastAsia="Times New Roman" w:hAnsi="Arial" w:cs="Arial"/>
          <w:color w:val="000000"/>
          <w:sz w:val="24"/>
          <w:szCs w:val="24"/>
          <w:lang w:eastAsia="en-GB"/>
        </w:rPr>
        <w:t>(Accessed: 23/02/2022) </w:t>
      </w:r>
    </w:p>
    <w:p w14:paraId="5485F27A" w14:textId="77777777" w:rsidR="005E69E3" w:rsidRPr="005E69E3" w:rsidRDefault="005E69E3" w:rsidP="005E69E3">
      <w:pPr>
        <w:spacing w:after="0" w:line="240" w:lineRule="auto"/>
        <w:rPr>
          <w:rFonts w:ascii="Times New Roman" w:eastAsia="Times New Roman" w:hAnsi="Times New Roman" w:cs="Times New Roman"/>
          <w:sz w:val="24"/>
          <w:szCs w:val="24"/>
          <w:lang w:eastAsia="en-GB"/>
        </w:rPr>
      </w:pPr>
    </w:p>
    <w:p w14:paraId="31B4190C" w14:textId="77777777" w:rsidR="005E69E3" w:rsidRPr="005E69E3" w:rsidRDefault="005E69E3" w:rsidP="005E69E3">
      <w:pPr>
        <w:spacing w:after="0" w:line="480" w:lineRule="auto"/>
        <w:rPr>
          <w:rFonts w:ascii="Times New Roman" w:eastAsia="Times New Roman" w:hAnsi="Times New Roman" w:cs="Times New Roman"/>
          <w:sz w:val="24"/>
          <w:szCs w:val="24"/>
          <w:lang w:eastAsia="en-GB"/>
        </w:rPr>
      </w:pPr>
      <w:r w:rsidRPr="005E69E3">
        <w:rPr>
          <w:rFonts w:ascii="Arial" w:eastAsia="Times New Roman" w:hAnsi="Arial" w:cs="Arial"/>
          <w:color w:val="000000"/>
          <w:sz w:val="24"/>
          <w:szCs w:val="24"/>
          <w:lang w:eastAsia="en-GB"/>
        </w:rPr>
        <w:t xml:space="preserve">Home Office (2017) </w:t>
      </w:r>
      <w:r w:rsidRPr="005E69E3">
        <w:rPr>
          <w:rFonts w:ascii="Arial" w:eastAsia="Times New Roman" w:hAnsi="Arial" w:cs="Arial"/>
          <w:i/>
          <w:iCs/>
          <w:color w:val="000000"/>
          <w:sz w:val="24"/>
          <w:szCs w:val="24"/>
          <w:lang w:eastAsia="en-GB"/>
        </w:rPr>
        <w:t>Code of Practice for the identification of persons by Police Officers.</w:t>
      </w:r>
    </w:p>
    <w:p w14:paraId="6531BC52" w14:textId="77777777" w:rsidR="005E69E3" w:rsidRPr="005E69E3" w:rsidRDefault="005E69E3" w:rsidP="005E69E3">
      <w:pPr>
        <w:spacing w:after="0" w:line="480" w:lineRule="auto"/>
        <w:rPr>
          <w:rFonts w:ascii="Times New Roman" w:eastAsia="Times New Roman" w:hAnsi="Times New Roman" w:cs="Times New Roman"/>
          <w:sz w:val="24"/>
          <w:szCs w:val="24"/>
          <w:lang w:eastAsia="en-GB"/>
        </w:rPr>
      </w:pPr>
      <w:r w:rsidRPr="005E69E3">
        <w:rPr>
          <w:rFonts w:ascii="Arial" w:eastAsia="Times New Roman" w:hAnsi="Arial" w:cs="Arial"/>
          <w:color w:val="000000"/>
          <w:sz w:val="24"/>
          <w:szCs w:val="24"/>
          <w:lang w:eastAsia="en-GB"/>
        </w:rPr>
        <w:t xml:space="preserve">Available at: </w:t>
      </w:r>
      <w:hyperlink r:id="rId21" w:history="1">
        <w:r w:rsidRPr="005E69E3">
          <w:rPr>
            <w:rFonts w:ascii="Arial" w:eastAsia="Times New Roman" w:hAnsi="Arial" w:cs="Arial"/>
            <w:color w:val="1155CC"/>
            <w:sz w:val="24"/>
            <w:szCs w:val="24"/>
            <w:u w:val="single"/>
            <w:lang w:eastAsia="en-GB"/>
          </w:rPr>
          <w:t>https://assets.publishing.service.gov.uk/government/uploads/system/uploads/attachment_data/file/903812/pace-code-d-2017.pdf</w:t>
        </w:r>
      </w:hyperlink>
      <w:r w:rsidRPr="005E69E3">
        <w:rPr>
          <w:rFonts w:ascii="Arial" w:eastAsia="Times New Roman" w:hAnsi="Arial" w:cs="Arial"/>
          <w:color w:val="000000"/>
          <w:sz w:val="24"/>
          <w:szCs w:val="24"/>
          <w:lang w:eastAsia="en-GB"/>
        </w:rPr>
        <w:t> </w:t>
      </w:r>
    </w:p>
    <w:p w14:paraId="40128342" w14:textId="77777777" w:rsidR="005E69E3" w:rsidRPr="005E69E3" w:rsidRDefault="005E69E3" w:rsidP="005E69E3">
      <w:pPr>
        <w:spacing w:after="0" w:line="480" w:lineRule="auto"/>
        <w:rPr>
          <w:rFonts w:ascii="Times New Roman" w:eastAsia="Times New Roman" w:hAnsi="Times New Roman" w:cs="Times New Roman"/>
          <w:sz w:val="24"/>
          <w:szCs w:val="24"/>
          <w:lang w:eastAsia="en-GB"/>
        </w:rPr>
      </w:pPr>
      <w:r w:rsidRPr="005E69E3">
        <w:rPr>
          <w:rFonts w:ascii="Arial" w:eastAsia="Times New Roman" w:hAnsi="Arial" w:cs="Arial"/>
          <w:color w:val="000000"/>
          <w:sz w:val="24"/>
          <w:szCs w:val="24"/>
          <w:lang w:eastAsia="en-GB"/>
        </w:rPr>
        <w:t xml:space="preserve">(Accessed: 27/02/2022) </w:t>
      </w:r>
      <w:r w:rsidRPr="005E69E3">
        <w:rPr>
          <w:rFonts w:ascii="Arial" w:eastAsia="Times New Roman" w:hAnsi="Arial" w:cs="Arial"/>
          <w:i/>
          <w:iCs/>
          <w:color w:val="000000"/>
          <w:sz w:val="24"/>
          <w:szCs w:val="24"/>
          <w:lang w:eastAsia="en-GB"/>
        </w:rPr>
        <w:t> </w:t>
      </w:r>
    </w:p>
    <w:p w14:paraId="21426347" w14:textId="77777777" w:rsidR="005E69E3" w:rsidRPr="005E69E3" w:rsidRDefault="005E69E3" w:rsidP="005E69E3">
      <w:pPr>
        <w:spacing w:after="0" w:line="240" w:lineRule="auto"/>
        <w:rPr>
          <w:rFonts w:ascii="Times New Roman" w:eastAsia="Times New Roman" w:hAnsi="Times New Roman" w:cs="Times New Roman"/>
          <w:sz w:val="24"/>
          <w:szCs w:val="24"/>
          <w:lang w:eastAsia="en-GB"/>
        </w:rPr>
      </w:pPr>
    </w:p>
    <w:p w14:paraId="0AE76EA4" w14:textId="77777777" w:rsidR="005E69E3" w:rsidRPr="005E69E3" w:rsidRDefault="005E69E3" w:rsidP="005E69E3">
      <w:pPr>
        <w:spacing w:after="0" w:line="480" w:lineRule="auto"/>
        <w:rPr>
          <w:rFonts w:ascii="Times New Roman" w:eastAsia="Times New Roman" w:hAnsi="Times New Roman" w:cs="Times New Roman"/>
          <w:sz w:val="24"/>
          <w:szCs w:val="24"/>
          <w:lang w:eastAsia="en-GB"/>
        </w:rPr>
      </w:pPr>
      <w:proofErr w:type="spellStart"/>
      <w:r w:rsidRPr="005E69E3">
        <w:rPr>
          <w:rFonts w:ascii="Arial" w:eastAsia="Times New Roman" w:hAnsi="Arial" w:cs="Arial"/>
          <w:color w:val="000000"/>
          <w:sz w:val="24"/>
          <w:szCs w:val="24"/>
          <w:lang w:eastAsia="en-GB"/>
        </w:rPr>
        <w:t>Horswell</w:t>
      </w:r>
      <w:proofErr w:type="spellEnd"/>
      <w:r w:rsidRPr="005E69E3">
        <w:rPr>
          <w:rFonts w:ascii="Arial" w:eastAsia="Times New Roman" w:hAnsi="Arial" w:cs="Arial"/>
          <w:color w:val="000000"/>
          <w:sz w:val="24"/>
          <w:szCs w:val="24"/>
          <w:lang w:eastAsia="en-GB"/>
        </w:rPr>
        <w:t xml:space="preserve">, J. (2004) </w:t>
      </w:r>
      <w:r w:rsidRPr="005E69E3">
        <w:rPr>
          <w:rFonts w:ascii="Arial" w:eastAsia="Times New Roman" w:hAnsi="Arial" w:cs="Arial"/>
          <w:i/>
          <w:iCs/>
          <w:color w:val="000000"/>
          <w:sz w:val="24"/>
          <w:szCs w:val="24"/>
          <w:lang w:eastAsia="en-GB"/>
        </w:rPr>
        <w:t xml:space="preserve">The Practice </w:t>
      </w:r>
      <w:proofErr w:type="gramStart"/>
      <w:r w:rsidRPr="005E69E3">
        <w:rPr>
          <w:rFonts w:ascii="Arial" w:eastAsia="Times New Roman" w:hAnsi="Arial" w:cs="Arial"/>
          <w:i/>
          <w:iCs/>
          <w:color w:val="000000"/>
          <w:sz w:val="24"/>
          <w:szCs w:val="24"/>
          <w:lang w:eastAsia="en-GB"/>
        </w:rPr>
        <w:t>Of</w:t>
      </w:r>
      <w:proofErr w:type="gramEnd"/>
      <w:r w:rsidRPr="005E69E3">
        <w:rPr>
          <w:rFonts w:ascii="Arial" w:eastAsia="Times New Roman" w:hAnsi="Arial" w:cs="Arial"/>
          <w:i/>
          <w:iCs/>
          <w:color w:val="000000"/>
          <w:sz w:val="24"/>
          <w:szCs w:val="24"/>
          <w:lang w:eastAsia="en-GB"/>
        </w:rPr>
        <w:t xml:space="preserve"> Crime Scene Investigation</w:t>
      </w:r>
      <w:r w:rsidRPr="005E69E3">
        <w:rPr>
          <w:rFonts w:ascii="Arial" w:eastAsia="Times New Roman" w:hAnsi="Arial" w:cs="Arial"/>
          <w:color w:val="000000"/>
          <w:sz w:val="24"/>
          <w:szCs w:val="24"/>
          <w:lang w:eastAsia="en-GB"/>
        </w:rPr>
        <w:t xml:space="preserve">, </w:t>
      </w:r>
      <w:proofErr w:type="spellStart"/>
      <w:r w:rsidRPr="005E69E3">
        <w:rPr>
          <w:rFonts w:ascii="Arial" w:eastAsia="Times New Roman" w:hAnsi="Arial" w:cs="Arial"/>
          <w:color w:val="000000"/>
          <w:sz w:val="24"/>
          <w:szCs w:val="24"/>
          <w:lang w:eastAsia="en-GB"/>
        </w:rPr>
        <w:t>Flordia</w:t>
      </w:r>
      <w:proofErr w:type="spellEnd"/>
      <w:r w:rsidRPr="005E69E3">
        <w:rPr>
          <w:rFonts w:ascii="Arial" w:eastAsia="Times New Roman" w:hAnsi="Arial" w:cs="Arial"/>
          <w:color w:val="000000"/>
          <w:sz w:val="24"/>
          <w:szCs w:val="24"/>
          <w:lang w:eastAsia="en-GB"/>
        </w:rPr>
        <w:t>: CRC Press. </w:t>
      </w:r>
    </w:p>
    <w:p w14:paraId="6B8C46DE" w14:textId="77777777" w:rsidR="005E69E3" w:rsidRPr="005E69E3" w:rsidRDefault="005E69E3" w:rsidP="005E69E3">
      <w:pPr>
        <w:spacing w:after="0" w:line="240" w:lineRule="auto"/>
        <w:rPr>
          <w:rFonts w:ascii="Times New Roman" w:eastAsia="Times New Roman" w:hAnsi="Times New Roman" w:cs="Times New Roman"/>
          <w:sz w:val="24"/>
          <w:szCs w:val="24"/>
          <w:lang w:eastAsia="en-GB"/>
        </w:rPr>
      </w:pPr>
    </w:p>
    <w:p w14:paraId="7F87A2D0" w14:textId="77777777" w:rsidR="005E69E3" w:rsidRPr="005E69E3" w:rsidRDefault="005E69E3" w:rsidP="005E69E3">
      <w:pPr>
        <w:spacing w:after="0" w:line="480" w:lineRule="auto"/>
        <w:rPr>
          <w:rFonts w:ascii="Times New Roman" w:eastAsia="Times New Roman" w:hAnsi="Times New Roman" w:cs="Times New Roman"/>
          <w:sz w:val="24"/>
          <w:szCs w:val="24"/>
          <w:lang w:eastAsia="en-GB"/>
        </w:rPr>
      </w:pPr>
      <w:r w:rsidRPr="005E69E3">
        <w:rPr>
          <w:rFonts w:ascii="Arial" w:eastAsia="Times New Roman" w:hAnsi="Arial" w:cs="Arial"/>
          <w:color w:val="000000"/>
          <w:sz w:val="24"/>
          <w:szCs w:val="24"/>
          <w:lang w:eastAsia="en-GB"/>
        </w:rPr>
        <w:t xml:space="preserve">Karu, K., Jain, A. K. (2001) ‘Fingerprint classification’, </w:t>
      </w:r>
      <w:r w:rsidRPr="005E69E3">
        <w:rPr>
          <w:rFonts w:ascii="Arial" w:eastAsia="Times New Roman" w:hAnsi="Arial" w:cs="Arial"/>
          <w:i/>
          <w:iCs/>
          <w:color w:val="000000"/>
          <w:sz w:val="24"/>
          <w:szCs w:val="24"/>
          <w:lang w:eastAsia="en-GB"/>
        </w:rPr>
        <w:t>Pattern Recognition</w:t>
      </w:r>
      <w:r w:rsidRPr="005E69E3">
        <w:rPr>
          <w:rFonts w:ascii="Arial" w:eastAsia="Times New Roman" w:hAnsi="Arial" w:cs="Arial"/>
          <w:color w:val="000000"/>
          <w:sz w:val="24"/>
          <w:szCs w:val="24"/>
          <w:lang w:eastAsia="en-GB"/>
        </w:rPr>
        <w:t>, 29(3), pp. 389-404.</w:t>
      </w:r>
    </w:p>
    <w:p w14:paraId="117E029F" w14:textId="77777777" w:rsidR="005E69E3" w:rsidRPr="005E69E3" w:rsidRDefault="005E69E3" w:rsidP="005E69E3">
      <w:pPr>
        <w:spacing w:after="0" w:line="480" w:lineRule="auto"/>
        <w:rPr>
          <w:rFonts w:ascii="Times New Roman" w:eastAsia="Times New Roman" w:hAnsi="Times New Roman" w:cs="Times New Roman"/>
          <w:sz w:val="24"/>
          <w:szCs w:val="24"/>
          <w:lang w:eastAsia="en-GB"/>
        </w:rPr>
      </w:pPr>
      <w:r w:rsidRPr="005E69E3">
        <w:rPr>
          <w:rFonts w:ascii="Arial" w:eastAsia="Times New Roman" w:hAnsi="Arial" w:cs="Arial"/>
          <w:color w:val="000000"/>
          <w:sz w:val="24"/>
          <w:szCs w:val="24"/>
          <w:lang w:eastAsia="en-GB"/>
        </w:rPr>
        <w:t xml:space="preserve">Available at: </w:t>
      </w:r>
      <w:hyperlink r:id="rId22" w:history="1">
        <w:r w:rsidRPr="005E69E3">
          <w:rPr>
            <w:rFonts w:ascii="Arial" w:eastAsia="Times New Roman" w:hAnsi="Arial" w:cs="Arial"/>
            <w:color w:val="1155CC"/>
            <w:sz w:val="24"/>
            <w:szCs w:val="24"/>
            <w:u w:val="single"/>
            <w:lang w:eastAsia="en-GB"/>
          </w:rPr>
          <w:t>https://www.sciencedirect.com/science/article/pii/0031320395001069</w:t>
        </w:r>
      </w:hyperlink>
      <w:r w:rsidRPr="005E69E3">
        <w:rPr>
          <w:rFonts w:ascii="Arial" w:eastAsia="Times New Roman" w:hAnsi="Arial" w:cs="Arial"/>
          <w:color w:val="000000"/>
          <w:sz w:val="24"/>
          <w:szCs w:val="24"/>
          <w:lang w:eastAsia="en-GB"/>
        </w:rPr>
        <w:t> </w:t>
      </w:r>
    </w:p>
    <w:p w14:paraId="2A374762" w14:textId="77777777" w:rsidR="005E69E3" w:rsidRPr="005E69E3" w:rsidRDefault="005E69E3" w:rsidP="005E69E3">
      <w:pPr>
        <w:spacing w:after="0" w:line="480" w:lineRule="auto"/>
        <w:rPr>
          <w:rFonts w:ascii="Times New Roman" w:eastAsia="Times New Roman" w:hAnsi="Times New Roman" w:cs="Times New Roman"/>
          <w:sz w:val="24"/>
          <w:szCs w:val="24"/>
          <w:lang w:eastAsia="en-GB"/>
        </w:rPr>
      </w:pPr>
      <w:r w:rsidRPr="005E69E3">
        <w:rPr>
          <w:rFonts w:ascii="Arial" w:eastAsia="Times New Roman" w:hAnsi="Arial" w:cs="Arial"/>
          <w:color w:val="000000"/>
          <w:sz w:val="24"/>
          <w:szCs w:val="24"/>
          <w:lang w:eastAsia="en-GB"/>
        </w:rPr>
        <w:t>(Accessed: 23/02/2022) </w:t>
      </w:r>
    </w:p>
    <w:p w14:paraId="25BA483B" w14:textId="77777777" w:rsidR="005E69E3" w:rsidRPr="005E69E3" w:rsidRDefault="005E69E3" w:rsidP="005E69E3">
      <w:pPr>
        <w:spacing w:after="0" w:line="240" w:lineRule="auto"/>
        <w:rPr>
          <w:rFonts w:ascii="Times New Roman" w:eastAsia="Times New Roman" w:hAnsi="Times New Roman" w:cs="Times New Roman"/>
          <w:sz w:val="24"/>
          <w:szCs w:val="24"/>
          <w:lang w:eastAsia="en-GB"/>
        </w:rPr>
      </w:pPr>
    </w:p>
    <w:p w14:paraId="7671B9CD" w14:textId="77777777" w:rsidR="005E69E3" w:rsidRPr="005E69E3" w:rsidRDefault="005E69E3" w:rsidP="005E69E3">
      <w:pPr>
        <w:spacing w:after="0" w:line="480" w:lineRule="auto"/>
        <w:rPr>
          <w:rFonts w:ascii="Times New Roman" w:eastAsia="Times New Roman" w:hAnsi="Times New Roman" w:cs="Times New Roman"/>
          <w:sz w:val="24"/>
          <w:szCs w:val="24"/>
          <w:lang w:eastAsia="en-GB"/>
        </w:rPr>
      </w:pPr>
      <w:r w:rsidRPr="005E69E3">
        <w:rPr>
          <w:rFonts w:ascii="Arial" w:eastAsia="Times New Roman" w:hAnsi="Arial" w:cs="Arial"/>
          <w:color w:val="000000"/>
          <w:sz w:val="24"/>
          <w:szCs w:val="24"/>
          <w:lang w:eastAsia="en-GB"/>
        </w:rPr>
        <w:t xml:space="preserve">Meares, T. L., Neyround, P. (2015) </w:t>
      </w:r>
      <w:r w:rsidRPr="005E69E3">
        <w:rPr>
          <w:rFonts w:ascii="Arial" w:eastAsia="Times New Roman" w:hAnsi="Arial" w:cs="Arial"/>
          <w:i/>
          <w:iCs/>
          <w:color w:val="000000"/>
          <w:sz w:val="24"/>
          <w:szCs w:val="24"/>
          <w:lang w:eastAsia="en-GB"/>
        </w:rPr>
        <w:t>Rightful Policing</w:t>
      </w:r>
      <w:r w:rsidRPr="005E69E3">
        <w:rPr>
          <w:rFonts w:ascii="Arial" w:eastAsia="Times New Roman" w:hAnsi="Arial" w:cs="Arial"/>
          <w:color w:val="000000"/>
          <w:sz w:val="24"/>
          <w:szCs w:val="24"/>
          <w:lang w:eastAsia="en-GB"/>
        </w:rPr>
        <w:t>.</w:t>
      </w:r>
    </w:p>
    <w:p w14:paraId="03F1DA6C" w14:textId="77777777" w:rsidR="005E69E3" w:rsidRPr="005E69E3" w:rsidRDefault="005E69E3" w:rsidP="005E69E3">
      <w:pPr>
        <w:spacing w:after="0" w:line="480" w:lineRule="auto"/>
        <w:rPr>
          <w:rFonts w:ascii="Times New Roman" w:eastAsia="Times New Roman" w:hAnsi="Times New Roman" w:cs="Times New Roman"/>
          <w:sz w:val="24"/>
          <w:szCs w:val="24"/>
          <w:lang w:eastAsia="en-GB"/>
        </w:rPr>
      </w:pPr>
      <w:r w:rsidRPr="005E69E3">
        <w:rPr>
          <w:rFonts w:ascii="Arial" w:eastAsia="Times New Roman" w:hAnsi="Arial" w:cs="Arial"/>
          <w:color w:val="000000"/>
          <w:sz w:val="24"/>
          <w:szCs w:val="24"/>
          <w:lang w:eastAsia="en-GB"/>
        </w:rPr>
        <w:t xml:space="preserve">Available at: </w:t>
      </w:r>
      <w:hyperlink r:id="rId23" w:history="1">
        <w:r w:rsidRPr="005E69E3">
          <w:rPr>
            <w:rFonts w:ascii="Arial" w:eastAsia="Times New Roman" w:hAnsi="Arial" w:cs="Arial"/>
            <w:color w:val="1155CC"/>
            <w:sz w:val="24"/>
            <w:szCs w:val="24"/>
            <w:u w:val="single"/>
            <w:lang w:eastAsia="en-GB"/>
          </w:rPr>
          <w:t>https://www.ojp.gov/ncjrs/virtual-library/abstracts/rightful-policing</w:t>
        </w:r>
      </w:hyperlink>
      <w:r w:rsidRPr="005E69E3">
        <w:rPr>
          <w:rFonts w:ascii="Arial" w:eastAsia="Times New Roman" w:hAnsi="Arial" w:cs="Arial"/>
          <w:color w:val="000000"/>
          <w:sz w:val="24"/>
          <w:szCs w:val="24"/>
          <w:lang w:eastAsia="en-GB"/>
        </w:rPr>
        <w:t> </w:t>
      </w:r>
    </w:p>
    <w:p w14:paraId="705518E7" w14:textId="77777777" w:rsidR="005E69E3" w:rsidRPr="005E69E3" w:rsidRDefault="005E69E3" w:rsidP="005E69E3">
      <w:pPr>
        <w:spacing w:after="0" w:line="480" w:lineRule="auto"/>
        <w:rPr>
          <w:rFonts w:ascii="Times New Roman" w:eastAsia="Times New Roman" w:hAnsi="Times New Roman" w:cs="Times New Roman"/>
          <w:sz w:val="24"/>
          <w:szCs w:val="24"/>
          <w:lang w:eastAsia="en-GB"/>
        </w:rPr>
      </w:pPr>
      <w:r w:rsidRPr="005E69E3">
        <w:rPr>
          <w:rFonts w:ascii="Arial" w:eastAsia="Times New Roman" w:hAnsi="Arial" w:cs="Arial"/>
          <w:color w:val="000000"/>
          <w:sz w:val="24"/>
          <w:szCs w:val="24"/>
          <w:lang w:eastAsia="en-GB"/>
        </w:rPr>
        <w:t>(Accessed: 23/02/2022) </w:t>
      </w:r>
    </w:p>
    <w:p w14:paraId="0BA9548D" w14:textId="77777777" w:rsidR="005E69E3" w:rsidRPr="005E69E3" w:rsidRDefault="005E69E3" w:rsidP="005E69E3">
      <w:pPr>
        <w:spacing w:after="0" w:line="240" w:lineRule="auto"/>
        <w:rPr>
          <w:rFonts w:ascii="Times New Roman" w:eastAsia="Times New Roman" w:hAnsi="Times New Roman" w:cs="Times New Roman"/>
          <w:sz w:val="24"/>
          <w:szCs w:val="24"/>
          <w:lang w:eastAsia="en-GB"/>
        </w:rPr>
      </w:pPr>
    </w:p>
    <w:p w14:paraId="7A1D57CC" w14:textId="77777777" w:rsidR="005E69E3" w:rsidRPr="005E69E3" w:rsidRDefault="005E69E3" w:rsidP="005E69E3">
      <w:pPr>
        <w:spacing w:after="0" w:line="480" w:lineRule="auto"/>
        <w:rPr>
          <w:rFonts w:ascii="Times New Roman" w:eastAsia="Times New Roman" w:hAnsi="Times New Roman" w:cs="Times New Roman"/>
          <w:sz w:val="24"/>
          <w:szCs w:val="24"/>
          <w:lang w:eastAsia="en-GB"/>
        </w:rPr>
      </w:pPr>
      <w:r w:rsidRPr="005E69E3">
        <w:rPr>
          <w:rFonts w:ascii="Arial" w:eastAsia="Times New Roman" w:hAnsi="Arial" w:cs="Arial"/>
          <w:color w:val="000000"/>
          <w:sz w:val="24"/>
          <w:szCs w:val="24"/>
          <w:lang w:eastAsia="en-GB"/>
        </w:rPr>
        <w:t xml:space="preserve">Ministry of Justice (2015) </w:t>
      </w:r>
      <w:r w:rsidRPr="005E69E3">
        <w:rPr>
          <w:rFonts w:ascii="Arial" w:eastAsia="Times New Roman" w:hAnsi="Arial" w:cs="Arial"/>
          <w:i/>
          <w:iCs/>
          <w:color w:val="000000"/>
          <w:sz w:val="24"/>
          <w:szCs w:val="24"/>
          <w:lang w:eastAsia="en-GB"/>
        </w:rPr>
        <w:t>Criminal Procedure and Investigations Act 1996 (section 23(1)) Code of Practice</w:t>
      </w:r>
      <w:r w:rsidRPr="005E69E3">
        <w:rPr>
          <w:rFonts w:ascii="Arial" w:eastAsia="Times New Roman" w:hAnsi="Arial" w:cs="Arial"/>
          <w:color w:val="000000"/>
          <w:sz w:val="24"/>
          <w:szCs w:val="24"/>
          <w:lang w:eastAsia="en-GB"/>
        </w:rPr>
        <w:t>.</w:t>
      </w:r>
    </w:p>
    <w:p w14:paraId="52BE1E40" w14:textId="77777777" w:rsidR="005E69E3" w:rsidRPr="005E69E3" w:rsidRDefault="005E69E3" w:rsidP="005E69E3">
      <w:pPr>
        <w:spacing w:after="0" w:line="480" w:lineRule="auto"/>
        <w:rPr>
          <w:rFonts w:ascii="Times New Roman" w:eastAsia="Times New Roman" w:hAnsi="Times New Roman" w:cs="Times New Roman"/>
          <w:sz w:val="24"/>
          <w:szCs w:val="24"/>
          <w:lang w:eastAsia="en-GB"/>
        </w:rPr>
      </w:pPr>
      <w:r w:rsidRPr="005E69E3">
        <w:rPr>
          <w:rFonts w:ascii="Arial" w:eastAsia="Times New Roman" w:hAnsi="Arial" w:cs="Arial"/>
          <w:color w:val="000000"/>
          <w:sz w:val="24"/>
          <w:szCs w:val="24"/>
          <w:lang w:eastAsia="en-GB"/>
        </w:rPr>
        <w:lastRenderedPageBreak/>
        <w:t xml:space="preserve">Available at: </w:t>
      </w:r>
      <w:hyperlink r:id="rId24" w:history="1">
        <w:r w:rsidRPr="005E69E3">
          <w:rPr>
            <w:rFonts w:ascii="Arial" w:eastAsia="Times New Roman" w:hAnsi="Arial" w:cs="Arial"/>
            <w:color w:val="1155CC"/>
            <w:sz w:val="24"/>
            <w:szCs w:val="24"/>
            <w:u w:val="single"/>
            <w:lang w:eastAsia="en-GB"/>
          </w:rPr>
          <w:t>https://assets.publishing.service.gov.uk/government/uploads/system/uploads/attachment_data/file/447967/code-of-practice-approved.pdf</w:t>
        </w:r>
      </w:hyperlink>
      <w:r w:rsidRPr="005E69E3">
        <w:rPr>
          <w:rFonts w:ascii="Arial" w:eastAsia="Times New Roman" w:hAnsi="Arial" w:cs="Arial"/>
          <w:color w:val="000000"/>
          <w:sz w:val="24"/>
          <w:szCs w:val="24"/>
          <w:lang w:eastAsia="en-GB"/>
        </w:rPr>
        <w:t> </w:t>
      </w:r>
    </w:p>
    <w:p w14:paraId="629B61E0" w14:textId="77777777" w:rsidR="005E69E3" w:rsidRPr="005E69E3" w:rsidRDefault="005E69E3" w:rsidP="005E69E3">
      <w:pPr>
        <w:spacing w:after="0" w:line="480" w:lineRule="auto"/>
        <w:rPr>
          <w:rFonts w:ascii="Times New Roman" w:eastAsia="Times New Roman" w:hAnsi="Times New Roman" w:cs="Times New Roman"/>
          <w:sz w:val="24"/>
          <w:szCs w:val="24"/>
          <w:lang w:eastAsia="en-GB"/>
        </w:rPr>
      </w:pPr>
      <w:r w:rsidRPr="005E69E3">
        <w:rPr>
          <w:rFonts w:ascii="Arial" w:eastAsia="Times New Roman" w:hAnsi="Arial" w:cs="Arial"/>
          <w:color w:val="000000"/>
          <w:sz w:val="24"/>
          <w:szCs w:val="24"/>
          <w:lang w:eastAsia="en-GB"/>
        </w:rPr>
        <w:t>(Accessed: 23/02/2022)  </w:t>
      </w:r>
    </w:p>
    <w:p w14:paraId="7E06CC67" w14:textId="77777777" w:rsidR="005E69E3" w:rsidRPr="005E69E3" w:rsidRDefault="005E69E3" w:rsidP="005E69E3">
      <w:pPr>
        <w:spacing w:after="0" w:line="240" w:lineRule="auto"/>
        <w:rPr>
          <w:rFonts w:ascii="Times New Roman" w:eastAsia="Times New Roman" w:hAnsi="Times New Roman" w:cs="Times New Roman"/>
          <w:sz w:val="24"/>
          <w:szCs w:val="24"/>
          <w:lang w:eastAsia="en-GB"/>
        </w:rPr>
      </w:pPr>
    </w:p>
    <w:p w14:paraId="65DC7930" w14:textId="77777777" w:rsidR="005E69E3" w:rsidRPr="005E69E3" w:rsidRDefault="005E69E3" w:rsidP="005E69E3">
      <w:pPr>
        <w:spacing w:after="0" w:line="480" w:lineRule="auto"/>
        <w:rPr>
          <w:rFonts w:ascii="Times New Roman" w:eastAsia="Times New Roman" w:hAnsi="Times New Roman" w:cs="Times New Roman"/>
          <w:sz w:val="24"/>
          <w:szCs w:val="24"/>
          <w:lang w:eastAsia="en-GB"/>
        </w:rPr>
      </w:pPr>
      <w:r w:rsidRPr="005E69E3">
        <w:rPr>
          <w:rFonts w:ascii="Arial" w:eastAsia="Times New Roman" w:hAnsi="Arial" w:cs="Arial"/>
          <w:color w:val="000000"/>
          <w:sz w:val="24"/>
          <w:szCs w:val="24"/>
          <w:lang w:eastAsia="en-GB"/>
        </w:rPr>
        <w:t xml:space="preserve">Pepper, I. (2010) </w:t>
      </w:r>
      <w:r w:rsidRPr="005E69E3">
        <w:rPr>
          <w:rFonts w:ascii="Arial" w:eastAsia="Times New Roman" w:hAnsi="Arial" w:cs="Arial"/>
          <w:i/>
          <w:iCs/>
          <w:color w:val="000000"/>
          <w:sz w:val="24"/>
          <w:szCs w:val="24"/>
          <w:lang w:eastAsia="en-GB"/>
        </w:rPr>
        <w:t xml:space="preserve">Crime Scene Investigation: Methods </w:t>
      </w:r>
      <w:proofErr w:type="gramStart"/>
      <w:r w:rsidRPr="005E69E3">
        <w:rPr>
          <w:rFonts w:ascii="Arial" w:eastAsia="Times New Roman" w:hAnsi="Arial" w:cs="Arial"/>
          <w:i/>
          <w:iCs/>
          <w:color w:val="000000"/>
          <w:sz w:val="24"/>
          <w:szCs w:val="24"/>
          <w:lang w:eastAsia="en-GB"/>
        </w:rPr>
        <w:t>And</w:t>
      </w:r>
      <w:proofErr w:type="gramEnd"/>
      <w:r w:rsidRPr="005E69E3">
        <w:rPr>
          <w:rFonts w:ascii="Arial" w:eastAsia="Times New Roman" w:hAnsi="Arial" w:cs="Arial"/>
          <w:i/>
          <w:iCs/>
          <w:color w:val="000000"/>
          <w:sz w:val="24"/>
          <w:szCs w:val="24"/>
          <w:lang w:eastAsia="en-GB"/>
        </w:rPr>
        <w:t xml:space="preserve"> Procedures: Methods and Procedures</w:t>
      </w:r>
      <w:r w:rsidRPr="005E69E3">
        <w:rPr>
          <w:rFonts w:ascii="Arial" w:eastAsia="Times New Roman" w:hAnsi="Arial" w:cs="Arial"/>
          <w:color w:val="000000"/>
          <w:sz w:val="24"/>
          <w:szCs w:val="24"/>
          <w:lang w:eastAsia="en-GB"/>
        </w:rPr>
        <w:t>, London: McGraw-Hill Education.</w:t>
      </w:r>
    </w:p>
    <w:p w14:paraId="56220452" w14:textId="77777777" w:rsidR="005E69E3" w:rsidRPr="005E69E3" w:rsidRDefault="005E69E3" w:rsidP="005E69E3">
      <w:pPr>
        <w:spacing w:after="0" w:line="240" w:lineRule="auto"/>
        <w:rPr>
          <w:rFonts w:ascii="Times New Roman" w:eastAsia="Times New Roman" w:hAnsi="Times New Roman" w:cs="Times New Roman"/>
          <w:sz w:val="24"/>
          <w:szCs w:val="24"/>
          <w:lang w:eastAsia="en-GB"/>
        </w:rPr>
      </w:pPr>
    </w:p>
    <w:p w14:paraId="720CAE7A" w14:textId="77777777" w:rsidR="005E69E3" w:rsidRPr="005E69E3" w:rsidRDefault="005E69E3" w:rsidP="005E69E3">
      <w:pPr>
        <w:spacing w:after="0" w:line="480" w:lineRule="auto"/>
        <w:rPr>
          <w:rFonts w:ascii="Times New Roman" w:eastAsia="Times New Roman" w:hAnsi="Times New Roman" w:cs="Times New Roman"/>
          <w:sz w:val="24"/>
          <w:szCs w:val="24"/>
          <w:lang w:eastAsia="en-GB"/>
        </w:rPr>
      </w:pPr>
      <w:r w:rsidRPr="005E69E3">
        <w:rPr>
          <w:rFonts w:ascii="Arial" w:eastAsia="Times New Roman" w:hAnsi="Arial" w:cs="Arial"/>
          <w:color w:val="000000"/>
          <w:sz w:val="24"/>
          <w:szCs w:val="24"/>
          <w:lang w:eastAsia="en-GB"/>
        </w:rPr>
        <w:t xml:space="preserve">Police and Criminal Evidence Act (1984) c.60., </w:t>
      </w:r>
      <w:r w:rsidRPr="005E69E3">
        <w:rPr>
          <w:rFonts w:ascii="Arial" w:eastAsia="Times New Roman" w:hAnsi="Arial" w:cs="Arial"/>
          <w:i/>
          <w:iCs/>
          <w:color w:val="000000"/>
          <w:sz w:val="24"/>
          <w:szCs w:val="24"/>
          <w:lang w:eastAsia="en-GB"/>
        </w:rPr>
        <w:t>Changes over time for: Section 17</w:t>
      </w:r>
      <w:r w:rsidRPr="005E69E3">
        <w:rPr>
          <w:rFonts w:ascii="Arial" w:eastAsia="Times New Roman" w:hAnsi="Arial" w:cs="Arial"/>
          <w:color w:val="000000"/>
          <w:sz w:val="24"/>
          <w:szCs w:val="24"/>
          <w:lang w:eastAsia="en-GB"/>
        </w:rPr>
        <w:t>.</w:t>
      </w:r>
    </w:p>
    <w:p w14:paraId="6B8E85B7" w14:textId="77777777" w:rsidR="005E69E3" w:rsidRPr="005E69E3" w:rsidRDefault="005E69E3" w:rsidP="005E69E3">
      <w:pPr>
        <w:spacing w:after="0" w:line="480" w:lineRule="auto"/>
        <w:rPr>
          <w:rFonts w:ascii="Times New Roman" w:eastAsia="Times New Roman" w:hAnsi="Times New Roman" w:cs="Times New Roman"/>
          <w:sz w:val="24"/>
          <w:szCs w:val="24"/>
          <w:lang w:eastAsia="en-GB"/>
        </w:rPr>
      </w:pPr>
      <w:r w:rsidRPr="005E69E3">
        <w:rPr>
          <w:rFonts w:ascii="Arial" w:eastAsia="Times New Roman" w:hAnsi="Arial" w:cs="Arial"/>
          <w:color w:val="000000"/>
          <w:sz w:val="24"/>
          <w:szCs w:val="24"/>
          <w:lang w:eastAsia="en-GB"/>
        </w:rPr>
        <w:t xml:space="preserve">Available at: </w:t>
      </w:r>
      <w:hyperlink r:id="rId25" w:history="1">
        <w:r w:rsidRPr="005E69E3">
          <w:rPr>
            <w:rFonts w:ascii="Arial" w:eastAsia="Times New Roman" w:hAnsi="Arial" w:cs="Arial"/>
            <w:color w:val="1155CC"/>
            <w:sz w:val="24"/>
            <w:szCs w:val="24"/>
            <w:u w:val="single"/>
            <w:lang w:eastAsia="en-GB"/>
          </w:rPr>
          <w:t>https://www.legislation.gov.uk/ukpga/1984/60/section/17</w:t>
        </w:r>
      </w:hyperlink>
      <w:r w:rsidRPr="005E69E3">
        <w:rPr>
          <w:rFonts w:ascii="Arial" w:eastAsia="Times New Roman" w:hAnsi="Arial" w:cs="Arial"/>
          <w:color w:val="000000"/>
          <w:sz w:val="24"/>
          <w:szCs w:val="24"/>
          <w:lang w:eastAsia="en-GB"/>
        </w:rPr>
        <w:t> </w:t>
      </w:r>
    </w:p>
    <w:p w14:paraId="55ACA003" w14:textId="77777777" w:rsidR="005E69E3" w:rsidRPr="005E69E3" w:rsidRDefault="005E69E3" w:rsidP="005E69E3">
      <w:pPr>
        <w:spacing w:after="0" w:line="480" w:lineRule="auto"/>
        <w:rPr>
          <w:rFonts w:ascii="Times New Roman" w:eastAsia="Times New Roman" w:hAnsi="Times New Roman" w:cs="Times New Roman"/>
          <w:sz w:val="24"/>
          <w:szCs w:val="24"/>
          <w:lang w:eastAsia="en-GB"/>
        </w:rPr>
      </w:pPr>
      <w:r w:rsidRPr="005E69E3">
        <w:rPr>
          <w:rFonts w:ascii="Arial" w:eastAsia="Times New Roman" w:hAnsi="Arial" w:cs="Arial"/>
          <w:color w:val="000000"/>
          <w:sz w:val="24"/>
          <w:szCs w:val="24"/>
          <w:lang w:eastAsia="en-GB"/>
        </w:rPr>
        <w:t>(Accessed: 27/02/2022) </w:t>
      </w:r>
    </w:p>
    <w:p w14:paraId="5A836788" w14:textId="77777777" w:rsidR="005E69E3" w:rsidRPr="005E69E3" w:rsidRDefault="005E69E3" w:rsidP="005E69E3">
      <w:pPr>
        <w:spacing w:after="0" w:line="240" w:lineRule="auto"/>
        <w:rPr>
          <w:rFonts w:ascii="Times New Roman" w:eastAsia="Times New Roman" w:hAnsi="Times New Roman" w:cs="Times New Roman"/>
          <w:sz w:val="24"/>
          <w:szCs w:val="24"/>
          <w:lang w:eastAsia="en-GB"/>
        </w:rPr>
      </w:pPr>
    </w:p>
    <w:p w14:paraId="7E27C171" w14:textId="77777777" w:rsidR="005E69E3" w:rsidRPr="005E69E3" w:rsidRDefault="005E69E3" w:rsidP="005E69E3">
      <w:pPr>
        <w:spacing w:after="0" w:line="480" w:lineRule="auto"/>
        <w:rPr>
          <w:rFonts w:ascii="Times New Roman" w:eastAsia="Times New Roman" w:hAnsi="Times New Roman" w:cs="Times New Roman"/>
          <w:sz w:val="24"/>
          <w:szCs w:val="24"/>
          <w:lang w:eastAsia="en-GB"/>
        </w:rPr>
      </w:pPr>
      <w:r w:rsidRPr="005E69E3">
        <w:rPr>
          <w:rFonts w:ascii="Arial" w:eastAsia="Times New Roman" w:hAnsi="Arial" w:cs="Arial"/>
          <w:color w:val="000000"/>
          <w:sz w:val="24"/>
          <w:szCs w:val="24"/>
          <w:lang w:eastAsia="en-GB"/>
        </w:rPr>
        <w:t xml:space="preserve">Police and Criminal Evidence Act (1984) c.60., </w:t>
      </w:r>
      <w:r w:rsidRPr="005E69E3">
        <w:rPr>
          <w:rFonts w:ascii="Arial" w:eastAsia="Times New Roman" w:hAnsi="Arial" w:cs="Arial"/>
          <w:i/>
          <w:iCs/>
          <w:color w:val="000000"/>
          <w:sz w:val="24"/>
          <w:szCs w:val="24"/>
          <w:lang w:eastAsia="en-GB"/>
        </w:rPr>
        <w:t>Changes over time for: Section 19</w:t>
      </w:r>
      <w:r w:rsidRPr="005E69E3">
        <w:rPr>
          <w:rFonts w:ascii="Arial" w:eastAsia="Times New Roman" w:hAnsi="Arial" w:cs="Arial"/>
          <w:color w:val="000000"/>
          <w:sz w:val="24"/>
          <w:szCs w:val="24"/>
          <w:lang w:eastAsia="en-GB"/>
        </w:rPr>
        <w:t>.</w:t>
      </w:r>
    </w:p>
    <w:p w14:paraId="5635019D" w14:textId="77777777" w:rsidR="005E69E3" w:rsidRPr="005E69E3" w:rsidRDefault="005E69E3" w:rsidP="005E69E3">
      <w:pPr>
        <w:spacing w:after="0" w:line="480" w:lineRule="auto"/>
        <w:rPr>
          <w:rFonts w:ascii="Times New Roman" w:eastAsia="Times New Roman" w:hAnsi="Times New Roman" w:cs="Times New Roman"/>
          <w:sz w:val="24"/>
          <w:szCs w:val="24"/>
          <w:lang w:eastAsia="en-GB"/>
        </w:rPr>
      </w:pPr>
      <w:r w:rsidRPr="005E69E3">
        <w:rPr>
          <w:rFonts w:ascii="Arial" w:eastAsia="Times New Roman" w:hAnsi="Arial" w:cs="Arial"/>
          <w:color w:val="000000"/>
          <w:sz w:val="24"/>
          <w:szCs w:val="24"/>
          <w:lang w:eastAsia="en-GB"/>
        </w:rPr>
        <w:t xml:space="preserve">Available at: </w:t>
      </w:r>
      <w:hyperlink r:id="rId26" w:history="1">
        <w:r w:rsidRPr="005E69E3">
          <w:rPr>
            <w:rFonts w:ascii="Arial" w:eastAsia="Times New Roman" w:hAnsi="Arial" w:cs="Arial"/>
            <w:color w:val="1155CC"/>
            <w:sz w:val="24"/>
            <w:szCs w:val="24"/>
            <w:u w:val="single"/>
            <w:lang w:eastAsia="en-GB"/>
          </w:rPr>
          <w:t>https://www.legislation.gov.uk/ukpga/1984/60/section/19</w:t>
        </w:r>
      </w:hyperlink>
      <w:r w:rsidRPr="005E69E3">
        <w:rPr>
          <w:rFonts w:ascii="Arial" w:eastAsia="Times New Roman" w:hAnsi="Arial" w:cs="Arial"/>
          <w:color w:val="000000"/>
          <w:sz w:val="24"/>
          <w:szCs w:val="24"/>
          <w:lang w:eastAsia="en-GB"/>
        </w:rPr>
        <w:t> </w:t>
      </w:r>
    </w:p>
    <w:p w14:paraId="4A8BBDB9" w14:textId="77777777" w:rsidR="005E69E3" w:rsidRPr="005E69E3" w:rsidRDefault="005E69E3" w:rsidP="005E69E3">
      <w:pPr>
        <w:spacing w:after="0" w:line="480" w:lineRule="auto"/>
        <w:rPr>
          <w:rFonts w:ascii="Times New Roman" w:eastAsia="Times New Roman" w:hAnsi="Times New Roman" w:cs="Times New Roman"/>
          <w:sz w:val="24"/>
          <w:szCs w:val="24"/>
          <w:lang w:eastAsia="en-GB"/>
        </w:rPr>
      </w:pPr>
      <w:r w:rsidRPr="005E69E3">
        <w:rPr>
          <w:rFonts w:ascii="Arial" w:eastAsia="Times New Roman" w:hAnsi="Arial" w:cs="Arial"/>
          <w:color w:val="000000"/>
          <w:sz w:val="24"/>
          <w:szCs w:val="24"/>
          <w:lang w:eastAsia="en-GB"/>
        </w:rPr>
        <w:t>(Accessed: 25/02/2022)   </w:t>
      </w:r>
    </w:p>
    <w:p w14:paraId="6DFA4C4E" w14:textId="77777777" w:rsidR="005E69E3" w:rsidRPr="005E69E3" w:rsidRDefault="005E69E3" w:rsidP="005E69E3">
      <w:pPr>
        <w:spacing w:after="0" w:line="240" w:lineRule="auto"/>
        <w:rPr>
          <w:rFonts w:ascii="Times New Roman" w:eastAsia="Times New Roman" w:hAnsi="Times New Roman" w:cs="Times New Roman"/>
          <w:sz w:val="24"/>
          <w:szCs w:val="24"/>
          <w:lang w:eastAsia="en-GB"/>
        </w:rPr>
      </w:pPr>
    </w:p>
    <w:p w14:paraId="364E2DF8" w14:textId="77777777" w:rsidR="005E69E3" w:rsidRPr="005E69E3" w:rsidRDefault="005E69E3" w:rsidP="005E69E3">
      <w:pPr>
        <w:spacing w:after="0" w:line="480" w:lineRule="auto"/>
        <w:rPr>
          <w:rFonts w:ascii="Times New Roman" w:eastAsia="Times New Roman" w:hAnsi="Times New Roman" w:cs="Times New Roman"/>
          <w:sz w:val="24"/>
          <w:szCs w:val="24"/>
          <w:lang w:eastAsia="en-GB"/>
        </w:rPr>
      </w:pPr>
      <w:r w:rsidRPr="005E69E3">
        <w:rPr>
          <w:rFonts w:ascii="Arial" w:eastAsia="Times New Roman" w:hAnsi="Arial" w:cs="Arial"/>
          <w:color w:val="000000"/>
          <w:sz w:val="24"/>
          <w:szCs w:val="24"/>
          <w:lang w:eastAsia="en-GB"/>
        </w:rPr>
        <w:t xml:space="preserve">Police Service of Northern Ireland (2016) </w:t>
      </w:r>
      <w:r w:rsidRPr="005E69E3">
        <w:rPr>
          <w:rFonts w:ascii="Arial" w:eastAsia="Times New Roman" w:hAnsi="Arial" w:cs="Arial"/>
          <w:i/>
          <w:iCs/>
          <w:color w:val="000000"/>
          <w:sz w:val="24"/>
          <w:szCs w:val="24"/>
          <w:lang w:eastAsia="en-GB"/>
        </w:rPr>
        <w:t>Serious Crime Scenes</w:t>
      </w:r>
      <w:r w:rsidRPr="005E69E3">
        <w:rPr>
          <w:rFonts w:ascii="Arial" w:eastAsia="Times New Roman" w:hAnsi="Arial" w:cs="Arial"/>
          <w:color w:val="000000"/>
          <w:sz w:val="24"/>
          <w:szCs w:val="24"/>
          <w:lang w:eastAsia="en-GB"/>
        </w:rPr>
        <w:t>. </w:t>
      </w:r>
    </w:p>
    <w:p w14:paraId="704650A4" w14:textId="77777777" w:rsidR="005E69E3" w:rsidRPr="005E69E3" w:rsidRDefault="005E69E3" w:rsidP="005E69E3">
      <w:pPr>
        <w:spacing w:after="0" w:line="480" w:lineRule="auto"/>
        <w:rPr>
          <w:rFonts w:ascii="Times New Roman" w:eastAsia="Times New Roman" w:hAnsi="Times New Roman" w:cs="Times New Roman"/>
          <w:sz w:val="24"/>
          <w:szCs w:val="24"/>
          <w:lang w:eastAsia="en-GB"/>
        </w:rPr>
      </w:pPr>
      <w:r w:rsidRPr="005E69E3">
        <w:rPr>
          <w:rFonts w:ascii="Arial" w:eastAsia="Times New Roman" w:hAnsi="Arial" w:cs="Arial"/>
          <w:color w:val="000000"/>
          <w:sz w:val="24"/>
          <w:szCs w:val="24"/>
          <w:lang w:eastAsia="en-GB"/>
        </w:rPr>
        <w:t xml:space="preserve">Available at: </w:t>
      </w:r>
      <w:hyperlink r:id="rId27" w:history="1">
        <w:r w:rsidRPr="005E69E3">
          <w:rPr>
            <w:rFonts w:ascii="Arial" w:eastAsia="Times New Roman" w:hAnsi="Arial" w:cs="Arial"/>
            <w:color w:val="1155CC"/>
            <w:sz w:val="24"/>
            <w:szCs w:val="24"/>
            <w:u w:val="single"/>
            <w:lang w:eastAsia="en-GB"/>
          </w:rPr>
          <w:t>https://www.psni.police.uk/globalassets/advice--information/our-publications/policies-and-service-procedures/serious-crime-scenes-231116.pdf</w:t>
        </w:r>
      </w:hyperlink>
      <w:r w:rsidRPr="005E69E3">
        <w:rPr>
          <w:rFonts w:ascii="Arial" w:eastAsia="Times New Roman" w:hAnsi="Arial" w:cs="Arial"/>
          <w:color w:val="000000"/>
          <w:sz w:val="24"/>
          <w:szCs w:val="24"/>
          <w:lang w:eastAsia="en-GB"/>
        </w:rPr>
        <w:t> </w:t>
      </w:r>
    </w:p>
    <w:p w14:paraId="5490A3B4" w14:textId="77777777" w:rsidR="005E69E3" w:rsidRPr="005E69E3" w:rsidRDefault="005E69E3" w:rsidP="005E69E3">
      <w:pPr>
        <w:spacing w:after="0" w:line="480" w:lineRule="auto"/>
        <w:rPr>
          <w:rFonts w:ascii="Times New Roman" w:eastAsia="Times New Roman" w:hAnsi="Times New Roman" w:cs="Times New Roman"/>
          <w:sz w:val="24"/>
          <w:szCs w:val="24"/>
          <w:lang w:eastAsia="en-GB"/>
        </w:rPr>
      </w:pPr>
      <w:r w:rsidRPr="005E69E3">
        <w:rPr>
          <w:rFonts w:ascii="Arial" w:eastAsia="Times New Roman" w:hAnsi="Arial" w:cs="Arial"/>
          <w:color w:val="000000"/>
          <w:sz w:val="24"/>
          <w:szCs w:val="24"/>
          <w:lang w:eastAsia="en-GB"/>
        </w:rPr>
        <w:t>(Accessed: 25/02/2022)</w:t>
      </w:r>
    </w:p>
    <w:p w14:paraId="4BE5219B" w14:textId="77777777" w:rsidR="005E69E3" w:rsidRPr="005E69E3" w:rsidRDefault="005E69E3" w:rsidP="005E69E3">
      <w:pPr>
        <w:spacing w:after="0" w:line="240" w:lineRule="auto"/>
        <w:rPr>
          <w:rFonts w:ascii="Times New Roman" w:eastAsia="Times New Roman" w:hAnsi="Times New Roman" w:cs="Times New Roman"/>
          <w:sz w:val="24"/>
          <w:szCs w:val="24"/>
          <w:lang w:eastAsia="en-GB"/>
        </w:rPr>
      </w:pPr>
    </w:p>
    <w:p w14:paraId="304722C2" w14:textId="77777777" w:rsidR="005E69E3" w:rsidRPr="005E69E3" w:rsidRDefault="005E69E3" w:rsidP="005E69E3">
      <w:pPr>
        <w:spacing w:after="0" w:line="480" w:lineRule="auto"/>
        <w:rPr>
          <w:rFonts w:ascii="Times New Roman" w:eastAsia="Times New Roman" w:hAnsi="Times New Roman" w:cs="Times New Roman"/>
          <w:sz w:val="24"/>
          <w:szCs w:val="24"/>
          <w:lang w:eastAsia="en-GB"/>
        </w:rPr>
      </w:pPr>
      <w:r w:rsidRPr="005E69E3">
        <w:rPr>
          <w:rFonts w:ascii="Arial" w:eastAsia="Times New Roman" w:hAnsi="Arial" w:cs="Arial"/>
          <w:color w:val="000000"/>
          <w:sz w:val="24"/>
          <w:szCs w:val="24"/>
          <w:lang w:eastAsia="en-GB"/>
        </w:rPr>
        <w:t xml:space="preserve">Regulation of Investigatory Powers Act (2000) c.23., </w:t>
      </w:r>
      <w:r w:rsidRPr="005E69E3">
        <w:rPr>
          <w:rFonts w:ascii="Arial" w:eastAsia="Times New Roman" w:hAnsi="Arial" w:cs="Arial"/>
          <w:i/>
          <w:iCs/>
          <w:color w:val="000000"/>
          <w:sz w:val="24"/>
          <w:szCs w:val="24"/>
          <w:lang w:eastAsia="en-GB"/>
        </w:rPr>
        <w:t>Changes over time for: Part II</w:t>
      </w:r>
      <w:r w:rsidRPr="005E69E3">
        <w:rPr>
          <w:rFonts w:ascii="Arial" w:eastAsia="Times New Roman" w:hAnsi="Arial" w:cs="Arial"/>
          <w:color w:val="000000"/>
          <w:sz w:val="24"/>
          <w:szCs w:val="24"/>
          <w:lang w:eastAsia="en-GB"/>
        </w:rPr>
        <w:t>.</w:t>
      </w:r>
    </w:p>
    <w:p w14:paraId="340D3216" w14:textId="77777777" w:rsidR="005E69E3" w:rsidRPr="005E69E3" w:rsidRDefault="005E69E3" w:rsidP="005E69E3">
      <w:pPr>
        <w:spacing w:after="0" w:line="480" w:lineRule="auto"/>
        <w:rPr>
          <w:rFonts w:ascii="Times New Roman" w:eastAsia="Times New Roman" w:hAnsi="Times New Roman" w:cs="Times New Roman"/>
          <w:sz w:val="24"/>
          <w:szCs w:val="24"/>
          <w:lang w:eastAsia="en-GB"/>
        </w:rPr>
      </w:pPr>
      <w:r w:rsidRPr="005E69E3">
        <w:rPr>
          <w:rFonts w:ascii="Arial" w:eastAsia="Times New Roman" w:hAnsi="Arial" w:cs="Arial"/>
          <w:color w:val="000000"/>
          <w:sz w:val="24"/>
          <w:szCs w:val="24"/>
          <w:lang w:eastAsia="en-GB"/>
        </w:rPr>
        <w:t xml:space="preserve">Available at: </w:t>
      </w:r>
      <w:hyperlink r:id="rId28" w:history="1">
        <w:r w:rsidRPr="005E69E3">
          <w:rPr>
            <w:rFonts w:ascii="Arial" w:eastAsia="Times New Roman" w:hAnsi="Arial" w:cs="Arial"/>
            <w:color w:val="1155CC"/>
            <w:sz w:val="24"/>
            <w:szCs w:val="24"/>
            <w:u w:val="single"/>
            <w:lang w:eastAsia="en-GB"/>
          </w:rPr>
          <w:t>https://www.legislation.gov.uk/ukpga/2000/23/part/II</w:t>
        </w:r>
      </w:hyperlink>
      <w:r w:rsidRPr="005E69E3">
        <w:rPr>
          <w:rFonts w:ascii="Arial" w:eastAsia="Times New Roman" w:hAnsi="Arial" w:cs="Arial"/>
          <w:color w:val="000000"/>
          <w:sz w:val="24"/>
          <w:szCs w:val="24"/>
          <w:lang w:eastAsia="en-GB"/>
        </w:rPr>
        <w:t> </w:t>
      </w:r>
    </w:p>
    <w:p w14:paraId="79474603" w14:textId="77777777" w:rsidR="005E69E3" w:rsidRPr="005E69E3" w:rsidRDefault="005E69E3" w:rsidP="005E69E3">
      <w:pPr>
        <w:spacing w:after="0" w:line="480" w:lineRule="auto"/>
        <w:rPr>
          <w:rFonts w:ascii="Times New Roman" w:eastAsia="Times New Roman" w:hAnsi="Times New Roman" w:cs="Times New Roman"/>
          <w:sz w:val="24"/>
          <w:szCs w:val="24"/>
          <w:lang w:eastAsia="en-GB"/>
        </w:rPr>
      </w:pPr>
      <w:r w:rsidRPr="005E69E3">
        <w:rPr>
          <w:rFonts w:ascii="Arial" w:eastAsia="Times New Roman" w:hAnsi="Arial" w:cs="Arial"/>
          <w:color w:val="000000"/>
          <w:sz w:val="24"/>
          <w:szCs w:val="24"/>
          <w:lang w:eastAsia="en-GB"/>
        </w:rPr>
        <w:t>(Accessed: 27/02/2022) </w:t>
      </w:r>
    </w:p>
    <w:p w14:paraId="3E55E0FE" w14:textId="77777777" w:rsidR="005E69E3" w:rsidRPr="005E69E3" w:rsidRDefault="005E69E3" w:rsidP="005E69E3">
      <w:pPr>
        <w:spacing w:after="0" w:line="240" w:lineRule="auto"/>
        <w:rPr>
          <w:rFonts w:ascii="Times New Roman" w:eastAsia="Times New Roman" w:hAnsi="Times New Roman" w:cs="Times New Roman"/>
          <w:sz w:val="24"/>
          <w:szCs w:val="24"/>
          <w:lang w:eastAsia="en-GB"/>
        </w:rPr>
      </w:pPr>
    </w:p>
    <w:p w14:paraId="7FA54C82" w14:textId="77777777" w:rsidR="005E69E3" w:rsidRPr="005E69E3" w:rsidRDefault="005E69E3" w:rsidP="005E69E3">
      <w:pPr>
        <w:spacing w:after="0" w:line="480" w:lineRule="auto"/>
        <w:rPr>
          <w:rFonts w:ascii="Times New Roman" w:eastAsia="Times New Roman" w:hAnsi="Times New Roman" w:cs="Times New Roman"/>
          <w:sz w:val="24"/>
          <w:szCs w:val="24"/>
          <w:lang w:eastAsia="en-GB"/>
        </w:rPr>
      </w:pPr>
      <w:r w:rsidRPr="005E69E3">
        <w:rPr>
          <w:rFonts w:ascii="Arial" w:eastAsia="Times New Roman" w:hAnsi="Arial" w:cs="Arial"/>
          <w:color w:val="000000"/>
          <w:sz w:val="24"/>
          <w:szCs w:val="24"/>
          <w:lang w:eastAsia="en-GB"/>
        </w:rPr>
        <w:t xml:space="preserve">Rose, A. (2021) ‘Forensics: The Golden Hour’, In </w:t>
      </w:r>
      <w:proofErr w:type="spellStart"/>
      <w:r w:rsidRPr="005E69E3">
        <w:rPr>
          <w:rFonts w:ascii="Arial" w:eastAsia="Times New Roman" w:hAnsi="Arial" w:cs="Arial"/>
          <w:color w:val="000000"/>
          <w:sz w:val="24"/>
          <w:szCs w:val="24"/>
          <w:lang w:eastAsia="en-GB"/>
        </w:rPr>
        <w:t>Roycroft</w:t>
      </w:r>
      <w:proofErr w:type="spellEnd"/>
      <w:r w:rsidRPr="005E69E3">
        <w:rPr>
          <w:rFonts w:ascii="Arial" w:eastAsia="Times New Roman" w:hAnsi="Arial" w:cs="Arial"/>
          <w:color w:val="000000"/>
          <w:sz w:val="24"/>
          <w:szCs w:val="24"/>
          <w:lang w:eastAsia="en-GB"/>
        </w:rPr>
        <w:t xml:space="preserve">, M and Brine, L (ed.) </w:t>
      </w:r>
      <w:r w:rsidRPr="005E69E3">
        <w:rPr>
          <w:rFonts w:ascii="Arial" w:eastAsia="Times New Roman" w:hAnsi="Arial" w:cs="Arial"/>
          <w:i/>
          <w:iCs/>
          <w:color w:val="000000"/>
          <w:sz w:val="24"/>
          <w:szCs w:val="24"/>
          <w:lang w:eastAsia="en-GB"/>
        </w:rPr>
        <w:t>Modern Police Leadership: Operational Effectiveness at Every Level</w:t>
      </w:r>
      <w:r w:rsidRPr="005E69E3">
        <w:rPr>
          <w:rFonts w:ascii="Arial" w:eastAsia="Times New Roman" w:hAnsi="Arial" w:cs="Arial"/>
          <w:color w:val="000000"/>
          <w:sz w:val="24"/>
          <w:szCs w:val="24"/>
          <w:lang w:eastAsia="en-GB"/>
        </w:rPr>
        <w:t>, London: Springer Nature.</w:t>
      </w:r>
    </w:p>
    <w:p w14:paraId="03750813" w14:textId="77777777" w:rsidR="005E69E3" w:rsidRPr="005E69E3" w:rsidRDefault="005E69E3" w:rsidP="005E69E3">
      <w:pPr>
        <w:spacing w:after="0" w:line="240" w:lineRule="auto"/>
        <w:rPr>
          <w:rFonts w:ascii="Times New Roman" w:eastAsia="Times New Roman" w:hAnsi="Times New Roman" w:cs="Times New Roman"/>
          <w:sz w:val="24"/>
          <w:szCs w:val="24"/>
          <w:lang w:eastAsia="en-GB"/>
        </w:rPr>
      </w:pPr>
    </w:p>
    <w:p w14:paraId="3BC3634C" w14:textId="77777777" w:rsidR="005E69E3" w:rsidRPr="005E69E3" w:rsidRDefault="005E69E3" w:rsidP="005E69E3">
      <w:pPr>
        <w:spacing w:after="0" w:line="480" w:lineRule="auto"/>
        <w:rPr>
          <w:rFonts w:ascii="Times New Roman" w:eastAsia="Times New Roman" w:hAnsi="Times New Roman" w:cs="Times New Roman"/>
          <w:sz w:val="24"/>
          <w:szCs w:val="24"/>
          <w:lang w:eastAsia="en-GB"/>
        </w:rPr>
      </w:pPr>
      <w:r w:rsidRPr="005E69E3">
        <w:rPr>
          <w:rFonts w:ascii="Arial" w:eastAsia="Times New Roman" w:hAnsi="Arial" w:cs="Arial"/>
          <w:color w:val="000000"/>
          <w:sz w:val="24"/>
          <w:szCs w:val="24"/>
          <w:lang w:eastAsia="en-GB"/>
        </w:rPr>
        <w:t xml:space="preserve">Roux, C., Wright, B. T., Robertson, J., </w:t>
      </w:r>
      <w:proofErr w:type="spellStart"/>
      <w:r w:rsidRPr="005E69E3">
        <w:rPr>
          <w:rFonts w:ascii="Arial" w:eastAsia="Times New Roman" w:hAnsi="Arial" w:cs="Arial"/>
          <w:color w:val="000000"/>
          <w:sz w:val="24"/>
          <w:szCs w:val="24"/>
          <w:lang w:eastAsia="en-GB"/>
        </w:rPr>
        <w:t>Crispino</w:t>
      </w:r>
      <w:proofErr w:type="spellEnd"/>
      <w:r w:rsidRPr="005E69E3">
        <w:rPr>
          <w:rFonts w:ascii="Arial" w:eastAsia="Times New Roman" w:hAnsi="Arial" w:cs="Arial"/>
          <w:color w:val="000000"/>
          <w:sz w:val="24"/>
          <w:szCs w:val="24"/>
          <w:lang w:eastAsia="en-GB"/>
        </w:rPr>
        <w:t xml:space="preserve">, F., </w:t>
      </w:r>
      <w:proofErr w:type="spellStart"/>
      <w:r w:rsidRPr="005E69E3">
        <w:rPr>
          <w:rFonts w:ascii="Arial" w:eastAsia="Times New Roman" w:hAnsi="Arial" w:cs="Arial"/>
          <w:color w:val="000000"/>
          <w:sz w:val="24"/>
          <w:szCs w:val="24"/>
          <w:lang w:eastAsia="en-GB"/>
        </w:rPr>
        <w:t>Ribaux</w:t>
      </w:r>
      <w:proofErr w:type="spellEnd"/>
      <w:r w:rsidRPr="005E69E3">
        <w:rPr>
          <w:rFonts w:ascii="Arial" w:eastAsia="Times New Roman" w:hAnsi="Arial" w:cs="Arial"/>
          <w:color w:val="000000"/>
          <w:sz w:val="24"/>
          <w:szCs w:val="24"/>
          <w:lang w:eastAsia="en-GB"/>
        </w:rPr>
        <w:t xml:space="preserve">, O. (2015) ‘The end of the (forensic science) world as we know it? The example of trace evidence’, Philosophical Transactions of the </w:t>
      </w:r>
      <w:r w:rsidRPr="005E69E3">
        <w:rPr>
          <w:rFonts w:ascii="Arial" w:eastAsia="Times New Roman" w:hAnsi="Arial" w:cs="Arial"/>
          <w:i/>
          <w:iCs/>
          <w:color w:val="000000"/>
          <w:sz w:val="24"/>
          <w:szCs w:val="24"/>
          <w:lang w:eastAsia="en-GB"/>
        </w:rPr>
        <w:t>Royal Society</w:t>
      </w:r>
      <w:r w:rsidRPr="005E69E3">
        <w:rPr>
          <w:rFonts w:ascii="Arial" w:eastAsia="Times New Roman" w:hAnsi="Arial" w:cs="Arial"/>
          <w:color w:val="000000"/>
          <w:sz w:val="24"/>
          <w:szCs w:val="24"/>
          <w:lang w:eastAsia="en-GB"/>
        </w:rPr>
        <w:t>, 370(1674), pp. 1-8.</w:t>
      </w:r>
    </w:p>
    <w:p w14:paraId="51C51C65" w14:textId="77777777" w:rsidR="005E69E3" w:rsidRPr="005E69E3" w:rsidRDefault="005E69E3" w:rsidP="005E69E3">
      <w:pPr>
        <w:spacing w:after="0" w:line="480" w:lineRule="auto"/>
        <w:rPr>
          <w:rFonts w:ascii="Times New Roman" w:eastAsia="Times New Roman" w:hAnsi="Times New Roman" w:cs="Times New Roman"/>
          <w:sz w:val="24"/>
          <w:szCs w:val="24"/>
          <w:lang w:eastAsia="en-GB"/>
        </w:rPr>
      </w:pPr>
      <w:r w:rsidRPr="005E69E3">
        <w:rPr>
          <w:rFonts w:ascii="Arial" w:eastAsia="Times New Roman" w:hAnsi="Arial" w:cs="Arial"/>
          <w:color w:val="000000"/>
          <w:sz w:val="24"/>
          <w:szCs w:val="24"/>
          <w:lang w:eastAsia="en-GB"/>
        </w:rPr>
        <w:t xml:space="preserve">Available at: </w:t>
      </w:r>
      <w:hyperlink r:id="rId29" w:history="1">
        <w:r w:rsidRPr="005E69E3">
          <w:rPr>
            <w:rFonts w:ascii="Arial" w:eastAsia="Times New Roman" w:hAnsi="Arial" w:cs="Arial"/>
            <w:color w:val="1155CC"/>
            <w:sz w:val="24"/>
            <w:szCs w:val="24"/>
            <w:u w:val="single"/>
            <w:lang w:eastAsia="en-GB"/>
          </w:rPr>
          <w:t>https://royalsocietypublishing.org/doi/pdf/10.1098/rstb.2014.0260</w:t>
        </w:r>
      </w:hyperlink>
      <w:r w:rsidRPr="005E69E3">
        <w:rPr>
          <w:rFonts w:ascii="Arial" w:eastAsia="Times New Roman" w:hAnsi="Arial" w:cs="Arial"/>
          <w:color w:val="000000"/>
          <w:sz w:val="24"/>
          <w:szCs w:val="24"/>
          <w:lang w:eastAsia="en-GB"/>
        </w:rPr>
        <w:t> </w:t>
      </w:r>
    </w:p>
    <w:p w14:paraId="11DF3AF7" w14:textId="77777777" w:rsidR="005E69E3" w:rsidRPr="005E69E3" w:rsidRDefault="005E69E3" w:rsidP="005E69E3">
      <w:pPr>
        <w:spacing w:after="0" w:line="480" w:lineRule="auto"/>
        <w:rPr>
          <w:rFonts w:ascii="Times New Roman" w:eastAsia="Times New Roman" w:hAnsi="Times New Roman" w:cs="Times New Roman"/>
          <w:sz w:val="24"/>
          <w:szCs w:val="24"/>
          <w:lang w:eastAsia="en-GB"/>
        </w:rPr>
      </w:pPr>
      <w:r w:rsidRPr="005E69E3">
        <w:rPr>
          <w:rFonts w:ascii="Arial" w:eastAsia="Times New Roman" w:hAnsi="Arial" w:cs="Arial"/>
          <w:color w:val="000000"/>
          <w:sz w:val="24"/>
          <w:szCs w:val="24"/>
          <w:lang w:eastAsia="en-GB"/>
        </w:rPr>
        <w:t>(Accessed: 23/02/2022)   </w:t>
      </w:r>
    </w:p>
    <w:p w14:paraId="3BE5DB44" w14:textId="77777777" w:rsidR="005E69E3" w:rsidRPr="005E69E3" w:rsidRDefault="005E69E3" w:rsidP="005E69E3">
      <w:pPr>
        <w:spacing w:after="0" w:line="240" w:lineRule="auto"/>
        <w:rPr>
          <w:rFonts w:ascii="Times New Roman" w:eastAsia="Times New Roman" w:hAnsi="Times New Roman" w:cs="Times New Roman"/>
          <w:sz w:val="24"/>
          <w:szCs w:val="24"/>
          <w:lang w:eastAsia="en-GB"/>
        </w:rPr>
      </w:pPr>
    </w:p>
    <w:p w14:paraId="7C1988C1" w14:textId="77777777" w:rsidR="005E69E3" w:rsidRPr="005E69E3" w:rsidRDefault="005E69E3" w:rsidP="005E69E3">
      <w:pPr>
        <w:spacing w:after="0" w:line="480" w:lineRule="auto"/>
        <w:rPr>
          <w:rFonts w:ascii="Times New Roman" w:eastAsia="Times New Roman" w:hAnsi="Times New Roman" w:cs="Times New Roman"/>
          <w:sz w:val="24"/>
          <w:szCs w:val="24"/>
          <w:lang w:eastAsia="en-GB"/>
        </w:rPr>
      </w:pPr>
      <w:r w:rsidRPr="005E69E3">
        <w:rPr>
          <w:rFonts w:ascii="Arial" w:eastAsia="Times New Roman" w:hAnsi="Arial" w:cs="Arial"/>
          <w:color w:val="000000"/>
          <w:sz w:val="24"/>
          <w:szCs w:val="24"/>
          <w:lang w:eastAsia="en-GB"/>
        </w:rPr>
        <w:t xml:space="preserve">Singh, H. N. (2021) ‘Crime Scene Investigation’, </w:t>
      </w:r>
      <w:r w:rsidRPr="005E69E3">
        <w:rPr>
          <w:rFonts w:ascii="Arial" w:eastAsia="Times New Roman" w:hAnsi="Arial" w:cs="Arial"/>
          <w:i/>
          <w:iCs/>
          <w:color w:val="000000"/>
          <w:sz w:val="24"/>
          <w:szCs w:val="24"/>
          <w:lang w:eastAsia="en-GB"/>
        </w:rPr>
        <w:t>International Journal of Science and Research</w:t>
      </w:r>
      <w:r w:rsidRPr="005E69E3">
        <w:rPr>
          <w:rFonts w:ascii="Arial" w:eastAsia="Times New Roman" w:hAnsi="Arial" w:cs="Arial"/>
          <w:color w:val="000000"/>
          <w:sz w:val="24"/>
          <w:szCs w:val="24"/>
          <w:lang w:eastAsia="en-GB"/>
        </w:rPr>
        <w:t>, 10(11), pp. 642-648.</w:t>
      </w:r>
    </w:p>
    <w:p w14:paraId="7AA05822" w14:textId="77777777" w:rsidR="005E69E3" w:rsidRPr="005E69E3" w:rsidRDefault="005E69E3" w:rsidP="005E69E3">
      <w:pPr>
        <w:spacing w:after="0" w:line="480" w:lineRule="auto"/>
        <w:rPr>
          <w:rFonts w:ascii="Times New Roman" w:eastAsia="Times New Roman" w:hAnsi="Times New Roman" w:cs="Times New Roman"/>
          <w:sz w:val="24"/>
          <w:szCs w:val="24"/>
          <w:lang w:eastAsia="en-GB"/>
        </w:rPr>
      </w:pPr>
      <w:r w:rsidRPr="005E69E3">
        <w:rPr>
          <w:rFonts w:ascii="Arial" w:eastAsia="Times New Roman" w:hAnsi="Arial" w:cs="Arial"/>
          <w:color w:val="000000"/>
          <w:sz w:val="24"/>
          <w:szCs w:val="24"/>
          <w:lang w:eastAsia="en-GB"/>
        </w:rPr>
        <w:t xml:space="preserve">Available at: </w:t>
      </w:r>
      <w:hyperlink r:id="rId30" w:history="1">
        <w:r w:rsidRPr="005E69E3">
          <w:rPr>
            <w:rFonts w:ascii="Arial" w:eastAsia="Times New Roman" w:hAnsi="Arial" w:cs="Arial"/>
            <w:color w:val="1155CC"/>
            <w:sz w:val="24"/>
            <w:szCs w:val="24"/>
            <w:u w:val="single"/>
            <w:lang w:eastAsia="en-GB"/>
          </w:rPr>
          <w:t>https://www.researchgate.net/profile/Harendra-Nath-Singh/publication/356283044_Ccrime scene RIME_SCENE_INVESTIGATION/links/61948548d7d1af224bfaeb09/CRIME-SCENE-INVESTIGATION.pdf</w:t>
        </w:r>
      </w:hyperlink>
      <w:r w:rsidRPr="005E69E3">
        <w:rPr>
          <w:rFonts w:ascii="Arial" w:eastAsia="Times New Roman" w:hAnsi="Arial" w:cs="Arial"/>
          <w:color w:val="000000"/>
          <w:sz w:val="24"/>
          <w:szCs w:val="24"/>
          <w:lang w:eastAsia="en-GB"/>
        </w:rPr>
        <w:t> </w:t>
      </w:r>
    </w:p>
    <w:p w14:paraId="746212A6" w14:textId="77777777" w:rsidR="005E69E3" w:rsidRPr="005E69E3" w:rsidRDefault="005E69E3" w:rsidP="005E69E3">
      <w:pPr>
        <w:spacing w:after="0" w:line="480" w:lineRule="auto"/>
        <w:rPr>
          <w:rFonts w:ascii="Times New Roman" w:eastAsia="Times New Roman" w:hAnsi="Times New Roman" w:cs="Times New Roman"/>
          <w:sz w:val="24"/>
          <w:szCs w:val="24"/>
          <w:lang w:eastAsia="en-GB"/>
        </w:rPr>
      </w:pPr>
      <w:r w:rsidRPr="005E69E3">
        <w:rPr>
          <w:rFonts w:ascii="Arial" w:eastAsia="Times New Roman" w:hAnsi="Arial" w:cs="Arial"/>
          <w:color w:val="000000"/>
          <w:sz w:val="24"/>
          <w:szCs w:val="24"/>
          <w:lang w:eastAsia="en-GB"/>
        </w:rPr>
        <w:t>(Accessed: 25/02/2022)     </w:t>
      </w:r>
    </w:p>
    <w:p w14:paraId="717265B5" w14:textId="77777777" w:rsidR="005E69E3" w:rsidRPr="005E69E3" w:rsidRDefault="005E69E3" w:rsidP="005E69E3">
      <w:pPr>
        <w:spacing w:after="0" w:line="240" w:lineRule="auto"/>
        <w:rPr>
          <w:rFonts w:ascii="Times New Roman" w:eastAsia="Times New Roman" w:hAnsi="Times New Roman" w:cs="Times New Roman"/>
          <w:sz w:val="24"/>
          <w:szCs w:val="24"/>
          <w:lang w:eastAsia="en-GB"/>
        </w:rPr>
      </w:pPr>
    </w:p>
    <w:p w14:paraId="4CB4D740" w14:textId="77777777" w:rsidR="005E69E3" w:rsidRPr="005E69E3" w:rsidRDefault="005E69E3" w:rsidP="005E69E3">
      <w:pPr>
        <w:spacing w:after="0" w:line="480" w:lineRule="auto"/>
        <w:rPr>
          <w:rFonts w:ascii="Times New Roman" w:eastAsia="Times New Roman" w:hAnsi="Times New Roman" w:cs="Times New Roman"/>
          <w:sz w:val="24"/>
          <w:szCs w:val="24"/>
          <w:lang w:eastAsia="en-GB"/>
        </w:rPr>
      </w:pPr>
      <w:proofErr w:type="spellStart"/>
      <w:r w:rsidRPr="005E69E3">
        <w:rPr>
          <w:rFonts w:ascii="Arial" w:eastAsia="Times New Roman" w:hAnsi="Arial" w:cs="Arial"/>
          <w:color w:val="000000"/>
          <w:sz w:val="24"/>
          <w:szCs w:val="24"/>
          <w:lang w:eastAsia="en-GB"/>
        </w:rPr>
        <w:t>Touroo</w:t>
      </w:r>
      <w:proofErr w:type="spellEnd"/>
      <w:r w:rsidRPr="005E69E3">
        <w:rPr>
          <w:rFonts w:ascii="Arial" w:eastAsia="Times New Roman" w:hAnsi="Arial" w:cs="Arial"/>
          <w:color w:val="000000"/>
          <w:sz w:val="24"/>
          <w:szCs w:val="24"/>
          <w:lang w:eastAsia="en-GB"/>
        </w:rPr>
        <w:t xml:space="preserve">, R., Fitch, A. (2016) ‘Identification, Collection, and Preservation of Veterinary Forensic Evidence: On Scene and During the </w:t>
      </w:r>
      <w:proofErr w:type="spellStart"/>
      <w:r w:rsidRPr="005E69E3">
        <w:rPr>
          <w:rFonts w:ascii="Arial" w:eastAsia="Times New Roman" w:hAnsi="Arial" w:cs="Arial"/>
          <w:color w:val="000000"/>
          <w:sz w:val="24"/>
          <w:szCs w:val="24"/>
          <w:lang w:eastAsia="en-GB"/>
        </w:rPr>
        <w:t>Postmortem</w:t>
      </w:r>
      <w:proofErr w:type="spellEnd"/>
      <w:r w:rsidRPr="005E69E3">
        <w:rPr>
          <w:rFonts w:ascii="Arial" w:eastAsia="Times New Roman" w:hAnsi="Arial" w:cs="Arial"/>
          <w:color w:val="000000"/>
          <w:sz w:val="24"/>
          <w:szCs w:val="24"/>
          <w:lang w:eastAsia="en-GB"/>
        </w:rPr>
        <w:t xml:space="preserve"> Examination’, </w:t>
      </w:r>
    </w:p>
    <w:p w14:paraId="50B28DE3" w14:textId="77777777" w:rsidR="005E69E3" w:rsidRPr="005E69E3" w:rsidRDefault="005E69E3" w:rsidP="005E69E3">
      <w:pPr>
        <w:spacing w:after="0" w:line="480" w:lineRule="auto"/>
        <w:rPr>
          <w:rFonts w:ascii="Times New Roman" w:eastAsia="Times New Roman" w:hAnsi="Times New Roman" w:cs="Times New Roman"/>
          <w:sz w:val="24"/>
          <w:szCs w:val="24"/>
          <w:lang w:eastAsia="en-GB"/>
        </w:rPr>
      </w:pPr>
      <w:r w:rsidRPr="005E69E3">
        <w:rPr>
          <w:rFonts w:ascii="Arial" w:eastAsia="Times New Roman" w:hAnsi="Arial" w:cs="Arial"/>
          <w:i/>
          <w:iCs/>
          <w:color w:val="000000"/>
          <w:sz w:val="24"/>
          <w:szCs w:val="24"/>
          <w:lang w:eastAsia="en-GB"/>
        </w:rPr>
        <w:t>Veterinary Pathology</w:t>
      </w:r>
      <w:r w:rsidRPr="005E69E3">
        <w:rPr>
          <w:rFonts w:ascii="Arial" w:eastAsia="Times New Roman" w:hAnsi="Arial" w:cs="Arial"/>
          <w:color w:val="000000"/>
          <w:sz w:val="24"/>
          <w:szCs w:val="24"/>
          <w:lang w:eastAsia="en-GB"/>
        </w:rPr>
        <w:t>, 53(5), pp. 880-887.</w:t>
      </w:r>
    </w:p>
    <w:p w14:paraId="6CFA1CEC" w14:textId="77777777" w:rsidR="005E69E3" w:rsidRPr="005E69E3" w:rsidRDefault="005E69E3" w:rsidP="005E69E3">
      <w:pPr>
        <w:spacing w:after="0" w:line="480" w:lineRule="auto"/>
        <w:rPr>
          <w:rFonts w:ascii="Times New Roman" w:eastAsia="Times New Roman" w:hAnsi="Times New Roman" w:cs="Times New Roman"/>
          <w:sz w:val="24"/>
          <w:szCs w:val="24"/>
          <w:lang w:eastAsia="en-GB"/>
        </w:rPr>
      </w:pPr>
      <w:r w:rsidRPr="005E69E3">
        <w:rPr>
          <w:rFonts w:ascii="Arial" w:eastAsia="Times New Roman" w:hAnsi="Arial" w:cs="Arial"/>
          <w:color w:val="000000"/>
          <w:sz w:val="24"/>
          <w:szCs w:val="24"/>
          <w:lang w:eastAsia="en-GB"/>
        </w:rPr>
        <w:t xml:space="preserve">Available at: </w:t>
      </w:r>
      <w:hyperlink r:id="rId31" w:history="1">
        <w:r w:rsidRPr="005E69E3">
          <w:rPr>
            <w:rFonts w:ascii="Arial" w:eastAsia="Times New Roman" w:hAnsi="Arial" w:cs="Arial"/>
            <w:color w:val="1155CC"/>
            <w:sz w:val="24"/>
            <w:szCs w:val="24"/>
            <w:u w:val="single"/>
            <w:lang w:eastAsia="en-GB"/>
          </w:rPr>
          <w:t>https://journals.sagepub.com/doi/full/10.1177/0300985816641175</w:t>
        </w:r>
      </w:hyperlink>
      <w:r w:rsidRPr="005E69E3">
        <w:rPr>
          <w:rFonts w:ascii="Arial" w:eastAsia="Times New Roman" w:hAnsi="Arial" w:cs="Arial"/>
          <w:color w:val="000000"/>
          <w:sz w:val="24"/>
          <w:szCs w:val="24"/>
          <w:lang w:eastAsia="en-GB"/>
        </w:rPr>
        <w:t> </w:t>
      </w:r>
    </w:p>
    <w:p w14:paraId="5234734F" w14:textId="77777777" w:rsidR="005E69E3" w:rsidRPr="005E69E3" w:rsidRDefault="005E69E3" w:rsidP="005E69E3">
      <w:pPr>
        <w:spacing w:after="0" w:line="480" w:lineRule="auto"/>
        <w:rPr>
          <w:rFonts w:ascii="Times New Roman" w:eastAsia="Times New Roman" w:hAnsi="Times New Roman" w:cs="Times New Roman"/>
          <w:sz w:val="24"/>
          <w:szCs w:val="24"/>
          <w:lang w:eastAsia="en-GB"/>
        </w:rPr>
      </w:pPr>
      <w:r w:rsidRPr="005E69E3">
        <w:rPr>
          <w:rFonts w:ascii="Arial" w:eastAsia="Times New Roman" w:hAnsi="Arial" w:cs="Arial"/>
          <w:color w:val="000000"/>
          <w:sz w:val="24"/>
          <w:szCs w:val="24"/>
          <w:lang w:eastAsia="en-GB"/>
        </w:rPr>
        <w:t>(Accessed: 27/02/2022) </w:t>
      </w:r>
    </w:p>
    <w:p w14:paraId="413874FE" w14:textId="77777777" w:rsidR="005E69E3" w:rsidRPr="005E69E3" w:rsidRDefault="005E69E3" w:rsidP="005E69E3">
      <w:pPr>
        <w:spacing w:after="0" w:line="240" w:lineRule="auto"/>
        <w:rPr>
          <w:rFonts w:ascii="Times New Roman" w:eastAsia="Times New Roman" w:hAnsi="Times New Roman" w:cs="Times New Roman"/>
          <w:sz w:val="24"/>
          <w:szCs w:val="24"/>
          <w:lang w:eastAsia="en-GB"/>
        </w:rPr>
      </w:pPr>
    </w:p>
    <w:p w14:paraId="2DECFF34" w14:textId="77777777" w:rsidR="005E69E3" w:rsidRPr="005E69E3" w:rsidRDefault="005E69E3" w:rsidP="005E69E3">
      <w:pPr>
        <w:spacing w:after="0" w:line="480" w:lineRule="auto"/>
        <w:rPr>
          <w:rFonts w:ascii="Times New Roman" w:eastAsia="Times New Roman" w:hAnsi="Times New Roman" w:cs="Times New Roman"/>
          <w:sz w:val="24"/>
          <w:szCs w:val="24"/>
          <w:lang w:eastAsia="en-GB"/>
        </w:rPr>
      </w:pPr>
      <w:r w:rsidRPr="005E69E3">
        <w:rPr>
          <w:rFonts w:ascii="Arial" w:eastAsia="Times New Roman" w:hAnsi="Arial" w:cs="Arial"/>
          <w:color w:val="000000"/>
          <w:sz w:val="24"/>
          <w:szCs w:val="24"/>
          <w:lang w:eastAsia="en-GB"/>
        </w:rPr>
        <w:t>Zou, Y., Xia, P., Yang, F., Cao, F., Ma, K., Mi, Z., Huang, X., Cai, N., Jiang, B., Zhao, X., Liu, W. and Chen, X., (2016) ‘Whole blood and semen identification using mid-infrared and Raman spectrum analysis for forensic applications’,</w:t>
      </w:r>
      <w:r w:rsidRPr="005E69E3">
        <w:rPr>
          <w:rFonts w:ascii="Arial" w:eastAsia="Times New Roman" w:hAnsi="Arial" w:cs="Arial"/>
          <w:i/>
          <w:iCs/>
          <w:color w:val="000000"/>
          <w:sz w:val="24"/>
          <w:szCs w:val="24"/>
          <w:lang w:eastAsia="en-GB"/>
        </w:rPr>
        <w:t xml:space="preserve"> Analytical Methods</w:t>
      </w:r>
      <w:r w:rsidRPr="005E69E3">
        <w:rPr>
          <w:rFonts w:ascii="Arial" w:eastAsia="Times New Roman" w:hAnsi="Arial" w:cs="Arial"/>
          <w:color w:val="000000"/>
          <w:sz w:val="24"/>
          <w:szCs w:val="24"/>
          <w:lang w:eastAsia="en-GB"/>
        </w:rPr>
        <w:t>, 8(18), pp.3763-3767.</w:t>
      </w:r>
    </w:p>
    <w:p w14:paraId="780739F1" w14:textId="77777777" w:rsidR="005E69E3" w:rsidRPr="005E69E3" w:rsidRDefault="005E69E3" w:rsidP="005E69E3">
      <w:pPr>
        <w:spacing w:after="0" w:line="480" w:lineRule="auto"/>
        <w:rPr>
          <w:rFonts w:ascii="Times New Roman" w:eastAsia="Times New Roman" w:hAnsi="Times New Roman" w:cs="Times New Roman"/>
          <w:sz w:val="24"/>
          <w:szCs w:val="24"/>
          <w:lang w:eastAsia="en-GB"/>
        </w:rPr>
      </w:pPr>
      <w:r w:rsidRPr="005E69E3">
        <w:rPr>
          <w:rFonts w:ascii="Arial" w:eastAsia="Times New Roman" w:hAnsi="Arial" w:cs="Arial"/>
          <w:color w:val="000000"/>
          <w:sz w:val="24"/>
          <w:szCs w:val="24"/>
          <w:lang w:eastAsia="en-GB"/>
        </w:rPr>
        <w:t xml:space="preserve">Available at: </w:t>
      </w:r>
      <w:hyperlink r:id="rId32" w:history="1">
        <w:r w:rsidRPr="005E69E3">
          <w:rPr>
            <w:rFonts w:ascii="Arial" w:eastAsia="Times New Roman" w:hAnsi="Arial" w:cs="Arial"/>
            <w:color w:val="1155CC"/>
            <w:sz w:val="24"/>
            <w:szCs w:val="24"/>
            <w:u w:val="single"/>
            <w:lang w:eastAsia="en-GB"/>
          </w:rPr>
          <w:t>https://pubs.rsc.org/en/content/articlelanding/2016/ay/c5ay03337c/unauth</w:t>
        </w:r>
      </w:hyperlink>
      <w:r w:rsidRPr="005E69E3">
        <w:rPr>
          <w:rFonts w:ascii="Arial" w:eastAsia="Times New Roman" w:hAnsi="Arial" w:cs="Arial"/>
          <w:color w:val="000000"/>
          <w:sz w:val="24"/>
          <w:szCs w:val="24"/>
          <w:lang w:eastAsia="en-GB"/>
        </w:rPr>
        <w:t> </w:t>
      </w:r>
    </w:p>
    <w:p w14:paraId="4846BA67" w14:textId="77777777" w:rsidR="005E69E3" w:rsidRPr="005E69E3" w:rsidRDefault="005E69E3" w:rsidP="005E69E3">
      <w:pPr>
        <w:spacing w:after="0" w:line="480" w:lineRule="auto"/>
        <w:rPr>
          <w:rFonts w:ascii="Times New Roman" w:eastAsia="Times New Roman" w:hAnsi="Times New Roman" w:cs="Times New Roman"/>
          <w:sz w:val="24"/>
          <w:szCs w:val="24"/>
          <w:lang w:eastAsia="en-GB"/>
        </w:rPr>
      </w:pPr>
      <w:r w:rsidRPr="005E69E3">
        <w:rPr>
          <w:rFonts w:ascii="Arial" w:eastAsia="Times New Roman" w:hAnsi="Arial" w:cs="Arial"/>
          <w:color w:val="000000"/>
          <w:sz w:val="24"/>
          <w:szCs w:val="24"/>
          <w:lang w:eastAsia="en-GB"/>
        </w:rPr>
        <w:lastRenderedPageBreak/>
        <w:t>(Accessed: 23/02/2022) </w:t>
      </w:r>
    </w:p>
    <w:p w14:paraId="721FF038" w14:textId="77777777" w:rsidR="00280ED2" w:rsidRDefault="00280ED2"/>
    <w:sectPr w:rsidR="00280ED2" w:rsidSect="002851B2">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69E3"/>
    <w:rsid w:val="001064F0"/>
    <w:rsid w:val="00280ED2"/>
    <w:rsid w:val="002851B2"/>
    <w:rsid w:val="00507F41"/>
    <w:rsid w:val="005E69E3"/>
    <w:rsid w:val="00C363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72D712"/>
  <w15:chartTrackingRefBased/>
  <w15:docId w15:val="{0ADB541B-B8A9-467E-AFED-21A1B23D40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5E69E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5E69E3"/>
    <w:rPr>
      <w:color w:val="0000FF"/>
      <w:u w:val="single"/>
    </w:rPr>
  </w:style>
  <w:style w:type="paragraph" w:styleId="NoSpacing">
    <w:name w:val="No Spacing"/>
    <w:link w:val="NoSpacingChar"/>
    <w:uiPriority w:val="1"/>
    <w:qFormat/>
    <w:rsid w:val="002851B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851B2"/>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691175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pp.college.police.uk/app-content/major-investigation-and-public-protection/domestic-abuse/first-response/" TargetMode="External"/><Relationship Id="rId18" Type="http://schemas.openxmlformats.org/officeDocument/2006/relationships/hyperlink" Target="https://www.fis-international.com/assets/Uploads/resources/PEACE-A-Different-Approach.pdf" TargetMode="External"/><Relationship Id="rId26" Type="http://schemas.openxmlformats.org/officeDocument/2006/relationships/hyperlink" Target="https://www.legislation.gov.uk/ukpga/1984/60/section/19" TargetMode="External"/><Relationship Id="rId3" Type="http://schemas.openxmlformats.org/officeDocument/2006/relationships/settings" Target="settings.xml"/><Relationship Id="rId21" Type="http://schemas.openxmlformats.org/officeDocument/2006/relationships/hyperlink" Target="https://assets.publishing.service.gov.uk/government/uploads/system/uploads/attachment_data/file/903812/pace-code-d-2017.pdf" TargetMode="External"/><Relationship Id="rId34" Type="http://schemas.openxmlformats.org/officeDocument/2006/relationships/theme" Target="theme/theme1.xml"/><Relationship Id="rId7" Type="http://schemas.openxmlformats.org/officeDocument/2006/relationships/hyperlink" Target="https://link.springer.com/chapter/10.1007/978-3-319-16568-4_7" TargetMode="External"/><Relationship Id="rId12" Type="http://schemas.openxmlformats.org/officeDocument/2006/relationships/hyperlink" Target="https://www.app.college.police.uk/app-content/national-decision-model/the-national-decision-model/" TargetMode="External"/><Relationship Id="rId17" Type="http://schemas.openxmlformats.org/officeDocument/2006/relationships/hyperlink" Target="https://assets.publishing.service.gov.uk/government/uploads/system/uploads/attachment_data/file/915221/FSR_G-206_Issue_2_Final.pdf" TargetMode="External"/><Relationship Id="rId25" Type="http://schemas.openxmlformats.org/officeDocument/2006/relationships/hyperlink" Target="https://www.legislation.gov.uk/ukpga/1984/60/section/17" TargetMode="External"/><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library.college.police.uk/docs/appref/ENFSI-BPM-v1_0.pdf" TargetMode="External"/><Relationship Id="rId20" Type="http://schemas.openxmlformats.org/officeDocument/2006/relationships/hyperlink" Target="https://www.gov.uk/government/statistics/national-dna-database-statistics" TargetMode="External"/><Relationship Id="rId29" Type="http://schemas.openxmlformats.org/officeDocument/2006/relationships/hyperlink" Target="https://royalsocietypublishing.org/doi/pdf/10.1098/rstb.2014.0260" TargetMode="Externa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hyperlink" Target="https://www.app.college.police.uk/app-content/investigations/managing-investigations/" TargetMode="External"/><Relationship Id="rId24" Type="http://schemas.openxmlformats.org/officeDocument/2006/relationships/hyperlink" Target="https://assets.publishing.service.gov.uk/government/uploads/system/uploads/attachment_data/file/447967/code-of-practice-approved.pdf" TargetMode="External"/><Relationship Id="rId32" Type="http://schemas.openxmlformats.org/officeDocument/2006/relationships/hyperlink" Target="https://pubs.rsc.org/en/content/articlelanding/2016/ay/c5ay03337c/unauth" TargetMode="External"/><Relationship Id="rId5" Type="http://schemas.openxmlformats.org/officeDocument/2006/relationships/image" Target="media/image1.png"/><Relationship Id="rId15" Type="http://schemas.openxmlformats.org/officeDocument/2006/relationships/hyperlink" Target="https://www.legislation.gov.uk/ukpga/1996/25/section/27" TargetMode="External"/><Relationship Id="rId23" Type="http://schemas.openxmlformats.org/officeDocument/2006/relationships/hyperlink" Target="https://www.ojp.gov/ncjrs/virtual-library/abstracts/rightful-policing" TargetMode="External"/><Relationship Id="rId28" Type="http://schemas.openxmlformats.org/officeDocument/2006/relationships/hyperlink" Target="https://www.legislation.gov.uk/ukpga/2000/23/part/II" TargetMode="External"/><Relationship Id="rId10" Type="http://schemas.openxmlformats.org/officeDocument/2006/relationships/hyperlink" Target="https://www.app.college.police.uk/app-content/investigations/investigation-process/" TargetMode="External"/><Relationship Id="rId19" Type="http://schemas.openxmlformats.org/officeDocument/2006/relationships/hyperlink" Target="https://www.tandfonline.com/doi/full/10.1080/07418825.2021.1894215?needAccess=true" TargetMode="External"/><Relationship Id="rId31" Type="http://schemas.openxmlformats.org/officeDocument/2006/relationships/hyperlink" Target="https://journals.sagepub.com/doi/full/10.1177/0300985816641175" TargetMode="External"/><Relationship Id="rId4" Type="http://schemas.openxmlformats.org/officeDocument/2006/relationships/webSettings" Target="webSettings.xml"/><Relationship Id="rId9" Type="http://schemas.openxmlformats.org/officeDocument/2006/relationships/hyperlink" Target="https://www.theguardian.com/uk-news/2016/jun/07/killer-dna-evidence-genetic-profiling-criminal-investigation" TargetMode="External"/><Relationship Id="rId14" Type="http://schemas.openxmlformats.org/officeDocument/2006/relationships/hyperlink" Target="https://assets.college.police.uk/s3fs-public/2021-04/effective-investigations-scope-of-guidelines-0421.pdf" TargetMode="External"/><Relationship Id="rId22" Type="http://schemas.openxmlformats.org/officeDocument/2006/relationships/hyperlink" Target="https://www.sciencedirect.com/science/article/pii/0031320395001069" TargetMode="External"/><Relationship Id="rId27" Type="http://schemas.openxmlformats.org/officeDocument/2006/relationships/hyperlink" Target="https://www.psni.police.uk/globalassets/advice--information/our-publications/policies-and-service-procedures/serious-crime-scenes-231116.pdf" TargetMode="External"/><Relationship Id="rId30" Type="http://schemas.openxmlformats.org/officeDocument/2006/relationships/hyperlink" Target="https://www.researchgate.net/profile/Harendra-Nath-Singh/publication/356283044_CRIME_SCENE_INVESTIGATION/links/61948548d7d1af224bfaeb09/CRIME-SCENE-INVESTIGATION.pdf" TargetMode="External"/><Relationship Id="rId8" Type="http://schemas.openxmlformats.org/officeDocument/2006/relationships/hyperlink" Target="https://www.legislation.gov.uk/ukpga/1989/41/section/4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Deadline: 04/03/2022</Abstract>
  <CompanyAddress/>
  <CompanyPhone/>
  <CompanyFax/>
  <CompanyEmail>1900369</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18</Pages>
  <Words>4225</Words>
  <Characters>24088</Characters>
  <Application>Microsoft Office Word</Application>
  <DocSecurity>0</DocSecurity>
  <Lines>200</Lines>
  <Paragraphs>56</Paragraphs>
  <ScaleCrop>false</ScaleCrop>
  <Company/>
  <LinksUpToDate>false</LinksUpToDate>
  <CharactersWithSpaces>28257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Processes and Procedures Adopted by the First Attending Officer to prevent cross-contamination at a crime scene - Part A
AND
Methods in Practise for the Recovery and Examination of Forensic Evidence at a Crime Scene - Part B</dc:title>
  <dc:subject>Forensic Recovery and Examination</dc:subject>
  <dc:creator>Aaron Williams</dc:creator>
  <cp:keywords/>
  <dc:description/>
  <cp:lastModifiedBy>Aaron Williams</cp:lastModifiedBy>
  <cp:revision>5</cp:revision>
  <dcterms:created xsi:type="dcterms:W3CDTF">2022-03-03T14:25:00Z</dcterms:created>
  <dcterms:modified xsi:type="dcterms:W3CDTF">2022-03-03T14:33:00Z</dcterms:modified>
</cp:coreProperties>
</file>