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952BC" w14:textId="77777777" w:rsidR="00B659E9" w:rsidRPr="00B659E9" w:rsidRDefault="00B659E9" w:rsidP="00B659E9">
      <w:pPr>
        <w:spacing w:before="240" w:after="0" w:line="240" w:lineRule="auto"/>
        <w:rPr>
          <w:rFonts w:ascii="Arial" w:eastAsia="Times New Roman" w:hAnsi="Arial" w:cs="Arial"/>
          <w:b/>
          <w:bCs/>
          <w:color w:val="333333"/>
          <w:sz w:val="72"/>
          <w:szCs w:val="72"/>
          <w:u w:val="single"/>
          <w:lang w:eastAsia="en-GB"/>
        </w:rPr>
      </w:pPr>
      <w:r w:rsidRPr="00B659E9">
        <w:rPr>
          <w:rFonts w:ascii="Arial" w:eastAsia="Times New Roman" w:hAnsi="Arial" w:cs="Arial"/>
          <w:b/>
          <w:bCs/>
          <w:color w:val="333333"/>
          <w:sz w:val="72"/>
          <w:szCs w:val="72"/>
          <w:u w:val="single"/>
          <w:lang w:eastAsia="en-GB"/>
        </w:rPr>
        <w:t>JUDGEMENT</w:t>
      </w:r>
    </w:p>
    <w:p w14:paraId="6A87E33E" w14:textId="77777777" w:rsidR="00B659E9" w:rsidRPr="00B659E9" w:rsidRDefault="00B659E9" w:rsidP="00B659E9">
      <w:pPr>
        <w:spacing w:before="240" w:after="0" w:line="240" w:lineRule="auto"/>
        <w:rPr>
          <w:rFonts w:ascii="Arial" w:eastAsia="Times New Roman" w:hAnsi="Arial" w:cs="Arial"/>
          <w:color w:val="333333"/>
          <w:sz w:val="72"/>
          <w:szCs w:val="72"/>
          <w:lang w:eastAsia="en-GB"/>
        </w:rPr>
      </w:pPr>
      <w:r w:rsidRPr="00B659E9">
        <w:rPr>
          <w:rFonts w:ascii="Arial" w:eastAsia="Times New Roman" w:hAnsi="Arial" w:cs="Arial"/>
          <w:color w:val="333333"/>
          <w:sz w:val="72"/>
          <w:szCs w:val="72"/>
          <w:lang w:eastAsia="en-GB"/>
        </w:rPr>
        <w:t>The employment tribunal ruled that PC Town was a victim of </w:t>
      </w:r>
      <w:hyperlink r:id="rId4" w:tgtFrame="_blank" w:history="1">
        <w:r w:rsidRPr="00B659E9">
          <w:rPr>
            <w:rFonts w:ascii="Arial" w:eastAsia="Times New Roman" w:hAnsi="Arial" w:cs="Arial"/>
            <w:b/>
            <w:bCs/>
            <w:color w:val="077FA0"/>
            <w:sz w:val="72"/>
            <w:szCs w:val="72"/>
            <w:u w:val="single"/>
            <w:lang w:eastAsia="en-GB"/>
          </w:rPr>
          <w:t>indirect sex discrimination</w:t>
        </w:r>
      </w:hyperlink>
      <w:r w:rsidRPr="00B659E9">
        <w:rPr>
          <w:rFonts w:ascii="Arial" w:eastAsia="Times New Roman" w:hAnsi="Arial" w:cs="Arial"/>
          <w:color w:val="333333"/>
          <w:sz w:val="72"/>
          <w:szCs w:val="72"/>
          <w:lang w:eastAsia="en-GB"/>
        </w:rPr>
        <w:t>. Therefore, women were at a particular disadvantage in the form of susceptibility to an enforced transfer from an operational role to a non-operational role".</w:t>
      </w:r>
    </w:p>
    <w:p w14:paraId="107D6EC6" w14:textId="77777777" w:rsidR="00664317" w:rsidRDefault="00664317"/>
    <w:sectPr w:rsidR="00664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9"/>
    <w:rsid w:val="00664317"/>
    <w:rsid w:val="00B6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0930E"/>
  <w15:chartTrackingRefBased/>
  <w15:docId w15:val="{F8210401-A1DB-45DC-9248-5D43D93D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9E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killcast.com/blog/4-recommendations-to-boost-gender-equality-in-financial-serv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1</cp:revision>
  <dcterms:created xsi:type="dcterms:W3CDTF">2023-03-19T16:48:00Z</dcterms:created>
  <dcterms:modified xsi:type="dcterms:W3CDTF">2023-03-19T16:50:00Z</dcterms:modified>
</cp:coreProperties>
</file>