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3A6D" w14:textId="0AB70CF0" w:rsidR="00A342B9" w:rsidRPr="00A342B9" w:rsidRDefault="00A342B9" w:rsidP="00A342B9">
      <w:pPr>
        <w:jc w:val="center"/>
        <w:rPr>
          <w:sz w:val="48"/>
          <w:szCs w:val="48"/>
        </w:rPr>
      </w:pPr>
      <w:r w:rsidRPr="00A342B9">
        <w:rPr>
          <w:sz w:val="48"/>
          <w:szCs w:val="48"/>
        </w:rPr>
        <w:t>BA Business Management (BABM)</w:t>
      </w:r>
    </w:p>
    <w:p w14:paraId="61CF9F0B" w14:textId="6602FE0B" w:rsidR="00A342B9" w:rsidRDefault="00A342B9" w:rsidP="00A342B9">
      <w:pPr>
        <w:jc w:val="center"/>
        <w:rPr>
          <w:sz w:val="48"/>
          <w:szCs w:val="48"/>
        </w:rPr>
      </w:pPr>
      <w:r w:rsidRPr="00A342B9">
        <w:rPr>
          <w:sz w:val="48"/>
          <w:szCs w:val="48"/>
        </w:rPr>
        <w:t>Accounting Fundamentals</w:t>
      </w:r>
    </w:p>
    <w:p w14:paraId="34D5AE41" w14:textId="5C14EB27" w:rsidR="00A342B9" w:rsidRDefault="00A342B9" w:rsidP="00A342B9">
      <w:pPr>
        <w:jc w:val="center"/>
        <w:rPr>
          <w:sz w:val="48"/>
          <w:szCs w:val="48"/>
        </w:rPr>
      </w:pPr>
      <w:r w:rsidRPr="00A342B9">
        <w:rPr>
          <w:sz w:val="48"/>
          <w:szCs w:val="48"/>
        </w:rPr>
        <w:t>LCBB4001</w:t>
      </w:r>
    </w:p>
    <w:p w14:paraId="57D9BC46" w14:textId="77777777" w:rsidR="00A342B9" w:rsidRDefault="00A342B9" w:rsidP="00A342B9">
      <w:pPr>
        <w:jc w:val="center"/>
        <w:rPr>
          <w:sz w:val="48"/>
          <w:szCs w:val="48"/>
        </w:rPr>
      </w:pPr>
    </w:p>
    <w:p w14:paraId="699AE473" w14:textId="77777777" w:rsidR="00A342B9" w:rsidRDefault="00A342B9" w:rsidP="00A342B9">
      <w:pPr>
        <w:jc w:val="center"/>
        <w:rPr>
          <w:sz w:val="48"/>
          <w:szCs w:val="48"/>
        </w:rPr>
      </w:pPr>
    </w:p>
    <w:p w14:paraId="4EFB6EBB" w14:textId="31AD6861" w:rsidR="00A342B9" w:rsidRPr="00A342B9" w:rsidRDefault="00A342B9" w:rsidP="00A342B9">
      <w:pPr>
        <w:rPr>
          <w:sz w:val="32"/>
          <w:szCs w:val="32"/>
        </w:rPr>
      </w:pPr>
      <w:r w:rsidRPr="00A342B9">
        <w:rPr>
          <w:sz w:val="32"/>
          <w:szCs w:val="32"/>
        </w:rPr>
        <w:t xml:space="preserve">Florin Fizesan -2116189 </w:t>
      </w:r>
    </w:p>
    <w:p w14:paraId="4143CD03" w14:textId="77777777" w:rsidR="00A342B9" w:rsidRDefault="00A342B9" w:rsidP="00A342B9">
      <w:pPr>
        <w:jc w:val="center"/>
        <w:rPr>
          <w:sz w:val="48"/>
          <w:szCs w:val="48"/>
        </w:rPr>
      </w:pPr>
    </w:p>
    <w:p w14:paraId="2A0FB40C" w14:textId="77777777" w:rsidR="00A342B9" w:rsidRDefault="00A342B9" w:rsidP="00A342B9">
      <w:pPr>
        <w:jc w:val="center"/>
        <w:rPr>
          <w:sz w:val="48"/>
          <w:szCs w:val="48"/>
        </w:rPr>
      </w:pPr>
    </w:p>
    <w:p w14:paraId="015DD097" w14:textId="77777777" w:rsidR="00A342B9" w:rsidRDefault="00A342B9" w:rsidP="00A342B9">
      <w:pPr>
        <w:jc w:val="center"/>
        <w:rPr>
          <w:sz w:val="48"/>
          <w:szCs w:val="48"/>
        </w:rPr>
      </w:pPr>
    </w:p>
    <w:p w14:paraId="399CAE31" w14:textId="77777777" w:rsidR="00A342B9" w:rsidRDefault="00A342B9" w:rsidP="00A342B9">
      <w:pPr>
        <w:jc w:val="center"/>
        <w:rPr>
          <w:sz w:val="48"/>
          <w:szCs w:val="48"/>
        </w:rPr>
      </w:pPr>
    </w:p>
    <w:p w14:paraId="2AFB2333" w14:textId="77777777" w:rsidR="00A342B9" w:rsidRDefault="00A342B9" w:rsidP="00A342B9">
      <w:pPr>
        <w:jc w:val="center"/>
        <w:rPr>
          <w:sz w:val="48"/>
          <w:szCs w:val="48"/>
        </w:rPr>
      </w:pPr>
    </w:p>
    <w:p w14:paraId="3E608A30" w14:textId="77777777" w:rsidR="00A342B9" w:rsidRDefault="00A342B9" w:rsidP="00A342B9">
      <w:pPr>
        <w:jc w:val="center"/>
        <w:rPr>
          <w:sz w:val="48"/>
          <w:szCs w:val="48"/>
        </w:rPr>
      </w:pPr>
    </w:p>
    <w:p w14:paraId="1EFAE220" w14:textId="77777777" w:rsidR="00A342B9" w:rsidRDefault="00A342B9" w:rsidP="00A342B9">
      <w:pPr>
        <w:jc w:val="center"/>
        <w:rPr>
          <w:sz w:val="48"/>
          <w:szCs w:val="48"/>
        </w:rPr>
      </w:pPr>
    </w:p>
    <w:p w14:paraId="34ECF72B" w14:textId="77777777" w:rsidR="00A342B9" w:rsidRDefault="00A342B9" w:rsidP="00A342B9">
      <w:pPr>
        <w:jc w:val="center"/>
        <w:rPr>
          <w:sz w:val="48"/>
          <w:szCs w:val="48"/>
        </w:rPr>
      </w:pPr>
    </w:p>
    <w:p w14:paraId="154A49F6" w14:textId="77777777" w:rsidR="00A342B9" w:rsidRPr="00A342B9" w:rsidRDefault="00A342B9" w:rsidP="00A342B9">
      <w:pPr>
        <w:jc w:val="center"/>
        <w:rPr>
          <w:sz w:val="48"/>
          <w:szCs w:val="48"/>
        </w:rPr>
      </w:pPr>
    </w:p>
    <w:p w14:paraId="5040E8E8" w14:textId="77777777" w:rsidR="00A342B9" w:rsidRDefault="00A342B9" w:rsidP="0011447F">
      <w:pPr>
        <w:pStyle w:val="Heading1"/>
      </w:pPr>
    </w:p>
    <w:p w14:paraId="52ED692B" w14:textId="77777777" w:rsidR="00A342B9" w:rsidRDefault="00A342B9" w:rsidP="00A342B9"/>
    <w:p w14:paraId="0BB5C7EF" w14:textId="77777777" w:rsidR="00A342B9" w:rsidRPr="00A342B9" w:rsidRDefault="00A342B9" w:rsidP="00A342B9"/>
    <w:sdt>
      <w:sdtPr>
        <w:id w:val="-305000907"/>
        <w:docPartObj>
          <w:docPartGallery w:val="Table of Contents"/>
          <w:docPartUnique/>
        </w:docPartObj>
      </w:sdtPr>
      <w:sdtEndPr>
        <w:rPr>
          <w:rFonts w:asciiTheme="minorHAnsi" w:eastAsiaTheme="minorHAnsi" w:hAnsiTheme="minorHAnsi" w:cstheme="minorBidi"/>
          <w:b/>
          <w:bCs/>
          <w:noProof/>
          <w:color w:val="auto"/>
          <w:kern w:val="2"/>
          <w:sz w:val="22"/>
          <w:szCs w:val="22"/>
        </w:rPr>
      </w:sdtEndPr>
      <w:sdtContent>
        <w:p w14:paraId="6F379109" w14:textId="7801C4DB" w:rsidR="00A342B9" w:rsidRDefault="00A342B9">
          <w:pPr>
            <w:pStyle w:val="TOCHeading"/>
          </w:pPr>
          <w:r>
            <w:t>Table of Contents</w:t>
          </w:r>
        </w:p>
        <w:p w14:paraId="1D4F48B8" w14:textId="1A345DD9" w:rsidR="00A342B9" w:rsidRDefault="00A342B9">
          <w:pPr>
            <w:pStyle w:val="TOC1"/>
            <w:tabs>
              <w:tab w:val="right" w:leader="dot" w:pos="9350"/>
            </w:tabs>
            <w:rPr>
              <w:noProof/>
            </w:rPr>
          </w:pPr>
          <w:r>
            <w:fldChar w:fldCharType="begin"/>
          </w:r>
          <w:r>
            <w:instrText xml:space="preserve"> TOC \o "1-3" \h \z \u </w:instrText>
          </w:r>
          <w:r>
            <w:fldChar w:fldCharType="separate"/>
          </w:r>
          <w:hyperlink w:anchor="_Toc153705058" w:history="1">
            <w:r w:rsidRPr="00733CE9">
              <w:rPr>
                <w:rStyle w:val="Hyperlink"/>
                <w:noProof/>
              </w:rPr>
              <w:t>Introduction</w:t>
            </w:r>
            <w:r>
              <w:rPr>
                <w:noProof/>
                <w:webHidden/>
              </w:rPr>
              <w:tab/>
            </w:r>
            <w:r>
              <w:rPr>
                <w:noProof/>
                <w:webHidden/>
              </w:rPr>
              <w:fldChar w:fldCharType="begin"/>
            </w:r>
            <w:r>
              <w:rPr>
                <w:noProof/>
                <w:webHidden/>
              </w:rPr>
              <w:instrText xml:space="preserve"> PAGEREF _Toc153705058 \h </w:instrText>
            </w:r>
            <w:r>
              <w:rPr>
                <w:noProof/>
                <w:webHidden/>
              </w:rPr>
            </w:r>
            <w:r>
              <w:rPr>
                <w:noProof/>
                <w:webHidden/>
              </w:rPr>
              <w:fldChar w:fldCharType="separate"/>
            </w:r>
            <w:r>
              <w:rPr>
                <w:noProof/>
                <w:webHidden/>
              </w:rPr>
              <w:t>2</w:t>
            </w:r>
            <w:r>
              <w:rPr>
                <w:noProof/>
                <w:webHidden/>
              </w:rPr>
              <w:fldChar w:fldCharType="end"/>
            </w:r>
          </w:hyperlink>
        </w:p>
        <w:p w14:paraId="05A58507" w14:textId="4E9F10C0" w:rsidR="00A342B9" w:rsidRDefault="00A342B9">
          <w:pPr>
            <w:pStyle w:val="TOC2"/>
            <w:tabs>
              <w:tab w:val="right" w:leader="dot" w:pos="9350"/>
            </w:tabs>
            <w:rPr>
              <w:noProof/>
            </w:rPr>
          </w:pPr>
          <w:hyperlink w:anchor="_Toc153705059" w:history="1">
            <w:r w:rsidRPr="00733CE9">
              <w:rPr>
                <w:rStyle w:val="Hyperlink"/>
                <w:noProof/>
              </w:rPr>
              <w:t>Question 2</w:t>
            </w:r>
            <w:r>
              <w:rPr>
                <w:noProof/>
                <w:webHidden/>
              </w:rPr>
              <w:tab/>
            </w:r>
            <w:r>
              <w:rPr>
                <w:noProof/>
                <w:webHidden/>
              </w:rPr>
              <w:fldChar w:fldCharType="begin"/>
            </w:r>
            <w:r>
              <w:rPr>
                <w:noProof/>
                <w:webHidden/>
              </w:rPr>
              <w:instrText xml:space="preserve"> PAGEREF _Toc153705059 \h </w:instrText>
            </w:r>
            <w:r>
              <w:rPr>
                <w:noProof/>
                <w:webHidden/>
              </w:rPr>
            </w:r>
            <w:r>
              <w:rPr>
                <w:noProof/>
                <w:webHidden/>
              </w:rPr>
              <w:fldChar w:fldCharType="separate"/>
            </w:r>
            <w:r>
              <w:rPr>
                <w:noProof/>
                <w:webHidden/>
              </w:rPr>
              <w:t>4</w:t>
            </w:r>
            <w:r>
              <w:rPr>
                <w:noProof/>
                <w:webHidden/>
              </w:rPr>
              <w:fldChar w:fldCharType="end"/>
            </w:r>
          </w:hyperlink>
        </w:p>
        <w:p w14:paraId="39ED0A47" w14:textId="4319684D" w:rsidR="00A342B9" w:rsidRDefault="00A342B9">
          <w:pPr>
            <w:pStyle w:val="TOC2"/>
            <w:tabs>
              <w:tab w:val="right" w:leader="dot" w:pos="9350"/>
            </w:tabs>
            <w:rPr>
              <w:noProof/>
            </w:rPr>
          </w:pPr>
          <w:hyperlink w:anchor="_Toc153705060" w:history="1">
            <w:r w:rsidRPr="00733CE9">
              <w:rPr>
                <w:rStyle w:val="Hyperlink"/>
                <w:noProof/>
              </w:rPr>
              <w:t>Question 3</w:t>
            </w:r>
            <w:r>
              <w:rPr>
                <w:noProof/>
                <w:webHidden/>
              </w:rPr>
              <w:tab/>
            </w:r>
            <w:r>
              <w:rPr>
                <w:noProof/>
                <w:webHidden/>
              </w:rPr>
              <w:fldChar w:fldCharType="begin"/>
            </w:r>
            <w:r>
              <w:rPr>
                <w:noProof/>
                <w:webHidden/>
              </w:rPr>
              <w:instrText xml:space="preserve"> PAGEREF _Toc153705060 \h </w:instrText>
            </w:r>
            <w:r>
              <w:rPr>
                <w:noProof/>
                <w:webHidden/>
              </w:rPr>
            </w:r>
            <w:r>
              <w:rPr>
                <w:noProof/>
                <w:webHidden/>
              </w:rPr>
              <w:fldChar w:fldCharType="separate"/>
            </w:r>
            <w:r>
              <w:rPr>
                <w:noProof/>
                <w:webHidden/>
              </w:rPr>
              <w:t>6</w:t>
            </w:r>
            <w:r>
              <w:rPr>
                <w:noProof/>
                <w:webHidden/>
              </w:rPr>
              <w:fldChar w:fldCharType="end"/>
            </w:r>
          </w:hyperlink>
        </w:p>
        <w:p w14:paraId="55B00A20" w14:textId="18CB2F61" w:rsidR="00A342B9" w:rsidRDefault="00A342B9">
          <w:pPr>
            <w:pStyle w:val="TOC3"/>
            <w:tabs>
              <w:tab w:val="right" w:leader="dot" w:pos="9350"/>
            </w:tabs>
            <w:rPr>
              <w:noProof/>
            </w:rPr>
          </w:pPr>
          <w:hyperlink w:anchor="_Toc153705061" w:history="1">
            <w:r w:rsidRPr="00733CE9">
              <w:rPr>
                <w:rStyle w:val="Hyperlink"/>
                <w:noProof/>
                <w:lang w:val="en-GB"/>
              </w:rPr>
              <w:t>Return on Equity (ROE)</w:t>
            </w:r>
            <w:r>
              <w:rPr>
                <w:noProof/>
                <w:webHidden/>
              </w:rPr>
              <w:tab/>
            </w:r>
            <w:r>
              <w:rPr>
                <w:noProof/>
                <w:webHidden/>
              </w:rPr>
              <w:fldChar w:fldCharType="begin"/>
            </w:r>
            <w:r>
              <w:rPr>
                <w:noProof/>
                <w:webHidden/>
              </w:rPr>
              <w:instrText xml:space="preserve"> PAGEREF _Toc153705061 \h </w:instrText>
            </w:r>
            <w:r>
              <w:rPr>
                <w:noProof/>
                <w:webHidden/>
              </w:rPr>
            </w:r>
            <w:r>
              <w:rPr>
                <w:noProof/>
                <w:webHidden/>
              </w:rPr>
              <w:fldChar w:fldCharType="separate"/>
            </w:r>
            <w:r>
              <w:rPr>
                <w:noProof/>
                <w:webHidden/>
              </w:rPr>
              <w:t>7</w:t>
            </w:r>
            <w:r>
              <w:rPr>
                <w:noProof/>
                <w:webHidden/>
              </w:rPr>
              <w:fldChar w:fldCharType="end"/>
            </w:r>
          </w:hyperlink>
        </w:p>
        <w:p w14:paraId="5D8160A3" w14:textId="088938A8" w:rsidR="00A342B9" w:rsidRDefault="00A342B9">
          <w:pPr>
            <w:pStyle w:val="TOC3"/>
            <w:tabs>
              <w:tab w:val="right" w:leader="dot" w:pos="9350"/>
            </w:tabs>
            <w:rPr>
              <w:noProof/>
            </w:rPr>
          </w:pPr>
          <w:hyperlink w:anchor="_Toc153705062" w:history="1">
            <w:r w:rsidRPr="00733CE9">
              <w:rPr>
                <w:rStyle w:val="Hyperlink"/>
                <w:noProof/>
                <w:lang w:val="en-GB"/>
              </w:rPr>
              <w:t>Earnings Per Share (EPS)</w:t>
            </w:r>
            <w:r>
              <w:rPr>
                <w:noProof/>
                <w:webHidden/>
              </w:rPr>
              <w:tab/>
            </w:r>
            <w:r>
              <w:rPr>
                <w:noProof/>
                <w:webHidden/>
              </w:rPr>
              <w:fldChar w:fldCharType="begin"/>
            </w:r>
            <w:r>
              <w:rPr>
                <w:noProof/>
                <w:webHidden/>
              </w:rPr>
              <w:instrText xml:space="preserve"> PAGEREF _Toc153705062 \h </w:instrText>
            </w:r>
            <w:r>
              <w:rPr>
                <w:noProof/>
                <w:webHidden/>
              </w:rPr>
            </w:r>
            <w:r>
              <w:rPr>
                <w:noProof/>
                <w:webHidden/>
              </w:rPr>
              <w:fldChar w:fldCharType="separate"/>
            </w:r>
            <w:r>
              <w:rPr>
                <w:noProof/>
                <w:webHidden/>
              </w:rPr>
              <w:t>8</w:t>
            </w:r>
            <w:r>
              <w:rPr>
                <w:noProof/>
                <w:webHidden/>
              </w:rPr>
              <w:fldChar w:fldCharType="end"/>
            </w:r>
          </w:hyperlink>
        </w:p>
        <w:p w14:paraId="47654673" w14:textId="6279966A" w:rsidR="00A342B9" w:rsidRDefault="00A342B9">
          <w:pPr>
            <w:pStyle w:val="TOC3"/>
            <w:tabs>
              <w:tab w:val="right" w:leader="dot" w:pos="9350"/>
            </w:tabs>
            <w:rPr>
              <w:noProof/>
            </w:rPr>
          </w:pPr>
          <w:hyperlink w:anchor="_Toc153705063" w:history="1">
            <w:r w:rsidRPr="00733CE9">
              <w:rPr>
                <w:rStyle w:val="Hyperlink"/>
                <w:noProof/>
                <w:lang w:val="en-GB"/>
              </w:rPr>
              <w:t>Net Profit Margin</w:t>
            </w:r>
            <w:r>
              <w:rPr>
                <w:noProof/>
                <w:webHidden/>
              </w:rPr>
              <w:tab/>
            </w:r>
            <w:r>
              <w:rPr>
                <w:noProof/>
                <w:webHidden/>
              </w:rPr>
              <w:fldChar w:fldCharType="begin"/>
            </w:r>
            <w:r>
              <w:rPr>
                <w:noProof/>
                <w:webHidden/>
              </w:rPr>
              <w:instrText xml:space="preserve"> PAGEREF _Toc153705063 \h </w:instrText>
            </w:r>
            <w:r>
              <w:rPr>
                <w:noProof/>
                <w:webHidden/>
              </w:rPr>
            </w:r>
            <w:r>
              <w:rPr>
                <w:noProof/>
                <w:webHidden/>
              </w:rPr>
              <w:fldChar w:fldCharType="separate"/>
            </w:r>
            <w:r>
              <w:rPr>
                <w:noProof/>
                <w:webHidden/>
              </w:rPr>
              <w:t>8</w:t>
            </w:r>
            <w:r>
              <w:rPr>
                <w:noProof/>
                <w:webHidden/>
              </w:rPr>
              <w:fldChar w:fldCharType="end"/>
            </w:r>
          </w:hyperlink>
        </w:p>
        <w:p w14:paraId="134C7F93" w14:textId="3767FCDA" w:rsidR="00A342B9" w:rsidRDefault="00A342B9">
          <w:pPr>
            <w:pStyle w:val="TOC3"/>
            <w:tabs>
              <w:tab w:val="right" w:leader="dot" w:pos="9350"/>
            </w:tabs>
            <w:rPr>
              <w:noProof/>
            </w:rPr>
          </w:pPr>
          <w:hyperlink w:anchor="_Toc153705064" w:history="1">
            <w:r w:rsidRPr="00733CE9">
              <w:rPr>
                <w:rStyle w:val="Hyperlink"/>
                <w:noProof/>
                <w:lang w:val="en-GB"/>
              </w:rPr>
              <w:t>Asset Turnover</w:t>
            </w:r>
            <w:r>
              <w:rPr>
                <w:noProof/>
                <w:webHidden/>
              </w:rPr>
              <w:tab/>
            </w:r>
            <w:r>
              <w:rPr>
                <w:noProof/>
                <w:webHidden/>
              </w:rPr>
              <w:fldChar w:fldCharType="begin"/>
            </w:r>
            <w:r>
              <w:rPr>
                <w:noProof/>
                <w:webHidden/>
              </w:rPr>
              <w:instrText xml:space="preserve"> PAGEREF _Toc153705064 \h </w:instrText>
            </w:r>
            <w:r>
              <w:rPr>
                <w:noProof/>
                <w:webHidden/>
              </w:rPr>
            </w:r>
            <w:r>
              <w:rPr>
                <w:noProof/>
                <w:webHidden/>
              </w:rPr>
              <w:fldChar w:fldCharType="separate"/>
            </w:r>
            <w:r>
              <w:rPr>
                <w:noProof/>
                <w:webHidden/>
              </w:rPr>
              <w:t>9</w:t>
            </w:r>
            <w:r>
              <w:rPr>
                <w:noProof/>
                <w:webHidden/>
              </w:rPr>
              <w:fldChar w:fldCharType="end"/>
            </w:r>
          </w:hyperlink>
        </w:p>
        <w:p w14:paraId="78C6DD0D" w14:textId="024C02E2" w:rsidR="00A342B9" w:rsidRDefault="00A342B9">
          <w:pPr>
            <w:pStyle w:val="TOC3"/>
            <w:tabs>
              <w:tab w:val="right" w:leader="dot" w:pos="9350"/>
            </w:tabs>
            <w:rPr>
              <w:noProof/>
            </w:rPr>
          </w:pPr>
          <w:hyperlink w:anchor="_Toc153705065" w:history="1">
            <w:r w:rsidRPr="00733CE9">
              <w:rPr>
                <w:rStyle w:val="Hyperlink"/>
                <w:noProof/>
              </w:rPr>
              <w:t>Stock Holdings Days</w:t>
            </w:r>
            <w:r>
              <w:rPr>
                <w:noProof/>
                <w:webHidden/>
              </w:rPr>
              <w:tab/>
            </w:r>
            <w:r>
              <w:rPr>
                <w:noProof/>
                <w:webHidden/>
              </w:rPr>
              <w:fldChar w:fldCharType="begin"/>
            </w:r>
            <w:r>
              <w:rPr>
                <w:noProof/>
                <w:webHidden/>
              </w:rPr>
              <w:instrText xml:space="preserve"> PAGEREF _Toc153705065 \h </w:instrText>
            </w:r>
            <w:r>
              <w:rPr>
                <w:noProof/>
                <w:webHidden/>
              </w:rPr>
            </w:r>
            <w:r>
              <w:rPr>
                <w:noProof/>
                <w:webHidden/>
              </w:rPr>
              <w:fldChar w:fldCharType="separate"/>
            </w:r>
            <w:r>
              <w:rPr>
                <w:noProof/>
                <w:webHidden/>
              </w:rPr>
              <w:t>9</w:t>
            </w:r>
            <w:r>
              <w:rPr>
                <w:noProof/>
                <w:webHidden/>
              </w:rPr>
              <w:fldChar w:fldCharType="end"/>
            </w:r>
          </w:hyperlink>
        </w:p>
        <w:p w14:paraId="001B33D6" w14:textId="4BBB9576" w:rsidR="00A342B9" w:rsidRDefault="00A342B9">
          <w:pPr>
            <w:pStyle w:val="TOC3"/>
            <w:tabs>
              <w:tab w:val="right" w:leader="dot" w:pos="9350"/>
            </w:tabs>
            <w:rPr>
              <w:noProof/>
            </w:rPr>
          </w:pPr>
          <w:hyperlink w:anchor="_Toc153705066" w:history="1">
            <w:r w:rsidRPr="00733CE9">
              <w:rPr>
                <w:rStyle w:val="Hyperlink"/>
                <w:noProof/>
                <w:lang w:val="en-GB"/>
              </w:rPr>
              <w:t>Debtors Collection Period</w:t>
            </w:r>
            <w:r>
              <w:rPr>
                <w:noProof/>
                <w:webHidden/>
              </w:rPr>
              <w:tab/>
            </w:r>
            <w:r>
              <w:rPr>
                <w:noProof/>
                <w:webHidden/>
              </w:rPr>
              <w:fldChar w:fldCharType="begin"/>
            </w:r>
            <w:r>
              <w:rPr>
                <w:noProof/>
                <w:webHidden/>
              </w:rPr>
              <w:instrText xml:space="preserve"> PAGEREF _Toc153705066 \h </w:instrText>
            </w:r>
            <w:r>
              <w:rPr>
                <w:noProof/>
                <w:webHidden/>
              </w:rPr>
            </w:r>
            <w:r>
              <w:rPr>
                <w:noProof/>
                <w:webHidden/>
              </w:rPr>
              <w:fldChar w:fldCharType="separate"/>
            </w:r>
            <w:r>
              <w:rPr>
                <w:noProof/>
                <w:webHidden/>
              </w:rPr>
              <w:t>10</w:t>
            </w:r>
            <w:r>
              <w:rPr>
                <w:noProof/>
                <w:webHidden/>
              </w:rPr>
              <w:fldChar w:fldCharType="end"/>
            </w:r>
          </w:hyperlink>
        </w:p>
        <w:p w14:paraId="2EA052D0" w14:textId="1A0C09B3" w:rsidR="00A342B9" w:rsidRDefault="00A342B9">
          <w:pPr>
            <w:pStyle w:val="TOC3"/>
            <w:tabs>
              <w:tab w:val="right" w:leader="dot" w:pos="9350"/>
            </w:tabs>
            <w:rPr>
              <w:noProof/>
            </w:rPr>
          </w:pPr>
          <w:hyperlink w:anchor="_Toc153705067" w:history="1">
            <w:r w:rsidRPr="00733CE9">
              <w:rPr>
                <w:rStyle w:val="Hyperlink"/>
                <w:noProof/>
                <w:lang w:val="en-GB"/>
              </w:rPr>
              <w:t>Current Ratio</w:t>
            </w:r>
            <w:r>
              <w:rPr>
                <w:noProof/>
                <w:webHidden/>
              </w:rPr>
              <w:tab/>
            </w:r>
            <w:r>
              <w:rPr>
                <w:noProof/>
                <w:webHidden/>
              </w:rPr>
              <w:fldChar w:fldCharType="begin"/>
            </w:r>
            <w:r>
              <w:rPr>
                <w:noProof/>
                <w:webHidden/>
              </w:rPr>
              <w:instrText xml:space="preserve"> PAGEREF _Toc153705067 \h </w:instrText>
            </w:r>
            <w:r>
              <w:rPr>
                <w:noProof/>
                <w:webHidden/>
              </w:rPr>
            </w:r>
            <w:r>
              <w:rPr>
                <w:noProof/>
                <w:webHidden/>
              </w:rPr>
              <w:fldChar w:fldCharType="separate"/>
            </w:r>
            <w:r>
              <w:rPr>
                <w:noProof/>
                <w:webHidden/>
              </w:rPr>
              <w:t>10</w:t>
            </w:r>
            <w:r>
              <w:rPr>
                <w:noProof/>
                <w:webHidden/>
              </w:rPr>
              <w:fldChar w:fldCharType="end"/>
            </w:r>
          </w:hyperlink>
        </w:p>
        <w:p w14:paraId="5795C6A3" w14:textId="637225CB" w:rsidR="00A342B9" w:rsidRDefault="00A342B9">
          <w:pPr>
            <w:pStyle w:val="TOC3"/>
            <w:tabs>
              <w:tab w:val="right" w:leader="dot" w:pos="9350"/>
            </w:tabs>
            <w:rPr>
              <w:noProof/>
            </w:rPr>
          </w:pPr>
          <w:hyperlink w:anchor="_Toc153705068" w:history="1">
            <w:r w:rsidRPr="00733CE9">
              <w:rPr>
                <w:rStyle w:val="Hyperlink"/>
                <w:noProof/>
                <w:lang w:val="en-GB"/>
              </w:rPr>
              <w:t>Gearing Ratio</w:t>
            </w:r>
            <w:r>
              <w:rPr>
                <w:noProof/>
                <w:webHidden/>
              </w:rPr>
              <w:tab/>
            </w:r>
            <w:r>
              <w:rPr>
                <w:noProof/>
                <w:webHidden/>
              </w:rPr>
              <w:fldChar w:fldCharType="begin"/>
            </w:r>
            <w:r>
              <w:rPr>
                <w:noProof/>
                <w:webHidden/>
              </w:rPr>
              <w:instrText xml:space="preserve"> PAGEREF _Toc153705068 \h </w:instrText>
            </w:r>
            <w:r>
              <w:rPr>
                <w:noProof/>
                <w:webHidden/>
              </w:rPr>
            </w:r>
            <w:r>
              <w:rPr>
                <w:noProof/>
                <w:webHidden/>
              </w:rPr>
              <w:fldChar w:fldCharType="separate"/>
            </w:r>
            <w:r>
              <w:rPr>
                <w:noProof/>
                <w:webHidden/>
              </w:rPr>
              <w:t>10</w:t>
            </w:r>
            <w:r>
              <w:rPr>
                <w:noProof/>
                <w:webHidden/>
              </w:rPr>
              <w:fldChar w:fldCharType="end"/>
            </w:r>
          </w:hyperlink>
        </w:p>
        <w:p w14:paraId="27F2319C" w14:textId="5C345CB6" w:rsidR="00A342B9" w:rsidRDefault="00A342B9">
          <w:pPr>
            <w:pStyle w:val="TOC3"/>
            <w:tabs>
              <w:tab w:val="right" w:leader="dot" w:pos="9350"/>
            </w:tabs>
            <w:rPr>
              <w:noProof/>
            </w:rPr>
          </w:pPr>
          <w:hyperlink w:anchor="_Toc153705069" w:history="1">
            <w:r w:rsidRPr="00733CE9">
              <w:rPr>
                <w:rStyle w:val="Hyperlink"/>
                <w:noProof/>
                <w:lang w:val="en-GB"/>
              </w:rPr>
              <w:t>Interest Cover</w:t>
            </w:r>
            <w:r>
              <w:rPr>
                <w:noProof/>
                <w:webHidden/>
              </w:rPr>
              <w:tab/>
            </w:r>
            <w:r>
              <w:rPr>
                <w:noProof/>
                <w:webHidden/>
              </w:rPr>
              <w:fldChar w:fldCharType="begin"/>
            </w:r>
            <w:r>
              <w:rPr>
                <w:noProof/>
                <w:webHidden/>
              </w:rPr>
              <w:instrText xml:space="preserve"> PAGEREF _Toc153705069 \h </w:instrText>
            </w:r>
            <w:r>
              <w:rPr>
                <w:noProof/>
                <w:webHidden/>
              </w:rPr>
            </w:r>
            <w:r>
              <w:rPr>
                <w:noProof/>
                <w:webHidden/>
              </w:rPr>
              <w:fldChar w:fldCharType="separate"/>
            </w:r>
            <w:r>
              <w:rPr>
                <w:noProof/>
                <w:webHidden/>
              </w:rPr>
              <w:t>11</w:t>
            </w:r>
            <w:r>
              <w:rPr>
                <w:noProof/>
                <w:webHidden/>
              </w:rPr>
              <w:fldChar w:fldCharType="end"/>
            </w:r>
          </w:hyperlink>
        </w:p>
        <w:p w14:paraId="1165F1B6" w14:textId="2318919F" w:rsidR="00A342B9" w:rsidRDefault="00A342B9">
          <w:pPr>
            <w:pStyle w:val="TOC1"/>
            <w:tabs>
              <w:tab w:val="right" w:leader="dot" w:pos="9350"/>
            </w:tabs>
            <w:rPr>
              <w:noProof/>
            </w:rPr>
          </w:pPr>
          <w:hyperlink w:anchor="_Toc153705070" w:history="1">
            <w:r w:rsidRPr="00733CE9">
              <w:rPr>
                <w:rStyle w:val="Hyperlink"/>
                <w:noProof/>
              </w:rPr>
              <w:t>Conclusion</w:t>
            </w:r>
            <w:r>
              <w:rPr>
                <w:noProof/>
                <w:webHidden/>
              </w:rPr>
              <w:tab/>
            </w:r>
            <w:r>
              <w:rPr>
                <w:noProof/>
                <w:webHidden/>
              </w:rPr>
              <w:fldChar w:fldCharType="begin"/>
            </w:r>
            <w:r>
              <w:rPr>
                <w:noProof/>
                <w:webHidden/>
              </w:rPr>
              <w:instrText xml:space="preserve"> PAGEREF _Toc153705070 \h </w:instrText>
            </w:r>
            <w:r>
              <w:rPr>
                <w:noProof/>
                <w:webHidden/>
              </w:rPr>
            </w:r>
            <w:r>
              <w:rPr>
                <w:noProof/>
                <w:webHidden/>
              </w:rPr>
              <w:fldChar w:fldCharType="separate"/>
            </w:r>
            <w:r>
              <w:rPr>
                <w:noProof/>
                <w:webHidden/>
              </w:rPr>
              <w:t>11</w:t>
            </w:r>
            <w:r>
              <w:rPr>
                <w:noProof/>
                <w:webHidden/>
              </w:rPr>
              <w:fldChar w:fldCharType="end"/>
            </w:r>
          </w:hyperlink>
        </w:p>
        <w:p w14:paraId="0EF683E6" w14:textId="443A5424" w:rsidR="00A342B9" w:rsidRDefault="00A342B9">
          <w:pPr>
            <w:pStyle w:val="TOC1"/>
            <w:tabs>
              <w:tab w:val="right" w:leader="dot" w:pos="9350"/>
            </w:tabs>
            <w:rPr>
              <w:noProof/>
            </w:rPr>
          </w:pPr>
          <w:hyperlink w:anchor="_Toc153705071" w:history="1">
            <w:r w:rsidRPr="00733CE9">
              <w:rPr>
                <w:rStyle w:val="Hyperlink"/>
                <w:noProof/>
              </w:rPr>
              <w:t>References</w:t>
            </w:r>
            <w:r>
              <w:rPr>
                <w:noProof/>
                <w:webHidden/>
              </w:rPr>
              <w:tab/>
            </w:r>
            <w:r>
              <w:rPr>
                <w:noProof/>
                <w:webHidden/>
              </w:rPr>
              <w:fldChar w:fldCharType="begin"/>
            </w:r>
            <w:r>
              <w:rPr>
                <w:noProof/>
                <w:webHidden/>
              </w:rPr>
              <w:instrText xml:space="preserve"> PAGEREF _Toc153705071 \h </w:instrText>
            </w:r>
            <w:r>
              <w:rPr>
                <w:noProof/>
                <w:webHidden/>
              </w:rPr>
            </w:r>
            <w:r>
              <w:rPr>
                <w:noProof/>
                <w:webHidden/>
              </w:rPr>
              <w:fldChar w:fldCharType="separate"/>
            </w:r>
            <w:r>
              <w:rPr>
                <w:noProof/>
                <w:webHidden/>
              </w:rPr>
              <w:t>11</w:t>
            </w:r>
            <w:r>
              <w:rPr>
                <w:noProof/>
                <w:webHidden/>
              </w:rPr>
              <w:fldChar w:fldCharType="end"/>
            </w:r>
          </w:hyperlink>
        </w:p>
        <w:p w14:paraId="41C3EB93" w14:textId="58D4D525" w:rsidR="00A342B9" w:rsidRDefault="00A342B9">
          <w:r>
            <w:rPr>
              <w:b/>
              <w:bCs/>
              <w:noProof/>
            </w:rPr>
            <w:fldChar w:fldCharType="end"/>
          </w:r>
        </w:p>
      </w:sdtContent>
    </w:sdt>
    <w:p w14:paraId="1537EC1B" w14:textId="77777777" w:rsidR="00A342B9" w:rsidRDefault="00A342B9" w:rsidP="0011447F">
      <w:pPr>
        <w:pStyle w:val="Heading1"/>
      </w:pPr>
    </w:p>
    <w:p w14:paraId="74C21922" w14:textId="77777777" w:rsidR="00A342B9" w:rsidRDefault="00A342B9" w:rsidP="0011447F">
      <w:pPr>
        <w:pStyle w:val="Heading1"/>
      </w:pPr>
    </w:p>
    <w:p w14:paraId="402AF1D1" w14:textId="77777777" w:rsidR="00A342B9" w:rsidRDefault="00A342B9" w:rsidP="0011447F">
      <w:pPr>
        <w:pStyle w:val="Heading1"/>
      </w:pPr>
    </w:p>
    <w:p w14:paraId="5C6837EB" w14:textId="77777777" w:rsidR="00A342B9" w:rsidRDefault="00A342B9" w:rsidP="00A342B9"/>
    <w:p w14:paraId="2A6D2C84" w14:textId="77777777" w:rsidR="00A342B9" w:rsidRDefault="00A342B9" w:rsidP="00A342B9"/>
    <w:p w14:paraId="28A99D54" w14:textId="77777777" w:rsidR="00A342B9" w:rsidRDefault="00A342B9" w:rsidP="00A342B9"/>
    <w:p w14:paraId="43F24B4F" w14:textId="77777777" w:rsidR="00A342B9" w:rsidRDefault="00A342B9" w:rsidP="00A342B9"/>
    <w:p w14:paraId="56838354" w14:textId="77777777" w:rsidR="00A342B9" w:rsidRDefault="00A342B9" w:rsidP="00A342B9"/>
    <w:p w14:paraId="1BCB6FF5" w14:textId="77777777" w:rsidR="00A342B9" w:rsidRPr="00A342B9" w:rsidRDefault="00A342B9" w:rsidP="00A342B9"/>
    <w:p w14:paraId="5608DA12" w14:textId="554B2DDA" w:rsidR="0011447F" w:rsidRDefault="00E37244" w:rsidP="0011447F">
      <w:pPr>
        <w:pStyle w:val="Heading1"/>
      </w:pPr>
      <w:bookmarkStart w:id="0" w:name="_Toc153705058"/>
      <w:r>
        <w:lastRenderedPageBreak/>
        <w:t>Introduction</w:t>
      </w:r>
      <w:bookmarkEnd w:id="0"/>
      <w:r>
        <w:t xml:space="preserve"> </w:t>
      </w:r>
    </w:p>
    <w:p w14:paraId="6B690F3C" w14:textId="40E292E1" w:rsidR="00E37244" w:rsidRPr="00E37244" w:rsidRDefault="00E37244" w:rsidP="00E37244">
      <w:pPr>
        <w:rPr>
          <w:sz w:val="24"/>
          <w:szCs w:val="24"/>
        </w:rPr>
      </w:pPr>
      <w:r w:rsidRPr="00E37244">
        <w:rPr>
          <w:sz w:val="24"/>
          <w:szCs w:val="24"/>
        </w:rPr>
        <w:t>The objective of this project is to conduct a comprehensive analysis of financial statements. We aim to delve into various financial statements, offering detailed explanations and insights. This project will encompass three distinct questions, each targeting a specific aspect of financial statement analysis.</w:t>
      </w:r>
    </w:p>
    <w:p w14:paraId="2CA2CE1D" w14:textId="4A721E1A" w:rsidR="00701553" w:rsidRPr="00701553" w:rsidRDefault="00701553" w:rsidP="00627C54">
      <w:pPr>
        <w:spacing w:line="360" w:lineRule="auto"/>
        <w:rPr>
          <w:sz w:val="24"/>
          <w:szCs w:val="24"/>
          <w:lang w:val="en-GB"/>
        </w:rPr>
      </w:pPr>
      <w:r w:rsidRPr="00701553">
        <w:rPr>
          <w:sz w:val="24"/>
          <w:szCs w:val="24"/>
          <w:lang w:val="en-GB"/>
        </w:rPr>
        <w:br/>
      </w:r>
      <w:r w:rsidRPr="00E37244">
        <w:rPr>
          <w:b/>
          <w:bCs/>
          <w:sz w:val="24"/>
          <w:szCs w:val="24"/>
          <w:lang w:val="en-GB"/>
        </w:rPr>
        <w:t xml:space="preserve"> 1</w:t>
      </w:r>
      <w:r w:rsidR="001B51BF" w:rsidRPr="00E37244">
        <w:rPr>
          <w:b/>
          <w:bCs/>
          <w:sz w:val="24"/>
          <w:szCs w:val="24"/>
          <w:lang w:val="en-GB"/>
        </w:rPr>
        <w:t>.</w:t>
      </w:r>
      <w:r w:rsidRPr="00701553">
        <w:rPr>
          <w:sz w:val="24"/>
          <w:szCs w:val="24"/>
          <w:lang w:val="en-GB"/>
        </w:rPr>
        <w:t xml:space="preserve">The statement described appears to conflate the characteristics of the Statement of Financial Position (Balance Sheet) and the Cash Flow Statement, which are distinct financial statements. </w:t>
      </w:r>
      <w:r w:rsidR="00E50C1F" w:rsidRPr="00627C54">
        <w:rPr>
          <w:sz w:val="24"/>
          <w:szCs w:val="24"/>
        </w:rPr>
        <w:t>Additionally, Kimmel, Weygandt, and Kieso (2018</w:t>
      </w:r>
      <w:proofErr w:type="gramStart"/>
      <w:r w:rsidR="00E50C1F" w:rsidRPr="00627C54">
        <w:rPr>
          <w:sz w:val="24"/>
          <w:szCs w:val="24"/>
        </w:rPr>
        <w:t>).</w:t>
      </w:r>
      <w:r w:rsidRPr="00701553">
        <w:rPr>
          <w:sz w:val="24"/>
          <w:szCs w:val="24"/>
          <w:lang w:val="en-GB"/>
        </w:rPr>
        <w:t>The</w:t>
      </w:r>
      <w:proofErr w:type="gramEnd"/>
      <w:r w:rsidRPr="00701553">
        <w:rPr>
          <w:sz w:val="24"/>
          <w:szCs w:val="24"/>
          <w:lang w:val="en-GB"/>
        </w:rPr>
        <w:t xml:space="preserve"> Statement of Financial Position presents a company's assets, liabilities, and equity at a specific point in time. It does not track cash flows but shows the financial status of the business, including the cash balance at that </w:t>
      </w:r>
      <w:r w:rsidR="00A342B9" w:rsidRPr="00701553">
        <w:rPr>
          <w:sz w:val="24"/>
          <w:szCs w:val="24"/>
          <w:lang w:val="en-GB"/>
        </w:rPr>
        <w:t>moment</w:t>
      </w:r>
      <w:r w:rsidR="00A342B9" w:rsidRPr="00627C54">
        <w:rPr>
          <w:sz w:val="24"/>
          <w:szCs w:val="24"/>
          <w:lang w:val="en-GB"/>
        </w:rPr>
        <w:t>,</w:t>
      </w:r>
      <w:r w:rsidR="00A342B9" w:rsidRPr="00627C54">
        <w:rPr>
          <w:sz w:val="24"/>
          <w:szCs w:val="24"/>
        </w:rPr>
        <w:t xml:space="preserve"> Wahlen</w:t>
      </w:r>
      <w:r w:rsidR="00F07B40" w:rsidRPr="00627C54">
        <w:rPr>
          <w:sz w:val="24"/>
          <w:szCs w:val="24"/>
        </w:rPr>
        <w:t>, Baginski, and Bradshaw (2020).</w:t>
      </w:r>
    </w:p>
    <w:p w14:paraId="7CCA05C0" w14:textId="16F9B70C" w:rsidR="00595397" w:rsidRPr="00627C54" w:rsidRDefault="00E013C5" w:rsidP="00627C54">
      <w:pPr>
        <w:spacing w:line="360" w:lineRule="auto"/>
        <w:rPr>
          <w:sz w:val="24"/>
          <w:szCs w:val="24"/>
          <w:lang w:val="en-GB"/>
        </w:rPr>
      </w:pPr>
      <w:r w:rsidRPr="00E37244">
        <w:rPr>
          <w:b/>
          <w:bCs/>
          <w:sz w:val="24"/>
          <w:szCs w:val="24"/>
        </w:rPr>
        <w:t>2</w:t>
      </w:r>
      <w:r w:rsidR="001B51BF" w:rsidRPr="00E37244">
        <w:rPr>
          <w:b/>
          <w:bCs/>
          <w:sz w:val="24"/>
          <w:szCs w:val="24"/>
        </w:rPr>
        <w:t>.</w:t>
      </w:r>
      <w:r w:rsidR="00A342B9">
        <w:rPr>
          <w:b/>
          <w:bCs/>
          <w:sz w:val="24"/>
          <w:szCs w:val="24"/>
        </w:rPr>
        <w:t xml:space="preserve"> </w:t>
      </w:r>
      <w:r w:rsidR="001B51BF" w:rsidRPr="00627C54">
        <w:rPr>
          <w:sz w:val="24"/>
          <w:szCs w:val="24"/>
        </w:rPr>
        <w:t xml:space="preserve"> </w:t>
      </w:r>
      <w:r w:rsidR="00A342B9">
        <w:rPr>
          <w:sz w:val="24"/>
          <w:szCs w:val="24"/>
          <w:lang w:val="en-GB"/>
        </w:rPr>
        <w:t>N</w:t>
      </w:r>
      <w:r w:rsidR="00A342B9" w:rsidRPr="00627C54">
        <w:rPr>
          <w:sz w:val="24"/>
          <w:szCs w:val="24"/>
          <w:lang w:val="en-GB"/>
        </w:rPr>
        <w:t>on-current</w:t>
      </w:r>
      <w:r w:rsidR="00595397" w:rsidRPr="00627C54">
        <w:rPr>
          <w:sz w:val="24"/>
          <w:szCs w:val="24"/>
          <w:lang w:val="en-GB"/>
        </w:rPr>
        <w:t xml:space="preserve"> assets, contrary to the statement, are not necessarily immovable. They are long-term assets that a company holds, not expected to be converted into cash or used up within one year. These assets can be both tangible and intangible:</w:t>
      </w:r>
    </w:p>
    <w:p w14:paraId="6D4B8112" w14:textId="7CBCF8E0" w:rsidR="00595397" w:rsidRPr="00595397" w:rsidRDefault="00595397" w:rsidP="00627C54">
      <w:pPr>
        <w:spacing w:line="360" w:lineRule="auto"/>
        <w:rPr>
          <w:sz w:val="24"/>
          <w:szCs w:val="24"/>
          <w:lang w:val="en-GB"/>
        </w:rPr>
      </w:pPr>
      <w:r w:rsidRPr="00595397">
        <w:rPr>
          <w:sz w:val="24"/>
          <w:szCs w:val="24"/>
          <w:lang w:val="en-GB"/>
        </w:rPr>
        <w:t xml:space="preserve">Tangible Non-Current Assets: These include property, plant, and equipment (PP&amp;E) which are physical, long-lived assets used in the operation of a business. While some of these assets, like buildings and land, are immovable, others, such as machinery and vehicles, can be </w:t>
      </w:r>
      <w:r w:rsidR="00A342B9" w:rsidRPr="00595397">
        <w:rPr>
          <w:sz w:val="24"/>
          <w:szCs w:val="24"/>
          <w:lang w:val="en-GB"/>
        </w:rPr>
        <w:t>moved</w:t>
      </w:r>
      <w:r w:rsidR="00A342B9" w:rsidRPr="00627C54">
        <w:rPr>
          <w:sz w:val="24"/>
          <w:szCs w:val="24"/>
          <w:lang w:val="en-GB"/>
        </w:rPr>
        <w:t>,</w:t>
      </w:r>
      <w:r w:rsidR="00A342B9" w:rsidRPr="00627C54">
        <w:rPr>
          <w:sz w:val="24"/>
          <w:szCs w:val="24"/>
        </w:rPr>
        <w:t xml:space="preserve"> Brigham</w:t>
      </w:r>
      <w:r w:rsidR="00D05755" w:rsidRPr="00627C54">
        <w:rPr>
          <w:sz w:val="24"/>
          <w:szCs w:val="24"/>
        </w:rPr>
        <w:t xml:space="preserve"> and Ehrhardt (2017).</w:t>
      </w:r>
    </w:p>
    <w:p w14:paraId="04A38628" w14:textId="576BBE1E" w:rsidR="00595397" w:rsidRPr="00595397" w:rsidRDefault="00595397" w:rsidP="00627C54">
      <w:pPr>
        <w:spacing w:line="360" w:lineRule="auto"/>
        <w:rPr>
          <w:sz w:val="24"/>
          <w:szCs w:val="24"/>
          <w:lang w:val="en-GB"/>
        </w:rPr>
      </w:pPr>
      <w:r w:rsidRPr="00595397">
        <w:rPr>
          <w:sz w:val="24"/>
          <w:szCs w:val="24"/>
          <w:lang w:val="en-GB"/>
        </w:rPr>
        <w:t xml:space="preserve">Intangible Non-Current Assets: These are non-physical assets like patents, trademarks, copyrights, and goodwill. These assets are crucial for a company's long-term success and are </w:t>
      </w:r>
      <w:proofErr w:type="gramStart"/>
      <w:r w:rsidRPr="00595397">
        <w:rPr>
          <w:sz w:val="24"/>
          <w:szCs w:val="24"/>
          <w:lang w:val="en-GB"/>
        </w:rPr>
        <w:t>definitely not</w:t>
      </w:r>
      <w:proofErr w:type="gramEnd"/>
      <w:r w:rsidRPr="00595397">
        <w:rPr>
          <w:sz w:val="24"/>
          <w:szCs w:val="24"/>
          <w:lang w:val="en-GB"/>
        </w:rPr>
        <w:t xml:space="preserve"> characterized by </w:t>
      </w:r>
      <w:r w:rsidR="00A342B9" w:rsidRPr="00595397">
        <w:rPr>
          <w:sz w:val="24"/>
          <w:szCs w:val="24"/>
          <w:lang w:val="en-GB"/>
        </w:rPr>
        <w:t>immobility</w:t>
      </w:r>
      <w:r w:rsidR="00A342B9" w:rsidRPr="00627C54">
        <w:rPr>
          <w:sz w:val="24"/>
          <w:szCs w:val="24"/>
          <w:lang w:val="en-GB"/>
        </w:rPr>
        <w:t>,</w:t>
      </w:r>
      <w:r w:rsidR="00A342B9" w:rsidRPr="00627C54">
        <w:rPr>
          <w:sz w:val="24"/>
          <w:szCs w:val="24"/>
        </w:rPr>
        <w:t xml:space="preserve"> Kieso</w:t>
      </w:r>
      <w:r w:rsidR="00D05755" w:rsidRPr="00627C54">
        <w:rPr>
          <w:sz w:val="24"/>
          <w:szCs w:val="24"/>
        </w:rPr>
        <w:t>, Weygandt, and Warfield (2019).</w:t>
      </w:r>
    </w:p>
    <w:p w14:paraId="105E4E54" w14:textId="77777777" w:rsidR="00D4682C" w:rsidRPr="00627C54" w:rsidRDefault="00D4682C" w:rsidP="00627C54">
      <w:pPr>
        <w:spacing w:line="360" w:lineRule="auto"/>
        <w:rPr>
          <w:sz w:val="24"/>
          <w:szCs w:val="24"/>
          <w:lang w:val="en-GB"/>
        </w:rPr>
      </w:pPr>
      <w:r w:rsidRPr="00E37244">
        <w:rPr>
          <w:b/>
          <w:bCs/>
          <w:sz w:val="24"/>
          <w:szCs w:val="24"/>
        </w:rPr>
        <w:t>3.</w:t>
      </w:r>
      <w:r w:rsidRPr="00627C54">
        <w:rPr>
          <w:sz w:val="24"/>
          <w:szCs w:val="24"/>
        </w:rPr>
        <w:t xml:space="preserve"> </w:t>
      </w:r>
      <w:r w:rsidRPr="00627C54">
        <w:rPr>
          <w:sz w:val="24"/>
          <w:szCs w:val="24"/>
          <w:lang w:val="en-GB"/>
        </w:rPr>
        <w:t>The statement that managers should only supply financial information to the “current” shareholders of companies is a narrow perspective and does not align with modern corporate governance and disclosure practices. In fact, financial transparency and broad disclosure are fundamental principles in contemporary corporate governance.</w:t>
      </w:r>
    </w:p>
    <w:p w14:paraId="0CEF9CEC" w14:textId="77777777" w:rsidR="00D4682C" w:rsidRPr="00D4682C" w:rsidRDefault="00D4682C" w:rsidP="00627C54">
      <w:pPr>
        <w:spacing w:line="360" w:lineRule="auto"/>
        <w:rPr>
          <w:sz w:val="24"/>
          <w:szCs w:val="24"/>
          <w:lang w:val="en-GB"/>
        </w:rPr>
      </w:pPr>
      <w:r w:rsidRPr="00D4682C">
        <w:rPr>
          <w:sz w:val="24"/>
          <w:szCs w:val="24"/>
          <w:lang w:val="en-GB"/>
        </w:rPr>
        <w:t xml:space="preserve">Financial information is not just for current shareholders but is also essential for potential investors, creditors, regulatory bodies, and other stakeholders. These parties rely on this </w:t>
      </w:r>
      <w:r w:rsidRPr="00D4682C">
        <w:rPr>
          <w:sz w:val="24"/>
          <w:szCs w:val="24"/>
          <w:lang w:val="en-GB"/>
        </w:rPr>
        <w:lastRenderedPageBreak/>
        <w:t xml:space="preserve">information for making informed decisions regarding investment, lending, regulatory compliance, and understanding the company's financial health and </w:t>
      </w:r>
      <w:proofErr w:type="gramStart"/>
      <w:r w:rsidRPr="00D4682C">
        <w:rPr>
          <w:sz w:val="24"/>
          <w:szCs w:val="24"/>
          <w:lang w:val="en-GB"/>
        </w:rPr>
        <w:t>future prospects</w:t>
      </w:r>
      <w:proofErr w:type="gramEnd"/>
      <w:r w:rsidRPr="00D4682C">
        <w:rPr>
          <w:sz w:val="24"/>
          <w:szCs w:val="24"/>
          <w:lang w:val="en-GB"/>
        </w:rPr>
        <w:t>.</w:t>
      </w:r>
    </w:p>
    <w:p w14:paraId="5F63CA3F" w14:textId="77777777" w:rsidR="00DB33A2" w:rsidRPr="00627C54" w:rsidRDefault="00DB33A2" w:rsidP="00627C54">
      <w:pPr>
        <w:spacing w:line="360" w:lineRule="auto"/>
        <w:rPr>
          <w:sz w:val="24"/>
          <w:szCs w:val="24"/>
          <w:lang w:val="en-GB"/>
        </w:rPr>
      </w:pPr>
      <w:r w:rsidRPr="00E37244">
        <w:rPr>
          <w:b/>
          <w:bCs/>
          <w:sz w:val="24"/>
          <w:szCs w:val="24"/>
        </w:rPr>
        <w:t>4.</w:t>
      </w:r>
      <w:r w:rsidRPr="00627C54">
        <w:rPr>
          <w:sz w:val="24"/>
          <w:szCs w:val="24"/>
        </w:rPr>
        <w:t xml:space="preserve"> </w:t>
      </w:r>
      <w:r w:rsidRPr="00627C54">
        <w:rPr>
          <w:sz w:val="24"/>
          <w:szCs w:val="24"/>
          <w:lang w:val="en-GB"/>
        </w:rPr>
        <w:t>The suggestion to exclude prepayments and accruals from the Statement of Financial Position contradicts standard accounting practices. Prepayments and accruals are fundamental components of accrual accounting, which provides a more accurate picture of a company's financial position than cash accounting.</w:t>
      </w:r>
    </w:p>
    <w:p w14:paraId="1252BBCA" w14:textId="77777777" w:rsidR="00DB33A2" w:rsidRPr="00DB33A2" w:rsidRDefault="00DB33A2" w:rsidP="00627C54">
      <w:pPr>
        <w:spacing w:line="360" w:lineRule="auto"/>
        <w:rPr>
          <w:sz w:val="24"/>
          <w:szCs w:val="24"/>
          <w:lang w:val="en-GB"/>
        </w:rPr>
      </w:pPr>
      <w:r w:rsidRPr="00DB33A2">
        <w:rPr>
          <w:sz w:val="24"/>
          <w:szCs w:val="24"/>
          <w:lang w:val="en-GB"/>
        </w:rPr>
        <w:t>Prepayments are considered assets, as they represent services or goods to be received in the future for which payment has already been made. Accruals, on the other hand, recognize expenses and revenues that have been incurred but not yet paid or received, respectively. Including these items in the Statement of Financial Position ensures that the financial statements reflect all economic events affecting the company during the period, not just cash transactions.</w:t>
      </w:r>
    </w:p>
    <w:p w14:paraId="0AFAF340" w14:textId="77777777" w:rsidR="00DB33A2" w:rsidRPr="00DB33A2" w:rsidRDefault="00DB33A2" w:rsidP="00627C54">
      <w:pPr>
        <w:spacing w:line="360" w:lineRule="auto"/>
        <w:rPr>
          <w:sz w:val="24"/>
          <w:szCs w:val="24"/>
          <w:lang w:val="en-GB"/>
        </w:rPr>
      </w:pPr>
      <w:r w:rsidRPr="00DB33A2">
        <w:rPr>
          <w:sz w:val="24"/>
          <w:szCs w:val="24"/>
          <w:lang w:val="en-GB"/>
        </w:rPr>
        <w:t>For instance, Kimmel, Weygandt, and Kieso (2018) emphasize the importance of recording prepayments and accruals for achieving the matching principle in accounting. This principle ensures that revenues are matched with the expenses incurred in generating them, providing a more accurate view of a company's profitability. Similarly, Warren, Reeve, and Duchac (2018) discuss how prepayments and accruals contribute to the completeness and accuracy of financial reporting, which is crucial for informed decision-making by stakeholders.</w:t>
      </w:r>
    </w:p>
    <w:p w14:paraId="5852A0EF" w14:textId="77777777" w:rsidR="00125041" w:rsidRPr="00125041" w:rsidRDefault="00125041" w:rsidP="00627C54">
      <w:pPr>
        <w:spacing w:line="360" w:lineRule="auto"/>
        <w:rPr>
          <w:sz w:val="24"/>
          <w:szCs w:val="24"/>
          <w:lang w:val="en-GB"/>
        </w:rPr>
      </w:pPr>
      <w:r w:rsidRPr="00E37244">
        <w:rPr>
          <w:b/>
          <w:bCs/>
          <w:sz w:val="24"/>
          <w:szCs w:val="24"/>
          <w:lang w:val="en-GB"/>
        </w:rPr>
        <w:t>5.</w:t>
      </w:r>
      <w:r w:rsidRPr="00627C54">
        <w:rPr>
          <w:sz w:val="24"/>
          <w:szCs w:val="24"/>
          <w:lang w:val="en-GB"/>
        </w:rPr>
        <w:t xml:space="preserve"> </w:t>
      </w:r>
      <w:r w:rsidRPr="00125041">
        <w:rPr>
          <w:sz w:val="24"/>
          <w:szCs w:val="24"/>
          <w:lang w:val="en-GB"/>
        </w:rPr>
        <w:t>The assertion that financial accounts do not require regulation overlooks the critical role of regulatory frameworks in ensuring transparency, accuracy, and reliability in financial reporting. Financial regulations, such as those enforced by governing bodies like the Securities and Exchange Commission (SEC) in the United States or the Financial Reporting Council (FRC) in the UK, are essential for maintaining investor confidence and the efficient functioning of capital markets.</w:t>
      </w:r>
    </w:p>
    <w:p w14:paraId="74F4E3FC" w14:textId="77777777" w:rsidR="00125041" w:rsidRPr="00125041" w:rsidRDefault="00125041" w:rsidP="00627C54">
      <w:pPr>
        <w:spacing w:line="360" w:lineRule="auto"/>
        <w:rPr>
          <w:sz w:val="24"/>
          <w:szCs w:val="24"/>
          <w:lang w:val="en-GB"/>
        </w:rPr>
      </w:pPr>
      <w:r w:rsidRPr="00125041">
        <w:rPr>
          <w:sz w:val="24"/>
          <w:szCs w:val="24"/>
          <w:lang w:val="en-GB"/>
        </w:rPr>
        <w:t xml:space="preserve">For example, Palepu and Healy (2020) emphasize the importance of regulations in enhancing the quality and comparability of financial information, which is vital for investors and stakeholders in making informed decisions. Similarly, Spiceland, Thomas, and Herrmann (2019) </w:t>
      </w:r>
      <w:r w:rsidRPr="00125041">
        <w:rPr>
          <w:sz w:val="24"/>
          <w:szCs w:val="24"/>
          <w:lang w:val="en-GB"/>
        </w:rPr>
        <w:lastRenderedPageBreak/>
        <w:t>discuss how financial regulations help prevent financial scandals and contribute to the overall stability of the financial system.</w:t>
      </w:r>
    </w:p>
    <w:p w14:paraId="71DB41B7" w14:textId="77777777" w:rsidR="00414A90" w:rsidRPr="00627C54" w:rsidRDefault="00414A90" w:rsidP="00627C54">
      <w:pPr>
        <w:spacing w:line="360" w:lineRule="auto"/>
        <w:rPr>
          <w:sz w:val="24"/>
          <w:szCs w:val="24"/>
          <w:lang w:val="en-GB"/>
        </w:rPr>
      </w:pPr>
      <w:r w:rsidRPr="00E37244">
        <w:rPr>
          <w:b/>
          <w:bCs/>
          <w:sz w:val="24"/>
          <w:szCs w:val="24"/>
        </w:rPr>
        <w:t>6.</w:t>
      </w:r>
      <w:r w:rsidRPr="00627C54">
        <w:rPr>
          <w:sz w:val="24"/>
          <w:szCs w:val="24"/>
          <w:lang w:val="en-GB"/>
        </w:rPr>
        <w:t>Balancing ledger accounts and preparing a trial balance are crucial preliminary steps before compiling financial statements. These processes ensure accuracy and consistency in financial reporting.</w:t>
      </w:r>
    </w:p>
    <w:p w14:paraId="0374FD66" w14:textId="77777777" w:rsidR="00414A90" w:rsidRPr="00414A90" w:rsidRDefault="00414A90" w:rsidP="00627C54">
      <w:pPr>
        <w:spacing w:line="360" w:lineRule="auto"/>
        <w:rPr>
          <w:sz w:val="24"/>
          <w:szCs w:val="24"/>
          <w:lang w:val="en-GB"/>
        </w:rPr>
      </w:pPr>
      <w:r w:rsidRPr="00414A90">
        <w:rPr>
          <w:sz w:val="24"/>
          <w:szCs w:val="24"/>
          <w:lang w:val="en-GB"/>
        </w:rPr>
        <w:t>Kimmel, Weygandt, and Kieso (2018) emphasize the importance of these steps in ensuring the accuracy of financial data, which is critical for reliable financial statements. Warren, Reeve, and Duchac (2018) also highlight that the trial balance is a foundational step in the accounting cycle, ensuring that subsequent financial statements are based on accurate and verified data.</w:t>
      </w:r>
    </w:p>
    <w:p w14:paraId="3A29E588" w14:textId="77777777" w:rsidR="0011447F" w:rsidRDefault="0011447F" w:rsidP="00701553"/>
    <w:p w14:paraId="74576413" w14:textId="77777777" w:rsidR="0011447F" w:rsidRPr="00E37244" w:rsidRDefault="001B5399" w:rsidP="00A342B9">
      <w:pPr>
        <w:pStyle w:val="Heading2"/>
      </w:pPr>
      <w:bookmarkStart w:id="1" w:name="_Toc153705059"/>
      <w:r w:rsidRPr="00E37244">
        <w:t>Question 2</w:t>
      </w:r>
      <w:bookmarkEnd w:id="1"/>
    </w:p>
    <w:p w14:paraId="57A72CA7" w14:textId="0EE327BA" w:rsidR="00DE5564" w:rsidRPr="00A342B9" w:rsidRDefault="00E7358F" w:rsidP="00A342B9">
      <w:pPr>
        <w:spacing w:line="240" w:lineRule="auto"/>
        <w:rPr>
          <w:sz w:val="24"/>
          <w:szCs w:val="24"/>
        </w:rPr>
      </w:pPr>
      <w:r w:rsidRPr="00A342B9">
        <w:rPr>
          <w:sz w:val="24"/>
          <w:szCs w:val="24"/>
        </w:rPr>
        <w:t>-Wales plc</w:t>
      </w:r>
    </w:p>
    <w:p w14:paraId="7B23046B" w14:textId="3B77B4AE" w:rsidR="00E7358F" w:rsidRPr="00A342B9" w:rsidRDefault="00E7358F" w:rsidP="00A342B9">
      <w:pPr>
        <w:spacing w:line="240" w:lineRule="auto"/>
        <w:rPr>
          <w:sz w:val="24"/>
          <w:szCs w:val="24"/>
        </w:rPr>
      </w:pPr>
      <w:r w:rsidRPr="00A342B9">
        <w:rPr>
          <w:sz w:val="24"/>
          <w:szCs w:val="24"/>
        </w:rPr>
        <w:t>-Income statement</w:t>
      </w:r>
    </w:p>
    <w:p w14:paraId="1727CD9E" w14:textId="0F9D5274" w:rsidR="00E7358F" w:rsidRPr="00A342B9" w:rsidRDefault="00E7358F" w:rsidP="00A342B9">
      <w:pPr>
        <w:spacing w:line="240" w:lineRule="auto"/>
        <w:rPr>
          <w:sz w:val="24"/>
          <w:szCs w:val="24"/>
        </w:rPr>
      </w:pPr>
      <w:r w:rsidRPr="00A342B9">
        <w:rPr>
          <w:sz w:val="24"/>
          <w:szCs w:val="24"/>
        </w:rPr>
        <w:t>For the year ended December 31,2022</w:t>
      </w:r>
    </w:p>
    <w:p w14:paraId="02F1BA0E" w14:textId="78F1B7AF" w:rsidR="00E7358F" w:rsidRPr="00A342B9" w:rsidRDefault="00E7358F" w:rsidP="00A342B9">
      <w:pPr>
        <w:spacing w:line="240" w:lineRule="auto"/>
        <w:rPr>
          <w:sz w:val="24"/>
          <w:szCs w:val="24"/>
        </w:rPr>
      </w:pPr>
      <w:r w:rsidRPr="00A342B9">
        <w:rPr>
          <w:sz w:val="24"/>
          <w:szCs w:val="24"/>
        </w:rPr>
        <w:t>Sales (</w:t>
      </w:r>
      <w:proofErr w:type="gramStart"/>
      <w:r w:rsidR="00A342B9" w:rsidRPr="00A342B9">
        <w:rPr>
          <w:sz w:val="24"/>
          <w:szCs w:val="24"/>
        </w:rPr>
        <w:t xml:space="preserve">revenue)  </w:t>
      </w:r>
      <w:r w:rsidRPr="00A342B9">
        <w:rPr>
          <w:sz w:val="24"/>
          <w:szCs w:val="24"/>
        </w:rPr>
        <w:t xml:space="preserve"> </w:t>
      </w:r>
      <w:proofErr w:type="gramEnd"/>
      <w:r w:rsidRPr="00A342B9">
        <w:rPr>
          <w:sz w:val="24"/>
          <w:szCs w:val="24"/>
        </w:rPr>
        <w:t xml:space="preserve">                                         900,00</w:t>
      </w:r>
    </w:p>
    <w:p w14:paraId="302E3DF6" w14:textId="6CE4BB1E" w:rsidR="00E7358F" w:rsidRPr="00A342B9" w:rsidRDefault="00E7358F" w:rsidP="00A342B9">
      <w:pPr>
        <w:spacing w:line="240" w:lineRule="auto"/>
        <w:rPr>
          <w:sz w:val="24"/>
          <w:szCs w:val="24"/>
        </w:rPr>
      </w:pPr>
      <w:r w:rsidRPr="00A342B9">
        <w:rPr>
          <w:sz w:val="24"/>
          <w:szCs w:val="24"/>
        </w:rPr>
        <w:t>Cost of sales                                                   578,650</w:t>
      </w:r>
    </w:p>
    <w:p w14:paraId="6C8F85BE" w14:textId="24BFA976" w:rsidR="00E7358F" w:rsidRPr="00A342B9" w:rsidRDefault="00E7358F" w:rsidP="00A342B9">
      <w:pPr>
        <w:spacing w:line="240" w:lineRule="auto"/>
        <w:rPr>
          <w:sz w:val="24"/>
          <w:szCs w:val="24"/>
        </w:rPr>
      </w:pPr>
      <w:r w:rsidRPr="00A342B9">
        <w:rPr>
          <w:sz w:val="24"/>
          <w:szCs w:val="24"/>
        </w:rPr>
        <w:t>Depreciation on equipment                        65,00</w:t>
      </w:r>
    </w:p>
    <w:p w14:paraId="6E906BD9" w14:textId="55FE4726" w:rsidR="00E7358F" w:rsidRPr="00A342B9" w:rsidRDefault="00E7358F" w:rsidP="00A342B9">
      <w:pPr>
        <w:spacing w:line="240" w:lineRule="auto"/>
        <w:rPr>
          <w:sz w:val="24"/>
          <w:szCs w:val="24"/>
        </w:rPr>
      </w:pPr>
      <w:r w:rsidRPr="00A342B9">
        <w:rPr>
          <w:sz w:val="24"/>
          <w:szCs w:val="24"/>
        </w:rPr>
        <w:t xml:space="preserve">       Adjusted cost of sales                     </w:t>
      </w:r>
      <w:proofErr w:type="gramStart"/>
      <w:r w:rsidRPr="00A342B9">
        <w:rPr>
          <w:sz w:val="24"/>
          <w:szCs w:val="24"/>
        </w:rPr>
        <w:t xml:space="preserve"> </w:t>
      </w:r>
      <w:r w:rsidR="00A342B9" w:rsidRPr="00A342B9">
        <w:rPr>
          <w:sz w:val="24"/>
          <w:szCs w:val="24"/>
        </w:rPr>
        <w:t xml:space="preserve">  (</w:t>
      </w:r>
      <w:proofErr w:type="gramEnd"/>
      <w:r w:rsidRPr="00A342B9">
        <w:rPr>
          <w:sz w:val="24"/>
          <w:szCs w:val="24"/>
        </w:rPr>
        <w:t>643,650)</w:t>
      </w:r>
    </w:p>
    <w:p w14:paraId="4368F755" w14:textId="5BEBDA67" w:rsidR="00DE5564" w:rsidRPr="00A342B9" w:rsidRDefault="00E7358F" w:rsidP="00A342B9">
      <w:pPr>
        <w:spacing w:line="240" w:lineRule="auto"/>
        <w:rPr>
          <w:sz w:val="24"/>
          <w:szCs w:val="24"/>
        </w:rPr>
      </w:pPr>
      <w:r w:rsidRPr="00A342B9">
        <w:rPr>
          <w:sz w:val="24"/>
          <w:szCs w:val="24"/>
        </w:rPr>
        <w:t>Gross profit                                                 £256,350</w:t>
      </w:r>
    </w:p>
    <w:p w14:paraId="1767D394" w14:textId="77777777" w:rsidR="00E7358F" w:rsidRPr="00A342B9" w:rsidRDefault="00E7358F" w:rsidP="00A342B9">
      <w:pPr>
        <w:spacing w:line="240" w:lineRule="auto"/>
        <w:rPr>
          <w:sz w:val="24"/>
          <w:szCs w:val="24"/>
        </w:rPr>
      </w:pPr>
      <w:r w:rsidRPr="00A342B9">
        <w:rPr>
          <w:sz w:val="24"/>
          <w:szCs w:val="24"/>
        </w:rPr>
        <w:t>Administrative expenses (adjusted)</w:t>
      </w:r>
    </w:p>
    <w:p w14:paraId="13499A81" w14:textId="77777777" w:rsidR="00E7358F" w:rsidRPr="00A342B9" w:rsidRDefault="00E7358F" w:rsidP="00A342B9">
      <w:pPr>
        <w:spacing w:line="240" w:lineRule="auto"/>
        <w:rPr>
          <w:sz w:val="24"/>
          <w:szCs w:val="24"/>
        </w:rPr>
      </w:pPr>
      <w:r w:rsidRPr="00A342B9">
        <w:rPr>
          <w:sz w:val="24"/>
          <w:szCs w:val="24"/>
        </w:rPr>
        <w:t>Administrative expenses</w:t>
      </w:r>
      <w:r w:rsidRPr="00A342B9">
        <w:rPr>
          <w:sz w:val="24"/>
          <w:szCs w:val="24"/>
        </w:rPr>
        <w:t xml:space="preserve">                          160,000</w:t>
      </w:r>
    </w:p>
    <w:p w14:paraId="7AB68FA8" w14:textId="77777777" w:rsidR="00E7358F" w:rsidRPr="00A342B9" w:rsidRDefault="00E7358F" w:rsidP="00A342B9">
      <w:pPr>
        <w:spacing w:line="240" w:lineRule="auto"/>
        <w:rPr>
          <w:sz w:val="24"/>
          <w:szCs w:val="24"/>
        </w:rPr>
      </w:pPr>
      <w:r w:rsidRPr="00A342B9">
        <w:rPr>
          <w:sz w:val="24"/>
          <w:szCs w:val="24"/>
        </w:rPr>
        <w:t>Unpaid salaries                                          10,000</w:t>
      </w:r>
    </w:p>
    <w:p w14:paraId="6022502E" w14:textId="0DEE497E" w:rsidR="00E7358F" w:rsidRPr="00A342B9" w:rsidRDefault="00E7358F" w:rsidP="00A342B9">
      <w:pPr>
        <w:spacing w:line="240" w:lineRule="auto"/>
        <w:rPr>
          <w:sz w:val="24"/>
          <w:szCs w:val="24"/>
        </w:rPr>
      </w:pPr>
      <w:r w:rsidRPr="00A342B9">
        <w:rPr>
          <w:sz w:val="24"/>
          <w:szCs w:val="24"/>
        </w:rPr>
        <w:t xml:space="preserve">Adjusted </w:t>
      </w:r>
      <w:r w:rsidR="00A342B9" w:rsidRPr="00A342B9">
        <w:rPr>
          <w:sz w:val="24"/>
          <w:szCs w:val="24"/>
        </w:rPr>
        <w:t>administrative.</w:t>
      </w:r>
      <w:r w:rsidRPr="00A342B9">
        <w:rPr>
          <w:sz w:val="24"/>
          <w:szCs w:val="24"/>
        </w:rPr>
        <w:t xml:space="preserve"> </w:t>
      </w:r>
    </w:p>
    <w:p w14:paraId="150F4237" w14:textId="77777777" w:rsidR="00E7358F" w:rsidRPr="00A342B9" w:rsidRDefault="00E7358F" w:rsidP="00A342B9">
      <w:pPr>
        <w:spacing w:line="240" w:lineRule="auto"/>
        <w:rPr>
          <w:sz w:val="24"/>
          <w:szCs w:val="24"/>
        </w:rPr>
      </w:pPr>
      <w:r w:rsidRPr="00A342B9">
        <w:rPr>
          <w:sz w:val="24"/>
          <w:szCs w:val="24"/>
        </w:rPr>
        <w:t xml:space="preserve">Expenses                                                   170,000 </w:t>
      </w:r>
    </w:p>
    <w:p w14:paraId="5FD2EEC5" w14:textId="77777777" w:rsidR="00E7358F" w:rsidRPr="00A342B9" w:rsidRDefault="00E7358F" w:rsidP="00A342B9">
      <w:pPr>
        <w:spacing w:line="240" w:lineRule="auto"/>
        <w:rPr>
          <w:sz w:val="24"/>
          <w:szCs w:val="24"/>
        </w:rPr>
      </w:pPr>
      <w:r w:rsidRPr="00A342B9">
        <w:rPr>
          <w:sz w:val="24"/>
          <w:szCs w:val="24"/>
        </w:rPr>
        <w:t xml:space="preserve"> Distribution cost                                      28,000</w:t>
      </w:r>
    </w:p>
    <w:p w14:paraId="3327A097" w14:textId="0F9045DB" w:rsidR="00E7358F" w:rsidRPr="00A342B9" w:rsidRDefault="00E7358F" w:rsidP="00A342B9">
      <w:pPr>
        <w:spacing w:line="240" w:lineRule="auto"/>
        <w:rPr>
          <w:sz w:val="24"/>
          <w:szCs w:val="24"/>
        </w:rPr>
      </w:pPr>
      <w:r w:rsidRPr="00A342B9">
        <w:rPr>
          <w:sz w:val="24"/>
          <w:szCs w:val="24"/>
        </w:rPr>
        <w:t>Operating profit                                        £58,350</w:t>
      </w:r>
    </w:p>
    <w:p w14:paraId="58F14B26" w14:textId="4018080D" w:rsidR="00E7358F" w:rsidRPr="00A342B9" w:rsidRDefault="00E7358F" w:rsidP="00A342B9">
      <w:pPr>
        <w:spacing w:line="240" w:lineRule="auto"/>
        <w:rPr>
          <w:sz w:val="24"/>
          <w:szCs w:val="24"/>
        </w:rPr>
      </w:pPr>
      <w:r w:rsidRPr="00A342B9">
        <w:rPr>
          <w:sz w:val="24"/>
          <w:szCs w:val="24"/>
        </w:rPr>
        <w:lastRenderedPageBreak/>
        <w:t xml:space="preserve">Interest paid                                          </w:t>
      </w:r>
      <w:r w:rsidR="00A342B9" w:rsidRPr="00A342B9">
        <w:rPr>
          <w:sz w:val="24"/>
          <w:szCs w:val="24"/>
        </w:rPr>
        <w:t xml:space="preserve">  (</w:t>
      </w:r>
      <w:r w:rsidRPr="00A342B9">
        <w:rPr>
          <w:sz w:val="24"/>
          <w:szCs w:val="24"/>
        </w:rPr>
        <w:t>2,000)</w:t>
      </w:r>
    </w:p>
    <w:p w14:paraId="519E2DA0" w14:textId="77777777" w:rsidR="00E37244" w:rsidRPr="00A342B9" w:rsidRDefault="00E7358F" w:rsidP="00A342B9">
      <w:pPr>
        <w:spacing w:line="240" w:lineRule="auto"/>
        <w:rPr>
          <w:sz w:val="24"/>
          <w:szCs w:val="24"/>
        </w:rPr>
      </w:pPr>
      <w:r w:rsidRPr="00A342B9">
        <w:rPr>
          <w:sz w:val="24"/>
          <w:szCs w:val="24"/>
        </w:rPr>
        <w:t xml:space="preserve">Profit before tax                                    56,350   </w:t>
      </w:r>
    </w:p>
    <w:p w14:paraId="088C7C81" w14:textId="6A4714CD" w:rsidR="00E37244" w:rsidRPr="00A342B9" w:rsidRDefault="00E37244" w:rsidP="00A342B9">
      <w:pPr>
        <w:spacing w:line="240" w:lineRule="auto"/>
        <w:rPr>
          <w:sz w:val="24"/>
          <w:szCs w:val="24"/>
        </w:rPr>
      </w:pPr>
      <w:r w:rsidRPr="00A342B9">
        <w:rPr>
          <w:sz w:val="24"/>
          <w:szCs w:val="24"/>
        </w:rPr>
        <w:t xml:space="preserve">Estimated corporation tax               </w:t>
      </w:r>
      <w:r w:rsidR="00A342B9" w:rsidRPr="00A342B9">
        <w:rPr>
          <w:sz w:val="24"/>
          <w:szCs w:val="24"/>
        </w:rPr>
        <w:t xml:space="preserve">  (</w:t>
      </w:r>
      <w:r w:rsidRPr="00A342B9">
        <w:rPr>
          <w:sz w:val="24"/>
          <w:szCs w:val="24"/>
        </w:rPr>
        <w:t>15,000)</w:t>
      </w:r>
    </w:p>
    <w:p w14:paraId="5D4803FA" w14:textId="58F92B0B" w:rsidR="00E7358F" w:rsidRPr="00A342B9" w:rsidRDefault="00E37244" w:rsidP="00A342B9">
      <w:pPr>
        <w:spacing w:line="240" w:lineRule="auto"/>
        <w:rPr>
          <w:sz w:val="24"/>
          <w:szCs w:val="24"/>
        </w:rPr>
      </w:pPr>
      <w:r w:rsidRPr="00A342B9">
        <w:rPr>
          <w:sz w:val="24"/>
          <w:szCs w:val="24"/>
        </w:rPr>
        <w:t>Net profit                                             41,350</w:t>
      </w:r>
      <w:r w:rsidR="00E7358F" w:rsidRPr="00A342B9">
        <w:rPr>
          <w:sz w:val="24"/>
          <w:szCs w:val="24"/>
        </w:rPr>
        <w:t xml:space="preserve">   </w:t>
      </w:r>
      <w:r w:rsidR="00E7358F" w:rsidRPr="00A342B9">
        <w:rPr>
          <w:sz w:val="24"/>
          <w:szCs w:val="24"/>
        </w:rPr>
        <w:br/>
      </w:r>
    </w:p>
    <w:p w14:paraId="4F1AD4F2" w14:textId="77777777" w:rsidR="003D5E64" w:rsidRPr="003D5E64" w:rsidRDefault="003D5E64" w:rsidP="003D5E64">
      <w:pPr>
        <w:rPr>
          <w:lang w:val="en-GB"/>
        </w:rPr>
      </w:pPr>
      <w:r w:rsidRPr="003D5E64">
        <w:rPr>
          <w:lang w:val="en-GB"/>
        </w:rPr>
        <w:t xml:space="preserve">This Profit and Loss Statement provides a detailed view of Wales PLC's financial performance for the year, </w:t>
      </w:r>
      <w:proofErr w:type="gramStart"/>
      <w:r w:rsidRPr="003D5E64">
        <w:rPr>
          <w:lang w:val="en-GB"/>
        </w:rPr>
        <w:t>taking into account</w:t>
      </w:r>
      <w:proofErr w:type="gramEnd"/>
      <w:r w:rsidRPr="003D5E64">
        <w:rPr>
          <w:lang w:val="en-GB"/>
        </w:rPr>
        <w:t xml:space="preserve"> all relevant adjustments to ensure accurate reporting.</w:t>
      </w:r>
    </w:p>
    <w:p w14:paraId="53682C8B" w14:textId="77777777" w:rsidR="007F6580" w:rsidRPr="007F6580" w:rsidRDefault="007F6580" w:rsidP="007F6580">
      <w:pPr>
        <w:rPr>
          <w:lang w:val="en-GB"/>
        </w:rPr>
      </w:pPr>
      <w:r>
        <w:rPr>
          <w:lang w:val="en-GB"/>
        </w:rPr>
        <w:t xml:space="preserve">1 </w:t>
      </w:r>
      <w:r w:rsidRPr="007F6580">
        <w:rPr>
          <w:b/>
          <w:bCs/>
          <w:lang w:val="en-GB"/>
        </w:rPr>
        <w:t>Gross Profit-</w:t>
      </w:r>
      <w:r w:rsidRPr="007F6580">
        <w:rPr>
          <w:lang w:val="en-GB"/>
        </w:rPr>
        <w:t>is a key financial metric that measures a company's efficiency in producing and selling its goods or services. It is calculated by subtracting the Cost of Goods Sold (COGS) from the Net Sales. The formula for Gross Profit is:</w:t>
      </w:r>
    </w:p>
    <w:p w14:paraId="5E81A829" w14:textId="77777777" w:rsidR="007F6580" w:rsidRPr="007F6580" w:rsidRDefault="007F6580" w:rsidP="007F6580">
      <w:pPr>
        <w:rPr>
          <w:lang w:val="en-GB"/>
        </w:rPr>
      </w:pPr>
      <w:r w:rsidRPr="007F6580">
        <w:rPr>
          <w:lang w:val="en-GB"/>
        </w:rPr>
        <w:t>Gross Profit=Net Sales−Cost of Goods Sold (COGS)Gross Profit=Net Sales−Cost of Goods Sold (COGS)</w:t>
      </w:r>
    </w:p>
    <w:p w14:paraId="2F1D1AAA" w14:textId="77777777" w:rsidR="007F6580" w:rsidRPr="007F6580" w:rsidRDefault="007F6580" w:rsidP="007F6580">
      <w:pPr>
        <w:rPr>
          <w:lang w:val="en-GB"/>
        </w:rPr>
      </w:pPr>
      <w:r w:rsidRPr="007F6580">
        <w:rPr>
          <w:lang w:val="en-GB"/>
        </w:rPr>
        <w:t>Here's how each component is defined and calculated:</w:t>
      </w:r>
    </w:p>
    <w:p w14:paraId="0A94C992" w14:textId="77777777" w:rsidR="007F6580" w:rsidRPr="007F6580" w:rsidRDefault="007F6580" w:rsidP="007F6580">
      <w:pPr>
        <w:numPr>
          <w:ilvl w:val="0"/>
          <w:numId w:val="15"/>
        </w:numPr>
        <w:rPr>
          <w:lang w:val="en-GB"/>
        </w:rPr>
      </w:pPr>
      <w:r w:rsidRPr="007F6580">
        <w:rPr>
          <w:b/>
          <w:bCs/>
          <w:lang w:val="en-GB"/>
        </w:rPr>
        <w:t>Net Sales</w:t>
      </w:r>
      <w:r w:rsidRPr="007F6580">
        <w:rPr>
          <w:lang w:val="en-GB"/>
        </w:rPr>
        <w:t>: This is the revenue from sales of goods or services, minus returns, allowances for damaged or missing goods, and discounts. Essentially, it represents the total income a company generates from its business activities.</w:t>
      </w:r>
    </w:p>
    <w:p w14:paraId="0905A967" w14:textId="77777777" w:rsidR="007F6580" w:rsidRPr="007F6580" w:rsidRDefault="007F6580" w:rsidP="007F6580">
      <w:pPr>
        <w:numPr>
          <w:ilvl w:val="0"/>
          <w:numId w:val="15"/>
        </w:numPr>
        <w:rPr>
          <w:lang w:val="en-GB"/>
        </w:rPr>
      </w:pPr>
      <w:r w:rsidRPr="007F6580">
        <w:rPr>
          <w:b/>
          <w:bCs/>
          <w:lang w:val="en-GB"/>
        </w:rPr>
        <w:t>Cost of Goods Sold (COGS)</w:t>
      </w:r>
      <w:r w:rsidRPr="007F6580">
        <w:rPr>
          <w:lang w:val="en-GB"/>
        </w:rPr>
        <w:t xml:space="preserve">: This includes all direct costs associated with the production of goods or services that the company sells. These costs typically include materials, </w:t>
      </w:r>
      <w:proofErr w:type="spellStart"/>
      <w:r w:rsidRPr="007F6580">
        <w:rPr>
          <w:lang w:val="en-GB"/>
        </w:rPr>
        <w:t>labor</w:t>
      </w:r>
      <w:proofErr w:type="spellEnd"/>
      <w:r w:rsidRPr="007F6580">
        <w:rPr>
          <w:lang w:val="en-GB"/>
        </w:rPr>
        <w:t>, and overhead costs directly tied to the production process. It does not include indirect expenses, such as distribution costs and sales force costs.</w:t>
      </w:r>
    </w:p>
    <w:p w14:paraId="39409335" w14:textId="77777777" w:rsidR="007F6580" w:rsidRPr="007F6580" w:rsidRDefault="007F6580" w:rsidP="007F6580">
      <w:pPr>
        <w:rPr>
          <w:lang w:val="en-GB"/>
        </w:rPr>
      </w:pPr>
      <w:r w:rsidRPr="007F6580">
        <w:rPr>
          <w:lang w:val="en-GB"/>
        </w:rPr>
        <w:t>The Gross Profit figure is an important indicator of a company's profitability, but only from the perspective of its production and sales processes. It doesn't account for other costs like administration, marketing, interest, and taxes, which are considered separately under operating and other expenses. Gross Profit essentially reflects the core profitability of the products or services a company offers.</w:t>
      </w:r>
    </w:p>
    <w:p w14:paraId="7D5C3A55" w14:textId="77777777" w:rsidR="005844DD" w:rsidRPr="005844DD" w:rsidRDefault="005844DD" w:rsidP="005844DD">
      <w:pPr>
        <w:rPr>
          <w:lang w:val="en-GB"/>
        </w:rPr>
      </w:pPr>
      <w:r w:rsidRPr="005844DD">
        <w:rPr>
          <w:lang w:val="en-GB"/>
        </w:rPr>
        <w:br/>
      </w:r>
      <w:r>
        <w:rPr>
          <w:b/>
          <w:bCs/>
          <w:lang w:val="en-GB"/>
        </w:rPr>
        <w:t xml:space="preserve">2 </w:t>
      </w:r>
      <w:r w:rsidRPr="005844DD">
        <w:rPr>
          <w:b/>
          <w:bCs/>
          <w:lang w:val="en-GB"/>
        </w:rPr>
        <w:t>Operating Profit</w:t>
      </w:r>
      <w:r w:rsidRPr="005844DD">
        <w:rPr>
          <w:lang w:val="en-GB"/>
        </w:rPr>
        <w:t>, also known as Operating Income, is a key financial metric that indicates the profitability of a company's core business operations. It is calculated by subtracting operating expenses from the gross profit. The formula for Operating Profit is:</w:t>
      </w:r>
    </w:p>
    <w:p w14:paraId="5636C62A" w14:textId="77777777" w:rsidR="005844DD" w:rsidRPr="005844DD" w:rsidRDefault="005844DD" w:rsidP="005844DD">
      <w:pPr>
        <w:rPr>
          <w:lang w:val="en-GB"/>
        </w:rPr>
      </w:pPr>
      <w:r w:rsidRPr="005844DD">
        <w:rPr>
          <w:lang w:val="en-GB"/>
        </w:rPr>
        <w:t>Operating Profit=Gross Profit−Operating ExpensesOperating Profit=Gross Profit−Operating Expenses</w:t>
      </w:r>
    </w:p>
    <w:p w14:paraId="0E5D19B2" w14:textId="77777777" w:rsidR="005844DD" w:rsidRPr="005844DD" w:rsidRDefault="005844DD" w:rsidP="005844DD">
      <w:pPr>
        <w:rPr>
          <w:lang w:val="en-GB"/>
        </w:rPr>
      </w:pPr>
      <w:r w:rsidRPr="005844DD">
        <w:rPr>
          <w:lang w:val="en-GB"/>
        </w:rPr>
        <w:t>Operating Profit provides insight into a company's operational efficiency, indicating how well it manages its direct and indirect costs. It excludes non-operating income and expenses, like interest income/expenses or one-time items, focusing solely on the profitability from the company's core business activities. This makes Operating Profit a crucial indicator for assessing a company's operational performance and management effectiveness.</w:t>
      </w:r>
    </w:p>
    <w:p w14:paraId="24AF6C60" w14:textId="77777777" w:rsidR="00B45AF0" w:rsidRPr="00B45AF0" w:rsidRDefault="00B45AF0" w:rsidP="00B45AF0">
      <w:pPr>
        <w:rPr>
          <w:lang w:val="en-GB"/>
        </w:rPr>
      </w:pPr>
      <w:r w:rsidRPr="00B45AF0">
        <w:rPr>
          <w:lang w:val="en-GB"/>
        </w:rPr>
        <w:lastRenderedPageBreak/>
        <w:br/>
      </w:r>
      <w:r w:rsidRPr="007B7841">
        <w:rPr>
          <w:b/>
          <w:bCs/>
          <w:lang w:val="en-GB"/>
        </w:rPr>
        <w:t>3</w:t>
      </w:r>
      <w:r w:rsidRPr="00B45AF0">
        <w:rPr>
          <w:b/>
          <w:bCs/>
          <w:lang w:val="en-GB"/>
        </w:rPr>
        <w:t>Net Profit</w:t>
      </w:r>
      <w:r w:rsidR="007B7841">
        <w:rPr>
          <w:lang w:val="en-GB"/>
        </w:rPr>
        <w:t>-</w:t>
      </w:r>
      <w:r w:rsidRPr="00B45AF0">
        <w:rPr>
          <w:lang w:val="en-GB"/>
        </w:rPr>
        <w:t xml:space="preserve"> also known as Net Income, is a key measure of a company's overall profitability. It represents the amount of income that remains after all operating expenses, taxes, interest, and preferred stock dividends have been deducted from a company's total revenue. The formula for Net Profit is:</w:t>
      </w:r>
    </w:p>
    <w:p w14:paraId="78DD66E1" w14:textId="77777777" w:rsidR="00B45AF0" w:rsidRPr="00B45AF0" w:rsidRDefault="00B45AF0" w:rsidP="00B45AF0">
      <w:pPr>
        <w:rPr>
          <w:lang w:val="en-GB"/>
        </w:rPr>
      </w:pPr>
      <w:r w:rsidRPr="00B45AF0">
        <w:rPr>
          <w:lang w:val="en-GB"/>
        </w:rPr>
        <w:t>Net Profit=Total Revenue−Total ExpensesNet Profit=Total Revenue−Total Expenses</w:t>
      </w:r>
    </w:p>
    <w:p w14:paraId="60C0B4EE" w14:textId="77777777" w:rsidR="007F6580" w:rsidRDefault="007F6580" w:rsidP="007F6580">
      <w:pPr>
        <w:rPr>
          <w:lang w:val="en-GB"/>
        </w:rPr>
      </w:pPr>
      <w:r w:rsidRPr="007F6580">
        <w:rPr>
          <w:vanish/>
          <w:lang w:val="en-GB"/>
        </w:rPr>
        <w:t>Top of Form</w:t>
      </w:r>
    </w:p>
    <w:p w14:paraId="5BE9FD94" w14:textId="77777777" w:rsidR="007A40D5" w:rsidRDefault="007A40D5" w:rsidP="007F6580">
      <w:pPr>
        <w:rPr>
          <w:lang w:val="en-GB"/>
        </w:rPr>
      </w:pPr>
    </w:p>
    <w:p w14:paraId="3AB1FEEB" w14:textId="77777777" w:rsidR="00FD4E4B" w:rsidRDefault="00FD4E4B" w:rsidP="007F6580">
      <w:pPr>
        <w:rPr>
          <w:lang w:val="en-GB"/>
        </w:rPr>
      </w:pPr>
    </w:p>
    <w:p w14:paraId="598D4347" w14:textId="77777777" w:rsidR="00FD4E4B" w:rsidRDefault="00FD4E4B" w:rsidP="007F6580">
      <w:pPr>
        <w:rPr>
          <w:lang w:val="en-GB"/>
        </w:rPr>
      </w:pPr>
    </w:p>
    <w:p w14:paraId="1B5AE6B1" w14:textId="77777777" w:rsidR="00FD4E4B" w:rsidRDefault="00FD4E4B" w:rsidP="007F6580">
      <w:pPr>
        <w:rPr>
          <w:lang w:val="en-GB"/>
        </w:rPr>
      </w:pPr>
    </w:p>
    <w:p w14:paraId="0950DD5C" w14:textId="77777777" w:rsidR="00627C54" w:rsidRDefault="00627C54" w:rsidP="007F6580">
      <w:pPr>
        <w:rPr>
          <w:lang w:val="en-GB"/>
        </w:rPr>
      </w:pPr>
    </w:p>
    <w:p w14:paraId="7E48C9B7" w14:textId="77777777" w:rsidR="00627C54" w:rsidRDefault="00627C54" w:rsidP="007F6580">
      <w:pPr>
        <w:rPr>
          <w:lang w:val="en-GB"/>
        </w:rPr>
      </w:pPr>
    </w:p>
    <w:p w14:paraId="496F73A1" w14:textId="77777777" w:rsidR="007A40D5" w:rsidRPr="007F6580" w:rsidRDefault="007A40D5" w:rsidP="007F6580">
      <w:pPr>
        <w:rPr>
          <w:vanish/>
          <w:lang w:val="en-GB"/>
        </w:rPr>
      </w:pPr>
    </w:p>
    <w:p w14:paraId="53B3D4F5" w14:textId="77777777" w:rsidR="001B5399" w:rsidRPr="001B5399" w:rsidRDefault="001B5399" w:rsidP="00E60E40">
      <w:pPr>
        <w:rPr>
          <w:lang w:val="en-GB"/>
        </w:rPr>
      </w:pPr>
    </w:p>
    <w:p w14:paraId="34FDA34E" w14:textId="77777777" w:rsidR="00662E66" w:rsidRPr="007A0192" w:rsidRDefault="005910E2" w:rsidP="00A342B9">
      <w:pPr>
        <w:pStyle w:val="Heading2"/>
      </w:pPr>
      <w:bookmarkStart w:id="2" w:name="_Toc153705060"/>
      <w:r w:rsidRPr="007A0192">
        <w:t>Question 3</w:t>
      </w:r>
      <w:bookmarkEnd w:id="2"/>
    </w:p>
    <w:p w14:paraId="016EBB2F" w14:textId="77777777" w:rsidR="00662E66" w:rsidRPr="001626DE" w:rsidRDefault="0026689F" w:rsidP="001B5399">
      <w:pPr>
        <w:rPr>
          <w:sz w:val="24"/>
          <w:szCs w:val="24"/>
        </w:rPr>
      </w:pPr>
      <w:r w:rsidRPr="0026689F">
        <w:rPr>
          <w:sz w:val="24"/>
          <w:szCs w:val="24"/>
        </w:rPr>
        <w:t>ROCE is a useful measure for comparing the profitability and capital efficiency of companies, particularly those in capital-intensive sectors. A higher ROCE indicates a more efficient use of capital in generating profits. It's a crucial metric for investors and analysts as it helps assess how well a company is generating profits from its capital, providing insight into operational efficiency and potential returns on investment.</w:t>
      </w:r>
    </w:p>
    <w:p w14:paraId="100FB75E" w14:textId="33CD9F90" w:rsidR="001626DE" w:rsidRDefault="00524768" w:rsidP="001B5399">
      <w:pPr>
        <w:rPr>
          <w:rFonts w:eastAsiaTheme="minorEastAsia"/>
          <w:sz w:val="32"/>
          <w:szCs w:val="32"/>
        </w:rPr>
      </w:pPr>
      <w:r w:rsidRPr="00AE0866">
        <w:rPr>
          <w:b/>
          <w:bCs/>
          <w:sz w:val="28"/>
          <w:szCs w:val="28"/>
        </w:rPr>
        <w:t>Roce</w:t>
      </w:r>
      <w:r w:rsidR="00AE0866">
        <w:rPr>
          <w:sz w:val="28"/>
          <w:szCs w:val="28"/>
        </w:rPr>
        <w:t xml:space="preserve"> </w:t>
      </w:r>
      <w:r w:rsidRPr="001626DE">
        <w:rPr>
          <w:sz w:val="28"/>
          <w:szCs w:val="28"/>
        </w:rPr>
        <w:t>=</w:t>
      </w:r>
      <m:oMath>
        <m:f>
          <m:fPr>
            <m:ctrlPr>
              <w:rPr>
                <w:rFonts w:ascii="Cambria Math" w:hAnsi="Cambria Math"/>
                <w:sz w:val="32"/>
                <w:szCs w:val="32"/>
              </w:rPr>
            </m:ctrlPr>
          </m:fPr>
          <m:num>
            <m:r>
              <m:rPr>
                <m:sty m:val="p"/>
              </m:rPr>
              <w:rPr>
                <w:rFonts w:ascii="Cambria Math" w:hAnsi="Cambria Math" w:cs="Cambria Math"/>
                <w:sz w:val="32"/>
                <w:szCs w:val="32"/>
              </w:rPr>
              <m:t xml:space="preserve">operating profit </m:t>
            </m:r>
          </m:num>
          <m:den>
            <m:r>
              <m:rPr>
                <m:sty m:val="p"/>
              </m:rPr>
              <w:rPr>
                <w:rFonts w:ascii="Cambria Math" w:hAnsi="Cambria Math" w:cs="Cambria Math"/>
                <w:sz w:val="32"/>
                <w:szCs w:val="32"/>
              </w:rPr>
              <m:t xml:space="preserve">total assets-Curent liabillits </m:t>
            </m:r>
          </m:den>
        </m:f>
      </m:oMath>
    </w:p>
    <w:p w14:paraId="45FA5AF4" w14:textId="77777777" w:rsidR="001626DE" w:rsidRPr="007A0192" w:rsidRDefault="00603C94" w:rsidP="001B5399">
      <w:pPr>
        <w:rPr>
          <w:rFonts w:eastAsiaTheme="minorEastAsia"/>
          <w:sz w:val="28"/>
          <w:szCs w:val="32"/>
        </w:rPr>
      </w:pPr>
      <w:r w:rsidRPr="00AE0866">
        <w:rPr>
          <w:rFonts w:eastAsiaTheme="minorEastAsia"/>
          <w:b/>
          <w:bCs/>
          <w:sz w:val="28"/>
          <w:szCs w:val="32"/>
        </w:rPr>
        <w:t>2022</w:t>
      </w:r>
      <w:r w:rsidRPr="007A0192">
        <w:rPr>
          <w:rFonts w:eastAsiaTheme="minorEastAsia"/>
          <w:sz w:val="28"/>
          <w:szCs w:val="32"/>
        </w:rPr>
        <w:t xml:space="preserve"> </w:t>
      </w:r>
      <m:oMath>
        <m:r>
          <m:rPr>
            <m:sty m:val="p"/>
          </m:rPr>
          <w:rPr>
            <w:rFonts w:ascii="Cambria Math" w:eastAsiaTheme="minorEastAsia" w:hAnsi="Cambria Math" w:cs="Cambria Math"/>
            <w:sz w:val="28"/>
            <w:szCs w:val="32"/>
          </w:rPr>
          <m:t>=</m:t>
        </m:r>
        <m:f>
          <m:fPr>
            <m:ctrlPr>
              <w:rPr>
                <w:rFonts w:ascii="Cambria Math" w:eastAsiaTheme="minorEastAsia" w:hAnsi="Cambria Math"/>
                <w:sz w:val="28"/>
                <w:szCs w:val="32"/>
              </w:rPr>
            </m:ctrlPr>
          </m:fPr>
          <m:num>
            <m:r>
              <w:rPr>
                <w:rFonts w:ascii="Cambria Math" w:eastAsiaTheme="minorEastAsia" w:hAnsi="Cambria Math"/>
                <w:sz w:val="28"/>
                <w:szCs w:val="32"/>
              </w:rPr>
              <m:t>805</m:t>
            </m:r>
          </m:num>
          <m:den>
            <m:r>
              <w:rPr>
                <w:rFonts w:ascii="Cambria Math" w:eastAsiaTheme="minorEastAsia" w:hAnsi="Cambria Math"/>
                <w:sz w:val="28"/>
                <w:szCs w:val="32"/>
              </w:rPr>
              <m:t>9.736-2.511</m:t>
            </m:r>
          </m:den>
        </m:f>
        <m:r>
          <w:rPr>
            <w:rFonts w:ascii="Cambria Math" w:eastAsiaTheme="minorEastAsia" w:hAnsi="Cambria Math"/>
            <w:sz w:val="28"/>
            <w:szCs w:val="32"/>
          </w:rPr>
          <m:t>=</m:t>
        </m:r>
        <m:f>
          <m:fPr>
            <m:ctrlPr>
              <w:rPr>
                <w:rFonts w:ascii="Cambria Math" w:eastAsiaTheme="minorEastAsia" w:hAnsi="Cambria Math"/>
                <w:sz w:val="28"/>
                <w:szCs w:val="32"/>
              </w:rPr>
            </m:ctrlPr>
          </m:fPr>
          <m:num>
            <m:sSup>
              <m:sSupPr>
                <m:ctrlPr>
                  <w:rPr>
                    <w:rFonts w:ascii="Cambria Math" w:eastAsiaTheme="minorEastAsia" w:hAnsi="Cambria Math"/>
                    <w:sz w:val="28"/>
                    <w:szCs w:val="32"/>
                  </w:rPr>
                </m:ctrlPr>
              </m:sSupPr>
              <m:e>
                <m:r>
                  <w:rPr>
                    <w:rFonts w:ascii="Cambria Math" w:eastAsiaTheme="minorEastAsia" w:hAnsi="Cambria Math"/>
                    <w:sz w:val="28"/>
                    <w:szCs w:val="32"/>
                  </w:rPr>
                  <m:t>805</m:t>
                </m:r>
              </m:e>
              <m:sup/>
            </m:sSup>
          </m:num>
          <m:den>
            <m:r>
              <w:rPr>
                <w:rFonts w:ascii="Cambria Math" w:eastAsiaTheme="minorEastAsia" w:hAnsi="Cambria Math"/>
                <w:sz w:val="28"/>
                <w:szCs w:val="32"/>
              </w:rPr>
              <m:t>7,225</m:t>
            </m:r>
          </m:den>
        </m:f>
        <m:r>
          <w:rPr>
            <w:rFonts w:ascii="Cambria Math" w:eastAsiaTheme="minorEastAsia" w:hAnsi="Cambria Math"/>
            <w:sz w:val="28"/>
            <w:szCs w:val="32"/>
          </w:rPr>
          <m:t>≈</m:t>
        </m:r>
        <m:r>
          <m:rPr>
            <m:sty m:val="p"/>
          </m:rPr>
          <w:rPr>
            <w:rFonts w:ascii="Cambria Math" w:eastAsiaTheme="minorEastAsia" w:hAnsi="Cambria Math"/>
            <w:sz w:val="28"/>
            <w:szCs w:val="32"/>
          </w:rPr>
          <m:t>11,14%</m:t>
        </m:r>
      </m:oMath>
    </w:p>
    <w:p w14:paraId="308024C3" w14:textId="77777777" w:rsidR="00FD4E4B" w:rsidRDefault="00FD4E4B" w:rsidP="001B5399">
      <w:pPr>
        <w:rPr>
          <w:rFonts w:eastAsiaTheme="minorEastAsia"/>
          <w:sz w:val="32"/>
          <w:szCs w:val="32"/>
        </w:rPr>
      </w:pPr>
    </w:p>
    <w:p w14:paraId="3F0F0E07" w14:textId="77777777" w:rsidR="00A52447" w:rsidRPr="007A0192" w:rsidRDefault="00A52447" w:rsidP="001B5399">
      <w:pPr>
        <w:rPr>
          <w:rFonts w:eastAsiaTheme="minorEastAsia"/>
          <w:sz w:val="28"/>
          <w:szCs w:val="32"/>
        </w:rPr>
      </w:pPr>
      <w:r w:rsidRPr="00AE0866">
        <w:rPr>
          <w:rFonts w:eastAsiaTheme="minorEastAsia"/>
          <w:b/>
          <w:bCs/>
          <w:sz w:val="28"/>
          <w:szCs w:val="32"/>
        </w:rPr>
        <w:t>2021</w:t>
      </w:r>
      <w:r w:rsidRPr="007A0192">
        <w:rPr>
          <w:rFonts w:eastAsiaTheme="minorEastAsia"/>
          <w:sz w:val="28"/>
          <w:szCs w:val="32"/>
        </w:rPr>
        <w:t>=</w:t>
      </w:r>
      <m:oMath>
        <m:f>
          <m:fPr>
            <m:ctrlPr>
              <w:rPr>
                <w:rFonts w:ascii="Cambria Math" w:eastAsiaTheme="minorEastAsia" w:hAnsi="Cambria Math"/>
                <w:sz w:val="28"/>
                <w:szCs w:val="32"/>
              </w:rPr>
            </m:ctrlPr>
          </m:fPr>
          <m:num>
            <m:r>
              <w:rPr>
                <w:rFonts w:ascii="Cambria Math" w:eastAsiaTheme="minorEastAsia" w:hAnsi="Cambria Math"/>
                <w:sz w:val="28"/>
                <w:szCs w:val="32"/>
              </w:rPr>
              <m:t>699</m:t>
            </m:r>
          </m:num>
          <m:den>
            <m:r>
              <w:rPr>
                <w:rFonts w:ascii="Cambria Math" w:eastAsiaTheme="minorEastAsia" w:hAnsi="Cambria Math"/>
                <w:sz w:val="28"/>
                <w:szCs w:val="32"/>
              </w:rPr>
              <m:t>10,087-3,046</m:t>
            </m:r>
          </m:den>
        </m:f>
        <m:r>
          <w:rPr>
            <w:rFonts w:ascii="Cambria Math" w:eastAsiaTheme="minorEastAsia" w:hAnsi="Cambria Math"/>
            <w:sz w:val="28"/>
            <w:szCs w:val="32"/>
          </w:rPr>
          <m:t>=</m:t>
        </m:r>
        <m:f>
          <m:fPr>
            <m:ctrlPr>
              <w:rPr>
                <w:rFonts w:ascii="Cambria Math" w:eastAsiaTheme="minorEastAsia" w:hAnsi="Cambria Math"/>
                <w:sz w:val="28"/>
                <w:szCs w:val="32"/>
              </w:rPr>
            </m:ctrlPr>
          </m:fPr>
          <m:num>
            <m:sSup>
              <m:sSupPr>
                <m:ctrlPr>
                  <w:rPr>
                    <w:rFonts w:ascii="Cambria Math" w:eastAsiaTheme="minorEastAsia" w:hAnsi="Cambria Math"/>
                    <w:sz w:val="28"/>
                    <w:szCs w:val="32"/>
                  </w:rPr>
                </m:ctrlPr>
              </m:sSupPr>
              <m:e>
                <m:r>
                  <w:rPr>
                    <w:rFonts w:ascii="Cambria Math" w:eastAsiaTheme="minorEastAsia" w:hAnsi="Cambria Math"/>
                    <w:sz w:val="28"/>
                    <w:szCs w:val="32"/>
                  </w:rPr>
                  <m:t>699</m:t>
                </m:r>
              </m:e>
              <m:sup/>
            </m:sSup>
          </m:num>
          <m:den>
            <m:r>
              <w:rPr>
                <w:rFonts w:ascii="Cambria Math" w:eastAsiaTheme="minorEastAsia" w:hAnsi="Cambria Math"/>
                <w:sz w:val="28"/>
                <w:szCs w:val="32"/>
              </w:rPr>
              <m:t>7,041</m:t>
            </m:r>
          </m:den>
        </m:f>
        <m:r>
          <w:rPr>
            <w:rFonts w:ascii="Cambria Math" w:eastAsiaTheme="minorEastAsia" w:hAnsi="Cambria Math"/>
            <w:sz w:val="28"/>
            <w:szCs w:val="32"/>
          </w:rPr>
          <m:t>≈</m:t>
        </m:r>
        <m:r>
          <m:rPr>
            <m:sty m:val="p"/>
          </m:rPr>
          <w:rPr>
            <w:rFonts w:ascii="Cambria Math" w:eastAsiaTheme="minorEastAsia" w:hAnsi="Cambria Math"/>
            <w:sz w:val="28"/>
            <w:szCs w:val="32"/>
          </w:rPr>
          <m:t>9,92%</m:t>
        </m:r>
      </m:oMath>
    </w:p>
    <w:p w14:paraId="3F99FD6E" w14:textId="2B1AC3C7" w:rsidR="00603C94" w:rsidRPr="00923EE5" w:rsidRDefault="0096220F" w:rsidP="001B5399">
      <w:pPr>
        <w:rPr>
          <w:sz w:val="24"/>
          <w:szCs w:val="24"/>
        </w:rPr>
      </w:pPr>
      <w:proofErr w:type="gramStart"/>
      <w:r w:rsidRPr="00923EE5">
        <w:rPr>
          <w:b/>
          <w:bCs/>
          <w:sz w:val="24"/>
          <w:szCs w:val="24"/>
        </w:rPr>
        <w:t xml:space="preserve">Roce </w:t>
      </w:r>
      <w:r w:rsidR="00CC3C08" w:rsidRPr="00923EE5">
        <w:rPr>
          <w:sz w:val="24"/>
          <w:szCs w:val="24"/>
        </w:rPr>
        <w:t>:</w:t>
      </w:r>
      <w:proofErr w:type="gramEnd"/>
      <w:r w:rsidR="00CC3C08" w:rsidRPr="00923EE5">
        <w:rPr>
          <w:sz w:val="24"/>
          <w:szCs w:val="24"/>
        </w:rPr>
        <w:t xml:space="preserve"> The increase in ROCE from 2021 to 2022 suggests that Sweets plc has become more efficient in using its capital to generate earnings. This could be due to better management of </w:t>
      </w:r>
      <w:r w:rsidR="00CC3C08" w:rsidRPr="00923EE5">
        <w:rPr>
          <w:sz w:val="24"/>
          <w:szCs w:val="24"/>
        </w:rPr>
        <w:lastRenderedPageBreak/>
        <w:t xml:space="preserve">assets, more effective use of investments, or improved operational performance. Essentially, for every pound invested in the company, </w:t>
      </w:r>
      <w:r w:rsidR="00A342B9" w:rsidRPr="00923EE5">
        <w:rPr>
          <w:sz w:val="24"/>
          <w:szCs w:val="24"/>
        </w:rPr>
        <w:t>sweets</w:t>
      </w:r>
      <w:r w:rsidR="00CC3C08" w:rsidRPr="00923EE5">
        <w:rPr>
          <w:sz w:val="24"/>
          <w:szCs w:val="24"/>
        </w:rPr>
        <w:t xml:space="preserve"> plc is now generating more profit.</w:t>
      </w:r>
    </w:p>
    <w:p w14:paraId="119C4B77" w14:textId="77777777" w:rsidR="00CB4078" w:rsidRPr="001626DE" w:rsidRDefault="00CB4078" w:rsidP="001B5399">
      <w:pPr>
        <w:rPr>
          <w:sz w:val="28"/>
          <w:szCs w:val="28"/>
        </w:rPr>
      </w:pPr>
    </w:p>
    <w:p w14:paraId="3407DA4A" w14:textId="77777777" w:rsidR="005C3C58" w:rsidRPr="007A0192" w:rsidRDefault="005C3C58" w:rsidP="00A342B9">
      <w:pPr>
        <w:pStyle w:val="Heading3"/>
        <w:rPr>
          <w:lang w:val="en-GB"/>
        </w:rPr>
      </w:pPr>
      <w:bookmarkStart w:id="3" w:name="_Toc153705061"/>
      <w:r w:rsidRPr="007A0192">
        <w:rPr>
          <w:lang w:val="en-GB"/>
        </w:rPr>
        <w:t>Return on Equity (ROE)</w:t>
      </w:r>
      <w:bookmarkEnd w:id="3"/>
    </w:p>
    <w:p w14:paraId="2C4E1C5B" w14:textId="77777777" w:rsidR="00E24E2D" w:rsidRPr="005C3C58" w:rsidRDefault="00360C32" w:rsidP="00923EE5">
      <w:pPr>
        <w:spacing w:line="360" w:lineRule="auto"/>
        <w:rPr>
          <w:sz w:val="24"/>
          <w:szCs w:val="24"/>
          <w:lang w:val="en-GB"/>
        </w:rPr>
      </w:pPr>
      <w:r w:rsidRPr="00360C32">
        <w:rPr>
          <w:sz w:val="24"/>
          <w:szCs w:val="24"/>
        </w:rPr>
        <w:t>ROE is a key indicator of financial performance, providing insights into how efficiently a company is managing the equity invested by its shareholders. A higher ROE suggests that the company is more effective in converting the investment into profits. ROE is particularly important for equity investors as it directly reflects their return on investment. However, it's crucial to interpret ROE in the context of the company's overall financial situation, industry norms, and market conditions.</w:t>
      </w:r>
    </w:p>
    <w:p w14:paraId="4BA28FDF" w14:textId="77777777" w:rsidR="0011447F" w:rsidRPr="007A0192" w:rsidRDefault="008354AE" w:rsidP="005C3C58">
      <w:pPr>
        <w:rPr>
          <w:sz w:val="24"/>
          <w:szCs w:val="24"/>
        </w:rPr>
      </w:pPr>
      <w:r w:rsidRPr="00AE0866">
        <w:rPr>
          <w:b/>
          <w:bCs/>
          <w:sz w:val="24"/>
          <w:szCs w:val="24"/>
        </w:rPr>
        <w:t>Roe</w:t>
      </w:r>
      <w:r w:rsidRPr="007A0192">
        <w:rPr>
          <w:sz w:val="24"/>
          <w:szCs w:val="24"/>
        </w:rPr>
        <w:t xml:space="preserve"> </w:t>
      </w:r>
      <m:oMath>
        <m:r>
          <m:rPr>
            <m:sty m:val="p"/>
          </m:rPr>
          <w:rPr>
            <w:rFonts w:ascii="Cambria Math" w:hAnsi="Cambria Math" w:cs="Cambria Math"/>
            <w:sz w:val="24"/>
            <w:szCs w:val="24"/>
          </w:rPr>
          <m:t>=</m:t>
        </m:r>
        <m:f>
          <m:fPr>
            <m:ctrlPr>
              <w:rPr>
                <w:rFonts w:ascii="Cambria Math" w:hAnsi="Cambria Math"/>
                <w:sz w:val="24"/>
                <w:szCs w:val="24"/>
              </w:rPr>
            </m:ctrlPr>
          </m:fPr>
          <m:num>
            <m:r>
              <w:rPr>
                <w:rFonts w:ascii="Cambria Math" w:hAnsi="Cambria Math"/>
                <w:sz w:val="24"/>
                <w:szCs w:val="24"/>
              </w:rPr>
              <m:t>profit for the Year</m:t>
            </m:r>
          </m:num>
          <m:den>
            <m:r>
              <m:rPr>
                <m:sty m:val="p"/>
              </m:rPr>
              <w:rPr>
                <w:rFonts w:ascii="Cambria Math" w:hAnsi="Cambria Math" w:cs="Cambria Math"/>
                <w:sz w:val="24"/>
                <w:szCs w:val="24"/>
              </w:rPr>
              <m:t xml:space="preserve">Total Equity </m:t>
            </m:r>
          </m:den>
        </m:f>
      </m:oMath>
    </w:p>
    <w:p w14:paraId="36763C6C" w14:textId="77777777" w:rsidR="0011447F" w:rsidRPr="007A0192" w:rsidRDefault="00AC32DE" w:rsidP="00AC32DE">
      <w:pPr>
        <w:rPr>
          <w:rFonts w:eastAsiaTheme="minorEastAsia"/>
          <w:sz w:val="24"/>
        </w:rPr>
      </w:pPr>
      <w:r w:rsidRPr="00AE0866">
        <w:rPr>
          <w:b/>
          <w:bCs/>
          <w:sz w:val="24"/>
        </w:rPr>
        <w:t>2022</w:t>
      </w:r>
      <m:oMath>
        <m:r>
          <w:rPr>
            <w:rFonts w:ascii="Cambria Math" w:hAnsi="Cambria Math"/>
            <w:sz w:val="24"/>
          </w:rPr>
          <m:t>=</m:t>
        </m:r>
        <m:f>
          <m:fPr>
            <m:ctrlPr>
              <w:rPr>
                <w:rFonts w:ascii="Cambria Math" w:hAnsi="Cambria Math"/>
                <w:sz w:val="24"/>
              </w:rPr>
            </m:ctrlPr>
          </m:fPr>
          <m:num>
            <m:r>
              <w:rPr>
                <w:rFonts w:ascii="Cambria Math" w:hAnsi="Cambria Math"/>
                <w:sz w:val="24"/>
              </w:rPr>
              <m:t>432</m:t>
            </m:r>
          </m:num>
          <m:den>
            <m:r>
              <w:rPr>
                <w:rFonts w:ascii="Cambria Math" w:hAnsi="Cambria Math"/>
                <w:sz w:val="24"/>
              </w:rPr>
              <m:t>3,088</m:t>
            </m:r>
          </m:den>
        </m:f>
        <m:r>
          <w:rPr>
            <w:rFonts w:ascii="Cambria Math" w:hAnsi="Cambria Math"/>
            <w:sz w:val="24"/>
          </w:rPr>
          <m:t>≈13.96%</m:t>
        </m:r>
      </m:oMath>
    </w:p>
    <w:p w14:paraId="70F8CFFA" w14:textId="77777777" w:rsidR="00360C32" w:rsidRDefault="00360C32" w:rsidP="00AC32DE"/>
    <w:p w14:paraId="144F945F" w14:textId="77777777" w:rsidR="0011447F" w:rsidRPr="007A0192" w:rsidRDefault="000D4E67" w:rsidP="000D4E67">
      <w:pPr>
        <w:rPr>
          <w:rFonts w:eastAsiaTheme="minorEastAsia"/>
          <w:sz w:val="24"/>
        </w:rPr>
      </w:pPr>
      <w:r w:rsidRPr="00AE0866">
        <w:rPr>
          <w:b/>
          <w:bCs/>
          <w:sz w:val="24"/>
        </w:rPr>
        <w:t>2021</w:t>
      </w:r>
      <m:oMath>
        <m:r>
          <w:rPr>
            <w:rFonts w:ascii="Cambria Math" w:hAnsi="Cambria Math"/>
            <w:sz w:val="24"/>
          </w:rPr>
          <m:t>=</m:t>
        </m:r>
        <m:f>
          <m:fPr>
            <m:ctrlPr>
              <w:rPr>
                <w:rFonts w:ascii="Cambria Math" w:hAnsi="Cambria Math"/>
                <w:sz w:val="24"/>
              </w:rPr>
            </m:ctrlPr>
          </m:fPr>
          <m:num>
            <m:r>
              <w:rPr>
                <w:rFonts w:ascii="Cambria Math" w:hAnsi="Cambria Math"/>
                <w:sz w:val="24"/>
              </w:rPr>
              <m:t>366</m:t>
            </m:r>
          </m:num>
          <m:den>
            <m:r>
              <w:rPr>
                <w:rFonts w:ascii="Cambria Math" w:hAnsi="Cambria Math"/>
                <w:sz w:val="24"/>
              </w:rPr>
              <m:t>2,912</m:t>
            </m:r>
          </m:den>
        </m:f>
        <m:r>
          <w:rPr>
            <w:rFonts w:ascii="Cambria Math" w:hAnsi="Cambria Math"/>
            <w:sz w:val="24"/>
          </w:rPr>
          <m:t>≈12.57%</m:t>
        </m:r>
      </m:oMath>
    </w:p>
    <w:p w14:paraId="4BFBBF60" w14:textId="65230BE3" w:rsidR="0011447F" w:rsidRDefault="00923EE5" w:rsidP="00923EE5">
      <w:pPr>
        <w:rPr>
          <w:sz w:val="24"/>
          <w:szCs w:val="24"/>
        </w:rPr>
      </w:pPr>
      <w:r w:rsidRPr="00923EE5">
        <w:rPr>
          <w:sz w:val="24"/>
          <w:szCs w:val="24"/>
        </w:rPr>
        <w:t xml:space="preserve">The rise in ROE from 2021 to 2022 means that </w:t>
      </w:r>
      <w:r w:rsidR="00A342B9" w:rsidRPr="00923EE5">
        <w:rPr>
          <w:sz w:val="24"/>
          <w:szCs w:val="24"/>
        </w:rPr>
        <w:t>sweets</w:t>
      </w:r>
      <w:r w:rsidRPr="00923EE5">
        <w:rPr>
          <w:sz w:val="24"/>
          <w:szCs w:val="24"/>
        </w:rPr>
        <w:t xml:space="preserve"> plc is providing more returns to its equity investors. This improvement can be attributed to higher net income or more efficient equity management. An increasing ROE is often seen as a positive signal by investors as it indicates that the company is using their funds more effectively to generate profits.</w:t>
      </w:r>
    </w:p>
    <w:p w14:paraId="13E9AEED" w14:textId="77777777" w:rsidR="00F95D9A" w:rsidRPr="00923EE5" w:rsidRDefault="00F95D9A" w:rsidP="00923EE5">
      <w:pPr>
        <w:rPr>
          <w:sz w:val="24"/>
          <w:szCs w:val="24"/>
        </w:rPr>
      </w:pPr>
    </w:p>
    <w:p w14:paraId="06E886E7" w14:textId="77777777" w:rsidR="001270DA" w:rsidRDefault="00F95D9A" w:rsidP="00A342B9">
      <w:pPr>
        <w:pStyle w:val="Heading3"/>
        <w:rPr>
          <w:lang w:val="en-GB"/>
        </w:rPr>
      </w:pPr>
      <w:bookmarkStart w:id="4" w:name="_Toc153705062"/>
      <w:r w:rsidRPr="007A0192">
        <w:rPr>
          <w:lang w:val="en-GB"/>
        </w:rPr>
        <w:t>Earnings Per Share (EPS)</w:t>
      </w:r>
      <w:bookmarkEnd w:id="4"/>
    </w:p>
    <w:p w14:paraId="63729995" w14:textId="7401CCCC" w:rsidR="00A342B9" w:rsidRPr="00A342B9" w:rsidRDefault="00A342B9" w:rsidP="00A342B9">
      <w:pPr>
        <w:rPr>
          <w:lang w:val="en-GB"/>
        </w:rPr>
      </w:pPr>
      <w:r w:rsidRPr="00A342B9">
        <w:br/>
        <w:t>Earnings Per Share (EPS) is a financial metric that indicates the amount of profit a company has earned for each share of its outstanding common stock.</w:t>
      </w:r>
    </w:p>
    <w:p w14:paraId="66454CA4" w14:textId="77777777" w:rsidR="00AE0866" w:rsidRDefault="00F95D9A" w:rsidP="00F95D9A">
      <w:pPr>
        <w:rPr>
          <w:rFonts w:eastAsiaTheme="minorEastAsia"/>
          <w:sz w:val="24"/>
          <w:szCs w:val="24"/>
          <w:lang w:val="en-GB"/>
        </w:rPr>
      </w:pPr>
      <w:r w:rsidRPr="00AE0866">
        <w:rPr>
          <w:b/>
          <w:bCs/>
          <w:sz w:val="24"/>
          <w:szCs w:val="24"/>
          <w:lang w:val="en-GB"/>
        </w:rPr>
        <w:t>EPS</w:t>
      </w:r>
      <w:r w:rsidRPr="007A0192">
        <w:rPr>
          <w:sz w:val="24"/>
          <w:szCs w:val="24"/>
          <w:lang w:val="en-GB"/>
        </w:rPr>
        <w:t>=</w:t>
      </w:r>
      <m:oMath>
        <m:f>
          <m:fPr>
            <m:ctrlPr>
              <w:rPr>
                <w:rFonts w:ascii="Cambria Math" w:hAnsi="Cambria Math"/>
                <w:sz w:val="24"/>
                <w:szCs w:val="24"/>
                <w:lang w:val="en-GB"/>
              </w:rPr>
            </m:ctrlPr>
          </m:fPr>
          <m:num>
            <m:r>
              <m:rPr>
                <m:sty m:val="p"/>
              </m:rPr>
              <w:rPr>
                <w:rFonts w:ascii="Cambria Math" w:hAnsi="Cambria Math"/>
                <w:sz w:val="24"/>
                <w:szCs w:val="24"/>
                <w:lang w:val="en-GB"/>
              </w:rPr>
              <m:t xml:space="preserve">profit for the year </m:t>
            </m:r>
          </m:num>
          <m:den>
            <m:r>
              <w:rPr>
                <w:rFonts w:ascii="Cambria Math" w:hAnsi="Cambria Math"/>
                <w:sz w:val="24"/>
                <w:szCs w:val="24"/>
                <w:lang w:val="en-GB"/>
              </w:rPr>
              <m:t xml:space="preserve">number of share </m:t>
            </m:r>
          </m:den>
        </m:f>
      </m:oMath>
    </w:p>
    <w:p w14:paraId="13DCEB57" w14:textId="6182F47E" w:rsidR="001026B2" w:rsidRPr="00AE0866" w:rsidRDefault="00AE0866" w:rsidP="00F95D9A">
      <w:pPr>
        <w:rPr>
          <w:rFonts w:eastAsiaTheme="minorEastAsia"/>
          <w:sz w:val="24"/>
          <w:szCs w:val="24"/>
          <w:lang w:val="en-GB"/>
        </w:rPr>
      </w:pPr>
      <w:r w:rsidRPr="00AE0866">
        <w:rPr>
          <w:rFonts w:eastAsiaTheme="minorEastAsia"/>
          <w:b/>
          <w:bCs/>
          <w:sz w:val="24"/>
          <w:szCs w:val="24"/>
          <w:lang w:val="en-GB"/>
        </w:rPr>
        <w:t>2022</w:t>
      </w:r>
      <w:r>
        <w:rPr>
          <w:rFonts w:eastAsiaTheme="minorEastAsia"/>
          <w:sz w:val="24"/>
          <w:szCs w:val="24"/>
          <w:lang w:val="en-GB"/>
        </w:rPr>
        <w:t xml:space="preserve">= </w:t>
      </w:r>
      <m:oMath>
        <m:f>
          <m:fPr>
            <m:ctrlPr>
              <w:rPr>
                <w:rFonts w:ascii="Cambria Math" w:eastAsiaTheme="minorEastAsia" w:hAnsi="Cambria Math"/>
                <w:sz w:val="24"/>
                <w:szCs w:val="24"/>
                <w:lang w:val="en-GB"/>
              </w:rPr>
            </m:ctrlPr>
          </m:fPr>
          <m:num>
            <m:r>
              <w:rPr>
                <w:rFonts w:ascii="Cambria Math" w:eastAsiaTheme="minorEastAsia" w:hAnsi="Cambria Math"/>
                <w:sz w:val="24"/>
                <w:szCs w:val="24"/>
                <w:lang w:val="en-GB"/>
              </w:rPr>
              <m:t>431</m:t>
            </m:r>
          </m:num>
          <m:den>
            <m:r>
              <w:rPr>
                <w:rFonts w:ascii="Cambria Math" w:eastAsiaTheme="minorEastAsia" w:hAnsi="Cambria Math"/>
                <w:sz w:val="24"/>
                <w:szCs w:val="24"/>
                <w:lang w:val="en-GB"/>
              </w:rPr>
              <m:t>300</m:t>
            </m:r>
          </m:den>
        </m:f>
        <m:r>
          <w:rPr>
            <w:rFonts w:ascii="Cambria Math" w:eastAsiaTheme="minorEastAsia" w:hAnsi="Cambria Math"/>
            <w:sz w:val="24"/>
            <w:szCs w:val="24"/>
            <w:lang w:val="en-GB"/>
          </w:rPr>
          <m:t>=</m:t>
        </m:r>
        <m:f>
          <m:fPr>
            <m:ctrlPr>
              <w:rPr>
                <w:rFonts w:ascii="Cambria Math" w:eastAsiaTheme="minorEastAsia" w:hAnsi="Cambria Math"/>
                <w:sz w:val="24"/>
                <w:szCs w:val="24"/>
                <w:lang w:val="en-GB"/>
              </w:rPr>
            </m:ctrlPr>
          </m:fPr>
          <m:num>
            <m:r>
              <w:rPr>
                <w:rFonts w:ascii="Cambria Math" w:eastAsiaTheme="minorEastAsia" w:hAnsi="Cambria Math"/>
                <w:sz w:val="24"/>
                <w:szCs w:val="24"/>
                <w:lang w:val="en-GB"/>
              </w:rPr>
              <m:t>366</m:t>
            </m:r>
          </m:num>
          <m:den>
            <m:r>
              <w:rPr>
                <w:rFonts w:ascii="Cambria Math" w:eastAsiaTheme="minorEastAsia" w:hAnsi="Cambria Math"/>
                <w:sz w:val="24"/>
                <w:szCs w:val="24"/>
                <w:lang w:val="en-GB"/>
              </w:rPr>
              <m:t>600</m:t>
            </m:r>
          </m:den>
        </m:f>
        <m:r>
          <w:rPr>
            <w:rFonts w:ascii="Cambria Math" w:eastAsiaTheme="minorEastAsia" w:hAnsi="Cambria Math"/>
            <w:sz w:val="24"/>
            <w:szCs w:val="24"/>
            <w:lang w:val="en-GB"/>
          </w:rPr>
          <m:t xml:space="preserve">≈0.72 per share </m:t>
        </m:r>
      </m:oMath>
    </w:p>
    <w:p w14:paraId="1D3D1C02" w14:textId="3437089A" w:rsidR="00970C66" w:rsidRDefault="001E578A" w:rsidP="00970C66">
      <w:pPr>
        <w:rPr>
          <w:rFonts w:eastAsiaTheme="minorEastAsia"/>
          <w:sz w:val="24"/>
        </w:rPr>
      </w:pPr>
      <w:r w:rsidRPr="00AE0866">
        <w:rPr>
          <w:b/>
          <w:bCs/>
          <w:sz w:val="24"/>
        </w:rPr>
        <w:t>202</w:t>
      </w:r>
      <m:oMath>
        <m:r>
          <m:rPr>
            <m:sty m:val="bi"/>
          </m:rPr>
          <w:rPr>
            <w:rFonts w:ascii="Cambria Math" w:hAnsi="Cambria Math"/>
            <w:sz w:val="24"/>
          </w:rPr>
          <m:t>1</m:t>
        </m:r>
        <m:r>
          <w:rPr>
            <w:rFonts w:ascii="Cambria Math" w:hAnsi="Cambria Math"/>
            <w:sz w:val="24"/>
          </w:rPr>
          <m:t>=</m:t>
        </m:r>
        <m:f>
          <m:fPr>
            <m:ctrlPr>
              <w:rPr>
                <w:rFonts w:ascii="Cambria Math" w:hAnsi="Cambria Math"/>
                <w:sz w:val="24"/>
              </w:rPr>
            </m:ctrlPr>
          </m:fPr>
          <m:num>
            <m:r>
              <w:rPr>
                <w:rFonts w:ascii="Cambria Math" w:hAnsi="Cambria Math"/>
                <w:sz w:val="24"/>
              </w:rPr>
              <m:t>366</m:t>
            </m:r>
          </m:num>
          <m:den>
            <m:r>
              <w:rPr>
                <w:rFonts w:ascii="Cambria Math" w:hAnsi="Cambria Math"/>
                <w:sz w:val="24"/>
              </w:rPr>
              <m:t>360</m:t>
            </m:r>
          </m:den>
        </m:f>
        <m:r>
          <w:rPr>
            <w:rFonts w:ascii="Cambria Math" w:hAnsi="Cambria Math"/>
            <w:sz w:val="24"/>
          </w:rPr>
          <m:t>=</m:t>
        </m:r>
        <m:f>
          <m:fPr>
            <m:ctrlPr>
              <w:rPr>
                <w:rFonts w:ascii="Cambria Math" w:hAnsi="Cambria Math"/>
                <w:sz w:val="24"/>
              </w:rPr>
            </m:ctrlPr>
          </m:fPr>
          <m:num>
            <m:r>
              <w:rPr>
                <w:rFonts w:ascii="Cambria Math" w:hAnsi="Cambria Math"/>
                <w:sz w:val="24"/>
              </w:rPr>
              <m:t>366</m:t>
            </m:r>
          </m:num>
          <m:den>
            <m:r>
              <w:rPr>
                <w:rFonts w:ascii="Cambria Math" w:hAnsi="Cambria Math"/>
                <w:sz w:val="24"/>
              </w:rPr>
              <m:t>600</m:t>
            </m:r>
          </m:den>
        </m:f>
        <m:r>
          <w:rPr>
            <w:rFonts w:ascii="Cambria Math" w:hAnsi="Cambria Math"/>
            <w:sz w:val="24"/>
          </w:rPr>
          <m:t xml:space="preserve">≈0,61 per share </m:t>
        </m:r>
      </m:oMath>
    </w:p>
    <w:p w14:paraId="4C68436E" w14:textId="6CC70A3B" w:rsidR="001270DA" w:rsidRPr="00970C66" w:rsidRDefault="007A0192" w:rsidP="00970C66">
      <w:pPr>
        <w:rPr>
          <w:rFonts w:eastAsiaTheme="minorEastAsia"/>
          <w:sz w:val="24"/>
        </w:rPr>
      </w:pPr>
      <w:r w:rsidRPr="007A0192">
        <w:rPr>
          <w:sz w:val="32"/>
        </w:rPr>
        <w:lastRenderedPageBreak/>
        <w:br/>
      </w:r>
      <w:r w:rsidRPr="007A0192">
        <w:rPr>
          <w:rFonts w:cstheme="minorHAnsi"/>
          <w:color w:val="374151"/>
          <w:sz w:val="24"/>
          <w:szCs w:val="19"/>
        </w:rPr>
        <w:t xml:space="preserve">The increase in Earnings Per Share (EPS) for </w:t>
      </w:r>
      <w:r w:rsidR="00A342B9" w:rsidRPr="007A0192">
        <w:rPr>
          <w:rFonts w:cstheme="minorHAnsi"/>
          <w:color w:val="374151"/>
          <w:sz w:val="24"/>
          <w:szCs w:val="19"/>
        </w:rPr>
        <w:t>sweets</w:t>
      </w:r>
      <w:r w:rsidRPr="007A0192">
        <w:rPr>
          <w:rFonts w:cstheme="minorHAnsi"/>
          <w:color w:val="374151"/>
          <w:sz w:val="24"/>
          <w:szCs w:val="19"/>
        </w:rPr>
        <w:t xml:space="preserve"> plc from 2021 to 2022 reflects higher profitability on a per-share basis. This improvement is directly linked to the company's increased net profit in 2022. For shareholders, this rise in EPS signifies enhanced value, as it indicates more earnings available per share owned.</w:t>
      </w:r>
    </w:p>
    <w:p w14:paraId="76A39F9D" w14:textId="35C23A52" w:rsidR="00FC52AC" w:rsidRPr="00980AEA" w:rsidRDefault="00AE0866" w:rsidP="00AE0866">
      <w:pPr>
        <w:spacing w:line="360" w:lineRule="auto"/>
        <w:rPr>
          <w:rFonts w:eastAsiaTheme="minorEastAsia" w:cstheme="minorHAnsi"/>
          <w:b/>
          <w:bCs/>
          <w:sz w:val="24"/>
          <w:szCs w:val="18"/>
          <w:lang w:val="en-GB"/>
        </w:rPr>
      </w:pPr>
      <w:bookmarkStart w:id="5" w:name="_Toc153705063"/>
      <w:r w:rsidRPr="00AE0866">
        <w:rPr>
          <w:rStyle w:val="Heading3Char"/>
          <w:lang w:val="en-GB"/>
        </w:rPr>
        <w:t>Net Profit Margin</w:t>
      </w:r>
      <w:bookmarkEnd w:id="5"/>
      <w:r w:rsidR="00FC52AC" w:rsidRPr="00FC52AC">
        <w:rPr>
          <w:rFonts w:eastAsiaTheme="minorEastAsia" w:cstheme="minorHAnsi"/>
          <w:b/>
          <w:bCs/>
          <w:sz w:val="24"/>
          <w:szCs w:val="18"/>
        </w:rPr>
        <w:br/>
      </w:r>
      <w:r w:rsidR="00FC52AC" w:rsidRPr="00FC52AC">
        <w:rPr>
          <w:rFonts w:eastAsiaTheme="minorEastAsia" w:cstheme="minorHAnsi"/>
          <w:sz w:val="24"/>
          <w:szCs w:val="18"/>
        </w:rPr>
        <w:t>Net Profit, also known as Net Income, is a key financial metric representing the amount of earnings remaining after all operating expenses, taxes, interest, and preferred stock dividends (if any) have been deducted from a company's total revenue.</w:t>
      </w:r>
    </w:p>
    <w:p w14:paraId="33605980" w14:textId="77777777" w:rsidR="00FC52AC" w:rsidRPr="00AE0866" w:rsidRDefault="00FC52AC" w:rsidP="00AE0866">
      <w:pPr>
        <w:spacing w:line="360" w:lineRule="auto"/>
        <w:rPr>
          <w:rFonts w:eastAsiaTheme="minorEastAsia" w:cstheme="minorHAnsi"/>
          <w:b/>
          <w:bCs/>
          <w:sz w:val="24"/>
          <w:szCs w:val="18"/>
          <w:lang w:val="en-GB"/>
        </w:rPr>
      </w:pPr>
    </w:p>
    <w:p w14:paraId="56EFB078" w14:textId="4D6F14EE" w:rsidR="00970C66" w:rsidRPr="007A0192" w:rsidRDefault="00FC52AC" w:rsidP="00970C66">
      <w:pPr>
        <w:spacing w:line="360" w:lineRule="auto"/>
        <w:rPr>
          <w:rFonts w:eastAsiaTheme="minorEastAsia" w:cstheme="minorHAnsi"/>
          <w:sz w:val="32"/>
        </w:rPr>
      </w:pPr>
      <w:r>
        <w:rPr>
          <w:rFonts w:eastAsiaTheme="minorEastAsia" w:cstheme="minorHAnsi"/>
          <w:sz w:val="32"/>
        </w:rPr>
        <w:t xml:space="preserve">Net Profit </w:t>
      </w:r>
      <w:proofErr w:type="gramStart"/>
      <w:r>
        <w:rPr>
          <w:rFonts w:eastAsiaTheme="minorEastAsia" w:cstheme="minorHAnsi"/>
          <w:sz w:val="32"/>
        </w:rPr>
        <w:t xml:space="preserve">Margine </w:t>
      </w:r>
      <w:r w:rsidR="00AE0866">
        <w:rPr>
          <w:rFonts w:eastAsiaTheme="minorEastAsia" w:cstheme="minorHAnsi"/>
          <w:sz w:val="32"/>
        </w:rPr>
        <w:t xml:space="preserve"> =</w:t>
      </w:r>
      <w:proofErr w:type="gramEnd"/>
      <m:oMath>
        <m:f>
          <m:fPr>
            <m:ctrlPr>
              <w:rPr>
                <w:rFonts w:ascii="Cambria Math" w:eastAsiaTheme="minorEastAsia" w:hAnsi="Cambria Math" w:cstheme="minorHAnsi"/>
                <w:sz w:val="32"/>
              </w:rPr>
            </m:ctrlPr>
          </m:fPr>
          <m:num>
            <m:r>
              <w:rPr>
                <w:rFonts w:ascii="Cambria Math" w:eastAsiaTheme="minorEastAsia" w:hAnsi="Cambria Math" w:cstheme="minorHAnsi"/>
                <w:sz w:val="32"/>
              </w:rPr>
              <m:t xml:space="preserve">Profit for the year </m:t>
            </m:r>
          </m:num>
          <m:den>
            <m:r>
              <w:rPr>
                <w:rFonts w:ascii="Cambria Math" w:eastAsiaTheme="minorEastAsia" w:hAnsi="Cambria Math" w:cstheme="minorHAnsi"/>
                <w:sz w:val="32"/>
              </w:rPr>
              <m:t xml:space="preserve">Revenue </m:t>
            </m:r>
          </m:den>
        </m:f>
        <m:r>
          <w:rPr>
            <w:rFonts w:ascii="Cambria Math" w:eastAsiaTheme="minorEastAsia" w:hAnsi="Cambria Math" w:cstheme="minorHAnsi"/>
            <w:sz w:val="32"/>
          </w:rPr>
          <m:t>x 100%</m:t>
        </m:r>
      </m:oMath>
    </w:p>
    <w:p w14:paraId="1403D77A" w14:textId="54708C36" w:rsidR="001270DA" w:rsidRPr="00AE0866" w:rsidRDefault="00AE0866" w:rsidP="00923EE5">
      <w:pPr>
        <w:rPr>
          <w:rFonts w:eastAsiaTheme="minorEastAsia"/>
          <w:b/>
          <w:bCs/>
          <w:sz w:val="24"/>
          <w:szCs w:val="24"/>
        </w:rPr>
      </w:pPr>
      <w:r w:rsidRPr="00AE0866">
        <w:rPr>
          <w:rFonts w:eastAsiaTheme="minorEastAsia"/>
          <w:b/>
          <w:bCs/>
          <w:sz w:val="24"/>
          <w:szCs w:val="24"/>
        </w:rPr>
        <w:t>2022</w:t>
      </w:r>
      <w:r>
        <w:rPr>
          <w:rFonts w:eastAsiaTheme="minorEastAsia"/>
          <w:b/>
          <w:bCs/>
          <w:sz w:val="24"/>
          <w:szCs w:val="24"/>
        </w:rPr>
        <w:t>=</w:t>
      </w:r>
      <m:oMath>
        <m:f>
          <m:fPr>
            <m:ctrlPr>
              <w:rPr>
                <w:rFonts w:ascii="Cambria Math" w:eastAsiaTheme="minorEastAsia" w:hAnsi="Cambria Math"/>
                <w:sz w:val="24"/>
                <w:szCs w:val="24"/>
              </w:rPr>
            </m:ctrlPr>
          </m:fPr>
          <m:num>
            <m:r>
              <w:rPr>
                <w:rFonts w:ascii="Cambria Math" w:eastAsiaTheme="minorEastAsia" w:hAnsi="Cambria Math"/>
                <w:sz w:val="24"/>
                <w:szCs w:val="24"/>
              </w:rPr>
              <m:t>431</m:t>
            </m:r>
          </m:num>
          <m:den>
            <m:r>
              <w:rPr>
                <w:rFonts w:ascii="Cambria Math" w:eastAsiaTheme="minorEastAsia" w:hAnsi="Cambria Math"/>
                <w:sz w:val="24"/>
                <w:szCs w:val="24"/>
              </w:rPr>
              <m:t>6,738</m:t>
            </m:r>
          </m:den>
        </m:f>
        <m:r>
          <w:rPr>
            <w:rFonts w:ascii="Cambria Math" w:eastAsiaTheme="minorEastAsia" w:hAnsi="Cambria Math"/>
            <w:sz w:val="24"/>
            <w:szCs w:val="24"/>
          </w:rPr>
          <m:t>x100%</m:t>
        </m:r>
        <m:r>
          <w:rPr>
            <w:rFonts w:ascii="Cambria Math" w:eastAsiaTheme="minorEastAsia" w:hAnsi="Cambria Math"/>
            <w:sz w:val="24"/>
            <w:szCs w:val="24"/>
          </w:rPr>
          <m:t>≈6,40%</m:t>
        </m:r>
      </m:oMath>
    </w:p>
    <w:p w14:paraId="726E1D89" w14:textId="1ED9A7BD" w:rsidR="001270DA" w:rsidRPr="00FC52AC" w:rsidRDefault="00FC52AC" w:rsidP="00923EE5">
      <w:pPr>
        <w:rPr>
          <w:rFonts w:eastAsiaTheme="minorEastAsia"/>
          <w:b/>
          <w:bCs/>
          <w:sz w:val="24"/>
          <w:szCs w:val="24"/>
        </w:rPr>
      </w:pPr>
      <w:r w:rsidRPr="00FC52AC">
        <w:rPr>
          <w:rFonts w:eastAsiaTheme="minorEastAsia"/>
          <w:b/>
          <w:bCs/>
          <w:sz w:val="24"/>
          <w:szCs w:val="24"/>
        </w:rPr>
        <w:t>2021 =</w:t>
      </w:r>
      <m:oMath>
        <m:f>
          <m:fPr>
            <m:ctrlPr>
              <w:rPr>
                <w:rFonts w:ascii="Cambria Math" w:eastAsiaTheme="minorEastAsia" w:hAnsi="Cambria Math"/>
                <w:bCs/>
                <w:sz w:val="24"/>
                <w:szCs w:val="24"/>
              </w:rPr>
            </m:ctrlPr>
          </m:fPr>
          <m:num>
            <m:r>
              <w:rPr>
                <w:rFonts w:ascii="Cambria Math" w:eastAsiaTheme="minorEastAsia" w:hAnsi="Cambria Math"/>
                <w:sz w:val="24"/>
                <w:szCs w:val="24"/>
              </w:rPr>
              <m:t>366</m:t>
            </m:r>
          </m:num>
          <m:den>
            <m:r>
              <w:rPr>
                <w:rFonts w:ascii="Cambria Math" w:eastAsiaTheme="minorEastAsia" w:hAnsi="Cambria Math"/>
                <w:sz w:val="24"/>
                <w:szCs w:val="24"/>
              </w:rPr>
              <m:t>6,441</m:t>
            </m:r>
          </m:den>
        </m:f>
        <m:r>
          <w:rPr>
            <w:rFonts w:ascii="Cambria Math" w:eastAsiaTheme="minorEastAsia" w:hAnsi="Cambria Math"/>
            <w:sz w:val="24"/>
            <w:szCs w:val="24"/>
          </w:rPr>
          <m:t>x</m:t>
        </m:r>
        <m:r>
          <m:rPr>
            <m:sty m:val="p"/>
          </m:rPr>
          <w:rPr>
            <w:rFonts w:ascii="Cambria Math" w:eastAsiaTheme="minorEastAsia" w:hAnsi="Cambria Math"/>
            <w:sz w:val="24"/>
            <w:szCs w:val="24"/>
          </w:rPr>
          <m:t>100%≈5,68%</m:t>
        </m:r>
      </m:oMath>
    </w:p>
    <w:p w14:paraId="05701625" w14:textId="7CE15F69" w:rsidR="001270DA" w:rsidRDefault="00FC52AC" w:rsidP="00FC52AC">
      <w:pPr>
        <w:spacing w:line="360" w:lineRule="auto"/>
        <w:rPr>
          <w:sz w:val="24"/>
          <w:szCs w:val="24"/>
        </w:rPr>
      </w:pPr>
      <w:r w:rsidRPr="00FC52AC">
        <w:br/>
      </w:r>
      <w:r w:rsidRPr="00FC52AC">
        <w:rPr>
          <w:sz w:val="24"/>
          <w:szCs w:val="24"/>
        </w:rPr>
        <w:t xml:space="preserve">The rise in </w:t>
      </w:r>
      <w:r w:rsidR="00A342B9" w:rsidRPr="00FC52AC">
        <w:rPr>
          <w:sz w:val="24"/>
          <w:szCs w:val="24"/>
        </w:rPr>
        <w:t>sweets</w:t>
      </w:r>
      <w:r w:rsidRPr="00FC52AC">
        <w:rPr>
          <w:sz w:val="24"/>
          <w:szCs w:val="24"/>
        </w:rPr>
        <w:t xml:space="preserve"> plc's Net Profit Margin signifies greater efficiency in generating profit from its revenue. This improvement could stem from higher sales volumes, enhanced pricing strategies, or successful cost reduction efforts. Essentially, the company is either earning more revenue per sale or spending less to produce and sell its products.</w:t>
      </w:r>
    </w:p>
    <w:p w14:paraId="37EB38DF" w14:textId="1F49661F" w:rsidR="00980AEA" w:rsidRPr="00980AEA" w:rsidRDefault="00FC52AC" w:rsidP="00980AEA">
      <w:pPr>
        <w:spacing w:line="360" w:lineRule="auto"/>
        <w:rPr>
          <w:b/>
          <w:bCs/>
          <w:sz w:val="24"/>
          <w:szCs w:val="24"/>
          <w:lang w:val="en-GB"/>
        </w:rPr>
      </w:pPr>
      <w:bookmarkStart w:id="6" w:name="_Toc153705064"/>
      <w:r w:rsidRPr="00FC52AC">
        <w:rPr>
          <w:rStyle w:val="Heading3Char"/>
          <w:lang w:val="en-GB"/>
        </w:rPr>
        <w:t>Asset Turnover</w:t>
      </w:r>
      <w:bookmarkEnd w:id="6"/>
      <w:r w:rsidR="00980AEA" w:rsidRPr="00980AEA">
        <w:br/>
      </w:r>
      <w:r w:rsidR="00980AEA" w:rsidRPr="00980AEA">
        <w:rPr>
          <w:sz w:val="24"/>
          <w:szCs w:val="24"/>
        </w:rPr>
        <w:t>Asset Turnover is a financial ratio that measures how efficiently a company uses its assets to generate sales or revenue. It indicates how well a company can convert its investments in assets into revenue.</w:t>
      </w:r>
    </w:p>
    <w:p w14:paraId="6009EDB1" w14:textId="367F588A" w:rsidR="00FC52AC" w:rsidRDefault="00FC52AC" w:rsidP="00FC52AC">
      <w:pPr>
        <w:spacing w:line="360" w:lineRule="auto"/>
        <w:rPr>
          <w:sz w:val="24"/>
          <w:szCs w:val="24"/>
        </w:rPr>
      </w:pPr>
      <w:r w:rsidRPr="001D0E29">
        <w:rPr>
          <w:b/>
          <w:bCs/>
          <w:sz w:val="24"/>
          <w:szCs w:val="24"/>
        </w:rPr>
        <w:t>Asset Turnover</w:t>
      </w:r>
      <w:r>
        <w:rPr>
          <w:sz w:val="24"/>
          <w:szCs w:val="24"/>
        </w:rPr>
        <w:t>=</w:t>
      </w:r>
      <m:oMath>
        <m:f>
          <m:fPr>
            <m:ctrlPr>
              <w:rPr>
                <w:rFonts w:ascii="Cambria Math" w:hAnsi="Cambria Math"/>
                <w:sz w:val="24"/>
                <w:szCs w:val="24"/>
              </w:rPr>
            </m:ctrlPr>
          </m:fPr>
          <m:num>
            <m:r>
              <m:rPr>
                <m:sty m:val="p"/>
              </m:rPr>
              <w:rPr>
                <w:rFonts w:ascii="Cambria Math" w:hAnsi="Cambria Math" w:cs="Cambria Math"/>
                <w:sz w:val="24"/>
                <w:szCs w:val="24"/>
              </w:rPr>
              <m:t>revenue</m:t>
            </m:r>
          </m:num>
          <m:den>
            <m:r>
              <m:rPr>
                <m:sty m:val="p"/>
              </m:rPr>
              <w:rPr>
                <w:rFonts w:ascii="Cambria Math" w:hAnsi="Cambria Math" w:cs="Cambria Math"/>
                <w:sz w:val="24"/>
                <w:szCs w:val="24"/>
              </w:rPr>
              <m:t xml:space="preserve">total assets </m:t>
            </m:r>
          </m:den>
        </m:f>
      </m:oMath>
    </w:p>
    <w:p w14:paraId="64970FDF" w14:textId="7CFFD09A" w:rsidR="00FC52AC" w:rsidRDefault="00980AEA" w:rsidP="00FC52AC">
      <w:pPr>
        <w:spacing w:line="360" w:lineRule="auto"/>
        <w:rPr>
          <w:rFonts w:eastAsiaTheme="minorEastAsia"/>
          <w:sz w:val="24"/>
          <w:szCs w:val="24"/>
        </w:rPr>
      </w:pPr>
      <w:r w:rsidRPr="00980AEA">
        <w:rPr>
          <w:b/>
          <w:bCs/>
          <w:sz w:val="24"/>
          <w:szCs w:val="24"/>
        </w:rPr>
        <w:t>2022</w:t>
      </w:r>
      <w:r w:rsidRPr="00980AEA">
        <w:rPr>
          <w:sz w:val="24"/>
          <w:szCs w:val="24"/>
        </w:rPr>
        <w:t>=</w:t>
      </w:r>
      <m:oMath>
        <m:f>
          <m:fPr>
            <m:ctrlPr>
              <w:rPr>
                <w:rFonts w:ascii="Cambria Math" w:hAnsi="Cambria Math"/>
                <w:sz w:val="24"/>
                <w:szCs w:val="24"/>
              </w:rPr>
            </m:ctrlPr>
          </m:fPr>
          <m:num>
            <m:r>
              <w:rPr>
                <w:rFonts w:ascii="Cambria Math" w:hAnsi="Cambria Math"/>
                <w:sz w:val="24"/>
                <w:szCs w:val="24"/>
              </w:rPr>
              <m:t>6,738</m:t>
            </m:r>
          </m:num>
          <m:den>
            <m:r>
              <w:rPr>
                <w:rFonts w:ascii="Cambria Math" w:hAnsi="Cambria Math"/>
                <w:sz w:val="24"/>
                <w:szCs w:val="24"/>
              </w:rPr>
              <m:t>9,736</m:t>
            </m:r>
          </m:den>
        </m:f>
        <m:r>
          <w:rPr>
            <w:rFonts w:ascii="Cambria Math" w:hAnsi="Cambria Math"/>
            <w:sz w:val="24"/>
            <w:szCs w:val="24"/>
          </w:rPr>
          <m:t>≈0,69</m:t>
        </m:r>
      </m:oMath>
      <w:r>
        <w:rPr>
          <w:rFonts w:eastAsiaTheme="minorEastAsia"/>
        </w:rPr>
        <w:br/>
      </w:r>
      <w:r w:rsidRPr="00980AEA">
        <w:rPr>
          <w:rFonts w:eastAsiaTheme="minorEastAsia"/>
          <w:b/>
          <w:bCs/>
          <w:sz w:val="24"/>
          <w:szCs w:val="24"/>
        </w:rPr>
        <w:t>2021</w:t>
      </w:r>
      <w:r w:rsidRPr="00980AEA">
        <w:rPr>
          <w:rFonts w:eastAsiaTheme="minorEastAsia"/>
          <w:sz w:val="24"/>
          <w:szCs w:val="24"/>
        </w:rPr>
        <w:t>=</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6,441</m:t>
            </m:r>
          </m:num>
          <m:den>
            <m:r>
              <m:rPr>
                <m:sty m:val="p"/>
              </m:rPr>
              <w:rPr>
                <w:rFonts w:ascii="Cambria Math" w:eastAsiaTheme="minorEastAsia" w:hAnsi="Cambria Math" w:cs="Cambria Math"/>
                <w:sz w:val="24"/>
                <w:szCs w:val="24"/>
              </w:rPr>
              <m:t>10,087</m:t>
            </m:r>
          </m:den>
        </m:f>
        <m:r>
          <w:rPr>
            <w:rFonts w:ascii="Cambria Math" w:eastAsiaTheme="minorEastAsia" w:hAnsi="Cambria Math"/>
            <w:sz w:val="24"/>
            <w:szCs w:val="24"/>
          </w:rPr>
          <m:t>≈0,64</m:t>
        </m:r>
      </m:oMath>
    </w:p>
    <w:p w14:paraId="2F663C87" w14:textId="0B0D19B3" w:rsidR="00980AEA" w:rsidRDefault="00980AEA" w:rsidP="00FC52AC">
      <w:pPr>
        <w:spacing w:line="360" w:lineRule="auto"/>
        <w:rPr>
          <w:sz w:val="24"/>
          <w:szCs w:val="24"/>
        </w:rPr>
      </w:pPr>
      <w:r w:rsidRPr="00980AEA">
        <w:lastRenderedPageBreak/>
        <w:br/>
      </w:r>
      <w:r w:rsidRPr="00980AEA">
        <w:rPr>
          <w:sz w:val="24"/>
          <w:szCs w:val="24"/>
        </w:rPr>
        <w:t xml:space="preserve">The improvement in </w:t>
      </w:r>
      <w:r w:rsidR="00A342B9" w:rsidRPr="00980AEA">
        <w:rPr>
          <w:sz w:val="24"/>
          <w:szCs w:val="24"/>
        </w:rPr>
        <w:t>sweets</w:t>
      </w:r>
      <w:r w:rsidRPr="00980AEA">
        <w:rPr>
          <w:sz w:val="24"/>
          <w:szCs w:val="24"/>
        </w:rPr>
        <w:t xml:space="preserve"> plc's Asset Turnover ratio suggests enhanced efficiency in utilizing its assets to drive sales. This indicates that the company is generating more revenue for each pound invested in assets, reflecting better management or more productive use of resources like equipment, technology, and inventory.</w:t>
      </w:r>
    </w:p>
    <w:p w14:paraId="7D591EE8" w14:textId="7456851B" w:rsidR="00514B3B" w:rsidRPr="00514B3B" w:rsidRDefault="00514B3B" w:rsidP="00FC52AC">
      <w:pPr>
        <w:spacing w:line="360" w:lineRule="auto"/>
        <w:rPr>
          <w:b/>
          <w:bCs/>
          <w:sz w:val="24"/>
          <w:szCs w:val="24"/>
        </w:rPr>
      </w:pPr>
      <w:bookmarkStart w:id="7" w:name="_Toc153705065"/>
      <w:r w:rsidRPr="00A342B9">
        <w:rPr>
          <w:rStyle w:val="Heading3Char"/>
        </w:rPr>
        <w:t>Stock Holdings Days</w:t>
      </w:r>
      <w:bookmarkEnd w:id="7"/>
      <w:r w:rsidRPr="00514B3B">
        <w:rPr>
          <w:sz w:val="24"/>
          <w:szCs w:val="24"/>
        </w:rPr>
        <w:br/>
        <w:t>Stock Holding Days, also known as Inventory Days or Days Inventory Outstanding (DIO), is a financial metric that measures the average number of days a company takes to turn its inventory into sales. This ratio indicates how quickly a company can convert its inventory into revenue.</w:t>
      </w:r>
    </w:p>
    <w:p w14:paraId="078FF459" w14:textId="62E02BDC" w:rsidR="00980AEA" w:rsidRDefault="00980AEA">
      <w:r w:rsidRPr="00514B3B">
        <w:rPr>
          <w:b/>
          <w:bCs/>
          <w:sz w:val="24"/>
          <w:szCs w:val="24"/>
        </w:rPr>
        <w:t>Stock Holdings Days</w:t>
      </w:r>
      <m:oMath>
        <m:r>
          <m:rPr>
            <m:sty m:val="p"/>
          </m:rPr>
          <w:rPr>
            <w:rFonts w:ascii="Cambria Math" w:hAnsi="Cambria Math" w:cs="Cambria Math"/>
            <w:sz w:val="24"/>
            <w:szCs w:val="24"/>
          </w:rPr>
          <m:t>=</m:t>
        </m:r>
        <m:d>
          <m:dPr>
            <m:ctrlPr>
              <w:rPr>
                <w:rFonts w:ascii="Cambria Math" w:hAnsi="Cambria Math" w:cs="Cambria Math"/>
                <w:sz w:val="24"/>
                <w:szCs w:val="24"/>
              </w:rPr>
            </m:ctrlPr>
          </m:dPr>
          <m:e>
            <m:f>
              <m:fPr>
                <m:ctrlPr>
                  <w:rPr>
                    <w:rFonts w:ascii="Cambria Math" w:hAnsi="Cambria Math"/>
                    <w:sz w:val="24"/>
                    <w:szCs w:val="24"/>
                  </w:rPr>
                </m:ctrlPr>
              </m:fPr>
              <m:num>
                <m:r>
                  <m:rPr>
                    <m:sty m:val="p"/>
                  </m:rPr>
                  <w:rPr>
                    <w:rFonts w:ascii="Cambria Math" w:hAnsi="Cambria Math" w:cs="Cambria Math"/>
                    <w:sz w:val="24"/>
                    <w:szCs w:val="24"/>
                  </w:rPr>
                  <m:t>inventory</m:t>
                </m:r>
              </m:num>
              <m:den>
                <m:r>
                  <m:rPr>
                    <m:sty m:val="p"/>
                  </m:rPr>
                  <w:rPr>
                    <w:rFonts w:ascii="Cambria Math" w:hAnsi="Cambria Math" w:cs="Cambria Math"/>
                    <w:sz w:val="24"/>
                    <w:szCs w:val="24"/>
                  </w:rPr>
                  <m:t>cost of sales</m:t>
                </m:r>
              </m:den>
            </m:f>
            <m:ctrlPr>
              <w:rPr>
                <w:rFonts w:ascii="Cambria Math" w:hAnsi="Cambria Math"/>
                <w:i/>
                <w:sz w:val="24"/>
                <w:szCs w:val="24"/>
              </w:rPr>
            </m:ctrlPr>
          </m:e>
        </m:d>
        <m:r>
          <w:rPr>
            <w:rFonts w:ascii="Cambria Math" w:hAnsi="Cambria Math"/>
            <w:sz w:val="24"/>
            <w:szCs w:val="24"/>
          </w:rPr>
          <m:t>x 365</m:t>
        </m:r>
      </m:oMath>
    </w:p>
    <w:p w14:paraId="5F2A4A2F" w14:textId="4FA74F4C" w:rsidR="00980AEA" w:rsidRDefault="00514B3B" w:rsidP="00FC52AC">
      <w:pPr>
        <w:spacing w:line="360" w:lineRule="auto"/>
        <w:rPr>
          <w:sz w:val="24"/>
          <w:szCs w:val="24"/>
        </w:rPr>
      </w:pPr>
      <w:r w:rsidRPr="00514B3B">
        <w:rPr>
          <w:b/>
          <w:bCs/>
          <w:sz w:val="24"/>
          <w:szCs w:val="24"/>
        </w:rPr>
        <w:t>2022</w:t>
      </w:r>
      <w:r>
        <w:rPr>
          <w:sz w:val="24"/>
          <w:szCs w:val="24"/>
        </w:rPr>
        <w:t xml:space="preserve">= </w:t>
      </w:r>
      <m:oMath>
        <m:f>
          <m:fPr>
            <m:ctrlPr>
              <w:rPr>
                <w:rFonts w:ascii="Cambria Math" w:hAnsi="Cambria Math"/>
                <w:sz w:val="24"/>
                <w:szCs w:val="24"/>
              </w:rPr>
            </m:ctrlPr>
          </m:fPr>
          <m:num>
            <m:r>
              <w:rPr>
                <w:rFonts w:ascii="Cambria Math" w:hAnsi="Cambria Math"/>
                <w:sz w:val="24"/>
                <w:szCs w:val="24"/>
              </w:rPr>
              <m:t>708</m:t>
            </m:r>
          </m:num>
          <m:den>
            <m:r>
              <w:rPr>
                <w:rFonts w:ascii="Cambria Math" w:hAnsi="Cambria Math"/>
                <w:sz w:val="24"/>
                <w:szCs w:val="24"/>
              </w:rPr>
              <m:t>3,235</m:t>
            </m:r>
          </m:den>
        </m:f>
        <m:r>
          <w:rPr>
            <w:rFonts w:ascii="Cambria Math" w:hAnsi="Cambria Math"/>
            <w:sz w:val="24"/>
            <w:szCs w:val="24"/>
          </w:rPr>
          <m:t xml:space="preserve">x 365≈79,91 days </m:t>
        </m:r>
      </m:oMath>
    </w:p>
    <w:p w14:paraId="0D5CA212" w14:textId="1EF8BF26" w:rsidR="00980AEA" w:rsidRDefault="00514B3B" w:rsidP="00FC52AC">
      <w:pPr>
        <w:spacing w:line="360" w:lineRule="auto"/>
        <w:rPr>
          <w:rFonts w:eastAsiaTheme="minorEastAsia"/>
          <w:bCs/>
          <w:sz w:val="24"/>
          <w:szCs w:val="24"/>
        </w:rPr>
      </w:pPr>
      <w:r w:rsidRPr="00514B3B">
        <w:rPr>
          <w:b/>
          <w:bCs/>
          <w:sz w:val="24"/>
          <w:szCs w:val="24"/>
        </w:rPr>
        <w:t>2021</w:t>
      </w:r>
      <w:r>
        <w:rPr>
          <w:b/>
          <w:bCs/>
          <w:sz w:val="24"/>
          <w:szCs w:val="24"/>
        </w:rPr>
        <w:t>=</w:t>
      </w:r>
      <m:oMath>
        <m:f>
          <m:fPr>
            <m:ctrlPr>
              <w:rPr>
                <w:rFonts w:ascii="Cambria Math" w:hAnsi="Cambria Math"/>
                <w:bCs/>
                <w:sz w:val="24"/>
                <w:szCs w:val="24"/>
              </w:rPr>
            </m:ctrlPr>
          </m:fPr>
          <m:num>
            <m:r>
              <w:rPr>
                <w:rFonts w:ascii="Cambria Math" w:hAnsi="Cambria Math"/>
                <w:sz w:val="24"/>
                <w:szCs w:val="24"/>
              </w:rPr>
              <m:t>659</m:t>
            </m:r>
          </m:num>
          <m:den>
            <m:r>
              <w:rPr>
                <w:rFonts w:ascii="Cambria Math" w:hAnsi="Cambria Math"/>
                <w:sz w:val="24"/>
                <w:szCs w:val="24"/>
              </w:rPr>
              <m:t>3,096</m:t>
            </m:r>
          </m:den>
        </m:f>
        <m:r>
          <w:rPr>
            <w:rFonts w:ascii="Cambria Math" w:hAnsi="Cambria Math"/>
            <w:sz w:val="24"/>
            <w:szCs w:val="24"/>
          </w:rPr>
          <m:t>x</m:t>
        </m:r>
        <m:r>
          <m:rPr>
            <m:sty m:val="p"/>
          </m:rPr>
          <w:rPr>
            <w:rFonts w:ascii="Cambria Math" w:hAnsi="Cambria Math"/>
            <w:sz w:val="24"/>
            <w:szCs w:val="24"/>
          </w:rPr>
          <m:t xml:space="preserve"> 365≈77,68 days </m:t>
        </m:r>
      </m:oMath>
    </w:p>
    <w:p w14:paraId="77FEC3D9" w14:textId="77777777" w:rsidR="00DA7ED3" w:rsidRPr="00DA7ED3" w:rsidRDefault="00DA7ED3" w:rsidP="00DA7ED3">
      <w:pPr>
        <w:spacing w:line="360" w:lineRule="auto"/>
        <w:rPr>
          <w:rFonts w:eastAsiaTheme="minorEastAsia"/>
          <w:bCs/>
          <w:sz w:val="24"/>
          <w:szCs w:val="24"/>
        </w:rPr>
      </w:pPr>
      <w:r w:rsidRPr="00DA7ED3">
        <w:rPr>
          <w:rFonts w:eastAsiaTheme="minorEastAsia"/>
          <w:bCs/>
          <w:sz w:val="24"/>
          <w:szCs w:val="24"/>
        </w:rPr>
        <w:t>An increase in Stock Holding Days for Sweets plc implies a longer duration for converting inventory into sales. This could indicate potential inefficiencies in inventory management, such as overstocking or slow-moving products. Alternatively, it might reflect strategic choices like stocking up for anticipated demand or altering product lines.</w:t>
      </w:r>
    </w:p>
    <w:p w14:paraId="0936EA02" w14:textId="77777777" w:rsidR="001D0E29" w:rsidRDefault="001D0E29" w:rsidP="00FC52AC">
      <w:pPr>
        <w:spacing w:line="360" w:lineRule="auto"/>
        <w:rPr>
          <w:rFonts w:eastAsiaTheme="minorEastAsia"/>
          <w:bCs/>
          <w:sz w:val="24"/>
          <w:szCs w:val="24"/>
        </w:rPr>
      </w:pPr>
    </w:p>
    <w:p w14:paraId="209DB655" w14:textId="136A598D" w:rsidR="00DA7ED3" w:rsidRPr="001D0E29" w:rsidRDefault="001D0E29" w:rsidP="001D0E29">
      <w:pPr>
        <w:spacing w:line="360" w:lineRule="auto"/>
        <w:rPr>
          <w:rFonts w:eastAsiaTheme="minorEastAsia"/>
          <w:b/>
          <w:bCs/>
          <w:sz w:val="24"/>
          <w:szCs w:val="24"/>
          <w:lang w:val="en-GB"/>
        </w:rPr>
      </w:pPr>
      <w:bookmarkStart w:id="8" w:name="_Toc153705066"/>
      <w:r w:rsidRPr="001D0E29">
        <w:rPr>
          <w:rStyle w:val="Heading3Char"/>
          <w:lang w:val="en-GB"/>
        </w:rPr>
        <w:t>Debtors Collection Period</w:t>
      </w:r>
      <w:bookmarkEnd w:id="8"/>
      <w:r w:rsidR="00DA7ED3" w:rsidRPr="00DA7ED3">
        <w:rPr>
          <w:rFonts w:eastAsiaTheme="minorEastAsia"/>
          <w:sz w:val="24"/>
          <w:szCs w:val="24"/>
        </w:rPr>
        <w:br/>
        <w:t>Debtors Collection Period, also known as Accounts Receivable Days or Days Sales Outstanding (DSO), is a financial metric that measures the average number of days it takes for a company to collect payments from its debtors or credit customers.</w:t>
      </w:r>
    </w:p>
    <w:p w14:paraId="70351DF1" w14:textId="3FB8136B" w:rsidR="001D0E29" w:rsidRPr="001D0E29" w:rsidRDefault="001D0E29" w:rsidP="001D0E29">
      <w:pPr>
        <w:spacing w:line="360" w:lineRule="auto"/>
        <w:rPr>
          <w:rFonts w:eastAsiaTheme="minorEastAsia"/>
          <w:b/>
          <w:bCs/>
          <w:sz w:val="24"/>
          <w:szCs w:val="24"/>
          <w:lang w:val="en-GB"/>
        </w:rPr>
      </w:pPr>
      <w:r w:rsidRPr="001D0E29">
        <w:rPr>
          <w:rFonts w:eastAsiaTheme="minorEastAsia"/>
          <w:b/>
          <w:bCs/>
          <w:sz w:val="24"/>
          <w:szCs w:val="24"/>
          <w:lang w:val="en-GB"/>
        </w:rPr>
        <w:t>Debtors Collection Period</w:t>
      </w:r>
      <w:r>
        <w:rPr>
          <w:rFonts w:eastAsiaTheme="minorEastAsia"/>
          <w:b/>
          <w:bCs/>
          <w:sz w:val="24"/>
          <w:szCs w:val="24"/>
          <w:lang w:val="en-GB"/>
        </w:rPr>
        <w:t>=</w:t>
      </w:r>
      <m:oMath>
        <m:d>
          <m:dPr>
            <m:ctrlPr>
              <w:rPr>
                <w:rFonts w:ascii="Cambria Math" w:eastAsiaTheme="minorEastAsia" w:hAnsi="Cambria Math"/>
                <w:bCs/>
                <w:i/>
                <w:sz w:val="24"/>
                <w:szCs w:val="24"/>
                <w:lang w:val="en-GB"/>
              </w:rPr>
            </m:ctrlPr>
          </m:dPr>
          <m:e>
            <m:f>
              <m:fPr>
                <m:ctrlPr>
                  <w:rPr>
                    <w:rFonts w:ascii="Cambria Math" w:eastAsiaTheme="minorEastAsia" w:hAnsi="Cambria Math"/>
                    <w:bCs/>
                    <w:sz w:val="24"/>
                    <w:szCs w:val="24"/>
                    <w:lang w:val="en-GB"/>
                  </w:rPr>
                </m:ctrlPr>
              </m:fPr>
              <m:num>
                <m:r>
                  <w:rPr>
                    <w:rFonts w:ascii="Cambria Math" w:eastAsiaTheme="minorEastAsia" w:hAnsi="Cambria Math"/>
                    <w:sz w:val="24"/>
                    <w:szCs w:val="24"/>
                    <w:lang w:val="en-GB"/>
                  </w:rPr>
                  <m:t xml:space="preserve">trade receivabels </m:t>
                </m:r>
              </m:num>
              <m:den>
                <m:r>
                  <w:rPr>
                    <w:rFonts w:ascii="Cambria Math" w:eastAsiaTheme="minorEastAsia" w:hAnsi="Cambria Math"/>
                    <w:sz w:val="24"/>
                    <w:szCs w:val="24"/>
                    <w:lang w:val="en-GB"/>
                  </w:rPr>
                  <m:t>revenue</m:t>
                </m:r>
              </m:den>
            </m:f>
          </m:e>
        </m:d>
        <m:r>
          <w:rPr>
            <w:rFonts w:ascii="Cambria Math" w:eastAsiaTheme="minorEastAsia" w:hAnsi="Cambria Math"/>
            <w:sz w:val="24"/>
            <w:szCs w:val="24"/>
            <w:lang w:val="en-GB"/>
          </w:rPr>
          <m:t>x 365</m:t>
        </m:r>
      </m:oMath>
    </w:p>
    <w:p w14:paraId="37C4AC8C" w14:textId="409A25FF" w:rsidR="001D0E29" w:rsidRPr="001D0E29" w:rsidRDefault="001D0E29" w:rsidP="00FC52AC">
      <w:pPr>
        <w:spacing w:line="360" w:lineRule="auto"/>
        <w:rPr>
          <w:rFonts w:eastAsiaTheme="minorEastAsia"/>
          <w:b/>
          <w:sz w:val="24"/>
          <w:szCs w:val="24"/>
        </w:rPr>
      </w:pPr>
      <w:r w:rsidRPr="001D0E29">
        <w:rPr>
          <w:rFonts w:eastAsiaTheme="minorEastAsia"/>
          <w:b/>
          <w:sz w:val="24"/>
          <w:szCs w:val="24"/>
        </w:rPr>
        <w:t>2022</w:t>
      </w:r>
      <w:r>
        <w:rPr>
          <w:rFonts w:eastAsiaTheme="minorEastAsia"/>
          <w:b/>
          <w:sz w:val="24"/>
          <w:szCs w:val="24"/>
        </w:rPr>
        <w:t xml:space="preserve">= </w:t>
      </w:r>
      <m:oMath>
        <m:f>
          <m:fPr>
            <m:ctrlPr>
              <w:rPr>
                <w:rFonts w:ascii="Cambria Math" w:eastAsiaTheme="minorEastAsia" w:hAnsi="Cambria Math"/>
                <w:sz w:val="24"/>
                <w:szCs w:val="24"/>
              </w:rPr>
            </m:ctrlPr>
          </m:fPr>
          <m:num>
            <m:r>
              <w:rPr>
                <w:rFonts w:ascii="Cambria Math" w:eastAsiaTheme="minorEastAsia" w:hAnsi="Cambria Math"/>
                <w:sz w:val="24"/>
                <w:szCs w:val="24"/>
              </w:rPr>
              <m:t>1,249</m:t>
            </m:r>
          </m:num>
          <m:den>
            <m:r>
              <w:rPr>
                <w:rFonts w:ascii="Cambria Math" w:eastAsiaTheme="minorEastAsia" w:hAnsi="Cambria Math"/>
                <w:sz w:val="24"/>
                <w:szCs w:val="24"/>
              </w:rPr>
              <m:t>6,738</m:t>
            </m:r>
          </m:den>
        </m:f>
        <m:r>
          <w:rPr>
            <w:rFonts w:ascii="Cambria Math" w:eastAsiaTheme="minorEastAsia" w:hAnsi="Cambria Math"/>
            <w:sz w:val="24"/>
            <w:szCs w:val="24"/>
          </w:rPr>
          <m:t xml:space="preserve">x 365≈72,76 days </m:t>
        </m:r>
      </m:oMath>
    </w:p>
    <w:p w14:paraId="4E77C10D" w14:textId="0191F8BA" w:rsidR="001D0E29" w:rsidRDefault="00DA7ED3" w:rsidP="00FC52AC">
      <w:pPr>
        <w:spacing w:line="360" w:lineRule="auto"/>
        <w:rPr>
          <w:rFonts w:eastAsiaTheme="minorEastAsia"/>
          <w:sz w:val="24"/>
          <w:szCs w:val="24"/>
        </w:rPr>
      </w:pPr>
      <w:r w:rsidRPr="00DA7ED3">
        <w:rPr>
          <w:rFonts w:eastAsiaTheme="minorEastAsia"/>
          <w:b/>
          <w:sz w:val="24"/>
          <w:szCs w:val="24"/>
        </w:rPr>
        <w:lastRenderedPageBreak/>
        <w:t>2021</w:t>
      </w:r>
      <w:r>
        <w:rPr>
          <w:rFonts w:eastAsiaTheme="minorEastAsia"/>
          <w:b/>
          <w:sz w:val="24"/>
          <w:szCs w:val="24"/>
        </w:rPr>
        <w:t>=</w:t>
      </w:r>
      <m:oMath>
        <m:f>
          <m:fPr>
            <m:ctrlPr>
              <w:rPr>
                <w:rFonts w:ascii="Cambria Math" w:eastAsiaTheme="minorEastAsia" w:hAnsi="Cambria Math"/>
                <w:sz w:val="24"/>
                <w:szCs w:val="24"/>
              </w:rPr>
            </m:ctrlPr>
          </m:fPr>
          <m:num>
            <m:r>
              <w:rPr>
                <w:rFonts w:ascii="Cambria Math" w:eastAsiaTheme="minorEastAsia" w:hAnsi="Cambria Math"/>
                <w:sz w:val="24"/>
                <w:szCs w:val="24"/>
              </w:rPr>
              <m:t>1,287</m:t>
            </m:r>
          </m:num>
          <m:den>
            <m:r>
              <w:rPr>
                <w:rFonts w:ascii="Cambria Math" w:eastAsiaTheme="minorEastAsia" w:hAnsi="Cambria Math"/>
                <w:sz w:val="24"/>
                <w:szCs w:val="24"/>
              </w:rPr>
              <m:t>6,441</m:t>
            </m:r>
          </m:den>
        </m:f>
        <m:r>
          <w:rPr>
            <w:rFonts w:ascii="Cambria Math" w:eastAsiaTheme="minorEastAsia" w:hAnsi="Cambria Math"/>
            <w:sz w:val="24"/>
            <w:szCs w:val="24"/>
          </w:rPr>
          <m:t>x</m:t>
        </m:r>
        <m:r>
          <m:rPr>
            <m:sty m:val="p"/>
          </m:rPr>
          <w:rPr>
            <w:rFonts w:ascii="Cambria Math" w:eastAsiaTheme="minorEastAsia" w:hAnsi="Cambria Math"/>
            <w:sz w:val="24"/>
            <w:szCs w:val="24"/>
          </w:rPr>
          <m:t xml:space="preserve"> 365≈72,76 days</m:t>
        </m:r>
      </m:oMath>
    </w:p>
    <w:p w14:paraId="26E4CC45" w14:textId="3B1339F9" w:rsidR="00DA7ED3" w:rsidRPr="00DA7ED3" w:rsidRDefault="00DA7ED3" w:rsidP="00FC52AC">
      <w:pPr>
        <w:spacing w:line="360" w:lineRule="auto"/>
        <w:rPr>
          <w:rFonts w:eastAsiaTheme="minorEastAsia"/>
          <w:bCs/>
          <w:sz w:val="24"/>
          <w:szCs w:val="24"/>
        </w:rPr>
      </w:pPr>
      <w:r w:rsidRPr="00DA7ED3">
        <w:rPr>
          <w:rFonts w:eastAsiaTheme="minorEastAsia"/>
          <w:bCs/>
          <w:sz w:val="24"/>
          <w:szCs w:val="24"/>
        </w:rPr>
        <w:t xml:space="preserve">The reduction in </w:t>
      </w:r>
      <w:r w:rsidR="00A342B9" w:rsidRPr="00DA7ED3">
        <w:rPr>
          <w:rFonts w:eastAsiaTheme="minorEastAsia"/>
          <w:bCs/>
          <w:sz w:val="24"/>
          <w:szCs w:val="24"/>
        </w:rPr>
        <w:t>sweets</w:t>
      </w:r>
      <w:r w:rsidRPr="00DA7ED3">
        <w:rPr>
          <w:rFonts w:eastAsiaTheme="minorEastAsia"/>
          <w:bCs/>
          <w:sz w:val="24"/>
          <w:szCs w:val="24"/>
        </w:rPr>
        <w:t xml:space="preserve"> plc's Debtors Collection Period reflects improved efficiency in collecting receivables from customers. This accelerated payment collection enhances the company's cash flow, ensuring more immediate access to cash for operational needs and </w:t>
      </w:r>
      <w:r w:rsidR="00A342B9" w:rsidRPr="00DA7ED3">
        <w:rPr>
          <w:rFonts w:eastAsiaTheme="minorEastAsia"/>
          <w:bCs/>
          <w:sz w:val="24"/>
          <w:szCs w:val="24"/>
        </w:rPr>
        <w:t>investments.</w:t>
      </w:r>
    </w:p>
    <w:p w14:paraId="436A27B4" w14:textId="78437554" w:rsidR="00514B3B" w:rsidRDefault="00DA7ED3" w:rsidP="00A342B9">
      <w:pPr>
        <w:pStyle w:val="Heading3"/>
        <w:rPr>
          <w:lang w:val="en-GB"/>
        </w:rPr>
      </w:pPr>
      <w:bookmarkStart w:id="9" w:name="_Toc153705067"/>
      <w:r w:rsidRPr="00DA7ED3">
        <w:rPr>
          <w:lang w:val="en-GB"/>
        </w:rPr>
        <w:t>Current Ratio</w:t>
      </w:r>
      <w:bookmarkEnd w:id="9"/>
    </w:p>
    <w:p w14:paraId="73FBAF1F" w14:textId="7B701120" w:rsidR="00DA7ED3" w:rsidRDefault="00DA7ED3" w:rsidP="00514B3B">
      <w:pPr>
        <w:rPr>
          <w:sz w:val="24"/>
          <w:szCs w:val="24"/>
        </w:rPr>
      </w:pPr>
      <w:r w:rsidRPr="00DA7ED3">
        <w:rPr>
          <w:sz w:val="24"/>
          <w:szCs w:val="24"/>
        </w:rPr>
        <w:t>The Current Ratio is a financial metric used to assess a company's ability to pay off its short-term liabilities with its short-term assets. It is a key indicator of a company's liquidity.</w:t>
      </w:r>
    </w:p>
    <w:p w14:paraId="26EE1E2A" w14:textId="54F683AB" w:rsidR="00514B3B" w:rsidRDefault="00DA7ED3" w:rsidP="00514B3B">
      <w:pPr>
        <w:rPr>
          <w:rFonts w:eastAsiaTheme="minorEastAsia"/>
          <w:bCs/>
          <w:sz w:val="24"/>
          <w:szCs w:val="24"/>
          <w:lang w:val="en-GB"/>
        </w:rPr>
      </w:pPr>
      <w:r w:rsidRPr="00DA7ED3">
        <w:rPr>
          <w:b/>
          <w:bCs/>
          <w:sz w:val="24"/>
          <w:szCs w:val="24"/>
          <w:lang w:val="en-GB"/>
        </w:rPr>
        <w:t>Current Ratio</w:t>
      </w:r>
      <w:r>
        <w:rPr>
          <w:b/>
          <w:bCs/>
          <w:sz w:val="24"/>
          <w:szCs w:val="24"/>
          <w:lang w:val="en-GB"/>
        </w:rPr>
        <w:t>=</w:t>
      </w:r>
      <m:oMath>
        <m:f>
          <m:fPr>
            <m:ctrlPr>
              <w:rPr>
                <w:rFonts w:ascii="Cambria Math" w:hAnsi="Cambria Math"/>
                <w:bCs/>
                <w:sz w:val="24"/>
                <w:szCs w:val="24"/>
                <w:lang w:val="en-GB"/>
              </w:rPr>
            </m:ctrlPr>
          </m:fPr>
          <m:num>
            <m:r>
              <w:rPr>
                <w:rFonts w:ascii="Cambria Math" w:hAnsi="Cambria Math"/>
                <w:sz w:val="24"/>
                <w:szCs w:val="24"/>
                <w:lang w:val="en-GB"/>
              </w:rPr>
              <m:t>current assets</m:t>
            </m:r>
          </m:num>
          <m:den>
            <m:r>
              <w:rPr>
                <w:rFonts w:ascii="Cambria Math" w:hAnsi="Cambria Math"/>
                <w:sz w:val="24"/>
                <w:szCs w:val="24"/>
                <w:lang w:val="en-GB"/>
              </w:rPr>
              <m:t>current liabilties</m:t>
            </m:r>
          </m:den>
        </m:f>
      </m:oMath>
    </w:p>
    <w:p w14:paraId="237EAFD6" w14:textId="642E961F" w:rsidR="00DA7ED3" w:rsidRDefault="00DA7ED3" w:rsidP="00514B3B">
      <w:pPr>
        <w:rPr>
          <w:rFonts w:eastAsiaTheme="minorEastAsia"/>
          <w:sz w:val="24"/>
          <w:szCs w:val="24"/>
          <w:lang w:val="en-GB"/>
        </w:rPr>
      </w:pPr>
      <w:r w:rsidRPr="00DA7ED3">
        <w:rPr>
          <w:rFonts w:eastAsiaTheme="minorEastAsia"/>
          <w:b/>
          <w:sz w:val="24"/>
          <w:szCs w:val="24"/>
          <w:lang w:val="en-GB"/>
        </w:rPr>
        <w:t>2022</w:t>
      </w:r>
      <w:r>
        <w:rPr>
          <w:rFonts w:eastAsiaTheme="minorEastAsia"/>
          <w:b/>
          <w:sz w:val="24"/>
          <w:szCs w:val="24"/>
          <w:lang w:val="en-GB"/>
        </w:rPr>
        <w:t>=</w:t>
      </w:r>
      <m:oMath>
        <m:f>
          <m:fPr>
            <m:ctrlPr>
              <w:rPr>
                <w:rFonts w:ascii="Cambria Math" w:eastAsiaTheme="minorEastAsia" w:hAnsi="Cambria Math"/>
                <w:sz w:val="24"/>
                <w:szCs w:val="24"/>
                <w:lang w:val="en-GB"/>
              </w:rPr>
            </m:ctrlPr>
          </m:fPr>
          <m:num>
            <m:r>
              <w:rPr>
                <w:rFonts w:ascii="Cambria Math" w:eastAsiaTheme="minorEastAsia" w:hAnsi="Cambria Math"/>
                <w:sz w:val="24"/>
                <w:szCs w:val="24"/>
                <w:lang w:val="en-GB"/>
              </w:rPr>
              <m:t>2,303</m:t>
            </m:r>
          </m:num>
          <m:den>
            <m:r>
              <w:rPr>
                <w:rFonts w:ascii="Cambria Math" w:eastAsiaTheme="minorEastAsia" w:hAnsi="Cambria Math"/>
                <w:sz w:val="24"/>
                <w:szCs w:val="24"/>
                <w:lang w:val="en-GB"/>
              </w:rPr>
              <m:t>2,511</m:t>
            </m:r>
          </m:den>
        </m:f>
        <m:r>
          <w:rPr>
            <w:rFonts w:ascii="Cambria Math" w:eastAsiaTheme="minorEastAsia" w:hAnsi="Cambria Math"/>
            <w:sz w:val="24"/>
            <w:szCs w:val="24"/>
            <w:lang w:val="en-GB"/>
          </w:rPr>
          <m:t>≈</m:t>
        </m:r>
        <m:r>
          <m:rPr>
            <m:sty m:val="p"/>
          </m:rPr>
          <w:rPr>
            <w:rFonts w:ascii="Cambria Math" w:eastAsiaTheme="minorEastAsia" w:hAnsi="Cambria Math"/>
            <w:sz w:val="24"/>
            <w:szCs w:val="24"/>
            <w:lang w:val="en-GB"/>
          </w:rPr>
          <m:t>0,92</m:t>
        </m:r>
      </m:oMath>
    </w:p>
    <w:p w14:paraId="56F960DE" w14:textId="44F43BB5" w:rsidR="00DA7ED3" w:rsidRDefault="00DA7ED3" w:rsidP="00514B3B">
      <w:pPr>
        <w:rPr>
          <w:rFonts w:eastAsiaTheme="minorEastAsia"/>
          <w:bCs/>
          <w:sz w:val="24"/>
          <w:szCs w:val="24"/>
          <w:lang w:val="en-GB"/>
        </w:rPr>
      </w:pPr>
      <w:r w:rsidRPr="00DA7ED3">
        <w:rPr>
          <w:rFonts w:eastAsiaTheme="minorEastAsia"/>
          <w:b/>
          <w:bCs/>
          <w:sz w:val="24"/>
          <w:szCs w:val="24"/>
          <w:lang w:val="en-GB"/>
        </w:rPr>
        <w:t>2021</w:t>
      </w:r>
      <w:r>
        <w:rPr>
          <w:rFonts w:eastAsiaTheme="minorEastAsia"/>
          <w:b/>
          <w:bCs/>
          <w:sz w:val="24"/>
          <w:szCs w:val="24"/>
          <w:lang w:val="en-GB"/>
        </w:rPr>
        <w:t>=</w:t>
      </w:r>
      <m:oMath>
        <m:f>
          <m:fPr>
            <m:ctrlPr>
              <w:rPr>
                <w:rFonts w:ascii="Cambria Math" w:eastAsiaTheme="minorEastAsia" w:hAnsi="Cambria Math"/>
                <w:bCs/>
                <w:sz w:val="24"/>
                <w:szCs w:val="24"/>
                <w:lang w:val="en-GB"/>
              </w:rPr>
            </m:ctrlPr>
          </m:fPr>
          <m:num>
            <m:r>
              <w:rPr>
                <w:rFonts w:ascii="Cambria Math" w:eastAsiaTheme="minorEastAsia" w:hAnsi="Cambria Math"/>
                <w:sz w:val="24"/>
                <w:szCs w:val="24"/>
                <w:lang w:val="en-GB"/>
              </w:rPr>
              <m:t>2,355</m:t>
            </m:r>
          </m:num>
          <m:den>
            <m:r>
              <w:rPr>
                <w:rFonts w:ascii="Cambria Math" w:eastAsiaTheme="minorEastAsia" w:hAnsi="Cambria Math"/>
                <w:sz w:val="24"/>
                <w:szCs w:val="24"/>
                <w:lang w:val="en-GB"/>
              </w:rPr>
              <m:t>3,046</m:t>
            </m:r>
          </m:den>
        </m:f>
        <m:r>
          <w:rPr>
            <w:rFonts w:ascii="Cambria Math" w:eastAsiaTheme="minorEastAsia" w:hAnsi="Cambria Math"/>
            <w:sz w:val="24"/>
            <w:szCs w:val="24"/>
            <w:lang w:val="en-GB"/>
          </w:rPr>
          <m:t>≈</m:t>
        </m:r>
        <m:r>
          <m:rPr>
            <m:sty m:val="p"/>
          </m:rPr>
          <w:rPr>
            <w:rFonts w:ascii="Cambria Math" w:eastAsiaTheme="minorEastAsia" w:hAnsi="Cambria Math"/>
            <w:sz w:val="24"/>
            <w:szCs w:val="24"/>
            <w:lang w:val="en-GB"/>
          </w:rPr>
          <m:t>0,77</m:t>
        </m:r>
      </m:oMath>
    </w:p>
    <w:p w14:paraId="70EF02B0" w14:textId="77777777" w:rsidR="005C4AA0" w:rsidRDefault="005C4AA0" w:rsidP="005C4AA0">
      <w:pPr>
        <w:rPr>
          <w:sz w:val="24"/>
          <w:szCs w:val="24"/>
          <w:lang w:val="en-GB"/>
        </w:rPr>
      </w:pPr>
      <w:r w:rsidRPr="005C4AA0">
        <w:rPr>
          <w:sz w:val="24"/>
          <w:szCs w:val="24"/>
          <w:lang w:val="en-GB"/>
        </w:rPr>
        <w:t>The current ratio has improved, indicating better short-term liquidity. The company is in a better position to cover its current liabilities with its current assets.</w:t>
      </w:r>
    </w:p>
    <w:p w14:paraId="67773CB7" w14:textId="77777777" w:rsidR="005C4AA0" w:rsidRDefault="005C4AA0" w:rsidP="00A342B9">
      <w:pPr>
        <w:pStyle w:val="Heading3"/>
        <w:rPr>
          <w:lang w:val="en-GB"/>
        </w:rPr>
      </w:pPr>
      <w:bookmarkStart w:id="10" w:name="_Toc153705068"/>
      <w:r w:rsidRPr="005C4AA0">
        <w:rPr>
          <w:lang w:val="en-GB"/>
        </w:rPr>
        <w:t>Gearing Ratio</w:t>
      </w:r>
      <w:bookmarkEnd w:id="10"/>
    </w:p>
    <w:p w14:paraId="40AD8183" w14:textId="67703823" w:rsidR="005C4AA0" w:rsidRPr="005C4AA0" w:rsidRDefault="005C4AA0" w:rsidP="005C4AA0">
      <w:pPr>
        <w:rPr>
          <w:sz w:val="24"/>
          <w:szCs w:val="24"/>
          <w:lang w:val="en-GB"/>
        </w:rPr>
      </w:pPr>
      <w:r w:rsidRPr="005C4AA0">
        <w:rPr>
          <w:b/>
          <w:bCs/>
          <w:sz w:val="24"/>
          <w:szCs w:val="24"/>
        </w:rPr>
        <w:br/>
      </w:r>
      <w:r w:rsidRPr="005C4AA0">
        <w:rPr>
          <w:sz w:val="24"/>
          <w:szCs w:val="24"/>
        </w:rPr>
        <w:t>The Gearing Ratio, also known as the Debt-to-Equity Ratio, is a financial metric that measures the proportion of a company's capital that is financed through debt compared to equity.</w:t>
      </w:r>
    </w:p>
    <w:p w14:paraId="2E68878E" w14:textId="4A2B0293" w:rsidR="005C4AA0" w:rsidRPr="005C4AA0" w:rsidRDefault="005C4AA0" w:rsidP="005C4AA0">
      <w:pPr>
        <w:rPr>
          <w:b/>
          <w:bCs/>
          <w:sz w:val="24"/>
          <w:szCs w:val="24"/>
          <w:lang w:val="en-GB"/>
        </w:rPr>
      </w:pPr>
      <w:r w:rsidRPr="005C4AA0">
        <w:rPr>
          <w:b/>
          <w:bCs/>
          <w:sz w:val="24"/>
          <w:szCs w:val="24"/>
          <w:lang w:val="en-GB"/>
        </w:rPr>
        <w:t>Gearing Ratio</w:t>
      </w:r>
      <w:r>
        <w:rPr>
          <w:b/>
          <w:bCs/>
          <w:sz w:val="24"/>
          <w:szCs w:val="24"/>
          <w:lang w:val="en-GB"/>
        </w:rPr>
        <w:t>=</w:t>
      </w:r>
      <m:oMath>
        <m:f>
          <m:fPr>
            <m:ctrlPr>
              <w:rPr>
                <w:rFonts w:ascii="Cambria Math" w:hAnsi="Cambria Math"/>
                <w:bCs/>
                <w:sz w:val="24"/>
                <w:szCs w:val="24"/>
                <w:lang w:val="en-GB"/>
              </w:rPr>
            </m:ctrlPr>
          </m:fPr>
          <m:num>
            <m:r>
              <w:rPr>
                <w:rFonts w:ascii="Cambria Math" w:hAnsi="Cambria Math"/>
                <w:sz w:val="24"/>
                <w:szCs w:val="24"/>
                <w:lang w:val="en-GB"/>
              </w:rPr>
              <m:t>long-term liabilities</m:t>
            </m:r>
          </m:num>
          <m:den>
            <m:r>
              <w:rPr>
                <w:rFonts w:ascii="Cambria Math" w:hAnsi="Cambria Math"/>
                <w:sz w:val="24"/>
                <w:szCs w:val="24"/>
                <w:lang w:val="en-GB"/>
              </w:rPr>
              <m:t xml:space="preserve">total equity </m:t>
            </m:r>
          </m:den>
        </m:f>
      </m:oMath>
    </w:p>
    <w:p w14:paraId="71F30E3C" w14:textId="77777777" w:rsidR="005C4AA0" w:rsidRPr="005C4AA0" w:rsidRDefault="005C4AA0" w:rsidP="005C4AA0">
      <w:pPr>
        <w:rPr>
          <w:b/>
          <w:bCs/>
          <w:sz w:val="24"/>
          <w:szCs w:val="24"/>
          <w:lang w:val="en-GB"/>
        </w:rPr>
      </w:pPr>
    </w:p>
    <w:p w14:paraId="3749E5CC" w14:textId="738F8FED" w:rsidR="005C4AA0" w:rsidRDefault="005C4AA0" w:rsidP="005C4AA0">
      <w:pPr>
        <w:rPr>
          <w:rFonts w:eastAsiaTheme="minorEastAsia"/>
          <w:bCs/>
          <w:sz w:val="24"/>
          <w:szCs w:val="24"/>
          <w:lang w:val="en-GB"/>
        </w:rPr>
      </w:pPr>
      <w:r w:rsidRPr="005C4AA0">
        <w:rPr>
          <w:b/>
          <w:bCs/>
          <w:sz w:val="24"/>
          <w:szCs w:val="24"/>
          <w:lang w:val="en-GB"/>
        </w:rPr>
        <w:t>2022</w:t>
      </w:r>
      <w:r>
        <w:rPr>
          <w:b/>
          <w:bCs/>
          <w:sz w:val="24"/>
          <w:szCs w:val="24"/>
          <w:lang w:val="en-GB"/>
        </w:rPr>
        <w:t>=</w:t>
      </w:r>
      <m:oMath>
        <m:f>
          <m:fPr>
            <m:ctrlPr>
              <w:rPr>
                <w:rFonts w:ascii="Cambria Math" w:hAnsi="Cambria Math"/>
                <w:bCs/>
                <w:sz w:val="24"/>
                <w:szCs w:val="24"/>
                <w:lang w:val="en-GB"/>
              </w:rPr>
            </m:ctrlPr>
          </m:fPr>
          <m:num>
            <m:r>
              <w:rPr>
                <w:rFonts w:ascii="Cambria Math" w:hAnsi="Cambria Math"/>
                <w:sz w:val="24"/>
                <w:szCs w:val="24"/>
                <w:lang w:val="en-GB"/>
              </w:rPr>
              <m:t>4,137</m:t>
            </m:r>
          </m:num>
          <m:den>
            <m:r>
              <w:rPr>
                <w:rFonts w:ascii="Cambria Math" w:hAnsi="Cambria Math"/>
                <w:sz w:val="24"/>
                <w:szCs w:val="24"/>
                <w:lang w:val="en-GB"/>
              </w:rPr>
              <m:t>3,088</m:t>
            </m:r>
          </m:den>
        </m:f>
        <m:r>
          <w:rPr>
            <w:rFonts w:ascii="Cambria Math" w:hAnsi="Cambria Math"/>
            <w:sz w:val="24"/>
            <w:szCs w:val="24"/>
            <w:lang w:val="en-GB"/>
          </w:rPr>
          <m:t>≈</m:t>
        </m:r>
        <m:r>
          <m:rPr>
            <m:sty m:val="p"/>
          </m:rPr>
          <w:rPr>
            <w:rFonts w:ascii="Cambria Math" w:hAnsi="Cambria Math"/>
            <w:sz w:val="24"/>
            <w:szCs w:val="24"/>
            <w:lang w:val="en-GB"/>
          </w:rPr>
          <m:t>134,00%</m:t>
        </m:r>
      </m:oMath>
    </w:p>
    <w:p w14:paraId="7893FB1C" w14:textId="73281CB1" w:rsidR="005C4AA0" w:rsidRPr="005C4AA0" w:rsidRDefault="005C4AA0" w:rsidP="005C4AA0">
      <w:pPr>
        <w:rPr>
          <w:b/>
          <w:bCs/>
          <w:sz w:val="24"/>
          <w:szCs w:val="24"/>
          <w:lang w:val="en-GB"/>
        </w:rPr>
      </w:pPr>
      <w:r w:rsidRPr="005C4AA0">
        <w:rPr>
          <w:rFonts w:eastAsiaTheme="minorEastAsia"/>
          <w:b/>
          <w:sz w:val="24"/>
          <w:szCs w:val="24"/>
          <w:lang w:val="en-GB"/>
        </w:rPr>
        <w:t>2021</w:t>
      </w:r>
      <w:r>
        <w:rPr>
          <w:rFonts w:eastAsiaTheme="minorEastAsia"/>
          <w:bCs/>
          <w:sz w:val="24"/>
          <w:szCs w:val="24"/>
          <w:lang w:val="en-GB"/>
        </w:rPr>
        <w:t>=</w:t>
      </w:r>
      <m:oMath>
        <m:f>
          <m:fPr>
            <m:ctrlPr>
              <w:rPr>
                <w:rFonts w:ascii="Cambria Math" w:eastAsiaTheme="minorEastAsia" w:hAnsi="Cambria Math"/>
                <w:bCs/>
                <w:sz w:val="24"/>
                <w:szCs w:val="24"/>
                <w:lang w:val="en-GB"/>
              </w:rPr>
            </m:ctrlPr>
          </m:fPr>
          <m:num>
            <m:r>
              <w:rPr>
                <w:rFonts w:ascii="Cambria Math" w:eastAsiaTheme="minorEastAsia" w:hAnsi="Cambria Math"/>
                <w:sz w:val="24"/>
                <w:szCs w:val="24"/>
                <w:lang w:val="en-GB"/>
              </w:rPr>
              <m:t>4,129</m:t>
            </m:r>
          </m:num>
          <m:den>
            <m:r>
              <w:rPr>
                <w:rFonts w:ascii="Cambria Math" w:eastAsiaTheme="minorEastAsia" w:hAnsi="Cambria Math"/>
                <w:sz w:val="24"/>
                <w:szCs w:val="24"/>
                <w:lang w:val="en-GB"/>
              </w:rPr>
              <m:t>2.912</m:t>
            </m:r>
          </m:den>
        </m:f>
        <m:r>
          <w:rPr>
            <w:rFonts w:ascii="Cambria Math" w:eastAsiaTheme="minorEastAsia" w:hAnsi="Cambria Math"/>
            <w:sz w:val="24"/>
            <w:szCs w:val="24"/>
            <w:lang w:val="en-GB"/>
          </w:rPr>
          <m:t xml:space="preserve"> ≈141,79%</m:t>
        </m:r>
      </m:oMath>
    </w:p>
    <w:p w14:paraId="699201D5" w14:textId="77777777" w:rsidR="005C4AA0" w:rsidRDefault="005C4AA0" w:rsidP="005C4AA0">
      <w:pPr>
        <w:rPr>
          <w:sz w:val="24"/>
          <w:szCs w:val="24"/>
          <w:lang w:val="en-GB"/>
        </w:rPr>
      </w:pPr>
      <w:r w:rsidRPr="005C4AA0">
        <w:rPr>
          <w:sz w:val="24"/>
          <w:szCs w:val="24"/>
          <w:lang w:val="en-GB"/>
        </w:rPr>
        <w:t>The decrease in the gearing ratio suggests a reduction in financial risk, with less reliance on debt compared to equity.</w:t>
      </w:r>
    </w:p>
    <w:p w14:paraId="3FBE85B4" w14:textId="66A7BB66" w:rsidR="00E7358F" w:rsidRPr="00E7358F" w:rsidRDefault="005C4AA0" w:rsidP="005C4AA0">
      <w:pPr>
        <w:rPr>
          <w:b/>
          <w:bCs/>
          <w:sz w:val="24"/>
          <w:szCs w:val="24"/>
          <w:lang w:val="en-GB"/>
        </w:rPr>
      </w:pPr>
      <w:bookmarkStart w:id="11" w:name="_Toc153705069"/>
      <w:r w:rsidRPr="00A342B9">
        <w:rPr>
          <w:rStyle w:val="Heading3Char"/>
          <w:lang w:val="en-GB"/>
        </w:rPr>
        <w:t>Interest Cover</w:t>
      </w:r>
      <w:bookmarkEnd w:id="11"/>
      <w:r w:rsidR="00E7358F" w:rsidRPr="00E7358F">
        <w:rPr>
          <w:b/>
          <w:bCs/>
          <w:sz w:val="24"/>
          <w:szCs w:val="24"/>
        </w:rPr>
        <w:br/>
      </w:r>
      <w:r w:rsidR="00E7358F" w:rsidRPr="00E7358F">
        <w:rPr>
          <w:sz w:val="24"/>
          <w:szCs w:val="24"/>
        </w:rPr>
        <w:t>Interest Cover, also known as the Interest Coverage Ratio, is a financial metric used to determine how well a company can pay the interest on its outstanding debt with its current earnings before interest and taxes (EBIT)</w:t>
      </w:r>
    </w:p>
    <w:p w14:paraId="256512C8" w14:textId="72A5FA48" w:rsidR="005C4AA0" w:rsidRPr="005C4AA0" w:rsidRDefault="005C4AA0" w:rsidP="005C4AA0">
      <w:pPr>
        <w:rPr>
          <w:sz w:val="24"/>
          <w:szCs w:val="24"/>
          <w:lang w:val="en-GB"/>
        </w:rPr>
      </w:pPr>
      <w:r w:rsidRPr="005C4AA0">
        <w:rPr>
          <w:b/>
          <w:bCs/>
          <w:sz w:val="24"/>
          <w:szCs w:val="24"/>
          <w:lang w:val="en-GB"/>
        </w:rPr>
        <w:lastRenderedPageBreak/>
        <w:t xml:space="preserve"> Interest Cover</w:t>
      </w:r>
      <w:r>
        <w:rPr>
          <w:b/>
          <w:bCs/>
          <w:sz w:val="24"/>
          <w:szCs w:val="24"/>
          <w:lang w:val="en-GB"/>
        </w:rPr>
        <w:t>=</w:t>
      </w:r>
      <m:oMath>
        <m:f>
          <m:fPr>
            <m:ctrlPr>
              <w:rPr>
                <w:rFonts w:ascii="Cambria Math" w:hAnsi="Cambria Math"/>
                <w:bCs/>
                <w:sz w:val="24"/>
                <w:szCs w:val="24"/>
                <w:lang w:val="en-GB"/>
              </w:rPr>
            </m:ctrlPr>
          </m:fPr>
          <m:num>
            <m:r>
              <w:rPr>
                <w:rFonts w:ascii="Cambria Math" w:hAnsi="Cambria Math"/>
                <w:sz w:val="24"/>
                <w:szCs w:val="24"/>
                <w:lang w:val="en-GB"/>
              </w:rPr>
              <m:t>operating profit</m:t>
            </m:r>
          </m:num>
          <m:den>
            <m:r>
              <w:rPr>
                <w:rFonts w:ascii="Cambria Math" w:hAnsi="Cambria Math"/>
                <w:sz w:val="24"/>
                <w:szCs w:val="24"/>
                <w:lang w:val="en-GB"/>
              </w:rPr>
              <m:t>interest payable</m:t>
            </m:r>
          </m:den>
        </m:f>
      </m:oMath>
    </w:p>
    <w:p w14:paraId="4D98A2F9" w14:textId="3E1BDD48" w:rsidR="00DA7ED3" w:rsidRDefault="005C4AA0" w:rsidP="00514B3B">
      <w:pPr>
        <w:rPr>
          <w:rFonts w:eastAsiaTheme="minorEastAsia"/>
          <w:bCs/>
          <w:sz w:val="24"/>
          <w:szCs w:val="24"/>
        </w:rPr>
      </w:pPr>
      <w:r>
        <w:rPr>
          <w:b/>
          <w:bCs/>
          <w:sz w:val="24"/>
          <w:szCs w:val="24"/>
        </w:rPr>
        <w:t>2022=</w:t>
      </w:r>
      <m:oMath>
        <m:f>
          <m:fPr>
            <m:ctrlPr>
              <w:rPr>
                <w:rFonts w:ascii="Cambria Math" w:hAnsi="Cambria Math"/>
                <w:bCs/>
                <w:sz w:val="24"/>
                <w:szCs w:val="24"/>
              </w:rPr>
            </m:ctrlPr>
          </m:fPr>
          <m:num>
            <m:r>
              <w:rPr>
                <w:rFonts w:ascii="Cambria Math" w:hAnsi="Cambria Math"/>
                <w:sz w:val="24"/>
                <w:szCs w:val="24"/>
              </w:rPr>
              <m:t>805</m:t>
            </m:r>
          </m:num>
          <m:den>
            <m:r>
              <w:rPr>
                <w:rFonts w:ascii="Cambria Math" w:hAnsi="Cambria Math"/>
                <w:sz w:val="24"/>
                <w:szCs w:val="24"/>
              </w:rPr>
              <m:t>226</m:t>
            </m:r>
          </m:den>
        </m:f>
        <m:r>
          <w:rPr>
            <w:rFonts w:ascii="Cambria Math" w:hAnsi="Cambria Math"/>
            <w:sz w:val="24"/>
            <w:szCs w:val="24"/>
          </w:rPr>
          <m:t>≈</m:t>
        </m:r>
        <m:r>
          <m:rPr>
            <m:sty m:val="p"/>
          </m:rPr>
          <w:rPr>
            <w:rFonts w:ascii="Cambria Math" w:hAnsi="Cambria Math"/>
            <w:sz w:val="24"/>
            <w:szCs w:val="24"/>
          </w:rPr>
          <m:t>3,56</m:t>
        </m:r>
      </m:oMath>
    </w:p>
    <w:p w14:paraId="2E6C3FA7" w14:textId="6BD59D04" w:rsidR="005C4AA0" w:rsidRDefault="005C4AA0" w:rsidP="00514B3B">
      <w:pPr>
        <w:rPr>
          <w:rFonts w:eastAsiaTheme="minorEastAsia"/>
          <w:sz w:val="24"/>
          <w:szCs w:val="24"/>
        </w:rPr>
      </w:pPr>
      <w:r w:rsidRPr="005C4AA0">
        <w:rPr>
          <w:rFonts w:eastAsiaTheme="minorEastAsia"/>
          <w:b/>
          <w:sz w:val="24"/>
          <w:szCs w:val="24"/>
        </w:rPr>
        <w:t>2021</w:t>
      </w:r>
      <w:r>
        <w:rPr>
          <w:rFonts w:eastAsiaTheme="minorEastAsia"/>
          <w:b/>
          <w:sz w:val="24"/>
          <w:szCs w:val="24"/>
        </w:rPr>
        <w:t>=</w:t>
      </w:r>
      <m:oMath>
        <m:f>
          <m:fPr>
            <m:ctrlPr>
              <w:rPr>
                <w:rFonts w:ascii="Cambria Math" w:eastAsiaTheme="minorEastAsia" w:hAnsi="Cambria Math"/>
                <w:sz w:val="24"/>
                <w:szCs w:val="24"/>
              </w:rPr>
            </m:ctrlPr>
          </m:fPr>
          <m:num>
            <m:r>
              <w:rPr>
                <w:rFonts w:ascii="Cambria Math" w:eastAsiaTheme="minorEastAsia" w:hAnsi="Cambria Math"/>
                <w:sz w:val="24"/>
                <w:szCs w:val="24"/>
              </w:rPr>
              <m:t>699</m:t>
            </m:r>
          </m:num>
          <m:den>
            <m:r>
              <w:rPr>
                <w:rFonts w:ascii="Cambria Math" w:eastAsiaTheme="minorEastAsia" w:hAnsi="Cambria Math"/>
                <w:sz w:val="24"/>
                <w:szCs w:val="24"/>
              </w:rPr>
              <m:t>181</m:t>
            </m:r>
          </m:den>
        </m:f>
        <m:r>
          <w:rPr>
            <w:rFonts w:ascii="Cambria Math" w:eastAsiaTheme="minorEastAsia" w:hAnsi="Cambria Math"/>
            <w:sz w:val="24"/>
            <w:szCs w:val="24"/>
          </w:rPr>
          <m:t>≈</m:t>
        </m:r>
        <m:r>
          <m:rPr>
            <m:sty m:val="p"/>
          </m:rPr>
          <w:rPr>
            <w:rFonts w:ascii="Cambria Math" w:eastAsiaTheme="minorEastAsia" w:hAnsi="Cambria Math"/>
            <w:sz w:val="24"/>
            <w:szCs w:val="24"/>
          </w:rPr>
          <m:t>3,86</m:t>
        </m:r>
      </m:oMath>
    </w:p>
    <w:p w14:paraId="4193F66D" w14:textId="77777777" w:rsidR="00E7358F" w:rsidRPr="00E7358F" w:rsidRDefault="00E7358F" w:rsidP="00E7358F">
      <w:pPr>
        <w:rPr>
          <w:rFonts w:eastAsiaTheme="minorEastAsia"/>
          <w:sz w:val="24"/>
          <w:szCs w:val="24"/>
          <w:lang w:val="en-GB"/>
        </w:rPr>
      </w:pPr>
      <w:r w:rsidRPr="00E7358F">
        <w:rPr>
          <w:rFonts w:eastAsiaTheme="minorEastAsia"/>
          <w:sz w:val="24"/>
          <w:szCs w:val="24"/>
          <w:lang w:val="en-GB"/>
        </w:rPr>
        <w:t>A decrease in the interest cover ratio indicates that the company's ability to cover interest expenses with its operating profit has slightly declined. This could be due to increased interest expenses or changes in operating profit.</w:t>
      </w:r>
    </w:p>
    <w:p w14:paraId="398DFAE5" w14:textId="77777777" w:rsidR="00E37244" w:rsidRDefault="00E37244" w:rsidP="00E37244">
      <w:pPr>
        <w:pStyle w:val="Heading1"/>
      </w:pPr>
      <w:bookmarkStart w:id="12" w:name="_Toc153705070"/>
      <w:r>
        <w:t>Conclusion</w:t>
      </w:r>
      <w:bookmarkEnd w:id="12"/>
      <w:r>
        <w:t xml:space="preserve"> </w:t>
      </w:r>
    </w:p>
    <w:p w14:paraId="4C38ACFF" w14:textId="44F6DDC7" w:rsidR="00E37244" w:rsidRDefault="00E37244" w:rsidP="00E37244">
      <w:r w:rsidRPr="00E37244">
        <w:rPr>
          <w:sz w:val="24"/>
          <w:szCs w:val="24"/>
        </w:rPr>
        <w:br/>
      </w:r>
      <w:r w:rsidRPr="00E37244">
        <w:t>This project successfully underscores the crucial significance of financial statement analysis. Central to the project was a detailed examination of various statements to discern their authenticity, classifying them as either accurate or misleading. Essential to this analysis was not only identifying the truthfulness of the statements but also providing comprehensive explanations and interpretations</w:t>
      </w:r>
      <w:r>
        <w:t>.</w:t>
      </w:r>
    </w:p>
    <w:p w14:paraId="1B69F041" w14:textId="77777777" w:rsidR="00E37244" w:rsidRDefault="00E37244" w:rsidP="00E37244"/>
    <w:p w14:paraId="26BDF71E" w14:textId="77777777" w:rsidR="00E37244" w:rsidRPr="00E37244" w:rsidRDefault="00E37244" w:rsidP="00E37244">
      <w:pPr>
        <w:rPr>
          <w:sz w:val="32"/>
          <w:szCs w:val="32"/>
        </w:rPr>
      </w:pPr>
    </w:p>
    <w:p w14:paraId="380E4935" w14:textId="77777777" w:rsidR="00810DD9" w:rsidRDefault="0011447F" w:rsidP="0011447F">
      <w:pPr>
        <w:pStyle w:val="Heading1"/>
      </w:pPr>
      <w:bookmarkStart w:id="13" w:name="_Toc153705071"/>
      <w:r>
        <w:t>References</w:t>
      </w:r>
      <w:bookmarkEnd w:id="13"/>
      <w:r>
        <w:t xml:space="preserve"> </w:t>
      </w:r>
    </w:p>
    <w:p w14:paraId="171B3FD6" w14:textId="77777777" w:rsidR="0011447F" w:rsidRPr="0011447F" w:rsidRDefault="0011447F" w:rsidP="0011447F">
      <w:pPr>
        <w:rPr>
          <w:lang w:val="en-GB"/>
        </w:rPr>
      </w:pPr>
      <w:r w:rsidRPr="0011447F">
        <w:rPr>
          <w:lang w:val="en-GB"/>
        </w:rPr>
        <w:t xml:space="preserve">Wahlen, J.M., Baginski, S.P. and Bradshaw, M., 2020. </w:t>
      </w:r>
      <w:r w:rsidRPr="0011447F">
        <w:rPr>
          <w:i/>
          <w:iCs/>
          <w:lang w:val="en-GB"/>
        </w:rPr>
        <w:t>Financial Reporting, Financial Statement Analysis, and Valuation</w:t>
      </w:r>
      <w:r w:rsidRPr="0011447F">
        <w:rPr>
          <w:lang w:val="en-GB"/>
        </w:rPr>
        <w:t>. 9th ed. Boston, MA: Cengage Learning.</w:t>
      </w:r>
    </w:p>
    <w:p w14:paraId="0B6CB675" w14:textId="77777777" w:rsidR="0011447F" w:rsidRPr="0011447F" w:rsidRDefault="0011447F" w:rsidP="0011447F">
      <w:pPr>
        <w:rPr>
          <w:lang w:val="en-GB"/>
        </w:rPr>
      </w:pPr>
      <w:r w:rsidRPr="0011447F">
        <w:rPr>
          <w:lang w:val="en-GB"/>
        </w:rPr>
        <w:t xml:space="preserve">Kimmel, P.D., Weygandt, J.J. and Kieso, D.E., 2018. </w:t>
      </w:r>
      <w:r w:rsidRPr="0011447F">
        <w:rPr>
          <w:i/>
          <w:iCs/>
          <w:lang w:val="en-GB"/>
        </w:rPr>
        <w:t>Financial Accounting: Tools for Business Decision Making</w:t>
      </w:r>
      <w:r w:rsidRPr="0011447F">
        <w:rPr>
          <w:lang w:val="en-GB"/>
        </w:rPr>
        <w:t>. 8th ed. Hoboken, NJ: John Wiley &amp; Sons.</w:t>
      </w:r>
    </w:p>
    <w:p w14:paraId="64A06571" w14:textId="77777777" w:rsidR="005B6903" w:rsidRPr="005B6903" w:rsidRDefault="005B6903" w:rsidP="00862F84">
      <w:pPr>
        <w:rPr>
          <w:lang w:val="en-GB"/>
        </w:rPr>
      </w:pPr>
      <w:r w:rsidRPr="005B6903">
        <w:rPr>
          <w:lang w:val="en-GB"/>
        </w:rPr>
        <w:t xml:space="preserve">Kieso, D.E., Weygandt, J.J. and Warfield, T.D., 2019. </w:t>
      </w:r>
      <w:r w:rsidRPr="005B6903">
        <w:rPr>
          <w:i/>
          <w:iCs/>
          <w:lang w:val="en-GB"/>
        </w:rPr>
        <w:t>Intermediate Accounting</w:t>
      </w:r>
      <w:r w:rsidRPr="005B6903">
        <w:rPr>
          <w:lang w:val="en-GB"/>
        </w:rPr>
        <w:t>. Hoboken, NJ: John Wiley &amp; Sons.</w:t>
      </w:r>
    </w:p>
    <w:p w14:paraId="78609011" w14:textId="77777777" w:rsidR="005B6903" w:rsidRPr="005B6903" w:rsidRDefault="005B6903" w:rsidP="00862F84">
      <w:pPr>
        <w:rPr>
          <w:lang w:val="en-GB"/>
        </w:rPr>
      </w:pPr>
      <w:r w:rsidRPr="005B6903">
        <w:rPr>
          <w:lang w:val="en-GB"/>
        </w:rPr>
        <w:t xml:space="preserve">Brigham, E.F. and Ehrhardt, M.C., 2017. </w:t>
      </w:r>
      <w:r w:rsidRPr="005B6903">
        <w:rPr>
          <w:i/>
          <w:iCs/>
          <w:lang w:val="en-GB"/>
        </w:rPr>
        <w:t>Financial Management: Theory &amp; Practice</w:t>
      </w:r>
      <w:r w:rsidRPr="005B6903">
        <w:rPr>
          <w:lang w:val="en-GB"/>
        </w:rPr>
        <w:t>. Boston, MA: Cengage Learning.</w:t>
      </w:r>
    </w:p>
    <w:p w14:paraId="2B83CB39" w14:textId="77777777" w:rsidR="0049066F" w:rsidRPr="0049066F" w:rsidRDefault="0049066F" w:rsidP="0049066F">
      <w:pPr>
        <w:rPr>
          <w:lang w:val="en-GB"/>
        </w:rPr>
      </w:pPr>
      <w:r w:rsidRPr="0049066F">
        <w:rPr>
          <w:lang w:val="en-GB"/>
        </w:rPr>
        <w:t xml:space="preserve">Palepu, K.G. and Healy, P.M., 2020. </w:t>
      </w:r>
      <w:r w:rsidRPr="0049066F">
        <w:rPr>
          <w:i/>
          <w:iCs/>
          <w:lang w:val="en-GB"/>
        </w:rPr>
        <w:t>Business Analysis and Valuation: Using Financial Statements</w:t>
      </w:r>
      <w:r w:rsidRPr="0049066F">
        <w:rPr>
          <w:lang w:val="en-GB"/>
        </w:rPr>
        <w:t>. Boston, MA: Cengage Learning.</w:t>
      </w:r>
    </w:p>
    <w:p w14:paraId="7A1804AC" w14:textId="77777777" w:rsidR="0049066F" w:rsidRPr="0049066F" w:rsidRDefault="0049066F" w:rsidP="0049066F">
      <w:pPr>
        <w:rPr>
          <w:lang w:val="en-GB"/>
        </w:rPr>
      </w:pPr>
      <w:r w:rsidRPr="0049066F">
        <w:rPr>
          <w:lang w:val="en-GB"/>
        </w:rPr>
        <w:t xml:space="preserve">Penman, S.H., 2017. </w:t>
      </w:r>
      <w:r w:rsidRPr="0049066F">
        <w:rPr>
          <w:i/>
          <w:iCs/>
          <w:lang w:val="en-GB"/>
        </w:rPr>
        <w:t>Financial Statement Analysis and Security Valuation</w:t>
      </w:r>
      <w:r w:rsidRPr="0049066F">
        <w:rPr>
          <w:lang w:val="en-GB"/>
        </w:rPr>
        <w:t>. New York, NY: McGraw-Hill Education.</w:t>
      </w:r>
    </w:p>
    <w:p w14:paraId="067838D1" w14:textId="77777777" w:rsidR="0011447F" w:rsidRDefault="00A23437" w:rsidP="0011447F">
      <w:r w:rsidRPr="00A23437">
        <w:t xml:space="preserve">Warren, C.S., Reeve, J.M., and Duchac, J.E., 2018. </w:t>
      </w:r>
      <w:r w:rsidRPr="00A23437">
        <w:rPr>
          <w:i/>
          <w:iCs/>
        </w:rPr>
        <w:t>Corporate Financial Accounting</w:t>
      </w:r>
      <w:r w:rsidRPr="00A23437">
        <w:t>. Boston, MA: Cengage Learning.</w:t>
      </w:r>
    </w:p>
    <w:p w14:paraId="4D2866FE" w14:textId="77777777" w:rsidR="00C75131" w:rsidRPr="00C75131" w:rsidRDefault="00C75131" w:rsidP="00C75131">
      <w:pPr>
        <w:rPr>
          <w:lang w:val="en-GB"/>
        </w:rPr>
      </w:pPr>
      <w:r w:rsidRPr="00C75131">
        <w:rPr>
          <w:lang w:val="en-GB"/>
        </w:rPr>
        <w:lastRenderedPageBreak/>
        <w:t xml:space="preserve">Palepu, K.G. and Healy, P.M., 2020. </w:t>
      </w:r>
      <w:r w:rsidRPr="00C75131">
        <w:rPr>
          <w:i/>
          <w:iCs/>
          <w:lang w:val="en-GB"/>
        </w:rPr>
        <w:t>Business Analysis and Valuation: Using Financial Statements</w:t>
      </w:r>
      <w:r w:rsidRPr="00C75131">
        <w:rPr>
          <w:lang w:val="en-GB"/>
        </w:rPr>
        <w:t>. Boston, MA: Cengage Learning.</w:t>
      </w:r>
    </w:p>
    <w:p w14:paraId="2203F98A" w14:textId="77777777" w:rsidR="00C75131" w:rsidRPr="00C75131" w:rsidRDefault="00C75131" w:rsidP="00C75131">
      <w:pPr>
        <w:rPr>
          <w:lang w:val="en-GB"/>
        </w:rPr>
      </w:pPr>
      <w:r w:rsidRPr="00C75131">
        <w:rPr>
          <w:lang w:val="en-GB"/>
        </w:rPr>
        <w:t xml:space="preserve">Spiceland, D.J., Thomas, W.G., and Herrmann, D., 2019. </w:t>
      </w:r>
      <w:r w:rsidRPr="00C75131">
        <w:rPr>
          <w:i/>
          <w:iCs/>
          <w:lang w:val="en-GB"/>
        </w:rPr>
        <w:t>Financial Accounting</w:t>
      </w:r>
      <w:r w:rsidRPr="00C75131">
        <w:rPr>
          <w:lang w:val="en-GB"/>
        </w:rPr>
        <w:t>. New York, NY: McGraw-Hill Education.</w:t>
      </w:r>
    </w:p>
    <w:p w14:paraId="0D88DFC1" w14:textId="77777777" w:rsidR="00C75131" w:rsidRPr="0011447F" w:rsidRDefault="00C75131" w:rsidP="0011447F"/>
    <w:sectPr w:rsidR="00C75131" w:rsidRPr="0011447F" w:rsidSect="005B3C6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82FC1" w14:textId="77777777" w:rsidR="00524CF4" w:rsidRDefault="00524CF4" w:rsidP="003B0950">
      <w:pPr>
        <w:spacing w:after="0" w:line="240" w:lineRule="auto"/>
      </w:pPr>
      <w:r>
        <w:separator/>
      </w:r>
    </w:p>
  </w:endnote>
  <w:endnote w:type="continuationSeparator" w:id="0">
    <w:p w14:paraId="0C67EB0F" w14:textId="77777777" w:rsidR="00524CF4" w:rsidRDefault="00524CF4" w:rsidP="003B0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2638C" w14:textId="77777777" w:rsidR="00524CF4" w:rsidRDefault="00524CF4" w:rsidP="003B0950">
      <w:pPr>
        <w:spacing w:after="0" w:line="240" w:lineRule="auto"/>
      </w:pPr>
      <w:r>
        <w:separator/>
      </w:r>
    </w:p>
  </w:footnote>
  <w:footnote w:type="continuationSeparator" w:id="0">
    <w:p w14:paraId="7A06CF94" w14:textId="77777777" w:rsidR="00524CF4" w:rsidRDefault="00524CF4" w:rsidP="003B0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536686"/>
      <w:docPartObj>
        <w:docPartGallery w:val="Page Numbers (Top of Page)"/>
        <w:docPartUnique/>
      </w:docPartObj>
    </w:sdtPr>
    <w:sdtEndPr>
      <w:rPr>
        <w:noProof/>
      </w:rPr>
    </w:sdtEndPr>
    <w:sdtContent>
      <w:p w14:paraId="079B3069" w14:textId="420047A4" w:rsidR="00A342B9" w:rsidRDefault="00A342B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480B063" w14:textId="77777777" w:rsidR="00A342B9" w:rsidRDefault="00A34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8090E"/>
    <w:multiLevelType w:val="multilevel"/>
    <w:tmpl w:val="1198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E7AD7"/>
    <w:multiLevelType w:val="multilevel"/>
    <w:tmpl w:val="B95E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8250F"/>
    <w:multiLevelType w:val="multilevel"/>
    <w:tmpl w:val="C5B6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2757DB"/>
    <w:multiLevelType w:val="multilevel"/>
    <w:tmpl w:val="6E7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4D091A"/>
    <w:multiLevelType w:val="multilevel"/>
    <w:tmpl w:val="B7DC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3B29D4"/>
    <w:multiLevelType w:val="multilevel"/>
    <w:tmpl w:val="E37E0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D8454D"/>
    <w:multiLevelType w:val="multilevel"/>
    <w:tmpl w:val="A8ECE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99209D"/>
    <w:multiLevelType w:val="multilevel"/>
    <w:tmpl w:val="C772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FA5C89"/>
    <w:multiLevelType w:val="multilevel"/>
    <w:tmpl w:val="55AC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01104A"/>
    <w:multiLevelType w:val="multilevel"/>
    <w:tmpl w:val="109EE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AA3A83"/>
    <w:multiLevelType w:val="multilevel"/>
    <w:tmpl w:val="D0E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4C5879"/>
    <w:multiLevelType w:val="multilevel"/>
    <w:tmpl w:val="A14A0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D2720E"/>
    <w:multiLevelType w:val="multilevel"/>
    <w:tmpl w:val="B036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DC7B33"/>
    <w:multiLevelType w:val="multilevel"/>
    <w:tmpl w:val="5C54A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7A6FFA"/>
    <w:multiLevelType w:val="multilevel"/>
    <w:tmpl w:val="37F03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5B0E07"/>
    <w:multiLevelType w:val="multilevel"/>
    <w:tmpl w:val="8C10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EF4AB3"/>
    <w:multiLevelType w:val="multilevel"/>
    <w:tmpl w:val="0674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FD71DB"/>
    <w:multiLevelType w:val="multilevel"/>
    <w:tmpl w:val="7F86A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F4786F"/>
    <w:multiLevelType w:val="multilevel"/>
    <w:tmpl w:val="32F4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8389934">
    <w:abstractNumId w:val="11"/>
  </w:num>
  <w:num w:numId="2" w16cid:durableId="1632708123">
    <w:abstractNumId w:val="5"/>
  </w:num>
  <w:num w:numId="3" w16cid:durableId="396324243">
    <w:abstractNumId w:val="14"/>
  </w:num>
  <w:num w:numId="4" w16cid:durableId="1650672692">
    <w:abstractNumId w:val="9"/>
  </w:num>
  <w:num w:numId="5" w16cid:durableId="2106882546">
    <w:abstractNumId w:val="13"/>
  </w:num>
  <w:num w:numId="6" w16cid:durableId="1145046582">
    <w:abstractNumId w:val="4"/>
  </w:num>
  <w:num w:numId="7" w16cid:durableId="624234761">
    <w:abstractNumId w:val="1"/>
  </w:num>
  <w:num w:numId="8" w16cid:durableId="365453397">
    <w:abstractNumId w:val="0"/>
  </w:num>
  <w:num w:numId="9" w16cid:durableId="992879678">
    <w:abstractNumId w:val="7"/>
  </w:num>
  <w:num w:numId="10" w16cid:durableId="659192265">
    <w:abstractNumId w:val="16"/>
  </w:num>
  <w:num w:numId="11" w16cid:durableId="1281764697">
    <w:abstractNumId w:val="18"/>
  </w:num>
  <w:num w:numId="12" w16cid:durableId="2113939456">
    <w:abstractNumId w:val="10"/>
  </w:num>
  <w:num w:numId="13" w16cid:durableId="1012488075">
    <w:abstractNumId w:val="15"/>
  </w:num>
  <w:num w:numId="14" w16cid:durableId="863441249">
    <w:abstractNumId w:val="17"/>
  </w:num>
  <w:num w:numId="15" w16cid:durableId="44333074">
    <w:abstractNumId w:val="6"/>
  </w:num>
  <w:num w:numId="16" w16cid:durableId="1142962797">
    <w:abstractNumId w:val="2"/>
  </w:num>
  <w:num w:numId="17" w16cid:durableId="1273828653">
    <w:abstractNumId w:val="12"/>
  </w:num>
  <w:num w:numId="18" w16cid:durableId="203105447">
    <w:abstractNumId w:val="3"/>
  </w:num>
  <w:num w:numId="19" w16cid:durableId="11482855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369"/>
    <w:rsid w:val="00037369"/>
    <w:rsid w:val="00046B11"/>
    <w:rsid w:val="000C53E1"/>
    <w:rsid w:val="000D409B"/>
    <w:rsid w:val="000D4E67"/>
    <w:rsid w:val="001026B2"/>
    <w:rsid w:val="0011447F"/>
    <w:rsid w:val="00125041"/>
    <w:rsid w:val="001270DA"/>
    <w:rsid w:val="00160142"/>
    <w:rsid w:val="001626DE"/>
    <w:rsid w:val="001B51BF"/>
    <w:rsid w:val="001B5399"/>
    <w:rsid w:val="001D0E29"/>
    <w:rsid w:val="001E578A"/>
    <w:rsid w:val="001F4881"/>
    <w:rsid w:val="0026689F"/>
    <w:rsid w:val="002D6116"/>
    <w:rsid w:val="002E3916"/>
    <w:rsid w:val="003235DE"/>
    <w:rsid w:val="00360C32"/>
    <w:rsid w:val="003B0950"/>
    <w:rsid w:val="003D5E64"/>
    <w:rsid w:val="0040789A"/>
    <w:rsid w:val="00414A90"/>
    <w:rsid w:val="00423B2C"/>
    <w:rsid w:val="00432C76"/>
    <w:rsid w:val="004841AD"/>
    <w:rsid w:val="0049066F"/>
    <w:rsid w:val="004C67E3"/>
    <w:rsid w:val="004D3EDF"/>
    <w:rsid w:val="004E6D1F"/>
    <w:rsid w:val="005079EC"/>
    <w:rsid w:val="00514B3B"/>
    <w:rsid w:val="00524768"/>
    <w:rsid w:val="00524CF4"/>
    <w:rsid w:val="00555C22"/>
    <w:rsid w:val="00563C03"/>
    <w:rsid w:val="005844DD"/>
    <w:rsid w:val="005910E2"/>
    <w:rsid w:val="00595397"/>
    <w:rsid w:val="005B3C65"/>
    <w:rsid w:val="005B6903"/>
    <w:rsid w:val="005B7699"/>
    <w:rsid w:val="005C3C58"/>
    <w:rsid w:val="005C4AA0"/>
    <w:rsid w:val="00603C94"/>
    <w:rsid w:val="00627C54"/>
    <w:rsid w:val="00662E66"/>
    <w:rsid w:val="00666849"/>
    <w:rsid w:val="00701553"/>
    <w:rsid w:val="007252C0"/>
    <w:rsid w:val="00763E7F"/>
    <w:rsid w:val="007A0192"/>
    <w:rsid w:val="007A1505"/>
    <w:rsid w:val="007A40D5"/>
    <w:rsid w:val="007B7841"/>
    <w:rsid w:val="007F323A"/>
    <w:rsid w:val="007F6580"/>
    <w:rsid w:val="00801801"/>
    <w:rsid w:val="00810DD9"/>
    <w:rsid w:val="008354AE"/>
    <w:rsid w:val="00862F84"/>
    <w:rsid w:val="008D6BBC"/>
    <w:rsid w:val="00923EE5"/>
    <w:rsid w:val="0096220F"/>
    <w:rsid w:val="00970C66"/>
    <w:rsid w:val="00980AEA"/>
    <w:rsid w:val="009A43C3"/>
    <w:rsid w:val="00A23437"/>
    <w:rsid w:val="00A342B9"/>
    <w:rsid w:val="00A52447"/>
    <w:rsid w:val="00A76AC8"/>
    <w:rsid w:val="00AC32DE"/>
    <w:rsid w:val="00AE0866"/>
    <w:rsid w:val="00AE2518"/>
    <w:rsid w:val="00B33B6E"/>
    <w:rsid w:val="00B45AF0"/>
    <w:rsid w:val="00B50811"/>
    <w:rsid w:val="00BF7A0B"/>
    <w:rsid w:val="00C13A79"/>
    <w:rsid w:val="00C447CD"/>
    <w:rsid w:val="00C75131"/>
    <w:rsid w:val="00C91049"/>
    <w:rsid w:val="00CB4078"/>
    <w:rsid w:val="00CC3C08"/>
    <w:rsid w:val="00CD0FF1"/>
    <w:rsid w:val="00CF7F75"/>
    <w:rsid w:val="00D05755"/>
    <w:rsid w:val="00D4682C"/>
    <w:rsid w:val="00D56521"/>
    <w:rsid w:val="00DA01BA"/>
    <w:rsid w:val="00DA7ED3"/>
    <w:rsid w:val="00DB33A2"/>
    <w:rsid w:val="00DE1445"/>
    <w:rsid w:val="00DE5564"/>
    <w:rsid w:val="00E013C5"/>
    <w:rsid w:val="00E02C8D"/>
    <w:rsid w:val="00E24E2D"/>
    <w:rsid w:val="00E37244"/>
    <w:rsid w:val="00E50C1F"/>
    <w:rsid w:val="00E60E40"/>
    <w:rsid w:val="00E7358F"/>
    <w:rsid w:val="00F07B40"/>
    <w:rsid w:val="00F31FAF"/>
    <w:rsid w:val="00F83CB9"/>
    <w:rsid w:val="00F95D9A"/>
    <w:rsid w:val="00FC38FC"/>
    <w:rsid w:val="00FC52AC"/>
    <w:rsid w:val="00FD4E4B"/>
    <w:rsid w:val="00FE39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7E0F7"/>
  <w15:docId w15:val="{7F1155B8-75D6-41B2-94D4-E1D586CBB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C65"/>
  </w:style>
  <w:style w:type="paragraph" w:styleId="Heading1">
    <w:name w:val="heading 1"/>
    <w:basedOn w:val="Normal"/>
    <w:next w:val="Normal"/>
    <w:link w:val="Heading1Char"/>
    <w:uiPriority w:val="9"/>
    <w:qFormat/>
    <w:rsid w:val="00114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3724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B539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910E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3EDF"/>
    <w:rPr>
      <w:rFonts w:ascii="Times New Roman" w:hAnsi="Times New Roman" w:cs="Times New Roman"/>
      <w:sz w:val="24"/>
      <w:szCs w:val="24"/>
    </w:rPr>
  </w:style>
  <w:style w:type="character" w:customStyle="1" w:styleId="Heading1Char">
    <w:name w:val="Heading 1 Char"/>
    <w:basedOn w:val="DefaultParagraphFont"/>
    <w:link w:val="Heading1"/>
    <w:uiPriority w:val="9"/>
    <w:rsid w:val="0011447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B5399"/>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5910E2"/>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3B09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0950"/>
  </w:style>
  <w:style w:type="paragraph" w:styleId="Footer">
    <w:name w:val="footer"/>
    <w:basedOn w:val="Normal"/>
    <w:link w:val="FooterChar"/>
    <w:uiPriority w:val="99"/>
    <w:unhideWhenUsed/>
    <w:rsid w:val="003B0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0950"/>
  </w:style>
  <w:style w:type="paragraph" w:styleId="BalloonText">
    <w:name w:val="Balloon Text"/>
    <w:basedOn w:val="Normal"/>
    <w:link w:val="BalloonTextChar"/>
    <w:uiPriority w:val="99"/>
    <w:semiHidden/>
    <w:unhideWhenUsed/>
    <w:rsid w:val="007A01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192"/>
    <w:rPr>
      <w:rFonts w:ascii="Tahoma" w:hAnsi="Tahoma" w:cs="Tahoma"/>
      <w:sz w:val="16"/>
      <w:szCs w:val="16"/>
    </w:rPr>
  </w:style>
  <w:style w:type="character" w:styleId="PlaceholderText">
    <w:name w:val="Placeholder Text"/>
    <w:basedOn w:val="DefaultParagraphFont"/>
    <w:uiPriority w:val="99"/>
    <w:semiHidden/>
    <w:rsid w:val="00980AEA"/>
    <w:rPr>
      <w:color w:val="666666"/>
    </w:rPr>
  </w:style>
  <w:style w:type="character" w:customStyle="1" w:styleId="Heading2Char">
    <w:name w:val="Heading 2 Char"/>
    <w:basedOn w:val="DefaultParagraphFont"/>
    <w:link w:val="Heading2"/>
    <w:uiPriority w:val="9"/>
    <w:rsid w:val="00E3724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A342B9"/>
    <w:pPr>
      <w:spacing w:line="259" w:lineRule="auto"/>
      <w:outlineLvl w:val="9"/>
    </w:pPr>
    <w:rPr>
      <w:kern w:val="0"/>
    </w:rPr>
  </w:style>
  <w:style w:type="paragraph" w:styleId="TOC1">
    <w:name w:val="toc 1"/>
    <w:basedOn w:val="Normal"/>
    <w:next w:val="Normal"/>
    <w:autoRedefine/>
    <w:uiPriority w:val="39"/>
    <w:unhideWhenUsed/>
    <w:rsid w:val="00A342B9"/>
    <w:pPr>
      <w:spacing w:after="100"/>
    </w:pPr>
  </w:style>
  <w:style w:type="paragraph" w:styleId="TOC2">
    <w:name w:val="toc 2"/>
    <w:basedOn w:val="Normal"/>
    <w:next w:val="Normal"/>
    <w:autoRedefine/>
    <w:uiPriority w:val="39"/>
    <w:unhideWhenUsed/>
    <w:rsid w:val="00A342B9"/>
    <w:pPr>
      <w:spacing w:after="100"/>
      <w:ind w:left="220"/>
    </w:pPr>
  </w:style>
  <w:style w:type="paragraph" w:styleId="TOC3">
    <w:name w:val="toc 3"/>
    <w:basedOn w:val="Normal"/>
    <w:next w:val="Normal"/>
    <w:autoRedefine/>
    <w:uiPriority w:val="39"/>
    <w:unhideWhenUsed/>
    <w:rsid w:val="00A342B9"/>
    <w:pPr>
      <w:spacing w:after="100"/>
      <w:ind w:left="440"/>
    </w:pPr>
  </w:style>
  <w:style w:type="character" w:styleId="Hyperlink">
    <w:name w:val="Hyperlink"/>
    <w:basedOn w:val="DefaultParagraphFont"/>
    <w:uiPriority w:val="99"/>
    <w:unhideWhenUsed/>
    <w:rsid w:val="00A342B9"/>
    <w:rPr>
      <w:color w:val="0000FF" w:themeColor="hyperlink"/>
      <w:u w:val="single"/>
    </w:rPr>
  </w:style>
  <w:style w:type="paragraph" w:styleId="NoSpacing">
    <w:name w:val="No Spacing"/>
    <w:uiPriority w:val="1"/>
    <w:qFormat/>
    <w:rsid w:val="00A342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8975">
      <w:bodyDiv w:val="1"/>
      <w:marLeft w:val="0"/>
      <w:marRight w:val="0"/>
      <w:marTop w:val="0"/>
      <w:marBottom w:val="0"/>
      <w:divBdr>
        <w:top w:val="none" w:sz="0" w:space="0" w:color="auto"/>
        <w:left w:val="none" w:sz="0" w:space="0" w:color="auto"/>
        <w:bottom w:val="none" w:sz="0" w:space="0" w:color="auto"/>
        <w:right w:val="none" w:sz="0" w:space="0" w:color="auto"/>
      </w:divBdr>
    </w:div>
    <w:div w:id="199981287">
      <w:bodyDiv w:val="1"/>
      <w:marLeft w:val="0"/>
      <w:marRight w:val="0"/>
      <w:marTop w:val="0"/>
      <w:marBottom w:val="0"/>
      <w:divBdr>
        <w:top w:val="none" w:sz="0" w:space="0" w:color="auto"/>
        <w:left w:val="none" w:sz="0" w:space="0" w:color="auto"/>
        <w:bottom w:val="none" w:sz="0" w:space="0" w:color="auto"/>
        <w:right w:val="none" w:sz="0" w:space="0" w:color="auto"/>
      </w:divBdr>
    </w:div>
    <w:div w:id="342126087">
      <w:bodyDiv w:val="1"/>
      <w:marLeft w:val="0"/>
      <w:marRight w:val="0"/>
      <w:marTop w:val="0"/>
      <w:marBottom w:val="0"/>
      <w:divBdr>
        <w:top w:val="none" w:sz="0" w:space="0" w:color="auto"/>
        <w:left w:val="none" w:sz="0" w:space="0" w:color="auto"/>
        <w:bottom w:val="none" w:sz="0" w:space="0" w:color="auto"/>
        <w:right w:val="none" w:sz="0" w:space="0" w:color="auto"/>
      </w:divBdr>
    </w:div>
    <w:div w:id="349186353">
      <w:bodyDiv w:val="1"/>
      <w:marLeft w:val="0"/>
      <w:marRight w:val="0"/>
      <w:marTop w:val="0"/>
      <w:marBottom w:val="0"/>
      <w:divBdr>
        <w:top w:val="none" w:sz="0" w:space="0" w:color="auto"/>
        <w:left w:val="none" w:sz="0" w:space="0" w:color="auto"/>
        <w:bottom w:val="none" w:sz="0" w:space="0" w:color="auto"/>
        <w:right w:val="none" w:sz="0" w:space="0" w:color="auto"/>
      </w:divBdr>
    </w:div>
    <w:div w:id="360908058">
      <w:bodyDiv w:val="1"/>
      <w:marLeft w:val="0"/>
      <w:marRight w:val="0"/>
      <w:marTop w:val="0"/>
      <w:marBottom w:val="0"/>
      <w:divBdr>
        <w:top w:val="none" w:sz="0" w:space="0" w:color="auto"/>
        <w:left w:val="none" w:sz="0" w:space="0" w:color="auto"/>
        <w:bottom w:val="none" w:sz="0" w:space="0" w:color="auto"/>
        <w:right w:val="none" w:sz="0" w:space="0" w:color="auto"/>
      </w:divBdr>
    </w:div>
    <w:div w:id="377824799">
      <w:bodyDiv w:val="1"/>
      <w:marLeft w:val="0"/>
      <w:marRight w:val="0"/>
      <w:marTop w:val="0"/>
      <w:marBottom w:val="0"/>
      <w:divBdr>
        <w:top w:val="none" w:sz="0" w:space="0" w:color="auto"/>
        <w:left w:val="none" w:sz="0" w:space="0" w:color="auto"/>
        <w:bottom w:val="none" w:sz="0" w:space="0" w:color="auto"/>
        <w:right w:val="none" w:sz="0" w:space="0" w:color="auto"/>
      </w:divBdr>
    </w:div>
    <w:div w:id="425663064">
      <w:bodyDiv w:val="1"/>
      <w:marLeft w:val="0"/>
      <w:marRight w:val="0"/>
      <w:marTop w:val="0"/>
      <w:marBottom w:val="0"/>
      <w:divBdr>
        <w:top w:val="none" w:sz="0" w:space="0" w:color="auto"/>
        <w:left w:val="none" w:sz="0" w:space="0" w:color="auto"/>
        <w:bottom w:val="none" w:sz="0" w:space="0" w:color="auto"/>
        <w:right w:val="none" w:sz="0" w:space="0" w:color="auto"/>
      </w:divBdr>
    </w:div>
    <w:div w:id="456338230">
      <w:bodyDiv w:val="1"/>
      <w:marLeft w:val="0"/>
      <w:marRight w:val="0"/>
      <w:marTop w:val="0"/>
      <w:marBottom w:val="0"/>
      <w:divBdr>
        <w:top w:val="none" w:sz="0" w:space="0" w:color="auto"/>
        <w:left w:val="none" w:sz="0" w:space="0" w:color="auto"/>
        <w:bottom w:val="none" w:sz="0" w:space="0" w:color="auto"/>
        <w:right w:val="none" w:sz="0" w:space="0" w:color="auto"/>
      </w:divBdr>
    </w:div>
    <w:div w:id="567961496">
      <w:bodyDiv w:val="1"/>
      <w:marLeft w:val="0"/>
      <w:marRight w:val="0"/>
      <w:marTop w:val="0"/>
      <w:marBottom w:val="0"/>
      <w:divBdr>
        <w:top w:val="none" w:sz="0" w:space="0" w:color="auto"/>
        <w:left w:val="none" w:sz="0" w:space="0" w:color="auto"/>
        <w:bottom w:val="none" w:sz="0" w:space="0" w:color="auto"/>
        <w:right w:val="none" w:sz="0" w:space="0" w:color="auto"/>
      </w:divBdr>
    </w:div>
    <w:div w:id="720399189">
      <w:bodyDiv w:val="1"/>
      <w:marLeft w:val="0"/>
      <w:marRight w:val="0"/>
      <w:marTop w:val="0"/>
      <w:marBottom w:val="0"/>
      <w:divBdr>
        <w:top w:val="none" w:sz="0" w:space="0" w:color="auto"/>
        <w:left w:val="none" w:sz="0" w:space="0" w:color="auto"/>
        <w:bottom w:val="none" w:sz="0" w:space="0" w:color="auto"/>
        <w:right w:val="none" w:sz="0" w:space="0" w:color="auto"/>
      </w:divBdr>
    </w:div>
    <w:div w:id="722025386">
      <w:bodyDiv w:val="1"/>
      <w:marLeft w:val="0"/>
      <w:marRight w:val="0"/>
      <w:marTop w:val="0"/>
      <w:marBottom w:val="0"/>
      <w:divBdr>
        <w:top w:val="none" w:sz="0" w:space="0" w:color="auto"/>
        <w:left w:val="none" w:sz="0" w:space="0" w:color="auto"/>
        <w:bottom w:val="none" w:sz="0" w:space="0" w:color="auto"/>
        <w:right w:val="none" w:sz="0" w:space="0" w:color="auto"/>
      </w:divBdr>
    </w:div>
    <w:div w:id="808936088">
      <w:bodyDiv w:val="1"/>
      <w:marLeft w:val="0"/>
      <w:marRight w:val="0"/>
      <w:marTop w:val="0"/>
      <w:marBottom w:val="0"/>
      <w:divBdr>
        <w:top w:val="none" w:sz="0" w:space="0" w:color="auto"/>
        <w:left w:val="none" w:sz="0" w:space="0" w:color="auto"/>
        <w:bottom w:val="none" w:sz="0" w:space="0" w:color="auto"/>
        <w:right w:val="none" w:sz="0" w:space="0" w:color="auto"/>
      </w:divBdr>
    </w:div>
    <w:div w:id="854611452">
      <w:bodyDiv w:val="1"/>
      <w:marLeft w:val="0"/>
      <w:marRight w:val="0"/>
      <w:marTop w:val="0"/>
      <w:marBottom w:val="0"/>
      <w:divBdr>
        <w:top w:val="none" w:sz="0" w:space="0" w:color="auto"/>
        <w:left w:val="none" w:sz="0" w:space="0" w:color="auto"/>
        <w:bottom w:val="none" w:sz="0" w:space="0" w:color="auto"/>
        <w:right w:val="none" w:sz="0" w:space="0" w:color="auto"/>
      </w:divBdr>
    </w:div>
    <w:div w:id="878396984">
      <w:bodyDiv w:val="1"/>
      <w:marLeft w:val="0"/>
      <w:marRight w:val="0"/>
      <w:marTop w:val="0"/>
      <w:marBottom w:val="0"/>
      <w:divBdr>
        <w:top w:val="none" w:sz="0" w:space="0" w:color="auto"/>
        <w:left w:val="none" w:sz="0" w:space="0" w:color="auto"/>
        <w:bottom w:val="none" w:sz="0" w:space="0" w:color="auto"/>
        <w:right w:val="none" w:sz="0" w:space="0" w:color="auto"/>
      </w:divBdr>
    </w:div>
    <w:div w:id="893394563">
      <w:bodyDiv w:val="1"/>
      <w:marLeft w:val="0"/>
      <w:marRight w:val="0"/>
      <w:marTop w:val="0"/>
      <w:marBottom w:val="0"/>
      <w:divBdr>
        <w:top w:val="none" w:sz="0" w:space="0" w:color="auto"/>
        <w:left w:val="none" w:sz="0" w:space="0" w:color="auto"/>
        <w:bottom w:val="none" w:sz="0" w:space="0" w:color="auto"/>
        <w:right w:val="none" w:sz="0" w:space="0" w:color="auto"/>
      </w:divBdr>
    </w:div>
    <w:div w:id="1116102784">
      <w:bodyDiv w:val="1"/>
      <w:marLeft w:val="0"/>
      <w:marRight w:val="0"/>
      <w:marTop w:val="0"/>
      <w:marBottom w:val="0"/>
      <w:divBdr>
        <w:top w:val="none" w:sz="0" w:space="0" w:color="auto"/>
        <w:left w:val="none" w:sz="0" w:space="0" w:color="auto"/>
        <w:bottom w:val="none" w:sz="0" w:space="0" w:color="auto"/>
        <w:right w:val="none" w:sz="0" w:space="0" w:color="auto"/>
      </w:divBdr>
    </w:div>
    <w:div w:id="1199199991">
      <w:bodyDiv w:val="1"/>
      <w:marLeft w:val="0"/>
      <w:marRight w:val="0"/>
      <w:marTop w:val="0"/>
      <w:marBottom w:val="0"/>
      <w:divBdr>
        <w:top w:val="none" w:sz="0" w:space="0" w:color="auto"/>
        <w:left w:val="none" w:sz="0" w:space="0" w:color="auto"/>
        <w:bottom w:val="none" w:sz="0" w:space="0" w:color="auto"/>
        <w:right w:val="none" w:sz="0" w:space="0" w:color="auto"/>
      </w:divBdr>
    </w:div>
    <w:div w:id="1209605623">
      <w:bodyDiv w:val="1"/>
      <w:marLeft w:val="0"/>
      <w:marRight w:val="0"/>
      <w:marTop w:val="0"/>
      <w:marBottom w:val="0"/>
      <w:divBdr>
        <w:top w:val="none" w:sz="0" w:space="0" w:color="auto"/>
        <w:left w:val="none" w:sz="0" w:space="0" w:color="auto"/>
        <w:bottom w:val="none" w:sz="0" w:space="0" w:color="auto"/>
        <w:right w:val="none" w:sz="0" w:space="0" w:color="auto"/>
      </w:divBdr>
    </w:div>
    <w:div w:id="1222253699">
      <w:bodyDiv w:val="1"/>
      <w:marLeft w:val="0"/>
      <w:marRight w:val="0"/>
      <w:marTop w:val="0"/>
      <w:marBottom w:val="0"/>
      <w:divBdr>
        <w:top w:val="none" w:sz="0" w:space="0" w:color="auto"/>
        <w:left w:val="none" w:sz="0" w:space="0" w:color="auto"/>
        <w:bottom w:val="none" w:sz="0" w:space="0" w:color="auto"/>
        <w:right w:val="none" w:sz="0" w:space="0" w:color="auto"/>
      </w:divBdr>
    </w:div>
    <w:div w:id="1291789255">
      <w:bodyDiv w:val="1"/>
      <w:marLeft w:val="0"/>
      <w:marRight w:val="0"/>
      <w:marTop w:val="0"/>
      <w:marBottom w:val="0"/>
      <w:divBdr>
        <w:top w:val="none" w:sz="0" w:space="0" w:color="auto"/>
        <w:left w:val="none" w:sz="0" w:space="0" w:color="auto"/>
        <w:bottom w:val="none" w:sz="0" w:space="0" w:color="auto"/>
        <w:right w:val="none" w:sz="0" w:space="0" w:color="auto"/>
      </w:divBdr>
    </w:div>
    <w:div w:id="1309699753">
      <w:bodyDiv w:val="1"/>
      <w:marLeft w:val="0"/>
      <w:marRight w:val="0"/>
      <w:marTop w:val="0"/>
      <w:marBottom w:val="0"/>
      <w:divBdr>
        <w:top w:val="none" w:sz="0" w:space="0" w:color="auto"/>
        <w:left w:val="none" w:sz="0" w:space="0" w:color="auto"/>
        <w:bottom w:val="none" w:sz="0" w:space="0" w:color="auto"/>
        <w:right w:val="none" w:sz="0" w:space="0" w:color="auto"/>
      </w:divBdr>
    </w:div>
    <w:div w:id="1331568013">
      <w:bodyDiv w:val="1"/>
      <w:marLeft w:val="0"/>
      <w:marRight w:val="0"/>
      <w:marTop w:val="0"/>
      <w:marBottom w:val="0"/>
      <w:divBdr>
        <w:top w:val="none" w:sz="0" w:space="0" w:color="auto"/>
        <w:left w:val="none" w:sz="0" w:space="0" w:color="auto"/>
        <w:bottom w:val="none" w:sz="0" w:space="0" w:color="auto"/>
        <w:right w:val="none" w:sz="0" w:space="0" w:color="auto"/>
      </w:divBdr>
      <w:divsChild>
        <w:div w:id="1513228909">
          <w:marLeft w:val="0"/>
          <w:marRight w:val="0"/>
          <w:marTop w:val="0"/>
          <w:marBottom w:val="0"/>
          <w:divBdr>
            <w:top w:val="single" w:sz="2" w:space="0" w:color="D9D9E3"/>
            <w:left w:val="single" w:sz="2" w:space="0" w:color="D9D9E3"/>
            <w:bottom w:val="single" w:sz="2" w:space="0" w:color="D9D9E3"/>
            <w:right w:val="single" w:sz="2" w:space="0" w:color="D9D9E3"/>
          </w:divBdr>
          <w:divsChild>
            <w:div w:id="1864244245">
              <w:marLeft w:val="0"/>
              <w:marRight w:val="0"/>
              <w:marTop w:val="0"/>
              <w:marBottom w:val="0"/>
              <w:divBdr>
                <w:top w:val="single" w:sz="2" w:space="0" w:color="D9D9E3"/>
                <w:left w:val="single" w:sz="2" w:space="0" w:color="D9D9E3"/>
                <w:bottom w:val="single" w:sz="2" w:space="0" w:color="D9D9E3"/>
                <w:right w:val="single" w:sz="2" w:space="0" w:color="D9D9E3"/>
              </w:divBdr>
              <w:divsChild>
                <w:div w:id="249824893">
                  <w:marLeft w:val="0"/>
                  <w:marRight w:val="0"/>
                  <w:marTop w:val="0"/>
                  <w:marBottom w:val="0"/>
                  <w:divBdr>
                    <w:top w:val="single" w:sz="2" w:space="0" w:color="D9D9E3"/>
                    <w:left w:val="single" w:sz="2" w:space="0" w:color="D9D9E3"/>
                    <w:bottom w:val="single" w:sz="2" w:space="0" w:color="D9D9E3"/>
                    <w:right w:val="single" w:sz="2" w:space="0" w:color="D9D9E3"/>
                  </w:divBdr>
                  <w:divsChild>
                    <w:div w:id="625353247">
                      <w:marLeft w:val="0"/>
                      <w:marRight w:val="0"/>
                      <w:marTop w:val="0"/>
                      <w:marBottom w:val="0"/>
                      <w:divBdr>
                        <w:top w:val="single" w:sz="2" w:space="0" w:color="D9D9E3"/>
                        <w:left w:val="single" w:sz="2" w:space="0" w:color="D9D9E3"/>
                        <w:bottom w:val="single" w:sz="2" w:space="0" w:color="D9D9E3"/>
                        <w:right w:val="single" w:sz="2" w:space="0" w:color="D9D9E3"/>
                      </w:divBdr>
                      <w:divsChild>
                        <w:div w:id="24452246">
                          <w:marLeft w:val="0"/>
                          <w:marRight w:val="0"/>
                          <w:marTop w:val="0"/>
                          <w:marBottom w:val="0"/>
                          <w:divBdr>
                            <w:top w:val="single" w:sz="2" w:space="0" w:color="D9D9E3"/>
                            <w:left w:val="single" w:sz="2" w:space="0" w:color="D9D9E3"/>
                            <w:bottom w:val="single" w:sz="2" w:space="0" w:color="D9D9E3"/>
                            <w:right w:val="single" w:sz="2" w:space="0" w:color="D9D9E3"/>
                          </w:divBdr>
                          <w:divsChild>
                            <w:div w:id="1440032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378863">
                                  <w:marLeft w:val="0"/>
                                  <w:marRight w:val="0"/>
                                  <w:marTop w:val="0"/>
                                  <w:marBottom w:val="0"/>
                                  <w:divBdr>
                                    <w:top w:val="single" w:sz="2" w:space="0" w:color="D9D9E3"/>
                                    <w:left w:val="single" w:sz="2" w:space="0" w:color="D9D9E3"/>
                                    <w:bottom w:val="single" w:sz="2" w:space="0" w:color="D9D9E3"/>
                                    <w:right w:val="single" w:sz="2" w:space="0" w:color="D9D9E3"/>
                                  </w:divBdr>
                                  <w:divsChild>
                                    <w:div w:id="317733020">
                                      <w:marLeft w:val="0"/>
                                      <w:marRight w:val="0"/>
                                      <w:marTop w:val="0"/>
                                      <w:marBottom w:val="0"/>
                                      <w:divBdr>
                                        <w:top w:val="single" w:sz="2" w:space="0" w:color="D9D9E3"/>
                                        <w:left w:val="single" w:sz="2" w:space="0" w:color="D9D9E3"/>
                                        <w:bottom w:val="single" w:sz="2" w:space="0" w:color="D9D9E3"/>
                                        <w:right w:val="single" w:sz="2" w:space="0" w:color="D9D9E3"/>
                                      </w:divBdr>
                                      <w:divsChild>
                                        <w:div w:id="1469589857">
                                          <w:marLeft w:val="0"/>
                                          <w:marRight w:val="0"/>
                                          <w:marTop w:val="0"/>
                                          <w:marBottom w:val="0"/>
                                          <w:divBdr>
                                            <w:top w:val="single" w:sz="2" w:space="0" w:color="D9D9E3"/>
                                            <w:left w:val="single" w:sz="2" w:space="0" w:color="D9D9E3"/>
                                            <w:bottom w:val="single" w:sz="2" w:space="0" w:color="D9D9E3"/>
                                            <w:right w:val="single" w:sz="2" w:space="0" w:color="D9D9E3"/>
                                          </w:divBdr>
                                          <w:divsChild>
                                            <w:div w:id="884759107">
                                              <w:marLeft w:val="0"/>
                                              <w:marRight w:val="0"/>
                                              <w:marTop w:val="0"/>
                                              <w:marBottom w:val="0"/>
                                              <w:divBdr>
                                                <w:top w:val="single" w:sz="2" w:space="0" w:color="D9D9E3"/>
                                                <w:left w:val="single" w:sz="2" w:space="0" w:color="D9D9E3"/>
                                                <w:bottom w:val="single" w:sz="2" w:space="0" w:color="D9D9E3"/>
                                                <w:right w:val="single" w:sz="2" w:space="0" w:color="D9D9E3"/>
                                              </w:divBdr>
                                              <w:divsChild>
                                                <w:div w:id="502748878">
                                                  <w:marLeft w:val="0"/>
                                                  <w:marRight w:val="0"/>
                                                  <w:marTop w:val="0"/>
                                                  <w:marBottom w:val="0"/>
                                                  <w:divBdr>
                                                    <w:top w:val="single" w:sz="2" w:space="0" w:color="D9D9E3"/>
                                                    <w:left w:val="single" w:sz="2" w:space="0" w:color="D9D9E3"/>
                                                    <w:bottom w:val="single" w:sz="2" w:space="0" w:color="D9D9E3"/>
                                                    <w:right w:val="single" w:sz="2" w:space="0" w:color="D9D9E3"/>
                                                  </w:divBdr>
                                                  <w:divsChild>
                                                    <w:div w:id="747001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08241116">
          <w:marLeft w:val="0"/>
          <w:marRight w:val="0"/>
          <w:marTop w:val="0"/>
          <w:marBottom w:val="0"/>
          <w:divBdr>
            <w:top w:val="none" w:sz="0" w:space="0" w:color="auto"/>
            <w:left w:val="none" w:sz="0" w:space="0" w:color="auto"/>
            <w:bottom w:val="none" w:sz="0" w:space="0" w:color="auto"/>
            <w:right w:val="none" w:sz="0" w:space="0" w:color="auto"/>
          </w:divBdr>
        </w:div>
      </w:divsChild>
    </w:div>
    <w:div w:id="1358890233">
      <w:bodyDiv w:val="1"/>
      <w:marLeft w:val="0"/>
      <w:marRight w:val="0"/>
      <w:marTop w:val="0"/>
      <w:marBottom w:val="0"/>
      <w:divBdr>
        <w:top w:val="none" w:sz="0" w:space="0" w:color="auto"/>
        <w:left w:val="none" w:sz="0" w:space="0" w:color="auto"/>
        <w:bottom w:val="none" w:sz="0" w:space="0" w:color="auto"/>
        <w:right w:val="none" w:sz="0" w:space="0" w:color="auto"/>
      </w:divBdr>
    </w:div>
    <w:div w:id="1412459837">
      <w:bodyDiv w:val="1"/>
      <w:marLeft w:val="0"/>
      <w:marRight w:val="0"/>
      <w:marTop w:val="0"/>
      <w:marBottom w:val="0"/>
      <w:divBdr>
        <w:top w:val="none" w:sz="0" w:space="0" w:color="auto"/>
        <w:left w:val="none" w:sz="0" w:space="0" w:color="auto"/>
        <w:bottom w:val="none" w:sz="0" w:space="0" w:color="auto"/>
        <w:right w:val="none" w:sz="0" w:space="0" w:color="auto"/>
      </w:divBdr>
    </w:div>
    <w:div w:id="1504975038">
      <w:bodyDiv w:val="1"/>
      <w:marLeft w:val="0"/>
      <w:marRight w:val="0"/>
      <w:marTop w:val="0"/>
      <w:marBottom w:val="0"/>
      <w:divBdr>
        <w:top w:val="none" w:sz="0" w:space="0" w:color="auto"/>
        <w:left w:val="none" w:sz="0" w:space="0" w:color="auto"/>
        <w:bottom w:val="none" w:sz="0" w:space="0" w:color="auto"/>
        <w:right w:val="none" w:sz="0" w:space="0" w:color="auto"/>
      </w:divBdr>
    </w:div>
    <w:div w:id="1554922725">
      <w:bodyDiv w:val="1"/>
      <w:marLeft w:val="0"/>
      <w:marRight w:val="0"/>
      <w:marTop w:val="0"/>
      <w:marBottom w:val="0"/>
      <w:divBdr>
        <w:top w:val="none" w:sz="0" w:space="0" w:color="auto"/>
        <w:left w:val="none" w:sz="0" w:space="0" w:color="auto"/>
        <w:bottom w:val="none" w:sz="0" w:space="0" w:color="auto"/>
        <w:right w:val="none" w:sz="0" w:space="0" w:color="auto"/>
      </w:divBdr>
    </w:div>
    <w:div w:id="1562401551">
      <w:bodyDiv w:val="1"/>
      <w:marLeft w:val="0"/>
      <w:marRight w:val="0"/>
      <w:marTop w:val="0"/>
      <w:marBottom w:val="0"/>
      <w:divBdr>
        <w:top w:val="none" w:sz="0" w:space="0" w:color="auto"/>
        <w:left w:val="none" w:sz="0" w:space="0" w:color="auto"/>
        <w:bottom w:val="none" w:sz="0" w:space="0" w:color="auto"/>
        <w:right w:val="none" w:sz="0" w:space="0" w:color="auto"/>
      </w:divBdr>
    </w:div>
    <w:div w:id="1653555938">
      <w:bodyDiv w:val="1"/>
      <w:marLeft w:val="0"/>
      <w:marRight w:val="0"/>
      <w:marTop w:val="0"/>
      <w:marBottom w:val="0"/>
      <w:divBdr>
        <w:top w:val="none" w:sz="0" w:space="0" w:color="auto"/>
        <w:left w:val="none" w:sz="0" w:space="0" w:color="auto"/>
        <w:bottom w:val="none" w:sz="0" w:space="0" w:color="auto"/>
        <w:right w:val="none" w:sz="0" w:space="0" w:color="auto"/>
      </w:divBdr>
    </w:div>
    <w:div w:id="1701320331">
      <w:bodyDiv w:val="1"/>
      <w:marLeft w:val="0"/>
      <w:marRight w:val="0"/>
      <w:marTop w:val="0"/>
      <w:marBottom w:val="0"/>
      <w:divBdr>
        <w:top w:val="none" w:sz="0" w:space="0" w:color="auto"/>
        <w:left w:val="none" w:sz="0" w:space="0" w:color="auto"/>
        <w:bottom w:val="none" w:sz="0" w:space="0" w:color="auto"/>
        <w:right w:val="none" w:sz="0" w:space="0" w:color="auto"/>
      </w:divBdr>
    </w:div>
    <w:div w:id="1753117160">
      <w:bodyDiv w:val="1"/>
      <w:marLeft w:val="0"/>
      <w:marRight w:val="0"/>
      <w:marTop w:val="0"/>
      <w:marBottom w:val="0"/>
      <w:divBdr>
        <w:top w:val="none" w:sz="0" w:space="0" w:color="auto"/>
        <w:left w:val="none" w:sz="0" w:space="0" w:color="auto"/>
        <w:bottom w:val="none" w:sz="0" w:space="0" w:color="auto"/>
        <w:right w:val="none" w:sz="0" w:space="0" w:color="auto"/>
      </w:divBdr>
    </w:div>
    <w:div w:id="1857956972">
      <w:bodyDiv w:val="1"/>
      <w:marLeft w:val="0"/>
      <w:marRight w:val="0"/>
      <w:marTop w:val="0"/>
      <w:marBottom w:val="0"/>
      <w:divBdr>
        <w:top w:val="none" w:sz="0" w:space="0" w:color="auto"/>
        <w:left w:val="none" w:sz="0" w:space="0" w:color="auto"/>
        <w:bottom w:val="none" w:sz="0" w:space="0" w:color="auto"/>
        <w:right w:val="none" w:sz="0" w:space="0" w:color="auto"/>
      </w:divBdr>
    </w:div>
    <w:div w:id="1896163486">
      <w:bodyDiv w:val="1"/>
      <w:marLeft w:val="0"/>
      <w:marRight w:val="0"/>
      <w:marTop w:val="0"/>
      <w:marBottom w:val="0"/>
      <w:divBdr>
        <w:top w:val="none" w:sz="0" w:space="0" w:color="auto"/>
        <w:left w:val="none" w:sz="0" w:space="0" w:color="auto"/>
        <w:bottom w:val="none" w:sz="0" w:space="0" w:color="auto"/>
        <w:right w:val="none" w:sz="0" w:space="0" w:color="auto"/>
      </w:divBdr>
    </w:div>
    <w:div w:id="1956477411">
      <w:bodyDiv w:val="1"/>
      <w:marLeft w:val="0"/>
      <w:marRight w:val="0"/>
      <w:marTop w:val="0"/>
      <w:marBottom w:val="0"/>
      <w:divBdr>
        <w:top w:val="none" w:sz="0" w:space="0" w:color="auto"/>
        <w:left w:val="none" w:sz="0" w:space="0" w:color="auto"/>
        <w:bottom w:val="none" w:sz="0" w:space="0" w:color="auto"/>
        <w:right w:val="none" w:sz="0" w:space="0" w:color="auto"/>
      </w:divBdr>
    </w:div>
    <w:div w:id="1972124391">
      <w:bodyDiv w:val="1"/>
      <w:marLeft w:val="0"/>
      <w:marRight w:val="0"/>
      <w:marTop w:val="0"/>
      <w:marBottom w:val="0"/>
      <w:divBdr>
        <w:top w:val="none" w:sz="0" w:space="0" w:color="auto"/>
        <w:left w:val="none" w:sz="0" w:space="0" w:color="auto"/>
        <w:bottom w:val="none" w:sz="0" w:space="0" w:color="auto"/>
        <w:right w:val="none" w:sz="0" w:space="0" w:color="auto"/>
      </w:divBdr>
    </w:div>
    <w:div w:id="2004236342">
      <w:bodyDiv w:val="1"/>
      <w:marLeft w:val="0"/>
      <w:marRight w:val="0"/>
      <w:marTop w:val="0"/>
      <w:marBottom w:val="0"/>
      <w:divBdr>
        <w:top w:val="none" w:sz="0" w:space="0" w:color="auto"/>
        <w:left w:val="none" w:sz="0" w:space="0" w:color="auto"/>
        <w:bottom w:val="none" w:sz="0" w:space="0" w:color="auto"/>
        <w:right w:val="none" w:sz="0" w:space="0" w:color="auto"/>
      </w:divBdr>
    </w:div>
    <w:div w:id="206158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66860-03F4-4B34-9E24-5ECAEF34C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2801</Words>
  <Characters>15972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2023-12-17T11:35:00Z</dcterms:created>
  <dcterms:modified xsi:type="dcterms:W3CDTF">2023-12-17T11:35:00Z</dcterms:modified>
</cp:coreProperties>
</file>