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9B1FCB" w14:textId="77777777" w:rsidR="00BA1882" w:rsidRDefault="00BA1882" w:rsidP="00BA1882">
      <w:pPr>
        <w:spacing w:after="0"/>
        <w:jc w:val="center"/>
        <w:rPr>
          <w:rFonts w:ascii="Arial" w:eastAsia="Arial" w:hAnsi="Arial" w:cs="Arial"/>
          <w:b/>
          <w:bCs/>
          <w:sz w:val="40"/>
          <w:szCs w:val="40"/>
        </w:rPr>
      </w:pPr>
      <w:r>
        <w:rPr>
          <w:rFonts w:ascii="Arial" w:eastAsia="Arial" w:hAnsi="Arial" w:cs="Arial"/>
          <w:b/>
          <w:bCs/>
          <w:noProof/>
          <w:sz w:val="40"/>
          <w:szCs w:val="40"/>
        </w:rPr>
        <w:drawing>
          <wp:inline distT="114300" distB="114300" distL="114300" distR="114300" wp14:anchorId="7953109F" wp14:editId="02B19249">
            <wp:extent cx="2540000" cy="1016000"/>
            <wp:effectExtent l="0" t="0" r="0" b="0"/>
            <wp:docPr id="1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2540000" cy="1016000"/>
                    </a:xfrm>
                    <a:prstGeom prst="rect">
                      <a:avLst/>
                    </a:prstGeom>
                    <a:ln/>
                  </pic:spPr>
                </pic:pic>
              </a:graphicData>
            </a:graphic>
          </wp:inline>
        </w:drawing>
      </w:r>
    </w:p>
    <w:p w14:paraId="5A1F54CF" w14:textId="77777777" w:rsidR="00BA1882" w:rsidRDefault="00BA1882" w:rsidP="00BA1882">
      <w:pPr>
        <w:spacing w:after="0"/>
        <w:jc w:val="center"/>
        <w:rPr>
          <w:rFonts w:ascii="Arial" w:eastAsia="Arial" w:hAnsi="Arial" w:cs="Arial"/>
          <w:b/>
          <w:bCs/>
        </w:rPr>
      </w:pPr>
      <w:r>
        <w:rPr>
          <w:rFonts w:ascii="Arial" w:eastAsia="Arial" w:hAnsi="Arial" w:cs="Arial"/>
          <w:b/>
          <w:bCs/>
        </w:rPr>
        <w:t xml:space="preserve"> </w:t>
      </w:r>
    </w:p>
    <w:p w14:paraId="7F056D87" w14:textId="77777777" w:rsidR="00BA1882" w:rsidRDefault="00BA1882" w:rsidP="00BA1882">
      <w:pPr>
        <w:spacing w:after="0"/>
        <w:jc w:val="center"/>
        <w:rPr>
          <w:rFonts w:ascii="Arial" w:eastAsia="Arial" w:hAnsi="Arial" w:cs="Arial"/>
          <w:b/>
          <w:bCs/>
        </w:rPr>
      </w:pPr>
      <w:r>
        <w:rPr>
          <w:rFonts w:ascii="Arial" w:eastAsia="Arial" w:hAnsi="Arial" w:cs="Arial"/>
          <w:b/>
          <w:bCs/>
        </w:rPr>
        <w:t xml:space="preserve"> </w:t>
      </w:r>
    </w:p>
    <w:p w14:paraId="0E47C1AB" w14:textId="77777777" w:rsidR="00BA1882" w:rsidRDefault="00BA1882" w:rsidP="00BA1882">
      <w:pPr>
        <w:spacing w:after="0"/>
        <w:jc w:val="center"/>
        <w:rPr>
          <w:rFonts w:ascii="Arial" w:eastAsia="Arial" w:hAnsi="Arial" w:cs="Arial"/>
          <w:b/>
          <w:bCs/>
        </w:rPr>
      </w:pPr>
      <w:r>
        <w:rPr>
          <w:rFonts w:ascii="Arial" w:eastAsia="Arial" w:hAnsi="Arial" w:cs="Arial"/>
          <w:b/>
          <w:bCs/>
        </w:rPr>
        <w:t xml:space="preserve"> </w:t>
      </w:r>
    </w:p>
    <w:p w14:paraId="71DD66B4" w14:textId="77777777" w:rsidR="00BA1882" w:rsidRDefault="00BA1882" w:rsidP="00BA1882">
      <w:pPr>
        <w:spacing w:after="0"/>
        <w:jc w:val="center"/>
        <w:rPr>
          <w:rFonts w:ascii="Arial" w:eastAsia="Arial" w:hAnsi="Arial" w:cs="Arial"/>
          <w:b/>
          <w:bCs/>
        </w:rPr>
      </w:pPr>
      <w:r>
        <w:rPr>
          <w:rFonts w:ascii="Arial" w:eastAsia="Arial" w:hAnsi="Arial" w:cs="Arial"/>
          <w:b/>
          <w:bCs/>
        </w:rPr>
        <w:t xml:space="preserve"> </w:t>
      </w:r>
    </w:p>
    <w:p w14:paraId="55BA0053" w14:textId="77777777" w:rsidR="00BA1882" w:rsidRDefault="00BA1882" w:rsidP="00BA1882">
      <w:pPr>
        <w:spacing w:after="0"/>
        <w:jc w:val="center"/>
        <w:rPr>
          <w:rFonts w:ascii="Arial" w:eastAsia="Arial" w:hAnsi="Arial" w:cs="Arial"/>
          <w:b/>
          <w:bCs/>
        </w:rPr>
      </w:pPr>
      <w:r>
        <w:rPr>
          <w:rFonts w:ascii="Arial" w:eastAsia="Arial" w:hAnsi="Arial" w:cs="Arial"/>
          <w:b/>
          <w:bCs/>
        </w:rPr>
        <w:t xml:space="preserve"> </w:t>
      </w:r>
    </w:p>
    <w:p w14:paraId="5BAB5095" w14:textId="03E9F742" w:rsidR="00BA1882" w:rsidRDefault="00BA1882" w:rsidP="00BA1882">
      <w:pPr>
        <w:spacing w:after="0"/>
        <w:jc w:val="center"/>
        <w:rPr>
          <w:rFonts w:ascii="Arial" w:eastAsia="Arial" w:hAnsi="Arial" w:cs="Arial"/>
          <w:b/>
          <w:bCs/>
        </w:rPr>
      </w:pPr>
      <w:r>
        <w:rPr>
          <w:rFonts w:ascii="Arial" w:eastAsia="Arial" w:hAnsi="Arial" w:cs="Arial"/>
          <w:b/>
          <w:bCs/>
        </w:rPr>
        <w:t xml:space="preserve">Student Name: </w:t>
      </w:r>
      <w:r w:rsidR="000672A3" w:rsidRPr="000672A3">
        <w:rPr>
          <w:rFonts w:ascii="Arial" w:eastAsia="Arial" w:hAnsi="Arial" w:cs="Arial"/>
          <w:b/>
          <w:bCs/>
        </w:rPr>
        <w:t>Kamrul Islam Bayazid</w:t>
      </w:r>
    </w:p>
    <w:p w14:paraId="563F5B90" w14:textId="77777777" w:rsidR="00BA1882" w:rsidRDefault="00BA1882" w:rsidP="00BA1882">
      <w:pPr>
        <w:spacing w:after="0"/>
        <w:jc w:val="center"/>
        <w:rPr>
          <w:rFonts w:ascii="Arial" w:eastAsia="Arial" w:hAnsi="Arial" w:cs="Arial"/>
          <w:b/>
          <w:bCs/>
        </w:rPr>
      </w:pPr>
      <w:r>
        <w:rPr>
          <w:rFonts w:ascii="Arial" w:eastAsia="Arial" w:hAnsi="Arial" w:cs="Arial"/>
          <w:b/>
          <w:bCs/>
        </w:rPr>
        <w:t xml:space="preserve"> </w:t>
      </w:r>
    </w:p>
    <w:p w14:paraId="57A891AE" w14:textId="5005D8FC" w:rsidR="00BA1882" w:rsidRDefault="00BA1882" w:rsidP="00BA1882">
      <w:pPr>
        <w:spacing w:after="0"/>
        <w:jc w:val="center"/>
        <w:rPr>
          <w:rFonts w:ascii="Arial" w:eastAsia="Arial" w:hAnsi="Arial" w:cs="Arial"/>
          <w:b/>
          <w:bCs/>
        </w:rPr>
      </w:pPr>
      <w:r>
        <w:rPr>
          <w:rFonts w:ascii="Arial" w:eastAsia="Arial" w:hAnsi="Arial" w:cs="Arial"/>
          <w:b/>
          <w:bCs/>
        </w:rPr>
        <w:t xml:space="preserve">Student ID: </w:t>
      </w:r>
      <w:r w:rsidR="000672A3" w:rsidRPr="000672A3">
        <w:rPr>
          <w:rFonts w:ascii="Arial" w:eastAsia="Arial" w:hAnsi="Arial" w:cs="Arial"/>
          <w:b/>
          <w:bCs/>
        </w:rPr>
        <w:t>2506580</w:t>
      </w:r>
    </w:p>
    <w:p w14:paraId="78E9AF67" w14:textId="77777777" w:rsidR="00BA1882" w:rsidRDefault="00BA1882" w:rsidP="00BA1882">
      <w:pPr>
        <w:spacing w:after="0"/>
        <w:jc w:val="center"/>
        <w:rPr>
          <w:rFonts w:ascii="Arial" w:eastAsia="Arial" w:hAnsi="Arial" w:cs="Arial"/>
          <w:b/>
          <w:bCs/>
        </w:rPr>
      </w:pPr>
      <w:r>
        <w:rPr>
          <w:rFonts w:ascii="Arial" w:eastAsia="Arial" w:hAnsi="Arial" w:cs="Arial"/>
          <w:b/>
          <w:bCs/>
        </w:rPr>
        <w:t xml:space="preserve">  </w:t>
      </w:r>
    </w:p>
    <w:p w14:paraId="37FAF18A" w14:textId="2D7F9459" w:rsidR="00BA1882" w:rsidRDefault="00BA1882" w:rsidP="00BA1882">
      <w:pPr>
        <w:spacing w:after="0"/>
        <w:jc w:val="center"/>
        <w:rPr>
          <w:rFonts w:ascii="Arial" w:eastAsia="Arial" w:hAnsi="Arial" w:cs="Arial"/>
          <w:b/>
          <w:bCs/>
        </w:rPr>
      </w:pPr>
      <w:r>
        <w:rPr>
          <w:rFonts w:ascii="Arial" w:eastAsia="Arial" w:hAnsi="Arial" w:cs="Arial"/>
          <w:b/>
          <w:bCs/>
        </w:rPr>
        <w:t>Module Name: Financial Management</w:t>
      </w:r>
    </w:p>
    <w:p w14:paraId="3110FCFF" w14:textId="77777777" w:rsidR="00BA1882" w:rsidRDefault="00BA1882" w:rsidP="00BA1882">
      <w:pPr>
        <w:spacing w:after="0"/>
        <w:jc w:val="center"/>
        <w:rPr>
          <w:rFonts w:ascii="Arial" w:eastAsia="Arial" w:hAnsi="Arial" w:cs="Arial"/>
          <w:b/>
          <w:bCs/>
        </w:rPr>
      </w:pPr>
      <w:r>
        <w:rPr>
          <w:rFonts w:ascii="Arial" w:eastAsia="Arial" w:hAnsi="Arial" w:cs="Arial"/>
          <w:b/>
          <w:bCs/>
        </w:rPr>
        <w:t xml:space="preserve"> </w:t>
      </w:r>
    </w:p>
    <w:p w14:paraId="73C68F83" w14:textId="6529DE01" w:rsidR="00BA1882" w:rsidRDefault="00BA1882" w:rsidP="00BA1882">
      <w:pPr>
        <w:spacing w:after="0"/>
        <w:jc w:val="center"/>
        <w:rPr>
          <w:rFonts w:ascii="Arial" w:eastAsia="Arial" w:hAnsi="Arial" w:cs="Arial"/>
          <w:b/>
          <w:bCs/>
        </w:rPr>
      </w:pPr>
      <w:r>
        <w:rPr>
          <w:rFonts w:ascii="Arial" w:eastAsia="Arial" w:hAnsi="Arial" w:cs="Arial"/>
          <w:b/>
          <w:bCs/>
        </w:rPr>
        <w:t xml:space="preserve">Module Code: LCMB7002 </w:t>
      </w:r>
    </w:p>
    <w:p w14:paraId="237C7C5E" w14:textId="77777777" w:rsidR="00BA1882" w:rsidRDefault="00BA1882" w:rsidP="00BA1882">
      <w:pPr>
        <w:spacing w:after="0"/>
        <w:jc w:val="center"/>
        <w:rPr>
          <w:rFonts w:ascii="Arial" w:eastAsia="Arial" w:hAnsi="Arial" w:cs="Arial"/>
          <w:b/>
          <w:bCs/>
        </w:rPr>
      </w:pPr>
      <w:r>
        <w:rPr>
          <w:rFonts w:ascii="Arial" w:eastAsia="Arial" w:hAnsi="Arial" w:cs="Arial"/>
          <w:b/>
          <w:bCs/>
        </w:rPr>
        <w:t xml:space="preserve"> </w:t>
      </w:r>
    </w:p>
    <w:p w14:paraId="79BBEBA6" w14:textId="6F269152" w:rsidR="00BA1882" w:rsidRDefault="00BA1882" w:rsidP="00BA1882">
      <w:pPr>
        <w:spacing w:after="0"/>
        <w:jc w:val="center"/>
        <w:rPr>
          <w:rFonts w:ascii="Arial" w:eastAsia="Arial" w:hAnsi="Arial" w:cs="Arial"/>
          <w:b/>
          <w:bCs/>
        </w:rPr>
      </w:pPr>
      <w:r>
        <w:rPr>
          <w:rFonts w:ascii="Arial" w:eastAsia="Arial" w:hAnsi="Arial" w:cs="Arial"/>
          <w:b/>
          <w:bCs/>
        </w:rPr>
        <w:t xml:space="preserve">Lecturer’s Name: </w:t>
      </w:r>
      <w:proofErr w:type="spellStart"/>
      <w:r w:rsidRPr="00BA1882">
        <w:rPr>
          <w:rFonts w:asciiTheme="majorHAnsi" w:hAnsiTheme="majorHAnsi" w:cstheme="majorHAnsi"/>
          <w:b/>
        </w:rPr>
        <w:t>Shengfeng</w:t>
      </w:r>
      <w:proofErr w:type="spellEnd"/>
      <w:r w:rsidRPr="00BA1882">
        <w:rPr>
          <w:rFonts w:asciiTheme="majorHAnsi" w:hAnsiTheme="majorHAnsi" w:cstheme="majorHAnsi"/>
          <w:b/>
        </w:rPr>
        <w:t xml:space="preserve"> Mei (London)</w:t>
      </w:r>
    </w:p>
    <w:p w14:paraId="394C46C7" w14:textId="77777777" w:rsidR="00BA1882" w:rsidRDefault="00BA1882" w:rsidP="00BA1882">
      <w:pPr>
        <w:spacing w:after="0"/>
        <w:jc w:val="left"/>
        <w:rPr>
          <w:rFonts w:ascii="Arial" w:eastAsia="Arial" w:hAnsi="Arial" w:cs="Arial"/>
          <w:b/>
          <w:bCs/>
        </w:rPr>
      </w:pPr>
      <w:r>
        <w:rPr>
          <w:rFonts w:ascii="Arial" w:eastAsia="Arial" w:hAnsi="Arial" w:cs="Arial"/>
          <w:b/>
          <w:bCs/>
        </w:rPr>
        <w:t xml:space="preserve"> </w:t>
      </w:r>
    </w:p>
    <w:p w14:paraId="3E44035B" w14:textId="0BB83430" w:rsidR="00BA1882" w:rsidRDefault="00BA1882" w:rsidP="00BA1882">
      <w:pPr>
        <w:spacing w:after="0"/>
        <w:jc w:val="center"/>
        <w:rPr>
          <w:rFonts w:ascii="Arial" w:eastAsia="Arial" w:hAnsi="Arial" w:cs="Arial"/>
          <w:b/>
          <w:bCs/>
        </w:rPr>
      </w:pPr>
      <w:r>
        <w:rPr>
          <w:rFonts w:ascii="Arial" w:eastAsia="Arial" w:hAnsi="Arial" w:cs="Arial"/>
          <w:b/>
          <w:bCs/>
        </w:rPr>
        <w:t xml:space="preserve">Work Count: </w:t>
      </w:r>
      <w:r w:rsidR="00135A1D">
        <w:rPr>
          <w:rFonts w:ascii="Arial" w:eastAsia="Arial" w:hAnsi="Arial" w:cs="Arial"/>
          <w:b/>
          <w:bCs/>
        </w:rPr>
        <w:t>50</w:t>
      </w:r>
      <w:r w:rsidR="002A51E3">
        <w:rPr>
          <w:rFonts w:ascii="Arial" w:eastAsia="Arial" w:hAnsi="Arial" w:cs="Arial"/>
          <w:b/>
          <w:bCs/>
        </w:rPr>
        <w:t>88</w:t>
      </w:r>
    </w:p>
    <w:p w14:paraId="52418356" w14:textId="77777777" w:rsidR="00BA1882" w:rsidRDefault="00BA1882" w:rsidP="00BA1882">
      <w:pPr>
        <w:spacing w:after="0"/>
        <w:jc w:val="center"/>
        <w:rPr>
          <w:rFonts w:ascii="Arial" w:eastAsia="Arial" w:hAnsi="Arial" w:cs="Arial"/>
          <w:b/>
          <w:bCs/>
        </w:rPr>
      </w:pPr>
      <w:r>
        <w:rPr>
          <w:rFonts w:ascii="Arial" w:eastAsia="Arial" w:hAnsi="Arial" w:cs="Arial"/>
          <w:b/>
          <w:bCs/>
        </w:rPr>
        <w:t xml:space="preserve"> </w:t>
      </w:r>
    </w:p>
    <w:p w14:paraId="283ABB98" w14:textId="77777777" w:rsidR="0003656F" w:rsidRDefault="0003656F">
      <w:pPr>
        <w:spacing w:after="200" w:line="276" w:lineRule="auto"/>
        <w:jc w:val="left"/>
        <w:rPr>
          <w:b/>
          <w:sz w:val="28"/>
        </w:rPr>
      </w:pPr>
      <w:r>
        <w:rPr>
          <w:b/>
          <w:sz w:val="28"/>
        </w:rPr>
        <w:br w:type="page"/>
      </w:r>
    </w:p>
    <w:sdt>
      <w:sdtPr>
        <w:rPr>
          <w:rFonts w:ascii="Times New Roman" w:eastAsiaTheme="minorHAnsi" w:hAnsi="Times New Roman" w:cstheme="minorBidi"/>
          <w:color w:val="auto"/>
          <w:sz w:val="24"/>
          <w:szCs w:val="22"/>
          <w:lang w:val="en-GB"/>
        </w:rPr>
        <w:id w:val="-522703864"/>
        <w:docPartObj>
          <w:docPartGallery w:val="Table of Contents"/>
          <w:docPartUnique/>
        </w:docPartObj>
      </w:sdtPr>
      <w:sdtEndPr>
        <w:rPr>
          <w:b/>
          <w:bCs/>
          <w:noProof/>
        </w:rPr>
      </w:sdtEndPr>
      <w:sdtContent>
        <w:p w14:paraId="5787956F" w14:textId="0D5847E5" w:rsidR="0003656F" w:rsidRPr="0003656F" w:rsidRDefault="0003656F">
          <w:pPr>
            <w:pStyle w:val="TOCHeading"/>
            <w:rPr>
              <w:rFonts w:asciiTheme="minorHAnsi" w:hAnsiTheme="minorHAnsi" w:cstheme="minorHAnsi"/>
              <w:b/>
              <w:color w:val="auto"/>
            </w:rPr>
          </w:pPr>
          <w:r w:rsidRPr="0003656F">
            <w:rPr>
              <w:rFonts w:asciiTheme="minorHAnsi" w:hAnsiTheme="minorHAnsi" w:cstheme="minorHAnsi"/>
              <w:b/>
              <w:color w:val="auto"/>
            </w:rPr>
            <w:t>Table of Contents</w:t>
          </w:r>
        </w:p>
        <w:p w14:paraId="750C8EFC" w14:textId="19B2D44E" w:rsidR="0003656F" w:rsidRDefault="0003656F">
          <w:pPr>
            <w:pStyle w:val="TOC1"/>
            <w:tabs>
              <w:tab w:val="right" w:leader="dot" w:pos="9016"/>
            </w:tabs>
            <w:rPr>
              <w:noProof/>
            </w:rPr>
          </w:pPr>
          <w:r>
            <w:fldChar w:fldCharType="begin"/>
          </w:r>
          <w:r>
            <w:instrText xml:space="preserve"> TOC \o "1-3" \h \z \u </w:instrText>
          </w:r>
          <w:r>
            <w:fldChar w:fldCharType="separate"/>
          </w:r>
          <w:hyperlink w:anchor="_Toc216948135" w:history="1">
            <w:r w:rsidRPr="00BE5BD9">
              <w:rPr>
                <w:rStyle w:val="Hyperlink"/>
                <w:noProof/>
              </w:rPr>
              <w:t>Task 1: Financial Health Check</w:t>
            </w:r>
            <w:r>
              <w:rPr>
                <w:noProof/>
                <w:webHidden/>
              </w:rPr>
              <w:tab/>
            </w:r>
            <w:r>
              <w:rPr>
                <w:noProof/>
                <w:webHidden/>
              </w:rPr>
              <w:fldChar w:fldCharType="begin"/>
            </w:r>
            <w:r>
              <w:rPr>
                <w:noProof/>
                <w:webHidden/>
              </w:rPr>
              <w:instrText xml:space="preserve"> PAGEREF _Toc216948135 \h </w:instrText>
            </w:r>
            <w:r>
              <w:rPr>
                <w:noProof/>
                <w:webHidden/>
              </w:rPr>
            </w:r>
            <w:r>
              <w:rPr>
                <w:noProof/>
                <w:webHidden/>
              </w:rPr>
              <w:fldChar w:fldCharType="separate"/>
            </w:r>
            <w:r w:rsidR="00E02D68">
              <w:rPr>
                <w:noProof/>
                <w:webHidden/>
              </w:rPr>
              <w:t>2</w:t>
            </w:r>
            <w:r>
              <w:rPr>
                <w:noProof/>
                <w:webHidden/>
              </w:rPr>
              <w:fldChar w:fldCharType="end"/>
            </w:r>
          </w:hyperlink>
        </w:p>
        <w:p w14:paraId="7DD64058" w14:textId="7BC4ABF9" w:rsidR="0003656F" w:rsidRDefault="0003656F">
          <w:pPr>
            <w:pStyle w:val="TOC2"/>
            <w:tabs>
              <w:tab w:val="right" w:leader="dot" w:pos="9016"/>
            </w:tabs>
            <w:rPr>
              <w:noProof/>
            </w:rPr>
          </w:pPr>
          <w:hyperlink w:anchor="_Toc216948136" w:history="1">
            <w:r w:rsidRPr="00BE5BD9">
              <w:rPr>
                <w:rStyle w:val="Hyperlink"/>
                <w:noProof/>
              </w:rPr>
              <w:t>1.1 Analysis of financial statements</w:t>
            </w:r>
            <w:r>
              <w:rPr>
                <w:noProof/>
                <w:webHidden/>
              </w:rPr>
              <w:tab/>
            </w:r>
            <w:r>
              <w:rPr>
                <w:noProof/>
                <w:webHidden/>
              </w:rPr>
              <w:fldChar w:fldCharType="begin"/>
            </w:r>
            <w:r>
              <w:rPr>
                <w:noProof/>
                <w:webHidden/>
              </w:rPr>
              <w:instrText xml:space="preserve"> PAGEREF _Toc216948136 \h </w:instrText>
            </w:r>
            <w:r>
              <w:rPr>
                <w:noProof/>
                <w:webHidden/>
              </w:rPr>
            </w:r>
            <w:r>
              <w:rPr>
                <w:noProof/>
                <w:webHidden/>
              </w:rPr>
              <w:fldChar w:fldCharType="separate"/>
            </w:r>
            <w:r w:rsidR="00E02D68">
              <w:rPr>
                <w:noProof/>
                <w:webHidden/>
              </w:rPr>
              <w:t>2</w:t>
            </w:r>
            <w:r>
              <w:rPr>
                <w:noProof/>
                <w:webHidden/>
              </w:rPr>
              <w:fldChar w:fldCharType="end"/>
            </w:r>
          </w:hyperlink>
        </w:p>
        <w:p w14:paraId="1F6F7844" w14:textId="582089A0" w:rsidR="0003656F" w:rsidRDefault="0003656F">
          <w:pPr>
            <w:pStyle w:val="TOC2"/>
            <w:tabs>
              <w:tab w:val="right" w:leader="dot" w:pos="9016"/>
            </w:tabs>
            <w:rPr>
              <w:noProof/>
            </w:rPr>
          </w:pPr>
          <w:hyperlink w:anchor="_Toc216948137" w:history="1">
            <w:r w:rsidRPr="00BE5BD9">
              <w:rPr>
                <w:rStyle w:val="Hyperlink"/>
                <w:noProof/>
              </w:rPr>
              <w:t>1.2 Ratios analysis</w:t>
            </w:r>
            <w:r>
              <w:rPr>
                <w:noProof/>
                <w:webHidden/>
              </w:rPr>
              <w:tab/>
            </w:r>
            <w:r>
              <w:rPr>
                <w:noProof/>
                <w:webHidden/>
              </w:rPr>
              <w:fldChar w:fldCharType="begin"/>
            </w:r>
            <w:r>
              <w:rPr>
                <w:noProof/>
                <w:webHidden/>
              </w:rPr>
              <w:instrText xml:space="preserve"> PAGEREF _Toc216948137 \h </w:instrText>
            </w:r>
            <w:r>
              <w:rPr>
                <w:noProof/>
                <w:webHidden/>
              </w:rPr>
            </w:r>
            <w:r>
              <w:rPr>
                <w:noProof/>
                <w:webHidden/>
              </w:rPr>
              <w:fldChar w:fldCharType="separate"/>
            </w:r>
            <w:r w:rsidR="00E02D68">
              <w:rPr>
                <w:noProof/>
                <w:webHidden/>
              </w:rPr>
              <w:t>3</w:t>
            </w:r>
            <w:r>
              <w:rPr>
                <w:noProof/>
                <w:webHidden/>
              </w:rPr>
              <w:fldChar w:fldCharType="end"/>
            </w:r>
          </w:hyperlink>
        </w:p>
        <w:p w14:paraId="2B17C2AD" w14:textId="03F481BB" w:rsidR="0003656F" w:rsidRDefault="0003656F">
          <w:pPr>
            <w:pStyle w:val="TOC2"/>
            <w:tabs>
              <w:tab w:val="right" w:leader="dot" w:pos="9016"/>
            </w:tabs>
            <w:rPr>
              <w:noProof/>
            </w:rPr>
          </w:pPr>
          <w:hyperlink w:anchor="_Toc216948141" w:history="1">
            <w:r w:rsidRPr="00BE5BD9">
              <w:rPr>
                <w:rStyle w:val="Hyperlink"/>
                <w:noProof/>
              </w:rPr>
              <w:t>1.3 Trends, strengths, threats and recommendations</w:t>
            </w:r>
            <w:r>
              <w:rPr>
                <w:noProof/>
                <w:webHidden/>
              </w:rPr>
              <w:tab/>
            </w:r>
            <w:r>
              <w:rPr>
                <w:noProof/>
                <w:webHidden/>
              </w:rPr>
              <w:fldChar w:fldCharType="begin"/>
            </w:r>
            <w:r>
              <w:rPr>
                <w:noProof/>
                <w:webHidden/>
              </w:rPr>
              <w:instrText xml:space="preserve"> PAGEREF _Toc216948141 \h </w:instrText>
            </w:r>
            <w:r>
              <w:rPr>
                <w:noProof/>
                <w:webHidden/>
              </w:rPr>
            </w:r>
            <w:r>
              <w:rPr>
                <w:noProof/>
                <w:webHidden/>
              </w:rPr>
              <w:fldChar w:fldCharType="separate"/>
            </w:r>
            <w:r w:rsidR="00E02D68">
              <w:rPr>
                <w:noProof/>
                <w:webHidden/>
              </w:rPr>
              <w:t>7</w:t>
            </w:r>
            <w:r>
              <w:rPr>
                <w:noProof/>
                <w:webHidden/>
              </w:rPr>
              <w:fldChar w:fldCharType="end"/>
            </w:r>
          </w:hyperlink>
        </w:p>
        <w:p w14:paraId="49942F01" w14:textId="5E4F34CC" w:rsidR="0003656F" w:rsidRDefault="0003656F">
          <w:pPr>
            <w:pStyle w:val="TOC2"/>
            <w:tabs>
              <w:tab w:val="right" w:leader="dot" w:pos="9016"/>
            </w:tabs>
            <w:rPr>
              <w:noProof/>
            </w:rPr>
          </w:pPr>
          <w:hyperlink w:anchor="_Toc216948142" w:history="1">
            <w:r w:rsidRPr="00BE5BD9">
              <w:rPr>
                <w:rStyle w:val="Hyperlink"/>
                <w:noProof/>
              </w:rPr>
              <w:t>1.4 Corporate failure prediction: Altman Z‑Score</w:t>
            </w:r>
            <w:r>
              <w:rPr>
                <w:noProof/>
                <w:webHidden/>
              </w:rPr>
              <w:tab/>
            </w:r>
            <w:r>
              <w:rPr>
                <w:noProof/>
                <w:webHidden/>
              </w:rPr>
              <w:fldChar w:fldCharType="begin"/>
            </w:r>
            <w:r>
              <w:rPr>
                <w:noProof/>
                <w:webHidden/>
              </w:rPr>
              <w:instrText xml:space="preserve"> PAGEREF _Toc216948142 \h </w:instrText>
            </w:r>
            <w:r>
              <w:rPr>
                <w:noProof/>
                <w:webHidden/>
              </w:rPr>
            </w:r>
            <w:r>
              <w:rPr>
                <w:noProof/>
                <w:webHidden/>
              </w:rPr>
              <w:fldChar w:fldCharType="separate"/>
            </w:r>
            <w:r w:rsidR="00E02D68">
              <w:rPr>
                <w:noProof/>
                <w:webHidden/>
              </w:rPr>
              <w:t>8</w:t>
            </w:r>
            <w:r>
              <w:rPr>
                <w:noProof/>
                <w:webHidden/>
              </w:rPr>
              <w:fldChar w:fldCharType="end"/>
            </w:r>
          </w:hyperlink>
        </w:p>
        <w:p w14:paraId="54DC1021" w14:textId="10E6990D" w:rsidR="0003656F" w:rsidRDefault="0003656F">
          <w:pPr>
            <w:pStyle w:val="TOC1"/>
            <w:tabs>
              <w:tab w:val="right" w:leader="dot" w:pos="9016"/>
            </w:tabs>
            <w:rPr>
              <w:noProof/>
            </w:rPr>
          </w:pPr>
          <w:hyperlink w:anchor="_Toc216948143" w:history="1">
            <w:r w:rsidRPr="00BE5BD9">
              <w:rPr>
                <w:rStyle w:val="Hyperlink"/>
                <w:noProof/>
              </w:rPr>
              <w:t>Task 2: Working Capital Management Analysis</w:t>
            </w:r>
            <w:r>
              <w:rPr>
                <w:noProof/>
                <w:webHidden/>
              </w:rPr>
              <w:tab/>
            </w:r>
            <w:r>
              <w:rPr>
                <w:noProof/>
                <w:webHidden/>
              </w:rPr>
              <w:fldChar w:fldCharType="begin"/>
            </w:r>
            <w:r>
              <w:rPr>
                <w:noProof/>
                <w:webHidden/>
              </w:rPr>
              <w:instrText xml:space="preserve"> PAGEREF _Toc216948143 \h </w:instrText>
            </w:r>
            <w:r>
              <w:rPr>
                <w:noProof/>
                <w:webHidden/>
              </w:rPr>
            </w:r>
            <w:r>
              <w:rPr>
                <w:noProof/>
                <w:webHidden/>
              </w:rPr>
              <w:fldChar w:fldCharType="separate"/>
            </w:r>
            <w:r w:rsidR="00E02D68">
              <w:rPr>
                <w:noProof/>
                <w:webHidden/>
              </w:rPr>
              <w:t>9</w:t>
            </w:r>
            <w:r>
              <w:rPr>
                <w:noProof/>
                <w:webHidden/>
              </w:rPr>
              <w:fldChar w:fldCharType="end"/>
            </w:r>
          </w:hyperlink>
        </w:p>
        <w:p w14:paraId="1963A8DE" w14:textId="0AB326D4" w:rsidR="0003656F" w:rsidRDefault="0003656F">
          <w:pPr>
            <w:pStyle w:val="TOC2"/>
            <w:tabs>
              <w:tab w:val="right" w:leader="dot" w:pos="9016"/>
            </w:tabs>
            <w:rPr>
              <w:noProof/>
            </w:rPr>
          </w:pPr>
          <w:hyperlink w:anchor="_Toc216948144" w:history="1">
            <w:r w:rsidRPr="00BE5BD9">
              <w:rPr>
                <w:rStyle w:val="Hyperlink"/>
                <w:noProof/>
              </w:rPr>
              <w:t>2.1 Assessment of the cash operating cycle</w:t>
            </w:r>
            <w:r>
              <w:rPr>
                <w:noProof/>
                <w:webHidden/>
              </w:rPr>
              <w:tab/>
            </w:r>
            <w:r>
              <w:rPr>
                <w:noProof/>
                <w:webHidden/>
              </w:rPr>
              <w:fldChar w:fldCharType="begin"/>
            </w:r>
            <w:r>
              <w:rPr>
                <w:noProof/>
                <w:webHidden/>
              </w:rPr>
              <w:instrText xml:space="preserve"> PAGEREF _Toc216948144 \h </w:instrText>
            </w:r>
            <w:r>
              <w:rPr>
                <w:noProof/>
                <w:webHidden/>
              </w:rPr>
            </w:r>
            <w:r>
              <w:rPr>
                <w:noProof/>
                <w:webHidden/>
              </w:rPr>
              <w:fldChar w:fldCharType="separate"/>
            </w:r>
            <w:r w:rsidR="00E02D68">
              <w:rPr>
                <w:noProof/>
                <w:webHidden/>
              </w:rPr>
              <w:t>9</w:t>
            </w:r>
            <w:r>
              <w:rPr>
                <w:noProof/>
                <w:webHidden/>
              </w:rPr>
              <w:fldChar w:fldCharType="end"/>
            </w:r>
          </w:hyperlink>
        </w:p>
        <w:p w14:paraId="1F520F30" w14:textId="65EAD5B8" w:rsidR="0003656F" w:rsidRDefault="0003656F">
          <w:pPr>
            <w:pStyle w:val="TOC2"/>
            <w:tabs>
              <w:tab w:val="right" w:leader="dot" w:pos="9016"/>
            </w:tabs>
            <w:rPr>
              <w:noProof/>
            </w:rPr>
          </w:pPr>
          <w:hyperlink w:anchor="_Toc216948145" w:history="1">
            <w:r w:rsidRPr="00BE5BD9">
              <w:rPr>
                <w:rStyle w:val="Hyperlink"/>
                <w:noProof/>
              </w:rPr>
              <w:t>2.2 Strategies to improve liquidity through working‑capital reforms</w:t>
            </w:r>
            <w:r>
              <w:rPr>
                <w:noProof/>
                <w:webHidden/>
              </w:rPr>
              <w:tab/>
            </w:r>
            <w:r>
              <w:rPr>
                <w:noProof/>
                <w:webHidden/>
              </w:rPr>
              <w:fldChar w:fldCharType="begin"/>
            </w:r>
            <w:r>
              <w:rPr>
                <w:noProof/>
                <w:webHidden/>
              </w:rPr>
              <w:instrText xml:space="preserve"> PAGEREF _Toc216948145 \h </w:instrText>
            </w:r>
            <w:r>
              <w:rPr>
                <w:noProof/>
                <w:webHidden/>
              </w:rPr>
            </w:r>
            <w:r>
              <w:rPr>
                <w:noProof/>
                <w:webHidden/>
              </w:rPr>
              <w:fldChar w:fldCharType="separate"/>
            </w:r>
            <w:r w:rsidR="00E02D68">
              <w:rPr>
                <w:noProof/>
                <w:webHidden/>
              </w:rPr>
              <w:t>9</w:t>
            </w:r>
            <w:r>
              <w:rPr>
                <w:noProof/>
                <w:webHidden/>
              </w:rPr>
              <w:fldChar w:fldCharType="end"/>
            </w:r>
          </w:hyperlink>
        </w:p>
        <w:p w14:paraId="2A1D634E" w14:textId="167C4301" w:rsidR="0003656F" w:rsidRDefault="0003656F">
          <w:pPr>
            <w:pStyle w:val="TOC2"/>
            <w:tabs>
              <w:tab w:val="right" w:leader="dot" w:pos="9016"/>
            </w:tabs>
            <w:rPr>
              <w:noProof/>
            </w:rPr>
          </w:pPr>
          <w:hyperlink w:anchor="_Toc216948146" w:history="1">
            <w:r w:rsidRPr="00BE5BD9">
              <w:rPr>
                <w:rStyle w:val="Hyperlink"/>
                <w:noProof/>
              </w:rPr>
              <w:t>2.3 Comparison of short‑term versus long‑term financing options</w:t>
            </w:r>
            <w:r>
              <w:rPr>
                <w:noProof/>
                <w:webHidden/>
              </w:rPr>
              <w:tab/>
            </w:r>
            <w:r>
              <w:rPr>
                <w:noProof/>
                <w:webHidden/>
              </w:rPr>
              <w:fldChar w:fldCharType="begin"/>
            </w:r>
            <w:r>
              <w:rPr>
                <w:noProof/>
                <w:webHidden/>
              </w:rPr>
              <w:instrText xml:space="preserve"> PAGEREF _Toc216948146 \h </w:instrText>
            </w:r>
            <w:r>
              <w:rPr>
                <w:noProof/>
                <w:webHidden/>
              </w:rPr>
            </w:r>
            <w:r>
              <w:rPr>
                <w:noProof/>
                <w:webHidden/>
              </w:rPr>
              <w:fldChar w:fldCharType="separate"/>
            </w:r>
            <w:r w:rsidR="00E02D68">
              <w:rPr>
                <w:noProof/>
                <w:webHidden/>
              </w:rPr>
              <w:t>10</w:t>
            </w:r>
            <w:r>
              <w:rPr>
                <w:noProof/>
                <w:webHidden/>
              </w:rPr>
              <w:fldChar w:fldCharType="end"/>
            </w:r>
          </w:hyperlink>
        </w:p>
        <w:p w14:paraId="44776A06" w14:textId="118F321D" w:rsidR="0003656F" w:rsidRDefault="0003656F">
          <w:pPr>
            <w:pStyle w:val="TOC1"/>
            <w:tabs>
              <w:tab w:val="right" w:leader="dot" w:pos="9016"/>
            </w:tabs>
            <w:rPr>
              <w:noProof/>
            </w:rPr>
          </w:pPr>
          <w:hyperlink w:anchor="_Toc216948147" w:history="1">
            <w:r w:rsidRPr="00BE5BD9">
              <w:rPr>
                <w:rStyle w:val="Hyperlink"/>
                <w:noProof/>
              </w:rPr>
              <w:t>Task 3: Strategic Financial Restructuring Plan</w:t>
            </w:r>
            <w:r>
              <w:rPr>
                <w:noProof/>
                <w:webHidden/>
              </w:rPr>
              <w:tab/>
            </w:r>
            <w:r>
              <w:rPr>
                <w:noProof/>
                <w:webHidden/>
              </w:rPr>
              <w:fldChar w:fldCharType="begin"/>
            </w:r>
            <w:r>
              <w:rPr>
                <w:noProof/>
                <w:webHidden/>
              </w:rPr>
              <w:instrText xml:space="preserve"> PAGEREF _Toc216948147 \h </w:instrText>
            </w:r>
            <w:r>
              <w:rPr>
                <w:noProof/>
                <w:webHidden/>
              </w:rPr>
            </w:r>
            <w:r>
              <w:rPr>
                <w:noProof/>
                <w:webHidden/>
              </w:rPr>
              <w:fldChar w:fldCharType="separate"/>
            </w:r>
            <w:r w:rsidR="00E02D68">
              <w:rPr>
                <w:noProof/>
                <w:webHidden/>
              </w:rPr>
              <w:t>11</w:t>
            </w:r>
            <w:r>
              <w:rPr>
                <w:noProof/>
                <w:webHidden/>
              </w:rPr>
              <w:fldChar w:fldCharType="end"/>
            </w:r>
          </w:hyperlink>
        </w:p>
        <w:p w14:paraId="342B34FB" w14:textId="7CE01E49" w:rsidR="0003656F" w:rsidRDefault="0003656F">
          <w:pPr>
            <w:pStyle w:val="TOC2"/>
            <w:tabs>
              <w:tab w:val="right" w:leader="dot" w:pos="9016"/>
            </w:tabs>
            <w:rPr>
              <w:noProof/>
            </w:rPr>
          </w:pPr>
          <w:hyperlink w:anchor="_Toc216948148" w:history="1">
            <w:r w:rsidRPr="00BE5BD9">
              <w:rPr>
                <w:rStyle w:val="Hyperlink"/>
                <w:noProof/>
              </w:rPr>
              <w:t>3.1 Recommended financial restructuring options</w:t>
            </w:r>
            <w:r>
              <w:rPr>
                <w:noProof/>
                <w:webHidden/>
              </w:rPr>
              <w:tab/>
            </w:r>
            <w:r>
              <w:rPr>
                <w:noProof/>
                <w:webHidden/>
              </w:rPr>
              <w:fldChar w:fldCharType="begin"/>
            </w:r>
            <w:r>
              <w:rPr>
                <w:noProof/>
                <w:webHidden/>
              </w:rPr>
              <w:instrText xml:space="preserve"> PAGEREF _Toc216948148 \h </w:instrText>
            </w:r>
            <w:r>
              <w:rPr>
                <w:noProof/>
                <w:webHidden/>
              </w:rPr>
            </w:r>
            <w:r>
              <w:rPr>
                <w:noProof/>
                <w:webHidden/>
              </w:rPr>
              <w:fldChar w:fldCharType="separate"/>
            </w:r>
            <w:r w:rsidR="00E02D68">
              <w:rPr>
                <w:noProof/>
                <w:webHidden/>
              </w:rPr>
              <w:t>11</w:t>
            </w:r>
            <w:r>
              <w:rPr>
                <w:noProof/>
                <w:webHidden/>
              </w:rPr>
              <w:fldChar w:fldCharType="end"/>
            </w:r>
          </w:hyperlink>
        </w:p>
        <w:p w14:paraId="789C61FD" w14:textId="62DC1E63" w:rsidR="0003656F" w:rsidRDefault="0003656F">
          <w:pPr>
            <w:pStyle w:val="TOC2"/>
            <w:tabs>
              <w:tab w:val="right" w:leader="dot" w:pos="9016"/>
            </w:tabs>
            <w:rPr>
              <w:noProof/>
            </w:rPr>
          </w:pPr>
          <w:hyperlink w:anchor="_Toc216948149" w:history="1">
            <w:r w:rsidRPr="00BE5BD9">
              <w:rPr>
                <w:rStyle w:val="Hyperlink"/>
                <w:noProof/>
              </w:rPr>
              <w:t>3.2 Impact on shareholder value, debt structure and operational flexibility</w:t>
            </w:r>
            <w:r>
              <w:rPr>
                <w:noProof/>
                <w:webHidden/>
              </w:rPr>
              <w:tab/>
            </w:r>
            <w:r>
              <w:rPr>
                <w:noProof/>
                <w:webHidden/>
              </w:rPr>
              <w:fldChar w:fldCharType="begin"/>
            </w:r>
            <w:r>
              <w:rPr>
                <w:noProof/>
                <w:webHidden/>
              </w:rPr>
              <w:instrText xml:space="preserve"> PAGEREF _Toc216948149 \h </w:instrText>
            </w:r>
            <w:r>
              <w:rPr>
                <w:noProof/>
                <w:webHidden/>
              </w:rPr>
            </w:r>
            <w:r>
              <w:rPr>
                <w:noProof/>
                <w:webHidden/>
              </w:rPr>
              <w:fldChar w:fldCharType="separate"/>
            </w:r>
            <w:r w:rsidR="00E02D68">
              <w:rPr>
                <w:noProof/>
                <w:webHidden/>
              </w:rPr>
              <w:t>12</w:t>
            </w:r>
            <w:r>
              <w:rPr>
                <w:noProof/>
                <w:webHidden/>
              </w:rPr>
              <w:fldChar w:fldCharType="end"/>
            </w:r>
          </w:hyperlink>
        </w:p>
        <w:p w14:paraId="22681AD4" w14:textId="5D29AEE9" w:rsidR="0003656F" w:rsidRDefault="0003656F">
          <w:pPr>
            <w:pStyle w:val="TOC2"/>
            <w:tabs>
              <w:tab w:val="right" w:leader="dot" w:pos="9016"/>
            </w:tabs>
            <w:rPr>
              <w:noProof/>
            </w:rPr>
          </w:pPr>
          <w:hyperlink w:anchor="_Toc216948150" w:history="1">
            <w:r w:rsidRPr="00BE5BD9">
              <w:rPr>
                <w:rStyle w:val="Hyperlink"/>
                <w:noProof/>
              </w:rPr>
              <w:t>3.3 International and ethical considerations</w:t>
            </w:r>
            <w:r>
              <w:rPr>
                <w:noProof/>
                <w:webHidden/>
              </w:rPr>
              <w:tab/>
            </w:r>
            <w:r>
              <w:rPr>
                <w:noProof/>
                <w:webHidden/>
              </w:rPr>
              <w:fldChar w:fldCharType="begin"/>
            </w:r>
            <w:r>
              <w:rPr>
                <w:noProof/>
                <w:webHidden/>
              </w:rPr>
              <w:instrText xml:space="preserve"> PAGEREF _Toc216948150 \h </w:instrText>
            </w:r>
            <w:r>
              <w:rPr>
                <w:noProof/>
                <w:webHidden/>
              </w:rPr>
            </w:r>
            <w:r>
              <w:rPr>
                <w:noProof/>
                <w:webHidden/>
              </w:rPr>
              <w:fldChar w:fldCharType="separate"/>
            </w:r>
            <w:r w:rsidR="00E02D68">
              <w:rPr>
                <w:noProof/>
                <w:webHidden/>
              </w:rPr>
              <w:t>13</w:t>
            </w:r>
            <w:r>
              <w:rPr>
                <w:noProof/>
                <w:webHidden/>
              </w:rPr>
              <w:fldChar w:fldCharType="end"/>
            </w:r>
          </w:hyperlink>
        </w:p>
        <w:p w14:paraId="0ED9EA7F" w14:textId="4A647198" w:rsidR="0003656F" w:rsidRDefault="0003656F">
          <w:pPr>
            <w:pStyle w:val="TOC1"/>
            <w:tabs>
              <w:tab w:val="right" w:leader="dot" w:pos="9016"/>
            </w:tabs>
            <w:rPr>
              <w:noProof/>
            </w:rPr>
          </w:pPr>
          <w:hyperlink w:anchor="_Toc216948151" w:history="1">
            <w:r w:rsidRPr="00BE5BD9">
              <w:rPr>
                <w:rStyle w:val="Hyperlink"/>
                <w:noProof/>
              </w:rPr>
              <w:t>Task 4: Investment Appraisal and Capital Budgeting</w:t>
            </w:r>
            <w:r>
              <w:rPr>
                <w:noProof/>
                <w:webHidden/>
              </w:rPr>
              <w:tab/>
            </w:r>
            <w:r>
              <w:rPr>
                <w:noProof/>
                <w:webHidden/>
              </w:rPr>
              <w:fldChar w:fldCharType="begin"/>
            </w:r>
            <w:r>
              <w:rPr>
                <w:noProof/>
                <w:webHidden/>
              </w:rPr>
              <w:instrText xml:space="preserve"> PAGEREF _Toc216948151 \h </w:instrText>
            </w:r>
            <w:r>
              <w:rPr>
                <w:noProof/>
                <w:webHidden/>
              </w:rPr>
            </w:r>
            <w:r>
              <w:rPr>
                <w:noProof/>
                <w:webHidden/>
              </w:rPr>
              <w:fldChar w:fldCharType="separate"/>
            </w:r>
            <w:r w:rsidR="00E02D68">
              <w:rPr>
                <w:noProof/>
                <w:webHidden/>
              </w:rPr>
              <w:t>14</w:t>
            </w:r>
            <w:r>
              <w:rPr>
                <w:noProof/>
                <w:webHidden/>
              </w:rPr>
              <w:fldChar w:fldCharType="end"/>
            </w:r>
          </w:hyperlink>
        </w:p>
        <w:p w14:paraId="5905B572" w14:textId="59288F69" w:rsidR="0003656F" w:rsidRDefault="0003656F">
          <w:pPr>
            <w:pStyle w:val="TOC2"/>
            <w:tabs>
              <w:tab w:val="right" w:leader="dot" w:pos="9016"/>
            </w:tabs>
            <w:rPr>
              <w:noProof/>
            </w:rPr>
          </w:pPr>
          <w:hyperlink w:anchor="_Toc216948152" w:history="1">
            <w:r w:rsidRPr="00BE5BD9">
              <w:rPr>
                <w:rStyle w:val="Hyperlink"/>
                <w:noProof/>
              </w:rPr>
              <w:t>4.1 Explaining the Investment Techniques and Results</w:t>
            </w:r>
            <w:r>
              <w:rPr>
                <w:noProof/>
                <w:webHidden/>
              </w:rPr>
              <w:tab/>
            </w:r>
            <w:r>
              <w:rPr>
                <w:noProof/>
                <w:webHidden/>
              </w:rPr>
              <w:fldChar w:fldCharType="begin"/>
            </w:r>
            <w:r>
              <w:rPr>
                <w:noProof/>
                <w:webHidden/>
              </w:rPr>
              <w:instrText xml:space="preserve"> PAGEREF _Toc216948152 \h </w:instrText>
            </w:r>
            <w:r>
              <w:rPr>
                <w:noProof/>
                <w:webHidden/>
              </w:rPr>
            </w:r>
            <w:r>
              <w:rPr>
                <w:noProof/>
                <w:webHidden/>
              </w:rPr>
              <w:fldChar w:fldCharType="separate"/>
            </w:r>
            <w:r w:rsidR="00E02D68">
              <w:rPr>
                <w:noProof/>
                <w:webHidden/>
              </w:rPr>
              <w:t>14</w:t>
            </w:r>
            <w:r>
              <w:rPr>
                <w:noProof/>
                <w:webHidden/>
              </w:rPr>
              <w:fldChar w:fldCharType="end"/>
            </w:r>
          </w:hyperlink>
        </w:p>
        <w:p w14:paraId="4B0EAFCE" w14:textId="634ED66F" w:rsidR="0003656F" w:rsidRDefault="0003656F">
          <w:pPr>
            <w:pStyle w:val="TOC2"/>
            <w:tabs>
              <w:tab w:val="right" w:leader="dot" w:pos="9016"/>
            </w:tabs>
            <w:rPr>
              <w:noProof/>
            </w:rPr>
          </w:pPr>
          <w:hyperlink w:anchor="_Toc216948153" w:history="1">
            <w:r w:rsidRPr="00BE5BD9">
              <w:rPr>
                <w:rStyle w:val="Hyperlink"/>
                <w:noProof/>
              </w:rPr>
              <w:t>4.2 Final Investment Recommendation</w:t>
            </w:r>
            <w:r>
              <w:rPr>
                <w:noProof/>
                <w:webHidden/>
              </w:rPr>
              <w:tab/>
            </w:r>
            <w:r>
              <w:rPr>
                <w:noProof/>
                <w:webHidden/>
              </w:rPr>
              <w:fldChar w:fldCharType="begin"/>
            </w:r>
            <w:r>
              <w:rPr>
                <w:noProof/>
                <w:webHidden/>
              </w:rPr>
              <w:instrText xml:space="preserve"> PAGEREF _Toc216948153 \h </w:instrText>
            </w:r>
            <w:r>
              <w:rPr>
                <w:noProof/>
                <w:webHidden/>
              </w:rPr>
            </w:r>
            <w:r>
              <w:rPr>
                <w:noProof/>
                <w:webHidden/>
              </w:rPr>
              <w:fldChar w:fldCharType="separate"/>
            </w:r>
            <w:r w:rsidR="00E02D68">
              <w:rPr>
                <w:noProof/>
                <w:webHidden/>
              </w:rPr>
              <w:t>15</w:t>
            </w:r>
            <w:r>
              <w:rPr>
                <w:noProof/>
                <w:webHidden/>
              </w:rPr>
              <w:fldChar w:fldCharType="end"/>
            </w:r>
          </w:hyperlink>
        </w:p>
        <w:p w14:paraId="0D7B4011" w14:textId="46C95356" w:rsidR="0003656F" w:rsidRDefault="0003656F">
          <w:pPr>
            <w:pStyle w:val="TOC2"/>
            <w:tabs>
              <w:tab w:val="right" w:leader="dot" w:pos="9016"/>
            </w:tabs>
            <w:rPr>
              <w:noProof/>
            </w:rPr>
          </w:pPr>
          <w:hyperlink w:anchor="_Toc216948154" w:history="1">
            <w:r w:rsidRPr="00BE5BD9">
              <w:rPr>
                <w:rStyle w:val="Hyperlink"/>
                <w:noProof/>
              </w:rPr>
              <w:t>4.3 Justification Based on Financial Performance and Risk</w:t>
            </w:r>
            <w:r>
              <w:rPr>
                <w:noProof/>
                <w:webHidden/>
              </w:rPr>
              <w:tab/>
            </w:r>
            <w:r>
              <w:rPr>
                <w:noProof/>
                <w:webHidden/>
              </w:rPr>
              <w:fldChar w:fldCharType="begin"/>
            </w:r>
            <w:r>
              <w:rPr>
                <w:noProof/>
                <w:webHidden/>
              </w:rPr>
              <w:instrText xml:space="preserve"> PAGEREF _Toc216948154 \h </w:instrText>
            </w:r>
            <w:r>
              <w:rPr>
                <w:noProof/>
                <w:webHidden/>
              </w:rPr>
            </w:r>
            <w:r>
              <w:rPr>
                <w:noProof/>
                <w:webHidden/>
              </w:rPr>
              <w:fldChar w:fldCharType="separate"/>
            </w:r>
            <w:r w:rsidR="00E02D68">
              <w:rPr>
                <w:noProof/>
                <w:webHidden/>
              </w:rPr>
              <w:t>16</w:t>
            </w:r>
            <w:r>
              <w:rPr>
                <w:noProof/>
                <w:webHidden/>
              </w:rPr>
              <w:fldChar w:fldCharType="end"/>
            </w:r>
          </w:hyperlink>
        </w:p>
        <w:p w14:paraId="4C557191" w14:textId="448264AA" w:rsidR="0003656F" w:rsidRDefault="0003656F">
          <w:pPr>
            <w:pStyle w:val="TOC1"/>
            <w:tabs>
              <w:tab w:val="right" w:leader="dot" w:pos="9016"/>
            </w:tabs>
            <w:rPr>
              <w:noProof/>
            </w:rPr>
          </w:pPr>
          <w:hyperlink w:anchor="_Toc216948155" w:history="1">
            <w:r w:rsidRPr="00BE5BD9">
              <w:rPr>
                <w:rStyle w:val="Hyperlink"/>
                <w:noProof/>
              </w:rPr>
              <w:t>References</w:t>
            </w:r>
            <w:r>
              <w:rPr>
                <w:noProof/>
                <w:webHidden/>
              </w:rPr>
              <w:tab/>
            </w:r>
            <w:r>
              <w:rPr>
                <w:noProof/>
                <w:webHidden/>
              </w:rPr>
              <w:fldChar w:fldCharType="begin"/>
            </w:r>
            <w:r>
              <w:rPr>
                <w:noProof/>
                <w:webHidden/>
              </w:rPr>
              <w:instrText xml:space="preserve"> PAGEREF _Toc216948155 \h </w:instrText>
            </w:r>
            <w:r>
              <w:rPr>
                <w:noProof/>
                <w:webHidden/>
              </w:rPr>
            </w:r>
            <w:r>
              <w:rPr>
                <w:noProof/>
                <w:webHidden/>
              </w:rPr>
              <w:fldChar w:fldCharType="separate"/>
            </w:r>
            <w:r w:rsidR="00E02D68">
              <w:rPr>
                <w:noProof/>
                <w:webHidden/>
              </w:rPr>
              <w:t>18</w:t>
            </w:r>
            <w:r>
              <w:rPr>
                <w:noProof/>
                <w:webHidden/>
              </w:rPr>
              <w:fldChar w:fldCharType="end"/>
            </w:r>
          </w:hyperlink>
        </w:p>
        <w:p w14:paraId="04F293A8" w14:textId="13287F70" w:rsidR="0003656F" w:rsidRDefault="0003656F">
          <w:pPr>
            <w:pStyle w:val="TOC1"/>
            <w:tabs>
              <w:tab w:val="right" w:leader="dot" w:pos="9016"/>
            </w:tabs>
            <w:rPr>
              <w:noProof/>
            </w:rPr>
          </w:pPr>
          <w:hyperlink w:anchor="_Toc216948156" w:history="1">
            <w:r w:rsidRPr="00BE5BD9">
              <w:rPr>
                <w:rStyle w:val="Hyperlink"/>
                <w:noProof/>
              </w:rPr>
              <w:t>Appendix</w:t>
            </w:r>
            <w:r>
              <w:rPr>
                <w:noProof/>
                <w:webHidden/>
              </w:rPr>
              <w:tab/>
            </w:r>
            <w:r>
              <w:rPr>
                <w:noProof/>
                <w:webHidden/>
              </w:rPr>
              <w:fldChar w:fldCharType="begin"/>
            </w:r>
            <w:r>
              <w:rPr>
                <w:noProof/>
                <w:webHidden/>
              </w:rPr>
              <w:instrText xml:space="preserve"> PAGEREF _Toc216948156 \h </w:instrText>
            </w:r>
            <w:r>
              <w:rPr>
                <w:noProof/>
                <w:webHidden/>
              </w:rPr>
            </w:r>
            <w:r>
              <w:rPr>
                <w:noProof/>
                <w:webHidden/>
              </w:rPr>
              <w:fldChar w:fldCharType="separate"/>
            </w:r>
            <w:r w:rsidR="00E02D68">
              <w:rPr>
                <w:noProof/>
                <w:webHidden/>
              </w:rPr>
              <w:t>20</w:t>
            </w:r>
            <w:r>
              <w:rPr>
                <w:noProof/>
                <w:webHidden/>
              </w:rPr>
              <w:fldChar w:fldCharType="end"/>
            </w:r>
          </w:hyperlink>
        </w:p>
        <w:p w14:paraId="4C1C7A86" w14:textId="42CE2A12" w:rsidR="009C0ED0" w:rsidRPr="009C0ED0" w:rsidRDefault="0003656F" w:rsidP="0003656F">
          <w:r>
            <w:rPr>
              <w:b/>
              <w:bCs/>
              <w:noProof/>
            </w:rPr>
            <w:fldChar w:fldCharType="end"/>
          </w:r>
        </w:p>
      </w:sdtContent>
    </w:sdt>
    <w:sdt>
      <w:sdtPr>
        <w:id w:val="-215737403"/>
        <w:docPartObj>
          <w:docPartGallery w:val="Cover Pages"/>
          <w:docPartUnique/>
        </w:docPartObj>
      </w:sdtPr>
      <w:sdtContent>
        <w:p w14:paraId="5D50AC45" w14:textId="4AE9FCE9" w:rsidR="009C0ED0" w:rsidRDefault="009C0ED0"/>
        <w:p w14:paraId="7AEDCE3F" w14:textId="77777777" w:rsidR="009C0ED0" w:rsidRDefault="009C0ED0"/>
        <w:p w14:paraId="7C11623A" w14:textId="1C28B70C" w:rsidR="009C0ED0" w:rsidRDefault="009C0ED0">
          <w:pPr>
            <w:spacing w:after="200" w:line="276" w:lineRule="auto"/>
            <w:jc w:val="left"/>
          </w:pPr>
          <w:r>
            <w:br w:type="page"/>
          </w:r>
        </w:p>
      </w:sdtContent>
    </w:sdt>
    <w:p w14:paraId="7A5B63F8" w14:textId="77777777" w:rsidR="009C0ED0" w:rsidRDefault="009C0ED0" w:rsidP="00B5641C">
      <w:pPr>
        <w:pStyle w:val="Heading1"/>
      </w:pPr>
      <w:bookmarkStart w:id="0" w:name="header"/>
      <w:bookmarkStart w:id="1" w:name="_Toc216948135"/>
      <w:bookmarkStart w:id="2" w:name="financial-analysis-tasks-13"/>
      <w:bookmarkStart w:id="3" w:name="content"/>
      <w:bookmarkStart w:id="4" w:name="financial-health-check-1400-words"/>
      <w:bookmarkEnd w:id="0"/>
      <w:r>
        <w:lastRenderedPageBreak/>
        <w:t>Task 1: Financial Health Check</w:t>
      </w:r>
      <w:bookmarkEnd w:id="1"/>
      <w:r>
        <w:t xml:space="preserve"> </w:t>
      </w:r>
    </w:p>
    <w:p w14:paraId="1F1711B7" w14:textId="5845EF05" w:rsidR="009C0ED0" w:rsidRDefault="009C0ED0" w:rsidP="00B5641C">
      <w:pPr>
        <w:pStyle w:val="Heading2"/>
      </w:pPr>
      <w:bookmarkStart w:id="5" w:name="_Toc216948136"/>
      <w:bookmarkStart w:id="6" w:name="X14a78fd45a1c0df754a443a46ea6c32b1961641"/>
      <w:r>
        <w:t>1.1 Analysis of financial statements</w:t>
      </w:r>
      <w:bookmarkEnd w:id="5"/>
      <w:r>
        <w:t xml:space="preserve"> </w:t>
      </w:r>
    </w:p>
    <w:p w14:paraId="4C9BDB1D" w14:textId="71C3C811" w:rsidR="003614EE" w:rsidRDefault="003614EE" w:rsidP="003614EE">
      <w:r>
        <w:t xml:space="preserve">The consolidated income statement and balance sheet of the firm (Appendix </w:t>
      </w:r>
      <w:r w:rsidR="00B5641C">
        <w:t>1</w:t>
      </w:r>
      <w:r>
        <w:t xml:space="preserve">) indicates that the </w:t>
      </w:r>
      <w:r w:rsidR="00123117">
        <w:t>General Electronics (GE)</w:t>
      </w:r>
      <w:r>
        <w:t xml:space="preserve"> has gone through massive growth in revenues but at the same time experienced a downtrend in profitability and growing working-capital demands in the five years 2020-2024. The net sales remarkably grew by 4% per annum as the net sales grew to 732.5 million in 2024 compared to 614.7 million in 2020. Cost of sales increased gradually but not as fast that allowed gross profit to stay about 61-63% of sales. The operating expenses, however, grew at a solid pace: the selling, general and administrative expenses grew to </w:t>
      </w:r>
      <w:r w:rsidR="00DC45BB">
        <w:t>£</w:t>
      </w:r>
      <w:r>
        <w:t xml:space="preserve">367.2 million versus the previous </w:t>
      </w:r>
      <w:r w:rsidR="00DC45BB">
        <w:t>£</w:t>
      </w:r>
      <w:r>
        <w:t xml:space="preserve">272.8 million, more than the growth of the revenues and reducing the operating income. There was a decrease in operating income in 2020 of </w:t>
      </w:r>
      <w:r w:rsidR="00DC45BB">
        <w:t>£</w:t>
      </w:r>
      <w:r>
        <w:t xml:space="preserve">107.0 million to 2024 of </w:t>
      </w:r>
      <w:r w:rsidR="00DC45BB">
        <w:t>£</w:t>
      </w:r>
      <w:r>
        <w:t xml:space="preserve">81.4 million. Increase in interest expense between </w:t>
      </w:r>
      <w:r w:rsidR="00DC45BB">
        <w:t>£</w:t>
      </w:r>
      <w:r>
        <w:t xml:space="preserve">7.5 million and </w:t>
      </w:r>
      <w:r w:rsidR="00DC45BB">
        <w:t>£</w:t>
      </w:r>
      <w:r>
        <w:t xml:space="preserve">22.1 million </w:t>
      </w:r>
      <w:r w:rsidR="00DC45BB">
        <w:t xml:space="preserve">and </w:t>
      </w:r>
      <w:r>
        <w:t xml:space="preserve">further squeezed the earnings since the debt rose as the profitability </w:t>
      </w:r>
      <w:r w:rsidRPr="00DC45BB">
        <w:t>decreased</w:t>
      </w:r>
      <w:r w:rsidR="00DC45BB" w:rsidRPr="00DC45BB">
        <w:t xml:space="preserve"> (Hasanaj and Kuqi, 2019)</w:t>
      </w:r>
      <w:r w:rsidRPr="00DC45BB">
        <w:t>. As</w:t>
      </w:r>
      <w:r>
        <w:t xml:space="preserve"> a result, a strong drop in income before tax and a close to fifty percent decrease in net income between </w:t>
      </w:r>
      <w:r w:rsidR="00DC45BB">
        <w:t>£</w:t>
      </w:r>
      <w:r>
        <w:t xml:space="preserve">73.2 million and </w:t>
      </w:r>
      <w:r w:rsidR="00DC45BB">
        <w:t>£</w:t>
      </w:r>
      <w:r>
        <w:t>42.1million was realised.</w:t>
      </w:r>
    </w:p>
    <w:p w14:paraId="1231BC6F" w14:textId="5CFE3DC0" w:rsidR="003614EE" w:rsidRDefault="003614EE" w:rsidP="003614EE">
      <w:r>
        <w:t xml:space="preserve">The balance sheet (Appendix </w:t>
      </w:r>
      <w:r w:rsidR="00B5641C">
        <w:t>2</w:t>
      </w:r>
      <w:r>
        <w:t xml:space="preserve">) indicates that total assets have been growing between </w:t>
      </w:r>
      <w:r w:rsidR="00DC45BB">
        <w:t>£</w:t>
      </w:r>
      <w:r>
        <w:t xml:space="preserve">767.0 million and </w:t>
      </w:r>
      <w:r w:rsidR="00DC45BB">
        <w:t>£</w:t>
      </w:r>
      <w:r>
        <w:t xml:space="preserve">946.8 million, due to escalation of current assets and fixed assets. Cash and equivalents are at constant level of approximately </w:t>
      </w:r>
      <w:r w:rsidR="00DC45BB">
        <w:t>£</w:t>
      </w:r>
      <w:r>
        <w:t xml:space="preserve">100 million indicating a safe liquidity stand. The receivables rose to 206.5 million as compared to </w:t>
      </w:r>
      <w:r w:rsidR="00DC45BB">
        <w:t>£</w:t>
      </w:r>
      <w:r>
        <w:t xml:space="preserve">150.0 million, which showed a longer collection period. The inventory increased by adding </w:t>
      </w:r>
      <w:r w:rsidR="00DC45BB">
        <w:t>£</w:t>
      </w:r>
      <w:r>
        <w:t xml:space="preserve">91.2 million and reached </w:t>
      </w:r>
      <w:r w:rsidR="00DC45BB">
        <w:t>£</w:t>
      </w:r>
      <w:r>
        <w:t xml:space="preserve">142.7 million, which shows either more significant inventories or reduced rotation. The overall current assets consequently increased to </w:t>
      </w:r>
      <w:r w:rsidR="00DC45BB">
        <w:t>£</w:t>
      </w:r>
      <w:r>
        <w:t xml:space="preserve">521.9 million as compared to </w:t>
      </w:r>
      <w:r w:rsidR="00DC45BB">
        <w:t>£</w:t>
      </w:r>
      <w:r>
        <w:t xml:space="preserve">403.5 million. Current liabilities increased slightly on the liabilities side, with the lines of credit and payables leading to an upswing in current liabilities and long-term debt, whose increase reached between </w:t>
      </w:r>
      <w:r w:rsidR="00DC45BB">
        <w:t>£</w:t>
      </w:r>
      <w:r>
        <w:t xml:space="preserve">25.2 million and </w:t>
      </w:r>
      <w:r w:rsidR="00DC45BB">
        <w:t>£</w:t>
      </w:r>
      <w:r>
        <w:t xml:space="preserve">50.9 </w:t>
      </w:r>
      <w:r w:rsidRPr="00DC45BB">
        <w:t xml:space="preserve">million </w:t>
      </w:r>
      <w:r w:rsidR="00DC45BB" w:rsidRPr="00DC45BB">
        <w:t>(</w:t>
      </w:r>
      <w:proofErr w:type="spellStart"/>
      <w:r w:rsidR="00DC45BB" w:rsidRPr="00DC45BB">
        <w:t>Reschiwati</w:t>
      </w:r>
      <w:proofErr w:type="spellEnd"/>
      <w:r w:rsidR="00DC45BB">
        <w:t xml:space="preserve"> </w:t>
      </w:r>
      <w:r w:rsidR="00DC45BB" w:rsidRPr="00DC45BB">
        <w:rPr>
          <w:i/>
        </w:rPr>
        <w:t>et al.,</w:t>
      </w:r>
      <w:r w:rsidR="00DC45BB" w:rsidRPr="00DC45BB">
        <w:t xml:space="preserve"> 2025)</w:t>
      </w:r>
      <w:r w:rsidRPr="00DC45BB">
        <w:t>. The</w:t>
      </w:r>
      <w:r>
        <w:t xml:space="preserve"> equity of the shareholders did grow by </w:t>
      </w:r>
      <w:r w:rsidR="00DC45BB">
        <w:t>£</w:t>
      </w:r>
      <w:r>
        <w:t>621.9 million to 739.5 million with retained earnings and other comprehensive income helping in capital formation. However, the equity growth at the firm failed to stop the drop in the return measurements as the profits decreased.</w:t>
      </w:r>
    </w:p>
    <w:p w14:paraId="19169A16" w14:textId="071D7DF8" w:rsidR="003614EE" w:rsidRDefault="003614EE" w:rsidP="00B5641C">
      <w:pPr>
        <w:pStyle w:val="Heading2"/>
      </w:pPr>
      <w:bookmarkStart w:id="7" w:name="_Toc216948137"/>
      <w:r>
        <w:lastRenderedPageBreak/>
        <w:t>1.2 Ratio</w:t>
      </w:r>
      <w:r w:rsidR="00104BFC">
        <w:t>s</w:t>
      </w:r>
      <w:r>
        <w:t xml:space="preserve"> analysis</w:t>
      </w:r>
      <w:bookmarkEnd w:id="7"/>
    </w:p>
    <w:p w14:paraId="1321F478" w14:textId="4558F3B3" w:rsidR="003614EE" w:rsidRDefault="003614EE" w:rsidP="003614EE">
      <w:r>
        <w:t xml:space="preserve">The analysis of the comprehensive ratio (Appendix </w:t>
      </w:r>
      <w:r w:rsidR="009A2293">
        <w:t>3</w:t>
      </w:r>
      <w:r>
        <w:t>) shows the performance and financial health of the firm in six categories, namely profitability, liquidity, efficiency, gearing, investment and cash-flow.</w:t>
      </w:r>
    </w:p>
    <w:p w14:paraId="18AC5518" w14:textId="06E9531E" w:rsidR="003614EE" w:rsidRPr="0003656F" w:rsidRDefault="003614EE" w:rsidP="0003656F">
      <w:pPr>
        <w:rPr>
          <w:b/>
        </w:rPr>
      </w:pPr>
      <w:r w:rsidRPr="0003656F">
        <w:rPr>
          <w:b/>
        </w:rPr>
        <w:t>Profitability</w:t>
      </w:r>
      <w:r w:rsidR="00104BFC" w:rsidRPr="0003656F">
        <w:rPr>
          <w:b/>
        </w:rPr>
        <w:t xml:space="preserve"> Ratios</w:t>
      </w:r>
    </w:p>
    <w:p w14:paraId="10F179C0" w14:textId="77777777" w:rsidR="001B634B" w:rsidRDefault="001B634B" w:rsidP="003614EE">
      <w:r>
        <w:t>The profitability of the company has deteriorated considerably in the last five years. Gross profit margin varied, as it was 28.7% in 2020, and 28.9% in 2024. This slight increase is however an indication that there has been a constant increment in cost pressures and there is little that can be done to improve it.</w:t>
      </w:r>
    </w:p>
    <w:p w14:paraId="578C07E4" w14:textId="14A82072" w:rsidR="00EC240A" w:rsidRDefault="00EC240A" w:rsidP="003614EE">
      <w:r>
        <w:rPr>
          <w:noProof/>
        </w:rPr>
        <w:drawing>
          <wp:inline distT="0" distB="0" distL="0" distR="0" wp14:anchorId="4222B158" wp14:editId="68DFA5B6">
            <wp:extent cx="5723255" cy="4029075"/>
            <wp:effectExtent l="0" t="0" r="0" b="0"/>
            <wp:docPr id="4" name="Chart 4">
              <a:extLst xmlns:a="http://schemas.openxmlformats.org/drawingml/2006/main">
                <a:ext uri="{FF2B5EF4-FFF2-40B4-BE49-F238E27FC236}">
                  <a16:creationId xmlns:a16="http://schemas.microsoft.com/office/drawing/2014/main" id="{5E1F977C-5984-4634-A2E0-0B7F5A53FC6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545F710" w14:textId="0DEA6A70" w:rsidR="00EC240A" w:rsidRPr="00EC240A" w:rsidRDefault="00EC240A" w:rsidP="00EC240A">
      <w:pPr>
        <w:jc w:val="center"/>
        <w:rPr>
          <w:b/>
        </w:rPr>
      </w:pPr>
      <w:r w:rsidRPr="00EC240A">
        <w:rPr>
          <w:b/>
        </w:rPr>
        <w:t>Figure 1: Profitability Ratios</w:t>
      </w:r>
      <w:r w:rsidR="00104BFC">
        <w:rPr>
          <w:b/>
        </w:rPr>
        <w:t xml:space="preserve"> (Source: Self-created)</w:t>
      </w:r>
    </w:p>
    <w:p w14:paraId="11B6D862" w14:textId="3385707E" w:rsidR="001B634B" w:rsidRDefault="001B634B" w:rsidP="001B634B">
      <w:bookmarkStart w:id="8" w:name="_Toc216948138"/>
      <w:r>
        <w:t>However, operating profit margin of 6.1% in 2020 reduced drastically to negative in 2022 (-20.3%) and continued to be negative in 2024 (-6.4</w:t>
      </w:r>
      <w:r w:rsidRPr="00C132FE">
        <w:t xml:space="preserve">%t). This massive drop signifies that the cost of operation has risen in comparison to sales in disproportionate degrees indicating inefficiency in operations. The net profit margin took this decrease, as in 2020, it was 6.3%, but in 2024, it drops to 6.1%. This is quite alarming because it indicates not only mismanaged costs, but also seriously incurred profit losses, which are escalated through the inefficiencies </w:t>
      </w:r>
      <w:r w:rsidRPr="00C132FE">
        <w:lastRenderedPageBreak/>
        <w:t>in operations</w:t>
      </w:r>
      <w:r w:rsidR="00100A92">
        <w:t xml:space="preserve"> </w:t>
      </w:r>
      <w:r w:rsidR="00100A92" w:rsidRPr="00DC45BB">
        <w:t>(</w:t>
      </w:r>
      <w:proofErr w:type="spellStart"/>
      <w:r w:rsidR="00100A92" w:rsidRPr="00DC45BB">
        <w:t>Samudera</w:t>
      </w:r>
      <w:proofErr w:type="spellEnd"/>
      <w:r w:rsidR="00100A92" w:rsidRPr="00DC45BB">
        <w:t xml:space="preserve"> Budi and </w:t>
      </w:r>
      <w:proofErr w:type="spellStart"/>
      <w:r w:rsidR="00100A92" w:rsidRPr="00DC45BB">
        <w:t>Sumirat</w:t>
      </w:r>
      <w:proofErr w:type="spellEnd"/>
      <w:r w:rsidR="00100A92" w:rsidRPr="00DC45BB">
        <w:t>, 2024)</w:t>
      </w:r>
      <w:r w:rsidRPr="00C132FE">
        <w:t>. Also</w:t>
      </w:r>
      <w:r>
        <w:t>, the ROCE d</w:t>
      </w:r>
      <w:r w:rsidRPr="00A73D14">
        <w:t xml:space="preserve">ecreased to negative figures of -41.6% in 2023 and -7.2% in 2024 compared to 8.1% in 2020. This negative payoff </w:t>
      </w:r>
      <w:r>
        <w:t>suggests</w:t>
      </w:r>
      <w:r w:rsidRPr="00A73D14">
        <w:t xml:space="preserve"> that the company is failing to realize enough returns on its assets indicating overinvestment or poor asset utilization.</w:t>
      </w:r>
    </w:p>
    <w:p w14:paraId="64513B0D" w14:textId="4ABB1B92" w:rsidR="003614EE" w:rsidRPr="0003656F" w:rsidRDefault="003614EE" w:rsidP="0003656F">
      <w:pPr>
        <w:rPr>
          <w:b/>
        </w:rPr>
      </w:pPr>
      <w:r w:rsidRPr="0003656F">
        <w:rPr>
          <w:b/>
        </w:rPr>
        <w:t>Liquidity</w:t>
      </w:r>
      <w:r w:rsidR="00104BFC" w:rsidRPr="0003656F">
        <w:rPr>
          <w:b/>
        </w:rPr>
        <w:t xml:space="preserve"> Ratios</w:t>
      </w:r>
      <w:bookmarkEnd w:id="8"/>
    </w:p>
    <w:p w14:paraId="269E5CEF" w14:textId="509CBE7C" w:rsidR="001B634B" w:rsidRDefault="001B634B" w:rsidP="001B634B">
      <w:r>
        <w:t>Liquidity position of the company has become weak overtime. The current ratio declined in the 2024 period as compared to the 2020 period, indicating a lower buffer to pay the short term liabilities. Although it is above 1.0, this trend reflects tightening liquidity.</w:t>
      </w:r>
    </w:p>
    <w:p w14:paraId="6CD6D9EF" w14:textId="34DD3DF3" w:rsidR="00EC240A" w:rsidRDefault="00EC240A" w:rsidP="001B634B">
      <w:pPr>
        <w:jc w:val="center"/>
      </w:pPr>
      <w:r>
        <w:rPr>
          <w:noProof/>
        </w:rPr>
        <w:drawing>
          <wp:inline distT="0" distB="0" distL="0" distR="0" wp14:anchorId="5BC1B417" wp14:editId="119BBC26">
            <wp:extent cx="4938395" cy="3467100"/>
            <wp:effectExtent l="0" t="0" r="0" b="0"/>
            <wp:docPr id="5" name="Chart 5">
              <a:extLst xmlns:a="http://schemas.openxmlformats.org/drawingml/2006/main">
                <a:ext uri="{FF2B5EF4-FFF2-40B4-BE49-F238E27FC236}">
                  <a16:creationId xmlns:a16="http://schemas.microsoft.com/office/drawing/2014/main" id="{BF7AC0EE-ADBB-4323-A115-5331BBC64F4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E9E11B5" w14:textId="3F4F236A" w:rsidR="00EC240A" w:rsidRPr="00123117" w:rsidRDefault="00EC240A" w:rsidP="00EC240A">
      <w:pPr>
        <w:jc w:val="center"/>
        <w:rPr>
          <w:b/>
        </w:rPr>
      </w:pPr>
      <w:r w:rsidRPr="00123117">
        <w:rPr>
          <w:b/>
        </w:rPr>
        <w:t>Figure 2: Liquidity Ratios</w:t>
      </w:r>
      <w:r w:rsidR="00104BFC">
        <w:rPr>
          <w:b/>
        </w:rPr>
        <w:t xml:space="preserve"> (Source: Self-created)</w:t>
      </w:r>
    </w:p>
    <w:p w14:paraId="4ED4E5AD" w14:textId="616DCD13" w:rsidR="001B634B" w:rsidRDefault="001B634B" w:rsidP="001B634B">
      <w:bookmarkStart w:id="9" w:name="_Toc216948139"/>
      <w:r>
        <w:t>Meanwhile, the quick ratio has decreased to 1.03 in 2024 as compared to 1.15 in 2020 indicating a growing extent to which inventory was used to meet short-term liabilities. This reduction indicates an exacerbated situation of paying liabilities without reliance on inventory sales</w:t>
      </w:r>
      <w:r w:rsidR="00100A92">
        <w:t xml:space="preserve"> </w:t>
      </w:r>
      <w:r w:rsidR="00100A92" w:rsidRPr="00DC45BB">
        <w:t>(</w:t>
      </w:r>
      <w:proofErr w:type="spellStart"/>
      <w:r w:rsidR="00100A92" w:rsidRPr="00DC45BB">
        <w:t>Boitan</w:t>
      </w:r>
      <w:proofErr w:type="spellEnd"/>
      <w:r w:rsidR="00100A92" w:rsidRPr="00DC45BB">
        <w:t>, 2018)</w:t>
      </w:r>
      <w:r>
        <w:t>. The cash-flow-to-current-liabilities ratio is used to gauge the company capacity to raise cash to meet short-term debt, declined to 0.17 in 2024 as compared to 0.32 in 2020. The sharp downward trend means that despite the company having adequate assets, the capacity to turn earnings into cash has been impaired thus the situation may create a liquidity situation in the near future.</w:t>
      </w:r>
    </w:p>
    <w:p w14:paraId="68A7155B" w14:textId="0E3E1D9B" w:rsidR="003614EE" w:rsidRPr="0003656F" w:rsidRDefault="003614EE" w:rsidP="0003656F">
      <w:pPr>
        <w:rPr>
          <w:b/>
        </w:rPr>
      </w:pPr>
      <w:r w:rsidRPr="0003656F">
        <w:rPr>
          <w:b/>
        </w:rPr>
        <w:lastRenderedPageBreak/>
        <w:t>Efficiency</w:t>
      </w:r>
      <w:r w:rsidR="00104BFC" w:rsidRPr="0003656F">
        <w:rPr>
          <w:b/>
        </w:rPr>
        <w:t xml:space="preserve"> Ratios</w:t>
      </w:r>
      <w:bookmarkEnd w:id="9"/>
    </w:p>
    <w:p w14:paraId="1D906B42" w14:textId="77777777" w:rsidR="001B634B" w:rsidRDefault="001B634B" w:rsidP="001B634B">
      <w:r>
        <w:t xml:space="preserve">The asset turnover ratio of the company was also consistent throughout the period, which shows that the company had the same capacity to generate revenue using assets. Nevertheless, the fixed asset turnover ratio declined considerably as it was 4.33 in 2023 and 1.32 in 2024 showing that there are inefficiencies in the use of fixed assets. </w:t>
      </w:r>
    </w:p>
    <w:p w14:paraId="613F851A" w14:textId="18B2C731" w:rsidR="00123117" w:rsidRDefault="00123117" w:rsidP="00123117">
      <w:pPr>
        <w:jc w:val="center"/>
      </w:pPr>
      <w:r>
        <w:rPr>
          <w:noProof/>
        </w:rPr>
        <w:drawing>
          <wp:inline distT="0" distB="0" distL="0" distR="0" wp14:anchorId="51A26A9B" wp14:editId="44DCC882">
            <wp:extent cx="5768622" cy="3251200"/>
            <wp:effectExtent l="0" t="0" r="0" b="0"/>
            <wp:docPr id="6" name="Chart 6">
              <a:extLst xmlns:a="http://schemas.openxmlformats.org/drawingml/2006/main">
                <a:ext uri="{FF2B5EF4-FFF2-40B4-BE49-F238E27FC236}">
                  <a16:creationId xmlns:a16="http://schemas.microsoft.com/office/drawing/2014/main" id="{46429CBF-F186-44F8-9493-6F48CAA00CE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392D729" w14:textId="798296F2" w:rsidR="00123117" w:rsidRPr="00123117" w:rsidRDefault="00123117" w:rsidP="00123117">
      <w:pPr>
        <w:jc w:val="center"/>
        <w:rPr>
          <w:b/>
        </w:rPr>
      </w:pPr>
      <w:r w:rsidRPr="00123117">
        <w:rPr>
          <w:b/>
        </w:rPr>
        <w:t>Figure 3: Efficiency Ratios</w:t>
      </w:r>
      <w:r w:rsidR="00104BFC">
        <w:rPr>
          <w:b/>
        </w:rPr>
        <w:t xml:space="preserve"> (Source: Self-created)</w:t>
      </w:r>
    </w:p>
    <w:p w14:paraId="6A172029" w14:textId="3BCC2684" w:rsidR="001B634B" w:rsidRDefault="001B634B" w:rsidP="001B634B">
      <w:bookmarkStart w:id="10" w:name="_Toc216948140"/>
      <w:r>
        <w:t>The growth in days receivable of 76.9 days in 2020 to 102.2 days in 2024 indicates a reduction in the speed of collections with customers and this affects cash flow adversely. Similarly, the inventory days were also higher and reached a maximum of 131.0 days in 2022 which shows slower inventory turnover. Both receivable and inventory days have increased and this has resulted in the cash operating cycle increasing to 118 days in 2024 as compared to 107.8 days in 2020, which means that the company is retaining its cash longer and is experiencing more problems in transforming working capital into cash</w:t>
      </w:r>
      <w:r w:rsidR="00100A92">
        <w:t xml:space="preserve"> </w:t>
      </w:r>
      <w:r w:rsidR="00100A92" w:rsidRPr="00DC45BB">
        <w:t>(Sharma </w:t>
      </w:r>
      <w:r w:rsidR="00100A92" w:rsidRPr="00DC45BB">
        <w:rPr>
          <w:i/>
        </w:rPr>
        <w:t>et al.,</w:t>
      </w:r>
      <w:r w:rsidR="00100A92" w:rsidRPr="00DC45BB">
        <w:t xml:space="preserve"> 2022)</w:t>
      </w:r>
      <w:r>
        <w:t>.</w:t>
      </w:r>
    </w:p>
    <w:p w14:paraId="13B0092D" w14:textId="46EB4E33" w:rsidR="003614EE" w:rsidRPr="0003656F" w:rsidRDefault="003614EE" w:rsidP="0003656F">
      <w:pPr>
        <w:rPr>
          <w:b/>
        </w:rPr>
      </w:pPr>
      <w:r w:rsidRPr="0003656F">
        <w:rPr>
          <w:b/>
        </w:rPr>
        <w:t>Gearing</w:t>
      </w:r>
      <w:r w:rsidR="00123117" w:rsidRPr="0003656F">
        <w:rPr>
          <w:b/>
        </w:rPr>
        <w:t xml:space="preserve"> Ratios</w:t>
      </w:r>
      <w:bookmarkEnd w:id="10"/>
    </w:p>
    <w:p w14:paraId="39631BC3" w14:textId="1673268B" w:rsidR="001B634B" w:rsidRDefault="001B634B" w:rsidP="001B634B">
      <w:r>
        <w:t xml:space="preserve">The gearing ratios of the company show that there is growing financial risk. Debt-to-equity ratio increased during 2021-24 to 0.63 in 2020, suggesting that the company will increasingly rely on debt to finance its activities. This is a worrying trend in terms of leverage, there being a falling profitability in the company. </w:t>
      </w:r>
    </w:p>
    <w:p w14:paraId="35527DE7" w14:textId="27694F09" w:rsidR="00123117" w:rsidRDefault="00123117" w:rsidP="00104BFC">
      <w:pPr>
        <w:jc w:val="center"/>
      </w:pPr>
      <w:r>
        <w:rPr>
          <w:noProof/>
        </w:rPr>
        <w:lastRenderedPageBreak/>
        <w:drawing>
          <wp:inline distT="0" distB="0" distL="0" distR="0" wp14:anchorId="363DBC94" wp14:editId="7D8F88E6">
            <wp:extent cx="4695825" cy="2743200"/>
            <wp:effectExtent l="0" t="0" r="0" b="0"/>
            <wp:docPr id="7" name="Chart 7">
              <a:extLst xmlns:a="http://schemas.openxmlformats.org/drawingml/2006/main">
                <a:ext uri="{FF2B5EF4-FFF2-40B4-BE49-F238E27FC236}">
                  <a16:creationId xmlns:a16="http://schemas.microsoft.com/office/drawing/2014/main" id="{49E0F18E-CF75-4FB7-A725-6615D2A4360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E09C12C" w14:textId="618320E3" w:rsidR="00104BFC" w:rsidRPr="00104BFC" w:rsidRDefault="00104BFC" w:rsidP="00104BFC">
      <w:pPr>
        <w:jc w:val="center"/>
        <w:rPr>
          <w:b/>
        </w:rPr>
      </w:pPr>
      <w:r w:rsidRPr="00104BFC">
        <w:rPr>
          <w:b/>
        </w:rPr>
        <w:t>Figure</w:t>
      </w:r>
      <w:r>
        <w:rPr>
          <w:b/>
        </w:rPr>
        <w:t xml:space="preserve"> 4</w:t>
      </w:r>
      <w:r w:rsidRPr="00104BFC">
        <w:rPr>
          <w:b/>
        </w:rPr>
        <w:t>: Gearing Ratios</w:t>
      </w:r>
      <w:r>
        <w:rPr>
          <w:b/>
        </w:rPr>
        <w:t xml:space="preserve"> (Source: Self-created)</w:t>
      </w:r>
    </w:p>
    <w:p w14:paraId="0BE74679" w14:textId="1E020C18" w:rsidR="001B634B" w:rsidRDefault="001B634B" w:rsidP="00B5641C">
      <w:bookmarkStart w:id="11" w:name="ratio-analysis-500-words"/>
      <w:bookmarkEnd w:id="6"/>
      <w:r>
        <w:t>The interest coverage ratio decreased significantly, as it was 27.21 in 2020 and was negative with -18.69 and -3.55 in 2022 and 2023. This sharp fall is a sign of the company not being able to pay interests and this makes it more susceptible to default</w:t>
      </w:r>
      <w:r w:rsidR="00100A92">
        <w:t xml:space="preserve"> </w:t>
      </w:r>
      <w:r w:rsidR="00100A92" w:rsidRPr="00DC45BB">
        <w:t>(Sharma </w:t>
      </w:r>
      <w:r w:rsidR="00100A92" w:rsidRPr="00DC45BB">
        <w:rPr>
          <w:i/>
        </w:rPr>
        <w:t>et al.,</w:t>
      </w:r>
      <w:r w:rsidR="00100A92" w:rsidRPr="00DC45BB">
        <w:t xml:space="preserve"> 2022)</w:t>
      </w:r>
      <w:r>
        <w:t>. The negative interest coverage ratio in 2022 and 2023 implies that the company is having difficulties in servicing its debt commitments and this is a significant threat to its financial sustainability.</w:t>
      </w:r>
    </w:p>
    <w:p w14:paraId="2E4B3A6E" w14:textId="6D0C4CB2" w:rsidR="009C0ED0" w:rsidRDefault="009C0ED0" w:rsidP="00B5641C">
      <w:pPr>
        <w:rPr>
          <w:b/>
        </w:rPr>
      </w:pPr>
      <w:r w:rsidRPr="00B5641C">
        <w:rPr>
          <w:b/>
        </w:rPr>
        <w:t>Investment</w:t>
      </w:r>
      <w:r w:rsidR="00104BFC">
        <w:rPr>
          <w:b/>
        </w:rPr>
        <w:t xml:space="preserve"> Ratio</w:t>
      </w:r>
    </w:p>
    <w:p w14:paraId="38D9B132" w14:textId="3D3F2616" w:rsidR="00104BFC" w:rsidRDefault="00104BFC" w:rsidP="00104BFC">
      <w:r>
        <w:t>The investment ratios of GE are:</w:t>
      </w:r>
    </w:p>
    <w:p w14:paraId="3AA4F5C8" w14:textId="7FA0A541" w:rsidR="00104BFC" w:rsidRDefault="00104BFC" w:rsidP="00104BFC">
      <w:pPr>
        <w:jc w:val="center"/>
      </w:pPr>
      <w:r>
        <w:rPr>
          <w:noProof/>
        </w:rPr>
        <w:drawing>
          <wp:inline distT="0" distB="0" distL="0" distR="0" wp14:anchorId="1F2D75A7" wp14:editId="294C619A">
            <wp:extent cx="4583289" cy="2494844"/>
            <wp:effectExtent l="0" t="0" r="0" b="0"/>
            <wp:docPr id="8" name="Chart 8">
              <a:extLst xmlns:a="http://schemas.openxmlformats.org/drawingml/2006/main">
                <a:ext uri="{FF2B5EF4-FFF2-40B4-BE49-F238E27FC236}">
                  <a16:creationId xmlns:a16="http://schemas.microsoft.com/office/drawing/2014/main" id="{6C3656D0-65C0-47C3-A673-B10356F36A9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0F0B3FC" w14:textId="7BFB32B0" w:rsidR="00104BFC" w:rsidRPr="00104BFC" w:rsidRDefault="00104BFC" w:rsidP="00104BFC">
      <w:pPr>
        <w:jc w:val="center"/>
        <w:rPr>
          <w:b/>
        </w:rPr>
      </w:pPr>
      <w:r w:rsidRPr="00104BFC">
        <w:rPr>
          <w:b/>
        </w:rPr>
        <w:t>Figure</w:t>
      </w:r>
      <w:r>
        <w:rPr>
          <w:b/>
        </w:rPr>
        <w:t xml:space="preserve"> 5</w:t>
      </w:r>
      <w:r w:rsidRPr="00104BFC">
        <w:rPr>
          <w:b/>
        </w:rPr>
        <w:t xml:space="preserve">: EPS </w:t>
      </w:r>
      <w:r>
        <w:rPr>
          <w:b/>
        </w:rPr>
        <w:t>R</w:t>
      </w:r>
      <w:r w:rsidRPr="00104BFC">
        <w:rPr>
          <w:b/>
        </w:rPr>
        <w:t>atio</w:t>
      </w:r>
      <w:r>
        <w:rPr>
          <w:b/>
        </w:rPr>
        <w:t xml:space="preserve"> (Source: Self-created)</w:t>
      </w:r>
    </w:p>
    <w:p w14:paraId="3E557B57" w14:textId="1F2D4535" w:rsidR="001B634B" w:rsidRDefault="001B634B" w:rsidP="001B634B">
      <w:bookmarkStart w:id="12" w:name="_Hlk216944843"/>
      <w:r>
        <w:lastRenderedPageBreak/>
        <w:t>EPS of the company have decreased drastically, and it is -1.85 in 2024 compared to 2.78 in 2020. This decline in the EPS indicates that the company is not able to provide profits to its shareholders thus becoming unattractive to investors</w:t>
      </w:r>
      <w:r w:rsidR="00100A92">
        <w:t xml:space="preserve"> </w:t>
      </w:r>
      <w:r w:rsidR="00100A92">
        <w:rPr>
          <w:rFonts w:asciiTheme="minorHAnsi" w:hAnsiTheme="minorHAnsi"/>
          <w:szCs w:val="24"/>
          <w:lang w:val="en"/>
          <w14:ligatures w14:val="none"/>
        </w:rPr>
        <w:t xml:space="preserve"> </w:t>
      </w:r>
      <w:r w:rsidR="00100A92" w:rsidRPr="00DC45BB">
        <w:t>(</w:t>
      </w:r>
      <w:proofErr w:type="spellStart"/>
      <w:r w:rsidR="00100A92" w:rsidRPr="00DC45BB">
        <w:t>Boitan</w:t>
      </w:r>
      <w:proofErr w:type="spellEnd"/>
      <w:r w:rsidR="00100A92" w:rsidRPr="00DC45BB">
        <w:t>, 2018)</w:t>
      </w:r>
      <w:r>
        <w:t>. The poor EPS shows that the company is not bringing value to the shareholders and this may damage investor confidence and further pull the stock price down.</w:t>
      </w:r>
    </w:p>
    <w:p w14:paraId="72CEA003" w14:textId="7BDD8953" w:rsidR="00104BFC" w:rsidRDefault="00B5641C" w:rsidP="00B5641C">
      <w:pPr>
        <w:rPr>
          <w:rFonts w:asciiTheme="minorHAnsi" w:hAnsiTheme="minorHAnsi"/>
          <w:b/>
          <w:szCs w:val="24"/>
          <w:lang w:val="en"/>
          <w14:ligatures w14:val="none"/>
        </w:rPr>
      </w:pPr>
      <w:r w:rsidRPr="00B5641C">
        <w:rPr>
          <w:rFonts w:asciiTheme="minorHAnsi" w:hAnsiTheme="minorHAnsi"/>
          <w:b/>
          <w:szCs w:val="24"/>
          <w:lang w:val="en"/>
          <w14:ligatures w14:val="none"/>
        </w:rPr>
        <w:t>Cash-flow</w:t>
      </w:r>
      <w:r w:rsidR="00104BFC">
        <w:rPr>
          <w:rFonts w:asciiTheme="minorHAnsi" w:hAnsiTheme="minorHAnsi"/>
          <w:b/>
          <w:szCs w:val="24"/>
          <w:lang w:val="en"/>
          <w14:ligatures w14:val="none"/>
        </w:rPr>
        <w:t xml:space="preserve"> ratio</w:t>
      </w:r>
    </w:p>
    <w:p w14:paraId="0D98F6E1" w14:textId="7CEA2744" w:rsidR="00104BFC" w:rsidRDefault="00104BFC" w:rsidP="00104BFC">
      <w:pPr>
        <w:rPr>
          <w:lang w:val="en"/>
        </w:rPr>
      </w:pPr>
      <w:r>
        <w:rPr>
          <w:lang w:val="en"/>
        </w:rPr>
        <w:t>The cash flow ratio of the company is:</w:t>
      </w:r>
    </w:p>
    <w:p w14:paraId="3DF14E1E" w14:textId="1C756641" w:rsidR="00104BFC" w:rsidRDefault="00104BFC" w:rsidP="00104BFC">
      <w:pPr>
        <w:jc w:val="center"/>
        <w:rPr>
          <w:lang w:val="en"/>
        </w:rPr>
      </w:pPr>
      <w:r>
        <w:rPr>
          <w:noProof/>
        </w:rPr>
        <w:drawing>
          <wp:inline distT="0" distB="0" distL="0" distR="0" wp14:anchorId="1AD075E0" wp14:editId="0EE9051A">
            <wp:extent cx="4643438" cy="2743200"/>
            <wp:effectExtent l="0" t="0" r="0" b="0"/>
            <wp:docPr id="9" name="Chart 9">
              <a:extLst xmlns:a="http://schemas.openxmlformats.org/drawingml/2006/main">
                <a:ext uri="{FF2B5EF4-FFF2-40B4-BE49-F238E27FC236}">
                  <a16:creationId xmlns:a16="http://schemas.microsoft.com/office/drawing/2014/main" id="{0F7DF22C-6CAE-4642-AC90-C8D5FE06D39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EE07ABE" w14:textId="79041740" w:rsidR="00104BFC" w:rsidRPr="00104BFC" w:rsidRDefault="00104BFC" w:rsidP="00104BFC">
      <w:pPr>
        <w:jc w:val="center"/>
        <w:rPr>
          <w:b/>
          <w:lang w:val="en"/>
        </w:rPr>
      </w:pPr>
      <w:r w:rsidRPr="00104BFC">
        <w:rPr>
          <w:b/>
          <w:lang w:val="en"/>
        </w:rPr>
        <w:t>Figure</w:t>
      </w:r>
      <w:r>
        <w:rPr>
          <w:b/>
          <w:lang w:val="en"/>
        </w:rPr>
        <w:t xml:space="preserve"> 6</w:t>
      </w:r>
      <w:r w:rsidRPr="00104BFC">
        <w:rPr>
          <w:b/>
          <w:lang w:val="en"/>
        </w:rPr>
        <w:t>: Cash Flow Ratio</w:t>
      </w:r>
      <w:r>
        <w:rPr>
          <w:b/>
          <w:lang w:val="en"/>
        </w:rPr>
        <w:t xml:space="preserve"> </w:t>
      </w:r>
      <w:r>
        <w:rPr>
          <w:b/>
        </w:rPr>
        <w:t>(Source: Self-created)</w:t>
      </w:r>
    </w:p>
    <w:p w14:paraId="1AB9ECE5" w14:textId="0538CB35" w:rsidR="001B634B" w:rsidRPr="00C132FE" w:rsidRDefault="001B634B" w:rsidP="001B634B">
      <w:bookmarkStart w:id="13" w:name="_Toc216948141"/>
      <w:r>
        <w:t>The operating cash flow to current liabilities ratio decreased by 0.32 in 2020 to 0.17 in 2024 indicating that the company is becoming less effective in producing cash using its operations compared to its liabilities</w:t>
      </w:r>
      <w:r w:rsidR="00100A92">
        <w:t xml:space="preserve"> </w:t>
      </w:r>
      <w:r w:rsidR="00100A92" w:rsidRPr="00DC45BB">
        <w:t>(</w:t>
      </w:r>
      <w:proofErr w:type="spellStart"/>
      <w:r w:rsidR="00100A92" w:rsidRPr="00DC45BB">
        <w:t>Samudera</w:t>
      </w:r>
      <w:proofErr w:type="spellEnd"/>
      <w:r w:rsidR="00100A92" w:rsidRPr="00DC45BB">
        <w:t xml:space="preserve"> Budi and </w:t>
      </w:r>
      <w:proofErr w:type="spellStart"/>
      <w:r w:rsidR="00100A92" w:rsidRPr="00DC45BB">
        <w:t>Sumirat</w:t>
      </w:r>
      <w:proofErr w:type="spellEnd"/>
      <w:r w:rsidR="00100A92" w:rsidRPr="00DC45BB">
        <w:t>, 2024)</w:t>
      </w:r>
      <w:r>
        <w:t>. This decrease shows that the cash flow generation of the company has been compromised to a large extent making it more dependent on external financing to fulfil its immediate financial liabilities.</w:t>
      </w:r>
    </w:p>
    <w:p w14:paraId="04610CAC" w14:textId="77777777" w:rsidR="009C0ED0" w:rsidRDefault="009C0ED0" w:rsidP="00104BFC">
      <w:pPr>
        <w:pStyle w:val="Heading2"/>
      </w:pPr>
      <w:r>
        <w:t>1.3 Trends, strengths, threats and recommendations</w:t>
      </w:r>
      <w:bookmarkEnd w:id="13"/>
    </w:p>
    <w:p w14:paraId="5D0C3FAB" w14:textId="6D5B33A1" w:rsidR="00B5641C" w:rsidRPr="002A0167" w:rsidRDefault="00B5641C" w:rsidP="00B5641C">
      <w:pPr>
        <w:rPr>
          <w:rFonts w:asciiTheme="minorHAnsi" w:hAnsiTheme="minorHAnsi"/>
          <w:szCs w:val="24"/>
          <w:lang w:val="en"/>
          <w14:ligatures w14:val="none"/>
        </w:rPr>
      </w:pPr>
      <w:bookmarkStart w:id="14" w:name="X00606bcd84edb04a8b7283f7432b0440cef91a8"/>
      <w:bookmarkEnd w:id="11"/>
      <w:bookmarkEnd w:id="12"/>
      <w:r w:rsidRPr="002A0167">
        <w:rPr>
          <w:rFonts w:asciiTheme="minorHAnsi" w:hAnsiTheme="minorHAnsi"/>
          <w:szCs w:val="24"/>
          <w:lang w:val="en"/>
          <w14:ligatures w14:val="none"/>
        </w:rPr>
        <w:t>In the ratio classifications, a number of five-year trends are observed. Profitability has fallen dramatically: there was a decrease in the gross, operating and net margins which became negative in 2023-2024, and returns on capital became negative and consisted of double-digit numbers. Working capital has increased since inventories and receivable periods increased despite the shortening of the payables resulting into an increase in cash operating cycle of approximately 108 days to 118 days and locking up more cash</w:t>
      </w:r>
      <w:r w:rsidR="00DC45BB">
        <w:rPr>
          <w:rFonts w:asciiTheme="minorHAnsi" w:hAnsiTheme="minorHAnsi"/>
          <w:szCs w:val="24"/>
          <w:lang w:val="en"/>
          <w14:ligatures w14:val="none"/>
        </w:rPr>
        <w:t xml:space="preserve"> </w:t>
      </w:r>
      <w:r w:rsidR="00DC45BB" w:rsidRPr="00DC45BB">
        <w:t>(</w:t>
      </w:r>
      <w:proofErr w:type="spellStart"/>
      <w:r w:rsidR="00DC45BB" w:rsidRPr="00DC45BB">
        <w:t>Samudera</w:t>
      </w:r>
      <w:proofErr w:type="spellEnd"/>
      <w:r w:rsidR="00DC45BB" w:rsidRPr="00DC45BB">
        <w:t xml:space="preserve"> Budi and </w:t>
      </w:r>
      <w:proofErr w:type="spellStart"/>
      <w:r w:rsidR="00DC45BB" w:rsidRPr="00DC45BB">
        <w:t>Sumirat</w:t>
      </w:r>
      <w:proofErr w:type="spellEnd"/>
      <w:r w:rsidR="00DC45BB" w:rsidRPr="00DC45BB">
        <w:t xml:space="preserve">, </w:t>
      </w:r>
      <w:r w:rsidR="00DC45BB" w:rsidRPr="00DC45BB">
        <w:lastRenderedPageBreak/>
        <w:t>2024)</w:t>
      </w:r>
      <w:r w:rsidRPr="002A0167">
        <w:rPr>
          <w:rFonts w:asciiTheme="minorHAnsi" w:hAnsiTheme="minorHAnsi"/>
          <w:szCs w:val="24"/>
          <w:lang w:val="en"/>
          <w14:ligatures w14:val="none"/>
        </w:rPr>
        <w:t>. The liquidity ratios are above one though they have shown a downward trend whereas leverage has increased among 0.63 to 1.11 and the interest coverage is negative. Cash-flow ratios have diluted and this indicates decreased earnings conversion into cash. Market indicators like EPS have gone dead into losses indicating a low investor confidence.</w:t>
      </w:r>
    </w:p>
    <w:p w14:paraId="39F36893" w14:textId="2AD141AB" w:rsidR="00B5641C" w:rsidRPr="002A0167" w:rsidRDefault="00B5641C" w:rsidP="00B5641C">
      <w:pPr>
        <w:rPr>
          <w:rFonts w:asciiTheme="minorHAnsi" w:hAnsiTheme="minorHAnsi"/>
          <w:szCs w:val="24"/>
          <w:lang w:val="en"/>
          <w14:ligatures w14:val="none"/>
        </w:rPr>
      </w:pPr>
      <w:r w:rsidRPr="002A0167">
        <w:rPr>
          <w:rFonts w:asciiTheme="minorHAnsi" w:hAnsiTheme="minorHAnsi"/>
          <w:szCs w:val="24"/>
          <w:lang w:val="en"/>
          <w14:ligatures w14:val="none"/>
        </w:rPr>
        <w:t>The current and quick ratios of the company are still positive and the absolute leverage is moderate which is the main strength of the company since it has some capacity to borrow as well as to absorb short-term shocks. Among the major threats, there are long-term operating losses, weak working-capital management and increasing leverage that might result in negative capacity to service debt</w:t>
      </w:r>
      <w:r w:rsidR="00DC45BB">
        <w:rPr>
          <w:rFonts w:asciiTheme="minorHAnsi" w:hAnsiTheme="minorHAnsi"/>
          <w:szCs w:val="24"/>
          <w:lang w:val="en"/>
          <w14:ligatures w14:val="none"/>
        </w:rPr>
        <w:t xml:space="preserve"> </w:t>
      </w:r>
      <w:r w:rsidR="00DC45BB" w:rsidRPr="00DC45BB">
        <w:t>(</w:t>
      </w:r>
      <w:proofErr w:type="spellStart"/>
      <w:r w:rsidR="00DC45BB" w:rsidRPr="00DC45BB">
        <w:t>Boitan</w:t>
      </w:r>
      <w:proofErr w:type="spellEnd"/>
      <w:r w:rsidR="00DC45BB" w:rsidRPr="00DC45BB">
        <w:t>, 2018)</w:t>
      </w:r>
      <w:r w:rsidRPr="002A0167">
        <w:rPr>
          <w:rFonts w:asciiTheme="minorHAnsi" w:hAnsiTheme="minorHAnsi"/>
          <w:szCs w:val="24"/>
          <w:lang w:val="en"/>
          <w14:ligatures w14:val="none"/>
        </w:rPr>
        <w:t>. Provided that these trends persist, the company will be in danger of additional shareholder value erosion and the inability to access the capital markets.</w:t>
      </w:r>
    </w:p>
    <w:p w14:paraId="49FFA6FE" w14:textId="1F220F5D" w:rsidR="00B5641C" w:rsidRPr="002A0167" w:rsidRDefault="00B5641C" w:rsidP="00B5641C">
      <w:pPr>
        <w:rPr>
          <w:rFonts w:asciiTheme="minorHAnsi" w:hAnsiTheme="minorHAnsi"/>
          <w:szCs w:val="24"/>
          <w:lang w:val="en"/>
          <w14:ligatures w14:val="none"/>
        </w:rPr>
      </w:pPr>
      <w:r w:rsidRPr="00B5641C">
        <w:rPr>
          <w:rFonts w:asciiTheme="minorHAnsi" w:hAnsiTheme="minorHAnsi"/>
          <w:b/>
          <w:szCs w:val="24"/>
          <w:lang w:val="en"/>
          <w14:ligatures w14:val="none"/>
        </w:rPr>
        <w:t>Recommendations:</w:t>
      </w:r>
      <w:r>
        <w:rPr>
          <w:rFonts w:asciiTheme="minorHAnsi" w:hAnsiTheme="minorHAnsi"/>
          <w:szCs w:val="24"/>
          <w:lang w:val="en"/>
          <w14:ligatures w14:val="none"/>
        </w:rPr>
        <w:t xml:space="preserve"> </w:t>
      </w:r>
      <w:r w:rsidRPr="002A0167">
        <w:rPr>
          <w:rFonts w:asciiTheme="minorHAnsi" w:hAnsiTheme="minorHAnsi"/>
          <w:szCs w:val="24"/>
          <w:lang w:val="en"/>
          <w14:ligatures w14:val="none"/>
        </w:rPr>
        <w:t>The costs and revenue improvement should be the primary focus areas of the management to recover the profitability, as well as SG&amp;A expenditure review and better product mix. By speeding up the inventory turnover and customer collections, and negotiating reasonable terms of payment to the suppliers, the cash cycle would be reduced, and cash would be freed. Considering the moderate leverage, the company can think of selective debt financing in order to finance productivity improvement or diversification projects, but only by keeping good strategies on how to enhance profits and have positive interest cover</w:t>
      </w:r>
      <w:r w:rsidR="00DC45BB">
        <w:rPr>
          <w:rFonts w:asciiTheme="minorHAnsi" w:hAnsiTheme="minorHAnsi"/>
          <w:szCs w:val="24"/>
          <w:lang w:val="en"/>
          <w14:ligatures w14:val="none"/>
        </w:rPr>
        <w:t xml:space="preserve"> </w:t>
      </w:r>
      <w:r w:rsidR="00DC45BB" w:rsidRPr="00DC45BB">
        <w:t>(Sharma </w:t>
      </w:r>
      <w:r w:rsidR="00DC45BB" w:rsidRPr="00DC45BB">
        <w:rPr>
          <w:i/>
        </w:rPr>
        <w:t>et al.,</w:t>
      </w:r>
      <w:r w:rsidR="00DC45BB" w:rsidRPr="00DC45BB">
        <w:t xml:space="preserve"> 2022)</w:t>
      </w:r>
      <w:r w:rsidRPr="002A0167">
        <w:rPr>
          <w:rFonts w:asciiTheme="minorHAnsi" w:hAnsiTheme="minorHAnsi"/>
          <w:szCs w:val="24"/>
          <w:lang w:val="en"/>
          <w14:ligatures w14:val="none"/>
        </w:rPr>
        <w:t>. Enhancing the cash forecasting and having unused credit lines will increase financial resilience.</w:t>
      </w:r>
    </w:p>
    <w:p w14:paraId="3E22D2F9" w14:textId="4DBDB325" w:rsidR="009C0ED0" w:rsidRDefault="009C0ED0" w:rsidP="00104BFC">
      <w:pPr>
        <w:pStyle w:val="Heading2"/>
      </w:pPr>
      <w:bookmarkStart w:id="15" w:name="_Toc216948142"/>
      <w:r>
        <w:t>1.4 Corporate failure prediction: Altman Z‑Score</w:t>
      </w:r>
      <w:bookmarkEnd w:id="15"/>
      <w:r w:rsidR="00B5641C">
        <w:t xml:space="preserve"> </w:t>
      </w:r>
    </w:p>
    <w:p w14:paraId="01EFAA16" w14:textId="5250073B" w:rsidR="009C0ED0" w:rsidRPr="00104BFC" w:rsidRDefault="00B5641C" w:rsidP="00104BFC">
      <w:pPr>
        <w:rPr>
          <w:rFonts w:asciiTheme="minorHAnsi" w:hAnsiTheme="minorHAnsi"/>
          <w:szCs w:val="24"/>
          <w:lang w:val="en"/>
          <w14:ligatures w14:val="none"/>
        </w:rPr>
      </w:pPr>
      <w:r>
        <w:t>Altman’s Z-score model is used to evaluate and predict corporate failure</w:t>
      </w:r>
      <w:bookmarkStart w:id="16" w:name="_Hlk216944882"/>
      <w:bookmarkStart w:id="17" w:name="_Hlk216944864"/>
      <w:r w:rsidR="00515241">
        <w:t xml:space="preserve">. </w:t>
      </w:r>
      <w:r w:rsidR="00515241">
        <w:rPr>
          <w:rFonts w:asciiTheme="minorHAnsi" w:hAnsiTheme="minorHAnsi"/>
          <w:szCs w:val="24"/>
          <w:lang w:val="en"/>
          <w14:ligatures w14:val="none"/>
        </w:rPr>
        <w:t>Altman’s</w:t>
      </w:r>
      <w:r w:rsidRPr="002A0167">
        <w:rPr>
          <w:rFonts w:asciiTheme="minorHAnsi" w:hAnsiTheme="minorHAnsi"/>
          <w:szCs w:val="24"/>
          <w:lang w:val="en"/>
          <w14:ligatures w14:val="none"/>
        </w:rPr>
        <w:t xml:space="preserve"> Z-score was still above 3 (safe zone) in 2020-2022 before declining into the grey zone, at 2.281</w:t>
      </w:r>
      <w:r w:rsidR="004B2AF3">
        <w:rPr>
          <w:rFonts w:asciiTheme="minorHAnsi" w:hAnsiTheme="minorHAnsi"/>
          <w:szCs w:val="24"/>
          <w:lang w:val="en"/>
          <w14:ligatures w14:val="none"/>
        </w:rPr>
        <w:t xml:space="preserve"> (Appendix 4)</w:t>
      </w:r>
      <w:r w:rsidRPr="002A0167">
        <w:rPr>
          <w:rFonts w:asciiTheme="minorHAnsi" w:hAnsiTheme="minorHAnsi"/>
          <w:szCs w:val="24"/>
          <w:lang w:val="en"/>
          <w14:ligatures w14:val="none"/>
        </w:rPr>
        <w:t xml:space="preserve">. In 2024 the score had slightly improved to 2.854 but this was still below the safe mark. The drop is due to reduced profitability (lower C), sales-to-assets (E), and market value in comparison to the liabilities (D), offset, in part, by the improvement of a working capital (A). The Altman model shows that a firm with the lowest score of less than 1.8 has a high risk of bankruptcy and a score greater than 3, indicates a low risk. A score of 2.281 (2023) is an indication of increased default risk, but not extreme. The recovery in 2024 is a point that indicates improvement to some degree but also should be looked into. Further falls may lead the company to the </w:t>
      </w:r>
      <w:r w:rsidRPr="00DC45BB">
        <w:t>distress zone</w:t>
      </w:r>
      <w:r w:rsidR="00DC45BB" w:rsidRPr="00DC45BB">
        <w:t xml:space="preserve"> (Altman, 2018)</w:t>
      </w:r>
      <w:r w:rsidRPr="00DC45BB">
        <w:t>. The</w:t>
      </w:r>
      <w:r w:rsidRPr="002A0167">
        <w:rPr>
          <w:rFonts w:asciiTheme="minorHAnsi" w:hAnsiTheme="minorHAnsi"/>
          <w:szCs w:val="24"/>
          <w:lang w:val="en"/>
          <w14:ligatures w14:val="none"/>
        </w:rPr>
        <w:t xml:space="preserve"> management is therefore advised to watch the Z-score and other statistics and make interventions, including reduction </w:t>
      </w:r>
      <w:r w:rsidRPr="002A0167">
        <w:rPr>
          <w:rFonts w:asciiTheme="minorHAnsi" w:hAnsiTheme="minorHAnsi"/>
          <w:szCs w:val="24"/>
          <w:lang w:val="en"/>
          <w14:ligatures w14:val="none"/>
        </w:rPr>
        <w:lastRenderedPageBreak/>
        <w:t xml:space="preserve">in costs, working-capital </w:t>
      </w:r>
      <w:r w:rsidR="00104BFC" w:rsidRPr="002A0167">
        <w:rPr>
          <w:rFonts w:asciiTheme="minorHAnsi" w:hAnsiTheme="minorHAnsi"/>
          <w:szCs w:val="24"/>
          <w:lang w:val="en"/>
          <w14:ligatures w14:val="none"/>
        </w:rPr>
        <w:t>optimization</w:t>
      </w:r>
      <w:r w:rsidRPr="002A0167">
        <w:rPr>
          <w:rFonts w:asciiTheme="minorHAnsi" w:hAnsiTheme="minorHAnsi"/>
          <w:szCs w:val="24"/>
          <w:lang w:val="en"/>
          <w14:ligatures w14:val="none"/>
        </w:rPr>
        <w:t xml:space="preserve"> and capital structure alterations, to keep the financial stability intact.</w:t>
      </w:r>
    </w:p>
    <w:p w14:paraId="23344EA5" w14:textId="40D5B50C" w:rsidR="00273686" w:rsidRDefault="00B5641C" w:rsidP="00B5641C">
      <w:pPr>
        <w:pStyle w:val="Heading1"/>
      </w:pPr>
      <w:bookmarkStart w:id="18" w:name="_Toc216948143"/>
      <w:bookmarkStart w:id="19" w:name="X9980ee8333eb6170dccc2f16dc4b835c78505b4"/>
      <w:r>
        <w:t xml:space="preserve">Task </w:t>
      </w:r>
      <w:r w:rsidR="00273686">
        <w:t>2</w:t>
      </w:r>
      <w:r>
        <w:t>:</w:t>
      </w:r>
      <w:r w:rsidR="00273686">
        <w:t> Working Capital Management Analysis</w:t>
      </w:r>
      <w:bookmarkEnd w:id="18"/>
      <w:r w:rsidR="00273686">
        <w:t xml:space="preserve"> </w:t>
      </w:r>
    </w:p>
    <w:p w14:paraId="618F73B6" w14:textId="77777777" w:rsidR="00B5641C" w:rsidRPr="002A0167" w:rsidRDefault="00B5641C" w:rsidP="00B5641C">
      <w:pPr>
        <w:rPr>
          <w:rFonts w:asciiTheme="minorHAnsi" w:hAnsiTheme="minorHAnsi"/>
          <w:szCs w:val="24"/>
          <w:lang w:val="en"/>
          <w14:ligatures w14:val="none"/>
        </w:rPr>
      </w:pPr>
      <w:bookmarkStart w:id="20" w:name="assessment-of-the-cash-operating-cycle"/>
      <w:r w:rsidRPr="002A0167">
        <w:rPr>
          <w:rFonts w:asciiTheme="minorHAnsi" w:hAnsiTheme="minorHAnsi"/>
          <w:szCs w:val="24"/>
          <w:lang w:val="en"/>
          <w14:ligatures w14:val="none"/>
        </w:rPr>
        <w:t xml:space="preserve">A </w:t>
      </w:r>
      <w:r>
        <w:rPr>
          <w:rFonts w:asciiTheme="minorHAnsi" w:hAnsiTheme="minorHAnsi"/>
          <w:szCs w:val="24"/>
          <w:lang w:val="en"/>
          <w14:ligatures w14:val="none"/>
        </w:rPr>
        <w:t xml:space="preserve">strong </w:t>
      </w:r>
      <w:r w:rsidRPr="002A0167">
        <w:rPr>
          <w:rFonts w:asciiTheme="minorHAnsi" w:hAnsiTheme="minorHAnsi"/>
          <w:szCs w:val="24"/>
          <w:lang w:val="en"/>
          <w14:ligatures w14:val="none"/>
        </w:rPr>
        <w:t>working-capital management is the building block of liquidity and profitability and growth and enables a firm to finance its growth without the need to raise funds through expensive outside borrowing.</w:t>
      </w:r>
    </w:p>
    <w:p w14:paraId="7A14AB55" w14:textId="77777777" w:rsidR="00273686" w:rsidRDefault="00273686" w:rsidP="00B5641C">
      <w:pPr>
        <w:pStyle w:val="Heading2"/>
      </w:pPr>
      <w:bookmarkStart w:id="21" w:name="_Toc216948144"/>
      <w:r>
        <w:t>2.1 Assessment of the cash operating cycle</w:t>
      </w:r>
      <w:bookmarkEnd w:id="21"/>
    </w:p>
    <w:p w14:paraId="302B5AC9" w14:textId="188CE31F" w:rsidR="009047C4" w:rsidRPr="002A0167" w:rsidRDefault="009047C4" w:rsidP="009047C4">
      <w:pPr>
        <w:rPr>
          <w:rFonts w:asciiTheme="minorHAnsi" w:hAnsiTheme="minorHAnsi"/>
          <w:szCs w:val="24"/>
          <w:lang w:val="en"/>
          <w14:ligatures w14:val="none"/>
        </w:rPr>
      </w:pPr>
      <w:bookmarkStart w:id="22" w:name="Xca04b69958fe2f24066535918cbd23104dbc172"/>
      <w:bookmarkEnd w:id="20"/>
      <w:r w:rsidRPr="002A0167">
        <w:rPr>
          <w:rFonts w:asciiTheme="minorHAnsi" w:hAnsiTheme="minorHAnsi"/>
          <w:szCs w:val="24"/>
          <w:lang w:val="en"/>
          <w14:ligatures w14:val="none"/>
        </w:rPr>
        <w:t xml:space="preserve">The cash operating cycle (COC) is used to gauge the time that working capital takes (Appendix </w:t>
      </w:r>
      <w:r w:rsidR="004B2AF3">
        <w:rPr>
          <w:rFonts w:asciiTheme="minorHAnsi" w:hAnsiTheme="minorHAnsi"/>
          <w:szCs w:val="24"/>
          <w:lang w:val="en"/>
          <w14:ligatures w14:val="none"/>
        </w:rPr>
        <w:t>5</w:t>
      </w:r>
      <w:r w:rsidRPr="002A0167">
        <w:rPr>
          <w:rFonts w:asciiTheme="minorHAnsi" w:hAnsiTheme="minorHAnsi"/>
          <w:szCs w:val="24"/>
          <w:lang w:val="en"/>
          <w14:ligatures w14:val="none"/>
        </w:rPr>
        <w:t xml:space="preserve">). It is determined by taking inventory days and receivable days </w:t>
      </w:r>
      <w:r w:rsidR="00104BFC" w:rsidRPr="002A0167">
        <w:rPr>
          <w:rFonts w:asciiTheme="minorHAnsi" w:hAnsiTheme="minorHAnsi"/>
          <w:szCs w:val="24"/>
          <w:lang w:val="en"/>
          <w14:ligatures w14:val="none"/>
        </w:rPr>
        <w:t>fewer</w:t>
      </w:r>
      <w:r w:rsidRPr="002A0167">
        <w:rPr>
          <w:rFonts w:asciiTheme="minorHAnsi" w:hAnsiTheme="minorHAnsi"/>
          <w:szCs w:val="24"/>
          <w:lang w:val="en"/>
          <w14:ligatures w14:val="none"/>
        </w:rPr>
        <w:t xml:space="preserve"> payable days. COC of the company has changed to 108 days in 2020 to up to 118 days in 2024, i.e. cash is recycled in the company through operations nearly four weeks slower than before. This extension is in large part due to increased inventory and receivable days: the inventory period has been extended by an average of around 54 to 71 days due to lower turnover and higher inventory, and the receivable period has more or less increased by an average of 89 to 103 days due to increased credit terms and relaxed collection. Payable period remained short of 35 days without giving much </w:t>
      </w:r>
      <w:r w:rsidRPr="00DC45BB">
        <w:t>compensation</w:t>
      </w:r>
      <w:r w:rsidR="00DC45BB" w:rsidRPr="00DC45BB">
        <w:t xml:space="preserve"> (Zaher and Illescas, 2022)</w:t>
      </w:r>
      <w:r w:rsidRPr="00DC45BB">
        <w:t>. A</w:t>
      </w:r>
      <w:r w:rsidRPr="002A0167">
        <w:rPr>
          <w:rFonts w:asciiTheme="minorHAnsi" w:hAnsiTheme="minorHAnsi"/>
          <w:szCs w:val="24"/>
          <w:lang w:val="en"/>
          <w14:ligatures w14:val="none"/>
        </w:rPr>
        <w:t xml:space="preserve"> fast-growing COC will consume cash and require increased use of debt to fund working-capital requirements.</w:t>
      </w:r>
    </w:p>
    <w:p w14:paraId="0A46A6AB" w14:textId="409520AE" w:rsidR="009047C4" w:rsidRPr="006A6358" w:rsidRDefault="009047C4" w:rsidP="009047C4">
      <w:r w:rsidRPr="002A0167">
        <w:rPr>
          <w:rFonts w:asciiTheme="minorHAnsi" w:hAnsiTheme="minorHAnsi"/>
          <w:szCs w:val="24"/>
          <w:lang w:val="en"/>
          <w14:ligatures w14:val="none"/>
        </w:rPr>
        <w:t xml:space="preserve">As indicated in the financial statements, the cash flow generated by operations declined to </w:t>
      </w:r>
      <w:r w:rsidR="006A6358">
        <w:rPr>
          <w:rFonts w:cs="Times New Roman"/>
        </w:rPr>
        <w:t>£</w:t>
      </w:r>
      <w:r w:rsidRPr="002A0167">
        <w:rPr>
          <w:rFonts w:asciiTheme="minorHAnsi" w:hAnsiTheme="minorHAnsi"/>
          <w:szCs w:val="24"/>
          <w:lang w:val="en"/>
          <w14:ligatures w14:val="none"/>
        </w:rPr>
        <w:t xml:space="preserve">51.6 million in 2024 by 2020 when it was around </w:t>
      </w:r>
      <w:r w:rsidR="006A6358">
        <w:rPr>
          <w:rFonts w:cs="Times New Roman"/>
        </w:rPr>
        <w:t>£</w:t>
      </w:r>
      <w:r w:rsidRPr="002A0167">
        <w:rPr>
          <w:rFonts w:asciiTheme="minorHAnsi" w:hAnsiTheme="minorHAnsi"/>
          <w:szCs w:val="24"/>
          <w:lang w:val="en"/>
          <w14:ligatures w14:val="none"/>
        </w:rPr>
        <w:t xml:space="preserve">126 million. Concurrently the company had invested a lot in fixed assets and the firm was still paying off debt and dividends. Therefore, the cash balances at the end of the year dropped to </w:t>
      </w:r>
      <w:r w:rsidR="006A6358">
        <w:rPr>
          <w:rFonts w:cs="Times New Roman"/>
        </w:rPr>
        <w:t>£</w:t>
      </w:r>
      <w:r w:rsidRPr="002A0167">
        <w:rPr>
          <w:rFonts w:asciiTheme="minorHAnsi" w:hAnsiTheme="minorHAnsi"/>
          <w:szCs w:val="24"/>
          <w:lang w:val="en"/>
          <w14:ligatures w14:val="none"/>
        </w:rPr>
        <w:t xml:space="preserve">26.8 million against </w:t>
      </w:r>
      <w:r w:rsidR="006A6358">
        <w:rPr>
          <w:rFonts w:cs="Times New Roman"/>
        </w:rPr>
        <w:t>£</w:t>
      </w:r>
      <w:r w:rsidRPr="002A0167">
        <w:rPr>
          <w:rFonts w:asciiTheme="minorHAnsi" w:hAnsiTheme="minorHAnsi"/>
          <w:szCs w:val="24"/>
          <w:lang w:val="en"/>
          <w14:ligatures w14:val="none"/>
        </w:rPr>
        <w:t xml:space="preserve">57.2 million even though the sales increased. The net income declined to losses of </w:t>
      </w:r>
      <w:r w:rsidR="006A6358">
        <w:rPr>
          <w:rFonts w:cs="Times New Roman"/>
        </w:rPr>
        <w:t>£</w:t>
      </w:r>
      <w:r w:rsidRPr="002A0167">
        <w:rPr>
          <w:rFonts w:asciiTheme="minorHAnsi" w:hAnsiTheme="minorHAnsi"/>
          <w:szCs w:val="24"/>
          <w:lang w:val="en"/>
          <w14:ligatures w14:val="none"/>
        </w:rPr>
        <w:t xml:space="preserve">98 million and </w:t>
      </w:r>
      <w:r w:rsidR="006A6358">
        <w:rPr>
          <w:rFonts w:cs="Times New Roman"/>
        </w:rPr>
        <w:t>£</w:t>
      </w:r>
      <w:r w:rsidRPr="002A0167">
        <w:rPr>
          <w:rFonts w:asciiTheme="minorHAnsi" w:hAnsiTheme="minorHAnsi"/>
          <w:szCs w:val="24"/>
          <w:lang w:val="en"/>
          <w14:ligatures w14:val="none"/>
        </w:rPr>
        <w:t xml:space="preserve">24 million in 2023-2024, which consumed retained earnings on a deterioration of profits of </w:t>
      </w:r>
      <w:r w:rsidR="006A6358">
        <w:rPr>
          <w:rFonts w:cs="Times New Roman"/>
        </w:rPr>
        <w:t>£</w:t>
      </w:r>
      <w:r w:rsidRPr="002A0167">
        <w:rPr>
          <w:rFonts w:asciiTheme="minorHAnsi" w:hAnsiTheme="minorHAnsi"/>
          <w:szCs w:val="24"/>
          <w:lang w:val="en"/>
          <w14:ligatures w14:val="none"/>
        </w:rPr>
        <w:t xml:space="preserve">38.6 million in 2020. The disconnect between the falling profits and even more drastic </w:t>
      </w:r>
      <w:r w:rsidRPr="003118F9">
        <w:t>decreases in the cash flow suggest that the accrual earnings become no more translated into cash</w:t>
      </w:r>
      <w:r w:rsidR="003118F9" w:rsidRPr="003118F9">
        <w:t xml:space="preserve"> (Soboleva et al., 2018)</w:t>
      </w:r>
      <w:r w:rsidRPr="003118F9">
        <w:t>.</w:t>
      </w:r>
      <w:r w:rsidRPr="002A0167">
        <w:rPr>
          <w:rFonts w:asciiTheme="minorHAnsi" w:hAnsiTheme="minorHAnsi"/>
          <w:szCs w:val="24"/>
          <w:lang w:val="en"/>
          <w14:ligatures w14:val="none"/>
        </w:rPr>
        <w:t xml:space="preserve"> When the COC keeps swelling, the company would experience a constrained liquidity, more expenditure through borrowing and an increase in risk.</w:t>
      </w:r>
    </w:p>
    <w:p w14:paraId="06A827A4" w14:textId="6D6B0FEA" w:rsidR="00273686" w:rsidRDefault="00273686" w:rsidP="00104BFC">
      <w:pPr>
        <w:pStyle w:val="Heading2"/>
      </w:pPr>
      <w:bookmarkStart w:id="23" w:name="_Toc216948145"/>
      <w:r>
        <w:t>2.2 Strategies to improve liquidity through working‑capital reforms</w:t>
      </w:r>
      <w:bookmarkEnd w:id="23"/>
    </w:p>
    <w:p w14:paraId="3F0841D6" w14:textId="77777777" w:rsidR="009047C4" w:rsidRPr="002A0167" w:rsidRDefault="009047C4" w:rsidP="009047C4">
      <w:pPr>
        <w:rPr>
          <w:rFonts w:asciiTheme="minorHAnsi" w:hAnsiTheme="minorHAnsi"/>
          <w:szCs w:val="24"/>
          <w:lang w:val="en"/>
          <w14:ligatures w14:val="none"/>
        </w:rPr>
      </w:pPr>
      <w:r w:rsidRPr="002A0167">
        <w:rPr>
          <w:rFonts w:asciiTheme="minorHAnsi" w:hAnsiTheme="minorHAnsi"/>
          <w:szCs w:val="24"/>
          <w:lang w:val="en"/>
          <w14:ligatures w14:val="none"/>
        </w:rPr>
        <w:t>To reduce the COC, it is necessary to concentrate on every aspect of working capital:</w:t>
      </w:r>
    </w:p>
    <w:p w14:paraId="3AD273FA" w14:textId="7DE463C3" w:rsidR="009047C4" w:rsidRPr="002A0167" w:rsidRDefault="009047C4" w:rsidP="009047C4">
      <w:pPr>
        <w:rPr>
          <w:rFonts w:asciiTheme="minorHAnsi" w:hAnsiTheme="minorHAnsi"/>
          <w:szCs w:val="24"/>
          <w:lang w:val="en"/>
          <w14:ligatures w14:val="none"/>
        </w:rPr>
      </w:pPr>
      <w:r w:rsidRPr="002A0167">
        <w:rPr>
          <w:rFonts w:asciiTheme="minorHAnsi" w:hAnsiTheme="minorHAnsi"/>
          <w:szCs w:val="24"/>
          <w:lang w:val="en"/>
          <w14:ligatures w14:val="none"/>
        </w:rPr>
        <w:lastRenderedPageBreak/>
        <w:t xml:space="preserve"> </w:t>
      </w:r>
      <w:r>
        <w:rPr>
          <w:b/>
          <w:bCs/>
        </w:rPr>
        <w:t>Inventory management</w:t>
      </w:r>
      <w:r>
        <w:t xml:space="preserve">: </w:t>
      </w:r>
      <w:r w:rsidRPr="002A0167">
        <w:rPr>
          <w:rFonts w:asciiTheme="minorHAnsi" w:hAnsiTheme="minorHAnsi"/>
          <w:szCs w:val="24"/>
          <w:lang w:val="en"/>
          <w14:ligatures w14:val="none"/>
        </w:rPr>
        <w:t xml:space="preserve">The inventory control must be changed to a demand-based prediction and occasional deliveries to lower the stock level. Sorting </w:t>
      </w:r>
      <w:r w:rsidR="00104BFC" w:rsidRPr="002A0167">
        <w:rPr>
          <w:rFonts w:asciiTheme="minorHAnsi" w:hAnsiTheme="minorHAnsi"/>
          <w:szCs w:val="24"/>
          <w:lang w:val="en"/>
          <w14:ligatures w14:val="none"/>
        </w:rPr>
        <w:t>fast- and slow-moving</w:t>
      </w:r>
      <w:r w:rsidRPr="002A0167">
        <w:rPr>
          <w:rFonts w:asciiTheme="minorHAnsi" w:hAnsiTheme="minorHAnsi"/>
          <w:szCs w:val="24"/>
          <w:lang w:val="en"/>
          <w14:ligatures w14:val="none"/>
        </w:rPr>
        <w:t xml:space="preserve"> products and clearing of old products will reduce inventory days</w:t>
      </w:r>
      <w:r w:rsidR="003118F9">
        <w:rPr>
          <w:rFonts w:asciiTheme="minorHAnsi" w:hAnsiTheme="minorHAnsi"/>
          <w:szCs w:val="24"/>
          <w:lang w:val="en"/>
          <w14:ligatures w14:val="none"/>
        </w:rPr>
        <w:t xml:space="preserve"> </w:t>
      </w:r>
      <w:r w:rsidR="003118F9" w:rsidRPr="003118F9">
        <w:t>(</w:t>
      </w:r>
      <w:proofErr w:type="spellStart"/>
      <w:r w:rsidR="003118F9" w:rsidRPr="003118F9">
        <w:t>Pamungkas</w:t>
      </w:r>
      <w:proofErr w:type="spellEnd"/>
      <w:r w:rsidR="003118F9" w:rsidRPr="003118F9">
        <w:t>, 2023)</w:t>
      </w:r>
      <w:r w:rsidRPr="002A0167">
        <w:rPr>
          <w:rFonts w:asciiTheme="minorHAnsi" w:hAnsiTheme="minorHAnsi"/>
          <w:szCs w:val="24"/>
          <w:lang w:val="en"/>
          <w14:ligatures w14:val="none"/>
        </w:rPr>
        <w:t>. Working with the suppliers to reduce lead times and demand information will lead to shorter lead periods and frequent delivery.</w:t>
      </w:r>
    </w:p>
    <w:p w14:paraId="36B8115E" w14:textId="1CA8A0E7" w:rsidR="009047C4" w:rsidRPr="002A0167" w:rsidRDefault="009047C4" w:rsidP="009047C4">
      <w:pPr>
        <w:rPr>
          <w:rFonts w:asciiTheme="minorHAnsi" w:hAnsiTheme="minorHAnsi"/>
          <w:szCs w:val="24"/>
          <w:lang w:val="en"/>
          <w14:ligatures w14:val="none"/>
        </w:rPr>
      </w:pPr>
      <w:r w:rsidRPr="009047C4">
        <w:rPr>
          <w:rFonts w:asciiTheme="minorHAnsi" w:hAnsiTheme="minorHAnsi"/>
          <w:b/>
          <w:szCs w:val="24"/>
          <w:lang w:val="en"/>
          <w14:ligatures w14:val="none"/>
        </w:rPr>
        <w:t>Receivable management:</w:t>
      </w:r>
      <w:r>
        <w:rPr>
          <w:rFonts w:asciiTheme="minorHAnsi" w:hAnsiTheme="minorHAnsi"/>
          <w:szCs w:val="24"/>
          <w:lang w:val="en"/>
          <w14:ligatures w14:val="none"/>
        </w:rPr>
        <w:t xml:space="preserve"> </w:t>
      </w:r>
      <w:r w:rsidRPr="002A0167">
        <w:rPr>
          <w:rFonts w:asciiTheme="minorHAnsi" w:hAnsiTheme="minorHAnsi"/>
          <w:szCs w:val="24"/>
          <w:lang w:val="en"/>
          <w14:ligatures w14:val="none"/>
        </w:rPr>
        <w:t>The tighter credit screening, the shorter payment terms, early-payment discount and automated billing reminders are some of the means through which receivable management can be enhanced. Invoice or factoring of receivables converts receivables into cash. Late payment should be penalized.</w:t>
      </w:r>
    </w:p>
    <w:p w14:paraId="4E7F0AEE" w14:textId="05AFBC88" w:rsidR="009047C4" w:rsidRPr="002A0167" w:rsidRDefault="009047C4" w:rsidP="009047C4">
      <w:r w:rsidRPr="009047C4">
        <w:rPr>
          <w:rFonts w:asciiTheme="minorHAnsi" w:hAnsiTheme="minorHAnsi"/>
          <w:b/>
          <w:szCs w:val="24"/>
          <w:lang w:val="en"/>
          <w14:ligatures w14:val="none"/>
        </w:rPr>
        <w:t>Payables management:</w:t>
      </w:r>
      <w:r>
        <w:rPr>
          <w:rFonts w:asciiTheme="minorHAnsi" w:hAnsiTheme="minorHAnsi"/>
          <w:szCs w:val="24"/>
          <w:lang w:val="en"/>
          <w14:ligatures w14:val="none"/>
        </w:rPr>
        <w:t xml:space="preserve"> it</w:t>
      </w:r>
      <w:r w:rsidRPr="002A0167">
        <w:rPr>
          <w:rFonts w:asciiTheme="minorHAnsi" w:hAnsiTheme="minorHAnsi"/>
          <w:szCs w:val="24"/>
          <w:lang w:val="en"/>
          <w14:ligatures w14:val="none"/>
        </w:rPr>
        <w:t xml:space="preserve"> implies the negotiation of lengthening of payment conditions or the application of supply-chain finance to allow the suppliers to be paid by a financier earlier than the company and to be paid </w:t>
      </w:r>
      <w:r w:rsidRPr="003118F9">
        <w:t>in its turn later</w:t>
      </w:r>
      <w:r w:rsidR="003118F9" w:rsidRPr="003118F9">
        <w:t xml:space="preserve"> (Ahkam and Alom, 2019)</w:t>
      </w:r>
      <w:r w:rsidRPr="003118F9">
        <w:t>. Nevertheless, the company should not risk compromising the relationships with suppliers.</w:t>
      </w:r>
    </w:p>
    <w:p w14:paraId="368E12A0" w14:textId="7E6954D3" w:rsidR="00273686" w:rsidRPr="00974F14" w:rsidRDefault="00273686" w:rsidP="009047C4">
      <w:pPr>
        <w:rPr>
          <w:rFonts w:asciiTheme="minorHAnsi" w:hAnsiTheme="minorHAnsi"/>
          <w:szCs w:val="24"/>
          <w:lang w:val="en"/>
          <w14:ligatures w14:val="none"/>
        </w:rPr>
      </w:pPr>
      <w:bookmarkStart w:id="24" w:name="_Hlk216945256"/>
      <w:bookmarkEnd w:id="16"/>
      <w:r w:rsidRPr="00974F14">
        <w:rPr>
          <w:b/>
        </w:rPr>
        <w:t>Cash forecasting and discipline</w:t>
      </w:r>
      <w:r w:rsidR="009047C4" w:rsidRPr="00974F14">
        <w:rPr>
          <w:b/>
        </w:rPr>
        <w:t>:</w:t>
      </w:r>
      <w:r w:rsidR="009047C4">
        <w:t xml:space="preserve"> </w:t>
      </w:r>
      <w:r w:rsidR="009047C4" w:rsidRPr="002A0167">
        <w:rPr>
          <w:rFonts w:asciiTheme="minorHAnsi" w:hAnsiTheme="minorHAnsi"/>
          <w:szCs w:val="24"/>
          <w:lang w:val="en"/>
          <w14:ligatures w14:val="none"/>
        </w:rPr>
        <w:t xml:space="preserve">There is a need to have cash forecasting and discipline. Integrated sales, production and procurement plans in the form of rolling forecasts will point out impending cash gaps. </w:t>
      </w:r>
      <w:r w:rsidR="009047C4">
        <w:rPr>
          <w:rFonts w:asciiTheme="minorHAnsi" w:hAnsiTheme="minorHAnsi"/>
          <w:szCs w:val="24"/>
          <w:lang w:val="en"/>
          <w14:ligatures w14:val="none"/>
        </w:rPr>
        <w:t>Customer’s</w:t>
      </w:r>
      <w:r w:rsidR="009047C4" w:rsidRPr="002A0167">
        <w:rPr>
          <w:rFonts w:asciiTheme="minorHAnsi" w:hAnsiTheme="minorHAnsi"/>
          <w:szCs w:val="24"/>
          <w:lang w:val="en"/>
          <w14:ligatures w14:val="none"/>
        </w:rPr>
        <w:t xml:space="preserve"> accountability is enhanced by setting working-capital targets and tracking days inventory, days receivable and days payable growth. The delaying of discretionary expenditure and unnecessary capital expenditure maintenance keeps the liquidity intact and profitability is reinstated</w:t>
      </w:r>
      <w:r w:rsidR="003118F9">
        <w:rPr>
          <w:rFonts w:asciiTheme="minorHAnsi" w:hAnsiTheme="minorHAnsi"/>
          <w:szCs w:val="24"/>
          <w:lang w:val="en"/>
          <w14:ligatures w14:val="none"/>
        </w:rPr>
        <w:t xml:space="preserve"> </w:t>
      </w:r>
      <w:r w:rsidR="003118F9" w:rsidRPr="003118F9">
        <w:t>(</w:t>
      </w:r>
      <w:proofErr w:type="spellStart"/>
      <w:r w:rsidR="003118F9" w:rsidRPr="003118F9">
        <w:t>Pamungkas</w:t>
      </w:r>
      <w:proofErr w:type="spellEnd"/>
      <w:r w:rsidR="003118F9" w:rsidRPr="003118F9">
        <w:t>, 2023)</w:t>
      </w:r>
      <w:r w:rsidR="009047C4" w:rsidRPr="002A0167">
        <w:rPr>
          <w:rFonts w:asciiTheme="minorHAnsi" w:hAnsiTheme="minorHAnsi"/>
          <w:szCs w:val="24"/>
          <w:lang w:val="en"/>
          <w14:ligatures w14:val="none"/>
        </w:rPr>
        <w:t>. Balancing the incentives; the targeting of bonuses based on cash measures and even based on revenue, and the purchase of digital data tools to track the inventory and automatic invoices instills a cash-conscious culture.</w:t>
      </w:r>
    </w:p>
    <w:p w14:paraId="036D4A1D" w14:textId="77777777" w:rsidR="00273686" w:rsidRDefault="00273686" w:rsidP="00104BFC">
      <w:pPr>
        <w:pStyle w:val="Heading2"/>
      </w:pPr>
      <w:bookmarkStart w:id="25" w:name="_Toc216948146"/>
      <w:bookmarkStart w:id="26" w:name="X9c5bef18dddfd5c85a9dd8e876f2904908114db"/>
      <w:bookmarkEnd w:id="17"/>
      <w:bookmarkEnd w:id="22"/>
      <w:r>
        <w:t xml:space="preserve">2.3 Comparison of short‑term </w:t>
      </w:r>
      <w:r w:rsidRPr="00104BFC">
        <w:t>versus</w:t>
      </w:r>
      <w:r>
        <w:t xml:space="preserve"> long‑term financing options</w:t>
      </w:r>
      <w:bookmarkEnd w:id="25"/>
    </w:p>
    <w:bookmarkEnd w:id="19"/>
    <w:bookmarkEnd w:id="26"/>
    <w:p w14:paraId="60886B09" w14:textId="4C677CC7" w:rsidR="00974F14" w:rsidRPr="002A0167" w:rsidRDefault="00974F14" w:rsidP="00974F14">
      <w:pPr>
        <w:rPr>
          <w:rFonts w:asciiTheme="minorHAnsi" w:hAnsiTheme="minorHAnsi"/>
          <w:szCs w:val="24"/>
          <w:lang w:val="en"/>
          <w14:ligatures w14:val="none"/>
        </w:rPr>
      </w:pPr>
      <w:r w:rsidRPr="002A0167">
        <w:rPr>
          <w:rFonts w:asciiTheme="minorHAnsi" w:hAnsiTheme="minorHAnsi"/>
          <w:szCs w:val="24"/>
          <w:lang w:val="en"/>
          <w14:ligatures w14:val="none"/>
        </w:rPr>
        <w:t xml:space="preserve">Funding will still be required even with the enhanced working-capital efficiency. Short term sources (overdrafts, revolving credit lines, secured and unsecured loans, commercial paper) are flexible and can be used in temporary changes in working-capital, but it may be more expensive and also there is refinancing </w:t>
      </w:r>
      <w:r w:rsidRPr="003118F9">
        <w:t>risk</w:t>
      </w:r>
      <w:r w:rsidR="003118F9" w:rsidRPr="003118F9">
        <w:t xml:space="preserve"> (Aguilar</w:t>
      </w:r>
      <w:r w:rsidR="003118F9">
        <w:t xml:space="preserve"> et al., </w:t>
      </w:r>
      <w:r w:rsidR="003118F9" w:rsidRPr="003118F9">
        <w:t>2019)</w:t>
      </w:r>
      <w:r w:rsidRPr="003118F9">
        <w:t>. Secured</w:t>
      </w:r>
      <w:r w:rsidRPr="002A0167">
        <w:rPr>
          <w:rFonts w:asciiTheme="minorHAnsi" w:hAnsiTheme="minorHAnsi"/>
          <w:szCs w:val="24"/>
          <w:lang w:val="en"/>
          <w14:ligatures w14:val="none"/>
        </w:rPr>
        <w:t xml:space="preserve"> loans: The secured loans which are secured by inventory or receivables have lower rates and may lose assets in a default. The commercial paper can only be issued to creditworthy firms and should be rolled over on a regular basis.</w:t>
      </w:r>
    </w:p>
    <w:p w14:paraId="6C7F1E05" w14:textId="0CAA28D3" w:rsidR="00974F14" w:rsidRPr="002A0167" w:rsidRDefault="00974F14" w:rsidP="00974F14">
      <w:pPr>
        <w:rPr>
          <w:rFonts w:asciiTheme="minorHAnsi" w:hAnsiTheme="minorHAnsi"/>
          <w:szCs w:val="24"/>
          <w:lang w:val="en"/>
          <w14:ligatures w14:val="none"/>
        </w:rPr>
      </w:pPr>
      <w:r w:rsidRPr="002A0167">
        <w:rPr>
          <w:rFonts w:asciiTheme="minorHAnsi" w:hAnsiTheme="minorHAnsi"/>
          <w:szCs w:val="24"/>
          <w:lang w:val="en"/>
          <w14:ligatures w14:val="none"/>
        </w:rPr>
        <w:lastRenderedPageBreak/>
        <w:t>Stability is provided by long-term financing, such as equity, preferred shares and long-term debt, such as bonds or term loans. Equity injections enhance the balance sheet but they do not have to be repaid but they dilute the current owners. Preferred shares have fixed rates of dividends and restricted voting powers</w:t>
      </w:r>
      <w:r w:rsidR="003118F9">
        <w:rPr>
          <w:rFonts w:asciiTheme="minorHAnsi" w:hAnsiTheme="minorHAnsi"/>
          <w:szCs w:val="24"/>
          <w:lang w:val="en"/>
          <w14:ligatures w14:val="none"/>
        </w:rPr>
        <w:t xml:space="preserve"> </w:t>
      </w:r>
      <w:r w:rsidR="003118F9" w:rsidRPr="003118F9">
        <w:t xml:space="preserve">(Gandhi and </w:t>
      </w:r>
      <w:proofErr w:type="spellStart"/>
      <w:r w:rsidR="003118F9" w:rsidRPr="003118F9">
        <w:t>Nasit</w:t>
      </w:r>
      <w:proofErr w:type="spellEnd"/>
      <w:r w:rsidR="003118F9" w:rsidRPr="003118F9">
        <w:t>, 2022)</w:t>
      </w:r>
      <w:r w:rsidRPr="003118F9">
        <w:t>.</w:t>
      </w:r>
      <w:r w:rsidRPr="002A0167">
        <w:rPr>
          <w:rFonts w:asciiTheme="minorHAnsi" w:hAnsiTheme="minorHAnsi"/>
          <w:szCs w:val="24"/>
          <w:lang w:val="en"/>
          <w14:ligatures w14:val="none"/>
        </w:rPr>
        <w:t xml:space="preserve"> Long-term debt is facilitating financial leverage and deduction of interest as a taxable expense; </w:t>
      </w:r>
      <w:r w:rsidR="00104BFC" w:rsidRPr="002A0167">
        <w:rPr>
          <w:rFonts w:asciiTheme="minorHAnsi" w:hAnsiTheme="minorHAnsi"/>
          <w:szCs w:val="24"/>
          <w:lang w:val="en"/>
          <w14:ligatures w14:val="none"/>
        </w:rPr>
        <w:t>however,</w:t>
      </w:r>
      <w:r w:rsidRPr="002A0167">
        <w:rPr>
          <w:rFonts w:asciiTheme="minorHAnsi" w:hAnsiTheme="minorHAnsi"/>
          <w:szCs w:val="24"/>
          <w:lang w:val="en"/>
          <w14:ligatures w14:val="none"/>
        </w:rPr>
        <w:t xml:space="preserve"> a heavy leverage increases the risk of bankruptcy and limits flexibility.</w:t>
      </w:r>
    </w:p>
    <w:p w14:paraId="63AF9947" w14:textId="0D7CA335" w:rsidR="00974F14" w:rsidRPr="002A0167" w:rsidRDefault="00974F14" w:rsidP="00974F14">
      <w:pPr>
        <w:rPr>
          <w:rFonts w:asciiTheme="minorHAnsi" w:hAnsiTheme="minorHAnsi"/>
          <w:szCs w:val="24"/>
          <w:lang w:val="en"/>
          <w14:ligatures w14:val="none"/>
        </w:rPr>
      </w:pPr>
      <w:r w:rsidRPr="002A0167">
        <w:rPr>
          <w:rFonts w:asciiTheme="minorHAnsi" w:hAnsiTheme="minorHAnsi"/>
          <w:szCs w:val="24"/>
          <w:lang w:val="en"/>
          <w14:ligatures w14:val="none"/>
        </w:rPr>
        <w:t>Since the company has got a long COC and its profitability is reducing, a mixed financing is recommended. The seasonal changes in working capital have to be financed through short term credit lines and the fixed assets and a section of permanent working capital is better financed through long term debt. The management should make sure that any additional debt should be supplemented by a plausible course to rebound the profitability and ensure that the interest coverage is comfortable</w:t>
      </w:r>
      <w:r w:rsidR="003118F9">
        <w:rPr>
          <w:rFonts w:asciiTheme="minorHAnsi" w:hAnsiTheme="minorHAnsi"/>
          <w:szCs w:val="24"/>
          <w:lang w:val="en"/>
          <w14:ligatures w14:val="none"/>
        </w:rPr>
        <w:t xml:space="preserve"> </w:t>
      </w:r>
      <w:r w:rsidR="003118F9" w:rsidRPr="003118F9">
        <w:t>(Aguilar</w:t>
      </w:r>
      <w:r w:rsidR="003118F9">
        <w:t xml:space="preserve"> et al., </w:t>
      </w:r>
      <w:r w:rsidR="003118F9" w:rsidRPr="003118F9">
        <w:t>2019)</w:t>
      </w:r>
      <w:r w:rsidRPr="002A0167">
        <w:rPr>
          <w:rFonts w:asciiTheme="minorHAnsi" w:hAnsiTheme="minorHAnsi"/>
          <w:szCs w:val="24"/>
          <w:lang w:val="en"/>
          <w14:ligatures w14:val="none"/>
        </w:rPr>
        <w:t>.</w:t>
      </w:r>
      <w:r w:rsidR="003118F9">
        <w:rPr>
          <w:rFonts w:asciiTheme="minorHAnsi" w:hAnsiTheme="minorHAnsi"/>
          <w:szCs w:val="24"/>
          <w:lang w:val="en"/>
          <w14:ligatures w14:val="none"/>
        </w:rPr>
        <w:t xml:space="preserve"> However, </w:t>
      </w:r>
      <w:r w:rsidRPr="002A0167">
        <w:rPr>
          <w:rFonts w:asciiTheme="minorHAnsi" w:hAnsiTheme="minorHAnsi"/>
          <w:szCs w:val="24"/>
          <w:lang w:val="en"/>
          <w14:ligatures w14:val="none"/>
        </w:rPr>
        <w:t xml:space="preserve">idle credit facilities and protection against interest-rate risk offers </w:t>
      </w:r>
      <w:r w:rsidR="003118F9">
        <w:rPr>
          <w:rFonts w:asciiTheme="minorHAnsi" w:hAnsiTheme="minorHAnsi"/>
          <w:szCs w:val="24"/>
          <w:lang w:val="en"/>
          <w14:ligatures w14:val="none"/>
        </w:rPr>
        <w:t xml:space="preserve">the company full </w:t>
      </w:r>
      <w:r w:rsidRPr="002A0167">
        <w:rPr>
          <w:rFonts w:asciiTheme="minorHAnsi" w:hAnsiTheme="minorHAnsi"/>
          <w:szCs w:val="24"/>
          <w:lang w:val="en"/>
          <w14:ligatures w14:val="none"/>
        </w:rPr>
        <w:t>freedom in unpredictable markets.</w:t>
      </w:r>
    </w:p>
    <w:p w14:paraId="734D7590" w14:textId="1114B142" w:rsidR="00273686" w:rsidRDefault="00104BFC" w:rsidP="00104BFC">
      <w:pPr>
        <w:pStyle w:val="Heading1"/>
      </w:pPr>
      <w:bookmarkStart w:id="27" w:name="_Toc216948147"/>
      <w:r>
        <w:t xml:space="preserve">Task </w:t>
      </w:r>
      <w:r w:rsidR="00273686">
        <w:t>3</w:t>
      </w:r>
      <w:r>
        <w:t>:</w:t>
      </w:r>
      <w:r w:rsidR="00273686">
        <w:t> Strategic Financial Restructuring Plan</w:t>
      </w:r>
      <w:bookmarkEnd w:id="27"/>
      <w:r w:rsidR="00273686">
        <w:t xml:space="preserve"> </w:t>
      </w:r>
    </w:p>
    <w:p w14:paraId="7DA4149D" w14:textId="37848CED" w:rsidR="00273686" w:rsidRDefault="00974F14" w:rsidP="00273686">
      <w:pPr>
        <w:pStyle w:val="FirstParagraph"/>
      </w:pPr>
      <w:r>
        <w:t xml:space="preserve">The strategic financial restricting plan of the company contains: </w:t>
      </w:r>
    </w:p>
    <w:p w14:paraId="1AB7BC41" w14:textId="4E464E14" w:rsidR="00273686" w:rsidRDefault="00273686" w:rsidP="00104BFC">
      <w:pPr>
        <w:pStyle w:val="Heading2"/>
      </w:pPr>
      <w:bookmarkStart w:id="28" w:name="_Toc216948148"/>
      <w:bookmarkStart w:id="29" w:name="X4b793466ca90fee4f74ce33da6e2bea105cd9bd"/>
      <w:r>
        <w:t>3.1 Recommended financial restructuring options</w:t>
      </w:r>
      <w:bookmarkEnd w:id="28"/>
    </w:p>
    <w:p w14:paraId="7A2E25D0" w14:textId="774CD0DD" w:rsidR="00974F14" w:rsidRDefault="00974F14" w:rsidP="00974F14">
      <w:r>
        <w:t>The recommendations for financial restricting options are:</w:t>
      </w:r>
    </w:p>
    <w:p w14:paraId="2B487C9E" w14:textId="022C9BC4" w:rsidR="00974F14" w:rsidRPr="002A0167" w:rsidRDefault="00974F14" w:rsidP="00974F14">
      <w:pPr>
        <w:rPr>
          <w:rFonts w:asciiTheme="minorHAnsi" w:hAnsiTheme="minorHAnsi"/>
          <w:szCs w:val="24"/>
          <w:lang w:val="en"/>
          <w14:ligatures w14:val="none"/>
        </w:rPr>
      </w:pPr>
      <w:bookmarkStart w:id="30" w:name="X0c9988373f4082f935e6aefd8e16429bcf657f4"/>
      <w:bookmarkEnd w:id="29"/>
      <w:r>
        <w:rPr>
          <w:b/>
          <w:bCs/>
        </w:rPr>
        <w:t xml:space="preserve">Divest non‑core assets: </w:t>
      </w:r>
      <w:r w:rsidRPr="002A0167">
        <w:rPr>
          <w:rFonts w:asciiTheme="minorHAnsi" w:hAnsiTheme="minorHAnsi"/>
          <w:szCs w:val="24"/>
          <w:lang w:val="en"/>
          <w14:ligatures w14:val="none"/>
        </w:rPr>
        <w:t>The management ought to recognize and liquidate subsidiaries or product line that do not contribute to the core strategy or warrant the cost of capital. Debt could be reduced through proceeds and invested in ventures which yield high returns. The divestiture will streamline the organization and enable the executives to concentrate on its profitable areas, but caution should be observed not to get rid of assets that yield great synergies</w:t>
      </w:r>
      <w:r w:rsidR="003118F9">
        <w:rPr>
          <w:rFonts w:asciiTheme="minorHAnsi" w:hAnsiTheme="minorHAnsi"/>
          <w:szCs w:val="24"/>
          <w:lang w:val="en"/>
          <w14:ligatures w14:val="none"/>
        </w:rPr>
        <w:t xml:space="preserve"> </w:t>
      </w:r>
      <w:r w:rsidR="003118F9" w:rsidRPr="003118F9">
        <w:rPr>
          <w:rFonts w:asciiTheme="minorHAnsi" w:hAnsiTheme="minorHAnsi" w:cstheme="minorHAnsi"/>
          <w:color w:val="000000"/>
        </w:rPr>
        <w:t>(</w:t>
      </w:r>
      <w:proofErr w:type="spellStart"/>
      <w:r w:rsidR="003118F9" w:rsidRPr="003118F9">
        <w:rPr>
          <w:rFonts w:asciiTheme="minorHAnsi" w:hAnsiTheme="minorHAnsi" w:cstheme="minorHAnsi"/>
          <w:color w:val="000000"/>
        </w:rPr>
        <w:t>Mavlutova</w:t>
      </w:r>
      <w:proofErr w:type="spellEnd"/>
      <w:r w:rsidR="003118F9" w:rsidRPr="003118F9">
        <w:rPr>
          <w:rFonts w:asciiTheme="minorHAnsi" w:hAnsiTheme="minorHAnsi" w:cstheme="minorHAnsi"/>
          <w:color w:val="000000"/>
        </w:rPr>
        <w:t> </w:t>
      </w:r>
      <w:r w:rsidR="003118F9" w:rsidRPr="003118F9">
        <w:rPr>
          <w:rFonts w:asciiTheme="minorHAnsi" w:hAnsiTheme="minorHAnsi" w:cstheme="minorHAnsi"/>
          <w:i/>
          <w:iCs/>
          <w:color w:val="000000"/>
        </w:rPr>
        <w:t>et al.</w:t>
      </w:r>
      <w:r w:rsidR="003118F9" w:rsidRPr="003118F9">
        <w:rPr>
          <w:rFonts w:asciiTheme="minorHAnsi" w:hAnsiTheme="minorHAnsi" w:cstheme="minorHAnsi"/>
          <w:color w:val="000000"/>
        </w:rPr>
        <w:t>, 2021)</w:t>
      </w:r>
      <w:r w:rsidRPr="002A0167">
        <w:rPr>
          <w:rFonts w:asciiTheme="minorHAnsi" w:hAnsiTheme="minorHAnsi"/>
          <w:szCs w:val="24"/>
          <w:lang w:val="en"/>
          <w14:ligatures w14:val="none"/>
        </w:rPr>
        <w:t>.</w:t>
      </w:r>
    </w:p>
    <w:p w14:paraId="16E177BE" w14:textId="30E6FFE7" w:rsidR="00974F14" w:rsidRPr="002A0167" w:rsidRDefault="00974F14" w:rsidP="00974F14">
      <w:pPr>
        <w:rPr>
          <w:rFonts w:asciiTheme="minorHAnsi" w:hAnsiTheme="minorHAnsi"/>
          <w:szCs w:val="24"/>
          <w:lang w:val="en"/>
          <w14:ligatures w14:val="none"/>
        </w:rPr>
      </w:pPr>
      <w:r>
        <w:rPr>
          <w:b/>
          <w:bCs/>
        </w:rPr>
        <w:t>Selective mergers, acquisitions or joint ventures</w:t>
      </w:r>
      <w:r>
        <w:rPr>
          <w:rFonts w:asciiTheme="minorHAnsi" w:hAnsiTheme="minorHAnsi"/>
          <w:szCs w:val="24"/>
          <w:lang w:val="en"/>
          <w14:ligatures w14:val="none"/>
        </w:rPr>
        <w:t xml:space="preserve">: </w:t>
      </w:r>
      <w:r w:rsidRPr="002A0167">
        <w:rPr>
          <w:rFonts w:asciiTheme="minorHAnsi" w:hAnsiTheme="minorHAnsi"/>
          <w:szCs w:val="24"/>
          <w:lang w:val="en"/>
          <w14:ligatures w14:val="none"/>
        </w:rPr>
        <w:t>Economies of scale, extension of markets or technology benefits may also come as a result of strategic alliances with complementary companies. Joint ventures do not require total ownership and provide the same benefits. Due diligence, sound valuation and proper integration planning should take place to avoid overpayment and culture conflicts.</w:t>
      </w:r>
      <w:r w:rsidR="003118F9">
        <w:rPr>
          <w:rFonts w:asciiTheme="minorHAnsi" w:hAnsiTheme="minorHAnsi"/>
          <w:szCs w:val="24"/>
          <w:lang w:val="en"/>
          <w14:ligatures w14:val="none"/>
        </w:rPr>
        <w:t xml:space="preserve"> </w:t>
      </w:r>
      <w:r w:rsidR="003118F9" w:rsidRPr="003118F9">
        <w:t>(Altman</w:t>
      </w:r>
      <w:r w:rsidR="003118F9">
        <w:t xml:space="preserve"> </w:t>
      </w:r>
      <w:r w:rsidR="003118F9" w:rsidRPr="003118F9">
        <w:rPr>
          <w:i/>
        </w:rPr>
        <w:t>et al.,</w:t>
      </w:r>
      <w:r w:rsidR="003118F9" w:rsidRPr="003118F9">
        <w:t xml:space="preserve"> 2019).</w:t>
      </w:r>
      <w:r w:rsidRPr="002A0167">
        <w:rPr>
          <w:rFonts w:asciiTheme="minorHAnsi" w:hAnsiTheme="minorHAnsi"/>
          <w:szCs w:val="24"/>
          <w:lang w:val="en"/>
          <w14:ligatures w14:val="none"/>
        </w:rPr>
        <w:t xml:space="preserve"> Any transaction must be organized in a way to maintain strength on the balance sheet.</w:t>
      </w:r>
    </w:p>
    <w:p w14:paraId="62BB6C4B" w14:textId="69FA241D" w:rsidR="00974F14" w:rsidRPr="002A0167" w:rsidRDefault="00974F14" w:rsidP="00974F14">
      <w:pPr>
        <w:rPr>
          <w:rFonts w:asciiTheme="minorHAnsi" w:hAnsiTheme="minorHAnsi"/>
          <w:szCs w:val="24"/>
          <w:lang w:val="en"/>
          <w14:ligatures w14:val="none"/>
        </w:rPr>
      </w:pPr>
      <w:r w:rsidRPr="00E45C88">
        <w:rPr>
          <w:rFonts w:asciiTheme="minorHAnsi" w:hAnsiTheme="minorHAnsi"/>
          <w:b/>
          <w:szCs w:val="24"/>
          <w:lang w:val="en"/>
          <w14:ligatures w14:val="none"/>
        </w:rPr>
        <w:lastRenderedPageBreak/>
        <w:t>Increase equity and convert debt to equity:</w:t>
      </w:r>
      <w:r w:rsidRPr="002A0167">
        <w:rPr>
          <w:rFonts w:asciiTheme="minorHAnsi" w:hAnsiTheme="minorHAnsi"/>
          <w:szCs w:val="24"/>
          <w:lang w:val="en"/>
          <w14:ligatures w14:val="none"/>
        </w:rPr>
        <w:t xml:space="preserve"> A rights issue or a private placement will provide permanent capital and enhance leverage ratios and raise the Altman Z-score. Debt-for-equity swaps concluded with lenders save interests and solvency pressures but dilute current shareholders</w:t>
      </w:r>
      <w:r w:rsidR="003118F9">
        <w:rPr>
          <w:rFonts w:asciiTheme="minorHAnsi" w:hAnsiTheme="minorHAnsi"/>
          <w:szCs w:val="24"/>
          <w:lang w:val="en"/>
          <w14:ligatures w14:val="none"/>
        </w:rPr>
        <w:t xml:space="preserve"> </w:t>
      </w:r>
      <w:r w:rsidR="003118F9" w:rsidRPr="003118F9">
        <w:rPr>
          <w:rFonts w:asciiTheme="minorHAnsi" w:hAnsiTheme="minorHAnsi" w:cstheme="minorHAnsi"/>
          <w:color w:val="000000"/>
        </w:rPr>
        <w:t>(</w:t>
      </w:r>
      <w:proofErr w:type="spellStart"/>
      <w:r w:rsidR="003118F9" w:rsidRPr="003118F9">
        <w:rPr>
          <w:rFonts w:asciiTheme="minorHAnsi" w:hAnsiTheme="minorHAnsi" w:cstheme="minorHAnsi"/>
          <w:color w:val="000000"/>
        </w:rPr>
        <w:t>Mavlutova</w:t>
      </w:r>
      <w:proofErr w:type="spellEnd"/>
      <w:r w:rsidR="003118F9" w:rsidRPr="003118F9">
        <w:rPr>
          <w:rFonts w:asciiTheme="minorHAnsi" w:hAnsiTheme="minorHAnsi" w:cstheme="minorHAnsi"/>
          <w:color w:val="000000"/>
        </w:rPr>
        <w:t> </w:t>
      </w:r>
      <w:r w:rsidR="003118F9" w:rsidRPr="003118F9">
        <w:rPr>
          <w:rFonts w:asciiTheme="minorHAnsi" w:hAnsiTheme="minorHAnsi" w:cstheme="minorHAnsi"/>
          <w:i/>
          <w:iCs/>
          <w:color w:val="000000"/>
        </w:rPr>
        <w:t>et al.</w:t>
      </w:r>
      <w:r w:rsidR="003118F9" w:rsidRPr="003118F9">
        <w:rPr>
          <w:rFonts w:asciiTheme="minorHAnsi" w:hAnsiTheme="minorHAnsi" w:cstheme="minorHAnsi"/>
          <w:color w:val="000000"/>
        </w:rPr>
        <w:t>, 2021)</w:t>
      </w:r>
      <w:r w:rsidRPr="002A0167">
        <w:rPr>
          <w:rFonts w:asciiTheme="minorHAnsi" w:hAnsiTheme="minorHAnsi"/>
          <w:szCs w:val="24"/>
          <w:lang w:val="en"/>
          <w14:ligatures w14:val="none"/>
        </w:rPr>
        <w:t>. The funds that are raised should be used to finance profit-making ventures and not to finance losses.</w:t>
      </w:r>
    </w:p>
    <w:p w14:paraId="4B3662E5" w14:textId="77777777" w:rsidR="00974F14" w:rsidRPr="002A0167" w:rsidRDefault="00974F14" w:rsidP="00974F14">
      <w:pPr>
        <w:rPr>
          <w:rFonts w:asciiTheme="minorHAnsi" w:hAnsiTheme="minorHAnsi"/>
          <w:szCs w:val="24"/>
          <w:lang w:val="en"/>
          <w14:ligatures w14:val="none"/>
        </w:rPr>
      </w:pPr>
      <w:r w:rsidRPr="00E45C88">
        <w:rPr>
          <w:rFonts w:asciiTheme="minorHAnsi" w:hAnsiTheme="minorHAnsi"/>
          <w:b/>
          <w:szCs w:val="24"/>
          <w:lang w:val="en"/>
          <w14:ligatures w14:val="none"/>
        </w:rPr>
        <w:t>Refinance and reorganize debt:</w:t>
      </w:r>
      <w:r>
        <w:rPr>
          <w:rFonts w:asciiTheme="minorHAnsi" w:hAnsiTheme="minorHAnsi"/>
          <w:szCs w:val="24"/>
          <w:lang w:val="en"/>
          <w14:ligatures w14:val="none"/>
        </w:rPr>
        <w:t xml:space="preserve"> </w:t>
      </w:r>
      <w:r w:rsidRPr="002A0167">
        <w:rPr>
          <w:rFonts w:asciiTheme="minorHAnsi" w:hAnsiTheme="minorHAnsi"/>
          <w:szCs w:val="24"/>
          <w:lang w:val="en"/>
          <w14:ligatures w14:val="none"/>
        </w:rPr>
        <w:t>The short-term, high-cost borrowings will be repriced into the long-term and low-rate borrowings, which will take the pressure off the cash flow and eliminate refinancing risk. The company ought to consider bonds, term loans/ government-facilities and negotiate covenants that help sustain flexibility in operations. A staggered maturity profile will not make big repayments during one year.</w:t>
      </w:r>
    </w:p>
    <w:p w14:paraId="007CC961" w14:textId="46FA5DEC" w:rsidR="00974F14" w:rsidRPr="002A0167" w:rsidRDefault="00974F14" w:rsidP="00974F14">
      <w:pPr>
        <w:rPr>
          <w:rFonts w:asciiTheme="minorHAnsi" w:hAnsiTheme="minorHAnsi"/>
          <w:szCs w:val="24"/>
          <w:lang w:val="en"/>
          <w14:ligatures w14:val="none"/>
        </w:rPr>
      </w:pPr>
      <w:r w:rsidRPr="00E45C88">
        <w:rPr>
          <w:rFonts w:asciiTheme="minorHAnsi" w:hAnsiTheme="minorHAnsi"/>
          <w:b/>
          <w:szCs w:val="24"/>
          <w:lang w:val="en"/>
          <w14:ligatures w14:val="none"/>
        </w:rPr>
        <w:t>Reduce expenses and improve performance:</w:t>
      </w:r>
      <w:r w:rsidRPr="002A0167">
        <w:rPr>
          <w:rFonts w:asciiTheme="minorHAnsi" w:hAnsiTheme="minorHAnsi"/>
          <w:szCs w:val="24"/>
          <w:lang w:val="en"/>
          <w14:ligatures w14:val="none"/>
        </w:rPr>
        <w:t xml:space="preserve"> Unit costs and quality can be reduced with the help of lean manufacturing, automation and </w:t>
      </w:r>
      <w:proofErr w:type="spellStart"/>
      <w:r w:rsidRPr="002A0167">
        <w:rPr>
          <w:rFonts w:asciiTheme="minorHAnsi" w:hAnsiTheme="minorHAnsi"/>
          <w:szCs w:val="24"/>
          <w:lang w:val="en"/>
          <w14:ligatures w14:val="none"/>
        </w:rPr>
        <w:t>digitalisation</w:t>
      </w:r>
      <w:proofErr w:type="spellEnd"/>
      <w:r w:rsidRPr="002A0167">
        <w:rPr>
          <w:rFonts w:asciiTheme="minorHAnsi" w:hAnsiTheme="minorHAnsi"/>
          <w:szCs w:val="24"/>
          <w:lang w:val="en"/>
          <w14:ligatures w14:val="none"/>
        </w:rPr>
        <w:t xml:space="preserve">. Margins will be raised by reducing product lines and dropping activities that are not profitable. SG&amp;A can be </w:t>
      </w:r>
      <w:r w:rsidR="003118F9" w:rsidRPr="002A0167">
        <w:rPr>
          <w:rFonts w:asciiTheme="minorHAnsi" w:hAnsiTheme="minorHAnsi"/>
          <w:szCs w:val="24"/>
          <w:lang w:val="en"/>
          <w14:ligatures w14:val="none"/>
        </w:rPr>
        <w:t>minimized</w:t>
      </w:r>
      <w:r w:rsidRPr="002A0167">
        <w:rPr>
          <w:rFonts w:asciiTheme="minorHAnsi" w:hAnsiTheme="minorHAnsi"/>
          <w:szCs w:val="24"/>
          <w:lang w:val="en"/>
          <w14:ligatures w14:val="none"/>
        </w:rPr>
        <w:t xml:space="preserve"> by zero-based budgeting, outsourcing of non-core operations and shared services and operational improvements should be accompanied with stricter working-capital </w:t>
      </w:r>
      <w:r w:rsidR="003118F9">
        <w:rPr>
          <w:rFonts w:asciiTheme="minorHAnsi" w:hAnsiTheme="minorHAnsi"/>
          <w:szCs w:val="24"/>
          <w:lang w:val="en"/>
          <w14:ligatures w14:val="none"/>
        </w:rPr>
        <w:t xml:space="preserve">management </w:t>
      </w:r>
      <w:r w:rsidRPr="003118F9">
        <w:t>to enable the cash released back is not invested in unproductive activities</w:t>
      </w:r>
      <w:r w:rsidR="003118F9" w:rsidRPr="003118F9">
        <w:t xml:space="preserve"> (Altman</w:t>
      </w:r>
      <w:r w:rsidR="003118F9">
        <w:t xml:space="preserve"> </w:t>
      </w:r>
      <w:r w:rsidR="003118F9" w:rsidRPr="003118F9">
        <w:rPr>
          <w:i/>
        </w:rPr>
        <w:t>et al.,</w:t>
      </w:r>
      <w:r w:rsidR="003118F9" w:rsidRPr="003118F9">
        <w:t xml:space="preserve"> 2019)</w:t>
      </w:r>
      <w:r w:rsidRPr="003118F9">
        <w:t>. The ERP system will be a good investment that will help to standardise the processes, enhance the visibility</w:t>
      </w:r>
      <w:r w:rsidRPr="002A0167">
        <w:rPr>
          <w:rFonts w:asciiTheme="minorHAnsi" w:hAnsiTheme="minorHAnsi"/>
          <w:szCs w:val="24"/>
          <w:lang w:val="en"/>
          <w14:ligatures w14:val="none"/>
        </w:rPr>
        <w:t xml:space="preserve"> of the data and facilitate cross-functional working both during and after the restructuring.</w:t>
      </w:r>
    </w:p>
    <w:p w14:paraId="6FC8954A" w14:textId="77777777" w:rsidR="00273686" w:rsidRDefault="00273686" w:rsidP="00104BFC">
      <w:pPr>
        <w:pStyle w:val="Heading2"/>
      </w:pPr>
      <w:bookmarkStart w:id="31" w:name="_Toc216948149"/>
      <w:r>
        <w:t>3.2 Impact on shareholder value, debt structure and operational flexibility</w:t>
      </w:r>
      <w:bookmarkEnd w:id="31"/>
    </w:p>
    <w:p w14:paraId="7A508AC0" w14:textId="0F9E7F18" w:rsidR="00974F14" w:rsidRPr="002A0167" w:rsidRDefault="00974F14" w:rsidP="00974F14">
      <w:pPr>
        <w:rPr>
          <w:rFonts w:asciiTheme="minorHAnsi" w:hAnsiTheme="minorHAnsi"/>
          <w:szCs w:val="24"/>
          <w:lang w:val="en"/>
          <w14:ligatures w14:val="none"/>
        </w:rPr>
      </w:pPr>
      <w:bookmarkStart w:id="32" w:name="international-and-ethical-considerations"/>
      <w:bookmarkEnd w:id="24"/>
      <w:bookmarkEnd w:id="30"/>
      <w:r w:rsidRPr="00974F14">
        <w:rPr>
          <w:rFonts w:asciiTheme="minorHAnsi" w:hAnsiTheme="minorHAnsi"/>
          <w:b/>
          <w:szCs w:val="24"/>
          <w:lang w:val="en"/>
          <w14:ligatures w14:val="none"/>
        </w:rPr>
        <w:t>Shareholder value:</w:t>
      </w:r>
      <w:r w:rsidRPr="002A0167">
        <w:rPr>
          <w:rFonts w:asciiTheme="minorHAnsi" w:hAnsiTheme="minorHAnsi"/>
          <w:szCs w:val="24"/>
          <w:lang w:val="en"/>
          <w14:ligatures w14:val="none"/>
        </w:rPr>
        <w:t xml:space="preserve"> Dividends and share prices can be supported through divestitures and increased earnings and cash to support efficient operations. Equity issues are a way of dilution of the existing positions but can be warranted on the basis of financing profitable expansion. Debt-for-equity swaps sell part of the company to the lenders; shareholders have to compensate the dilution by reduction in interest and enhanced solvency</w:t>
      </w:r>
      <w:r w:rsidR="003118F9" w:rsidRPr="003118F9">
        <w:t xml:space="preserve"> (Siddiqa, 2023)</w:t>
      </w:r>
      <w:r w:rsidRPr="002A0167">
        <w:rPr>
          <w:rFonts w:asciiTheme="minorHAnsi" w:hAnsiTheme="minorHAnsi"/>
          <w:szCs w:val="24"/>
          <w:lang w:val="en"/>
          <w14:ligatures w14:val="none"/>
        </w:rPr>
        <w:t>. Merger and acquisition can bring in value due to the synergies and errors will kill that value. Communication to the investors must focus on disciplined implementation and achievable synergies.</w:t>
      </w:r>
    </w:p>
    <w:p w14:paraId="7EE7D5BE" w14:textId="3EF71E31" w:rsidR="00974F14" w:rsidRPr="002A0167" w:rsidRDefault="00974F14" w:rsidP="00974F14">
      <w:pPr>
        <w:rPr>
          <w:rFonts w:asciiTheme="minorHAnsi" w:hAnsiTheme="minorHAnsi"/>
          <w:szCs w:val="24"/>
          <w:lang w:val="en"/>
          <w14:ligatures w14:val="none"/>
        </w:rPr>
      </w:pPr>
      <w:r w:rsidRPr="00974F14">
        <w:rPr>
          <w:rFonts w:asciiTheme="minorHAnsi" w:hAnsiTheme="minorHAnsi"/>
          <w:b/>
          <w:szCs w:val="24"/>
          <w:lang w:val="en"/>
          <w14:ligatures w14:val="none"/>
        </w:rPr>
        <w:t>Debt structure:</w:t>
      </w:r>
      <w:r w:rsidRPr="002A0167">
        <w:rPr>
          <w:rFonts w:asciiTheme="minorHAnsi" w:hAnsiTheme="minorHAnsi"/>
          <w:szCs w:val="24"/>
          <w:lang w:val="en"/>
          <w14:ligatures w14:val="none"/>
        </w:rPr>
        <w:t xml:space="preserve"> The sale proceeds and new equity could be used to pay back debt, which will reduce leverage and enhance coverage of interest. Floating short-term loans into longer-duration instruments has the effect of repayment spreading and the interest charge may decrease but overall borrowing costs may increase with an increase in the duration. The </w:t>
      </w:r>
      <w:r w:rsidRPr="002A0167">
        <w:rPr>
          <w:rFonts w:asciiTheme="minorHAnsi" w:hAnsiTheme="minorHAnsi"/>
          <w:szCs w:val="24"/>
          <w:lang w:val="en"/>
          <w14:ligatures w14:val="none"/>
        </w:rPr>
        <w:lastRenderedPageBreak/>
        <w:t>judicious combination of debt and equity is able to retain the tax benefits without compromising the solvency</w:t>
      </w:r>
      <w:r w:rsidR="003118F9">
        <w:rPr>
          <w:rFonts w:asciiTheme="minorHAnsi" w:hAnsiTheme="minorHAnsi"/>
          <w:szCs w:val="24"/>
          <w:lang w:val="en"/>
          <w14:ligatures w14:val="none"/>
        </w:rPr>
        <w:t xml:space="preserve"> </w:t>
      </w:r>
      <w:r w:rsidR="003118F9" w:rsidRPr="003118F9">
        <w:t>(Joshi, 2022)</w:t>
      </w:r>
      <w:r w:rsidRPr="002A0167">
        <w:rPr>
          <w:rFonts w:asciiTheme="minorHAnsi" w:hAnsiTheme="minorHAnsi"/>
          <w:szCs w:val="24"/>
          <w:lang w:val="en"/>
          <w14:ligatures w14:val="none"/>
        </w:rPr>
        <w:t>. Debt-for- equity swaps lower leverage at the expense of the control of the current shareholders.</w:t>
      </w:r>
    </w:p>
    <w:p w14:paraId="1EFFCCBE" w14:textId="507B31F0" w:rsidR="00974F14" w:rsidRPr="002A0167" w:rsidRDefault="00974F14" w:rsidP="00974F14">
      <w:r w:rsidRPr="00974F14">
        <w:rPr>
          <w:rFonts w:asciiTheme="minorHAnsi" w:hAnsiTheme="minorHAnsi"/>
          <w:b/>
          <w:szCs w:val="24"/>
          <w:lang w:val="en"/>
          <w14:ligatures w14:val="none"/>
        </w:rPr>
        <w:t>Operational flexibility:</w:t>
      </w:r>
      <w:r w:rsidRPr="002A0167">
        <w:rPr>
          <w:rFonts w:asciiTheme="minorHAnsi" w:hAnsiTheme="minorHAnsi"/>
          <w:szCs w:val="24"/>
          <w:lang w:val="en"/>
          <w14:ligatures w14:val="none"/>
        </w:rPr>
        <w:t xml:space="preserve"> The optimization of operations and the elimination of non-core assets makes decision making faster and makes the company focus on making profitable decisions. The agility is enhanced by </w:t>
      </w:r>
      <w:proofErr w:type="spellStart"/>
      <w:r w:rsidRPr="002A0167">
        <w:rPr>
          <w:rFonts w:asciiTheme="minorHAnsi" w:hAnsiTheme="minorHAnsi"/>
          <w:szCs w:val="24"/>
          <w:lang w:val="en"/>
          <w14:ligatures w14:val="none"/>
        </w:rPr>
        <w:t>digitalisation</w:t>
      </w:r>
      <w:proofErr w:type="spellEnd"/>
      <w:r w:rsidRPr="002A0167">
        <w:rPr>
          <w:rFonts w:asciiTheme="minorHAnsi" w:hAnsiTheme="minorHAnsi"/>
          <w:szCs w:val="24"/>
          <w:lang w:val="en"/>
          <w14:ligatures w14:val="none"/>
        </w:rPr>
        <w:t xml:space="preserve"> and process improvements. Conversely, mergers can lead to a temporary limitation of flexibility caused by integration requirements and new covenant requirements</w:t>
      </w:r>
      <w:r w:rsidR="003118F9">
        <w:rPr>
          <w:rFonts w:asciiTheme="minorHAnsi" w:hAnsiTheme="minorHAnsi"/>
          <w:szCs w:val="24"/>
          <w:lang w:val="en"/>
          <w14:ligatures w14:val="none"/>
        </w:rPr>
        <w:t xml:space="preserve"> </w:t>
      </w:r>
      <w:r w:rsidR="003118F9" w:rsidRPr="003118F9">
        <w:t xml:space="preserve"> (Siddiqa, 2023)</w:t>
      </w:r>
      <w:r w:rsidRPr="002A0167">
        <w:rPr>
          <w:rFonts w:asciiTheme="minorHAnsi" w:hAnsiTheme="minorHAnsi"/>
          <w:szCs w:val="24"/>
          <w:lang w:val="en"/>
          <w14:ligatures w14:val="none"/>
        </w:rPr>
        <w:t>. Flexibility will be insured by negotiating covenant with lenders to leave flexibility intact and by holding undrawn credit lines.</w:t>
      </w:r>
    </w:p>
    <w:p w14:paraId="76175C1F" w14:textId="77777777" w:rsidR="00273686" w:rsidRDefault="00273686" w:rsidP="00104BFC">
      <w:pPr>
        <w:pStyle w:val="Heading2"/>
      </w:pPr>
      <w:bookmarkStart w:id="33" w:name="_Toc216948150"/>
      <w:r>
        <w:t>3.3 </w:t>
      </w:r>
      <w:r w:rsidRPr="00104BFC">
        <w:t>International</w:t>
      </w:r>
      <w:r>
        <w:t xml:space="preserve"> and ethical considerations</w:t>
      </w:r>
      <w:bookmarkEnd w:id="33"/>
    </w:p>
    <w:bookmarkEnd w:id="32"/>
    <w:p w14:paraId="64536B56" w14:textId="655983EC" w:rsidR="00974F14" w:rsidRPr="00E45C88" w:rsidRDefault="00974F14" w:rsidP="00974F14">
      <w:pPr>
        <w:rPr>
          <w:rFonts w:asciiTheme="minorHAnsi" w:hAnsiTheme="minorHAnsi"/>
          <w:szCs w:val="24"/>
          <w:lang w:val="en"/>
          <w14:ligatures w14:val="none"/>
        </w:rPr>
      </w:pPr>
      <w:r w:rsidRPr="00E45C88">
        <w:rPr>
          <w:rFonts w:asciiTheme="minorHAnsi" w:hAnsiTheme="minorHAnsi"/>
          <w:szCs w:val="24"/>
          <w:lang w:val="en"/>
          <w14:ligatures w14:val="none"/>
        </w:rPr>
        <w:t xml:space="preserve">Restructuring tends to cross boundaries and has to take into consideration taxation, regulation, currency and ethics. The cross-border transactions must be in a way such that they are tax efficient and they are in line with the local laws and sustainability reporting. Natural hedges and financial instruments (unless the two are in the same currency) (forwards, options) can help contain exchange-rate risk, diversified funding and inflation-linked instruments can help contain inflation risk. Ethical practices and CSR are the keys to the support of the stakeholders: treat the employees fairly in case of layoffs, do not act anti-competitively in the case of mergers, reduce the environmental damage to the minimum and be </w:t>
      </w:r>
      <w:proofErr w:type="spellStart"/>
      <w:r w:rsidRPr="00E45C88">
        <w:rPr>
          <w:rFonts w:asciiTheme="minorHAnsi" w:hAnsiTheme="minorHAnsi"/>
          <w:szCs w:val="24"/>
          <w:lang w:val="en"/>
          <w14:ligatures w14:val="none"/>
        </w:rPr>
        <w:t>transpare</w:t>
      </w:r>
      <w:r w:rsidRPr="003118F9">
        <w:t>nt</w:t>
      </w:r>
      <w:proofErr w:type="spellEnd"/>
      <w:r w:rsidR="003118F9" w:rsidRPr="003118F9">
        <w:t xml:space="preserve"> (Hong, 2024)</w:t>
      </w:r>
      <w:r w:rsidRPr="003118F9">
        <w:t>.</w:t>
      </w:r>
      <w:r w:rsidRPr="00E45C88">
        <w:rPr>
          <w:rFonts w:asciiTheme="minorHAnsi" w:hAnsiTheme="minorHAnsi"/>
          <w:szCs w:val="24"/>
          <w:lang w:val="en"/>
          <w14:ligatures w14:val="none"/>
        </w:rPr>
        <w:t xml:space="preserve"> The reputational damage will be averted by early interaction with employees, unions, suppliers and regulators and by the provision of severance or retraining package. A socially responsible investor can also be drawn to the company through demonstrating its commitment to the ESG principles, and lower the cost of capital. Countries might have different employment regulations; restructuring might thus necessitate bargaining with local labour unions and regulators to make sure that it is complied with and does not attract fines. The company should also maintain social and environmental standards throughout its worldwide supply chain</w:t>
      </w:r>
      <w:r w:rsidRPr="003118F9">
        <w:t>, maintain human rights and fair labour practices to ensure it does not tarnish its reputation</w:t>
      </w:r>
      <w:r w:rsidR="003118F9" w:rsidRPr="003118F9">
        <w:t xml:space="preserve"> (Stefanović and Milovanović, 2022)</w:t>
      </w:r>
      <w:r w:rsidRPr="003118F9">
        <w:t>. The</w:t>
      </w:r>
      <w:r w:rsidRPr="00E45C88">
        <w:rPr>
          <w:rFonts w:asciiTheme="minorHAnsi" w:hAnsiTheme="minorHAnsi"/>
          <w:szCs w:val="24"/>
          <w:lang w:val="en"/>
          <w14:ligatures w14:val="none"/>
        </w:rPr>
        <w:t xml:space="preserve"> key solutions that the management should implement in high-inflation settings are to adjust pricing and contract conditions to maintain real margins and consider financing options that offer protection against inflation.</w:t>
      </w:r>
    </w:p>
    <w:p w14:paraId="7370103C" w14:textId="5110A3B0" w:rsidR="009C0ED0" w:rsidRDefault="009C0ED0" w:rsidP="00974F14">
      <w:pPr>
        <w:pStyle w:val="Heading1"/>
      </w:pPr>
      <w:bookmarkStart w:id="34" w:name="citations"/>
      <w:bookmarkStart w:id="35" w:name="_Toc216948151"/>
      <w:bookmarkEnd w:id="2"/>
      <w:bookmarkEnd w:id="3"/>
      <w:bookmarkEnd w:id="4"/>
      <w:bookmarkEnd w:id="14"/>
      <w:bookmarkEnd w:id="34"/>
      <w:r>
        <w:lastRenderedPageBreak/>
        <w:t>Task 4: Investment Appraisal and Capital Budgeting</w:t>
      </w:r>
      <w:bookmarkEnd w:id="35"/>
    </w:p>
    <w:p w14:paraId="2D2BBC05" w14:textId="6F35EC45" w:rsidR="009C0ED0" w:rsidRDefault="00974F14" w:rsidP="00104BFC">
      <w:pPr>
        <w:pStyle w:val="Heading2"/>
      </w:pPr>
      <w:bookmarkStart w:id="36" w:name="_Toc216948152"/>
      <w:r>
        <w:t>4.</w:t>
      </w:r>
      <w:r w:rsidR="009C0ED0">
        <w:t>1 </w:t>
      </w:r>
      <w:r w:rsidR="009C0ED0" w:rsidRPr="00104BFC">
        <w:t>Explaining</w:t>
      </w:r>
      <w:r w:rsidR="009C0ED0">
        <w:t xml:space="preserve"> the Investment Techniques and Results</w:t>
      </w:r>
      <w:bookmarkEnd w:id="36"/>
      <w:r w:rsidR="009C0ED0">
        <w:t xml:space="preserve"> </w:t>
      </w:r>
    </w:p>
    <w:p w14:paraId="2829A39E" w14:textId="77777777" w:rsidR="002F37FB" w:rsidRPr="00E45C88" w:rsidRDefault="002F37FB" w:rsidP="002F37FB">
      <w:pPr>
        <w:rPr>
          <w:rFonts w:asciiTheme="minorHAnsi" w:hAnsiTheme="minorHAnsi"/>
          <w:szCs w:val="24"/>
          <w:lang w:val="en"/>
          <w14:ligatures w14:val="none"/>
        </w:rPr>
      </w:pPr>
      <w:r w:rsidRPr="00E45C88">
        <w:rPr>
          <w:rFonts w:asciiTheme="minorHAnsi" w:hAnsiTheme="minorHAnsi"/>
          <w:szCs w:val="24"/>
          <w:lang w:val="en"/>
          <w14:ligatures w14:val="none"/>
        </w:rPr>
        <w:t>The company used five known capital budgeting tools to evaluate three proposals. They both offer a varying account of cash flow timing and profitability.</w:t>
      </w:r>
    </w:p>
    <w:p w14:paraId="6076AF2D" w14:textId="2E75AC66" w:rsidR="002F37FB" w:rsidRPr="00E45C88" w:rsidRDefault="002F37FB" w:rsidP="002F37FB">
      <w:pPr>
        <w:rPr>
          <w:rFonts w:asciiTheme="minorHAnsi" w:hAnsiTheme="minorHAnsi"/>
          <w:szCs w:val="24"/>
          <w:lang w:val="en"/>
          <w14:ligatures w14:val="none"/>
        </w:rPr>
      </w:pPr>
      <w:r w:rsidRPr="00E45C88">
        <w:rPr>
          <w:rFonts w:asciiTheme="minorHAnsi" w:hAnsiTheme="minorHAnsi"/>
          <w:b/>
          <w:szCs w:val="24"/>
          <w:lang w:val="en"/>
          <w14:ligatures w14:val="none"/>
        </w:rPr>
        <w:t>Payback Period (PBP):</w:t>
      </w:r>
      <w:r>
        <w:rPr>
          <w:rFonts w:asciiTheme="minorHAnsi" w:hAnsiTheme="minorHAnsi"/>
          <w:szCs w:val="24"/>
          <w:lang w:val="en"/>
          <w14:ligatures w14:val="none"/>
        </w:rPr>
        <w:t xml:space="preserve"> PBP</w:t>
      </w:r>
      <w:r w:rsidRPr="00E45C88">
        <w:rPr>
          <w:rFonts w:asciiTheme="minorHAnsi" w:hAnsiTheme="minorHAnsi"/>
          <w:szCs w:val="24"/>
          <w:lang w:val="en"/>
          <w14:ligatures w14:val="none"/>
        </w:rPr>
        <w:t xml:space="preserve"> just poses the question of how many years of cash inflows can be used to recover the outlay. In project A, it takes approximately 3.4 years to recover the </w:t>
      </w:r>
      <w:r w:rsidR="00B8415A">
        <w:rPr>
          <w:rFonts w:cs="Times New Roman"/>
        </w:rPr>
        <w:t>£</w:t>
      </w:r>
      <w:r w:rsidRPr="00E45C88">
        <w:rPr>
          <w:rFonts w:asciiTheme="minorHAnsi" w:hAnsiTheme="minorHAnsi"/>
          <w:szCs w:val="24"/>
          <w:lang w:val="en"/>
          <w14:ligatures w14:val="none"/>
        </w:rPr>
        <w:t xml:space="preserve">40m cost of the project, through the inflow of cash in the form of </w:t>
      </w:r>
      <w:r w:rsidR="00B8415A">
        <w:rPr>
          <w:rFonts w:cs="Times New Roman"/>
        </w:rPr>
        <w:t>£</w:t>
      </w:r>
      <w:r w:rsidRPr="00E45C88">
        <w:rPr>
          <w:rFonts w:asciiTheme="minorHAnsi" w:hAnsiTheme="minorHAnsi"/>
          <w:szCs w:val="24"/>
          <w:lang w:val="en"/>
          <w14:ligatures w14:val="none"/>
        </w:rPr>
        <w:t xml:space="preserve">10m, </w:t>
      </w:r>
      <w:r w:rsidR="00B8415A">
        <w:rPr>
          <w:rFonts w:cs="Times New Roman"/>
        </w:rPr>
        <w:t>£</w:t>
      </w:r>
      <w:r w:rsidRPr="00E45C88">
        <w:rPr>
          <w:rFonts w:asciiTheme="minorHAnsi" w:hAnsiTheme="minorHAnsi"/>
          <w:szCs w:val="24"/>
          <w:lang w:val="en"/>
          <w14:ligatures w14:val="none"/>
        </w:rPr>
        <w:t xml:space="preserve">12m, </w:t>
      </w:r>
      <w:r w:rsidR="00B8415A">
        <w:rPr>
          <w:rFonts w:cs="Times New Roman"/>
        </w:rPr>
        <w:t>£</w:t>
      </w:r>
      <w:r w:rsidRPr="00E45C88">
        <w:rPr>
          <w:rFonts w:asciiTheme="minorHAnsi" w:hAnsiTheme="minorHAnsi"/>
          <w:szCs w:val="24"/>
          <w:lang w:val="en"/>
          <w14:ligatures w14:val="none"/>
        </w:rPr>
        <w:t xml:space="preserve">14m, </w:t>
      </w:r>
      <w:r w:rsidR="00B8415A">
        <w:rPr>
          <w:rFonts w:cs="Times New Roman"/>
        </w:rPr>
        <w:t>£</w:t>
      </w:r>
      <w:r w:rsidRPr="00E45C88">
        <w:rPr>
          <w:rFonts w:asciiTheme="minorHAnsi" w:hAnsiTheme="minorHAnsi"/>
          <w:szCs w:val="24"/>
          <w:lang w:val="en"/>
          <w14:ligatures w14:val="none"/>
        </w:rPr>
        <w:t xml:space="preserve">10m and </w:t>
      </w:r>
      <w:r w:rsidR="00B8415A">
        <w:rPr>
          <w:rFonts w:cs="Times New Roman"/>
        </w:rPr>
        <w:t>£</w:t>
      </w:r>
      <w:r w:rsidRPr="00E45C88">
        <w:rPr>
          <w:rFonts w:asciiTheme="minorHAnsi" w:hAnsiTheme="minorHAnsi"/>
          <w:szCs w:val="24"/>
          <w:lang w:val="en"/>
          <w14:ligatures w14:val="none"/>
        </w:rPr>
        <w:t>8m</w:t>
      </w:r>
      <w:r w:rsidR="004E55B7">
        <w:rPr>
          <w:rFonts w:asciiTheme="minorHAnsi" w:hAnsiTheme="minorHAnsi"/>
          <w:szCs w:val="24"/>
          <w:lang w:val="en"/>
          <w14:ligatures w14:val="none"/>
        </w:rPr>
        <w:t xml:space="preserve"> (Appendix </w:t>
      </w:r>
      <w:r w:rsidR="004B2AF3">
        <w:rPr>
          <w:rFonts w:asciiTheme="minorHAnsi" w:hAnsiTheme="minorHAnsi"/>
          <w:szCs w:val="24"/>
          <w:lang w:val="en"/>
          <w14:ligatures w14:val="none"/>
        </w:rPr>
        <w:t>6</w:t>
      </w:r>
      <w:r w:rsidR="004E55B7">
        <w:rPr>
          <w:rFonts w:asciiTheme="minorHAnsi" w:hAnsiTheme="minorHAnsi"/>
          <w:szCs w:val="24"/>
          <w:lang w:val="en"/>
          <w14:ligatures w14:val="none"/>
        </w:rPr>
        <w:t>)</w:t>
      </w:r>
      <w:r w:rsidRPr="00E45C88">
        <w:rPr>
          <w:rFonts w:asciiTheme="minorHAnsi" w:hAnsiTheme="minorHAnsi"/>
          <w:szCs w:val="24"/>
          <w:lang w:val="en"/>
          <w14:ligatures w14:val="none"/>
        </w:rPr>
        <w:t xml:space="preserve">. Project B project cost, </w:t>
      </w:r>
      <w:r w:rsidR="00B8415A">
        <w:rPr>
          <w:rFonts w:cs="Times New Roman"/>
        </w:rPr>
        <w:t>£</w:t>
      </w:r>
      <w:r w:rsidRPr="00E45C88">
        <w:rPr>
          <w:rFonts w:asciiTheme="minorHAnsi" w:hAnsiTheme="minorHAnsi"/>
          <w:szCs w:val="24"/>
          <w:lang w:val="en"/>
          <w14:ligatures w14:val="none"/>
        </w:rPr>
        <w:t xml:space="preserve">30m and annual revenue, </w:t>
      </w:r>
      <w:r w:rsidR="00B8415A">
        <w:rPr>
          <w:rFonts w:cs="Times New Roman"/>
        </w:rPr>
        <w:t>£</w:t>
      </w:r>
      <w:r w:rsidRPr="00E45C88">
        <w:rPr>
          <w:rFonts w:asciiTheme="minorHAnsi" w:hAnsiTheme="minorHAnsi"/>
          <w:szCs w:val="24"/>
          <w:lang w:val="en"/>
          <w14:ligatures w14:val="none"/>
        </w:rPr>
        <w:t>6m, do not even break even until the fifth year</w:t>
      </w:r>
      <w:r w:rsidR="003118F9">
        <w:rPr>
          <w:rFonts w:asciiTheme="minorHAnsi" w:hAnsiTheme="minorHAnsi"/>
          <w:szCs w:val="24"/>
          <w:lang w:val="en"/>
          <w14:ligatures w14:val="none"/>
        </w:rPr>
        <w:t xml:space="preserve"> </w:t>
      </w:r>
      <w:r w:rsidR="003118F9" w:rsidRPr="003118F9">
        <w:t>(</w:t>
      </w:r>
      <w:proofErr w:type="spellStart"/>
      <w:r w:rsidR="003118F9" w:rsidRPr="003118F9">
        <w:t>Kengatharan</w:t>
      </w:r>
      <w:proofErr w:type="spellEnd"/>
      <w:r w:rsidR="003118F9" w:rsidRPr="003118F9">
        <w:t xml:space="preserve"> and Nurullah, 2018)</w:t>
      </w:r>
      <w:r w:rsidRPr="00E45C88">
        <w:rPr>
          <w:rFonts w:asciiTheme="minorHAnsi" w:hAnsiTheme="minorHAnsi"/>
          <w:szCs w:val="24"/>
          <w:lang w:val="en"/>
          <w14:ligatures w14:val="none"/>
        </w:rPr>
        <w:t xml:space="preserve">. The cost of </w:t>
      </w:r>
      <w:r w:rsidR="00B8415A">
        <w:rPr>
          <w:rFonts w:cs="Times New Roman"/>
        </w:rPr>
        <w:t>£</w:t>
      </w:r>
      <w:r w:rsidRPr="00E45C88">
        <w:rPr>
          <w:rFonts w:asciiTheme="minorHAnsi" w:hAnsiTheme="minorHAnsi"/>
          <w:szCs w:val="24"/>
          <w:lang w:val="en"/>
          <w14:ligatures w14:val="none"/>
        </w:rPr>
        <w:t xml:space="preserve">50m of Project C offset by the inflows of </w:t>
      </w:r>
      <w:r w:rsidR="00B8415A">
        <w:rPr>
          <w:rFonts w:cs="Times New Roman"/>
        </w:rPr>
        <w:t>£</w:t>
      </w:r>
      <w:r w:rsidRPr="00E45C88">
        <w:rPr>
          <w:rFonts w:asciiTheme="minorHAnsi" w:hAnsiTheme="minorHAnsi"/>
          <w:szCs w:val="24"/>
          <w:lang w:val="en"/>
          <w14:ligatures w14:val="none"/>
        </w:rPr>
        <w:t xml:space="preserve">5m, </w:t>
      </w:r>
      <w:r w:rsidR="00B8415A">
        <w:rPr>
          <w:rFonts w:cs="Times New Roman"/>
        </w:rPr>
        <w:t>£</w:t>
      </w:r>
      <w:r w:rsidRPr="00E45C88">
        <w:rPr>
          <w:rFonts w:asciiTheme="minorHAnsi" w:hAnsiTheme="minorHAnsi"/>
          <w:szCs w:val="24"/>
          <w:lang w:val="en"/>
          <w14:ligatures w14:val="none"/>
        </w:rPr>
        <w:t>10m</w:t>
      </w:r>
      <w:r w:rsidR="00B8415A">
        <w:rPr>
          <w:rFonts w:asciiTheme="minorHAnsi" w:hAnsiTheme="minorHAnsi"/>
          <w:szCs w:val="24"/>
          <w:lang w:val="en"/>
          <w14:ligatures w14:val="none"/>
        </w:rPr>
        <w:t>.</w:t>
      </w:r>
      <w:r w:rsidRPr="00E45C88">
        <w:rPr>
          <w:rFonts w:asciiTheme="minorHAnsi" w:hAnsiTheme="minorHAnsi"/>
          <w:szCs w:val="24"/>
          <w:lang w:val="en"/>
          <w14:ligatures w14:val="none"/>
        </w:rPr>
        <w:t xml:space="preserve"> </w:t>
      </w:r>
      <w:r w:rsidR="00B8415A">
        <w:rPr>
          <w:rFonts w:cs="Times New Roman"/>
        </w:rPr>
        <w:t>£</w:t>
      </w:r>
      <w:r w:rsidRPr="00E45C88">
        <w:rPr>
          <w:rFonts w:asciiTheme="minorHAnsi" w:hAnsiTheme="minorHAnsi"/>
          <w:szCs w:val="24"/>
          <w:lang w:val="en"/>
          <w14:ligatures w14:val="none"/>
        </w:rPr>
        <w:t>2 m</w:t>
      </w:r>
      <w:r w:rsidR="00B8415A">
        <w:rPr>
          <w:rFonts w:asciiTheme="minorHAnsi" w:hAnsiTheme="minorHAnsi"/>
          <w:szCs w:val="24"/>
          <w:lang w:val="en"/>
          <w14:ligatures w14:val="none"/>
        </w:rPr>
        <w:t>,</w:t>
      </w:r>
      <w:r w:rsidRPr="00E45C88">
        <w:rPr>
          <w:rFonts w:asciiTheme="minorHAnsi" w:hAnsiTheme="minorHAnsi"/>
          <w:szCs w:val="24"/>
          <w:lang w:val="en"/>
          <w14:ligatures w14:val="none"/>
        </w:rPr>
        <w:t xml:space="preserve"> </w:t>
      </w:r>
      <w:r w:rsidR="00B8415A">
        <w:rPr>
          <w:rFonts w:cs="Times New Roman"/>
        </w:rPr>
        <w:t>£</w:t>
      </w:r>
      <w:r w:rsidRPr="00E45C88">
        <w:rPr>
          <w:rFonts w:asciiTheme="minorHAnsi" w:hAnsiTheme="minorHAnsi"/>
          <w:szCs w:val="24"/>
          <w:lang w:val="en"/>
          <w14:ligatures w14:val="none"/>
        </w:rPr>
        <w:t xml:space="preserve">25m and </w:t>
      </w:r>
      <w:r w:rsidR="00B8415A">
        <w:rPr>
          <w:rFonts w:cs="Times New Roman"/>
        </w:rPr>
        <w:t>£</w:t>
      </w:r>
      <w:r w:rsidRPr="00E45C88">
        <w:rPr>
          <w:rFonts w:asciiTheme="minorHAnsi" w:hAnsiTheme="minorHAnsi"/>
          <w:szCs w:val="24"/>
          <w:lang w:val="en"/>
          <w14:ligatures w14:val="none"/>
        </w:rPr>
        <w:t>15m is recovered within the 3.6 years. Payback is concerned with the liquidity but does not pay attention to the later cash flows and time value of money.</w:t>
      </w:r>
    </w:p>
    <w:p w14:paraId="442B35D4" w14:textId="4BF6B55A" w:rsidR="002F37FB" w:rsidRPr="00E45C88" w:rsidRDefault="002F37FB" w:rsidP="002F37FB">
      <w:pPr>
        <w:rPr>
          <w:rFonts w:asciiTheme="minorHAnsi" w:hAnsiTheme="minorHAnsi"/>
          <w:szCs w:val="24"/>
          <w:lang w:val="en"/>
          <w14:ligatures w14:val="none"/>
        </w:rPr>
      </w:pPr>
      <w:r w:rsidRPr="00E45C88">
        <w:rPr>
          <w:rFonts w:asciiTheme="minorHAnsi" w:hAnsiTheme="minorHAnsi"/>
          <w:b/>
          <w:szCs w:val="24"/>
          <w:lang w:val="en"/>
          <w14:ligatures w14:val="none"/>
        </w:rPr>
        <w:t>Accounting Rate of Return (ARR):</w:t>
      </w:r>
      <w:r>
        <w:rPr>
          <w:rFonts w:asciiTheme="minorHAnsi" w:hAnsiTheme="minorHAnsi"/>
          <w:szCs w:val="24"/>
          <w:lang w:val="en"/>
          <w14:ligatures w14:val="none"/>
        </w:rPr>
        <w:t xml:space="preserve"> ARR</w:t>
      </w:r>
      <w:r w:rsidRPr="00E45C88">
        <w:rPr>
          <w:rFonts w:asciiTheme="minorHAnsi" w:hAnsiTheme="minorHAnsi"/>
          <w:szCs w:val="24"/>
          <w:lang w:val="en"/>
          <w14:ligatures w14:val="none"/>
        </w:rPr>
        <w:t xml:space="preserve"> is a ratio of the average accounting profit (not including depreciation) and average investment. The original profit of </w:t>
      </w:r>
      <w:r w:rsidR="00B8415A">
        <w:rPr>
          <w:rFonts w:cs="Times New Roman"/>
        </w:rPr>
        <w:t>£</w:t>
      </w:r>
      <w:r w:rsidRPr="00E45C88">
        <w:rPr>
          <w:rFonts w:asciiTheme="minorHAnsi" w:hAnsiTheme="minorHAnsi"/>
          <w:szCs w:val="24"/>
          <w:lang w:val="en"/>
          <w14:ligatures w14:val="none"/>
        </w:rPr>
        <w:t>14m and ARR of approximately 14</w:t>
      </w:r>
      <w:r w:rsidR="00B8415A">
        <w:rPr>
          <w:rFonts w:asciiTheme="minorHAnsi" w:hAnsiTheme="minorHAnsi"/>
          <w:szCs w:val="24"/>
          <w:lang w:val="en"/>
          <w14:ligatures w14:val="none"/>
        </w:rPr>
        <w:t xml:space="preserve">% </w:t>
      </w:r>
      <w:r w:rsidRPr="00E45C88">
        <w:rPr>
          <w:rFonts w:asciiTheme="minorHAnsi" w:hAnsiTheme="minorHAnsi"/>
          <w:szCs w:val="24"/>
          <w:lang w:val="en"/>
          <w14:ligatures w14:val="none"/>
        </w:rPr>
        <w:t xml:space="preserve">on a </w:t>
      </w:r>
      <w:r w:rsidR="00B8415A">
        <w:rPr>
          <w:rFonts w:cs="Times New Roman"/>
        </w:rPr>
        <w:t>£</w:t>
      </w:r>
      <w:r w:rsidRPr="00E45C88">
        <w:rPr>
          <w:rFonts w:asciiTheme="minorHAnsi" w:hAnsiTheme="minorHAnsi"/>
          <w:szCs w:val="24"/>
          <w:lang w:val="en"/>
          <w14:ligatures w14:val="none"/>
        </w:rPr>
        <w:t xml:space="preserve">20m average investment remains after the depreciation charge of </w:t>
      </w:r>
      <w:r w:rsidR="00B8415A">
        <w:rPr>
          <w:rFonts w:cs="Times New Roman"/>
        </w:rPr>
        <w:t>£</w:t>
      </w:r>
      <w:r w:rsidRPr="00E45C88">
        <w:rPr>
          <w:rFonts w:asciiTheme="minorHAnsi" w:hAnsiTheme="minorHAnsi"/>
          <w:szCs w:val="24"/>
          <w:lang w:val="en"/>
          <w14:ligatures w14:val="none"/>
        </w:rPr>
        <w:t>8m per annum of project A</w:t>
      </w:r>
      <w:r w:rsidR="004E55B7">
        <w:rPr>
          <w:rFonts w:asciiTheme="minorHAnsi" w:hAnsiTheme="minorHAnsi"/>
          <w:szCs w:val="24"/>
          <w:lang w:val="en"/>
          <w14:ligatures w14:val="none"/>
        </w:rPr>
        <w:t xml:space="preserve"> (Appendix </w:t>
      </w:r>
      <w:r w:rsidR="004B2AF3">
        <w:rPr>
          <w:rFonts w:asciiTheme="minorHAnsi" w:hAnsiTheme="minorHAnsi"/>
          <w:szCs w:val="24"/>
          <w:lang w:val="en"/>
          <w14:ligatures w14:val="none"/>
        </w:rPr>
        <w:t>7</w:t>
      </w:r>
      <w:r w:rsidR="004E55B7">
        <w:rPr>
          <w:rFonts w:asciiTheme="minorHAnsi" w:hAnsiTheme="minorHAnsi"/>
          <w:szCs w:val="24"/>
          <w:lang w:val="en"/>
          <w14:ligatures w14:val="none"/>
        </w:rPr>
        <w:t>)</w:t>
      </w:r>
      <w:r w:rsidRPr="00E45C88">
        <w:rPr>
          <w:rFonts w:asciiTheme="minorHAnsi" w:hAnsiTheme="minorHAnsi"/>
          <w:szCs w:val="24"/>
          <w:lang w:val="en"/>
          <w14:ligatures w14:val="none"/>
        </w:rPr>
        <w:t xml:space="preserve">. Project B does not have any profit as the cash inflows are equivalent to the depreciation resulting in ARR of zero. The profits of project C will amount to </w:t>
      </w:r>
      <w:r w:rsidR="00B8415A">
        <w:rPr>
          <w:rFonts w:cs="Times New Roman"/>
        </w:rPr>
        <w:t>£</w:t>
      </w:r>
      <w:r w:rsidRPr="00E45C88">
        <w:rPr>
          <w:rFonts w:asciiTheme="minorHAnsi" w:hAnsiTheme="minorHAnsi"/>
          <w:szCs w:val="24"/>
          <w:lang w:val="en"/>
          <w14:ligatures w14:val="none"/>
        </w:rPr>
        <w:t>25m and the ARR will be approximately 20</w:t>
      </w:r>
      <w:r w:rsidR="00B8415A">
        <w:rPr>
          <w:rFonts w:asciiTheme="minorHAnsi" w:hAnsiTheme="minorHAnsi"/>
          <w:szCs w:val="24"/>
          <w:lang w:val="en"/>
          <w14:ligatures w14:val="none"/>
        </w:rPr>
        <w:t xml:space="preserve">% </w:t>
      </w:r>
      <w:r w:rsidRPr="00E45C88">
        <w:rPr>
          <w:rFonts w:asciiTheme="minorHAnsi" w:hAnsiTheme="minorHAnsi"/>
          <w:szCs w:val="24"/>
          <w:lang w:val="en"/>
          <w14:ligatures w14:val="none"/>
        </w:rPr>
        <w:t xml:space="preserve">on an average investment of </w:t>
      </w:r>
      <w:r w:rsidR="00B8415A">
        <w:rPr>
          <w:rFonts w:cs="Times New Roman"/>
        </w:rPr>
        <w:t>£</w:t>
      </w:r>
      <w:r w:rsidRPr="00E45C88">
        <w:rPr>
          <w:rFonts w:asciiTheme="minorHAnsi" w:hAnsiTheme="minorHAnsi"/>
          <w:szCs w:val="24"/>
          <w:lang w:val="en"/>
          <w14:ligatures w14:val="none"/>
        </w:rPr>
        <w:t>25m</w:t>
      </w:r>
      <w:r w:rsidR="003118F9">
        <w:rPr>
          <w:rFonts w:asciiTheme="minorHAnsi" w:hAnsiTheme="minorHAnsi"/>
          <w:szCs w:val="24"/>
          <w:lang w:val="en"/>
          <w14:ligatures w14:val="none"/>
        </w:rPr>
        <w:t xml:space="preserve"> </w:t>
      </w:r>
      <w:r w:rsidR="003118F9" w:rsidRPr="003118F9">
        <w:t>(Sinaga et al., 2023)</w:t>
      </w:r>
      <w:r w:rsidRPr="00E45C88">
        <w:rPr>
          <w:rFonts w:asciiTheme="minorHAnsi" w:hAnsiTheme="minorHAnsi"/>
          <w:szCs w:val="24"/>
          <w:lang w:val="en"/>
          <w14:ligatures w14:val="none"/>
        </w:rPr>
        <w:t>. ARR reflects on the effect on reported earnings but does not reflect on timing.</w:t>
      </w:r>
    </w:p>
    <w:p w14:paraId="48BCCFBF" w14:textId="2F7B3810" w:rsidR="002F37FB" w:rsidRPr="00E45C88" w:rsidRDefault="002F37FB" w:rsidP="002F37FB">
      <w:pPr>
        <w:rPr>
          <w:rFonts w:asciiTheme="minorHAnsi" w:hAnsiTheme="minorHAnsi"/>
          <w:szCs w:val="24"/>
          <w:lang w:val="en"/>
          <w14:ligatures w14:val="none"/>
        </w:rPr>
      </w:pPr>
      <w:r w:rsidRPr="00104BFC">
        <w:rPr>
          <w:rFonts w:asciiTheme="minorHAnsi" w:hAnsiTheme="minorHAnsi"/>
          <w:b/>
          <w:szCs w:val="24"/>
          <w:lang w:val="en"/>
          <w14:ligatures w14:val="none"/>
        </w:rPr>
        <w:t>Net Present Value (NPV):</w:t>
      </w:r>
      <w:r>
        <w:rPr>
          <w:rFonts w:asciiTheme="minorHAnsi" w:hAnsiTheme="minorHAnsi"/>
          <w:szCs w:val="24"/>
          <w:lang w:val="en"/>
          <w14:ligatures w14:val="none"/>
        </w:rPr>
        <w:t xml:space="preserve"> </w:t>
      </w:r>
      <w:r w:rsidRPr="00E45C88">
        <w:rPr>
          <w:rFonts w:asciiTheme="minorHAnsi" w:hAnsiTheme="minorHAnsi"/>
          <w:szCs w:val="24"/>
          <w:lang w:val="en"/>
          <w14:ligatures w14:val="none"/>
        </w:rPr>
        <w:t xml:space="preserve">The discount rates on the future cash flows are based on the 10% cost of capital. Inflows of project A discounted to approximately </w:t>
      </w:r>
      <w:r w:rsidR="00B8415A">
        <w:rPr>
          <w:rFonts w:cs="Times New Roman"/>
        </w:rPr>
        <w:t>£</w:t>
      </w:r>
      <w:r w:rsidRPr="00E45C88">
        <w:rPr>
          <w:rFonts w:asciiTheme="minorHAnsi" w:hAnsiTheme="minorHAnsi"/>
          <w:szCs w:val="24"/>
          <w:lang w:val="en"/>
          <w14:ligatures w14:val="none"/>
        </w:rPr>
        <w:t xml:space="preserve">41.3m versus </w:t>
      </w:r>
      <w:r w:rsidR="00B8415A">
        <w:rPr>
          <w:rFonts w:cs="Times New Roman"/>
        </w:rPr>
        <w:t>£</w:t>
      </w:r>
      <w:r w:rsidRPr="00E45C88">
        <w:rPr>
          <w:rFonts w:asciiTheme="minorHAnsi" w:hAnsiTheme="minorHAnsi"/>
          <w:szCs w:val="24"/>
          <w:lang w:val="en"/>
          <w14:ligatures w14:val="none"/>
        </w:rPr>
        <w:t xml:space="preserve">40m cost to bring about an NPV of approximately </w:t>
      </w:r>
      <w:r w:rsidR="00B8415A">
        <w:rPr>
          <w:rFonts w:cs="Times New Roman"/>
        </w:rPr>
        <w:t>£</w:t>
      </w:r>
      <w:r w:rsidRPr="00E45C88">
        <w:rPr>
          <w:rFonts w:asciiTheme="minorHAnsi" w:hAnsiTheme="minorHAnsi"/>
          <w:szCs w:val="24"/>
          <w:lang w:val="en"/>
          <w14:ligatures w14:val="none"/>
        </w:rPr>
        <w:t>1.3m</w:t>
      </w:r>
      <w:r w:rsidR="004E55B7">
        <w:rPr>
          <w:rFonts w:asciiTheme="minorHAnsi" w:hAnsiTheme="minorHAnsi"/>
          <w:szCs w:val="24"/>
          <w:lang w:val="en"/>
          <w14:ligatures w14:val="none"/>
        </w:rPr>
        <w:t xml:space="preserve"> (Appendix </w:t>
      </w:r>
      <w:r w:rsidR="004B2AF3">
        <w:rPr>
          <w:rFonts w:asciiTheme="minorHAnsi" w:hAnsiTheme="minorHAnsi"/>
          <w:szCs w:val="24"/>
          <w:lang w:val="en"/>
          <w14:ligatures w14:val="none"/>
        </w:rPr>
        <w:t>8</w:t>
      </w:r>
      <w:r w:rsidR="004E55B7">
        <w:rPr>
          <w:rFonts w:asciiTheme="minorHAnsi" w:hAnsiTheme="minorHAnsi"/>
          <w:szCs w:val="24"/>
          <w:lang w:val="en"/>
          <w14:ligatures w14:val="none"/>
        </w:rPr>
        <w:t>)</w:t>
      </w:r>
      <w:r w:rsidRPr="00E45C88">
        <w:rPr>
          <w:rFonts w:asciiTheme="minorHAnsi" w:hAnsiTheme="minorHAnsi"/>
          <w:szCs w:val="24"/>
          <w:lang w:val="en"/>
          <w14:ligatures w14:val="none"/>
        </w:rPr>
        <w:t>. A negative NPV of around -</w:t>
      </w:r>
      <w:r w:rsidR="00B8415A">
        <w:rPr>
          <w:rFonts w:cs="Times New Roman"/>
        </w:rPr>
        <w:t>£</w:t>
      </w:r>
      <w:r w:rsidRPr="00E45C88">
        <w:rPr>
          <w:rFonts w:asciiTheme="minorHAnsi" w:hAnsiTheme="minorHAnsi"/>
          <w:szCs w:val="24"/>
          <w:lang w:val="en"/>
          <w14:ligatures w14:val="none"/>
        </w:rPr>
        <w:t xml:space="preserve">7.3m gives a discounted inflow of </w:t>
      </w:r>
      <w:r w:rsidR="00B8415A">
        <w:rPr>
          <w:rFonts w:cs="Times New Roman"/>
        </w:rPr>
        <w:t>£</w:t>
      </w:r>
      <w:r w:rsidRPr="00E45C88">
        <w:rPr>
          <w:rFonts w:asciiTheme="minorHAnsi" w:hAnsiTheme="minorHAnsi"/>
          <w:szCs w:val="24"/>
          <w:lang w:val="en"/>
          <w14:ligatures w14:val="none"/>
        </w:rPr>
        <w:t xml:space="preserve">22.7m in project B as compared to a cost of </w:t>
      </w:r>
      <w:r w:rsidR="00B8415A">
        <w:rPr>
          <w:rFonts w:cs="Times New Roman"/>
        </w:rPr>
        <w:t>£</w:t>
      </w:r>
      <w:r w:rsidRPr="00E45C88">
        <w:rPr>
          <w:rFonts w:asciiTheme="minorHAnsi" w:hAnsiTheme="minorHAnsi"/>
          <w:szCs w:val="24"/>
          <w:lang w:val="en"/>
          <w14:ligatures w14:val="none"/>
        </w:rPr>
        <w:t xml:space="preserve">30m. The inflows of project C are discounted to </w:t>
      </w:r>
      <w:r w:rsidR="00B8415A">
        <w:rPr>
          <w:rFonts w:cs="Times New Roman"/>
        </w:rPr>
        <w:t>£</w:t>
      </w:r>
      <w:r w:rsidRPr="00E45C88">
        <w:rPr>
          <w:rFonts w:asciiTheme="minorHAnsi" w:hAnsiTheme="minorHAnsi"/>
          <w:szCs w:val="24"/>
          <w:lang w:val="en"/>
          <w14:ligatures w14:val="none"/>
        </w:rPr>
        <w:t xml:space="preserve">54.2m and thus NPV of project C amounts to approximately </w:t>
      </w:r>
      <w:r w:rsidR="00B8415A">
        <w:rPr>
          <w:rFonts w:cs="Times New Roman"/>
        </w:rPr>
        <w:t>£</w:t>
      </w:r>
      <w:r w:rsidRPr="00E45C88">
        <w:rPr>
          <w:rFonts w:asciiTheme="minorHAnsi" w:hAnsiTheme="minorHAnsi"/>
          <w:szCs w:val="24"/>
          <w:lang w:val="en"/>
          <w14:ligatures w14:val="none"/>
        </w:rPr>
        <w:t xml:space="preserve">4.2m after </w:t>
      </w:r>
      <w:r w:rsidR="00B8415A">
        <w:rPr>
          <w:rFonts w:cs="Times New Roman"/>
        </w:rPr>
        <w:t>£</w:t>
      </w:r>
      <w:r w:rsidRPr="00E45C88">
        <w:rPr>
          <w:rFonts w:asciiTheme="minorHAnsi" w:hAnsiTheme="minorHAnsi"/>
          <w:szCs w:val="24"/>
          <w:lang w:val="en"/>
          <w14:ligatures w14:val="none"/>
        </w:rPr>
        <w:t>50m outlay</w:t>
      </w:r>
      <w:r w:rsidR="003118F9">
        <w:rPr>
          <w:rFonts w:asciiTheme="minorHAnsi" w:hAnsiTheme="minorHAnsi"/>
          <w:szCs w:val="24"/>
          <w:lang w:val="en"/>
          <w14:ligatures w14:val="none"/>
        </w:rPr>
        <w:t xml:space="preserve"> (Baum </w:t>
      </w:r>
      <w:r w:rsidR="003118F9" w:rsidRPr="003118F9">
        <w:rPr>
          <w:rFonts w:asciiTheme="minorHAnsi" w:hAnsiTheme="minorHAnsi"/>
          <w:i/>
          <w:szCs w:val="24"/>
          <w:lang w:val="en"/>
          <w14:ligatures w14:val="none"/>
        </w:rPr>
        <w:t>et al.,</w:t>
      </w:r>
      <w:r w:rsidR="003118F9">
        <w:rPr>
          <w:rFonts w:asciiTheme="minorHAnsi" w:hAnsiTheme="minorHAnsi"/>
          <w:szCs w:val="24"/>
          <w:lang w:val="en"/>
          <w14:ligatures w14:val="none"/>
        </w:rPr>
        <w:t xml:space="preserve"> 2021)</w:t>
      </w:r>
      <w:r w:rsidRPr="00E45C88">
        <w:rPr>
          <w:rFonts w:asciiTheme="minorHAnsi" w:hAnsiTheme="minorHAnsi"/>
          <w:szCs w:val="24"/>
          <w:lang w:val="en"/>
          <w14:ligatures w14:val="none"/>
        </w:rPr>
        <w:t>. The positive NPV means that a project is value adding.</w:t>
      </w:r>
    </w:p>
    <w:p w14:paraId="0E7AA20A" w14:textId="3B1AF399" w:rsidR="002F37FB" w:rsidRPr="00E45C88" w:rsidRDefault="002F37FB" w:rsidP="002F37FB">
      <w:pPr>
        <w:rPr>
          <w:rFonts w:asciiTheme="minorHAnsi" w:hAnsiTheme="minorHAnsi"/>
          <w:szCs w:val="24"/>
          <w:lang w:val="en"/>
          <w14:ligatures w14:val="none"/>
        </w:rPr>
      </w:pPr>
      <w:r w:rsidRPr="00E45C88">
        <w:rPr>
          <w:rFonts w:asciiTheme="minorHAnsi" w:hAnsiTheme="minorHAnsi"/>
          <w:b/>
          <w:szCs w:val="24"/>
          <w:lang w:val="en"/>
          <w14:ligatures w14:val="none"/>
        </w:rPr>
        <w:t>Profitability Index (PI):</w:t>
      </w:r>
      <w:r>
        <w:rPr>
          <w:rFonts w:asciiTheme="minorHAnsi" w:hAnsiTheme="minorHAnsi"/>
          <w:szCs w:val="24"/>
          <w:lang w:val="en"/>
          <w14:ligatures w14:val="none"/>
        </w:rPr>
        <w:t xml:space="preserve"> PI</w:t>
      </w:r>
      <w:r w:rsidRPr="00E45C88">
        <w:rPr>
          <w:rFonts w:asciiTheme="minorHAnsi" w:hAnsiTheme="minorHAnsi"/>
          <w:szCs w:val="24"/>
          <w:lang w:val="en"/>
          <w14:ligatures w14:val="none"/>
        </w:rPr>
        <w:t xml:space="preserve"> indicates the ratio of present value of inflows to the initial cost. The PI of Project A is approximately 1.03, project B is about 0.76 and project C is about 1.09</w:t>
      </w:r>
      <w:r w:rsidR="004E55B7">
        <w:rPr>
          <w:rFonts w:asciiTheme="minorHAnsi" w:hAnsiTheme="minorHAnsi"/>
          <w:szCs w:val="24"/>
          <w:lang w:val="en"/>
          <w14:ligatures w14:val="none"/>
        </w:rPr>
        <w:t xml:space="preserve"> (Appendix </w:t>
      </w:r>
      <w:r w:rsidR="004B2AF3">
        <w:rPr>
          <w:rFonts w:asciiTheme="minorHAnsi" w:hAnsiTheme="minorHAnsi"/>
          <w:szCs w:val="24"/>
          <w:lang w:val="en"/>
          <w14:ligatures w14:val="none"/>
        </w:rPr>
        <w:t>9</w:t>
      </w:r>
      <w:r w:rsidR="004E55B7">
        <w:rPr>
          <w:rFonts w:asciiTheme="minorHAnsi" w:hAnsiTheme="minorHAnsi"/>
          <w:szCs w:val="24"/>
          <w:lang w:val="en"/>
          <w14:ligatures w14:val="none"/>
        </w:rPr>
        <w:t>)</w:t>
      </w:r>
      <w:r w:rsidRPr="00E45C88">
        <w:rPr>
          <w:rFonts w:asciiTheme="minorHAnsi" w:hAnsiTheme="minorHAnsi"/>
          <w:szCs w:val="24"/>
          <w:lang w:val="en"/>
          <w14:ligatures w14:val="none"/>
        </w:rPr>
        <w:t>. A PI of over one shows that there would be more benefits than costs per pound</w:t>
      </w:r>
      <w:r w:rsidR="003118F9">
        <w:rPr>
          <w:rFonts w:asciiTheme="minorHAnsi" w:hAnsiTheme="minorHAnsi"/>
          <w:szCs w:val="24"/>
          <w:lang w:val="en"/>
          <w14:ligatures w14:val="none"/>
        </w:rPr>
        <w:t xml:space="preserve"> </w:t>
      </w:r>
      <w:r w:rsidR="003118F9" w:rsidRPr="003118F9">
        <w:lastRenderedPageBreak/>
        <w:t>(</w:t>
      </w:r>
      <w:proofErr w:type="spellStart"/>
      <w:r w:rsidR="003118F9" w:rsidRPr="003118F9">
        <w:t>Kengatharan</w:t>
      </w:r>
      <w:proofErr w:type="spellEnd"/>
      <w:r w:rsidR="003118F9" w:rsidRPr="003118F9">
        <w:t xml:space="preserve"> and Nurullah, 2018)</w:t>
      </w:r>
      <w:r w:rsidRPr="003118F9">
        <w:t>. This</w:t>
      </w:r>
      <w:r w:rsidRPr="00E45C88">
        <w:rPr>
          <w:rFonts w:asciiTheme="minorHAnsi" w:hAnsiTheme="minorHAnsi"/>
          <w:szCs w:val="24"/>
          <w:lang w:val="en"/>
          <w14:ligatures w14:val="none"/>
        </w:rPr>
        <w:t xml:space="preserve"> is particularly useful in small amounts of capital when projects are ranked by value created per pound invested given that capital is limited.</w:t>
      </w:r>
    </w:p>
    <w:p w14:paraId="11A71055" w14:textId="3FB4A04D" w:rsidR="002F37FB" w:rsidRPr="00E45C88" w:rsidRDefault="002F37FB" w:rsidP="002F37FB">
      <w:pPr>
        <w:rPr>
          <w:rFonts w:asciiTheme="minorHAnsi" w:hAnsiTheme="minorHAnsi"/>
          <w:szCs w:val="24"/>
          <w:lang w:val="en"/>
          <w14:ligatures w14:val="none"/>
        </w:rPr>
      </w:pPr>
      <w:r w:rsidRPr="00076111">
        <w:rPr>
          <w:rFonts w:asciiTheme="minorHAnsi" w:hAnsiTheme="minorHAnsi"/>
          <w:b/>
          <w:szCs w:val="24"/>
          <w:lang w:val="en"/>
          <w14:ligatures w14:val="none"/>
        </w:rPr>
        <w:t>Internal Rate of Return (IRR):</w:t>
      </w:r>
      <w:r>
        <w:rPr>
          <w:rFonts w:asciiTheme="minorHAnsi" w:hAnsiTheme="minorHAnsi"/>
          <w:szCs w:val="24"/>
          <w:lang w:val="en"/>
          <w14:ligatures w14:val="none"/>
        </w:rPr>
        <w:t xml:space="preserve"> </w:t>
      </w:r>
      <w:r w:rsidRPr="00E45C88">
        <w:rPr>
          <w:rFonts w:asciiTheme="minorHAnsi" w:hAnsiTheme="minorHAnsi"/>
          <w:szCs w:val="24"/>
          <w:lang w:val="en"/>
          <w14:ligatures w14:val="none"/>
        </w:rPr>
        <w:t xml:space="preserve">The discount rate at which the NPV is zero is called </w:t>
      </w:r>
      <w:r>
        <w:rPr>
          <w:rFonts w:asciiTheme="minorHAnsi" w:hAnsiTheme="minorHAnsi"/>
          <w:szCs w:val="24"/>
          <w:lang w:val="en"/>
          <w14:ligatures w14:val="none"/>
        </w:rPr>
        <w:t>IRR</w:t>
      </w:r>
      <w:r w:rsidRPr="00E45C88">
        <w:rPr>
          <w:rFonts w:asciiTheme="minorHAnsi" w:hAnsiTheme="minorHAnsi"/>
          <w:szCs w:val="24"/>
          <w:lang w:val="en"/>
          <w14:ligatures w14:val="none"/>
        </w:rPr>
        <w:t>. It is an implicit yield of the cash flows of the project. Project A has IRR of approximately 11</w:t>
      </w:r>
      <w:r w:rsidR="00B8415A">
        <w:rPr>
          <w:rFonts w:asciiTheme="minorHAnsi" w:hAnsiTheme="minorHAnsi"/>
          <w:szCs w:val="24"/>
          <w:lang w:val="en"/>
          <w14:ligatures w14:val="none"/>
        </w:rPr>
        <w:t>%</w:t>
      </w:r>
      <w:r w:rsidRPr="00E45C88">
        <w:rPr>
          <w:rFonts w:asciiTheme="minorHAnsi" w:hAnsiTheme="minorHAnsi"/>
          <w:szCs w:val="24"/>
          <w:lang w:val="en"/>
          <w14:ligatures w14:val="none"/>
        </w:rPr>
        <w:t>, barely exceeding the 10</w:t>
      </w:r>
      <w:r w:rsidR="00B8415A">
        <w:rPr>
          <w:rFonts w:asciiTheme="minorHAnsi" w:hAnsiTheme="minorHAnsi"/>
          <w:szCs w:val="24"/>
          <w:lang w:val="en"/>
          <w14:ligatures w14:val="none"/>
        </w:rPr>
        <w:t>%</w:t>
      </w:r>
      <w:r w:rsidRPr="00E45C88">
        <w:rPr>
          <w:rFonts w:asciiTheme="minorHAnsi" w:hAnsiTheme="minorHAnsi"/>
          <w:szCs w:val="24"/>
          <w:lang w:val="en"/>
          <w14:ligatures w14:val="none"/>
        </w:rPr>
        <w:t xml:space="preserve"> hurdle rate</w:t>
      </w:r>
      <w:r w:rsidR="004E55B7">
        <w:rPr>
          <w:rFonts w:asciiTheme="minorHAnsi" w:hAnsiTheme="minorHAnsi"/>
          <w:szCs w:val="24"/>
          <w:lang w:val="en"/>
          <w14:ligatures w14:val="none"/>
        </w:rPr>
        <w:t xml:space="preserve"> (Appendix </w:t>
      </w:r>
      <w:r w:rsidR="004B2AF3">
        <w:rPr>
          <w:rFonts w:asciiTheme="minorHAnsi" w:hAnsiTheme="minorHAnsi"/>
          <w:szCs w:val="24"/>
          <w:lang w:val="en"/>
          <w14:ligatures w14:val="none"/>
        </w:rPr>
        <w:t>10</w:t>
      </w:r>
      <w:r w:rsidR="004E55B7">
        <w:rPr>
          <w:rFonts w:asciiTheme="minorHAnsi" w:hAnsiTheme="minorHAnsi"/>
          <w:szCs w:val="24"/>
          <w:lang w:val="en"/>
          <w14:ligatures w14:val="none"/>
        </w:rPr>
        <w:t>)</w:t>
      </w:r>
      <w:r w:rsidRPr="00E45C88">
        <w:rPr>
          <w:rFonts w:asciiTheme="minorHAnsi" w:hAnsiTheme="minorHAnsi"/>
          <w:szCs w:val="24"/>
          <w:lang w:val="en"/>
          <w14:ligatures w14:val="none"/>
        </w:rPr>
        <w:t>. The IRR of project B is 0, as it is unable to give excess returns. Project C has IRR of approximately 13</w:t>
      </w:r>
      <w:r w:rsidR="00B8415A">
        <w:rPr>
          <w:rFonts w:asciiTheme="minorHAnsi" w:hAnsiTheme="minorHAnsi"/>
          <w:szCs w:val="24"/>
          <w:lang w:val="en"/>
          <w14:ligatures w14:val="none"/>
        </w:rPr>
        <w:t>%</w:t>
      </w:r>
      <w:r w:rsidRPr="00E45C88">
        <w:rPr>
          <w:rFonts w:asciiTheme="minorHAnsi" w:hAnsiTheme="minorHAnsi"/>
          <w:szCs w:val="24"/>
          <w:lang w:val="en"/>
          <w14:ligatures w14:val="none"/>
        </w:rPr>
        <w:t>, where it has the best premium over the cost of capital</w:t>
      </w:r>
      <w:r w:rsidR="003118F9">
        <w:rPr>
          <w:rFonts w:asciiTheme="minorHAnsi" w:hAnsiTheme="minorHAnsi"/>
          <w:szCs w:val="24"/>
          <w:lang w:val="en"/>
          <w14:ligatures w14:val="none"/>
        </w:rPr>
        <w:t xml:space="preserve"> (Baum </w:t>
      </w:r>
      <w:r w:rsidR="003118F9" w:rsidRPr="003118F9">
        <w:rPr>
          <w:rFonts w:asciiTheme="minorHAnsi" w:hAnsiTheme="minorHAnsi"/>
          <w:i/>
          <w:szCs w:val="24"/>
          <w:lang w:val="en"/>
          <w14:ligatures w14:val="none"/>
        </w:rPr>
        <w:t>et al.,</w:t>
      </w:r>
      <w:r w:rsidR="003118F9">
        <w:rPr>
          <w:rFonts w:asciiTheme="minorHAnsi" w:hAnsiTheme="minorHAnsi"/>
          <w:szCs w:val="24"/>
          <w:lang w:val="en"/>
          <w14:ligatures w14:val="none"/>
        </w:rPr>
        <w:t xml:space="preserve"> 2021)</w:t>
      </w:r>
      <w:r w:rsidRPr="00E45C88">
        <w:rPr>
          <w:rFonts w:asciiTheme="minorHAnsi" w:hAnsiTheme="minorHAnsi"/>
          <w:szCs w:val="24"/>
          <w:lang w:val="en"/>
          <w14:ligatures w14:val="none"/>
        </w:rPr>
        <w:t>. In all five approaches, Project C is the first, Project A is showing low value and Project B is destroying value.</w:t>
      </w:r>
    </w:p>
    <w:p w14:paraId="2400E444" w14:textId="60634D28" w:rsidR="009C0ED0" w:rsidRDefault="002F37FB" w:rsidP="002F37FB">
      <w:pPr>
        <w:pStyle w:val="Heading2"/>
      </w:pPr>
      <w:bookmarkStart w:id="37" w:name="_Toc216948153"/>
      <w:r>
        <w:t>4.</w:t>
      </w:r>
      <w:r w:rsidR="009C0ED0">
        <w:t>2 Final Investment Recommendation</w:t>
      </w:r>
      <w:bookmarkEnd w:id="37"/>
      <w:r w:rsidR="009C0ED0">
        <w:t xml:space="preserve"> </w:t>
      </w:r>
    </w:p>
    <w:p w14:paraId="6BD2569F" w14:textId="30356CB9" w:rsidR="002F37FB" w:rsidRPr="00E45C88" w:rsidRDefault="002F37FB" w:rsidP="002F37FB">
      <w:pPr>
        <w:rPr>
          <w:rFonts w:asciiTheme="minorHAnsi" w:hAnsiTheme="minorHAnsi"/>
          <w:szCs w:val="24"/>
          <w:lang w:val="en"/>
          <w14:ligatures w14:val="none"/>
        </w:rPr>
      </w:pPr>
      <w:r w:rsidRPr="00E45C88">
        <w:rPr>
          <w:rFonts w:asciiTheme="minorHAnsi" w:hAnsiTheme="minorHAnsi"/>
          <w:szCs w:val="24"/>
          <w:lang w:val="en"/>
          <w14:ligatures w14:val="none"/>
        </w:rPr>
        <w:t xml:space="preserve">The amount that the firm can invest is not more than </w:t>
      </w:r>
      <w:r w:rsidR="00B8415A">
        <w:rPr>
          <w:rFonts w:cs="Times New Roman"/>
        </w:rPr>
        <w:t>£</w:t>
      </w:r>
      <w:r w:rsidRPr="00E45C88">
        <w:rPr>
          <w:rFonts w:asciiTheme="minorHAnsi" w:hAnsiTheme="minorHAnsi"/>
          <w:szCs w:val="24"/>
          <w:lang w:val="en"/>
          <w14:ligatures w14:val="none"/>
        </w:rPr>
        <w:t xml:space="preserve">60million. Project A needs </w:t>
      </w:r>
      <w:r w:rsidR="00B8415A">
        <w:rPr>
          <w:rFonts w:cs="Times New Roman"/>
        </w:rPr>
        <w:t>£</w:t>
      </w:r>
      <w:r w:rsidRPr="00E45C88">
        <w:rPr>
          <w:rFonts w:asciiTheme="minorHAnsi" w:hAnsiTheme="minorHAnsi"/>
          <w:szCs w:val="24"/>
          <w:lang w:val="en"/>
          <w14:ligatures w14:val="none"/>
        </w:rPr>
        <w:t xml:space="preserve">40m, Project B </w:t>
      </w:r>
      <w:r w:rsidR="00B8415A">
        <w:rPr>
          <w:rFonts w:cs="Times New Roman"/>
        </w:rPr>
        <w:t>£</w:t>
      </w:r>
      <w:r w:rsidRPr="00E45C88">
        <w:rPr>
          <w:rFonts w:asciiTheme="minorHAnsi" w:hAnsiTheme="minorHAnsi"/>
          <w:szCs w:val="24"/>
          <w:lang w:val="en"/>
          <w14:ligatures w14:val="none"/>
        </w:rPr>
        <w:t xml:space="preserve">30m and Project C </w:t>
      </w:r>
      <w:r w:rsidR="00B8415A">
        <w:rPr>
          <w:rFonts w:cs="Times New Roman"/>
        </w:rPr>
        <w:t>£</w:t>
      </w:r>
      <w:r w:rsidRPr="00E45C88">
        <w:rPr>
          <w:rFonts w:asciiTheme="minorHAnsi" w:hAnsiTheme="minorHAnsi"/>
          <w:szCs w:val="24"/>
          <w:lang w:val="en"/>
          <w14:ligatures w14:val="none"/>
        </w:rPr>
        <w:t>50m. Since two combinations are more than the limit (A+B = 70m, B + C = 80m, A + C = 90m), the management will have to select one of the projects.</w:t>
      </w:r>
    </w:p>
    <w:p w14:paraId="7F51F065" w14:textId="396169D4" w:rsidR="002F37FB" w:rsidRPr="00E45C88" w:rsidRDefault="002F37FB" w:rsidP="002F37FB">
      <w:pPr>
        <w:rPr>
          <w:rFonts w:asciiTheme="minorHAnsi" w:hAnsiTheme="minorHAnsi"/>
          <w:szCs w:val="24"/>
          <w:lang w:val="en"/>
          <w14:ligatures w14:val="none"/>
        </w:rPr>
      </w:pPr>
      <w:r w:rsidRPr="00E45C88">
        <w:rPr>
          <w:rFonts w:asciiTheme="minorHAnsi" w:hAnsiTheme="minorHAnsi"/>
          <w:szCs w:val="24"/>
          <w:lang w:val="en"/>
          <w14:ligatures w14:val="none"/>
        </w:rPr>
        <w:t xml:space="preserve">Project B should be eliminated at once. </w:t>
      </w:r>
      <w:r w:rsidR="003B49AD">
        <w:rPr>
          <w:rFonts w:asciiTheme="minorHAnsi" w:hAnsiTheme="minorHAnsi"/>
          <w:szCs w:val="24"/>
          <w:lang w:val="en"/>
          <w14:ligatures w14:val="none"/>
        </w:rPr>
        <w:t>Here, the</w:t>
      </w:r>
      <w:r w:rsidRPr="00E45C88">
        <w:rPr>
          <w:rFonts w:asciiTheme="minorHAnsi" w:hAnsiTheme="minorHAnsi"/>
          <w:szCs w:val="24"/>
          <w:lang w:val="en"/>
          <w14:ligatures w14:val="none"/>
        </w:rPr>
        <w:t xml:space="preserve"> payback is highest, </w:t>
      </w:r>
      <w:r w:rsidR="00B22071">
        <w:rPr>
          <w:rFonts w:asciiTheme="minorHAnsi" w:hAnsiTheme="minorHAnsi"/>
          <w:szCs w:val="24"/>
          <w:lang w:val="en"/>
          <w14:ligatures w14:val="none"/>
        </w:rPr>
        <w:t xml:space="preserve">but </w:t>
      </w:r>
      <w:r w:rsidRPr="00E45C88">
        <w:rPr>
          <w:rFonts w:asciiTheme="minorHAnsi" w:hAnsiTheme="minorHAnsi"/>
          <w:szCs w:val="24"/>
          <w:lang w:val="en"/>
          <w14:ligatures w14:val="none"/>
        </w:rPr>
        <w:t>it will not generate accounting profit</w:t>
      </w:r>
      <w:r w:rsidR="00B22071">
        <w:rPr>
          <w:rFonts w:asciiTheme="minorHAnsi" w:hAnsiTheme="minorHAnsi"/>
          <w:szCs w:val="24"/>
          <w:lang w:val="en"/>
          <w14:ligatures w14:val="none"/>
        </w:rPr>
        <w:t xml:space="preserve"> and also </w:t>
      </w:r>
      <w:r w:rsidRPr="00E45C88">
        <w:rPr>
          <w:rFonts w:asciiTheme="minorHAnsi" w:hAnsiTheme="minorHAnsi"/>
          <w:szCs w:val="24"/>
          <w:lang w:val="en"/>
          <w14:ligatures w14:val="none"/>
        </w:rPr>
        <w:t xml:space="preserve">it has negative NPV and PI and IRR will indicate that it cannot cover the cost of capital. It is not worth investing </w:t>
      </w:r>
      <w:r w:rsidR="00B22071">
        <w:rPr>
          <w:rFonts w:asciiTheme="minorHAnsi" w:hAnsiTheme="minorHAnsi"/>
          <w:szCs w:val="24"/>
          <w:lang w:val="en"/>
          <w14:ligatures w14:val="none"/>
        </w:rPr>
        <w:t xml:space="preserve">with </w:t>
      </w:r>
      <w:r w:rsidRPr="00E45C88">
        <w:rPr>
          <w:rFonts w:asciiTheme="minorHAnsi" w:hAnsiTheme="minorHAnsi"/>
          <w:szCs w:val="24"/>
          <w:lang w:val="en"/>
          <w14:ligatures w14:val="none"/>
        </w:rPr>
        <w:t>limited resources on an activity that will ruin value.</w:t>
      </w:r>
    </w:p>
    <w:p w14:paraId="05803C6B" w14:textId="0563F613" w:rsidR="002F37FB" w:rsidRPr="00E45C88" w:rsidRDefault="002F37FB" w:rsidP="002F37FB">
      <w:r w:rsidRPr="00E45C88">
        <w:rPr>
          <w:rFonts w:asciiTheme="minorHAnsi" w:hAnsiTheme="minorHAnsi"/>
          <w:szCs w:val="24"/>
          <w:lang w:val="en"/>
          <w14:ligatures w14:val="none"/>
        </w:rPr>
        <w:t>The decision is thus concerned with Projects A and C, Project A is a break even after 3.4 years with an ARR of 14</w:t>
      </w:r>
      <w:r w:rsidR="00B8415A">
        <w:rPr>
          <w:rFonts w:asciiTheme="minorHAnsi" w:hAnsiTheme="minorHAnsi"/>
          <w:szCs w:val="24"/>
          <w:lang w:val="en"/>
          <w14:ligatures w14:val="none"/>
        </w:rPr>
        <w:t xml:space="preserve">% </w:t>
      </w:r>
      <w:r w:rsidRPr="00E45C88">
        <w:rPr>
          <w:rFonts w:asciiTheme="minorHAnsi" w:hAnsiTheme="minorHAnsi"/>
          <w:szCs w:val="24"/>
          <w:lang w:val="en"/>
          <w14:ligatures w14:val="none"/>
        </w:rPr>
        <w:t xml:space="preserve">and a small NPV of approximately </w:t>
      </w:r>
      <w:r w:rsidR="00B8415A">
        <w:rPr>
          <w:rFonts w:cs="Times New Roman"/>
        </w:rPr>
        <w:t>£</w:t>
      </w:r>
      <w:r w:rsidRPr="00E45C88">
        <w:rPr>
          <w:rFonts w:asciiTheme="minorHAnsi" w:hAnsiTheme="minorHAnsi"/>
          <w:szCs w:val="24"/>
          <w:lang w:val="en"/>
          <w14:ligatures w14:val="none"/>
        </w:rPr>
        <w:t xml:space="preserve">1.3m. Its PI value of 1.03 and IRR of slightly above the 10% hurdle rate suggests a low value creation. Since it is </w:t>
      </w:r>
      <w:r w:rsidR="00B8415A">
        <w:rPr>
          <w:rFonts w:cs="Times New Roman"/>
        </w:rPr>
        <w:t>£</w:t>
      </w:r>
      <w:r w:rsidRPr="00E45C88">
        <w:rPr>
          <w:rFonts w:asciiTheme="minorHAnsi" w:hAnsiTheme="minorHAnsi"/>
          <w:szCs w:val="24"/>
          <w:lang w:val="en"/>
          <w14:ligatures w14:val="none"/>
        </w:rPr>
        <w:t xml:space="preserve">40m, it would result in </w:t>
      </w:r>
      <w:r w:rsidR="00B8415A">
        <w:rPr>
          <w:rFonts w:cs="Times New Roman"/>
        </w:rPr>
        <w:t>£</w:t>
      </w:r>
      <w:r w:rsidRPr="00E45C88">
        <w:rPr>
          <w:rFonts w:asciiTheme="minorHAnsi" w:hAnsiTheme="minorHAnsi"/>
          <w:szCs w:val="24"/>
          <w:lang w:val="en"/>
          <w14:ligatures w14:val="none"/>
        </w:rPr>
        <w:t>20m that would be idle which can be used to buffer or finance small-scale projects</w:t>
      </w:r>
      <w:r w:rsidR="006D3CBE">
        <w:rPr>
          <w:rFonts w:asciiTheme="minorHAnsi" w:hAnsiTheme="minorHAnsi"/>
          <w:szCs w:val="24"/>
          <w:lang w:val="en"/>
          <w14:ligatures w14:val="none"/>
        </w:rPr>
        <w:t xml:space="preserve"> </w:t>
      </w:r>
      <w:r w:rsidR="006D3CBE" w:rsidRPr="006D3CBE">
        <w:t>(Senthilnathan, 2020)</w:t>
      </w:r>
      <w:r w:rsidRPr="00E45C88">
        <w:rPr>
          <w:rFonts w:asciiTheme="minorHAnsi" w:hAnsiTheme="minorHAnsi"/>
          <w:szCs w:val="24"/>
          <w:lang w:val="en"/>
          <w14:ligatures w14:val="none"/>
        </w:rPr>
        <w:t>. Its contribution to profits and cash flow increment is however, relatively minor and does not provide much reprieve to the downward profitability trend of the company.</w:t>
      </w:r>
    </w:p>
    <w:p w14:paraId="0C7F4A8A" w14:textId="78AEF0CE" w:rsidR="002F37FB" w:rsidRPr="00076111" w:rsidRDefault="002F37FB" w:rsidP="002F37FB">
      <w:pPr>
        <w:rPr>
          <w:rFonts w:eastAsia="Times New Roman" w:cs="Times New Roman"/>
          <w:szCs w:val="24"/>
          <w:lang w:eastAsia="en-GB"/>
          <w14:ligatures w14:val="none"/>
        </w:rPr>
      </w:pPr>
      <w:bookmarkStart w:id="38" w:name="_Hlk216946832"/>
      <w:r w:rsidRPr="00076111">
        <w:rPr>
          <w:rFonts w:eastAsia="Times New Roman" w:cs="Times New Roman"/>
          <w:szCs w:val="24"/>
          <w:lang w:eastAsia="en-GB"/>
          <w14:ligatures w14:val="none"/>
        </w:rPr>
        <w:t xml:space="preserve">Project C shows the best indicators of metrics that count: it produces an NPV of approximately </w:t>
      </w:r>
      <w:r w:rsidR="00B8415A">
        <w:rPr>
          <w:rFonts w:cs="Times New Roman"/>
        </w:rPr>
        <w:t>£</w:t>
      </w:r>
      <w:r w:rsidRPr="00076111">
        <w:rPr>
          <w:rFonts w:eastAsia="Times New Roman" w:cs="Times New Roman"/>
          <w:szCs w:val="24"/>
          <w:lang w:eastAsia="en-GB"/>
          <w14:ligatures w14:val="none"/>
        </w:rPr>
        <w:t>4.2m, PI of approximately 1.09, ARR of 20</w:t>
      </w:r>
      <w:r w:rsidR="00B8415A">
        <w:rPr>
          <w:rFonts w:eastAsia="Times New Roman" w:cs="Times New Roman"/>
          <w:szCs w:val="24"/>
          <w:lang w:eastAsia="en-GB"/>
          <w14:ligatures w14:val="none"/>
        </w:rPr>
        <w:t>%</w:t>
      </w:r>
      <w:r w:rsidRPr="00076111">
        <w:rPr>
          <w:rFonts w:eastAsia="Times New Roman" w:cs="Times New Roman"/>
          <w:szCs w:val="24"/>
          <w:lang w:eastAsia="en-GB"/>
          <w14:ligatures w14:val="none"/>
        </w:rPr>
        <w:t xml:space="preserve"> and IRR of approximately 13</w:t>
      </w:r>
      <w:r w:rsidR="00B8415A">
        <w:rPr>
          <w:rFonts w:eastAsia="Times New Roman" w:cs="Times New Roman"/>
          <w:szCs w:val="24"/>
          <w:lang w:eastAsia="en-GB"/>
          <w14:ligatures w14:val="none"/>
        </w:rPr>
        <w:t>%</w:t>
      </w:r>
      <w:r w:rsidRPr="00076111">
        <w:rPr>
          <w:rFonts w:eastAsia="Times New Roman" w:cs="Times New Roman"/>
          <w:szCs w:val="24"/>
          <w:lang w:eastAsia="en-GB"/>
          <w14:ligatures w14:val="none"/>
        </w:rPr>
        <w:t>. It’s payback (3.6 years) is slightly higher than that of Project A but it is not significant in practice. Even a P</w:t>
      </w:r>
      <w:r w:rsidR="00B8415A">
        <w:rPr>
          <w:rFonts w:cs="Times New Roman"/>
        </w:rPr>
        <w:t>£</w:t>
      </w:r>
      <w:r w:rsidRPr="00076111">
        <w:rPr>
          <w:rFonts w:eastAsia="Times New Roman" w:cs="Times New Roman"/>
          <w:szCs w:val="24"/>
          <w:lang w:eastAsia="en-GB"/>
          <w14:ligatures w14:val="none"/>
        </w:rPr>
        <w:t xml:space="preserve">60m budget of </w:t>
      </w:r>
      <w:r w:rsidR="00B8415A">
        <w:rPr>
          <w:rFonts w:cs="Times New Roman"/>
        </w:rPr>
        <w:t>£</w:t>
      </w:r>
      <w:r w:rsidRPr="00076111">
        <w:rPr>
          <w:rFonts w:eastAsia="Times New Roman" w:cs="Times New Roman"/>
          <w:szCs w:val="24"/>
          <w:lang w:eastAsia="en-GB"/>
          <w14:ligatures w14:val="none"/>
        </w:rPr>
        <w:t xml:space="preserve">50m left a </w:t>
      </w:r>
      <w:r w:rsidR="00B8415A">
        <w:rPr>
          <w:rFonts w:cs="Times New Roman"/>
        </w:rPr>
        <w:t>£</w:t>
      </w:r>
      <w:r w:rsidRPr="00076111">
        <w:rPr>
          <w:rFonts w:eastAsia="Times New Roman" w:cs="Times New Roman"/>
          <w:szCs w:val="24"/>
          <w:lang w:eastAsia="en-GB"/>
          <w14:ligatures w14:val="none"/>
        </w:rPr>
        <w:t xml:space="preserve">10m buffer with a </w:t>
      </w:r>
      <w:r w:rsidR="00B8415A">
        <w:rPr>
          <w:rFonts w:cs="Times New Roman"/>
        </w:rPr>
        <w:t>£</w:t>
      </w:r>
      <w:r w:rsidRPr="00076111">
        <w:rPr>
          <w:rFonts w:eastAsia="Times New Roman" w:cs="Times New Roman"/>
          <w:szCs w:val="24"/>
          <w:lang w:eastAsia="en-GB"/>
          <w14:ligatures w14:val="none"/>
        </w:rPr>
        <w:t>50m initial cost</w:t>
      </w:r>
      <w:r w:rsidR="003118F9">
        <w:rPr>
          <w:rFonts w:eastAsia="Times New Roman" w:cs="Times New Roman"/>
          <w:szCs w:val="24"/>
          <w:lang w:eastAsia="en-GB"/>
          <w14:ligatures w14:val="none"/>
        </w:rPr>
        <w:t xml:space="preserve"> </w:t>
      </w:r>
      <w:r w:rsidR="003118F9" w:rsidRPr="003118F9">
        <w:t>(</w:t>
      </w:r>
      <w:proofErr w:type="spellStart"/>
      <w:r w:rsidR="003118F9" w:rsidRPr="003118F9">
        <w:t>Kengatharan</w:t>
      </w:r>
      <w:proofErr w:type="spellEnd"/>
      <w:r w:rsidR="003118F9" w:rsidRPr="003118F9">
        <w:t xml:space="preserve"> and Nurullah, 2018)</w:t>
      </w:r>
      <w:r w:rsidRPr="00076111">
        <w:rPr>
          <w:rFonts w:eastAsia="Times New Roman" w:cs="Times New Roman"/>
          <w:szCs w:val="24"/>
          <w:lang w:eastAsia="en-GB"/>
          <w14:ligatures w14:val="none"/>
        </w:rPr>
        <w:t>. The more value creation/ pound invested and profitability indicates that Project C would positively affect the earnings and cash generation more significantly.</w:t>
      </w:r>
    </w:p>
    <w:p w14:paraId="0A5B5046" w14:textId="43BF4366" w:rsidR="002F37FB" w:rsidRPr="00076111" w:rsidRDefault="002F37FB" w:rsidP="002F37FB">
      <w:pPr>
        <w:rPr>
          <w:rFonts w:eastAsia="Times New Roman" w:cs="Times New Roman"/>
          <w:szCs w:val="24"/>
          <w:lang w:eastAsia="en-GB"/>
          <w14:ligatures w14:val="none"/>
        </w:rPr>
      </w:pPr>
      <w:r w:rsidRPr="00076111">
        <w:rPr>
          <w:rFonts w:eastAsia="Times New Roman" w:cs="Times New Roman"/>
          <w:szCs w:val="24"/>
          <w:lang w:eastAsia="en-GB"/>
          <w14:ligatures w14:val="none"/>
        </w:rPr>
        <w:lastRenderedPageBreak/>
        <w:t xml:space="preserve">In the case of the rationing of capital, the project with the greatest NPV and PI must be chosen. Project A would result in the loss of over </w:t>
      </w:r>
      <w:r w:rsidR="00B8415A">
        <w:rPr>
          <w:rFonts w:cs="Times New Roman"/>
        </w:rPr>
        <w:t>£</w:t>
      </w:r>
      <w:r w:rsidRPr="00076111">
        <w:rPr>
          <w:rFonts w:eastAsia="Times New Roman" w:cs="Times New Roman"/>
          <w:szCs w:val="24"/>
          <w:lang w:eastAsia="en-GB"/>
          <w14:ligatures w14:val="none"/>
        </w:rPr>
        <w:t xml:space="preserve">2.5m of present value and idle capital since there are no other projects of the same calibre. Project C has a greater payoff which justifies the fact that it is costlier and more volatile. Consequently, the suitable investment would be </w:t>
      </w:r>
      <w:r w:rsidRPr="002F37FB">
        <w:rPr>
          <w:rFonts w:eastAsia="Times New Roman" w:cs="Times New Roman"/>
          <w:b/>
          <w:szCs w:val="24"/>
          <w:lang w:eastAsia="en-GB"/>
          <w14:ligatures w14:val="none"/>
        </w:rPr>
        <w:t>Project C</w:t>
      </w:r>
      <w:r w:rsidRPr="00076111">
        <w:rPr>
          <w:rFonts w:eastAsia="Times New Roman" w:cs="Times New Roman"/>
          <w:szCs w:val="24"/>
          <w:lang w:eastAsia="en-GB"/>
          <w14:ligatures w14:val="none"/>
        </w:rPr>
        <w:t xml:space="preserve"> and </w:t>
      </w:r>
      <w:r w:rsidRPr="007573FB">
        <w:rPr>
          <w:rFonts w:eastAsia="Times New Roman" w:cs="Times New Roman"/>
          <w:b/>
          <w:szCs w:val="24"/>
          <w:lang w:eastAsia="en-GB"/>
          <w14:ligatures w14:val="none"/>
        </w:rPr>
        <w:t xml:space="preserve">Projects A and </w:t>
      </w:r>
      <w:r w:rsidR="007573FB">
        <w:rPr>
          <w:rFonts w:eastAsia="Times New Roman" w:cs="Times New Roman"/>
          <w:b/>
          <w:szCs w:val="24"/>
          <w:lang w:eastAsia="en-GB"/>
          <w14:ligatures w14:val="none"/>
        </w:rPr>
        <w:t>Pro</w:t>
      </w:r>
      <w:r w:rsidR="006B2DE7">
        <w:rPr>
          <w:rFonts w:eastAsia="Times New Roman" w:cs="Times New Roman"/>
          <w:b/>
          <w:szCs w:val="24"/>
          <w:lang w:eastAsia="en-GB"/>
          <w14:ligatures w14:val="none"/>
        </w:rPr>
        <w:t>j</w:t>
      </w:r>
      <w:r w:rsidR="007573FB">
        <w:rPr>
          <w:rFonts w:eastAsia="Times New Roman" w:cs="Times New Roman"/>
          <w:b/>
          <w:szCs w:val="24"/>
          <w:lang w:eastAsia="en-GB"/>
          <w14:ligatures w14:val="none"/>
        </w:rPr>
        <w:t xml:space="preserve">ect </w:t>
      </w:r>
      <w:r w:rsidRPr="007573FB">
        <w:rPr>
          <w:rFonts w:eastAsia="Times New Roman" w:cs="Times New Roman"/>
          <w:b/>
          <w:szCs w:val="24"/>
          <w:lang w:eastAsia="en-GB"/>
          <w14:ligatures w14:val="none"/>
        </w:rPr>
        <w:t>B</w:t>
      </w:r>
      <w:r w:rsidRPr="00076111">
        <w:rPr>
          <w:rFonts w:eastAsia="Times New Roman" w:cs="Times New Roman"/>
          <w:szCs w:val="24"/>
          <w:lang w:eastAsia="en-GB"/>
          <w14:ligatures w14:val="none"/>
        </w:rPr>
        <w:t xml:space="preserve"> should be rejected</w:t>
      </w:r>
      <w:r w:rsidR="003118F9">
        <w:rPr>
          <w:rFonts w:eastAsia="Times New Roman" w:cs="Times New Roman"/>
          <w:szCs w:val="24"/>
          <w:lang w:eastAsia="en-GB"/>
          <w14:ligatures w14:val="none"/>
        </w:rPr>
        <w:t xml:space="preserve"> </w:t>
      </w:r>
      <w:r w:rsidR="003118F9" w:rsidRPr="003118F9">
        <w:t>(Sinaga et al., 2023)</w:t>
      </w:r>
      <w:r w:rsidRPr="00076111">
        <w:rPr>
          <w:rFonts w:eastAsia="Times New Roman" w:cs="Times New Roman"/>
          <w:szCs w:val="24"/>
          <w:lang w:eastAsia="en-GB"/>
          <w14:ligatures w14:val="none"/>
        </w:rPr>
        <w:t>. This option is both efficient with regard to using the budget and will result in the greatest increase in the shareholder value and the positioning of the firm to continue growing more effectively.</w:t>
      </w:r>
    </w:p>
    <w:p w14:paraId="5781CA2A" w14:textId="039BC605" w:rsidR="009C0ED0" w:rsidRDefault="00104BFC" w:rsidP="009C0ED0">
      <w:pPr>
        <w:pStyle w:val="Heading2"/>
      </w:pPr>
      <w:bookmarkStart w:id="39" w:name="_Toc216948154"/>
      <w:r>
        <w:t>4.</w:t>
      </w:r>
      <w:r w:rsidR="009C0ED0">
        <w:t>3 Justification Based on Financial Performance and Risk</w:t>
      </w:r>
      <w:bookmarkEnd w:id="39"/>
      <w:r w:rsidR="009C0ED0">
        <w:t xml:space="preserve"> </w:t>
      </w:r>
    </w:p>
    <w:bookmarkEnd w:id="38"/>
    <w:p w14:paraId="3ACC30CB" w14:textId="053697DC" w:rsidR="00FC499F" w:rsidRPr="00076111" w:rsidRDefault="00FC499F" w:rsidP="00FC499F">
      <w:pPr>
        <w:rPr>
          <w:rFonts w:eastAsia="Times New Roman" w:cs="Times New Roman"/>
          <w:szCs w:val="24"/>
          <w:lang w:eastAsia="en-GB"/>
          <w14:ligatures w14:val="none"/>
        </w:rPr>
      </w:pPr>
      <w:r w:rsidRPr="00076111">
        <w:rPr>
          <w:rFonts w:eastAsia="Times New Roman" w:cs="Times New Roman"/>
          <w:szCs w:val="24"/>
          <w:lang w:eastAsia="en-GB"/>
          <w14:ligatures w14:val="none"/>
        </w:rPr>
        <w:t>In the last five years there is a compression of margins and a downward trend in returns on capital and the interest coverage is weak. Nonetheless, liquidity is also comfortable: the current ratio and quick ratio are more than one, the current flow of operations is positive and current assets are larger than the current liabilities, but the cash conversion cycle has increased</w:t>
      </w:r>
      <w:r w:rsidR="006D3CBE">
        <w:rPr>
          <w:rFonts w:eastAsia="Times New Roman" w:cs="Times New Roman"/>
          <w:szCs w:val="24"/>
          <w:lang w:eastAsia="en-GB"/>
          <w14:ligatures w14:val="none"/>
        </w:rPr>
        <w:t xml:space="preserve"> </w:t>
      </w:r>
      <w:r w:rsidR="006D3CBE" w:rsidRPr="006D3CBE">
        <w:t>(</w:t>
      </w:r>
      <w:proofErr w:type="spellStart"/>
      <w:r w:rsidR="006D3CBE" w:rsidRPr="006D3CBE">
        <w:t>Ofoeda</w:t>
      </w:r>
      <w:proofErr w:type="spellEnd"/>
      <w:r w:rsidR="006D3CBE">
        <w:t xml:space="preserve"> </w:t>
      </w:r>
      <w:r w:rsidR="006D3CBE" w:rsidRPr="006D3CBE">
        <w:rPr>
          <w:i/>
        </w:rPr>
        <w:t>et al.,</w:t>
      </w:r>
      <w:r w:rsidR="006D3CBE">
        <w:t xml:space="preserve"> </w:t>
      </w:r>
      <w:r w:rsidR="006D3CBE" w:rsidRPr="006D3CBE">
        <w:t>2025)</w:t>
      </w:r>
      <w:r w:rsidRPr="00076111">
        <w:rPr>
          <w:rFonts w:eastAsia="Times New Roman" w:cs="Times New Roman"/>
          <w:szCs w:val="24"/>
          <w:lang w:eastAsia="en-GB"/>
          <w14:ligatures w14:val="none"/>
        </w:rPr>
        <w:t>. Here the company requires investments which will enhance the profitability but not over burdening working capital.</w:t>
      </w:r>
    </w:p>
    <w:p w14:paraId="4678A5ED" w14:textId="3D7DC199" w:rsidR="00FC499F" w:rsidRPr="00076111" w:rsidRDefault="00FC499F" w:rsidP="00FC499F">
      <w:pPr>
        <w:rPr>
          <w:rFonts w:eastAsia="Times New Roman" w:cs="Times New Roman"/>
          <w:szCs w:val="24"/>
          <w:lang w:eastAsia="en-GB"/>
          <w14:ligatures w14:val="none"/>
        </w:rPr>
      </w:pPr>
      <w:r w:rsidRPr="00076111">
        <w:rPr>
          <w:rFonts w:eastAsia="Times New Roman" w:cs="Times New Roman"/>
          <w:szCs w:val="24"/>
          <w:lang w:eastAsia="en-GB"/>
          <w14:ligatures w14:val="none"/>
        </w:rPr>
        <w:t>Project C aims to satisfy these requirements as compared to Project A. Its superior NPV and ARR imply that it will have a greater role in overturning the diminishing margins, and its cash flow pattern of larger inflows in the latter years with smaller inflows in the initial years will suit the capability of the company to accommodate initial expenditures and also the envision of a significant increase of the margins in the later years</w:t>
      </w:r>
      <w:r w:rsidR="006D3CBE">
        <w:rPr>
          <w:rFonts w:eastAsia="Times New Roman" w:cs="Times New Roman"/>
          <w:szCs w:val="24"/>
          <w:lang w:eastAsia="en-GB"/>
          <w14:ligatures w14:val="none"/>
        </w:rPr>
        <w:t xml:space="preserve"> </w:t>
      </w:r>
      <w:r w:rsidR="006D3CBE" w:rsidRPr="006D3CBE">
        <w:t>(Senthilnathan, 2020)</w:t>
      </w:r>
      <w:r w:rsidRPr="00076111">
        <w:rPr>
          <w:rFonts w:eastAsia="Times New Roman" w:cs="Times New Roman"/>
          <w:szCs w:val="24"/>
          <w:lang w:eastAsia="en-GB"/>
          <w14:ligatures w14:val="none"/>
        </w:rPr>
        <w:t>. In comparison, the smaller inflows of Project A would have minimal impact on profitability on the needle.</w:t>
      </w:r>
    </w:p>
    <w:p w14:paraId="1D824832" w14:textId="77777777" w:rsidR="00FC499F" w:rsidRPr="00076111" w:rsidRDefault="00FC499F" w:rsidP="00FC499F">
      <w:pPr>
        <w:rPr>
          <w:rFonts w:eastAsia="Times New Roman" w:cs="Times New Roman"/>
          <w:szCs w:val="24"/>
          <w:lang w:eastAsia="en-GB"/>
          <w14:ligatures w14:val="none"/>
        </w:rPr>
      </w:pPr>
      <w:r w:rsidRPr="00076111">
        <w:rPr>
          <w:rFonts w:eastAsia="Times New Roman" w:cs="Times New Roman"/>
          <w:szCs w:val="24"/>
          <w:lang w:eastAsia="en-GB"/>
          <w14:ligatures w14:val="none"/>
        </w:rPr>
        <w:t>Project C is also favourable in terms of risk considerations. Though the annual inflows of the company fluctuate compared to the Project A, the company has a strong liquidity and access to credit lines that cushions against timing changes, and the payback period is just several months longer than that of the Project A. Volatility can be proactively controlled with wise cash flow forecasting and contingency reserve and ought not to compromise solvency.</w:t>
      </w:r>
    </w:p>
    <w:p w14:paraId="2A186A80" w14:textId="64AB1143" w:rsidR="00FC499F" w:rsidRPr="00076111" w:rsidRDefault="00FC499F" w:rsidP="00FC499F">
      <w:pPr>
        <w:rPr>
          <w:rFonts w:eastAsia="Times New Roman" w:cs="Times New Roman"/>
          <w:szCs w:val="24"/>
          <w:lang w:eastAsia="en-GB"/>
          <w14:ligatures w14:val="none"/>
        </w:rPr>
      </w:pPr>
      <w:r w:rsidRPr="00076111">
        <w:rPr>
          <w:rFonts w:eastAsia="Times New Roman" w:cs="Times New Roman"/>
          <w:szCs w:val="24"/>
          <w:lang w:eastAsia="en-GB"/>
          <w14:ligatures w14:val="none"/>
        </w:rPr>
        <w:t>Project C provides a superior growth platform just in terms of strategy. Its size and increased returns have the potential to expand new markets, or create economies of scale, and Project A is merely an incremental improvement that is unlikely to alter the direction of the company. Restructuring to a conservative project at the time when the financial performance is already strained is a risk of entrenching mediocre performance</w:t>
      </w:r>
      <w:r w:rsidR="006D3CBE">
        <w:rPr>
          <w:rFonts w:eastAsia="Times New Roman" w:cs="Times New Roman"/>
          <w:szCs w:val="24"/>
          <w:lang w:eastAsia="en-GB"/>
          <w14:ligatures w14:val="none"/>
        </w:rPr>
        <w:t xml:space="preserve"> </w:t>
      </w:r>
      <w:r w:rsidR="006D3CBE" w:rsidRPr="003118F9">
        <w:t>(Sinaga et al., 2023)</w:t>
      </w:r>
      <w:r w:rsidRPr="00076111">
        <w:rPr>
          <w:rFonts w:eastAsia="Times New Roman" w:cs="Times New Roman"/>
          <w:szCs w:val="24"/>
          <w:lang w:eastAsia="en-GB"/>
          <w14:ligatures w14:val="none"/>
        </w:rPr>
        <w:t xml:space="preserve">. The selection of </w:t>
      </w:r>
      <w:r w:rsidRPr="00076111">
        <w:rPr>
          <w:rFonts w:eastAsia="Times New Roman" w:cs="Times New Roman"/>
          <w:szCs w:val="24"/>
          <w:lang w:eastAsia="en-GB"/>
          <w14:ligatures w14:val="none"/>
        </w:rPr>
        <w:lastRenderedPageBreak/>
        <w:t>Project C, therefore, would best fit the two goals, which are to reclaim profitability and continue to grow within the capital limit.</w:t>
      </w:r>
    </w:p>
    <w:p w14:paraId="05BA7D28" w14:textId="03EC357E" w:rsidR="00FC499F" w:rsidRPr="00076111" w:rsidRDefault="00FC499F" w:rsidP="00FC499F">
      <w:r w:rsidRPr="00076111">
        <w:rPr>
          <w:rFonts w:eastAsia="Times New Roman" w:cs="Times New Roman"/>
          <w:szCs w:val="24"/>
          <w:lang w:eastAsia="en-GB"/>
          <w14:ligatures w14:val="none"/>
        </w:rPr>
        <w:t>In addition, the investment would facilitate the working capital improvement as it will generate the future cash flow which can be used to reduce inventories and receivables and this will reduce the cash conversion cycle. The Altman Z score and debt equity balance should also be improved by the increased profitability, which will increase creditworthiness. Proactive attitude will send a message to shareholders and creditors that management is dealing with the root cause of the low financial performance and is determin</w:t>
      </w:r>
      <w:r w:rsidRPr="006D3CBE">
        <w:t>ed to put the firm back on the right track to grow</w:t>
      </w:r>
      <w:r w:rsidR="006D3CBE" w:rsidRPr="006D3CBE">
        <w:t xml:space="preserve"> (</w:t>
      </w:r>
      <w:proofErr w:type="spellStart"/>
      <w:r w:rsidR="006D3CBE" w:rsidRPr="006D3CBE">
        <w:t>Ofoeda</w:t>
      </w:r>
      <w:proofErr w:type="spellEnd"/>
      <w:r w:rsidR="006D3CBE">
        <w:t xml:space="preserve"> </w:t>
      </w:r>
      <w:r w:rsidR="006D3CBE" w:rsidRPr="006D3CBE">
        <w:rPr>
          <w:i/>
        </w:rPr>
        <w:t>et al.,</w:t>
      </w:r>
      <w:r w:rsidR="006D3CBE">
        <w:t xml:space="preserve"> </w:t>
      </w:r>
      <w:r w:rsidR="006D3CBE" w:rsidRPr="006D3CBE">
        <w:t>2025)</w:t>
      </w:r>
      <w:r w:rsidRPr="00076111">
        <w:rPr>
          <w:rFonts w:eastAsia="Times New Roman" w:cs="Times New Roman"/>
          <w:szCs w:val="24"/>
          <w:lang w:eastAsia="en-GB"/>
          <w14:ligatures w14:val="none"/>
        </w:rPr>
        <w:t>. Other strategic investments would also provide a headroom to future projects through the creation of larger earnings base as well as improvement of the capacity of the firm to finance growth internally.</w:t>
      </w:r>
    </w:p>
    <w:p w14:paraId="4B56A338" w14:textId="1153DAD1" w:rsidR="009C0ED0" w:rsidRDefault="009C0ED0" w:rsidP="009C0ED0"/>
    <w:p w14:paraId="4C6F8CCF" w14:textId="77777777" w:rsidR="006D466A" w:rsidRDefault="006D466A">
      <w:pPr>
        <w:spacing w:after="200" w:line="276" w:lineRule="auto"/>
        <w:jc w:val="left"/>
        <w:rPr>
          <w:rFonts w:asciiTheme="minorHAnsi" w:eastAsiaTheme="majorEastAsia" w:hAnsiTheme="minorHAnsi" w:cstheme="majorBidi"/>
          <w:b/>
          <w:sz w:val="32"/>
          <w:szCs w:val="32"/>
        </w:rPr>
      </w:pPr>
      <w:r>
        <w:br w:type="page"/>
      </w:r>
    </w:p>
    <w:p w14:paraId="58FE3467" w14:textId="1A6C81E8" w:rsidR="00D16F09" w:rsidRDefault="00D16F09" w:rsidP="00D16F09">
      <w:pPr>
        <w:pStyle w:val="Heading1"/>
      </w:pPr>
      <w:bookmarkStart w:id="40" w:name="_Toc216948155"/>
      <w:r>
        <w:lastRenderedPageBreak/>
        <w:t>References</w:t>
      </w:r>
      <w:bookmarkEnd w:id="40"/>
      <w:r>
        <w:t xml:space="preserve"> </w:t>
      </w:r>
    </w:p>
    <w:p w14:paraId="781C88B3" w14:textId="77777777" w:rsidR="00B73BD1" w:rsidRPr="00B73BD1" w:rsidRDefault="00B73BD1" w:rsidP="005B4694">
      <w:pPr>
        <w:spacing w:after="0"/>
        <w:rPr>
          <w:rFonts w:asciiTheme="minorHAnsi" w:eastAsia="Times New Roman" w:hAnsiTheme="minorHAnsi" w:cstheme="minorHAnsi"/>
          <w:szCs w:val="24"/>
          <w:lang w:eastAsia="en-GB"/>
          <w14:ligatures w14:val="none"/>
        </w:rPr>
      </w:pPr>
      <w:r w:rsidRPr="00B73BD1">
        <w:rPr>
          <w:rFonts w:asciiTheme="minorHAnsi" w:eastAsia="Times New Roman" w:hAnsiTheme="minorHAnsi" w:cstheme="minorHAnsi"/>
          <w:szCs w:val="24"/>
          <w:lang w:eastAsia="en-GB"/>
          <w14:ligatures w14:val="none"/>
        </w:rPr>
        <w:t>Aguilar, B., Jain, A. and Neaves, K. (2019) </w:t>
      </w:r>
      <w:r w:rsidRPr="00B73BD1">
        <w:rPr>
          <w:rFonts w:asciiTheme="minorHAnsi" w:eastAsia="Times New Roman" w:hAnsiTheme="minorHAnsi" w:cstheme="minorHAnsi"/>
          <w:i/>
          <w:iCs/>
          <w:szCs w:val="24"/>
          <w:lang w:eastAsia="en-GB"/>
          <w14:ligatures w14:val="none"/>
        </w:rPr>
        <w:t>Short-Term Funding and Financing Alternatives. Debt Markets and Investments</w:t>
      </w:r>
      <w:r w:rsidRPr="00B73BD1">
        <w:rPr>
          <w:rFonts w:asciiTheme="minorHAnsi" w:eastAsia="Times New Roman" w:hAnsiTheme="minorHAnsi" w:cstheme="minorHAnsi"/>
          <w:szCs w:val="24"/>
          <w:lang w:eastAsia="en-GB"/>
          <w14:ligatures w14:val="none"/>
        </w:rPr>
        <w:t>.</w:t>
      </w:r>
    </w:p>
    <w:p w14:paraId="79B5250C" w14:textId="77777777" w:rsidR="00B73BD1" w:rsidRPr="00B73BD1" w:rsidRDefault="00B73BD1" w:rsidP="005B4694">
      <w:pPr>
        <w:spacing w:after="0"/>
        <w:rPr>
          <w:rFonts w:asciiTheme="minorHAnsi" w:eastAsia="Times New Roman" w:hAnsiTheme="minorHAnsi" w:cstheme="minorHAnsi"/>
          <w:szCs w:val="24"/>
          <w:lang w:eastAsia="en-GB"/>
          <w14:ligatures w14:val="none"/>
        </w:rPr>
      </w:pPr>
      <w:r w:rsidRPr="00B73BD1">
        <w:rPr>
          <w:rFonts w:asciiTheme="minorHAnsi" w:eastAsia="Times New Roman" w:hAnsiTheme="minorHAnsi" w:cstheme="minorHAnsi"/>
          <w:szCs w:val="24"/>
          <w:lang w:eastAsia="en-GB"/>
          <w14:ligatures w14:val="none"/>
        </w:rPr>
        <w:t>Ahkam, S.N. and Alom, K. (2019) “Liquidity, Level of Working Capital Investment, and Performance in an Emerging Economy,” </w:t>
      </w:r>
      <w:r w:rsidRPr="00B73BD1">
        <w:rPr>
          <w:rFonts w:asciiTheme="minorHAnsi" w:eastAsia="Times New Roman" w:hAnsiTheme="minorHAnsi" w:cstheme="minorHAnsi"/>
          <w:i/>
          <w:iCs/>
          <w:szCs w:val="24"/>
          <w:lang w:eastAsia="en-GB"/>
          <w14:ligatures w14:val="none"/>
        </w:rPr>
        <w:t>International Journal of Business &amp; Economics</w:t>
      </w:r>
      <w:r w:rsidRPr="00B73BD1">
        <w:rPr>
          <w:rFonts w:asciiTheme="minorHAnsi" w:eastAsia="Times New Roman" w:hAnsiTheme="minorHAnsi" w:cstheme="minorHAnsi"/>
          <w:szCs w:val="24"/>
          <w:lang w:eastAsia="en-GB"/>
          <w14:ligatures w14:val="none"/>
        </w:rPr>
        <w:t>, 18(3).</w:t>
      </w:r>
    </w:p>
    <w:p w14:paraId="355B3E76" w14:textId="77777777" w:rsidR="00B73BD1" w:rsidRPr="00B73BD1" w:rsidRDefault="00B73BD1" w:rsidP="005B4694">
      <w:pPr>
        <w:spacing w:after="0"/>
        <w:rPr>
          <w:rFonts w:asciiTheme="minorHAnsi" w:eastAsia="Times New Roman" w:hAnsiTheme="minorHAnsi" w:cstheme="minorHAnsi"/>
          <w:szCs w:val="24"/>
          <w:lang w:eastAsia="en-GB"/>
          <w14:ligatures w14:val="none"/>
        </w:rPr>
      </w:pPr>
      <w:r w:rsidRPr="00B73BD1">
        <w:rPr>
          <w:rFonts w:asciiTheme="minorHAnsi" w:eastAsia="Times New Roman" w:hAnsiTheme="minorHAnsi" w:cstheme="minorHAnsi"/>
          <w:szCs w:val="24"/>
          <w:lang w:eastAsia="en-GB"/>
          <w14:ligatures w14:val="none"/>
        </w:rPr>
        <w:t>Altman, E.I. (2018) “A fifty-year retrospective on credit risk models, the Altman Z-score family of models and their applications to financial markets and managerial strategies,” </w:t>
      </w:r>
      <w:r w:rsidRPr="00B73BD1">
        <w:rPr>
          <w:rFonts w:asciiTheme="minorHAnsi" w:eastAsia="Times New Roman" w:hAnsiTheme="minorHAnsi" w:cstheme="minorHAnsi"/>
          <w:i/>
          <w:iCs/>
          <w:szCs w:val="24"/>
          <w:lang w:eastAsia="en-GB"/>
          <w14:ligatures w14:val="none"/>
        </w:rPr>
        <w:t>Journal of Credit Risk</w:t>
      </w:r>
      <w:r w:rsidRPr="00B73BD1">
        <w:rPr>
          <w:rFonts w:asciiTheme="minorHAnsi" w:eastAsia="Times New Roman" w:hAnsiTheme="minorHAnsi" w:cstheme="minorHAnsi"/>
          <w:szCs w:val="24"/>
          <w:lang w:eastAsia="en-GB"/>
          <w14:ligatures w14:val="none"/>
        </w:rPr>
        <w:t>, 14(4).</w:t>
      </w:r>
    </w:p>
    <w:p w14:paraId="08780D83" w14:textId="77777777" w:rsidR="00B73BD1" w:rsidRPr="00B73BD1" w:rsidRDefault="00B73BD1" w:rsidP="005B4694">
      <w:pPr>
        <w:spacing w:after="0"/>
        <w:rPr>
          <w:rFonts w:asciiTheme="minorHAnsi" w:eastAsia="Times New Roman" w:hAnsiTheme="minorHAnsi" w:cstheme="minorHAnsi"/>
          <w:szCs w:val="24"/>
          <w:lang w:eastAsia="en-GB"/>
          <w14:ligatures w14:val="none"/>
        </w:rPr>
      </w:pPr>
      <w:r w:rsidRPr="00B73BD1">
        <w:rPr>
          <w:rFonts w:asciiTheme="minorHAnsi" w:eastAsia="Times New Roman" w:hAnsiTheme="minorHAnsi" w:cstheme="minorHAnsi"/>
          <w:szCs w:val="24"/>
          <w:lang w:eastAsia="en-GB"/>
          <w14:ligatures w14:val="none"/>
        </w:rPr>
        <w:t>Altman, E.I., Hotchkiss, E. and Wang, W. (2019) </w:t>
      </w:r>
      <w:r w:rsidRPr="00B73BD1">
        <w:rPr>
          <w:rFonts w:asciiTheme="minorHAnsi" w:eastAsia="Times New Roman" w:hAnsiTheme="minorHAnsi" w:cstheme="minorHAnsi"/>
          <w:i/>
          <w:iCs/>
          <w:szCs w:val="24"/>
          <w:lang w:eastAsia="en-GB"/>
          <w14:ligatures w14:val="none"/>
        </w:rPr>
        <w:t xml:space="preserve">Corporate financial distress, restructuring, and bankruptcy: </w:t>
      </w:r>
      <w:proofErr w:type="spellStart"/>
      <w:r w:rsidRPr="00B73BD1">
        <w:rPr>
          <w:rFonts w:asciiTheme="minorHAnsi" w:eastAsia="Times New Roman" w:hAnsiTheme="minorHAnsi" w:cstheme="minorHAnsi"/>
          <w:i/>
          <w:iCs/>
          <w:szCs w:val="24"/>
          <w:lang w:eastAsia="en-GB"/>
          <w14:ligatures w14:val="none"/>
        </w:rPr>
        <w:t>analyze</w:t>
      </w:r>
      <w:proofErr w:type="spellEnd"/>
      <w:r w:rsidRPr="00B73BD1">
        <w:rPr>
          <w:rFonts w:asciiTheme="minorHAnsi" w:eastAsia="Times New Roman" w:hAnsiTheme="minorHAnsi" w:cstheme="minorHAnsi"/>
          <w:i/>
          <w:iCs/>
          <w:szCs w:val="24"/>
          <w:lang w:eastAsia="en-GB"/>
          <w14:ligatures w14:val="none"/>
        </w:rPr>
        <w:t xml:space="preserve"> leveraged finance, distressed debt, and bankruptcy</w:t>
      </w:r>
      <w:r w:rsidRPr="00B73BD1">
        <w:rPr>
          <w:rFonts w:asciiTheme="minorHAnsi" w:eastAsia="Times New Roman" w:hAnsiTheme="minorHAnsi" w:cstheme="minorHAnsi"/>
          <w:szCs w:val="24"/>
          <w:lang w:eastAsia="en-GB"/>
          <w14:ligatures w14:val="none"/>
        </w:rPr>
        <w:t>. John Wiley &amp; Sons.</w:t>
      </w:r>
    </w:p>
    <w:p w14:paraId="00AB0980" w14:textId="77777777" w:rsidR="00B73BD1" w:rsidRPr="00B73BD1" w:rsidRDefault="00B73BD1" w:rsidP="005B4694">
      <w:pPr>
        <w:spacing w:after="0"/>
        <w:rPr>
          <w:rFonts w:asciiTheme="minorHAnsi" w:eastAsia="Times New Roman" w:hAnsiTheme="minorHAnsi" w:cstheme="minorHAnsi"/>
          <w:szCs w:val="24"/>
          <w:lang w:eastAsia="en-GB"/>
          <w14:ligatures w14:val="none"/>
        </w:rPr>
      </w:pPr>
      <w:r w:rsidRPr="00B73BD1">
        <w:rPr>
          <w:rFonts w:asciiTheme="minorHAnsi" w:eastAsia="Times New Roman" w:hAnsiTheme="minorHAnsi" w:cstheme="minorHAnsi"/>
          <w:szCs w:val="24"/>
          <w:lang w:eastAsia="en-GB"/>
          <w14:ligatures w14:val="none"/>
        </w:rPr>
        <w:t>Baum, A.E., Crosby, N. and Devaney, S. (2021) </w:t>
      </w:r>
      <w:r w:rsidRPr="00B73BD1">
        <w:rPr>
          <w:rFonts w:asciiTheme="minorHAnsi" w:eastAsia="Times New Roman" w:hAnsiTheme="minorHAnsi" w:cstheme="minorHAnsi"/>
          <w:i/>
          <w:iCs/>
          <w:szCs w:val="24"/>
          <w:lang w:eastAsia="en-GB"/>
          <w14:ligatures w14:val="none"/>
        </w:rPr>
        <w:t>Property investment appraisal</w:t>
      </w:r>
      <w:r w:rsidRPr="00B73BD1">
        <w:rPr>
          <w:rFonts w:asciiTheme="minorHAnsi" w:eastAsia="Times New Roman" w:hAnsiTheme="minorHAnsi" w:cstheme="minorHAnsi"/>
          <w:szCs w:val="24"/>
          <w:lang w:eastAsia="en-GB"/>
          <w14:ligatures w14:val="none"/>
        </w:rPr>
        <w:t>. John Wiley &amp; Sons.</w:t>
      </w:r>
    </w:p>
    <w:p w14:paraId="3C981BBD" w14:textId="77777777" w:rsidR="00B73BD1" w:rsidRPr="00B73BD1" w:rsidRDefault="00B73BD1" w:rsidP="005B4694">
      <w:pPr>
        <w:spacing w:after="0"/>
        <w:rPr>
          <w:rFonts w:asciiTheme="minorHAnsi" w:eastAsia="Times New Roman" w:hAnsiTheme="minorHAnsi" w:cstheme="minorHAnsi"/>
          <w:szCs w:val="24"/>
          <w:lang w:eastAsia="en-GB"/>
          <w14:ligatures w14:val="none"/>
        </w:rPr>
      </w:pPr>
      <w:proofErr w:type="spellStart"/>
      <w:r w:rsidRPr="00B73BD1">
        <w:rPr>
          <w:rFonts w:asciiTheme="minorHAnsi" w:eastAsia="Times New Roman" w:hAnsiTheme="minorHAnsi" w:cstheme="minorHAnsi"/>
          <w:szCs w:val="24"/>
          <w:lang w:eastAsia="en-GB"/>
          <w14:ligatures w14:val="none"/>
        </w:rPr>
        <w:t>Boitan</w:t>
      </w:r>
      <w:proofErr w:type="spellEnd"/>
      <w:r w:rsidRPr="00B73BD1">
        <w:rPr>
          <w:rFonts w:asciiTheme="minorHAnsi" w:eastAsia="Times New Roman" w:hAnsiTheme="minorHAnsi" w:cstheme="minorHAnsi"/>
          <w:szCs w:val="24"/>
          <w:lang w:eastAsia="en-GB"/>
          <w14:ligatures w14:val="none"/>
        </w:rPr>
        <w:t>, I.A. (2018) “Peer analysis of European large banks</w:t>
      </w:r>
      <w:r w:rsidRPr="00B73BD1">
        <w:rPr>
          <w:rFonts w:ascii="Tahoma" w:eastAsia="Times New Roman" w:hAnsi="Tahoma" w:cs="Tahoma"/>
          <w:szCs w:val="24"/>
          <w:lang w:eastAsia="en-GB"/>
          <w14:ligatures w14:val="none"/>
        </w:rPr>
        <w:t>�</w:t>
      </w:r>
      <w:r w:rsidRPr="00B73BD1">
        <w:rPr>
          <w:rFonts w:asciiTheme="minorHAnsi" w:eastAsia="Times New Roman" w:hAnsiTheme="minorHAnsi" w:cstheme="minorHAnsi"/>
          <w:szCs w:val="24"/>
          <w:lang w:eastAsia="en-GB"/>
          <w14:ligatures w14:val="none"/>
        </w:rPr>
        <w:t xml:space="preserve"> key financial ratios,</w:t>
      </w:r>
      <w:r w:rsidRPr="00B73BD1">
        <w:rPr>
          <w:rFonts w:eastAsia="Times New Roman" w:cs="Times New Roman"/>
          <w:szCs w:val="24"/>
          <w:lang w:eastAsia="en-GB"/>
          <w14:ligatures w14:val="none"/>
        </w:rPr>
        <w:t>”</w:t>
      </w:r>
      <w:r w:rsidRPr="00B73BD1">
        <w:rPr>
          <w:rFonts w:asciiTheme="minorHAnsi" w:eastAsia="Times New Roman" w:hAnsiTheme="minorHAnsi" w:cstheme="minorHAnsi"/>
          <w:szCs w:val="24"/>
          <w:lang w:eastAsia="en-GB"/>
          <w14:ligatures w14:val="none"/>
        </w:rPr>
        <w:t xml:space="preserve"> in</w:t>
      </w:r>
      <w:r w:rsidRPr="00B73BD1">
        <w:rPr>
          <w:rFonts w:eastAsia="Times New Roman" w:cs="Times New Roman"/>
          <w:szCs w:val="24"/>
          <w:lang w:eastAsia="en-GB"/>
          <w14:ligatures w14:val="none"/>
        </w:rPr>
        <w:t> </w:t>
      </w:r>
      <w:r w:rsidRPr="00B73BD1">
        <w:rPr>
          <w:rFonts w:asciiTheme="minorHAnsi" w:eastAsia="Times New Roman" w:hAnsiTheme="minorHAnsi" w:cstheme="minorHAnsi"/>
          <w:i/>
          <w:iCs/>
          <w:szCs w:val="24"/>
          <w:lang w:eastAsia="en-GB"/>
          <w14:ligatures w14:val="none"/>
        </w:rPr>
        <w:t>5th International Multidisciplinary Scientific Conferences on SOCIAL SCIENCES and ARTS SGEM2018, Modern Science</w:t>
      </w:r>
      <w:r w:rsidRPr="00B73BD1">
        <w:rPr>
          <w:rFonts w:asciiTheme="minorHAnsi" w:eastAsia="Times New Roman" w:hAnsiTheme="minorHAnsi" w:cstheme="minorHAnsi"/>
          <w:szCs w:val="24"/>
          <w:lang w:eastAsia="en-GB"/>
          <w14:ligatures w14:val="none"/>
        </w:rPr>
        <w:t>. STEF92 Technology.</w:t>
      </w:r>
    </w:p>
    <w:p w14:paraId="326CE9E5" w14:textId="77777777" w:rsidR="00B73BD1" w:rsidRPr="00B73BD1" w:rsidRDefault="00B73BD1" w:rsidP="005B4694">
      <w:pPr>
        <w:spacing w:after="0"/>
        <w:rPr>
          <w:rFonts w:asciiTheme="minorHAnsi" w:eastAsia="Times New Roman" w:hAnsiTheme="minorHAnsi" w:cstheme="minorHAnsi"/>
          <w:szCs w:val="24"/>
          <w:lang w:eastAsia="en-GB"/>
          <w14:ligatures w14:val="none"/>
        </w:rPr>
      </w:pPr>
      <w:r w:rsidRPr="00B73BD1">
        <w:rPr>
          <w:rFonts w:asciiTheme="minorHAnsi" w:eastAsia="Times New Roman" w:hAnsiTheme="minorHAnsi" w:cstheme="minorHAnsi"/>
          <w:szCs w:val="24"/>
          <w:lang w:eastAsia="en-GB"/>
          <w14:ligatures w14:val="none"/>
        </w:rPr>
        <w:t xml:space="preserve">Gandhi, J. and </w:t>
      </w:r>
      <w:proofErr w:type="spellStart"/>
      <w:r w:rsidRPr="00B73BD1">
        <w:rPr>
          <w:rFonts w:asciiTheme="minorHAnsi" w:eastAsia="Times New Roman" w:hAnsiTheme="minorHAnsi" w:cstheme="minorHAnsi"/>
          <w:szCs w:val="24"/>
          <w:lang w:eastAsia="en-GB"/>
          <w14:ligatures w14:val="none"/>
        </w:rPr>
        <w:t>Nasit</w:t>
      </w:r>
      <w:proofErr w:type="spellEnd"/>
      <w:r w:rsidRPr="00B73BD1">
        <w:rPr>
          <w:rFonts w:asciiTheme="minorHAnsi" w:eastAsia="Times New Roman" w:hAnsiTheme="minorHAnsi" w:cstheme="minorHAnsi"/>
          <w:szCs w:val="24"/>
          <w:lang w:eastAsia="en-GB"/>
          <w14:ligatures w14:val="none"/>
        </w:rPr>
        <w:t>, A. (2022) “Comparison of short-term financing options; factoring as the best alternative,” in </w:t>
      </w:r>
      <w:r w:rsidRPr="00B73BD1">
        <w:rPr>
          <w:rFonts w:asciiTheme="minorHAnsi" w:eastAsia="Times New Roman" w:hAnsiTheme="minorHAnsi" w:cstheme="minorHAnsi"/>
          <w:i/>
          <w:iCs/>
          <w:szCs w:val="24"/>
          <w:lang w:eastAsia="en-GB"/>
          <w14:ligatures w14:val="none"/>
        </w:rPr>
        <w:t>International Research Conference on Innovations, Startup and Investments</w:t>
      </w:r>
      <w:r w:rsidRPr="00B73BD1">
        <w:rPr>
          <w:rFonts w:asciiTheme="minorHAnsi" w:eastAsia="Times New Roman" w:hAnsiTheme="minorHAnsi" w:cstheme="minorHAnsi"/>
          <w:szCs w:val="24"/>
          <w:lang w:eastAsia="en-GB"/>
          <w14:ligatures w14:val="none"/>
        </w:rPr>
        <w:t>, pp. 127–141.</w:t>
      </w:r>
    </w:p>
    <w:p w14:paraId="1755B908" w14:textId="77777777" w:rsidR="00B73BD1" w:rsidRPr="00B73BD1" w:rsidRDefault="00B73BD1" w:rsidP="005B4694">
      <w:pPr>
        <w:spacing w:after="0"/>
        <w:rPr>
          <w:rFonts w:asciiTheme="minorHAnsi" w:eastAsia="Times New Roman" w:hAnsiTheme="minorHAnsi" w:cstheme="minorHAnsi"/>
          <w:szCs w:val="24"/>
          <w:lang w:eastAsia="en-GB"/>
          <w14:ligatures w14:val="none"/>
        </w:rPr>
      </w:pPr>
      <w:r w:rsidRPr="00B73BD1">
        <w:rPr>
          <w:rFonts w:asciiTheme="minorHAnsi" w:eastAsia="Times New Roman" w:hAnsiTheme="minorHAnsi" w:cstheme="minorHAnsi"/>
          <w:szCs w:val="24"/>
          <w:lang w:eastAsia="en-GB"/>
          <w14:ligatures w14:val="none"/>
        </w:rPr>
        <w:t>Hasanaj, P. and Kuqi, B. (2019) “Analysis of Financial Statements,” </w:t>
      </w:r>
      <w:r w:rsidRPr="00B73BD1">
        <w:rPr>
          <w:rFonts w:asciiTheme="minorHAnsi" w:eastAsia="Times New Roman" w:hAnsiTheme="minorHAnsi" w:cstheme="minorHAnsi"/>
          <w:i/>
          <w:iCs/>
          <w:szCs w:val="24"/>
          <w:lang w:eastAsia="en-GB"/>
          <w14:ligatures w14:val="none"/>
        </w:rPr>
        <w:t>Humanities and Social Science Research</w:t>
      </w:r>
      <w:r w:rsidRPr="00B73BD1">
        <w:rPr>
          <w:rFonts w:asciiTheme="minorHAnsi" w:eastAsia="Times New Roman" w:hAnsiTheme="minorHAnsi" w:cstheme="minorHAnsi"/>
          <w:szCs w:val="24"/>
          <w:lang w:eastAsia="en-GB"/>
          <w14:ligatures w14:val="none"/>
        </w:rPr>
        <w:t>, 2(2), p. 17. Available at: https://doi.org/10.30560/hssr.v2n2p17.</w:t>
      </w:r>
    </w:p>
    <w:p w14:paraId="4EA81C48" w14:textId="77777777" w:rsidR="00B73BD1" w:rsidRPr="00B73BD1" w:rsidRDefault="00B73BD1" w:rsidP="005B4694">
      <w:pPr>
        <w:spacing w:after="0"/>
        <w:rPr>
          <w:rFonts w:asciiTheme="minorHAnsi" w:eastAsia="Times New Roman" w:hAnsiTheme="minorHAnsi" w:cstheme="minorHAnsi"/>
          <w:szCs w:val="24"/>
          <w:lang w:eastAsia="en-GB"/>
          <w14:ligatures w14:val="none"/>
        </w:rPr>
      </w:pPr>
      <w:r w:rsidRPr="00B73BD1">
        <w:rPr>
          <w:rFonts w:asciiTheme="minorHAnsi" w:eastAsia="Times New Roman" w:hAnsiTheme="minorHAnsi" w:cstheme="minorHAnsi"/>
          <w:szCs w:val="24"/>
          <w:lang w:eastAsia="en-GB"/>
          <w14:ligatures w14:val="none"/>
        </w:rPr>
        <w:t>Hong, T.K. (2024) </w:t>
      </w:r>
      <w:r w:rsidRPr="00B73BD1">
        <w:rPr>
          <w:rFonts w:asciiTheme="minorHAnsi" w:eastAsia="Times New Roman" w:hAnsiTheme="minorHAnsi" w:cstheme="minorHAnsi"/>
          <w:i/>
          <w:iCs/>
          <w:szCs w:val="24"/>
          <w:lang w:eastAsia="en-GB"/>
          <w14:ligatures w14:val="none"/>
        </w:rPr>
        <w:t>Balancing Act: Navigating Ethical Dilemmas in Strategic Corporate Restructuring</w:t>
      </w:r>
      <w:r w:rsidRPr="00B73BD1">
        <w:rPr>
          <w:rFonts w:asciiTheme="minorHAnsi" w:eastAsia="Times New Roman" w:hAnsiTheme="minorHAnsi" w:cstheme="minorHAnsi"/>
          <w:szCs w:val="24"/>
          <w:lang w:eastAsia="en-GB"/>
          <w14:ligatures w14:val="none"/>
        </w:rPr>
        <w:t>.</w:t>
      </w:r>
    </w:p>
    <w:p w14:paraId="2251CEB9" w14:textId="77777777" w:rsidR="00B73BD1" w:rsidRPr="00B73BD1" w:rsidRDefault="00B73BD1" w:rsidP="005B4694">
      <w:pPr>
        <w:spacing w:after="0"/>
        <w:rPr>
          <w:rFonts w:asciiTheme="minorHAnsi" w:eastAsia="Times New Roman" w:hAnsiTheme="minorHAnsi" w:cstheme="minorHAnsi"/>
          <w:szCs w:val="24"/>
          <w:lang w:eastAsia="en-GB"/>
          <w14:ligatures w14:val="none"/>
        </w:rPr>
      </w:pPr>
      <w:r w:rsidRPr="00B73BD1">
        <w:rPr>
          <w:rFonts w:asciiTheme="minorHAnsi" w:eastAsia="Times New Roman" w:hAnsiTheme="minorHAnsi" w:cstheme="minorHAnsi"/>
          <w:szCs w:val="24"/>
          <w:lang w:eastAsia="en-GB"/>
          <w14:ligatures w14:val="none"/>
        </w:rPr>
        <w:t>Joshi, N.A. (2022) “Financial restructuring and its impact on shareholders’ wealth in selected companies in India,” </w:t>
      </w:r>
      <w:r w:rsidRPr="00B73BD1">
        <w:rPr>
          <w:rFonts w:asciiTheme="minorHAnsi" w:eastAsia="Times New Roman" w:hAnsiTheme="minorHAnsi" w:cstheme="minorHAnsi"/>
          <w:i/>
          <w:iCs/>
          <w:szCs w:val="24"/>
          <w:lang w:eastAsia="en-GB"/>
          <w14:ligatures w14:val="none"/>
        </w:rPr>
        <w:t>Indian Journal of Finance</w:t>
      </w:r>
      <w:r w:rsidRPr="00B73BD1">
        <w:rPr>
          <w:rFonts w:asciiTheme="minorHAnsi" w:eastAsia="Times New Roman" w:hAnsiTheme="minorHAnsi" w:cstheme="minorHAnsi"/>
          <w:szCs w:val="24"/>
          <w:lang w:eastAsia="en-GB"/>
          <w14:ligatures w14:val="none"/>
        </w:rPr>
        <w:t>, 16(9), pp. 26–41.</w:t>
      </w:r>
    </w:p>
    <w:p w14:paraId="37745D82" w14:textId="77777777" w:rsidR="00B73BD1" w:rsidRPr="00B73BD1" w:rsidRDefault="00B73BD1" w:rsidP="005B4694">
      <w:pPr>
        <w:spacing w:after="0"/>
        <w:rPr>
          <w:rFonts w:asciiTheme="minorHAnsi" w:eastAsia="Times New Roman" w:hAnsiTheme="minorHAnsi" w:cstheme="minorHAnsi"/>
          <w:szCs w:val="24"/>
          <w:lang w:eastAsia="en-GB"/>
          <w14:ligatures w14:val="none"/>
        </w:rPr>
      </w:pPr>
      <w:proofErr w:type="spellStart"/>
      <w:r w:rsidRPr="00B73BD1">
        <w:rPr>
          <w:rFonts w:asciiTheme="minorHAnsi" w:eastAsia="Times New Roman" w:hAnsiTheme="minorHAnsi" w:cstheme="minorHAnsi"/>
          <w:szCs w:val="24"/>
          <w:lang w:eastAsia="en-GB"/>
          <w14:ligatures w14:val="none"/>
        </w:rPr>
        <w:t>Kengatharan</w:t>
      </w:r>
      <w:proofErr w:type="spellEnd"/>
      <w:r w:rsidRPr="00B73BD1">
        <w:rPr>
          <w:rFonts w:asciiTheme="minorHAnsi" w:eastAsia="Times New Roman" w:hAnsiTheme="minorHAnsi" w:cstheme="minorHAnsi"/>
          <w:szCs w:val="24"/>
          <w:lang w:eastAsia="en-GB"/>
          <w14:ligatures w14:val="none"/>
        </w:rPr>
        <w:t>, L. and Nurullah, M. (2018) “Capital investment appraisal practices in the emerging market economy of Sri Lanka,” </w:t>
      </w:r>
      <w:r w:rsidRPr="00B73BD1">
        <w:rPr>
          <w:rFonts w:asciiTheme="minorHAnsi" w:eastAsia="Times New Roman" w:hAnsiTheme="minorHAnsi" w:cstheme="minorHAnsi"/>
          <w:i/>
          <w:iCs/>
          <w:szCs w:val="24"/>
          <w:lang w:eastAsia="en-GB"/>
          <w14:ligatures w14:val="none"/>
        </w:rPr>
        <w:t>Asian Journal of Business and Accounting</w:t>
      </w:r>
      <w:r w:rsidRPr="00B73BD1">
        <w:rPr>
          <w:rFonts w:asciiTheme="minorHAnsi" w:eastAsia="Times New Roman" w:hAnsiTheme="minorHAnsi" w:cstheme="minorHAnsi"/>
          <w:szCs w:val="24"/>
          <w:lang w:eastAsia="en-GB"/>
          <w14:ligatures w14:val="none"/>
        </w:rPr>
        <w:t>, 11(2), pp. 121–150. Available at: https://doi.org/10.22452/ajba.vol11no2.4.</w:t>
      </w:r>
    </w:p>
    <w:p w14:paraId="063416F4" w14:textId="77777777" w:rsidR="00B73BD1" w:rsidRPr="00B73BD1" w:rsidRDefault="00B73BD1" w:rsidP="005B4694">
      <w:pPr>
        <w:spacing w:after="0"/>
        <w:rPr>
          <w:rFonts w:asciiTheme="minorHAnsi" w:eastAsia="Times New Roman" w:hAnsiTheme="minorHAnsi" w:cstheme="minorHAnsi"/>
          <w:szCs w:val="24"/>
          <w:lang w:eastAsia="en-GB"/>
          <w14:ligatures w14:val="none"/>
        </w:rPr>
      </w:pPr>
      <w:proofErr w:type="spellStart"/>
      <w:r w:rsidRPr="00B73BD1">
        <w:rPr>
          <w:rFonts w:asciiTheme="minorHAnsi" w:eastAsia="Times New Roman" w:hAnsiTheme="minorHAnsi" w:cstheme="minorHAnsi"/>
          <w:szCs w:val="24"/>
          <w:lang w:eastAsia="en-GB"/>
          <w14:ligatures w14:val="none"/>
        </w:rPr>
        <w:t>Mavlutova</w:t>
      </w:r>
      <w:proofErr w:type="spellEnd"/>
      <w:r w:rsidRPr="00B73BD1">
        <w:rPr>
          <w:rFonts w:asciiTheme="minorHAnsi" w:eastAsia="Times New Roman" w:hAnsiTheme="minorHAnsi" w:cstheme="minorHAnsi"/>
          <w:szCs w:val="24"/>
          <w:lang w:eastAsia="en-GB"/>
          <w14:ligatures w14:val="none"/>
        </w:rPr>
        <w:t>, I. </w:t>
      </w:r>
      <w:r w:rsidRPr="00B73BD1">
        <w:rPr>
          <w:rFonts w:asciiTheme="minorHAnsi" w:eastAsia="Times New Roman" w:hAnsiTheme="minorHAnsi" w:cstheme="minorHAnsi"/>
          <w:i/>
          <w:iCs/>
          <w:szCs w:val="24"/>
          <w:lang w:eastAsia="en-GB"/>
          <w14:ligatures w14:val="none"/>
        </w:rPr>
        <w:t>et al.</w:t>
      </w:r>
      <w:r w:rsidRPr="00B73BD1">
        <w:rPr>
          <w:rFonts w:asciiTheme="minorHAnsi" w:eastAsia="Times New Roman" w:hAnsiTheme="minorHAnsi" w:cstheme="minorHAnsi"/>
          <w:szCs w:val="24"/>
          <w:lang w:eastAsia="en-GB"/>
          <w14:ligatures w14:val="none"/>
        </w:rPr>
        <w:t xml:space="preserve"> (2021) “Business restructuring as a method of </w:t>
      </w:r>
      <w:proofErr w:type="spellStart"/>
      <w:r w:rsidRPr="00B73BD1">
        <w:rPr>
          <w:rFonts w:asciiTheme="minorHAnsi" w:eastAsia="Times New Roman" w:hAnsiTheme="minorHAnsi" w:cstheme="minorHAnsi"/>
          <w:szCs w:val="24"/>
          <w:lang w:eastAsia="en-GB"/>
          <w14:ligatures w14:val="none"/>
        </w:rPr>
        <w:t>strengtening</w:t>
      </w:r>
      <w:proofErr w:type="spellEnd"/>
      <w:r w:rsidRPr="00B73BD1">
        <w:rPr>
          <w:rFonts w:asciiTheme="minorHAnsi" w:eastAsia="Times New Roman" w:hAnsiTheme="minorHAnsi" w:cstheme="minorHAnsi"/>
          <w:szCs w:val="24"/>
          <w:lang w:eastAsia="en-GB"/>
          <w14:ligatures w14:val="none"/>
        </w:rPr>
        <w:t xml:space="preserve"> company’s financial position,” </w:t>
      </w:r>
      <w:r w:rsidRPr="00B73BD1">
        <w:rPr>
          <w:rFonts w:asciiTheme="minorHAnsi" w:eastAsia="Times New Roman" w:hAnsiTheme="minorHAnsi" w:cstheme="minorHAnsi"/>
          <w:i/>
          <w:iCs/>
          <w:szCs w:val="24"/>
          <w:lang w:eastAsia="en-GB"/>
          <w14:ligatures w14:val="none"/>
        </w:rPr>
        <w:t>Journal of Optimization in Industrial Engineering</w:t>
      </w:r>
      <w:r w:rsidRPr="00B73BD1">
        <w:rPr>
          <w:rFonts w:asciiTheme="minorHAnsi" w:eastAsia="Times New Roman" w:hAnsiTheme="minorHAnsi" w:cstheme="minorHAnsi"/>
          <w:szCs w:val="24"/>
          <w:lang w:eastAsia="en-GB"/>
          <w14:ligatures w14:val="none"/>
        </w:rPr>
        <w:t>, 14(1), pp. 129–139.</w:t>
      </w:r>
    </w:p>
    <w:p w14:paraId="17613023" w14:textId="77777777" w:rsidR="00B73BD1" w:rsidRPr="00B73BD1" w:rsidRDefault="00B73BD1" w:rsidP="005B4694">
      <w:pPr>
        <w:spacing w:after="0"/>
        <w:rPr>
          <w:rFonts w:asciiTheme="minorHAnsi" w:eastAsia="Times New Roman" w:hAnsiTheme="minorHAnsi" w:cstheme="minorHAnsi"/>
          <w:szCs w:val="24"/>
          <w:lang w:eastAsia="en-GB"/>
          <w14:ligatures w14:val="none"/>
        </w:rPr>
      </w:pPr>
      <w:proofErr w:type="spellStart"/>
      <w:r w:rsidRPr="00B73BD1">
        <w:rPr>
          <w:rFonts w:asciiTheme="minorHAnsi" w:eastAsia="Times New Roman" w:hAnsiTheme="minorHAnsi" w:cstheme="minorHAnsi"/>
          <w:szCs w:val="24"/>
          <w:lang w:eastAsia="en-GB"/>
          <w14:ligatures w14:val="none"/>
        </w:rPr>
        <w:t>Ofoeda</w:t>
      </w:r>
      <w:proofErr w:type="spellEnd"/>
      <w:r w:rsidRPr="00B73BD1">
        <w:rPr>
          <w:rFonts w:asciiTheme="minorHAnsi" w:eastAsia="Times New Roman" w:hAnsiTheme="minorHAnsi" w:cstheme="minorHAnsi"/>
          <w:szCs w:val="24"/>
          <w:lang w:eastAsia="en-GB"/>
          <w14:ligatures w14:val="none"/>
        </w:rPr>
        <w:t>, I., Doku, J.N. and Vanderpuye, S.O. (2025) “Firm investment decisions,” in </w:t>
      </w:r>
      <w:r w:rsidRPr="00B73BD1">
        <w:rPr>
          <w:rFonts w:asciiTheme="minorHAnsi" w:eastAsia="Times New Roman" w:hAnsiTheme="minorHAnsi" w:cstheme="minorHAnsi"/>
          <w:i/>
          <w:iCs/>
          <w:szCs w:val="24"/>
          <w:lang w:eastAsia="en-GB"/>
          <w14:ligatures w14:val="none"/>
        </w:rPr>
        <w:t>The Elgar Companion to Financial Economics</w:t>
      </w:r>
      <w:r w:rsidRPr="00B73BD1">
        <w:rPr>
          <w:rFonts w:asciiTheme="minorHAnsi" w:eastAsia="Times New Roman" w:hAnsiTheme="minorHAnsi" w:cstheme="minorHAnsi"/>
          <w:szCs w:val="24"/>
          <w:lang w:eastAsia="en-GB"/>
          <w14:ligatures w14:val="none"/>
        </w:rPr>
        <w:t>. Edward Elgar Publishing, pp. 92–113.</w:t>
      </w:r>
    </w:p>
    <w:p w14:paraId="0680699D" w14:textId="77777777" w:rsidR="00B73BD1" w:rsidRPr="00B73BD1" w:rsidRDefault="00B73BD1" w:rsidP="005B4694">
      <w:pPr>
        <w:spacing w:after="0"/>
        <w:rPr>
          <w:rFonts w:asciiTheme="minorHAnsi" w:eastAsia="Times New Roman" w:hAnsiTheme="minorHAnsi" w:cstheme="minorHAnsi"/>
          <w:szCs w:val="24"/>
          <w:lang w:eastAsia="en-GB"/>
          <w14:ligatures w14:val="none"/>
        </w:rPr>
      </w:pPr>
      <w:proofErr w:type="spellStart"/>
      <w:r w:rsidRPr="00B73BD1">
        <w:rPr>
          <w:rFonts w:asciiTheme="minorHAnsi" w:eastAsia="Times New Roman" w:hAnsiTheme="minorHAnsi" w:cstheme="minorHAnsi"/>
          <w:szCs w:val="24"/>
          <w:lang w:eastAsia="en-GB"/>
          <w14:ligatures w14:val="none"/>
        </w:rPr>
        <w:lastRenderedPageBreak/>
        <w:t>Pamungkas</w:t>
      </w:r>
      <w:proofErr w:type="spellEnd"/>
      <w:r w:rsidRPr="00B73BD1">
        <w:rPr>
          <w:rFonts w:asciiTheme="minorHAnsi" w:eastAsia="Times New Roman" w:hAnsiTheme="minorHAnsi" w:cstheme="minorHAnsi"/>
          <w:szCs w:val="24"/>
          <w:lang w:eastAsia="en-GB"/>
          <w14:ligatures w14:val="none"/>
        </w:rPr>
        <w:t>, M.S. (2023) “Capital Management Strategy for Liquidity Refinancing: A study on SMEs’ Restructuring Solutions,” </w:t>
      </w:r>
      <w:r w:rsidRPr="00B73BD1">
        <w:rPr>
          <w:rFonts w:asciiTheme="minorHAnsi" w:eastAsia="Times New Roman" w:hAnsiTheme="minorHAnsi" w:cstheme="minorHAnsi"/>
          <w:i/>
          <w:iCs/>
          <w:szCs w:val="24"/>
          <w:lang w:eastAsia="en-GB"/>
          <w14:ligatures w14:val="none"/>
        </w:rPr>
        <w:t>SUKUK: INTERNATIONAL JOURNAL OF BANKING</w:t>
      </w:r>
      <w:r w:rsidRPr="00B73BD1">
        <w:rPr>
          <w:rFonts w:asciiTheme="minorHAnsi" w:eastAsia="Times New Roman" w:hAnsiTheme="minorHAnsi" w:cstheme="minorHAnsi"/>
          <w:szCs w:val="24"/>
          <w:lang w:eastAsia="en-GB"/>
          <w14:ligatures w14:val="none"/>
        </w:rPr>
        <w:t>, 2, pp. 17–30.</w:t>
      </w:r>
    </w:p>
    <w:p w14:paraId="076056AC" w14:textId="77777777" w:rsidR="00B73BD1" w:rsidRPr="00B73BD1" w:rsidRDefault="00B73BD1" w:rsidP="005B4694">
      <w:pPr>
        <w:spacing w:after="0"/>
        <w:rPr>
          <w:rFonts w:asciiTheme="minorHAnsi" w:eastAsia="Times New Roman" w:hAnsiTheme="minorHAnsi" w:cstheme="minorHAnsi"/>
          <w:szCs w:val="24"/>
          <w:lang w:eastAsia="en-GB"/>
          <w14:ligatures w14:val="none"/>
        </w:rPr>
      </w:pPr>
      <w:proofErr w:type="spellStart"/>
      <w:r w:rsidRPr="00B73BD1">
        <w:rPr>
          <w:rFonts w:asciiTheme="minorHAnsi" w:eastAsia="Times New Roman" w:hAnsiTheme="minorHAnsi" w:cstheme="minorHAnsi"/>
          <w:szCs w:val="24"/>
          <w:lang w:eastAsia="en-GB"/>
          <w14:ligatures w14:val="none"/>
        </w:rPr>
        <w:t>Reschiwati</w:t>
      </w:r>
      <w:proofErr w:type="spellEnd"/>
      <w:r w:rsidRPr="00B73BD1">
        <w:rPr>
          <w:rFonts w:asciiTheme="minorHAnsi" w:eastAsia="Times New Roman" w:hAnsiTheme="minorHAnsi" w:cstheme="minorHAnsi"/>
          <w:szCs w:val="24"/>
          <w:lang w:eastAsia="en-GB"/>
          <w14:ligatures w14:val="none"/>
        </w:rPr>
        <w:t xml:space="preserve">, Simanjuntak, P. and </w:t>
      </w:r>
      <w:proofErr w:type="spellStart"/>
      <w:r w:rsidRPr="00B73BD1">
        <w:rPr>
          <w:rFonts w:asciiTheme="minorHAnsi" w:eastAsia="Times New Roman" w:hAnsiTheme="minorHAnsi" w:cstheme="minorHAnsi"/>
          <w:szCs w:val="24"/>
          <w:lang w:eastAsia="en-GB"/>
          <w14:ligatures w14:val="none"/>
        </w:rPr>
        <w:t>Hamilah</w:t>
      </w:r>
      <w:proofErr w:type="spellEnd"/>
      <w:r w:rsidRPr="00B73BD1">
        <w:rPr>
          <w:rFonts w:asciiTheme="minorHAnsi" w:eastAsia="Times New Roman" w:hAnsiTheme="minorHAnsi" w:cstheme="minorHAnsi"/>
          <w:szCs w:val="24"/>
          <w:lang w:eastAsia="en-GB"/>
          <w14:ligatures w14:val="none"/>
        </w:rPr>
        <w:t xml:space="preserve"> (2025) “Analysis of factors affecting the quality of financial statements of central government institutions: An empirical study in Indonesia,” </w:t>
      </w:r>
      <w:r w:rsidRPr="00B73BD1">
        <w:rPr>
          <w:rFonts w:asciiTheme="minorHAnsi" w:eastAsia="Times New Roman" w:hAnsiTheme="minorHAnsi" w:cstheme="minorHAnsi"/>
          <w:i/>
          <w:iCs/>
          <w:szCs w:val="24"/>
          <w:lang w:eastAsia="en-GB"/>
          <w14:ligatures w14:val="none"/>
        </w:rPr>
        <w:t>Asian Economic and Financial Review</w:t>
      </w:r>
      <w:r w:rsidRPr="00B73BD1">
        <w:rPr>
          <w:rFonts w:asciiTheme="minorHAnsi" w:eastAsia="Times New Roman" w:hAnsiTheme="minorHAnsi" w:cstheme="minorHAnsi"/>
          <w:szCs w:val="24"/>
          <w:lang w:eastAsia="en-GB"/>
          <w14:ligatures w14:val="none"/>
        </w:rPr>
        <w:t>, 15(9), pp. 1471–1502. Available at: https://doi.org/10.55493/5002.v15i9.5590.</w:t>
      </w:r>
    </w:p>
    <w:p w14:paraId="15E9C586" w14:textId="77777777" w:rsidR="00B73BD1" w:rsidRPr="00B73BD1" w:rsidRDefault="00B73BD1" w:rsidP="005B4694">
      <w:pPr>
        <w:spacing w:after="0"/>
        <w:rPr>
          <w:rFonts w:asciiTheme="minorHAnsi" w:eastAsia="Times New Roman" w:hAnsiTheme="minorHAnsi" w:cstheme="minorHAnsi"/>
          <w:szCs w:val="24"/>
          <w:lang w:eastAsia="en-GB"/>
          <w14:ligatures w14:val="none"/>
        </w:rPr>
      </w:pPr>
      <w:proofErr w:type="spellStart"/>
      <w:r w:rsidRPr="00B73BD1">
        <w:rPr>
          <w:rFonts w:asciiTheme="minorHAnsi" w:eastAsia="Times New Roman" w:hAnsiTheme="minorHAnsi" w:cstheme="minorHAnsi"/>
          <w:szCs w:val="24"/>
          <w:lang w:eastAsia="en-GB"/>
          <w14:ligatures w14:val="none"/>
        </w:rPr>
        <w:t>Samudera</w:t>
      </w:r>
      <w:proofErr w:type="spellEnd"/>
      <w:r w:rsidRPr="00B73BD1">
        <w:rPr>
          <w:rFonts w:asciiTheme="minorHAnsi" w:eastAsia="Times New Roman" w:hAnsiTheme="minorHAnsi" w:cstheme="minorHAnsi"/>
          <w:szCs w:val="24"/>
          <w:lang w:eastAsia="en-GB"/>
          <w14:ligatures w14:val="none"/>
        </w:rPr>
        <w:t xml:space="preserve"> Budi, F. and </w:t>
      </w:r>
      <w:proofErr w:type="spellStart"/>
      <w:r w:rsidRPr="00B73BD1">
        <w:rPr>
          <w:rFonts w:asciiTheme="minorHAnsi" w:eastAsia="Times New Roman" w:hAnsiTheme="minorHAnsi" w:cstheme="minorHAnsi"/>
          <w:szCs w:val="24"/>
          <w:lang w:eastAsia="en-GB"/>
          <w14:ligatures w14:val="none"/>
        </w:rPr>
        <w:t>Sumirat</w:t>
      </w:r>
      <w:proofErr w:type="spellEnd"/>
      <w:r w:rsidRPr="00B73BD1">
        <w:rPr>
          <w:rFonts w:asciiTheme="minorHAnsi" w:eastAsia="Times New Roman" w:hAnsiTheme="minorHAnsi" w:cstheme="minorHAnsi"/>
          <w:szCs w:val="24"/>
          <w:lang w:eastAsia="en-GB"/>
          <w14:ligatures w14:val="none"/>
        </w:rPr>
        <w:t>, E. (2024) “The relationship between key financial ratios to the Revenue Growth and financial performance benchmarking analysis of oil &amp; gas companies listed in the Indonesian Stock Exchange,” </w:t>
      </w:r>
      <w:r w:rsidRPr="00B73BD1">
        <w:rPr>
          <w:rFonts w:asciiTheme="minorHAnsi" w:eastAsia="Times New Roman" w:hAnsiTheme="minorHAnsi" w:cstheme="minorHAnsi"/>
          <w:i/>
          <w:iCs/>
          <w:szCs w:val="24"/>
          <w:lang w:eastAsia="en-GB"/>
          <w14:ligatures w14:val="none"/>
        </w:rPr>
        <w:t>Journal of Economics and Business UBS</w:t>
      </w:r>
      <w:r w:rsidRPr="00B73BD1">
        <w:rPr>
          <w:rFonts w:asciiTheme="minorHAnsi" w:eastAsia="Times New Roman" w:hAnsiTheme="minorHAnsi" w:cstheme="minorHAnsi"/>
          <w:szCs w:val="24"/>
          <w:lang w:eastAsia="en-GB"/>
          <w14:ligatures w14:val="none"/>
        </w:rPr>
        <w:t>, 13(1), pp. 130–144. Available at: https://doi.org/10.52644/joeb.v13i1.1277.</w:t>
      </w:r>
    </w:p>
    <w:p w14:paraId="444B72A2" w14:textId="77777777" w:rsidR="00B73BD1" w:rsidRPr="00B73BD1" w:rsidRDefault="00B73BD1" w:rsidP="005B4694">
      <w:pPr>
        <w:spacing w:after="0"/>
        <w:rPr>
          <w:rFonts w:asciiTheme="minorHAnsi" w:eastAsia="Times New Roman" w:hAnsiTheme="minorHAnsi" w:cstheme="minorHAnsi"/>
          <w:szCs w:val="24"/>
          <w:lang w:eastAsia="en-GB"/>
          <w14:ligatures w14:val="none"/>
        </w:rPr>
      </w:pPr>
      <w:r w:rsidRPr="00B73BD1">
        <w:rPr>
          <w:rFonts w:asciiTheme="minorHAnsi" w:eastAsia="Times New Roman" w:hAnsiTheme="minorHAnsi" w:cstheme="minorHAnsi"/>
          <w:szCs w:val="24"/>
          <w:lang w:eastAsia="en-GB"/>
          <w14:ligatures w14:val="none"/>
        </w:rPr>
        <w:t>Senthilnathan, S. (2020) “Capital Budgeting-The Tools for Project Evaluation,” </w:t>
      </w:r>
      <w:r w:rsidRPr="00B73BD1">
        <w:rPr>
          <w:rFonts w:asciiTheme="minorHAnsi" w:eastAsia="Times New Roman" w:hAnsiTheme="minorHAnsi" w:cstheme="minorHAnsi"/>
          <w:i/>
          <w:iCs/>
          <w:szCs w:val="24"/>
          <w:lang w:eastAsia="en-GB"/>
          <w14:ligatures w14:val="none"/>
        </w:rPr>
        <w:t>Available at SSRN</w:t>
      </w:r>
      <w:r w:rsidRPr="00B73BD1">
        <w:rPr>
          <w:rFonts w:asciiTheme="minorHAnsi" w:eastAsia="Times New Roman" w:hAnsiTheme="minorHAnsi" w:cstheme="minorHAnsi"/>
          <w:szCs w:val="24"/>
          <w:lang w:eastAsia="en-GB"/>
          <w14:ligatures w14:val="none"/>
        </w:rPr>
        <w:t>, 3748067.</w:t>
      </w:r>
    </w:p>
    <w:p w14:paraId="1D79793C" w14:textId="77777777" w:rsidR="00B73BD1" w:rsidRPr="00B73BD1" w:rsidRDefault="00B73BD1" w:rsidP="005B4694">
      <w:pPr>
        <w:spacing w:after="0"/>
        <w:rPr>
          <w:rFonts w:asciiTheme="minorHAnsi" w:eastAsia="Times New Roman" w:hAnsiTheme="minorHAnsi" w:cstheme="minorHAnsi"/>
          <w:szCs w:val="24"/>
          <w:lang w:eastAsia="en-GB"/>
          <w14:ligatures w14:val="none"/>
        </w:rPr>
      </w:pPr>
      <w:r w:rsidRPr="00B73BD1">
        <w:rPr>
          <w:rFonts w:asciiTheme="minorHAnsi" w:eastAsia="Times New Roman" w:hAnsiTheme="minorHAnsi" w:cstheme="minorHAnsi"/>
          <w:szCs w:val="24"/>
          <w:lang w:eastAsia="en-GB"/>
          <w14:ligatures w14:val="none"/>
        </w:rPr>
        <w:t>Sharma, V. </w:t>
      </w:r>
      <w:r w:rsidRPr="00B73BD1">
        <w:rPr>
          <w:rFonts w:asciiTheme="minorHAnsi" w:eastAsia="Times New Roman" w:hAnsiTheme="minorHAnsi" w:cstheme="minorHAnsi"/>
          <w:i/>
          <w:iCs/>
          <w:szCs w:val="24"/>
          <w:lang w:eastAsia="en-GB"/>
          <w14:ligatures w14:val="none"/>
        </w:rPr>
        <w:t>et al.</w:t>
      </w:r>
      <w:r w:rsidRPr="00B73BD1">
        <w:rPr>
          <w:rFonts w:asciiTheme="minorHAnsi" w:eastAsia="Times New Roman" w:hAnsiTheme="minorHAnsi" w:cstheme="minorHAnsi"/>
          <w:szCs w:val="24"/>
          <w:lang w:eastAsia="en-GB"/>
          <w14:ligatures w14:val="none"/>
        </w:rPr>
        <w:t> (2022) “Key Financial Ratios Analysis for Manufacturing Companies-A Bibliometric Analysis,” </w:t>
      </w:r>
      <w:r w:rsidRPr="00B73BD1">
        <w:rPr>
          <w:rFonts w:asciiTheme="minorHAnsi" w:eastAsia="Times New Roman" w:hAnsiTheme="minorHAnsi" w:cstheme="minorHAnsi"/>
          <w:i/>
          <w:iCs/>
          <w:szCs w:val="24"/>
          <w:lang w:eastAsia="en-GB"/>
          <w14:ligatures w14:val="none"/>
        </w:rPr>
        <w:t>Journal of Algebraic Statistics</w:t>
      </w:r>
      <w:r w:rsidRPr="00B73BD1">
        <w:rPr>
          <w:rFonts w:asciiTheme="minorHAnsi" w:eastAsia="Times New Roman" w:hAnsiTheme="minorHAnsi" w:cstheme="minorHAnsi"/>
          <w:szCs w:val="24"/>
          <w:lang w:eastAsia="en-GB"/>
          <w14:ligatures w14:val="none"/>
        </w:rPr>
        <w:t>, 13(3), pp. 451–467.</w:t>
      </w:r>
    </w:p>
    <w:p w14:paraId="582CB81B" w14:textId="77777777" w:rsidR="00B73BD1" w:rsidRPr="00B73BD1" w:rsidRDefault="00B73BD1" w:rsidP="005B4694">
      <w:pPr>
        <w:spacing w:after="0"/>
        <w:rPr>
          <w:rFonts w:asciiTheme="minorHAnsi" w:eastAsia="Times New Roman" w:hAnsiTheme="minorHAnsi" w:cstheme="minorHAnsi"/>
          <w:szCs w:val="24"/>
          <w:lang w:eastAsia="en-GB"/>
          <w14:ligatures w14:val="none"/>
        </w:rPr>
      </w:pPr>
      <w:r w:rsidRPr="00B73BD1">
        <w:rPr>
          <w:rFonts w:asciiTheme="minorHAnsi" w:eastAsia="Times New Roman" w:hAnsiTheme="minorHAnsi" w:cstheme="minorHAnsi"/>
          <w:szCs w:val="24"/>
          <w:lang w:eastAsia="en-GB"/>
          <w14:ligatures w14:val="none"/>
        </w:rPr>
        <w:t>Siddiqa, A. (2023) “Corporate Financial Restructuring: Strategies and Impacts,” </w:t>
      </w:r>
      <w:r w:rsidRPr="00B73BD1">
        <w:rPr>
          <w:rFonts w:asciiTheme="minorHAnsi" w:eastAsia="Times New Roman" w:hAnsiTheme="minorHAnsi" w:cstheme="minorHAnsi"/>
          <w:i/>
          <w:iCs/>
          <w:szCs w:val="24"/>
          <w:lang w:eastAsia="en-GB"/>
          <w14:ligatures w14:val="none"/>
        </w:rPr>
        <w:t>Research Studies of Business</w:t>
      </w:r>
      <w:r w:rsidRPr="00B73BD1">
        <w:rPr>
          <w:rFonts w:asciiTheme="minorHAnsi" w:eastAsia="Times New Roman" w:hAnsiTheme="minorHAnsi" w:cstheme="minorHAnsi"/>
          <w:szCs w:val="24"/>
          <w:lang w:eastAsia="en-GB"/>
          <w14:ligatures w14:val="none"/>
        </w:rPr>
        <w:t>, 2(2), pp. 134–146.</w:t>
      </w:r>
    </w:p>
    <w:p w14:paraId="469FBE52" w14:textId="77777777" w:rsidR="00B73BD1" w:rsidRPr="00B73BD1" w:rsidRDefault="00B73BD1" w:rsidP="005B4694">
      <w:pPr>
        <w:spacing w:after="0"/>
        <w:rPr>
          <w:rFonts w:asciiTheme="minorHAnsi" w:eastAsia="Times New Roman" w:hAnsiTheme="minorHAnsi" w:cstheme="minorHAnsi"/>
          <w:szCs w:val="24"/>
          <w:lang w:eastAsia="en-GB"/>
          <w14:ligatures w14:val="none"/>
        </w:rPr>
      </w:pPr>
      <w:r w:rsidRPr="00B73BD1">
        <w:rPr>
          <w:rFonts w:asciiTheme="minorHAnsi" w:eastAsia="Times New Roman" w:hAnsiTheme="minorHAnsi" w:cstheme="minorHAnsi"/>
          <w:szCs w:val="24"/>
          <w:lang w:eastAsia="en-GB"/>
          <w14:ligatures w14:val="none"/>
        </w:rPr>
        <w:t>Sinaga, A.S. </w:t>
      </w:r>
      <w:r w:rsidRPr="00B73BD1">
        <w:rPr>
          <w:rFonts w:asciiTheme="minorHAnsi" w:eastAsia="Times New Roman" w:hAnsiTheme="minorHAnsi" w:cstheme="minorHAnsi"/>
          <w:i/>
          <w:iCs/>
          <w:szCs w:val="24"/>
          <w:lang w:eastAsia="en-GB"/>
          <w14:ligatures w14:val="none"/>
        </w:rPr>
        <w:t>et al.</w:t>
      </w:r>
      <w:r w:rsidRPr="00B73BD1">
        <w:rPr>
          <w:rFonts w:asciiTheme="minorHAnsi" w:eastAsia="Times New Roman" w:hAnsiTheme="minorHAnsi" w:cstheme="minorHAnsi"/>
          <w:szCs w:val="24"/>
          <w:lang w:eastAsia="en-GB"/>
          <w14:ligatures w14:val="none"/>
        </w:rPr>
        <w:t> (2023) “Comparison of capital budgeting methods: NPV, IRR, PAYBACK period,” </w:t>
      </w:r>
      <w:r w:rsidRPr="00B73BD1">
        <w:rPr>
          <w:rFonts w:asciiTheme="minorHAnsi" w:eastAsia="Times New Roman" w:hAnsiTheme="minorHAnsi" w:cstheme="minorHAnsi"/>
          <w:i/>
          <w:iCs/>
          <w:szCs w:val="24"/>
          <w:lang w:eastAsia="en-GB"/>
          <w14:ligatures w14:val="none"/>
        </w:rPr>
        <w:t>World Journal of Advanced Research and Reviews</w:t>
      </w:r>
      <w:r w:rsidRPr="00B73BD1">
        <w:rPr>
          <w:rFonts w:asciiTheme="minorHAnsi" w:eastAsia="Times New Roman" w:hAnsiTheme="minorHAnsi" w:cstheme="minorHAnsi"/>
          <w:szCs w:val="24"/>
          <w:lang w:eastAsia="en-GB"/>
          <w14:ligatures w14:val="none"/>
        </w:rPr>
        <w:t>, 19(2), pp. 1078–1081.</w:t>
      </w:r>
    </w:p>
    <w:p w14:paraId="795539CF" w14:textId="77777777" w:rsidR="00B73BD1" w:rsidRPr="00B73BD1" w:rsidRDefault="00B73BD1" w:rsidP="005B4694">
      <w:pPr>
        <w:spacing w:after="0"/>
        <w:rPr>
          <w:rFonts w:asciiTheme="minorHAnsi" w:eastAsia="Times New Roman" w:hAnsiTheme="minorHAnsi" w:cstheme="minorHAnsi"/>
          <w:szCs w:val="24"/>
          <w:lang w:eastAsia="en-GB"/>
          <w14:ligatures w14:val="none"/>
        </w:rPr>
      </w:pPr>
      <w:r w:rsidRPr="00B73BD1">
        <w:rPr>
          <w:rFonts w:asciiTheme="minorHAnsi" w:eastAsia="Times New Roman" w:hAnsiTheme="minorHAnsi" w:cstheme="minorHAnsi"/>
          <w:szCs w:val="24"/>
          <w:lang w:eastAsia="en-GB"/>
          <w14:ligatures w14:val="none"/>
        </w:rPr>
        <w:t>Soboleva, Y.P. </w:t>
      </w:r>
      <w:r w:rsidRPr="00B73BD1">
        <w:rPr>
          <w:rFonts w:asciiTheme="minorHAnsi" w:eastAsia="Times New Roman" w:hAnsiTheme="minorHAnsi" w:cstheme="minorHAnsi"/>
          <w:i/>
          <w:iCs/>
          <w:szCs w:val="24"/>
          <w:lang w:eastAsia="en-GB"/>
          <w14:ligatures w14:val="none"/>
        </w:rPr>
        <w:t>et al.</w:t>
      </w:r>
      <w:r w:rsidRPr="00B73BD1">
        <w:rPr>
          <w:rFonts w:asciiTheme="minorHAnsi" w:eastAsia="Times New Roman" w:hAnsiTheme="minorHAnsi" w:cstheme="minorHAnsi"/>
          <w:szCs w:val="24"/>
          <w:lang w:eastAsia="en-GB"/>
          <w14:ligatures w14:val="none"/>
        </w:rPr>
        <w:t> (2018) “Monitoring of businesses operations with cash flow analysis,” </w:t>
      </w:r>
      <w:r w:rsidRPr="00B73BD1">
        <w:rPr>
          <w:rFonts w:asciiTheme="minorHAnsi" w:eastAsia="Times New Roman" w:hAnsiTheme="minorHAnsi" w:cstheme="minorHAnsi"/>
          <w:i/>
          <w:iCs/>
          <w:szCs w:val="24"/>
          <w:lang w:eastAsia="en-GB"/>
          <w14:ligatures w14:val="none"/>
        </w:rPr>
        <w:t>International Journal of Civil Engineering and Technology</w:t>
      </w:r>
      <w:r w:rsidRPr="00B73BD1">
        <w:rPr>
          <w:rFonts w:asciiTheme="minorHAnsi" w:eastAsia="Times New Roman" w:hAnsiTheme="minorHAnsi" w:cstheme="minorHAnsi"/>
          <w:szCs w:val="24"/>
          <w:lang w:eastAsia="en-GB"/>
          <w14:ligatures w14:val="none"/>
        </w:rPr>
        <w:t>, 9(11).</w:t>
      </w:r>
    </w:p>
    <w:p w14:paraId="5597BB3A" w14:textId="77777777" w:rsidR="00B73BD1" w:rsidRPr="00B73BD1" w:rsidRDefault="00B73BD1" w:rsidP="005B4694">
      <w:pPr>
        <w:spacing w:after="0"/>
        <w:rPr>
          <w:rFonts w:asciiTheme="minorHAnsi" w:eastAsia="Times New Roman" w:hAnsiTheme="minorHAnsi" w:cstheme="minorHAnsi"/>
          <w:szCs w:val="24"/>
          <w:lang w:eastAsia="en-GB"/>
          <w14:ligatures w14:val="none"/>
        </w:rPr>
      </w:pPr>
      <w:r w:rsidRPr="00B73BD1">
        <w:rPr>
          <w:rFonts w:asciiTheme="minorHAnsi" w:eastAsia="Times New Roman" w:hAnsiTheme="minorHAnsi" w:cstheme="minorHAnsi"/>
          <w:szCs w:val="24"/>
          <w:lang w:eastAsia="en-GB"/>
          <w14:ligatures w14:val="none"/>
        </w:rPr>
        <w:t>Stefanović, D.V. and Milovanović, D. (2022) “Strategic Restructuring Stakeholders and Financial Structure,” in </w:t>
      </w:r>
      <w:r w:rsidRPr="00B73BD1">
        <w:rPr>
          <w:rFonts w:asciiTheme="minorHAnsi" w:eastAsia="Times New Roman" w:hAnsiTheme="minorHAnsi" w:cstheme="minorHAnsi"/>
          <w:i/>
          <w:iCs/>
          <w:szCs w:val="24"/>
          <w:lang w:eastAsia="en-GB"/>
          <w14:ligatures w14:val="none"/>
        </w:rPr>
        <w:t>9th REDETE Conference</w:t>
      </w:r>
      <w:r w:rsidRPr="00B73BD1">
        <w:rPr>
          <w:rFonts w:asciiTheme="minorHAnsi" w:eastAsia="Times New Roman" w:hAnsiTheme="minorHAnsi" w:cstheme="minorHAnsi"/>
          <w:szCs w:val="24"/>
          <w:lang w:eastAsia="en-GB"/>
          <w14:ligatures w14:val="none"/>
        </w:rPr>
        <w:t>.</w:t>
      </w:r>
    </w:p>
    <w:p w14:paraId="38F671D1" w14:textId="77777777" w:rsidR="00B73BD1" w:rsidRPr="00B73BD1" w:rsidRDefault="00B73BD1" w:rsidP="005B4694">
      <w:pPr>
        <w:spacing w:after="0"/>
        <w:rPr>
          <w:rFonts w:asciiTheme="minorHAnsi" w:eastAsia="Times New Roman" w:hAnsiTheme="minorHAnsi" w:cstheme="minorHAnsi"/>
          <w:szCs w:val="24"/>
          <w:lang w:eastAsia="en-GB"/>
          <w14:ligatures w14:val="none"/>
        </w:rPr>
      </w:pPr>
      <w:r w:rsidRPr="00B73BD1">
        <w:rPr>
          <w:rFonts w:asciiTheme="minorHAnsi" w:eastAsia="Times New Roman" w:hAnsiTheme="minorHAnsi" w:cstheme="minorHAnsi"/>
          <w:szCs w:val="24"/>
          <w:lang w:eastAsia="en-GB"/>
          <w14:ligatures w14:val="none"/>
        </w:rPr>
        <w:t>Zaher, H. and Illescas, G.M. (2022) “The Cash Conversion Cycle: A Systematic Literature Review. Economic and Social Development: Book of Proceedings,” pp. 18–35.</w:t>
      </w:r>
    </w:p>
    <w:p w14:paraId="4FC0507C" w14:textId="77777777" w:rsidR="006D3CBE" w:rsidRPr="006D3CBE" w:rsidRDefault="006D3CBE" w:rsidP="006D3CBE"/>
    <w:p w14:paraId="4A9EC502" w14:textId="77777777" w:rsidR="00D16F09" w:rsidRDefault="00D16F09">
      <w:pPr>
        <w:spacing w:after="200" w:line="276" w:lineRule="auto"/>
        <w:jc w:val="left"/>
        <w:rPr>
          <w:rFonts w:asciiTheme="minorHAnsi" w:eastAsiaTheme="majorEastAsia" w:hAnsiTheme="minorHAnsi" w:cstheme="majorBidi"/>
          <w:b/>
          <w:sz w:val="32"/>
          <w:szCs w:val="32"/>
        </w:rPr>
      </w:pPr>
      <w:r>
        <w:br w:type="page"/>
      </w:r>
    </w:p>
    <w:p w14:paraId="0CC6CE58" w14:textId="1040F788" w:rsidR="00D16F09" w:rsidRDefault="00D16F09" w:rsidP="00D16F09">
      <w:pPr>
        <w:pStyle w:val="Heading1"/>
      </w:pPr>
      <w:bookmarkStart w:id="41" w:name="_Toc216948156"/>
      <w:r>
        <w:lastRenderedPageBreak/>
        <w:t>Appendix</w:t>
      </w:r>
      <w:bookmarkEnd w:id="41"/>
    </w:p>
    <w:p w14:paraId="63D80821" w14:textId="260DE5CF" w:rsidR="006D466A" w:rsidRDefault="006D466A" w:rsidP="006D466A">
      <w:pPr>
        <w:pStyle w:val="Heading2"/>
      </w:pPr>
      <w:bookmarkStart w:id="42" w:name="_Toc216948157"/>
      <w:r>
        <w:t>Appendix 1:Cons</w:t>
      </w:r>
      <w:r w:rsidR="006507B2">
        <w:t>o</w:t>
      </w:r>
      <w:r>
        <w:t>lidated Income Statement</w:t>
      </w:r>
      <w:bookmarkEnd w:id="42"/>
      <w:r>
        <w:t xml:space="preserve">  </w:t>
      </w:r>
    </w:p>
    <w:p w14:paraId="71BCD4CB" w14:textId="1600AD35" w:rsidR="006D466A" w:rsidRDefault="006D466A" w:rsidP="006D466A">
      <w:r w:rsidRPr="00FC6CCA">
        <w:rPr>
          <w:noProof/>
        </w:rPr>
        <w:drawing>
          <wp:inline distT="0" distB="0" distL="0" distR="0" wp14:anchorId="4BF3425E" wp14:editId="4E45F7C6">
            <wp:extent cx="5731510" cy="45662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4566285"/>
                    </a:xfrm>
                    <a:prstGeom prst="rect">
                      <a:avLst/>
                    </a:prstGeom>
                  </pic:spPr>
                </pic:pic>
              </a:graphicData>
            </a:graphic>
          </wp:inline>
        </w:drawing>
      </w:r>
    </w:p>
    <w:p w14:paraId="33017CFB" w14:textId="483398B8" w:rsidR="006507B2" w:rsidRPr="006507B2" w:rsidRDefault="006507B2" w:rsidP="006D466A">
      <w:pPr>
        <w:rPr>
          <w:b/>
        </w:rPr>
      </w:pPr>
      <w:r w:rsidRPr="006507B2">
        <w:rPr>
          <w:b/>
        </w:rPr>
        <w:t xml:space="preserve">Table </w:t>
      </w:r>
      <w:r w:rsidR="00515241">
        <w:rPr>
          <w:b/>
        </w:rPr>
        <w:t>1</w:t>
      </w:r>
      <w:r w:rsidRPr="006507B2">
        <w:rPr>
          <w:b/>
        </w:rPr>
        <w:t>: Consolidated Income Statement (Source: Case Study)</w:t>
      </w:r>
    </w:p>
    <w:p w14:paraId="743C64C8" w14:textId="533B8A6B" w:rsidR="006D466A" w:rsidRDefault="006D466A" w:rsidP="006D466A">
      <w:pPr>
        <w:pStyle w:val="Heading2"/>
      </w:pPr>
      <w:bookmarkStart w:id="43" w:name="_Toc216948158"/>
      <w:r>
        <w:lastRenderedPageBreak/>
        <w:t xml:space="preserve">Appendix 2: Consolidated </w:t>
      </w:r>
      <w:bookmarkEnd w:id="43"/>
      <w:r w:rsidR="006507B2">
        <w:t>Financial Position</w:t>
      </w:r>
      <w:r>
        <w:t xml:space="preserve">  </w:t>
      </w:r>
    </w:p>
    <w:p w14:paraId="2764DF52" w14:textId="2990A8CF" w:rsidR="006D466A" w:rsidRDefault="006D466A" w:rsidP="006D466A">
      <w:r w:rsidRPr="00FC6CCA">
        <w:rPr>
          <w:noProof/>
        </w:rPr>
        <w:drawing>
          <wp:inline distT="0" distB="0" distL="0" distR="0" wp14:anchorId="159B10BD" wp14:editId="78DDD3F6">
            <wp:extent cx="4648849" cy="609685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648849" cy="6096851"/>
                    </a:xfrm>
                    <a:prstGeom prst="rect">
                      <a:avLst/>
                    </a:prstGeom>
                  </pic:spPr>
                </pic:pic>
              </a:graphicData>
            </a:graphic>
          </wp:inline>
        </w:drawing>
      </w:r>
    </w:p>
    <w:p w14:paraId="2DA8DECC" w14:textId="25F7FD83" w:rsidR="006507B2" w:rsidRPr="00515241" w:rsidRDefault="006507B2" w:rsidP="006D466A">
      <w:pPr>
        <w:rPr>
          <w:b/>
        </w:rPr>
      </w:pPr>
      <w:r w:rsidRPr="006507B2">
        <w:rPr>
          <w:b/>
        </w:rPr>
        <w:t xml:space="preserve">Table </w:t>
      </w:r>
      <w:r w:rsidR="00515241">
        <w:rPr>
          <w:b/>
        </w:rPr>
        <w:t>2</w:t>
      </w:r>
      <w:r w:rsidRPr="006507B2">
        <w:rPr>
          <w:b/>
        </w:rPr>
        <w:t xml:space="preserve">: Consolidated </w:t>
      </w:r>
      <w:r>
        <w:rPr>
          <w:b/>
        </w:rPr>
        <w:t>Financial Position</w:t>
      </w:r>
      <w:r w:rsidRPr="006507B2">
        <w:rPr>
          <w:b/>
        </w:rPr>
        <w:t xml:space="preserve"> (Source: Case Study)</w:t>
      </w:r>
    </w:p>
    <w:p w14:paraId="43B97A38" w14:textId="14CCCF7F" w:rsidR="00D16F09" w:rsidRDefault="00D16F09" w:rsidP="00D16F09">
      <w:pPr>
        <w:pStyle w:val="Heading2"/>
      </w:pPr>
      <w:bookmarkStart w:id="44" w:name="_Toc216948159"/>
      <w:r>
        <w:t xml:space="preserve">Appendix </w:t>
      </w:r>
      <w:r w:rsidR="006D466A">
        <w:t>3</w:t>
      </w:r>
      <w:r>
        <w:t>: Ratio Analysis</w:t>
      </w:r>
      <w:bookmarkEnd w:id="44"/>
      <w:r>
        <w:t xml:space="preserve"> </w:t>
      </w:r>
    </w:p>
    <w:tbl>
      <w:tblPr>
        <w:tblW w:w="9134"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96"/>
        <w:gridCol w:w="1325"/>
        <w:gridCol w:w="1383"/>
        <w:gridCol w:w="1383"/>
        <w:gridCol w:w="1481"/>
        <w:gridCol w:w="1383"/>
        <w:gridCol w:w="1383"/>
      </w:tblGrid>
      <w:tr w:rsidR="00345BDD" w:rsidRPr="00D16F09" w14:paraId="22F9472A" w14:textId="77777777" w:rsidTr="00345BDD">
        <w:trPr>
          <w:trHeight w:val="322"/>
        </w:trPr>
        <w:tc>
          <w:tcPr>
            <w:tcW w:w="9134" w:type="dxa"/>
            <w:gridSpan w:val="7"/>
            <w:noWrap/>
            <w:vAlign w:val="bottom"/>
            <w:hideMark/>
          </w:tcPr>
          <w:p w14:paraId="531D37FA" w14:textId="6C7C9648" w:rsidR="00345BDD" w:rsidRPr="00D16F09" w:rsidRDefault="00345BDD" w:rsidP="00D16F09">
            <w:pPr>
              <w:spacing w:after="0" w:line="240" w:lineRule="auto"/>
              <w:jc w:val="left"/>
              <w:rPr>
                <w:rFonts w:eastAsia="Times New Roman" w:cs="Times New Roman"/>
                <w:sz w:val="20"/>
                <w:szCs w:val="20"/>
                <w:lang w:eastAsia="en-GB"/>
                <w14:ligatures w14:val="none"/>
              </w:rPr>
            </w:pPr>
            <w:r w:rsidRPr="00D16F09">
              <w:rPr>
                <w:rFonts w:eastAsia="Times New Roman" w:cs="Times New Roman"/>
                <w:b/>
                <w:bCs/>
                <w:color w:val="000000"/>
                <w:sz w:val="22"/>
                <w:lang w:eastAsia="en-GB"/>
                <w14:ligatures w14:val="none"/>
              </w:rPr>
              <w:t>1) Profitability Ratio</w:t>
            </w:r>
          </w:p>
        </w:tc>
      </w:tr>
      <w:tr w:rsidR="00345BDD" w:rsidRPr="00D16F09" w14:paraId="53A515D7" w14:textId="77777777" w:rsidTr="00345BDD">
        <w:trPr>
          <w:trHeight w:val="322"/>
        </w:trPr>
        <w:tc>
          <w:tcPr>
            <w:tcW w:w="796" w:type="dxa"/>
            <w:shd w:val="clear" w:color="000000" w:fill="FFE699"/>
            <w:noWrap/>
            <w:vAlign w:val="bottom"/>
            <w:hideMark/>
          </w:tcPr>
          <w:p w14:paraId="502BEBD3"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Ratio</w:t>
            </w:r>
          </w:p>
        </w:tc>
        <w:tc>
          <w:tcPr>
            <w:tcW w:w="1325" w:type="dxa"/>
            <w:shd w:val="clear" w:color="000000" w:fill="FFE699"/>
            <w:noWrap/>
            <w:vAlign w:val="bottom"/>
            <w:hideMark/>
          </w:tcPr>
          <w:p w14:paraId="4002E820"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Formula</w:t>
            </w:r>
          </w:p>
        </w:tc>
        <w:tc>
          <w:tcPr>
            <w:tcW w:w="1383" w:type="dxa"/>
            <w:shd w:val="clear" w:color="000000" w:fill="FFE699"/>
            <w:noWrap/>
            <w:vAlign w:val="bottom"/>
            <w:hideMark/>
          </w:tcPr>
          <w:p w14:paraId="4A8FF1BC"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2024</w:t>
            </w:r>
          </w:p>
        </w:tc>
        <w:tc>
          <w:tcPr>
            <w:tcW w:w="1383" w:type="dxa"/>
            <w:shd w:val="clear" w:color="000000" w:fill="FFE699"/>
            <w:noWrap/>
            <w:vAlign w:val="bottom"/>
            <w:hideMark/>
          </w:tcPr>
          <w:p w14:paraId="0F399889"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2023</w:t>
            </w:r>
          </w:p>
        </w:tc>
        <w:tc>
          <w:tcPr>
            <w:tcW w:w="1481" w:type="dxa"/>
            <w:shd w:val="clear" w:color="000000" w:fill="FFE699"/>
            <w:noWrap/>
            <w:vAlign w:val="bottom"/>
            <w:hideMark/>
          </w:tcPr>
          <w:p w14:paraId="2F9D6E14"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2022</w:t>
            </w:r>
          </w:p>
        </w:tc>
        <w:tc>
          <w:tcPr>
            <w:tcW w:w="1383" w:type="dxa"/>
            <w:shd w:val="clear" w:color="000000" w:fill="FFE699"/>
            <w:noWrap/>
            <w:vAlign w:val="bottom"/>
            <w:hideMark/>
          </w:tcPr>
          <w:p w14:paraId="4594B27B"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2021</w:t>
            </w:r>
          </w:p>
        </w:tc>
        <w:tc>
          <w:tcPr>
            <w:tcW w:w="1383" w:type="dxa"/>
            <w:shd w:val="clear" w:color="000000" w:fill="FFE699"/>
            <w:noWrap/>
            <w:vAlign w:val="bottom"/>
            <w:hideMark/>
          </w:tcPr>
          <w:p w14:paraId="749001E1"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2020</w:t>
            </w:r>
          </w:p>
        </w:tc>
      </w:tr>
      <w:tr w:rsidR="00345BDD" w:rsidRPr="00D16F09" w14:paraId="49884060" w14:textId="77777777" w:rsidTr="00345BDD">
        <w:trPr>
          <w:trHeight w:val="322"/>
        </w:trPr>
        <w:tc>
          <w:tcPr>
            <w:tcW w:w="796" w:type="dxa"/>
            <w:noWrap/>
            <w:vAlign w:val="bottom"/>
            <w:hideMark/>
          </w:tcPr>
          <w:p w14:paraId="7F43B1BE"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Gross Profit Margin</w:t>
            </w:r>
          </w:p>
        </w:tc>
        <w:tc>
          <w:tcPr>
            <w:tcW w:w="1325" w:type="dxa"/>
            <w:noWrap/>
            <w:vAlign w:val="bottom"/>
            <w:hideMark/>
          </w:tcPr>
          <w:p w14:paraId="6306C1A7"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(Gross Profit/Net Sales)*100</w:t>
            </w:r>
          </w:p>
        </w:tc>
        <w:tc>
          <w:tcPr>
            <w:tcW w:w="1383" w:type="dxa"/>
            <w:noWrap/>
            <w:vAlign w:val="bottom"/>
            <w:hideMark/>
          </w:tcPr>
          <w:p w14:paraId="154018C9"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(113994/394879)*100</w:t>
            </w:r>
          </w:p>
        </w:tc>
        <w:tc>
          <w:tcPr>
            <w:tcW w:w="1383" w:type="dxa"/>
            <w:noWrap/>
            <w:vAlign w:val="bottom"/>
            <w:hideMark/>
          </w:tcPr>
          <w:p w14:paraId="570386D3"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(97560/420457)*100</w:t>
            </w:r>
          </w:p>
        </w:tc>
        <w:tc>
          <w:tcPr>
            <w:tcW w:w="1481" w:type="dxa"/>
            <w:noWrap/>
            <w:vAlign w:val="bottom"/>
            <w:hideMark/>
          </w:tcPr>
          <w:p w14:paraId="3D582225"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(152292/542751)*100</w:t>
            </w:r>
          </w:p>
        </w:tc>
        <w:tc>
          <w:tcPr>
            <w:tcW w:w="1383" w:type="dxa"/>
            <w:noWrap/>
            <w:vAlign w:val="bottom"/>
            <w:hideMark/>
          </w:tcPr>
          <w:p w14:paraId="7922C8F1"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(173016/601602)*100</w:t>
            </w:r>
          </w:p>
        </w:tc>
        <w:tc>
          <w:tcPr>
            <w:tcW w:w="1383" w:type="dxa"/>
            <w:noWrap/>
            <w:vAlign w:val="bottom"/>
            <w:hideMark/>
          </w:tcPr>
          <w:p w14:paraId="4683CE25"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(176256/614680)*100</w:t>
            </w:r>
          </w:p>
        </w:tc>
      </w:tr>
      <w:tr w:rsidR="00345BDD" w:rsidRPr="00D16F09" w14:paraId="6B71D6F5" w14:textId="77777777" w:rsidTr="00345BDD">
        <w:trPr>
          <w:trHeight w:val="322"/>
        </w:trPr>
        <w:tc>
          <w:tcPr>
            <w:tcW w:w="796" w:type="dxa"/>
            <w:noWrap/>
            <w:vAlign w:val="bottom"/>
            <w:hideMark/>
          </w:tcPr>
          <w:p w14:paraId="0B1A820A" w14:textId="77777777" w:rsidR="00D16F09" w:rsidRPr="00D16F09" w:rsidRDefault="00D16F09" w:rsidP="00D16F09">
            <w:pPr>
              <w:spacing w:after="0" w:line="240" w:lineRule="auto"/>
              <w:jc w:val="left"/>
              <w:rPr>
                <w:rFonts w:eastAsia="Times New Roman" w:cs="Times New Roman"/>
                <w:color w:val="000000"/>
                <w:lang w:eastAsia="en-GB"/>
                <w14:ligatures w14:val="none"/>
              </w:rPr>
            </w:pPr>
          </w:p>
        </w:tc>
        <w:tc>
          <w:tcPr>
            <w:tcW w:w="1325" w:type="dxa"/>
            <w:shd w:val="clear" w:color="000000" w:fill="DDEBF7"/>
            <w:noWrap/>
            <w:vAlign w:val="bottom"/>
            <w:hideMark/>
          </w:tcPr>
          <w:p w14:paraId="12FB60F9" w14:textId="77777777" w:rsidR="00D16F09" w:rsidRPr="00D16F09" w:rsidRDefault="00D16F09" w:rsidP="00D16F09">
            <w:pPr>
              <w:spacing w:after="0" w:line="240" w:lineRule="auto"/>
              <w:jc w:val="left"/>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Results</w:t>
            </w:r>
          </w:p>
        </w:tc>
        <w:tc>
          <w:tcPr>
            <w:tcW w:w="1383" w:type="dxa"/>
            <w:shd w:val="clear" w:color="000000" w:fill="DDEBF7"/>
            <w:noWrap/>
            <w:vAlign w:val="bottom"/>
            <w:hideMark/>
          </w:tcPr>
          <w:p w14:paraId="50C3F1CB"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28.87%</w:t>
            </w:r>
          </w:p>
        </w:tc>
        <w:tc>
          <w:tcPr>
            <w:tcW w:w="1383" w:type="dxa"/>
            <w:shd w:val="clear" w:color="000000" w:fill="DDEBF7"/>
            <w:noWrap/>
            <w:vAlign w:val="bottom"/>
            <w:hideMark/>
          </w:tcPr>
          <w:p w14:paraId="081FE193"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23.20%</w:t>
            </w:r>
          </w:p>
        </w:tc>
        <w:tc>
          <w:tcPr>
            <w:tcW w:w="1481" w:type="dxa"/>
            <w:shd w:val="clear" w:color="000000" w:fill="DDEBF7"/>
            <w:noWrap/>
            <w:vAlign w:val="bottom"/>
            <w:hideMark/>
          </w:tcPr>
          <w:p w14:paraId="4A1D7C4C"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28.06%</w:t>
            </w:r>
          </w:p>
        </w:tc>
        <w:tc>
          <w:tcPr>
            <w:tcW w:w="1383" w:type="dxa"/>
            <w:shd w:val="clear" w:color="000000" w:fill="DDEBF7"/>
            <w:noWrap/>
            <w:vAlign w:val="bottom"/>
            <w:hideMark/>
          </w:tcPr>
          <w:p w14:paraId="68365CC7"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28.76%</w:t>
            </w:r>
          </w:p>
        </w:tc>
        <w:tc>
          <w:tcPr>
            <w:tcW w:w="1383" w:type="dxa"/>
            <w:shd w:val="clear" w:color="000000" w:fill="DDEBF7"/>
            <w:noWrap/>
            <w:vAlign w:val="bottom"/>
            <w:hideMark/>
          </w:tcPr>
          <w:p w14:paraId="08923116"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28.67%</w:t>
            </w:r>
          </w:p>
        </w:tc>
      </w:tr>
      <w:tr w:rsidR="00345BDD" w:rsidRPr="00D16F09" w14:paraId="6BD3A7C4" w14:textId="77777777" w:rsidTr="00345BDD">
        <w:trPr>
          <w:trHeight w:val="322"/>
        </w:trPr>
        <w:tc>
          <w:tcPr>
            <w:tcW w:w="796" w:type="dxa"/>
            <w:noWrap/>
            <w:vAlign w:val="bottom"/>
            <w:hideMark/>
          </w:tcPr>
          <w:p w14:paraId="0950572A"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Opera</w:t>
            </w:r>
            <w:r w:rsidRPr="00D16F09">
              <w:rPr>
                <w:rFonts w:eastAsia="Times New Roman" w:cs="Times New Roman"/>
                <w:color w:val="000000"/>
                <w:sz w:val="22"/>
                <w:lang w:eastAsia="en-GB"/>
                <w14:ligatures w14:val="none"/>
              </w:rPr>
              <w:lastRenderedPageBreak/>
              <w:t>ting Profit Margin</w:t>
            </w:r>
          </w:p>
        </w:tc>
        <w:tc>
          <w:tcPr>
            <w:tcW w:w="1325" w:type="dxa"/>
            <w:noWrap/>
            <w:vAlign w:val="bottom"/>
            <w:hideMark/>
          </w:tcPr>
          <w:p w14:paraId="6A2C97EF"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lastRenderedPageBreak/>
              <w:t xml:space="preserve">(Operating </w:t>
            </w:r>
            <w:r w:rsidRPr="00D16F09">
              <w:rPr>
                <w:rFonts w:eastAsia="Times New Roman" w:cs="Times New Roman"/>
                <w:color w:val="000000"/>
                <w:sz w:val="22"/>
                <w:lang w:eastAsia="en-GB"/>
                <w14:ligatures w14:val="none"/>
              </w:rPr>
              <w:lastRenderedPageBreak/>
              <w:t>Profit/Net Sales)*100</w:t>
            </w:r>
          </w:p>
        </w:tc>
        <w:tc>
          <w:tcPr>
            <w:tcW w:w="1383" w:type="dxa"/>
            <w:noWrap/>
            <w:vAlign w:val="bottom"/>
            <w:hideMark/>
          </w:tcPr>
          <w:p w14:paraId="4BCD9612"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lastRenderedPageBreak/>
              <w:t>(-</w:t>
            </w:r>
            <w:r w:rsidRPr="00D16F09">
              <w:rPr>
                <w:rFonts w:eastAsia="Times New Roman" w:cs="Times New Roman"/>
                <w:color w:val="000000"/>
                <w:sz w:val="22"/>
                <w:lang w:eastAsia="en-GB"/>
                <w14:ligatures w14:val="none"/>
              </w:rPr>
              <w:lastRenderedPageBreak/>
              <w:t>25297/394879)*100</w:t>
            </w:r>
          </w:p>
        </w:tc>
        <w:tc>
          <w:tcPr>
            <w:tcW w:w="1383" w:type="dxa"/>
            <w:noWrap/>
            <w:vAlign w:val="bottom"/>
            <w:hideMark/>
          </w:tcPr>
          <w:p w14:paraId="2903201C"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lastRenderedPageBreak/>
              <w:t>(-</w:t>
            </w:r>
            <w:r w:rsidRPr="00D16F09">
              <w:rPr>
                <w:rFonts w:eastAsia="Times New Roman" w:cs="Times New Roman"/>
                <w:color w:val="000000"/>
                <w:sz w:val="22"/>
                <w:lang w:eastAsia="en-GB"/>
                <w14:ligatures w14:val="none"/>
              </w:rPr>
              <w:lastRenderedPageBreak/>
              <w:t>85301/420457)*100</w:t>
            </w:r>
          </w:p>
        </w:tc>
        <w:tc>
          <w:tcPr>
            <w:tcW w:w="1481" w:type="dxa"/>
            <w:noWrap/>
            <w:vAlign w:val="bottom"/>
            <w:hideMark/>
          </w:tcPr>
          <w:p w14:paraId="77F39767"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lastRenderedPageBreak/>
              <w:t>(14548/54275</w:t>
            </w:r>
            <w:r w:rsidRPr="00D16F09">
              <w:rPr>
                <w:rFonts w:eastAsia="Times New Roman" w:cs="Times New Roman"/>
                <w:color w:val="000000"/>
                <w:sz w:val="22"/>
                <w:lang w:eastAsia="en-GB"/>
                <w14:ligatures w14:val="none"/>
              </w:rPr>
              <w:lastRenderedPageBreak/>
              <w:t>1)*100</w:t>
            </w:r>
          </w:p>
        </w:tc>
        <w:tc>
          <w:tcPr>
            <w:tcW w:w="1383" w:type="dxa"/>
            <w:noWrap/>
            <w:vAlign w:val="bottom"/>
            <w:hideMark/>
          </w:tcPr>
          <w:p w14:paraId="57044453"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lastRenderedPageBreak/>
              <w:t>(23253/6016</w:t>
            </w:r>
            <w:r w:rsidRPr="00D16F09">
              <w:rPr>
                <w:rFonts w:eastAsia="Times New Roman" w:cs="Times New Roman"/>
                <w:color w:val="000000"/>
                <w:sz w:val="22"/>
                <w:lang w:eastAsia="en-GB"/>
                <w14:ligatures w14:val="none"/>
              </w:rPr>
              <w:lastRenderedPageBreak/>
              <w:t>02)*100</w:t>
            </w:r>
          </w:p>
        </w:tc>
        <w:tc>
          <w:tcPr>
            <w:tcW w:w="1383" w:type="dxa"/>
            <w:noWrap/>
            <w:vAlign w:val="bottom"/>
            <w:hideMark/>
          </w:tcPr>
          <w:p w14:paraId="59BE125F"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lastRenderedPageBreak/>
              <w:t>(37267/6146</w:t>
            </w:r>
            <w:r w:rsidRPr="00D16F09">
              <w:rPr>
                <w:rFonts w:eastAsia="Times New Roman" w:cs="Times New Roman"/>
                <w:color w:val="000000"/>
                <w:sz w:val="22"/>
                <w:lang w:eastAsia="en-GB"/>
                <w14:ligatures w14:val="none"/>
              </w:rPr>
              <w:lastRenderedPageBreak/>
              <w:t>80)*100</w:t>
            </w:r>
          </w:p>
        </w:tc>
      </w:tr>
      <w:tr w:rsidR="00345BDD" w:rsidRPr="00D16F09" w14:paraId="4B4FC521" w14:textId="77777777" w:rsidTr="00345BDD">
        <w:trPr>
          <w:trHeight w:val="322"/>
        </w:trPr>
        <w:tc>
          <w:tcPr>
            <w:tcW w:w="796" w:type="dxa"/>
            <w:noWrap/>
            <w:vAlign w:val="bottom"/>
            <w:hideMark/>
          </w:tcPr>
          <w:p w14:paraId="31D80191" w14:textId="77777777" w:rsidR="00D16F09" w:rsidRPr="00D16F09" w:rsidRDefault="00D16F09" w:rsidP="00D16F09">
            <w:pPr>
              <w:spacing w:after="0" w:line="240" w:lineRule="auto"/>
              <w:jc w:val="left"/>
              <w:rPr>
                <w:rFonts w:eastAsia="Times New Roman" w:cs="Times New Roman"/>
                <w:color w:val="000000"/>
                <w:lang w:eastAsia="en-GB"/>
                <w14:ligatures w14:val="none"/>
              </w:rPr>
            </w:pPr>
          </w:p>
        </w:tc>
        <w:tc>
          <w:tcPr>
            <w:tcW w:w="1325" w:type="dxa"/>
            <w:shd w:val="clear" w:color="000000" w:fill="DDEBF7"/>
            <w:noWrap/>
            <w:vAlign w:val="bottom"/>
            <w:hideMark/>
          </w:tcPr>
          <w:p w14:paraId="46C0D8CA" w14:textId="77777777" w:rsidR="00D16F09" w:rsidRPr="00D16F09" w:rsidRDefault="00D16F09" w:rsidP="00D16F09">
            <w:pPr>
              <w:spacing w:after="0" w:line="240" w:lineRule="auto"/>
              <w:jc w:val="left"/>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Results</w:t>
            </w:r>
          </w:p>
        </w:tc>
        <w:tc>
          <w:tcPr>
            <w:tcW w:w="1383" w:type="dxa"/>
            <w:shd w:val="clear" w:color="000000" w:fill="DDEBF7"/>
            <w:noWrap/>
            <w:vAlign w:val="bottom"/>
            <w:hideMark/>
          </w:tcPr>
          <w:p w14:paraId="6F49914D"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-6.41%</w:t>
            </w:r>
          </w:p>
        </w:tc>
        <w:tc>
          <w:tcPr>
            <w:tcW w:w="1383" w:type="dxa"/>
            <w:shd w:val="clear" w:color="000000" w:fill="DDEBF7"/>
            <w:noWrap/>
            <w:vAlign w:val="bottom"/>
            <w:hideMark/>
          </w:tcPr>
          <w:p w14:paraId="74582198"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-20.29%</w:t>
            </w:r>
          </w:p>
        </w:tc>
        <w:tc>
          <w:tcPr>
            <w:tcW w:w="1481" w:type="dxa"/>
            <w:shd w:val="clear" w:color="000000" w:fill="DDEBF7"/>
            <w:noWrap/>
            <w:vAlign w:val="bottom"/>
            <w:hideMark/>
          </w:tcPr>
          <w:p w14:paraId="740DB056"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2.68%</w:t>
            </w:r>
          </w:p>
        </w:tc>
        <w:tc>
          <w:tcPr>
            <w:tcW w:w="1383" w:type="dxa"/>
            <w:shd w:val="clear" w:color="000000" w:fill="DDEBF7"/>
            <w:noWrap/>
            <w:vAlign w:val="bottom"/>
            <w:hideMark/>
          </w:tcPr>
          <w:p w14:paraId="4C32D7A4"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3.87%</w:t>
            </w:r>
          </w:p>
        </w:tc>
        <w:tc>
          <w:tcPr>
            <w:tcW w:w="1383" w:type="dxa"/>
            <w:shd w:val="clear" w:color="000000" w:fill="DDEBF7"/>
            <w:noWrap/>
            <w:vAlign w:val="bottom"/>
            <w:hideMark/>
          </w:tcPr>
          <w:p w14:paraId="558786EB"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6.06%</w:t>
            </w:r>
          </w:p>
        </w:tc>
      </w:tr>
      <w:tr w:rsidR="00345BDD" w:rsidRPr="00D16F09" w14:paraId="1CF87F6B" w14:textId="77777777" w:rsidTr="00345BDD">
        <w:trPr>
          <w:trHeight w:val="322"/>
        </w:trPr>
        <w:tc>
          <w:tcPr>
            <w:tcW w:w="796" w:type="dxa"/>
            <w:noWrap/>
            <w:vAlign w:val="bottom"/>
            <w:hideMark/>
          </w:tcPr>
          <w:p w14:paraId="4E4A6212"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Net Profit Margin</w:t>
            </w:r>
          </w:p>
        </w:tc>
        <w:tc>
          <w:tcPr>
            <w:tcW w:w="1325" w:type="dxa"/>
            <w:noWrap/>
            <w:vAlign w:val="bottom"/>
            <w:hideMark/>
          </w:tcPr>
          <w:p w14:paraId="16A139A3"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(Net Profit/Net Sales)*100</w:t>
            </w:r>
          </w:p>
        </w:tc>
        <w:tc>
          <w:tcPr>
            <w:tcW w:w="1383" w:type="dxa"/>
            <w:noWrap/>
            <w:vAlign w:val="bottom"/>
            <w:hideMark/>
          </w:tcPr>
          <w:p w14:paraId="422CE7AC"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(-24029/394879)*100</w:t>
            </w:r>
          </w:p>
        </w:tc>
        <w:tc>
          <w:tcPr>
            <w:tcW w:w="1383" w:type="dxa"/>
            <w:noWrap/>
            <w:vAlign w:val="bottom"/>
            <w:hideMark/>
          </w:tcPr>
          <w:p w14:paraId="4FC099EF"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(-98238/420457)*100</w:t>
            </w:r>
          </w:p>
        </w:tc>
        <w:tc>
          <w:tcPr>
            <w:tcW w:w="1481" w:type="dxa"/>
            <w:noWrap/>
            <w:vAlign w:val="bottom"/>
            <w:hideMark/>
          </w:tcPr>
          <w:p w14:paraId="2ADE479B"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(407/542751)*100</w:t>
            </w:r>
          </w:p>
        </w:tc>
        <w:tc>
          <w:tcPr>
            <w:tcW w:w="1383" w:type="dxa"/>
            <w:noWrap/>
            <w:vAlign w:val="bottom"/>
            <w:hideMark/>
          </w:tcPr>
          <w:p w14:paraId="2C6DE0B9"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(5301/601602)*100</w:t>
            </w:r>
          </w:p>
        </w:tc>
        <w:tc>
          <w:tcPr>
            <w:tcW w:w="1383" w:type="dxa"/>
            <w:noWrap/>
            <w:vAlign w:val="bottom"/>
            <w:hideMark/>
          </w:tcPr>
          <w:p w14:paraId="0E52E3C4"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(38572/614680)*100</w:t>
            </w:r>
          </w:p>
        </w:tc>
      </w:tr>
      <w:tr w:rsidR="00345BDD" w:rsidRPr="00D16F09" w14:paraId="46E3D0F5" w14:textId="77777777" w:rsidTr="00345BDD">
        <w:trPr>
          <w:trHeight w:val="322"/>
        </w:trPr>
        <w:tc>
          <w:tcPr>
            <w:tcW w:w="796" w:type="dxa"/>
            <w:noWrap/>
            <w:vAlign w:val="bottom"/>
            <w:hideMark/>
          </w:tcPr>
          <w:p w14:paraId="043CDB9B" w14:textId="77777777" w:rsidR="00D16F09" w:rsidRPr="00D16F09" w:rsidRDefault="00D16F09" w:rsidP="00D16F09">
            <w:pPr>
              <w:spacing w:after="0" w:line="240" w:lineRule="auto"/>
              <w:jc w:val="left"/>
              <w:rPr>
                <w:rFonts w:eastAsia="Times New Roman" w:cs="Times New Roman"/>
                <w:color w:val="000000"/>
                <w:lang w:eastAsia="en-GB"/>
                <w14:ligatures w14:val="none"/>
              </w:rPr>
            </w:pPr>
          </w:p>
        </w:tc>
        <w:tc>
          <w:tcPr>
            <w:tcW w:w="1325" w:type="dxa"/>
            <w:shd w:val="clear" w:color="000000" w:fill="DDEBF7"/>
            <w:noWrap/>
            <w:vAlign w:val="bottom"/>
            <w:hideMark/>
          </w:tcPr>
          <w:p w14:paraId="2DC17179" w14:textId="77777777" w:rsidR="00D16F09" w:rsidRPr="00D16F09" w:rsidRDefault="00D16F09" w:rsidP="00D16F09">
            <w:pPr>
              <w:spacing w:after="0" w:line="240" w:lineRule="auto"/>
              <w:jc w:val="left"/>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Results</w:t>
            </w:r>
          </w:p>
        </w:tc>
        <w:tc>
          <w:tcPr>
            <w:tcW w:w="1383" w:type="dxa"/>
            <w:shd w:val="clear" w:color="000000" w:fill="DDEBF7"/>
            <w:noWrap/>
            <w:vAlign w:val="bottom"/>
            <w:hideMark/>
          </w:tcPr>
          <w:p w14:paraId="712AF038"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-6.09%</w:t>
            </w:r>
          </w:p>
        </w:tc>
        <w:tc>
          <w:tcPr>
            <w:tcW w:w="1383" w:type="dxa"/>
            <w:shd w:val="clear" w:color="000000" w:fill="DDEBF7"/>
            <w:noWrap/>
            <w:vAlign w:val="bottom"/>
            <w:hideMark/>
          </w:tcPr>
          <w:p w14:paraId="174E7634"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-23.36%</w:t>
            </w:r>
          </w:p>
        </w:tc>
        <w:tc>
          <w:tcPr>
            <w:tcW w:w="1481" w:type="dxa"/>
            <w:shd w:val="clear" w:color="000000" w:fill="DDEBF7"/>
            <w:noWrap/>
            <w:vAlign w:val="bottom"/>
            <w:hideMark/>
          </w:tcPr>
          <w:p w14:paraId="3819650F"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0.07%</w:t>
            </w:r>
          </w:p>
        </w:tc>
        <w:tc>
          <w:tcPr>
            <w:tcW w:w="1383" w:type="dxa"/>
            <w:shd w:val="clear" w:color="000000" w:fill="DDEBF7"/>
            <w:noWrap/>
            <w:vAlign w:val="bottom"/>
            <w:hideMark/>
          </w:tcPr>
          <w:p w14:paraId="4146C4D2"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0.88%</w:t>
            </w:r>
          </w:p>
        </w:tc>
        <w:tc>
          <w:tcPr>
            <w:tcW w:w="1383" w:type="dxa"/>
            <w:shd w:val="clear" w:color="000000" w:fill="DDEBF7"/>
            <w:noWrap/>
            <w:vAlign w:val="bottom"/>
            <w:hideMark/>
          </w:tcPr>
          <w:p w14:paraId="52F973FF"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6.28%</w:t>
            </w:r>
          </w:p>
        </w:tc>
      </w:tr>
      <w:tr w:rsidR="00345BDD" w:rsidRPr="00D16F09" w14:paraId="28FC1FBE" w14:textId="77777777" w:rsidTr="00345BDD">
        <w:trPr>
          <w:trHeight w:val="967"/>
        </w:trPr>
        <w:tc>
          <w:tcPr>
            <w:tcW w:w="796" w:type="dxa"/>
            <w:vAlign w:val="bottom"/>
            <w:hideMark/>
          </w:tcPr>
          <w:p w14:paraId="2CD4203F"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 xml:space="preserve">Return of Capital Employed </w:t>
            </w:r>
            <w:r w:rsidRPr="00D16F09">
              <w:rPr>
                <w:rFonts w:eastAsia="Times New Roman" w:cs="Times New Roman"/>
                <w:color w:val="000000"/>
                <w:sz w:val="22"/>
                <w:lang w:eastAsia="en-GB"/>
                <w14:ligatures w14:val="none"/>
              </w:rPr>
              <w:br/>
              <w:t>(ROCE)</w:t>
            </w:r>
          </w:p>
        </w:tc>
        <w:tc>
          <w:tcPr>
            <w:tcW w:w="1325" w:type="dxa"/>
            <w:vAlign w:val="bottom"/>
            <w:hideMark/>
          </w:tcPr>
          <w:p w14:paraId="60E5D12C"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EBIT/(Total Assets-Current Liabilities)</w:t>
            </w:r>
            <w:r w:rsidRPr="00D16F09">
              <w:rPr>
                <w:rFonts w:eastAsia="Times New Roman" w:cs="Times New Roman"/>
                <w:color w:val="000000"/>
                <w:sz w:val="22"/>
                <w:lang w:eastAsia="en-GB"/>
                <w14:ligatures w14:val="none"/>
              </w:rPr>
              <w:br/>
              <w:t xml:space="preserve"> *100</w:t>
            </w:r>
          </w:p>
        </w:tc>
        <w:tc>
          <w:tcPr>
            <w:tcW w:w="1383" w:type="dxa"/>
            <w:vAlign w:val="center"/>
            <w:hideMark/>
          </w:tcPr>
          <w:p w14:paraId="6B967F57"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 xml:space="preserve"> -11936/(323354-158291)</w:t>
            </w:r>
            <w:r w:rsidRPr="00D16F09">
              <w:rPr>
                <w:rFonts w:eastAsia="Times New Roman" w:cs="Times New Roman"/>
                <w:color w:val="000000"/>
                <w:sz w:val="22"/>
                <w:lang w:eastAsia="en-GB"/>
                <w14:ligatures w14:val="none"/>
              </w:rPr>
              <w:br/>
              <w:t>*100</w:t>
            </w:r>
          </w:p>
        </w:tc>
        <w:tc>
          <w:tcPr>
            <w:tcW w:w="1383" w:type="dxa"/>
            <w:vAlign w:val="center"/>
            <w:hideMark/>
          </w:tcPr>
          <w:p w14:paraId="07A01E33"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 xml:space="preserve"> -80969/(355872-161148)</w:t>
            </w:r>
            <w:r w:rsidRPr="00D16F09">
              <w:rPr>
                <w:rFonts w:eastAsia="Times New Roman" w:cs="Times New Roman"/>
                <w:color w:val="000000"/>
                <w:sz w:val="22"/>
                <w:lang w:eastAsia="en-GB"/>
                <w14:ligatures w14:val="none"/>
              </w:rPr>
              <w:br/>
              <w:t>*100</w:t>
            </w:r>
          </w:p>
        </w:tc>
        <w:tc>
          <w:tcPr>
            <w:tcW w:w="1481" w:type="dxa"/>
            <w:vAlign w:val="center"/>
            <w:hideMark/>
          </w:tcPr>
          <w:p w14:paraId="24B34C17"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 xml:space="preserve"> 16748/(504163-216473)</w:t>
            </w:r>
            <w:r w:rsidRPr="00D16F09">
              <w:rPr>
                <w:rFonts w:eastAsia="Times New Roman" w:cs="Times New Roman"/>
                <w:color w:val="000000"/>
                <w:sz w:val="22"/>
                <w:lang w:eastAsia="en-GB"/>
                <w14:ligatures w14:val="none"/>
              </w:rPr>
              <w:br/>
              <w:t>*100</w:t>
            </w:r>
          </w:p>
        </w:tc>
        <w:tc>
          <w:tcPr>
            <w:tcW w:w="1383" w:type="dxa"/>
            <w:vAlign w:val="center"/>
            <w:hideMark/>
          </w:tcPr>
          <w:p w14:paraId="0D7AE5BA"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 xml:space="preserve"> 23819/(510348-216787)</w:t>
            </w:r>
            <w:r w:rsidRPr="00D16F09">
              <w:rPr>
                <w:rFonts w:eastAsia="Times New Roman" w:cs="Times New Roman"/>
                <w:color w:val="000000"/>
                <w:sz w:val="22"/>
                <w:lang w:eastAsia="en-GB"/>
                <w14:ligatures w14:val="none"/>
              </w:rPr>
              <w:br/>
              <w:t>*100</w:t>
            </w:r>
          </w:p>
        </w:tc>
        <w:tc>
          <w:tcPr>
            <w:tcW w:w="1383" w:type="dxa"/>
            <w:vAlign w:val="center"/>
            <w:hideMark/>
          </w:tcPr>
          <w:p w14:paraId="3ECBBC1B"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 xml:space="preserve"> 38689/(510290-179510)</w:t>
            </w:r>
            <w:r w:rsidRPr="00D16F09">
              <w:rPr>
                <w:rFonts w:eastAsia="Times New Roman" w:cs="Times New Roman"/>
                <w:color w:val="000000"/>
                <w:sz w:val="22"/>
                <w:lang w:eastAsia="en-GB"/>
                <w14:ligatures w14:val="none"/>
              </w:rPr>
              <w:br/>
              <w:t>*100</w:t>
            </w:r>
          </w:p>
        </w:tc>
      </w:tr>
      <w:tr w:rsidR="00345BDD" w:rsidRPr="00D16F09" w14:paraId="1B9873D9" w14:textId="77777777" w:rsidTr="00345BDD">
        <w:trPr>
          <w:trHeight w:val="322"/>
        </w:trPr>
        <w:tc>
          <w:tcPr>
            <w:tcW w:w="796" w:type="dxa"/>
            <w:noWrap/>
            <w:vAlign w:val="bottom"/>
            <w:hideMark/>
          </w:tcPr>
          <w:p w14:paraId="6B5A7DE2" w14:textId="77777777" w:rsidR="00D16F09" w:rsidRPr="00D16F09" w:rsidRDefault="00D16F09" w:rsidP="00D16F09">
            <w:pPr>
              <w:spacing w:after="0" w:line="240" w:lineRule="auto"/>
              <w:jc w:val="left"/>
              <w:rPr>
                <w:rFonts w:eastAsia="Times New Roman" w:cs="Times New Roman"/>
                <w:color w:val="000000"/>
                <w:lang w:eastAsia="en-GB"/>
                <w14:ligatures w14:val="none"/>
              </w:rPr>
            </w:pPr>
          </w:p>
        </w:tc>
        <w:tc>
          <w:tcPr>
            <w:tcW w:w="1325" w:type="dxa"/>
            <w:shd w:val="clear" w:color="000000" w:fill="DDEBF7"/>
            <w:noWrap/>
            <w:vAlign w:val="bottom"/>
            <w:hideMark/>
          </w:tcPr>
          <w:p w14:paraId="099C3A58" w14:textId="77777777" w:rsidR="00D16F09" w:rsidRPr="00D16F09" w:rsidRDefault="00D16F09" w:rsidP="00D16F09">
            <w:pPr>
              <w:spacing w:after="0" w:line="240" w:lineRule="auto"/>
              <w:jc w:val="left"/>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Results</w:t>
            </w:r>
          </w:p>
        </w:tc>
        <w:tc>
          <w:tcPr>
            <w:tcW w:w="1383" w:type="dxa"/>
            <w:shd w:val="clear" w:color="000000" w:fill="DDEBF7"/>
            <w:noWrap/>
            <w:vAlign w:val="center"/>
            <w:hideMark/>
          </w:tcPr>
          <w:p w14:paraId="49770388"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-7.23%</w:t>
            </w:r>
          </w:p>
        </w:tc>
        <w:tc>
          <w:tcPr>
            <w:tcW w:w="1383" w:type="dxa"/>
            <w:shd w:val="clear" w:color="000000" w:fill="DDEBF7"/>
            <w:noWrap/>
            <w:vAlign w:val="center"/>
            <w:hideMark/>
          </w:tcPr>
          <w:p w14:paraId="75CF4FC5"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-41.58%</w:t>
            </w:r>
          </w:p>
        </w:tc>
        <w:tc>
          <w:tcPr>
            <w:tcW w:w="1481" w:type="dxa"/>
            <w:shd w:val="clear" w:color="000000" w:fill="DDEBF7"/>
            <w:noWrap/>
            <w:vAlign w:val="center"/>
            <w:hideMark/>
          </w:tcPr>
          <w:p w14:paraId="2D3430D4"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5.82%</w:t>
            </w:r>
          </w:p>
        </w:tc>
        <w:tc>
          <w:tcPr>
            <w:tcW w:w="1383" w:type="dxa"/>
            <w:shd w:val="clear" w:color="000000" w:fill="DDEBF7"/>
            <w:noWrap/>
            <w:vAlign w:val="center"/>
            <w:hideMark/>
          </w:tcPr>
          <w:p w14:paraId="4641FD06"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8.11%</w:t>
            </w:r>
          </w:p>
        </w:tc>
        <w:tc>
          <w:tcPr>
            <w:tcW w:w="1383" w:type="dxa"/>
            <w:shd w:val="clear" w:color="000000" w:fill="DDEBF7"/>
            <w:noWrap/>
            <w:vAlign w:val="center"/>
            <w:hideMark/>
          </w:tcPr>
          <w:p w14:paraId="6C949802"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11.70%</w:t>
            </w:r>
          </w:p>
        </w:tc>
      </w:tr>
      <w:tr w:rsidR="00345BDD" w:rsidRPr="00D16F09" w14:paraId="1A303120" w14:textId="77777777" w:rsidTr="00123117">
        <w:trPr>
          <w:trHeight w:val="322"/>
        </w:trPr>
        <w:tc>
          <w:tcPr>
            <w:tcW w:w="9134" w:type="dxa"/>
            <w:gridSpan w:val="7"/>
            <w:noWrap/>
            <w:vAlign w:val="bottom"/>
            <w:hideMark/>
          </w:tcPr>
          <w:p w14:paraId="6497449D" w14:textId="1375193D" w:rsidR="00345BDD" w:rsidRPr="00D16F09" w:rsidRDefault="00345BDD" w:rsidP="00D16F09">
            <w:pPr>
              <w:spacing w:after="0" w:line="240" w:lineRule="auto"/>
              <w:jc w:val="left"/>
              <w:rPr>
                <w:rFonts w:eastAsia="Times New Roman" w:cs="Times New Roman"/>
                <w:sz w:val="20"/>
                <w:szCs w:val="20"/>
                <w:lang w:eastAsia="en-GB"/>
                <w14:ligatures w14:val="none"/>
              </w:rPr>
            </w:pPr>
            <w:r w:rsidRPr="00D16F09">
              <w:rPr>
                <w:rFonts w:eastAsia="Times New Roman" w:cs="Times New Roman"/>
                <w:b/>
                <w:bCs/>
                <w:color w:val="000000"/>
                <w:sz w:val="22"/>
                <w:lang w:eastAsia="en-GB"/>
                <w14:ligatures w14:val="none"/>
              </w:rPr>
              <w:t>2) Liquidity Ratio</w:t>
            </w:r>
          </w:p>
        </w:tc>
      </w:tr>
      <w:tr w:rsidR="00345BDD" w:rsidRPr="00D16F09" w14:paraId="3A934F15" w14:textId="77777777" w:rsidTr="00345BDD">
        <w:trPr>
          <w:trHeight w:val="322"/>
        </w:trPr>
        <w:tc>
          <w:tcPr>
            <w:tcW w:w="796" w:type="dxa"/>
            <w:noWrap/>
            <w:vAlign w:val="bottom"/>
            <w:hideMark/>
          </w:tcPr>
          <w:p w14:paraId="45D9564A"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Current Ratio</w:t>
            </w:r>
          </w:p>
        </w:tc>
        <w:tc>
          <w:tcPr>
            <w:tcW w:w="1325" w:type="dxa"/>
            <w:noWrap/>
            <w:vAlign w:val="bottom"/>
            <w:hideMark/>
          </w:tcPr>
          <w:p w14:paraId="3DD04187"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Current Assets/Current Liabilities</w:t>
            </w:r>
          </w:p>
        </w:tc>
        <w:tc>
          <w:tcPr>
            <w:tcW w:w="1383" w:type="dxa"/>
            <w:noWrap/>
            <w:vAlign w:val="center"/>
            <w:hideMark/>
          </w:tcPr>
          <w:p w14:paraId="796EC06A"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242494/158291</w:t>
            </w:r>
          </w:p>
        </w:tc>
        <w:tc>
          <w:tcPr>
            <w:tcW w:w="1383" w:type="dxa"/>
            <w:noWrap/>
            <w:vAlign w:val="center"/>
            <w:hideMark/>
          </w:tcPr>
          <w:p w14:paraId="28D8A3B0"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258851/161148</w:t>
            </w:r>
          </w:p>
        </w:tc>
        <w:tc>
          <w:tcPr>
            <w:tcW w:w="1481" w:type="dxa"/>
            <w:noWrap/>
            <w:vAlign w:val="center"/>
            <w:hideMark/>
          </w:tcPr>
          <w:p w14:paraId="1A0C501C"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338040/216473</w:t>
            </w:r>
          </w:p>
        </w:tc>
        <w:tc>
          <w:tcPr>
            <w:tcW w:w="1383" w:type="dxa"/>
            <w:noWrap/>
            <w:vAlign w:val="center"/>
            <w:hideMark/>
          </w:tcPr>
          <w:p w14:paraId="656A0C59"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337146/216787</w:t>
            </w:r>
          </w:p>
        </w:tc>
        <w:tc>
          <w:tcPr>
            <w:tcW w:w="1383" w:type="dxa"/>
            <w:noWrap/>
            <w:vAlign w:val="center"/>
            <w:hideMark/>
          </w:tcPr>
          <w:p w14:paraId="3068ABCB"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326843/179510</w:t>
            </w:r>
          </w:p>
        </w:tc>
      </w:tr>
      <w:tr w:rsidR="00345BDD" w:rsidRPr="00D16F09" w14:paraId="7A3CCE26" w14:textId="77777777" w:rsidTr="00345BDD">
        <w:trPr>
          <w:trHeight w:val="322"/>
        </w:trPr>
        <w:tc>
          <w:tcPr>
            <w:tcW w:w="796" w:type="dxa"/>
            <w:noWrap/>
            <w:vAlign w:val="bottom"/>
            <w:hideMark/>
          </w:tcPr>
          <w:p w14:paraId="404DA548" w14:textId="77777777" w:rsidR="00D16F09" w:rsidRPr="00D16F09" w:rsidRDefault="00D16F09" w:rsidP="00D16F09">
            <w:pPr>
              <w:spacing w:after="0" w:line="240" w:lineRule="auto"/>
              <w:jc w:val="left"/>
              <w:rPr>
                <w:rFonts w:eastAsia="Times New Roman" w:cs="Times New Roman"/>
                <w:color w:val="000000"/>
                <w:lang w:eastAsia="en-GB"/>
                <w14:ligatures w14:val="none"/>
              </w:rPr>
            </w:pPr>
          </w:p>
        </w:tc>
        <w:tc>
          <w:tcPr>
            <w:tcW w:w="1325" w:type="dxa"/>
            <w:shd w:val="clear" w:color="000000" w:fill="DDEBF7"/>
            <w:noWrap/>
            <w:vAlign w:val="bottom"/>
            <w:hideMark/>
          </w:tcPr>
          <w:p w14:paraId="7DCA8E06" w14:textId="77777777" w:rsidR="00D16F09" w:rsidRPr="00D16F09" w:rsidRDefault="00D16F09" w:rsidP="00D16F09">
            <w:pPr>
              <w:spacing w:after="0" w:line="240" w:lineRule="auto"/>
              <w:jc w:val="left"/>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Results</w:t>
            </w:r>
          </w:p>
        </w:tc>
        <w:tc>
          <w:tcPr>
            <w:tcW w:w="1383" w:type="dxa"/>
            <w:shd w:val="clear" w:color="000000" w:fill="DDEBF7"/>
            <w:noWrap/>
            <w:vAlign w:val="center"/>
            <w:hideMark/>
          </w:tcPr>
          <w:p w14:paraId="5EB77856"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1.53</w:t>
            </w:r>
          </w:p>
        </w:tc>
        <w:tc>
          <w:tcPr>
            <w:tcW w:w="1383" w:type="dxa"/>
            <w:shd w:val="clear" w:color="000000" w:fill="DDEBF7"/>
            <w:noWrap/>
            <w:vAlign w:val="center"/>
            <w:hideMark/>
          </w:tcPr>
          <w:p w14:paraId="3F905455"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1.61</w:t>
            </w:r>
          </w:p>
        </w:tc>
        <w:tc>
          <w:tcPr>
            <w:tcW w:w="1481" w:type="dxa"/>
            <w:shd w:val="clear" w:color="000000" w:fill="DDEBF7"/>
            <w:noWrap/>
            <w:vAlign w:val="center"/>
            <w:hideMark/>
          </w:tcPr>
          <w:p w14:paraId="1F001999"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1.56</w:t>
            </w:r>
          </w:p>
        </w:tc>
        <w:tc>
          <w:tcPr>
            <w:tcW w:w="1383" w:type="dxa"/>
            <w:shd w:val="clear" w:color="000000" w:fill="DDEBF7"/>
            <w:noWrap/>
            <w:vAlign w:val="center"/>
            <w:hideMark/>
          </w:tcPr>
          <w:p w14:paraId="61E2B874"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1.56</w:t>
            </w:r>
          </w:p>
        </w:tc>
        <w:tc>
          <w:tcPr>
            <w:tcW w:w="1383" w:type="dxa"/>
            <w:shd w:val="clear" w:color="000000" w:fill="DDEBF7"/>
            <w:noWrap/>
            <w:vAlign w:val="center"/>
            <w:hideMark/>
          </w:tcPr>
          <w:p w14:paraId="51CB2AFB"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1.82</w:t>
            </w:r>
          </w:p>
        </w:tc>
      </w:tr>
      <w:tr w:rsidR="00345BDD" w:rsidRPr="00D16F09" w14:paraId="6DC35455" w14:textId="77777777" w:rsidTr="00345BDD">
        <w:trPr>
          <w:trHeight w:val="645"/>
        </w:trPr>
        <w:tc>
          <w:tcPr>
            <w:tcW w:w="796" w:type="dxa"/>
            <w:noWrap/>
            <w:vAlign w:val="bottom"/>
            <w:hideMark/>
          </w:tcPr>
          <w:p w14:paraId="09BD8863"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Quick Ratio</w:t>
            </w:r>
          </w:p>
        </w:tc>
        <w:tc>
          <w:tcPr>
            <w:tcW w:w="1325" w:type="dxa"/>
            <w:vAlign w:val="bottom"/>
            <w:hideMark/>
          </w:tcPr>
          <w:p w14:paraId="4725E5C0" w14:textId="378D1FD0"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(Current Assets-Inventory)/</w:t>
            </w:r>
            <w:r w:rsidRPr="00D16F09">
              <w:rPr>
                <w:rFonts w:eastAsia="Times New Roman" w:cs="Times New Roman"/>
                <w:color w:val="000000"/>
                <w:sz w:val="22"/>
                <w:lang w:eastAsia="en-GB"/>
                <w14:ligatures w14:val="none"/>
              </w:rPr>
              <w:br/>
              <w:t>Current Liabilities</w:t>
            </w:r>
          </w:p>
        </w:tc>
        <w:tc>
          <w:tcPr>
            <w:tcW w:w="1383" w:type="dxa"/>
            <w:noWrap/>
            <w:vAlign w:val="center"/>
            <w:hideMark/>
          </w:tcPr>
          <w:p w14:paraId="13EBE1E7"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(242494-79355)/158291</w:t>
            </w:r>
          </w:p>
        </w:tc>
        <w:tc>
          <w:tcPr>
            <w:tcW w:w="1383" w:type="dxa"/>
            <w:noWrap/>
            <w:vAlign w:val="center"/>
            <w:hideMark/>
          </w:tcPr>
          <w:p w14:paraId="5B4604A7"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(258851-88273)/161148</w:t>
            </w:r>
          </w:p>
        </w:tc>
        <w:tc>
          <w:tcPr>
            <w:tcW w:w="1481" w:type="dxa"/>
            <w:noWrap/>
            <w:vAlign w:val="center"/>
            <w:hideMark/>
          </w:tcPr>
          <w:p w14:paraId="282D5B2D"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(338040-140181)/216473</w:t>
            </w:r>
          </w:p>
        </w:tc>
        <w:tc>
          <w:tcPr>
            <w:tcW w:w="1383" w:type="dxa"/>
            <w:noWrap/>
            <w:vAlign w:val="center"/>
            <w:hideMark/>
          </w:tcPr>
          <w:p w14:paraId="6F0FA563"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(337146-134469)/216787</w:t>
            </w:r>
          </w:p>
        </w:tc>
        <w:tc>
          <w:tcPr>
            <w:tcW w:w="1383" w:type="dxa"/>
            <w:noWrap/>
            <w:vAlign w:val="center"/>
            <w:hideMark/>
          </w:tcPr>
          <w:p w14:paraId="4648B137"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(326843-120430)/179510</w:t>
            </w:r>
          </w:p>
        </w:tc>
      </w:tr>
      <w:tr w:rsidR="00345BDD" w:rsidRPr="00D16F09" w14:paraId="1CBAA431" w14:textId="77777777" w:rsidTr="00345BDD">
        <w:trPr>
          <w:trHeight w:val="322"/>
        </w:trPr>
        <w:tc>
          <w:tcPr>
            <w:tcW w:w="796" w:type="dxa"/>
            <w:noWrap/>
            <w:vAlign w:val="bottom"/>
            <w:hideMark/>
          </w:tcPr>
          <w:p w14:paraId="79873A69" w14:textId="77777777" w:rsidR="00D16F09" w:rsidRPr="00D16F09" w:rsidRDefault="00D16F09" w:rsidP="00D16F09">
            <w:pPr>
              <w:spacing w:after="0" w:line="240" w:lineRule="auto"/>
              <w:jc w:val="left"/>
              <w:rPr>
                <w:rFonts w:eastAsia="Times New Roman" w:cs="Times New Roman"/>
                <w:color w:val="000000"/>
                <w:lang w:eastAsia="en-GB"/>
                <w14:ligatures w14:val="none"/>
              </w:rPr>
            </w:pPr>
          </w:p>
        </w:tc>
        <w:tc>
          <w:tcPr>
            <w:tcW w:w="1325" w:type="dxa"/>
            <w:shd w:val="clear" w:color="000000" w:fill="DDEBF7"/>
            <w:noWrap/>
            <w:vAlign w:val="bottom"/>
            <w:hideMark/>
          </w:tcPr>
          <w:p w14:paraId="53D8BFF6" w14:textId="77777777" w:rsidR="00D16F09" w:rsidRPr="00D16F09" w:rsidRDefault="00D16F09" w:rsidP="00D16F09">
            <w:pPr>
              <w:spacing w:after="0" w:line="240" w:lineRule="auto"/>
              <w:jc w:val="left"/>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Results</w:t>
            </w:r>
          </w:p>
        </w:tc>
        <w:tc>
          <w:tcPr>
            <w:tcW w:w="1383" w:type="dxa"/>
            <w:shd w:val="clear" w:color="000000" w:fill="DDEBF7"/>
            <w:noWrap/>
            <w:vAlign w:val="center"/>
            <w:hideMark/>
          </w:tcPr>
          <w:p w14:paraId="3D4916E9"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1.03</w:t>
            </w:r>
          </w:p>
        </w:tc>
        <w:tc>
          <w:tcPr>
            <w:tcW w:w="1383" w:type="dxa"/>
            <w:shd w:val="clear" w:color="000000" w:fill="DDEBF7"/>
            <w:noWrap/>
            <w:vAlign w:val="center"/>
            <w:hideMark/>
          </w:tcPr>
          <w:p w14:paraId="3800BA9E"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1.06</w:t>
            </w:r>
          </w:p>
        </w:tc>
        <w:tc>
          <w:tcPr>
            <w:tcW w:w="1481" w:type="dxa"/>
            <w:shd w:val="clear" w:color="000000" w:fill="DDEBF7"/>
            <w:noWrap/>
            <w:vAlign w:val="center"/>
            <w:hideMark/>
          </w:tcPr>
          <w:p w14:paraId="0F040E4D"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0.91</w:t>
            </w:r>
          </w:p>
        </w:tc>
        <w:tc>
          <w:tcPr>
            <w:tcW w:w="1383" w:type="dxa"/>
            <w:shd w:val="clear" w:color="000000" w:fill="DDEBF7"/>
            <w:noWrap/>
            <w:vAlign w:val="center"/>
            <w:hideMark/>
          </w:tcPr>
          <w:p w14:paraId="29A55DB7"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0.93</w:t>
            </w:r>
          </w:p>
        </w:tc>
        <w:tc>
          <w:tcPr>
            <w:tcW w:w="1383" w:type="dxa"/>
            <w:shd w:val="clear" w:color="000000" w:fill="DDEBF7"/>
            <w:noWrap/>
            <w:vAlign w:val="center"/>
            <w:hideMark/>
          </w:tcPr>
          <w:p w14:paraId="480902BB"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1.15</w:t>
            </w:r>
          </w:p>
        </w:tc>
      </w:tr>
      <w:tr w:rsidR="00345BDD" w:rsidRPr="00D16F09" w14:paraId="104A5A25" w14:textId="77777777" w:rsidTr="00123117">
        <w:trPr>
          <w:trHeight w:val="322"/>
        </w:trPr>
        <w:tc>
          <w:tcPr>
            <w:tcW w:w="9134" w:type="dxa"/>
            <w:gridSpan w:val="7"/>
            <w:noWrap/>
            <w:vAlign w:val="bottom"/>
            <w:hideMark/>
          </w:tcPr>
          <w:p w14:paraId="01C57C9E" w14:textId="29A10811" w:rsidR="00345BDD" w:rsidRPr="00D16F09" w:rsidRDefault="00345BDD" w:rsidP="00D16F09">
            <w:pPr>
              <w:spacing w:after="0" w:line="240" w:lineRule="auto"/>
              <w:jc w:val="left"/>
              <w:rPr>
                <w:rFonts w:eastAsia="Times New Roman" w:cs="Times New Roman"/>
                <w:sz w:val="20"/>
                <w:szCs w:val="20"/>
                <w:lang w:eastAsia="en-GB"/>
                <w14:ligatures w14:val="none"/>
              </w:rPr>
            </w:pPr>
            <w:r w:rsidRPr="00D16F09">
              <w:rPr>
                <w:rFonts w:eastAsia="Times New Roman" w:cs="Times New Roman"/>
                <w:b/>
                <w:bCs/>
                <w:color w:val="000000"/>
                <w:sz w:val="22"/>
                <w:lang w:eastAsia="en-GB"/>
                <w14:ligatures w14:val="none"/>
              </w:rPr>
              <w:t>3) Efficiency Ratio</w:t>
            </w:r>
          </w:p>
        </w:tc>
      </w:tr>
      <w:tr w:rsidR="00345BDD" w:rsidRPr="00D16F09" w14:paraId="48611AC7" w14:textId="77777777" w:rsidTr="00345BDD">
        <w:trPr>
          <w:trHeight w:val="322"/>
        </w:trPr>
        <w:tc>
          <w:tcPr>
            <w:tcW w:w="796" w:type="dxa"/>
            <w:noWrap/>
            <w:vAlign w:val="bottom"/>
            <w:hideMark/>
          </w:tcPr>
          <w:p w14:paraId="0F70FF62"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Asset Turnover Ratio</w:t>
            </w:r>
          </w:p>
        </w:tc>
        <w:tc>
          <w:tcPr>
            <w:tcW w:w="1325" w:type="dxa"/>
            <w:noWrap/>
            <w:vAlign w:val="bottom"/>
            <w:hideMark/>
          </w:tcPr>
          <w:p w14:paraId="7D021715"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(Net Sales/Total Assets)</w:t>
            </w:r>
          </w:p>
        </w:tc>
        <w:tc>
          <w:tcPr>
            <w:tcW w:w="1383" w:type="dxa"/>
            <w:noWrap/>
            <w:vAlign w:val="bottom"/>
            <w:hideMark/>
          </w:tcPr>
          <w:p w14:paraId="543C8194"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394879/323354</w:t>
            </w:r>
          </w:p>
        </w:tc>
        <w:tc>
          <w:tcPr>
            <w:tcW w:w="1383" w:type="dxa"/>
            <w:noWrap/>
            <w:vAlign w:val="bottom"/>
            <w:hideMark/>
          </w:tcPr>
          <w:p w14:paraId="3043FBD5"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420457/355872</w:t>
            </w:r>
          </w:p>
        </w:tc>
        <w:tc>
          <w:tcPr>
            <w:tcW w:w="1481" w:type="dxa"/>
            <w:noWrap/>
            <w:vAlign w:val="bottom"/>
            <w:hideMark/>
          </w:tcPr>
          <w:p w14:paraId="3B20F7E4"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542751/504163</w:t>
            </w:r>
          </w:p>
        </w:tc>
        <w:tc>
          <w:tcPr>
            <w:tcW w:w="1383" w:type="dxa"/>
            <w:noWrap/>
            <w:vAlign w:val="bottom"/>
            <w:hideMark/>
          </w:tcPr>
          <w:p w14:paraId="7AD2B3AD"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601602/510348</w:t>
            </w:r>
          </w:p>
        </w:tc>
        <w:tc>
          <w:tcPr>
            <w:tcW w:w="1383" w:type="dxa"/>
            <w:noWrap/>
            <w:vAlign w:val="bottom"/>
            <w:hideMark/>
          </w:tcPr>
          <w:p w14:paraId="0043E97D"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614680/510290</w:t>
            </w:r>
          </w:p>
        </w:tc>
      </w:tr>
      <w:tr w:rsidR="00345BDD" w:rsidRPr="00D16F09" w14:paraId="53BD813E" w14:textId="77777777" w:rsidTr="00345BDD">
        <w:trPr>
          <w:trHeight w:val="322"/>
        </w:trPr>
        <w:tc>
          <w:tcPr>
            <w:tcW w:w="796" w:type="dxa"/>
            <w:noWrap/>
            <w:vAlign w:val="bottom"/>
            <w:hideMark/>
          </w:tcPr>
          <w:p w14:paraId="504D313D" w14:textId="77777777" w:rsidR="00D16F09" w:rsidRPr="00D16F09" w:rsidRDefault="00D16F09" w:rsidP="00D16F09">
            <w:pPr>
              <w:spacing w:after="0" w:line="240" w:lineRule="auto"/>
              <w:jc w:val="left"/>
              <w:rPr>
                <w:rFonts w:eastAsia="Times New Roman" w:cs="Times New Roman"/>
                <w:color w:val="000000"/>
                <w:lang w:eastAsia="en-GB"/>
                <w14:ligatures w14:val="none"/>
              </w:rPr>
            </w:pPr>
          </w:p>
        </w:tc>
        <w:tc>
          <w:tcPr>
            <w:tcW w:w="1325" w:type="dxa"/>
            <w:shd w:val="clear" w:color="000000" w:fill="DDEBF7"/>
            <w:noWrap/>
            <w:vAlign w:val="bottom"/>
            <w:hideMark/>
          </w:tcPr>
          <w:p w14:paraId="3C66DD6F" w14:textId="77777777" w:rsidR="00D16F09" w:rsidRPr="00D16F09" w:rsidRDefault="00D16F09" w:rsidP="00D16F09">
            <w:pPr>
              <w:spacing w:after="0" w:line="240" w:lineRule="auto"/>
              <w:jc w:val="left"/>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Results</w:t>
            </w:r>
          </w:p>
        </w:tc>
        <w:tc>
          <w:tcPr>
            <w:tcW w:w="1383" w:type="dxa"/>
            <w:shd w:val="clear" w:color="000000" w:fill="DDEBF7"/>
            <w:noWrap/>
            <w:vAlign w:val="bottom"/>
            <w:hideMark/>
          </w:tcPr>
          <w:p w14:paraId="5149B0DB"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1.22</w:t>
            </w:r>
          </w:p>
        </w:tc>
        <w:tc>
          <w:tcPr>
            <w:tcW w:w="1383" w:type="dxa"/>
            <w:shd w:val="clear" w:color="000000" w:fill="DDEBF7"/>
            <w:noWrap/>
            <w:vAlign w:val="bottom"/>
            <w:hideMark/>
          </w:tcPr>
          <w:p w14:paraId="1312B0FB"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1.18</w:t>
            </w:r>
          </w:p>
        </w:tc>
        <w:tc>
          <w:tcPr>
            <w:tcW w:w="1481" w:type="dxa"/>
            <w:shd w:val="clear" w:color="000000" w:fill="DDEBF7"/>
            <w:noWrap/>
            <w:vAlign w:val="bottom"/>
            <w:hideMark/>
          </w:tcPr>
          <w:p w14:paraId="4F1C447B"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1.08</w:t>
            </w:r>
          </w:p>
        </w:tc>
        <w:tc>
          <w:tcPr>
            <w:tcW w:w="1383" w:type="dxa"/>
            <w:shd w:val="clear" w:color="000000" w:fill="DDEBF7"/>
            <w:noWrap/>
            <w:vAlign w:val="bottom"/>
            <w:hideMark/>
          </w:tcPr>
          <w:p w14:paraId="0A7BFE79"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1.18</w:t>
            </w:r>
          </w:p>
        </w:tc>
        <w:tc>
          <w:tcPr>
            <w:tcW w:w="1383" w:type="dxa"/>
            <w:shd w:val="clear" w:color="000000" w:fill="DDEBF7"/>
            <w:noWrap/>
            <w:vAlign w:val="bottom"/>
            <w:hideMark/>
          </w:tcPr>
          <w:p w14:paraId="51DE2EFD"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1.20</w:t>
            </w:r>
          </w:p>
        </w:tc>
      </w:tr>
      <w:tr w:rsidR="00345BDD" w:rsidRPr="00D16F09" w14:paraId="0EF819F6" w14:textId="77777777" w:rsidTr="00345BDD">
        <w:trPr>
          <w:trHeight w:val="322"/>
        </w:trPr>
        <w:tc>
          <w:tcPr>
            <w:tcW w:w="796" w:type="dxa"/>
            <w:noWrap/>
            <w:vAlign w:val="bottom"/>
            <w:hideMark/>
          </w:tcPr>
          <w:p w14:paraId="2813FF7E"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Fixed Asset Turnover Ratio</w:t>
            </w:r>
          </w:p>
        </w:tc>
        <w:tc>
          <w:tcPr>
            <w:tcW w:w="1325" w:type="dxa"/>
            <w:noWrap/>
            <w:vAlign w:val="bottom"/>
            <w:hideMark/>
          </w:tcPr>
          <w:p w14:paraId="223D41B1"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(Net Sales/Fixed Assets)</w:t>
            </w:r>
          </w:p>
        </w:tc>
        <w:tc>
          <w:tcPr>
            <w:tcW w:w="1383" w:type="dxa"/>
            <w:noWrap/>
            <w:vAlign w:val="bottom"/>
            <w:hideMark/>
          </w:tcPr>
          <w:p w14:paraId="230DF0A1"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394879/299110</w:t>
            </w:r>
          </w:p>
        </w:tc>
        <w:tc>
          <w:tcPr>
            <w:tcW w:w="1383" w:type="dxa"/>
            <w:noWrap/>
            <w:vAlign w:val="bottom"/>
            <w:hideMark/>
          </w:tcPr>
          <w:p w14:paraId="68D51558"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420457/97021</w:t>
            </w:r>
          </w:p>
        </w:tc>
        <w:tc>
          <w:tcPr>
            <w:tcW w:w="1481" w:type="dxa"/>
            <w:noWrap/>
            <w:vAlign w:val="bottom"/>
            <w:hideMark/>
          </w:tcPr>
          <w:p w14:paraId="51A0CE66"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542751/166123</w:t>
            </w:r>
          </w:p>
        </w:tc>
        <w:tc>
          <w:tcPr>
            <w:tcW w:w="1383" w:type="dxa"/>
            <w:noWrap/>
            <w:vAlign w:val="bottom"/>
            <w:hideMark/>
          </w:tcPr>
          <w:p w14:paraId="211AFB72"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601602/173202</w:t>
            </w:r>
          </w:p>
        </w:tc>
        <w:tc>
          <w:tcPr>
            <w:tcW w:w="1383" w:type="dxa"/>
            <w:noWrap/>
            <w:vAlign w:val="bottom"/>
            <w:hideMark/>
          </w:tcPr>
          <w:p w14:paraId="232CF678"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614680/183447</w:t>
            </w:r>
          </w:p>
        </w:tc>
      </w:tr>
      <w:tr w:rsidR="00345BDD" w:rsidRPr="00D16F09" w14:paraId="174E45A1" w14:textId="77777777" w:rsidTr="00345BDD">
        <w:trPr>
          <w:trHeight w:val="322"/>
        </w:trPr>
        <w:tc>
          <w:tcPr>
            <w:tcW w:w="796" w:type="dxa"/>
            <w:noWrap/>
            <w:vAlign w:val="bottom"/>
            <w:hideMark/>
          </w:tcPr>
          <w:p w14:paraId="5F08A6F7" w14:textId="77777777" w:rsidR="00D16F09" w:rsidRPr="00D16F09" w:rsidRDefault="00D16F09" w:rsidP="00D16F09">
            <w:pPr>
              <w:spacing w:after="0" w:line="240" w:lineRule="auto"/>
              <w:jc w:val="left"/>
              <w:rPr>
                <w:rFonts w:eastAsia="Times New Roman" w:cs="Times New Roman"/>
                <w:color w:val="000000"/>
                <w:lang w:eastAsia="en-GB"/>
                <w14:ligatures w14:val="none"/>
              </w:rPr>
            </w:pPr>
          </w:p>
        </w:tc>
        <w:tc>
          <w:tcPr>
            <w:tcW w:w="1325" w:type="dxa"/>
            <w:shd w:val="clear" w:color="000000" w:fill="DDEBF7"/>
            <w:noWrap/>
            <w:vAlign w:val="bottom"/>
            <w:hideMark/>
          </w:tcPr>
          <w:p w14:paraId="69FA3F33" w14:textId="77777777" w:rsidR="00D16F09" w:rsidRPr="00D16F09" w:rsidRDefault="00D16F09" w:rsidP="00D16F09">
            <w:pPr>
              <w:spacing w:after="0" w:line="240" w:lineRule="auto"/>
              <w:jc w:val="left"/>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Results</w:t>
            </w:r>
          </w:p>
        </w:tc>
        <w:tc>
          <w:tcPr>
            <w:tcW w:w="1383" w:type="dxa"/>
            <w:shd w:val="clear" w:color="000000" w:fill="DDEBF7"/>
            <w:noWrap/>
            <w:vAlign w:val="bottom"/>
            <w:hideMark/>
          </w:tcPr>
          <w:p w14:paraId="40576FD4"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1.32</w:t>
            </w:r>
          </w:p>
        </w:tc>
        <w:tc>
          <w:tcPr>
            <w:tcW w:w="1383" w:type="dxa"/>
            <w:shd w:val="clear" w:color="000000" w:fill="DDEBF7"/>
            <w:noWrap/>
            <w:vAlign w:val="bottom"/>
            <w:hideMark/>
          </w:tcPr>
          <w:p w14:paraId="7569EBDC"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4.33</w:t>
            </w:r>
          </w:p>
        </w:tc>
        <w:tc>
          <w:tcPr>
            <w:tcW w:w="1481" w:type="dxa"/>
            <w:shd w:val="clear" w:color="000000" w:fill="DDEBF7"/>
            <w:noWrap/>
            <w:vAlign w:val="bottom"/>
            <w:hideMark/>
          </w:tcPr>
          <w:p w14:paraId="7B8A3A93"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3.27</w:t>
            </w:r>
          </w:p>
        </w:tc>
        <w:tc>
          <w:tcPr>
            <w:tcW w:w="1383" w:type="dxa"/>
            <w:shd w:val="clear" w:color="000000" w:fill="DDEBF7"/>
            <w:noWrap/>
            <w:vAlign w:val="bottom"/>
            <w:hideMark/>
          </w:tcPr>
          <w:p w14:paraId="00F609B9"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3.47</w:t>
            </w:r>
          </w:p>
        </w:tc>
        <w:tc>
          <w:tcPr>
            <w:tcW w:w="1383" w:type="dxa"/>
            <w:shd w:val="clear" w:color="000000" w:fill="DDEBF7"/>
            <w:noWrap/>
            <w:vAlign w:val="bottom"/>
            <w:hideMark/>
          </w:tcPr>
          <w:p w14:paraId="79DFBC78"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3.35</w:t>
            </w:r>
          </w:p>
        </w:tc>
      </w:tr>
      <w:tr w:rsidR="00345BDD" w:rsidRPr="00D16F09" w14:paraId="384EE143" w14:textId="77777777" w:rsidTr="00345BDD">
        <w:trPr>
          <w:trHeight w:val="645"/>
        </w:trPr>
        <w:tc>
          <w:tcPr>
            <w:tcW w:w="796" w:type="dxa"/>
            <w:noWrap/>
            <w:vAlign w:val="bottom"/>
            <w:hideMark/>
          </w:tcPr>
          <w:p w14:paraId="30D1DE12"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Account Receivable Days</w:t>
            </w:r>
          </w:p>
        </w:tc>
        <w:tc>
          <w:tcPr>
            <w:tcW w:w="1325" w:type="dxa"/>
            <w:vAlign w:val="bottom"/>
            <w:hideMark/>
          </w:tcPr>
          <w:p w14:paraId="7E41354C" w14:textId="673D09B3"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(Account Receivables/Average Sales)</w:t>
            </w:r>
            <w:r w:rsidRPr="00D16F09">
              <w:rPr>
                <w:rFonts w:eastAsia="Times New Roman" w:cs="Times New Roman"/>
                <w:color w:val="000000"/>
                <w:sz w:val="22"/>
                <w:lang w:eastAsia="en-GB"/>
                <w14:ligatures w14:val="none"/>
              </w:rPr>
              <w:br/>
              <w:t>*365</w:t>
            </w:r>
          </w:p>
        </w:tc>
        <w:tc>
          <w:tcPr>
            <w:tcW w:w="1383" w:type="dxa"/>
            <w:noWrap/>
            <w:vAlign w:val="bottom"/>
            <w:hideMark/>
          </w:tcPr>
          <w:p w14:paraId="26A69FDE"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(114182/407668)*365</w:t>
            </w:r>
          </w:p>
        </w:tc>
        <w:tc>
          <w:tcPr>
            <w:tcW w:w="1383" w:type="dxa"/>
            <w:noWrap/>
            <w:vAlign w:val="bottom"/>
            <w:hideMark/>
          </w:tcPr>
          <w:p w14:paraId="614FD9D8"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(112596/481604)*365</w:t>
            </w:r>
          </w:p>
        </w:tc>
        <w:tc>
          <w:tcPr>
            <w:tcW w:w="1481" w:type="dxa"/>
            <w:noWrap/>
            <w:vAlign w:val="bottom"/>
            <w:hideMark/>
          </w:tcPr>
          <w:p w14:paraId="4F651746"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(112346/572176.5)*365</w:t>
            </w:r>
          </w:p>
        </w:tc>
        <w:tc>
          <w:tcPr>
            <w:tcW w:w="1383" w:type="dxa"/>
            <w:noWrap/>
            <w:vAlign w:val="bottom"/>
            <w:hideMark/>
          </w:tcPr>
          <w:p w14:paraId="743AB02B"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(129215/608141)*365</w:t>
            </w:r>
          </w:p>
        </w:tc>
        <w:tc>
          <w:tcPr>
            <w:tcW w:w="1383" w:type="dxa"/>
            <w:noWrap/>
            <w:vAlign w:val="bottom"/>
            <w:hideMark/>
          </w:tcPr>
          <w:p w14:paraId="0A85565D"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(129433/614680)*365</w:t>
            </w:r>
          </w:p>
        </w:tc>
      </w:tr>
      <w:tr w:rsidR="00345BDD" w:rsidRPr="00D16F09" w14:paraId="5301F78F" w14:textId="77777777" w:rsidTr="00345BDD">
        <w:trPr>
          <w:trHeight w:val="322"/>
        </w:trPr>
        <w:tc>
          <w:tcPr>
            <w:tcW w:w="796" w:type="dxa"/>
            <w:noWrap/>
            <w:vAlign w:val="bottom"/>
            <w:hideMark/>
          </w:tcPr>
          <w:p w14:paraId="45249903" w14:textId="77777777" w:rsidR="00D16F09" w:rsidRPr="00D16F09" w:rsidRDefault="00D16F09" w:rsidP="00D16F09">
            <w:pPr>
              <w:spacing w:after="0" w:line="240" w:lineRule="auto"/>
              <w:jc w:val="left"/>
              <w:rPr>
                <w:rFonts w:eastAsia="Times New Roman" w:cs="Times New Roman"/>
                <w:color w:val="000000"/>
                <w:lang w:eastAsia="en-GB"/>
                <w14:ligatures w14:val="none"/>
              </w:rPr>
            </w:pPr>
          </w:p>
        </w:tc>
        <w:tc>
          <w:tcPr>
            <w:tcW w:w="1325" w:type="dxa"/>
            <w:shd w:val="clear" w:color="000000" w:fill="DDEBF7"/>
            <w:noWrap/>
            <w:vAlign w:val="bottom"/>
            <w:hideMark/>
          </w:tcPr>
          <w:p w14:paraId="280EE17B" w14:textId="77777777" w:rsidR="00D16F09" w:rsidRPr="00D16F09" w:rsidRDefault="00D16F09" w:rsidP="00D16F09">
            <w:pPr>
              <w:spacing w:after="0" w:line="240" w:lineRule="auto"/>
              <w:jc w:val="left"/>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Results</w:t>
            </w:r>
          </w:p>
        </w:tc>
        <w:tc>
          <w:tcPr>
            <w:tcW w:w="1383" w:type="dxa"/>
            <w:shd w:val="clear" w:color="000000" w:fill="DDEBF7"/>
            <w:noWrap/>
            <w:vAlign w:val="bottom"/>
            <w:hideMark/>
          </w:tcPr>
          <w:p w14:paraId="5DECF9E8"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102.23</w:t>
            </w:r>
          </w:p>
        </w:tc>
        <w:tc>
          <w:tcPr>
            <w:tcW w:w="1383" w:type="dxa"/>
            <w:shd w:val="clear" w:color="000000" w:fill="DDEBF7"/>
            <w:noWrap/>
            <w:vAlign w:val="bottom"/>
            <w:hideMark/>
          </w:tcPr>
          <w:p w14:paraId="673C2B65"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85.33</w:t>
            </w:r>
          </w:p>
        </w:tc>
        <w:tc>
          <w:tcPr>
            <w:tcW w:w="1481" w:type="dxa"/>
            <w:shd w:val="clear" w:color="000000" w:fill="DDEBF7"/>
            <w:noWrap/>
            <w:vAlign w:val="bottom"/>
            <w:hideMark/>
          </w:tcPr>
          <w:p w14:paraId="0A59B409"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71.67</w:t>
            </w:r>
          </w:p>
        </w:tc>
        <w:tc>
          <w:tcPr>
            <w:tcW w:w="1383" w:type="dxa"/>
            <w:shd w:val="clear" w:color="000000" w:fill="DDEBF7"/>
            <w:noWrap/>
            <w:vAlign w:val="bottom"/>
            <w:hideMark/>
          </w:tcPr>
          <w:p w14:paraId="2E5C77CA"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77.55</w:t>
            </w:r>
          </w:p>
        </w:tc>
        <w:tc>
          <w:tcPr>
            <w:tcW w:w="1383" w:type="dxa"/>
            <w:shd w:val="clear" w:color="000000" w:fill="DDEBF7"/>
            <w:noWrap/>
            <w:vAlign w:val="bottom"/>
            <w:hideMark/>
          </w:tcPr>
          <w:p w14:paraId="2C6C54E7"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76.86</w:t>
            </w:r>
          </w:p>
        </w:tc>
      </w:tr>
      <w:tr w:rsidR="00345BDD" w:rsidRPr="00D16F09" w14:paraId="7ED584C0" w14:textId="77777777" w:rsidTr="00345BDD">
        <w:trPr>
          <w:trHeight w:val="645"/>
        </w:trPr>
        <w:tc>
          <w:tcPr>
            <w:tcW w:w="796" w:type="dxa"/>
            <w:noWrap/>
            <w:vAlign w:val="bottom"/>
            <w:hideMark/>
          </w:tcPr>
          <w:p w14:paraId="0D831A65"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lastRenderedPageBreak/>
              <w:t>Account Payable Days</w:t>
            </w:r>
          </w:p>
        </w:tc>
        <w:tc>
          <w:tcPr>
            <w:tcW w:w="1325" w:type="dxa"/>
            <w:vAlign w:val="bottom"/>
            <w:hideMark/>
          </w:tcPr>
          <w:p w14:paraId="79984850"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(Account Payable/Average COGS)</w:t>
            </w:r>
            <w:r w:rsidRPr="00D16F09">
              <w:rPr>
                <w:rFonts w:eastAsia="Times New Roman" w:cs="Times New Roman"/>
                <w:color w:val="000000"/>
                <w:sz w:val="22"/>
                <w:lang w:eastAsia="en-GB"/>
                <w14:ligatures w14:val="none"/>
              </w:rPr>
              <w:br/>
              <w:t>*365</w:t>
            </w:r>
          </w:p>
        </w:tc>
        <w:tc>
          <w:tcPr>
            <w:tcW w:w="1383" w:type="dxa"/>
            <w:noWrap/>
            <w:vAlign w:val="center"/>
            <w:hideMark/>
          </w:tcPr>
          <w:p w14:paraId="621B2B08"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(72031/301891)*365</w:t>
            </w:r>
          </w:p>
        </w:tc>
        <w:tc>
          <w:tcPr>
            <w:tcW w:w="1383" w:type="dxa"/>
            <w:noWrap/>
            <w:vAlign w:val="center"/>
            <w:hideMark/>
          </w:tcPr>
          <w:p w14:paraId="474EC96B"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(57033/356678)*365</w:t>
            </w:r>
          </w:p>
        </w:tc>
        <w:tc>
          <w:tcPr>
            <w:tcW w:w="1481" w:type="dxa"/>
            <w:noWrap/>
            <w:vAlign w:val="center"/>
            <w:hideMark/>
          </w:tcPr>
          <w:p w14:paraId="3491DCD9"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(71373/409522.5)*365</w:t>
            </w:r>
          </w:p>
        </w:tc>
        <w:tc>
          <w:tcPr>
            <w:tcW w:w="1383" w:type="dxa"/>
            <w:noWrap/>
            <w:vAlign w:val="center"/>
            <w:hideMark/>
          </w:tcPr>
          <w:p w14:paraId="5AD2358A"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(92707/433505)*365</w:t>
            </w:r>
          </w:p>
        </w:tc>
        <w:tc>
          <w:tcPr>
            <w:tcW w:w="1383" w:type="dxa"/>
            <w:noWrap/>
            <w:vAlign w:val="center"/>
            <w:hideMark/>
          </w:tcPr>
          <w:p w14:paraId="4D5CDEA0"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(83229/438424)*365</w:t>
            </w:r>
          </w:p>
        </w:tc>
      </w:tr>
      <w:tr w:rsidR="00345BDD" w:rsidRPr="00D16F09" w14:paraId="4B8183E8" w14:textId="77777777" w:rsidTr="00345BDD">
        <w:trPr>
          <w:trHeight w:val="322"/>
        </w:trPr>
        <w:tc>
          <w:tcPr>
            <w:tcW w:w="796" w:type="dxa"/>
            <w:noWrap/>
            <w:vAlign w:val="bottom"/>
            <w:hideMark/>
          </w:tcPr>
          <w:p w14:paraId="6052B7C7" w14:textId="77777777" w:rsidR="00D16F09" w:rsidRPr="00D16F09" w:rsidRDefault="00D16F09" w:rsidP="00D16F09">
            <w:pPr>
              <w:spacing w:after="0" w:line="240" w:lineRule="auto"/>
              <w:jc w:val="left"/>
              <w:rPr>
                <w:rFonts w:eastAsia="Times New Roman" w:cs="Times New Roman"/>
                <w:color w:val="000000"/>
                <w:lang w:eastAsia="en-GB"/>
                <w14:ligatures w14:val="none"/>
              </w:rPr>
            </w:pPr>
          </w:p>
        </w:tc>
        <w:tc>
          <w:tcPr>
            <w:tcW w:w="1325" w:type="dxa"/>
            <w:shd w:val="clear" w:color="000000" w:fill="DDEBF7"/>
            <w:noWrap/>
            <w:vAlign w:val="bottom"/>
            <w:hideMark/>
          </w:tcPr>
          <w:p w14:paraId="60613B36" w14:textId="77777777" w:rsidR="00D16F09" w:rsidRPr="00D16F09" w:rsidRDefault="00D16F09" w:rsidP="00D16F09">
            <w:pPr>
              <w:spacing w:after="0" w:line="240" w:lineRule="auto"/>
              <w:jc w:val="left"/>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Results</w:t>
            </w:r>
          </w:p>
        </w:tc>
        <w:tc>
          <w:tcPr>
            <w:tcW w:w="1383" w:type="dxa"/>
            <w:shd w:val="clear" w:color="000000" w:fill="DDEBF7"/>
            <w:noWrap/>
            <w:vAlign w:val="center"/>
            <w:hideMark/>
          </w:tcPr>
          <w:p w14:paraId="0D29725E"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87.09</w:t>
            </w:r>
          </w:p>
        </w:tc>
        <w:tc>
          <w:tcPr>
            <w:tcW w:w="1383" w:type="dxa"/>
            <w:shd w:val="clear" w:color="000000" w:fill="DDEBF7"/>
            <w:noWrap/>
            <w:vAlign w:val="center"/>
            <w:hideMark/>
          </w:tcPr>
          <w:p w14:paraId="0A153B45"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58.36</w:t>
            </w:r>
          </w:p>
        </w:tc>
        <w:tc>
          <w:tcPr>
            <w:tcW w:w="1481" w:type="dxa"/>
            <w:shd w:val="clear" w:color="000000" w:fill="DDEBF7"/>
            <w:noWrap/>
            <w:vAlign w:val="center"/>
            <w:hideMark/>
          </w:tcPr>
          <w:p w14:paraId="6B8F859A"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63.61</w:t>
            </w:r>
          </w:p>
        </w:tc>
        <w:tc>
          <w:tcPr>
            <w:tcW w:w="1383" w:type="dxa"/>
            <w:shd w:val="clear" w:color="000000" w:fill="DDEBF7"/>
            <w:noWrap/>
            <w:vAlign w:val="center"/>
            <w:hideMark/>
          </w:tcPr>
          <w:p w14:paraId="7C056658"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78.06</w:t>
            </w:r>
          </w:p>
        </w:tc>
        <w:tc>
          <w:tcPr>
            <w:tcW w:w="1383" w:type="dxa"/>
            <w:shd w:val="clear" w:color="000000" w:fill="DDEBF7"/>
            <w:noWrap/>
            <w:vAlign w:val="center"/>
            <w:hideMark/>
          </w:tcPr>
          <w:p w14:paraId="7634327B"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69.29</w:t>
            </w:r>
          </w:p>
        </w:tc>
      </w:tr>
      <w:tr w:rsidR="00345BDD" w:rsidRPr="00D16F09" w14:paraId="105D4104" w14:textId="77777777" w:rsidTr="00345BDD">
        <w:trPr>
          <w:trHeight w:val="322"/>
        </w:trPr>
        <w:tc>
          <w:tcPr>
            <w:tcW w:w="796" w:type="dxa"/>
            <w:noWrap/>
            <w:vAlign w:val="bottom"/>
            <w:hideMark/>
          </w:tcPr>
          <w:p w14:paraId="42AE326C" w14:textId="251A3D8F"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Inventory Days</w:t>
            </w:r>
          </w:p>
        </w:tc>
        <w:tc>
          <w:tcPr>
            <w:tcW w:w="1325" w:type="dxa"/>
            <w:noWrap/>
            <w:vAlign w:val="bottom"/>
            <w:hideMark/>
          </w:tcPr>
          <w:p w14:paraId="2FD13C97"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Costs of Goods Sales/Inventory</w:t>
            </w:r>
          </w:p>
        </w:tc>
        <w:tc>
          <w:tcPr>
            <w:tcW w:w="1383" w:type="dxa"/>
            <w:noWrap/>
            <w:vAlign w:val="center"/>
            <w:hideMark/>
          </w:tcPr>
          <w:p w14:paraId="090E4127"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(79355/280885)*365</w:t>
            </w:r>
          </w:p>
        </w:tc>
        <w:tc>
          <w:tcPr>
            <w:tcW w:w="1383" w:type="dxa"/>
            <w:noWrap/>
            <w:vAlign w:val="center"/>
            <w:hideMark/>
          </w:tcPr>
          <w:p w14:paraId="02E635E9"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(88273/322897)*365</w:t>
            </w:r>
          </w:p>
        </w:tc>
        <w:tc>
          <w:tcPr>
            <w:tcW w:w="1481" w:type="dxa"/>
            <w:noWrap/>
            <w:vAlign w:val="center"/>
            <w:hideMark/>
          </w:tcPr>
          <w:p w14:paraId="54AEDCB9"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(140181/390459)*365</w:t>
            </w:r>
          </w:p>
        </w:tc>
        <w:tc>
          <w:tcPr>
            <w:tcW w:w="1383" w:type="dxa"/>
            <w:noWrap/>
            <w:vAlign w:val="center"/>
            <w:hideMark/>
          </w:tcPr>
          <w:p w14:paraId="53567E13"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(134469/428586)*365</w:t>
            </w:r>
          </w:p>
        </w:tc>
        <w:tc>
          <w:tcPr>
            <w:tcW w:w="1383" w:type="dxa"/>
            <w:noWrap/>
            <w:vAlign w:val="center"/>
            <w:hideMark/>
          </w:tcPr>
          <w:p w14:paraId="382F79B7"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(120430/438424)*365</w:t>
            </w:r>
          </w:p>
        </w:tc>
      </w:tr>
      <w:tr w:rsidR="00345BDD" w:rsidRPr="00D16F09" w14:paraId="2BD07BA2" w14:textId="77777777" w:rsidTr="00345BDD">
        <w:trPr>
          <w:trHeight w:val="322"/>
        </w:trPr>
        <w:tc>
          <w:tcPr>
            <w:tcW w:w="796" w:type="dxa"/>
            <w:noWrap/>
            <w:vAlign w:val="bottom"/>
            <w:hideMark/>
          </w:tcPr>
          <w:p w14:paraId="649400A1" w14:textId="77777777" w:rsidR="00D16F09" w:rsidRPr="00D16F09" w:rsidRDefault="00D16F09" w:rsidP="00D16F09">
            <w:pPr>
              <w:spacing w:after="0" w:line="240" w:lineRule="auto"/>
              <w:jc w:val="left"/>
              <w:rPr>
                <w:rFonts w:eastAsia="Times New Roman" w:cs="Times New Roman"/>
                <w:color w:val="000000"/>
                <w:lang w:eastAsia="en-GB"/>
                <w14:ligatures w14:val="none"/>
              </w:rPr>
            </w:pPr>
          </w:p>
        </w:tc>
        <w:tc>
          <w:tcPr>
            <w:tcW w:w="1325" w:type="dxa"/>
            <w:shd w:val="clear" w:color="000000" w:fill="DDEBF7"/>
            <w:noWrap/>
            <w:vAlign w:val="bottom"/>
            <w:hideMark/>
          </w:tcPr>
          <w:p w14:paraId="1CE919F3" w14:textId="77777777" w:rsidR="00D16F09" w:rsidRPr="00D16F09" w:rsidRDefault="00D16F09" w:rsidP="00D16F09">
            <w:pPr>
              <w:spacing w:after="0" w:line="240" w:lineRule="auto"/>
              <w:jc w:val="left"/>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Results</w:t>
            </w:r>
          </w:p>
        </w:tc>
        <w:tc>
          <w:tcPr>
            <w:tcW w:w="1383" w:type="dxa"/>
            <w:shd w:val="clear" w:color="000000" w:fill="DDEBF7"/>
            <w:noWrap/>
            <w:vAlign w:val="center"/>
            <w:hideMark/>
          </w:tcPr>
          <w:p w14:paraId="3595439D"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103.12</w:t>
            </w:r>
          </w:p>
        </w:tc>
        <w:tc>
          <w:tcPr>
            <w:tcW w:w="1383" w:type="dxa"/>
            <w:shd w:val="clear" w:color="000000" w:fill="DDEBF7"/>
            <w:noWrap/>
            <w:vAlign w:val="center"/>
            <w:hideMark/>
          </w:tcPr>
          <w:p w14:paraId="3A4FAAB0"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99.78</w:t>
            </w:r>
          </w:p>
        </w:tc>
        <w:tc>
          <w:tcPr>
            <w:tcW w:w="1481" w:type="dxa"/>
            <w:shd w:val="clear" w:color="000000" w:fill="DDEBF7"/>
            <w:noWrap/>
            <w:vAlign w:val="center"/>
            <w:hideMark/>
          </w:tcPr>
          <w:p w14:paraId="1D53F4D0"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131.04</w:t>
            </w:r>
          </w:p>
        </w:tc>
        <w:tc>
          <w:tcPr>
            <w:tcW w:w="1383" w:type="dxa"/>
            <w:shd w:val="clear" w:color="000000" w:fill="DDEBF7"/>
            <w:noWrap/>
            <w:vAlign w:val="center"/>
            <w:hideMark/>
          </w:tcPr>
          <w:p w14:paraId="38E37EFE"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114.52</w:t>
            </w:r>
          </w:p>
        </w:tc>
        <w:tc>
          <w:tcPr>
            <w:tcW w:w="1383" w:type="dxa"/>
            <w:shd w:val="clear" w:color="000000" w:fill="DDEBF7"/>
            <w:noWrap/>
            <w:vAlign w:val="center"/>
            <w:hideMark/>
          </w:tcPr>
          <w:p w14:paraId="0A8BAF4B"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100.26</w:t>
            </w:r>
          </w:p>
        </w:tc>
      </w:tr>
      <w:tr w:rsidR="00345BDD" w:rsidRPr="00D16F09" w14:paraId="1EDDC442" w14:textId="77777777" w:rsidTr="00123117">
        <w:trPr>
          <w:trHeight w:val="322"/>
        </w:trPr>
        <w:tc>
          <w:tcPr>
            <w:tcW w:w="9134" w:type="dxa"/>
            <w:gridSpan w:val="7"/>
            <w:noWrap/>
            <w:vAlign w:val="bottom"/>
            <w:hideMark/>
          </w:tcPr>
          <w:p w14:paraId="2434F668" w14:textId="257F3983" w:rsidR="00345BDD" w:rsidRPr="00D16F09" w:rsidRDefault="00345BDD" w:rsidP="00D16F09">
            <w:pPr>
              <w:spacing w:after="0" w:line="240" w:lineRule="auto"/>
              <w:jc w:val="left"/>
              <w:rPr>
                <w:rFonts w:eastAsia="Times New Roman" w:cs="Times New Roman"/>
                <w:sz w:val="20"/>
                <w:szCs w:val="20"/>
                <w:lang w:eastAsia="en-GB"/>
                <w14:ligatures w14:val="none"/>
              </w:rPr>
            </w:pPr>
            <w:r w:rsidRPr="00D16F09">
              <w:rPr>
                <w:rFonts w:eastAsia="Times New Roman" w:cs="Times New Roman"/>
                <w:b/>
                <w:bCs/>
                <w:color w:val="000000"/>
                <w:sz w:val="22"/>
                <w:lang w:eastAsia="en-GB"/>
                <w14:ligatures w14:val="none"/>
              </w:rPr>
              <w:t>4) Gearing Ratio</w:t>
            </w:r>
          </w:p>
        </w:tc>
      </w:tr>
      <w:tr w:rsidR="00345BDD" w:rsidRPr="00D16F09" w14:paraId="5B92E00F" w14:textId="77777777" w:rsidTr="00345BDD">
        <w:trPr>
          <w:trHeight w:val="322"/>
        </w:trPr>
        <w:tc>
          <w:tcPr>
            <w:tcW w:w="796" w:type="dxa"/>
            <w:noWrap/>
            <w:vAlign w:val="bottom"/>
            <w:hideMark/>
          </w:tcPr>
          <w:p w14:paraId="3CBECE9A"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Interest Coverage Ratio</w:t>
            </w:r>
          </w:p>
        </w:tc>
        <w:tc>
          <w:tcPr>
            <w:tcW w:w="1325" w:type="dxa"/>
            <w:noWrap/>
            <w:vAlign w:val="bottom"/>
            <w:hideMark/>
          </w:tcPr>
          <w:p w14:paraId="7F08AD61"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EBIT/Interest Expenses</w:t>
            </w:r>
          </w:p>
        </w:tc>
        <w:tc>
          <w:tcPr>
            <w:tcW w:w="1383" w:type="dxa"/>
            <w:noWrap/>
            <w:vAlign w:val="center"/>
            <w:hideMark/>
          </w:tcPr>
          <w:p w14:paraId="0AF04E5D"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 xml:space="preserve"> -11936/3361</w:t>
            </w:r>
          </w:p>
        </w:tc>
        <w:tc>
          <w:tcPr>
            <w:tcW w:w="1383" w:type="dxa"/>
            <w:noWrap/>
            <w:vAlign w:val="center"/>
            <w:hideMark/>
          </w:tcPr>
          <w:p w14:paraId="3FFAFD75"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 xml:space="preserve"> -80969/4332</w:t>
            </w:r>
          </w:p>
        </w:tc>
        <w:tc>
          <w:tcPr>
            <w:tcW w:w="1481" w:type="dxa"/>
            <w:noWrap/>
            <w:vAlign w:val="center"/>
            <w:hideMark/>
          </w:tcPr>
          <w:p w14:paraId="1ADA49C6"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 xml:space="preserve"> 16748/2200</w:t>
            </w:r>
          </w:p>
        </w:tc>
        <w:tc>
          <w:tcPr>
            <w:tcW w:w="1383" w:type="dxa"/>
            <w:noWrap/>
            <w:vAlign w:val="center"/>
            <w:hideMark/>
          </w:tcPr>
          <w:p w14:paraId="434CE35B"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 xml:space="preserve"> 23819/566</w:t>
            </w:r>
          </w:p>
        </w:tc>
        <w:tc>
          <w:tcPr>
            <w:tcW w:w="1383" w:type="dxa"/>
            <w:noWrap/>
            <w:vAlign w:val="center"/>
            <w:hideMark/>
          </w:tcPr>
          <w:p w14:paraId="77BAFD43"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 xml:space="preserve"> 38689/1422</w:t>
            </w:r>
          </w:p>
        </w:tc>
      </w:tr>
      <w:tr w:rsidR="00345BDD" w:rsidRPr="00D16F09" w14:paraId="0FFC8055" w14:textId="77777777" w:rsidTr="00345BDD">
        <w:trPr>
          <w:trHeight w:val="322"/>
        </w:trPr>
        <w:tc>
          <w:tcPr>
            <w:tcW w:w="796" w:type="dxa"/>
            <w:noWrap/>
            <w:vAlign w:val="bottom"/>
            <w:hideMark/>
          </w:tcPr>
          <w:p w14:paraId="2CAA8EDE" w14:textId="77777777" w:rsidR="00D16F09" w:rsidRPr="00D16F09" w:rsidRDefault="00D16F09" w:rsidP="00D16F09">
            <w:pPr>
              <w:spacing w:after="0" w:line="240" w:lineRule="auto"/>
              <w:jc w:val="left"/>
              <w:rPr>
                <w:rFonts w:eastAsia="Times New Roman" w:cs="Times New Roman"/>
                <w:color w:val="000000"/>
                <w:lang w:eastAsia="en-GB"/>
                <w14:ligatures w14:val="none"/>
              </w:rPr>
            </w:pPr>
          </w:p>
        </w:tc>
        <w:tc>
          <w:tcPr>
            <w:tcW w:w="1325" w:type="dxa"/>
            <w:shd w:val="clear" w:color="000000" w:fill="DDEBF7"/>
            <w:noWrap/>
            <w:vAlign w:val="bottom"/>
            <w:hideMark/>
          </w:tcPr>
          <w:p w14:paraId="2637B850" w14:textId="77777777" w:rsidR="00D16F09" w:rsidRPr="00D16F09" w:rsidRDefault="00D16F09" w:rsidP="00D16F09">
            <w:pPr>
              <w:spacing w:after="0" w:line="240" w:lineRule="auto"/>
              <w:jc w:val="left"/>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Results</w:t>
            </w:r>
          </w:p>
        </w:tc>
        <w:tc>
          <w:tcPr>
            <w:tcW w:w="1383" w:type="dxa"/>
            <w:shd w:val="clear" w:color="000000" w:fill="DDEBF7"/>
            <w:noWrap/>
            <w:vAlign w:val="center"/>
            <w:hideMark/>
          </w:tcPr>
          <w:p w14:paraId="42A68A7D"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-3.55</w:t>
            </w:r>
          </w:p>
        </w:tc>
        <w:tc>
          <w:tcPr>
            <w:tcW w:w="1383" w:type="dxa"/>
            <w:shd w:val="clear" w:color="000000" w:fill="DDEBF7"/>
            <w:noWrap/>
            <w:vAlign w:val="center"/>
            <w:hideMark/>
          </w:tcPr>
          <w:p w14:paraId="0A1BA472"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-18.69</w:t>
            </w:r>
          </w:p>
        </w:tc>
        <w:tc>
          <w:tcPr>
            <w:tcW w:w="1481" w:type="dxa"/>
            <w:shd w:val="clear" w:color="000000" w:fill="DDEBF7"/>
            <w:noWrap/>
            <w:vAlign w:val="center"/>
            <w:hideMark/>
          </w:tcPr>
          <w:p w14:paraId="61806462"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7.61</w:t>
            </w:r>
          </w:p>
        </w:tc>
        <w:tc>
          <w:tcPr>
            <w:tcW w:w="1383" w:type="dxa"/>
            <w:shd w:val="clear" w:color="000000" w:fill="DDEBF7"/>
            <w:noWrap/>
            <w:vAlign w:val="center"/>
            <w:hideMark/>
          </w:tcPr>
          <w:p w14:paraId="1597DB92"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42.08</w:t>
            </w:r>
          </w:p>
        </w:tc>
        <w:tc>
          <w:tcPr>
            <w:tcW w:w="1383" w:type="dxa"/>
            <w:shd w:val="clear" w:color="000000" w:fill="DDEBF7"/>
            <w:noWrap/>
            <w:vAlign w:val="center"/>
            <w:hideMark/>
          </w:tcPr>
          <w:p w14:paraId="7DCF2CF4"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27.21</w:t>
            </w:r>
          </w:p>
        </w:tc>
      </w:tr>
      <w:tr w:rsidR="00345BDD" w:rsidRPr="00D16F09" w14:paraId="4D396FD9" w14:textId="77777777" w:rsidTr="00345BDD">
        <w:trPr>
          <w:trHeight w:val="322"/>
        </w:trPr>
        <w:tc>
          <w:tcPr>
            <w:tcW w:w="796" w:type="dxa"/>
            <w:noWrap/>
            <w:vAlign w:val="bottom"/>
            <w:hideMark/>
          </w:tcPr>
          <w:p w14:paraId="64D401BC"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Debt-equity Ratio</w:t>
            </w:r>
          </w:p>
        </w:tc>
        <w:tc>
          <w:tcPr>
            <w:tcW w:w="1325" w:type="dxa"/>
            <w:noWrap/>
            <w:vAlign w:val="bottom"/>
            <w:hideMark/>
          </w:tcPr>
          <w:p w14:paraId="345386BA"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Total Debt/Total Equity</w:t>
            </w:r>
          </w:p>
        </w:tc>
        <w:tc>
          <w:tcPr>
            <w:tcW w:w="1383" w:type="dxa"/>
            <w:noWrap/>
            <w:vAlign w:val="center"/>
            <w:hideMark/>
          </w:tcPr>
          <w:p w14:paraId="036469F6"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170249/153105</w:t>
            </w:r>
          </w:p>
        </w:tc>
        <w:tc>
          <w:tcPr>
            <w:tcW w:w="1383" w:type="dxa"/>
            <w:noWrap/>
            <w:vAlign w:val="center"/>
            <w:hideMark/>
          </w:tcPr>
          <w:p w14:paraId="3E41B46B"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176952/178920</w:t>
            </w:r>
          </w:p>
        </w:tc>
        <w:tc>
          <w:tcPr>
            <w:tcW w:w="1481" w:type="dxa"/>
            <w:noWrap/>
            <w:vAlign w:val="center"/>
            <w:hideMark/>
          </w:tcPr>
          <w:p w14:paraId="79B35398"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235757/268406</w:t>
            </w:r>
          </w:p>
        </w:tc>
        <w:tc>
          <w:tcPr>
            <w:tcW w:w="1383" w:type="dxa"/>
            <w:noWrap/>
            <w:vAlign w:val="center"/>
            <w:hideMark/>
          </w:tcPr>
          <w:p w14:paraId="6F9AEF8B"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234399/275494</w:t>
            </w:r>
          </w:p>
        </w:tc>
        <w:tc>
          <w:tcPr>
            <w:tcW w:w="1383" w:type="dxa"/>
            <w:noWrap/>
            <w:vAlign w:val="center"/>
            <w:hideMark/>
          </w:tcPr>
          <w:p w14:paraId="25E4951E"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196989/313301</w:t>
            </w:r>
          </w:p>
        </w:tc>
      </w:tr>
      <w:tr w:rsidR="00345BDD" w:rsidRPr="00D16F09" w14:paraId="23B92ED9" w14:textId="77777777" w:rsidTr="00345BDD">
        <w:trPr>
          <w:trHeight w:val="322"/>
        </w:trPr>
        <w:tc>
          <w:tcPr>
            <w:tcW w:w="796" w:type="dxa"/>
            <w:noWrap/>
            <w:vAlign w:val="bottom"/>
            <w:hideMark/>
          </w:tcPr>
          <w:p w14:paraId="2F84AA68" w14:textId="77777777" w:rsidR="00D16F09" w:rsidRPr="00D16F09" w:rsidRDefault="00D16F09" w:rsidP="00D16F09">
            <w:pPr>
              <w:spacing w:after="0" w:line="240" w:lineRule="auto"/>
              <w:jc w:val="left"/>
              <w:rPr>
                <w:rFonts w:eastAsia="Times New Roman" w:cs="Times New Roman"/>
                <w:color w:val="000000"/>
                <w:lang w:eastAsia="en-GB"/>
                <w14:ligatures w14:val="none"/>
              </w:rPr>
            </w:pPr>
          </w:p>
        </w:tc>
        <w:tc>
          <w:tcPr>
            <w:tcW w:w="1325" w:type="dxa"/>
            <w:shd w:val="clear" w:color="000000" w:fill="DDEBF7"/>
            <w:noWrap/>
            <w:vAlign w:val="bottom"/>
            <w:hideMark/>
          </w:tcPr>
          <w:p w14:paraId="0F8A11B4" w14:textId="77777777" w:rsidR="00D16F09" w:rsidRPr="00D16F09" w:rsidRDefault="00D16F09" w:rsidP="00D16F09">
            <w:pPr>
              <w:spacing w:after="0" w:line="240" w:lineRule="auto"/>
              <w:jc w:val="left"/>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Results</w:t>
            </w:r>
          </w:p>
        </w:tc>
        <w:tc>
          <w:tcPr>
            <w:tcW w:w="1383" w:type="dxa"/>
            <w:shd w:val="clear" w:color="000000" w:fill="DDEBF7"/>
            <w:noWrap/>
            <w:vAlign w:val="center"/>
            <w:hideMark/>
          </w:tcPr>
          <w:p w14:paraId="3ED5E987"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1.11</w:t>
            </w:r>
          </w:p>
        </w:tc>
        <w:tc>
          <w:tcPr>
            <w:tcW w:w="1383" w:type="dxa"/>
            <w:shd w:val="clear" w:color="000000" w:fill="DDEBF7"/>
            <w:noWrap/>
            <w:vAlign w:val="center"/>
            <w:hideMark/>
          </w:tcPr>
          <w:p w14:paraId="2F6CB04B"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0.99</w:t>
            </w:r>
          </w:p>
        </w:tc>
        <w:tc>
          <w:tcPr>
            <w:tcW w:w="1481" w:type="dxa"/>
            <w:shd w:val="clear" w:color="000000" w:fill="DDEBF7"/>
            <w:noWrap/>
            <w:vAlign w:val="center"/>
            <w:hideMark/>
          </w:tcPr>
          <w:p w14:paraId="77B3F553"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0.88</w:t>
            </w:r>
          </w:p>
        </w:tc>
        <w:tc>
          <w:tcPr>
            <w:tcW w:w="1383" w:type="dxa"/>
            <w:shd w:val="clear" w:color="000000" w:fill="DDEBF7"/>
            <w:noWrap/>
            <w:vAlign w:val="center"/>
            <w:hideMark/>
          </w:tcPr>
          <w:p w14:paraId="4DD76750"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0.85</w:t>
            </w:r>
          </w:p>
        </w:tc>
        <w:tc>
          <w:tcPr>
            <w:tcW w:w="1383" w:type="dxa"/>
            <w:shd w:val="clear" w:color="000000" w:fill="DDEBF7"/>
            <w:noWrap/>
            <w:vAlign w:val="center"/>
            <w:hideMark/>
          </w:tcPr>
          <w:p w14:paraId="5BA35322"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0.63</w:t>
            </w:r>
          </w:p>
        </w:tc>
      </w:tr>
      <w:tr w:rsidR="00345BDD" w:rsidRPr="00D16F09" w14:paraId="449D5FD0" w14:textId="77777777" w:rsidTr="00123117">
        <w:trPr>
          <w:trHeight w:val="322"/>
        </w:trPr>
        <w:tc>
          <w:tcPr>
            <w:tcW w:w="9134" w:type="dxa"/>
            <w:gridSpan w:val="7"/>
            <w:noWrap/>
            <w:vAlign w:val="bottom"/>
            <w:hideMark/>
          </w:tcPr>
          <w:p w14:paraId="15179435" w14:textId="4D897FF5" w:rsidR="00345BDD" w:rsidRPr="00D16F09" w:rsidRDefault="00345BDD" w:rsidP="00D16F09">
            <w:pPr>
              <w:spacing w:after="0" w:line="240" w:lineRule="auto"/>
              <w:jc w:val="left"/>
              <w:rPr>
                <w:rFonts w:eastAsia="Times New Roman" w:cs="Times New Roman"/>
                <w:sz w:val="20"/>
                <w:szCs w:val="20"/>
                <w:lang w:eastAsia="en-GB"/>
                <w14:ligatures w14:val="none"/>
              </w:rPr>
            </w:pPr>
            <w:r w:rsidRPr="00D16F09">
              <w:rPr>
                <w:rFonts w:eastAsia="Times New Roman" w:cs="Times New Roman"/>
                <w:b/>
                <w:bCs/>
                <w:color w:val="000000"/>
                <w:sz w:val="22"/>
                <w:lang w:eastAsia="en-GB"/>
                <w14:ligatures w14:val="none"/>
              </w:rPr>
              <w:t>5) Investment Ratio</w:t>
            </w:r>
          </w:p>
        </w:tc>
      </w:tr>
      <w:tr w:rsidR="00345BDD" w:rsidRPr="00D16F09" w14:paraId="26DF4F54" w14:textId="77777777" w:rsidTr="00345BDD">
        <w:trPr>
          <w:trHeight w:val="322"/>
        </w:trPr>
        <w:tc>
          <w:tcPr>
            <w:tcW w:w="796" w:type="dxa"/>
            <w:noWrap/>
            <w:vAlign w:val="bottom"/>
            <w:hideMark/>
          </w:tcPr>
          <w:p w14:paraId="64718EFE"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EPS</w:t>
            </w:r>
          </w:p>
        </w:tc>
        <w:tc>
          <w:tcPr>
            <w:tcW w:w="1325" w:type="dxa"/>
            <w:noWrap/>
            <w:vAlign w:val="bottom"/>
            <w:hideMark/>
          </w:tcPr>
          <w:p w14:paraId="73879DB5"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Net Income/ Total Basic Shares</w:t>
            </w:r>
          </w:p>
        </w:tc>
        <w:tc>
          <w:tcPr>
            <w:tcW w:w="1383" w:type="dxa"/>
            <w:noWrap/>
            <w:vAlign w:val="bottom"/>
            <w:hideMark/>
          </w:tcPr>
          <w:p w14:paraId="34BA1720"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 xml:space="preserve"> -24029/12959</w:t>
            </w:r>
          </w:p>
        </w:tc>
        <w:tc>
          <w:tcPr>
            <w:tcW w:w="1383" w:type="dxa"/>
            <w:noWrap/>
            <w:vAlign w:val="bottom"/>
            <w:hideMark/>
          </w:tcPr>
          <w:p w14:paraId="6215EF87"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 xml:space="preserve"> -98238/12855</w:t>
            </w:r>
          </w:p>
        </w:tc>
        <w:tc>
          <w:tcPr>
            <w:tcW w:w="1481" w:type="dxa"/>
            <w:noWrap/>
            <w:vAlign w:val="bottom"/>
            <w:hideMark/>
          </w:tcPr>
          <w:p w14:paraId="7E930420"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407/12703</w:t>
            </w:r>
          </w:p>
        </w:tc>
        <w:tc>
          <w:tcPr>
            <w:tcW w:w="1383" w:type="dxa"/>
            <w:noWrap/>
            <w:vAlign w:val="bottom"/>
            <w:hideMark/>
          </w:tcPr>
          <w:p w14:paraId="69124A04"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5301/13465</w:t>
            </w:r>
          </w:p>
        </w:tc>
        <w:tc>
          <w:tcPr>
            <w:tcW w:w="1383" w:type="dxa"/>
            <w:noWrap/>
            <w:vAlign w:val="bottom"/>
            <w:hideMark/>
          </w:tcPr>
          <w:p w14:paraId="7DAE682C"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38572/13893</w:t>
            </w:r>
          </w:p>
        </w:tc>
      </w:tr>
      <w:tr w:rsidR="00345BDD" w:rsidRPr="00D16F09" w14:paraId="46D823F2" w14:textId="77777777" w:rsidTr="00345BDD">
        <w:trPr>
          <w:trHeight w:val="322"/>
        </w:trPr>
        <w:tc>
          <w:tcPr>
            <w:tcW w:w="796" w:type="dxa"/>
            <w:noWrap/>
            <w:vAlign w:val="bottom"/>
            <w:hideMark/>
          </w:tcPr>
          <w:p w14:paraId="5FF3205B" w14:textId="77777777" w:rsidR="00D16F09" w:rsidRPr="00D16F09" w:rsidRDefault="00D16F09" w:rsidP="00D16F09">
            <w:pPr>
              <w:spacing w:after="0" w:line="240" w:lineRule="auto"/>
              <w:jc w:val="left"/>
              <w:rPr>
                <w:rFonts w:eastAsia="Times New Roman" w:cs="Times New Roman"/>
                <w:color w:val="000000"/>
                <w:lang w:eastAsia="en-GB"/>
                <w14:ligatures w14:val="none"/>
              </w:rPr>
            </w:pPr>
          </w:p>
        </w:tc>
        <w:tc>
          <w:tcPr>
            <w:tcW w:w="1325" w:type="dxa"/>
            <w:shd w:val="clear" w:color="000000" w:fill="DDEBF7"/>
            <w:noWrap/>
            <w:vAlign w:val="bottom"/>
            <w:hideMark/>
          </w:tcPr>
          <w:p w14:paraId="0D2D30E8" w14:textId="77777777" w:rsidR="00D16F09" w:rsidRPr="00D16F09" w:rsidRDefault="00D16F09" w:rsidP="00D16F09">
            <w:pPr>
              <w:spacing w:after="0" w:line="240" w:lineRule="auto"/>
              <w:jc w:val="left"/>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Results</w:t>
            </w:r>
          </w:p>
        </w:tc>
        <w:tc>
          <w:tcPr>
            <w:tcW w:w="1383" w:type="dxa"/>
            <w:shd w:val="clear" w:color="000000" w:fill="DDEBF7"/>
            <w:noWrap/>
            <w:vAlign w:val="bottom"/>
            <w:hideMark/>
          </w:tcPr>
          <w:p w14:paraId="19B9F2B3"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-1.85</w:t>
            </w:r>
          </w:p>
        </w:tc>
        <w:tc>
          <w:tcPr>
            <w:tcW w:w="1383" w:type="dxa"/>
            <w:shd w:val="clear" w:color="000000" w:fill="DDEBF7"/>
            <w:noWrap/>
            <w:vAlign w:val="bottom"/>
            <w:hideMark/>
          </w:tcPr>
          <w:p w14:paraId="0DA07C45"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-7.64</w:t>
            </w:r>
          </w:p>
        </w:tc>
        <w:tc>
          <w:tcPr>
            <w:tcW w:w="1481" w:type="dxa"/>
            <w:shd w:val="clear" w:color="000000" w:fill="DDEBF7"/>
            <w:noWrap/>
            <w:vAlign w:val="bottom"/>
            <w:hideMark/>
          </w:tcPr>
          <w:p w14:paraId="60CC223B"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0.03</w:t>
            </w:r>
          </w:p>
        </w:tc>
        <w:tc>
          <w:tcPr>
            <w:tcW w:w="1383" w:type="dxa"/>
            <w:shd w:val="clear" w:color="000000" w:fill="DDEBF7"/>
            <w:noWrap/>
            <w:vAlign w:val="bottom"/>
            <w:hideMark/>
          </w:tcPr>
          <w:p w14:paraId="124A0FFF"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0.39</w:t>
            </w:r>
          </w:p>
        </w:tc>
        <w:tc>
          <w:tcPr>
            <w:tcW w:w="1383" w:type="dxa"/>
            <w:shd w:val="clear" w:color="000000" w:fill="DDEBF7"/>
            <w:noWrap/>
            <w:vAlign w:val="bottom"/>
            <w:hideMark/>
          </w:tcPr>
          <w:p w14:paraId="3E5465F4"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2.78</w:t>
            </w:r>
          </w:p>
        </w:tc>
      </w:tr>
      <w:tr w:rsidR="00345BDD" w:rsidRPr="00D16F09" w14:paraId="1E4D6A28" w14:textId="77777777" w:rsidTr="00123117">
        <w:trPr>
          <w:trHeight w:val="322"/>
        </w:trPr>
        <w:tc>
          <w:tcPr>
            <w:tcW w:w="9134" w:type="dxa"/>
            <w:gridSpan w:val="7"/>
            <w:noWrap/>
            <w:vAlign w:val="bottom"/>
            <w:hideMark/>
          </w:tcPr>
          <w:p w14:paraId="565F3A53" w14:textId="4D9BE1F7" w:rsidR="00345BDD" w:rsidRPr="00D16F09" w:rsidRDefault="00345BDD" w:rsidP="00D16F09">
            <w:pPr>
              <w:spacing w:after="0" w:line="240" w:lineRule="auto"/>
              <w:jc w:val="left"/>
              <w:rPr>
                <w:rFonts w:eastAsia="Times New Roman" w:cs="Times New Roman"/>
                <w:sz w:val="20"/>
                <w:szCs w:val="20"/>
                <w:lang w:eastAsia="en-GB"/>
                <w14:ligatures w14:val="none"/>
              </w:rPr>
            </w:pPr>
            <w:r w:rsidRPr="00D16F09">
              <w:rPr>
                <w:rFonts w:eastAsia="Times New Roman" w:cs="Times New Roman"/>
                <w:b/>
                <w:bCs/>
                <w:color w:val="000000"/>
                <w:sz w:val="22"/>
                <w:lang w:eastAsia="en-GB"/>
                <w14:ligatures w14:val="none"/>
              </w:rPr>
              <w:t>6) Cash Flow Ratio</w:t>
            </w:r>
          </w:p>
        </w:tc>
      </w:tr>
      <w:tr w:rsidR="00345BDD" w:rsidRPr="00D16F09" w14:paraId="7C3396F4" w14:textId="77777777" w:rsidTr="00345BDD">
        <w:trPr>
          <w:trHeight w:val="322"/>
        </w:trPr>
        <w:tc>
          <w:tcPr>
            <w:tcW w:w="796" w:type="dxa"/>
            <w:noWrap/>
            <w:vAlign w:val="bottom"/>
            <w:hideMark/>
          </w:tcPr>
          <w:p w14:paraId="1AEE3881"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Operating Cash Flow</w:t>
            </w:r>
          </w:p>
        </w:tc>
        <w:tc>
          <w:tcPr>
            <w:tcW w:w="1325" w:type="dxa"/>
            <w:noWrap/>
            <w:vAlign w:val="bottom"/>
            <w:hideMark/>
          </w:tcPr>
          <w:p w14:paraId="3FFA7AA4"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Operating Cash Flow/Current Liabilities</w:t>
            </w:r>
          </w:p>
        </w:tc>
        <w:tc>
          <w:tcPr>
            <w:tcW w:w="1383" w:type="dxa"/>
            <w:noWrap/>
            <w:vAlign w:val="center"/>
            <w:hideMark/>
          </w:tcPr>
          <w:p w14:paraId="073FADE3"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26783/158291</w:t>
            </w:r>
          </w:p>
        </w:tc>
        <w:tc>
          <w:tcPr>
            <w:tcW w:w="1383" w:type="dxa"/>
            <w:noWrap/>
            <w:vAlign w:val="center"/>
            <w:hideMark/>
          </w:tcPr>
          <w:p w14:paraId="30FE9BCE"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42751/161148</w:t>
            </w:r>
          </w:p>
        </w:tc>
        <w:tc>
          <w:tcPr>
            <w:tcW w:w="1481" w:type="dxa"/>
            <w:noWrap/>
            <w:vAlign w:val="center"/>
            <w:hideMark/>
          </w:tcPr>
          <w:p w14:paraId="32AC0C79"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66740/216473</w:t>
            </w:r>
          </w:p>
        </w:tc>
        <w:tc>
          <w:tcPr>
            <w:tcW w:w="1383" w:type="dxa"/>
            <w:noWrap/>
            <w:vAlign w:val="center"/>
            <w:hideMark/>
          </w:tcPr>
          <w:p w14:paraId="0D67413F"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66740/216787</w:t>
            </w:r>
          </w:p>
        </w:tc>
        <w:tc>
          <w:tcPr>
            <w:tcW w:w="1383" w:type="dxa"/>
            <w:noWrap/>
            <w:vAlign w:val="center"/>
            <w:hideMark/>
          </w:tcPr>
          <w:p w14:paraId="4D3EC5B5" w14:textId="77777777" w:rsidR="00D16F09" w:rsidRPr="00D16F09" w:rsidRDefault="00D16F09" w:rsidP="00D16F09">
            <w:pPr>
              <w:spacing w:after="0" w:line="240" w:lineRule="auto"/>
              <w:jc w:val="left"/>
              <w:rPr>
                <w:rFonts w:eastAsia="Times New Roman" w:cs="Times New Roman"/>
                <w:color w:val="000000"/>
                <w:lang w:eastAsia="en-GB"/>
                <w14:ligatures w14:val="none"/>
              </w:rPr>
            </w:pPr>
            <w:r w:rsidRPr="00D16F09">
              <w:rPr>
                <w:rFonts w:eastAsia="Times New Roman" w:cs="Times New Roman"/>
                <w:color w:val="000000"/>
                <w:sz w:val="22"/>
                <w:lang w:eastAsia="en-GB"/>
                <w14:ligatures w14:val="none"/>
              </w:rPr>
              <w:t>57153/179510</w:t>
            </w:r>
          </w:p>
        </w:tc>
      </w:tr>
      <w:tr w:rsidR="00345BDD" w:rsidRPr="00D16F09" w14:paraId="0BA30740" w14:textId="77777777" w:rsidTr="00345BDD">
        <w:trPr>
          <w:trHeight w:val="322"/>
        </w:trPr>
        <w:tc>
          <w:tcPr>
            <w:tcW w:w="796" w:type="dxa"/>
            <w:noWrap/>
            <w:vAlign w:val="bottom"/>
            <w:hideMark/>
          </w:tcPr>
          <w:p w14:paraId="6233058D" w14:textId="77777777" w:rsidR="00D16F09" w:rsidRPr="00D16F09" w:rsidRDefault="00D16F09" w:rsidP="00D16F09">
            <w:pPr>
              <w:spacing w:after="0" w:line="240" w:lineRule="auto"/>
              <w:jc w:val="left"/>
              <w:rPr>
                <w:rFonts w:eastAsia="Times New Roman" w:cs="Times New Roman"/>
                <w:color w:val="000000"/>
                <w:lang w:eastAsia="en-GB"/>
                <w14:ligatures w14:val="none"/>
              </w:rPr>
            </w:pPr>
          </w:p>
        </w:tc>
        <w:tc>
          <w:tcPr>
            <w:tcW w:w="1325" w:type="dxa"/>
            <w:shd w:val="clear" w:color="000000" w:fill="DDEBF7"/>
            <w:noWrap/>
            <w:vAlign w:val="bottom"/>
            <w:hideMark/>
          </w:tcPr>
          <w:p w14:paraId="5A68D640" w14:textId="77777777" w:rsidR="00D16F09" w:rsidRPr="00D16F09" w:rsidRDefault="00D16F09" w:rsidP="00D16F09">
            <w:pPr>
              <w:spacing w:after="0" w:line="240" w:lineRule="auto"/>
              <w:jc w:val="left"/>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Results</w:t>
            </w:r>
          </w:p>
        </w:tc>
        <w:tc>
          <w:tcPr>
            <w:tcW w:w="1383" w:type="dxa"/>
            <w:shd w:val="clear" w:color="000000" w:fill="DDEBF7"/>
            <w:noWrap/>
            <w:vAlign w:val="center"/>
            <w:hideMark/>
          </w:tcPr>
          <w:p w14:paraId="02F041E6"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0.17</w:t>
            </w:r>
          </w:p>
        </w:tc>
        <w:tc>
          <w:tcPr>
            <w:tcW w:w="1383" w:type="dxa"/>
            <w:shd w:val="clear" w:color="000000" w:fill="DDEBF7"/>
            <w:noWrap/>
            <w:vAlign w:val="center"/>
            <w:hideMark/>
          </w:tcPr>
          <w:p w14:paraId="561CD691"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0.27</w:t>
            </w:r>
          </w:p>
        </w:tc>
        <w:tc>
          <w:tcPr>
            <w:tcW w:w="1481" w:type="dxa"/>
            <w:shd w:val="clear" w:color="000000" w:fill="DDEBF7"/>
            <w:noWrap/>
            <w:vAlign w:val="center"/>
            <w:hideMark/>
          </w:tcPr>
          <w:p w14:paraId="2B60537E"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0.31</w:t>
            </w:r>
          </w:p>
        </w:tc>
        <w:tc>
          <w:tcPr>
            <w:tcW w:w="1383" w:type="dxa"/>
            <w:shd w:val="clear" w:color="000000" w:fill="DDEBF7"/>
            <w:noWrap/>
            <w:vAlign w:val="center"/>
            <w:hideMark/>
          </w:tcPr>
          <w:p w14:paraId="296FD8F3"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0.31</w:t>
            </w:r>
          </w:p>
        </w:tc>
        <w:tc>
          <w:tcPr>
            <w:tcW w:w="1383" w:type="dxa"/>
            <w:shd w:val="clear" w:color="000000" w:fill="DDEBF7"/>
            <w:noWrap/>
            <w:vAlign w:val="center"/>
            <w:hideMark/>
          </w:tcPr>
          <w:p w14:paraId="42E2A364" w14:textId="77777777" w:rsidR="00D16F09" w:rsidRPr="00D16F09" w:rsidRDefault="00D16F09" w:rsidP="00D16F09">
            <w:pPr>
              <w:spacing w:after="0" w:line="240" w:lineRule="auto"/>
              <w:jc w:val="center"/>
              <w:rPr>
                <w:rFonts w:eastAsia="Times New Roman" w:cs="Times New Roman"/>
                <w:b/>
                <w:bCs/>
                <w:color w:val="000000"/>
                <w:lang w:eastAsia="en-GB"/>
                <w14:ligatures w14:val="none"/>
              </w:rPr>
            </w:pPr>
            <w:r w:rsidRPr="00D16F09">
              <w:rPr>
                <w:rFonts w:eastAsia="Times New Roman" w:cs="Times New Roman"/>
                <w:b/>
                <w:bCs/>
                <w:color w:val="000000"/>
                <w:sz w:val="22"/>
                <w:lang w:eastAsia="en-GB"/>
                <w14:ligatures w14:val="none"/>
              </w:rPr>
              <w:t>0.32</w:t>
            </w:r>
          </w:p>
        </w:tc>
      </w:tr>
    </w:tbl>
    <w:p w14:paraId="40699E12" w14:textId="6BA2DB92" w:rsidR="00D16F09" w:rsidRDefault="00345BDD" w:rsidP="00D16F09">
      <w:pPr>
        <w:rPr>
          <w:b/>
        </w:rPr>
      </w:pPr>
      <w:r w:rsidRPr="00345BDD">
        <w:rPr>
          <w:b/>
        </w:rPr>
        <w:t>Table</w:t>
      </w:r>
      <w:r w:rsidR="006507B2">
        <w:rPr>
          <w:b/>
        </w:rPr>
        <w:t xml:space="preserve"> </w:t>
      </w:r>
      <w:r w:rsidR="00515241">
        <w:rPr>
          <w:b/>
        </w:rPr>
        <w:t>3</w:t>
      </w:r>
      <w:r w:rsidRPr="00345BDD">
        <w:rPr>
          <w:b/>
        </w:rPr>
        <w:t>: Ratios Analysis</w:t>
      </w:r>
      <w:r w:rsidR="006507B2">
        <w:rPr>
          <w:b/>
        </w:rPr>
        <w:t xml:space="preserve"> (Source: Self-created)</w:t>
      </w:r>
    </w:p>
    <w:p w14:paraId="47EE1DF2" w14:textId="429BC6FC" w:rsidR="00515241" w:rsidRPr="00515241" w:rsidRDefault="00515241" w:rsidP="00515241">
      <w:pPr>
        <w:pStyle w:val="Heading2"/>
      </w:pPr>
      <w:r>
        <w:t xml:space="preserve">Appendix 4: Altman’s Z-Score Model </w:t>
      </w:r>
    </w:p>
    <w:tbl>
      <w:tblPr>
        <w:tblStyle w:val="TableGrid"/>
        <w:tblW w:w="8992" w:type="dxa"/>
        <w:tblLook w:val="04A0" w:firstRow="1" w:lastRow="0" w:firstColumn="1" w:lastColumn="0" w:noHBand="0" w:noVBand="1"/>
      </w:tblPr>
      <w:tblGrid>
        <w:gridCol w:w="3402"/>
        <w:gridCol w:w="1118"/>
        <w:gridCol w:w="1118"/>
        <w:gridCol w:w="1118"/>
        <w:gridCol w:w="803"/>
        <w:gridCol w:w="315"/>
        <w:gridCol w:w="1118"/>
      </w:tblGrid>
      <w:tr w:rsidR="00515241" w:rsidRPr="00B5641C" w14:paraId="6B1301BF" w14:textId="77777777" w:rsidTr="00515241">
        <w:trPr>
          <w:gridAfter w:val="2"/>
          <w:wAfter w:w="1433" w:type="dxa"/>
          <w:trHeight w:val="305"/>
        </w:trPr>
        <w:tc>
          <w:tcPr>
            <w:tcW w:w="7559" w:type="dxa"/>
            <w:gridSpan w:val="5"/>
            <w:noWrap/>
            <w:hideMark/>
          </w:tcPr>
          <w:p w14:paraId="396176B0" w14:textId="77777777" w:rsidR="00515241" w:rsidRPr="00B5641C" w:rsidRDefault="00515241" w:rsidP="00515241">
            <w:pPr>
              <w:spacing w:after="0"/>
              <w:jc w:val="left"/>
              <w:rPr>
                <w:rFonts w:asciiTheme="minorHAnsi" w:eastAsia="Times New Roman" w:hAnsiTheme="minorHAnsi" w:cstheme="minorHAnsi"/>
                <w:b/>
                <w:bCs/>
                <w:color w:val="000000"/>
                <w:lang w:eastAsia="en-GB"/>
              </w:rPr>
            </w:pPr>
            <w:r w:rsidRPr="00B5641C">
              <w:rPr>
                <w:rFonts w:asciiTheme="minorHAnsi" w:eastAsia="Times New Roman" w:hAnsiTheme="minorHAnsi" w:cstheme="minorHAnsi"/>
                <w:b/>
                <w:bCs/>
                <w:color w:val="000000"/>
                <w:lang w:eastAsia="en-GB"/>
              </w:rPr>
              <w:t>Formula</w:t>
            </w:r>
          </w:p>
        </w:tc>
      </w:tr>
      <w:tr w:rsidR="00515241" w:rsidRPr="00B5641C" w14:paraId="7BFB8743" w14:textId="77777777" w:rsidTr="00515241">
        <w:trPr>
          <w:gridAfter w:val="2"/>
          <w:wAfter w:w="1433" w:type="dxa"/>
          <w:trHeight w:val="305"/>
        </w:trPr>
        <w:tc>
          <w:tcPr>
            <w:tcW w:w="7559" w:type="dxa"/>
            <w:gridSpan w:val="5"/>
            <w:noWrap/>
            <w:hideMark/>
          </w:tcPr>
          <w:p w14:paraId="5336E4FC" w14:textId="77777777" w:rsidR="00515241" w:rsidRPr="00B5641C" w:rsidRDefault="00515241" w:rsidP="00515241">
            <w:pPr>
              <w:spacing w:after="0"/>
              <w:jc w:val="left"/>
              <w:rPr>
                <w:rFonts w:asciiTheme="minorHAnsi" w:eastAsia="Times New Roman" w:hAnsiTheme="minorHAnsi" w:cstheme="minorHAnsi"/>
                <w:color w:val="000000"/>
                <w:lang w:eastAsia="en-GB"/>
              </w:rPr>
            </w:pPr>
            <w:r w:rsidRPr="00B5641C">
              <w:rPr>
                <w:rFonts w:asciiTheme="minorHAnsi" w:eastAsia="Times New Roman" w:hAnsiTheme="minorHAnsi" w:cstheme="minorHAnsi"/>
                <w:b/>
                <w:bCs/>
                <w:color w:val="000000"/>
                <w:lang w:eastAsia="en-GB"/>
              </w:rPr>
              <w:t>Z-Score =</w:t>
            </w:r>
            <w:r w:rsidRPr="00B5641C">
              <w:rPr>
                <w:rFonts w:asciiTheme="minorHAnsi" w:eastAsia="Times New Roman" w:hAnsiTheme="minorHAnsi" w:cstheme="minorHAnsi"/>
                <w:color w:val="000000"/>
                <w:lang w:eastAsia="en-GB"/>
              </w:rPr>
              <w:t xml:space="preserve"> 1.2 A + 1.4 B + 3.3 C + 0.6 D + 1.0 E​</w:t>
            </w:r>
          </w:p>
        </w:tc>
      </w:tr>
      <w:tr w:rsidR="00515241" w:rsidRPr="00B5641C" w14:paraId="152010EC" w14:textId="77777777" w:rsidTr="00515241">
        <w:trPr>
          <w:gridAfter w:val="2"/>
          <w:wAfter w:w="1433" w:type="dxa"/>
          <w:trHeight w:val="305"/>
        </w:trPr>
        <w:tc>
          <w:tcPr>
            <w:tcW w:w="7559" w:type="dxa"/>
            <w:gridSpan w:val="5"/>
            <w:noWrap/>
            <w:hideMark/>
          </w:tcPr>
          <w:p w14:paraId="0E560590" w14:textId="77777777" w:rsidR="00515241" w:rsidRPr="00B5641C" w:rsidRDefault="00515241" w:rsidP="00515241">
            <w:pPr>
              <w:spacing w:after="0"/>
              <w:jc w:val="left"/>
              <w:rPr>
                <w:rFonts w:asciiTheme="minorHAnsi" w:eastAsia="Times New Roman" w:hAnsiTheme="minorHAnsi" w:cstheme="minorHAnsi"/>
                <w:color w:val="000000"/>
                <w:lang w:eastAsia="en-GB"/>
              </w:rPr>
            </w:pPr>
            <w:r w:rsidRPr="00B5641C">
              <w:rPr>
                <w:rFonts w:asciiTheme="minorHAnsi" w:eastAsia="Times New Roman" w:hAnsiTheme="minorHAnsi" w:cstheme="minorHAnsi"/>
                <w:color w:val="000000"/>
                <w:lang w:eastAsia="en-GB"/>
              </w:rPr>
              <w:t>A = Working Capital / Total Assets​</w:t>
            </w:r>
          </w:p>
        </w:tc>
      </w:tr>
      <w:tr w:rsidR="00515241" w:rsidRPr="00B5641C" w14:paraId="5429B6F4" w14:textId="77777777" w:rsidTr="00515241">
        <w:trPr>
          <w:gridAfter w:val="2"/>
          <w:wAfter w:w="1433" w:type="dxa"/>
          <w:trHeight w:val="305"/>
        </w:trPr>
        <w:tc>
          <w:tcPr>
            <w:tcW w:w="7559" w:type="dxa"/>
            <w:gridSpan w:val="5"/>
            <w:noWrap/>
            <w:hideMark/>
          </w:tcPr>
          <w:p w14:paraId="0A35FCA3" w14:textId="77777777" w:rsidR="00515241" w:rsidRPr="00B5641C" w:rsidRDefault="00515241" w:rsidP="00515241">
            <w:pPr>
              <w:spacing w:after="0"/>
              <w:jc w:val="left"/>
              <w:rPr>
                <w:rFonts w:asciiTheme="minorHAnsi" w:eastAsia="Times New Roman" w:hAnsiTheme="minorHAnsi" w:cstheme="minorHAnsi"/>
                <w:color w:val="000000"/>
                <w:lang w:eastAsia="en-GB"/>
              </w:rPr>
            </w:pPr>
            <w:r w:rsidRPr="00B5641C">
              <w:rPr>
                <w:rFonts w:asciiTheme="minorHAnsi" w:eastAsia="Times New Roman" w:hAnsiTheme="minorHAnsi" w:cstheme="minorHAnsi"/>
                <w:color w:val="000000"/>
                <w:lang w:eastAsia="en-GB"/>
              </w:rPr>
              <w:t>B = Retained Earnings / Total Assets​</w:t>
            </w:r>
          </w:p>
        </w:tc>
      </w:tr>
      <w:tr w:rsidR="00515241" w:rsidRPr="00B5641C" w14:paraId="7FC97BDD" w14:textId="77777777" w:rsidTr="00515241">
        <w:trPr>
          <w:gridAfter w:val="2"/>
          <w:wAfter w:w="1433" w:type="dxa"/>
          <w:trHeight w:val="305"/>
        </w:trPr>
        <w:tc>
          <w:tcPr>
            <w:tcW w:w="7559" w:type="dxa"/>
            <w:gridSpan w:val="5"/>
            <w:noWrap/>
            <w:hideMark/>
          </w:tcPr>
          <w:p w14:paraId="5F5CA241" w14:textId="77777777" w:rsidR="00515241" w:rsidRPr="00B5641C" w:rsidRDefault="00515241" w:rsidP="00515241">
            <w:pPr>
              <w:spacing w:after="0"/>
              <w:jc w:val="left"/>
              <w:rPr>
                <w:rFonts w:asciiTheme="minorHAnsi" w:eastAsia="Times New Roman" w:hAnsiTheme="minorHAnsi" w:cstheme="minorHAnsi"/>
                <w:color w:val="000000"/>
                <w:lang w:eastAsia="en-GB"/>
              </w:rPr>
            </w:pPr>
            <w:r w:rsidRPr="00B5641C">
              <w:rPr>
                <w:rFonts w:asciiTheme="minorHAnsi" w:eastAsia="Times New Roman" w:hAnsiTheme="minorHAnsi" w:cstheme="minorHAnsi"/>
                <w:color w:val="000000"/>
                <w:lang w:eastAsia="en-GB"/>
              </w:rPr>
              <w:t>C = Earnings before Interests and Taxes / Total Assets​</w:t>
            </w:r>
          </w:p>
        </w:tc>
      </w:tr>
      <w:tr w:rsidR="00515241" w:rsidRPr="00B5641C" w14:paraId="2D88C3D5" w14:textId="77777777" w:rsidTr="00515241">
        <w:trPr>
          <w:gridAfter w:val="2"/>
          <w:wAfter w:w="1433" w:type="dxa"/>
          <w:trHeight w:val="305"/>
        </w:trPr>
        <w:tc>
          <w:tcPr>
            <w:tcW w:w="7559" w:type="dxa"/>
            <w:gridSpan w:val="5"/>
            <w:noWrap/>
            <w:hideMark/>
          </w:tcPr>
          <w:p w14:paraId="6FA1CED5" w14:textId="77777777" w:rsidR="00515241" w:rsidRPr="00B5641C" w:rsidRDefault="00515241" w:rsidP="00515241">
            <w:pPr>
              <w:spacing w:after="0"/>
              <w:jc w:val="left"/>
              <w:rPr>
                <w:rFonts w:asciiTheme="minorHAnsi" w:eastAsia="Times New Roman" w:hAnsiTheme="minorHAnsi" w:cstheme="minorHAnsi"/>
                <w:color w:val="000000"/>
                <w:lang w:eastAsia="en-GB"/>
              </w:rPr>
            </w:pPr>
            <w:r w:rsidRPr="00B5641C">
              <w:rPr>
                <w:rFonts w:asciiTheme="minorHAnsi" w:eastAsia="Times New Roman" w:hAnsiTheme="minorHAnsi" w:cstheme="minorHAnsi"/>
                <w:color w:val="000000"/>
                <w:lang w:eastAsia="en-GB"/>
              </w:rPr>
              <w:t>D = Market Value of Equity / Book Value of Total Liabilities​</w:t>
            </w:r>
          </w:p>
        </w:tc>
      </w:tr>
      <w:tr w:rsidR="00515241" w:rsidRPr="00B5641C" w14:paraId="508DD474" w14:textId="77777777" w:rsidTr="00515241">
        <w:trPr>
          <w:gridAfter w:val="2"/>
          <w:wAfter w:w="1433" w:type="dxa"/>
          <w:trHeight w:val="305"/>
        </w:trPr>
        <w:tc>
          <w:tcPr>
            <w:tcW w:w="7559" w:type="dxa"/>
            <w:gridSpan w:val="5"/>
            <w:noWrap/>
            <w:hideMark/>
          </w:tcPr>
          <w:p w14:paraId="72CD7EFE" w14:textId="77777777" w:rsidR="00515241" w:rsidRPr="00B5641C" w:rsidRDefault="00515241" w:rsidP="00515241">
            <w:pPr>
              <w:spacing w:after="0"/>
              <w:jc w:val="left"/>
              <w:rPr>
                <w:rFonts w:asciiTheme="minorHAnsi" w:eastAsia="Times New Roman" w:hAnsiTheme="minorHAnsi" w:cstheme="minorHAnsi"/>
                <w:color w:val="000000"/>
                <w:lang w:eastAsia="en-GB"/>
              </w:rPr>
            </w:pPr>
            <w:r w:rsidRPr="00B5641C">
              <w:rPr>
                <w:rFonts w:asciiTheme="minorHAnsi" w:eastAsia="Times New Roman" w:hAnsiTheme="minorHAnsi" w:cstheme="minorHAnsi"/>
                <w:color w:val="000000"/>
                <w:lang w:eastAsia="en-GB"/>
              </w:rPr>
              <w:t>E =  Net Sales / Total Assets</w:t>
            </w:r>
          </w:p>
        </w:tc>
      </w:tr>
      <w:tr w:rsidR="00515241" w:rsidRPr="00B5641C" w14:paraId="245CDD3B" w14:textId="77777777" w:rsidTr="00515241">
        <w:trPr>
          <w:trHeight w:val="305"/>
        </w:trPr>
        <w:tc>
          <w:tcPr>
            <w:tcW w:w="3402" w:type="dxa"/>
            <w:noWrap/>
            <w:hideMark/>
          </w:tcPr>
          <w:p w14:paraId="6C1C3B7B" w14:textId="77777777" w:rsidR="00515241" w:rsidRPr="00B5641C" w:rsidRDefault="00515241" w:rsidP="00515241">
            <w:pPr>
              <w:spacing w:after="0"/>
              <w:rPr>
                <w:rFonts w:asciiTheme="minorHAnsi" w:eastAsia="Times New Roman" w:hAnsiTheme="minorHAnsi" w:cstheme="minorHAnsi"/>
                <w:b/>
                <w:bCs/>
                <w:color w:val="000000"/>
                <w:lang w:val="en-GB" w:eastAsia="en-GB"/>
              </w:rPr>
            </w:pPr>
            <w:r w:rsidRPr="00B5641C">
              <w:rPr>
                <w:rFonts w:asciiTheme="minorHAnsi" w:eastAsia="Times New Roman" w:hAnsiTheme="minorHAnsi" w:cstheme="minorHAnsi"/>
                <w:b/>
                <w:bCs/>
                <w:color w:val="000000"/>
                <w:lang w:val="en-GB" w:eastAsia="en-GB"/>
              </w:rPr>
              <w:lastRenderedPageBreak/>
              <w:t>Description</w:t>
            </w:r>
          </w:p>
        </w:tc>
        <w:tc>
          <w:tcPr>
            <w:tcW w:w="1118" w:type="dxa"/>
            <w:noWrap/>
            <w:hideMark/>
          </w:tcPr>
          <w:p w14:paraId="1222D99E" w14:textId="77777777" w:rsidR="00515241" w:rsidRPr="00B5641C" w:rsidRDefault="00515241" w:rsidP="00515241">
            <w:pPr>
              <w:spacing w:after="0"/>
              <w:jc w:val="right"/>
              <w:rPr>
                <w:rFonts w:asciiTheme="minorHAnsi" w:eastAsia="Times New Roman" w:hAnsiTheme="minorHAnsi" w:cstheme="minorHAnsi"/>
                <w:b/>
                <w:bCs/>
                <w:color w:val="000000"/>
                <w:lang w:val="en-GB" w:eastAsia="en-GB"/>
              </w:rPr>
            </w:pPr>
            <w:r w:rsidRPr="00B5641C">
              <w:rPr>
                <w:rFonts w:asciiTheme="minorHAnsi" w:eastAsia="Times New Roman" w:hAnsiTheme="minorHAnsi" w:cstheme="minorHAnsi"/>
                <w:b/>
                <w:bCs/>
                <w:color w:val="000000"/>
                <w:lang w:val="en-GB" w:eastAsia="en-GB"/>
              </w:rPr>
              <w:t>2024</w:t>
            </w:r>
          </w:p>
        </w:tc>
        <w:tc>
          <w:tcPr>
            <w:tcW w:w="1118" w:type="dxa"/>
            <w:noWrap/>
            <w:hideMark/>
          </w:tcPr>
          <w:p w14:paraId="5E0346A8" w14:textId="77777777" w:rsidR="00515241" w:rsidRPr="00B5641C" w:rsidRDefault="00515241" w:rsidP="00515241">
            <w:pPr>
              <w:spacing w:after="0"/>
              <w:jc w:val="right"/>
              <w:rPr>
                <w:rFonts w:asciiTheme="minorHAnsi" w:eastAsia="Times New Roman" w:hAnsiTheme="minorHAnsi" w:cstheme="minorHAnsi"/>
                <w:b/>
                <w:bCs/>
                <w:color w:val="000000"/>
                <w:lang w:val="en-GB" w:eastAsia="en-GB"/>
              </w:rPr>
            </w:pPr>
            <w:r w:rsidRPr="00B5641C">
              <w:rPr>
                <w:rFonts w:asciiTheme="minorHAnsi" w:eastAsia="Times New Roman" w:hAnsiTheme="minorHAnsi" w:cstheme="minorHAnsi"/>
                <w:b/>
                <w:bCs/>
                <w:color w:val="000000"/>
                <w:lang w:val="en-GB" w:eastAsia="en-GB"/>
              </w:rPr>
              <w:t>2023</w:t>
            </w:r>
          </w:p>
        </w:tc>
        <w:tc>
          <w:tcPr>
            <w:tcW w:w="1118" w:type="dxa"/>
            <w:noWrap/>
            <w:hideMark/>
          </w:tcPr>
          <w:p w14:paraId="3EBA8714" w14:textId="77777777" w:rsidR="00515241" w:rsidRPr="00B5641C" w:rsidRDefault="00515241" w:rsidP="00515241">
            <w:pPr>
              <w:spacing w:after="0"/>
              <w:jc w:val="right"/>
              <w:rPr>
                <w:rFonts w:asciiTheme="minorHAnsi" w:eastAsia="Times New Roman" w:hAnsiTheme="minorHAnsi" w:cstheme="minorHAnsi"/>
                <w:b/>
                <w:bCs/>
                <w:color w:val="000000"/>
                <w:lang w:val="en-GB" w:eastAsia="en-GB"/>
              </w:rPr>
            </w:pPr>
            <w:r w:rsidRPr="00B5641C">
              <w:rPr>
                <w:rFonts w:asciiTheme="minorHAnsi" w:eastAsia="Times New Roman" w:hAnsiTheme="minorHAnsi" w:cstheme="minorHAnsi"/>
                <w:b/>
                <w:bCs/>
                <w:color w:val="000000"/>
                <w:lang w:val="en-GB" w:eastAsia="en-GB"/>
              </w:rPr>
              <w:t>2022</w:t>
            </w:r>
          </w:p>
        </w:tc>
        <w:tc>
          <w:tcPr>
            <w:tcW w:w="1118" w:type="dxa"/>
            <w:gridSpan w:val="2"/>
            <w:noWrap/>
            <w:hideMark/>
          </w:tcPr>
          <w:p w14:paraId="14DCE143" w14:textId="77777777" w:rsidR="00515241" w:rsidRPr="00B5641C" w:rsidRDefault="00515241" w:rsidP="00515241">
            <w:pPr>
              <w:spacing w:after="0"/>
              <w:jc w:val="right"/>
              <w:rPr>
                <w:rFonts w:asciiTheme="minorHAnsi" w:eastAsia="Times New Roman" w:hAnsiTheme="minorHAnsi" w:cstheme="minorHAnsi"/>
                <w:b/>
                <w:bCs/>
                <w:color w:val="000000"/>
                <w:lang w:val="en-GB" w:eastAsia="en-GB"/>
              </w:rPr>
            </w:pPr>
            <w:r w:rsidRPr="00B5641C">
              <w:rPr>
                <w:rFonts w:asciiTheme="minorHAnsi" w:eastAsia="Times New Roman" w:hAnsiTheme="minorHAnsi" w:cstheme="minorHAnsi"/>
                <w:b/>
                <w:bCs/>
                <w:color w:val="000000"/>
                <w:lang w:val="en-GB" w:eastAsia="en-GB"/>
              </w:rPr>
              <w:t>2021</w:t>
            </w:r>
          </w:p>
        </w:tc>
        <w:tc>
          <w:tcPr>
            <w:tcW w:w="1118" w:type="dxa"/>
            <w:noWrap/>
            <w:hideMark/>
          </w:tcPr>
          <w:p w14:paraId="78BA7664" w14:textId="77777777" w:rsidR="00515241" w:rsidRPr="00B5641C" w:rsidRDefault="00515241" w:rsidP="00515241">
            <w:pPr>
              <w:spacing w:after="0"/>
              <w:jc w:val="right"/>
              <w:rPr>
                <w:rFonts w:asciiTheme="minorHAnsi" w:eastAsia="Times New Roman" w:hAnsiTheme="minorHAnsi" w:cstheme="minorHAnsi"/>
                <w:b/>
                <w:bCs/>
                <w:color w:val="000000"/>
                <w:lang w:val="en-GB" w:eastAsia="en-GB"/>
              </w:rPr>
            </w:pPr>
            <w:r w:rsidRPr="00B5641C">
              <w:rPr>
                <w:rFonts w:asciiTheme="minorHAnsi" w:eastAsia="Times New Roman" w:hAnsiTheme="minorHAnsi" w:cstheme="minorHAnsi"/>
                <w:b/>
                <w:bCs/>
                <w:color w:val="000000"/>
                <w:lang w:val="en-GB" w:eastAsia="en-GB"/>
              </w:rPr>
              <w:t>2020</w:t>
            </w:r>
          </w:p>
        </w:tc>
      </w:tr>
      <w:tr w:rsidR="00515241" w:rsidRPr="00B5641C" w14:paraId="124A03E6" w14:textId="77777777" w:rsidTr="00515241">
        <w:trPr>
          <w:trHeight w:val="305"/>
        </w:trPr>
        <w:tc>
          <w:tcPr>
            <w:tcW w:w="3402" w:type="dxa"/>
            <w:noWrap/>
            <w:hideMark/>
          </w:tcPr>
          <w:p w14:paraId="199FE080" w14:textId="77777777" w:rsidR="00515241" w:rsidRPr="00B5641C" w:rsidRDefault="00515241" w:rsidP="00515241">
            <w:pPr>
              <w:spacing w:after="0"/>
              <w:rPr>
                <w:rFonts w:asciiTheme="minorHAnsi" w:eastAsia="Times New Roman" w:hAnsiTheme="minorHAnsi" w:cstheme="minorHAnsi"/>
                <w:color w:val="000000"/>
                <w:lang w:val="en-GB" w:eastAsia="en-GB"/>
              </w:rPr>
            </w:pPr>
            <w:r w:rsidRPr="00B5641C">
              <w:rPr>
                <w:rFonts w:asciiTheme="minorHAnsi" w:eastAsia="Times New Roman" w:hAnsiTheme="minorHAnsi" w:cstheme="minorHAnsi"/>
                <w:color w:val="000000"/>
                <w:lang w:val="en-GB" w:eastAsia="en-GB"/>
              </w:rPr>
              <w:t>Working Capital</w:t>
            </w:r>
          </w:p>
        </w:tc>
        <w:tc>
          <w:tcPr>
            <w:tcW w:w="1118" w:type="dxa"/>
            <w:noWrap/>
            <w:hideMark/>
          </w:tcPr>
          <w:p w14:paraId="25744D97" w14:textId="77777777" w:rsidR="00515241" w:rsidRPr="00B5641C" w:rsidRDefault="00515241" w:rsidP="00515241">
            <w:pPr>
              <w:spacing w:after="0"/>
              <w:jc w:val="right"/>
              <w:rPr>
                <w:rFonts w:asciiTheme="minorHAnsi" w:eastAsia="Times New Roman" w:hAnsiTheme="minorHAnsi" w:cstheme="minorHAnsi"/>
                <w:color w:val="000000"/>
                <w:lang w:val="en-GB" w:eastAsia="en-GB"/>
              </w:rPr>
            </w:pPr>
            <w:r w:rsidRPr="00B5641C">
              <w:rPr>
                <w:rFonts w:asciiTheme="minorHAnsi" w:eastAsia="Times New Roman" w:hAnsiTheme="minorHAnsi" w:cstheme="minorHAnsi"/>
                <w:color w:val="000000"/>
                <w:lang w:val="en-GB" w:eastAsia="en-GB"/>
              </w:rPr>
              <w:t>84203</w:t>
            </w:r>
          </w:p>
        </w:tc>
        <w:tc>
          <w:tcPr>
            <w:tcW w:w="1118" w:type="dxa"/>
            <w:noWrap/>
            <w:hideMark/>
          </w:tcPr>
          <w:p w14:paraId="79D17172" w14:textId="77777777" w:rsidR="00515241" w:rsidRPr="00B5641C" w:rsidRDefault="00515241" w:rsidP="00515241">
            <w:pPr>
              <w:spacing w:after="0"/>
              <w:jc w:val="right"/>
              <w:rPr>
                <w:rFonts w:asciiTheme="minorHAnsi" w:eastAsia="Times New Roman" w:hAnsiTheme="minorHAnsi" w:cstheme="minorHAnsi"/>
                <w:color w:val="000000"/>
                <w:lang w:val="en-GB" w:eastAsia="en-GB"/>
              </w:rPr>
            </w:pPr>
            <w:r w:rsidRPr="00B5641C">
              <w:rPr>
                <w:rFonts w:asciiTheme="minorHAnsi" w:eastAsia="Times New Roman" w:hAnsiTheme="minorHAnsi" w:cstheme="minorHAnsi"/>
                <w:color w:val="000000"/>
                <w:lang w:val="en-GB" w:eastAsia="en-GB"/>
              </w:rPr>
              <w:t>97703</w:t>
            </w:r>
          </w:p>
        </w:tc>
        <w:tc>
          <w:tcPr>
            <w:tcW w:w="1118" w:type="dxa"/>
            <w:noWrap/>
            <w:hideMark/>
          </w:tcPr>
          <w:p w14:paraId="72FA0937" w14:textId="77777777" w:rsidR="00515241" w:rsidRPr="00B5641C" w:rsidRDefault="00515241" w:rsidP="00515241">
            <w:pPr>
              <w:spacing w:after="0"/>
              <w:jc w:val="right"/>
              <w:rPr>
                <w:rFonts w:asciiTheme="minorHAnsi" w:eastAsia="Times New Roman" w:hAnsiTheme="minorHAnsi" w:cstheme="minorHAnsi"/>
                <w:color w:val="000000"/>
                <w:lang w:val="en-GB" w:eastAsia="en-GB"/>
              </w:rPr>
            </w:pPr>
            <w:r w:rsidRPr="00B5641C">
              <w:rPr>
                <w:rFonts w:asciiTheme="minorHAnsi" w:eastAsia="Times New Roman" w:hAnsiTheme="minorHAnsi" w:cstheme="minorHAnsi"/>
                <w:color w:val="000000"/>
                <w:lang w:val="en-GB" w:eastAsia="en-GB"/>
              </w:rPr>
              <w:t>121567</w:t>
            </w:r>
          </w:p>
        </w:tc>
        <w:tc>
          <w:tcPr>
            <w:tcW w:w="1118" w:type="dxa"/>
            <w:gridSpan w:val="2"/>
            <w:noWrap/>
            <w:hideMark/>
          </w:tcPr>
          <w:p w14:paraId="7D4064E9" w14:textId="77777777" w:rsidR="00515241" w:rsidRPr="00B5641C" w:rsidRDefault="00515241" w:rsidP="00515241">
            <w:pPr>
              <w:spacing w:after="0"/>
              <w:jc w:val="right"/>
              <w:rPr>
                <w:rFonts w:asciiTheme="minorHAnsi" w:eastAsia="Times New Roman" w:hAnsiTheme="minorHAnsi" w:cstheme="minorHAnsi"/>
                <w:color w:val="000000"/>
                <w:lang w:val="en-GB" w:eastAsia="en-GB"/>
              </w:rPr>
            </w:pPr>
            <w:r w:rsidRPr="00B5641C">
              <w:rPr>
                <w:rFonts w:asciiTheme="minorHAnsi" w:eastAsia="Times New Roman" w:hAnsiTheme="minorHAnsi" w:cstheme="minorHAnsi"/>
                <w:color w:val="000000"/>
                <w:lang w:val="en-GB" w:eastAsia="en-GB"/>
              </w:rPr>
              <w:t>120359</w:t>
            </w:r>
          </w:p>
        </w:tc>
        <w:tc>
          <w:tcPr>
            <w:tcW w:w="1118" w:type="dxa"/>
            <w:noWrap/>
            <w:hideMark/>
          </w:tcPr>
          <w:p w14:paraId="2A6C2812" w14:textId="77777777" w:rsidR="00515241" w:rsidRPr="00B5641C" w:rsidRDefault="00515241" w:rsidP="00515241">
            <w:pPr>
              <w:spacing w:after="0"/>
              <w:jc w:val="right"/>
              <w:rPr>
                <w:rFonts w:asciiTheme="minorHAnsi" w:eastAsia="Times New Roman" w:hAnsiTheme="minorHAnsi" w:cstheme="minorHAnsi"/>
                <w:color w:val="000000"/>
                <w:lang w:val="en-GB" w:eastAsia="en-GB"/>
              </w:rPr>
            </w:pPr>
            <w:r w:rsidRPr="00B5641C">
              <w:rPr>
                <w:rFonts w:asciiTheme="minorHAnsi" w:eastAsia="Times New Roman" w:hAnsiTheme="minorHAnsi" w:cstheme="minorHAnsi"/>
                <w:color w:val="000000"/>
                <w:lang w:val="en-GB" w:eastAsia="en-GB"/>
              </w:rPr>
              <w:t>147333</w:t>
            </w:r>
          </w:p>
        </w:tc>
      </w:tr>
      <w:tr w:rsidR="00515241" w:rsidRPr="00B5641C" w14:paraId="6E5AED18" w14:textId="77777777" w:rsidTr="00515241">
        <w:trPr>
          <w:trHeight w:val="305"/>
        </w:trPr>
        <w:tc>
          <w:tcPr>
            <w:tcW w:w="3402" w:type="dxa"/>
            <w:noWrap/>
            <w:hideMark/>
          </w:tcPr>
          <w:p w14:paraId="3C843B5D" w14:textId="77777777" w:rsidR="00515241" w:rsidRPr="00B5641C" w:rsidRDefault="00515241" w:rsidP="00515241">
            <w:pPr>
              <w:spacing w:after="0"/>
              <w:rPr>
                <w:rFonts w:asciiTheme="minorHAnsi" w:eastAsia="Times New Roman" w:hAnsiTheme="minorHAnsi" w:cstheme="minorHAnsi"/>
                <w:color w:val="000000"/>
                <w:lang w:val="en-GB" w:eastAsia="en-GB"/>
              </w:rPr>
            </w:pPr>
            <w:r w:rsidRPr="00B5641C">
              <w:rPr>
                <w:rFonts w:asciiTheme="minorHAnsi" w:eastAsia="Times New Roman" w:hAnsiTheme="minorHAnsi" w:cstheme="minorHAnsi"/>
                <w:color w:val="000000"/>
                <w:lang w:val="en-GB" w:eastAsia="en-GB"/>
              </w:rPr>
              <w:t>Retained Earnings</w:t>
            </w:r>
          </w:p>
        </w:tc>
        <w:tc>
          <w:tcPr>
            <w:tcW w:w="1118" w:type="dxa"/>
            <w:noWrap/>
            <w:hideMark/>
          </w:tcPr>
          <w:p w14:paraId="37E62A17" w14:textId="77777777" w:rsidR="00515241" w:rsidRPr="00B5641C" w:rsidRDefault="00515241" w:rsidP="00515241">
            <w:pPr>
              <w:spacing w:after="0"/>
              <w:jc w:val="right"/>
              <w:rPr>
                <w:rFonts w:asciiTheme="minorHAnsi" w:eastAsia="Times New Roman" w:hAnsiTheme="minorHAnsi" w:cstheme="minorHAnsi"/>
                <w:color w:val="000000"/>
                <w:lang w:val="en-GB" w:eastAsia="en-GB"/>
              </w:rPr>
            </w:pPr>
            <w:r w:rsidRPr="00B5641C">
              <w:rPr>
                <w:rFonts w:asciiTheme="minorHAnsi" w:eastAsia="Times New Roman" w:hAnsiTheme="minorHAnsi" w:cstheme="minorHAnsi"/>
                <w:color w:val="000000"/>
                <w:lang w:val="en-GB" w:eastAsia="en-GB"/>
              </w:rPr>
              <w:t>208431</w:t>
            </w:r>
          </w:p>
        </w:tc>
        <w:tc>
          <w:tcPr>
            <w:tcW w:w="1118" w:type="dxa"/>
            <w:noWrap/>
            <w:hideMark/>
          </w:tcPr>
          <w:p w14:paraId="13E97CE4" w14:textId="77777777" w:rsidR="00515241" w:rsidRPr="00B5641C" w:rsidRDefault="00515241" w:rsidP="00515241">
            <w:pPr>
              <w:spacing w:after="0"/>
              <w:jc w:val="right"/>
              <w:rPr>
                <w:rFonts w:asciiTheme="minorHAnsi" w:eastAsia="Times New Roman" w:hAnsiTheme="minorHAnsi" w:cstheme="minorHAnsi"/>
                <w:color w:val="000000"/>
                <w:lang w:val="en-GB" w:eastAsia="en-GB"/>
              </w:rPr>
            </w:pPr>
            <w:r w:rsidRPr="00B5641C">
              <w:rPr>
                <w:rFonts w:asciiTheme="minorHAnsi" w:eastAsia="Times New Roman" w:hAnsiTheme="minorHAnsi" w:cstheme="minorHAnsi"/>
                <w:color w:val="000000"/>
                <w:lang w:val="en-GB" w:eastAsia="en-GB"/>
              </w:rPr>
              <w:t>232460</w:t>
            </w:r>
          </w:p>
        </w:tc>
        <w:tc>
          <w:tcPr>
            <w:tcW w:w="1118" w:type="dxa"/>
            <w:noWrap/>
            <w:hideMark/>
          </w:tcPr>
          <w:p w14:paraId="7F68E3B5" w14:textId="77777777" w:rsidR="00515241" w:rsidRPr="00B5641C" w:rsidRDefault="00515241" w:rsidP="00515241">
            <w:pPr>
              <w:spacing w:after="0"/>
              <w:jc w:val="right"/>
              <w:rPr>
                <w:rFonts w:asciiTheme="minorHAnsi" w:eastAsia="Times New Roman" w:hAnsiTheme="minorHAnsi" w:cstheme="minorHAnsi"/>
                <w:color w:val="000000"/>
                <w:lang w:val="en-GB" w:eastAsia="en-GB"/>
              </w:rPr>
            </w:pPr>
            <w:r w:rsidRPr="00B5641C">
              <w:rPr>
                <w:rFonts w:asciiTheme="minorHAnsi" w:eastAsia="Times New Roman" w:hAnsiTheme="minorHAnsi" w:cstheme="minorHAnsi"/>
                <w:color w:val="000000"/>
                <w:lang w:val="en-GB" w:eastAsia="en-GB"/>
              </w:rPr>
              <w:t>330698</w:t>
            </w:r>
          </w:p>
        </w:tc>
        <w:tc>
          <w:tcPr>
            <w:tcW w:w="1118" w:type="dxa"/>
            <w:gridSpan w:val="2"/>
            <w:noWrap/>
            <w:hideMark/>
          </w:tcPr>
          <w:p w14:paraId="75F48F63" w14:textId="77777777" w:rsidR="00515241" w:rsidRPr="00B5641C" w:rsidRDefault="00515241" w:rsidP="00515241">
            <w:pPr>
              <w:spacing w:after="0"/>
              <w:jc w:val="right"/>
              <w:rPr>
                <w:rFonts w:asciiTheme="minorHAnsi" w:eastAsia="Times New Roman" w:hAnsiTheme="minorHAnsi" w:cstheme="minorHAnsi"/>
                <w:color w:val="000000"/>
                <w:lang w:val="en-GB" w:eastAsia="en-GB"/>
              </w:rPr>
            </w:pPr>
            <w:r w:rsidRPr="00B5641C">
              <w:rPr>
                <w:rFonts w:asciiTheme="minorHAnsi" w:eastAsia="Times New Roman" w:hAnsiTheme="minorHAnsi" w:cstheme="minorHAnsi"/>
                <w:color w:val="000000"/>
                <w:lang w:val="en-GB" w:eastAsia="en-GB"/>
              </w:rPr>
              <w:t>330291</w:t>
            </w:r>
          </w:p>
        </w:tc>
        <w:tc>
          <w:tcPr>
            <w:tcW w:w="1118" w:type="dxa"/>
            <w:noWrap/>
            <w:hideMark/>
          </w:tcPr>
          <w:p w14:paraId="422DB3E3" w14:textId="77777777" w:rsidR="00515241" w:rsidRPr="00B5641C" w:rsidRDefault="00515241" w:rsidP="00515241">
            <w:pPr>
              <w:spacing w:after="0"/>
              <w:jc w:val="right"/>
              <w:rPr>
                <w:rFonts w:asciiTheme="minorHAnsi" w:eastAsia="Times New Roman" w:hAnsiTheme="minorHAnsi" w:cstheme="minorHAnsi"/>
                <w:color w:val="000000"/>
                <w:lang w:val="en-GB" w:eastAsia="en-GB"/>
              </w:rPr>
            </w:pPr>
            <w:r w:rsidRPr="00B5641C">
              <w:rPr>
                <w:rFonts w:asciiTheme="minorHAnsi" w:eastAsia="Times New Roman" w:hAnsiTheme="minorHAnsi" w:cstheme="minorHAnsi"/>
                <w:color w:val="000000"/>
                <w:lang w:val="en-GB" w:eastAsia="en-GB"/>
              </w:rPr>
              <w:t>324990</w:t>
            </w:r>
          </w:p>
        </w:tc>
      </w:tr>
      <w:tr w:rsidR="00515241" w:rsidRPr="00B5641C" w14:paraId="1D34BECA" w14:textId="77777777" w:rsidTr="00515241">
        <w:trPr>
          <w:trHeight w:val="305"/>
        </w:trPr>
        <w:tc>
          <w:tcPr>
            <w:tcW w:w="3402" w:type="dxa"/>
            <w:noWrap/>
            <w:hideMark/>
          </w:tcPr>
          <w:p w14:paraId="3146A58F" w14:textId="77777777" w:rsidR="00515241" w:rsidRPr="00B5641C" w:rsidRDefault="00515241" w:rsidP="00515241">
            <w:pPr>
              <w:spacing w:after="0"/>
              <w:rPr>
                <w:rFonts w:asciiTheme="minorHAnsi" w:eastAsia="Times New Roman" w:hAnsiTheme="minorHAnsi" w:cstheme="minorHAnsi"/>
                <w:color w:val="000000"/>
                <w:lang w:val="en-GB" w:eastAsia="en-GB"/>
              </w:rPr>
            </w:pPr>
            <w:r w:rsidRPr="00B5641C">
              <w:rPr>
                <w:rFonts w:asciiTheme="minorHAnsi" w:eastAsia="Times New Roman" w:hAnsiTheme="minorHAnsi" w:cstheme="minorHAnsi"/>
                <w:color w:val="000000"/>
                <w:lang w:val="en-GB" w:eastAsia="en-GB"/>
              </w:rPr>
              <w:t>EBIT</w:t>
            </w:r>
          </w:p>
        </w:tc>
        <w:tc>
          <w:tcPr>
            <w:tcW w:w="1118" w:type="dxa"/>
            <w:noWrap/>
            <w:hideMark/>
          </w:tcPr>
          <w:p w14:paraId="7E4A31E4" w14:textId="77777777" w:rsidR="00515241" w:rsidRPr="00B5641C" w:rsidRDefault="00515241" w:rsidP="00515241">
            <w:pPr>
              <w:spacing w:after="0"/>
              <w:jc w:val="right"/>
              <w:rPr>
                <w:rFonts w:asciiTheme="minorHAnsi" w:eastAsia="Times New Roman" w:hAnsiTheme="minorHAnsi" w:cstheme="minorHAnsi"/>
                <w:color w:val="000000"/>
                <w:lang w:val="en-GB" w:eastAsia="en-GB"/>
              </w:rPr>
            </w:pPr>
            <w:r w:rsidRPr="00B5641C">
              <w:rPr>
                <w:rFonts w:asciiTheme="minorHAnsi" w:eastAsia="Times New Roman" w:hAnsiTheme="minorHAnsi" w:cstheme="minorHAnsi"/>
                <w:color w:val="000000"/>
                <w:lang w:val="en-GB" w:eastAsia="en-GB"/>
              </w:rPr>
              <w:t>-11936</w:t>
            </w:r>
          </w:p>
        </w:tc>
        <w:tc>
          <w:tcPr>
            <w:tcW w:w="1118" w:type="dxa"/>
            <w:noWrap/>
            <w:hideMark/>
          </w:tcPr>
          <w:p w14:paraId="7F68FAF3" w14:textId="77777777" w:rsidR="00515241" w:rsidRPr="00B5641C" w:rsidRDefault="00515241" w:rsidP="00515241">
            <w:pPr>
              <w:spacing w:after="0"/>
              <w:jc w:val="right"/>
              <w:rPr>
                <w:rFonts w:asciiTheme="minorHAnsi" w:eastAsia="Times New Roman" w:hAnsiTheme="minorHAnsi" w:cstheme="minorHAnsi"/>
                <w:color w:val="000000"/>
                <w:lang w:val="en-GB" w:eastAsia="en-GB"/>
              </w:rPr>
            </w:pPr>
            <w:r w:rsidRPr="00B5641C">
              <w:rPr>
                <w:rFonts w:asciiTheme="minorHAnsi" w:eastAsia="Times New Roman" w:hAnsiTheme="minorHAnsi" w:cstheme="minorHAnsi"/>
                <w:color w:val="000000"/>
                <w:lang w:val="en-GB" w:eastAsia="en-GB"/>
              </w:rPr>
              <w:t>-80969</w:t>
            </w:r>
          </w:p>
        </w:tc>
        <w:tc>
          <w:tcPr>
            <w:tcW w:w="1118" w:type="dxa"/>
            <w:noWrap/>
            <w:hideMark/>
          </w:tcPr>
          <w:p w14:paraId="797037AE" w14:textId="77777777" w:rsidR="00515241" w:rsidRPr="00B5641C" w:rsidRDefault="00515241" w:rsidP="00515241">
            <w:pPr>
              <w:spacing w:after="0"/>
              <w:jc w:val="right"/>
              <w:rPr>
                <w:rFonts w:asciiTheme="minorHAnsi" w:eastAsia="Times New Roman" w:hAnsiTheme="minorHAnsi" w:cstheme="minorHAnsi"/>
                <w:color w:val="000000"/>
                <w:lang w:val="en-GB" w:eastAsia="en-GB"/>
              </w:rPr>
            </w:pPr>
            <w:r w:rsidRPr="00B5641C">
              <w:rPr>
                <w:rFonts w:asciiTheme="minorHAnsi" w:eastAsia="Times New Roman" w:hAnsiTheme="minorHAnsi" w:cstheme="minorHAnsi"/>
                <w:color w:val="000000"/>
                <w:lang w:val="en-GB" w:eastAsia="en-GB"/>
              </w:rPr>
              <w:t>16748</w:t>
            </w:r>
          </w:p>
        </w:tc>
        <w:tc>
          <w:tcPr>
            <w:tcW w:w="1118" w:type="dxa"/>
            <w:gridSpan w:val="2"/>
            <w:noWrap/>
            <w:hideMark/>
          </w:tcPr>
          <w:p w14:paraId="611514B5" w14:textId="77777777" w:rsidR="00515241" w:rsidRPr="00B5641C" w:rsidRDefault="00515241" w:rsidP="00515241">
            <w:pPr>
              <w:spacing w:after="0"/>
              <w:jc w:val="right"/>
              <w:rPr>
                <w:rFonts w:asciiTheme="minorHAnsi" w:eastAsia="Times New Roman" w:hAnsiTheme="minorHAnsi" w:cstheme="minorHAnsi"/>
                <w:color w:val="000000"/>
                <w:lang w:val="en-GB" w:eastAsia="en-GB"/>
              </w:rPr>
            </w:pPr>
            <w:r w:rsidRPr="00B5641C">
              <w:rPr>
                <w:rFonts w:asciiTheme="minorHAnsi" w:eastAsia="Times New Roman" w:hAnsiTheme="minorHAnsi" w:cstheme="minorHAnsi"/>
                <w:color w:val="000000"/>
                <w:lang w:val="en-GB" w:eastAsia="en-GB"/>
              </w:rPr>
              <w:t>23819</w:t>
            </w:r>
          </w:p>
        </w:tc>
        <w:tc>
          <w:tcPr>
            <w:tcW w:w="1118" w:type="dxa"/>
            <w:noWrap/>
            <w:hideMark/>
          </w:tcPr>
          <w:p w14:paraId="00C83F65" w14:textId="77777777" w:rsidR="00515241" w:rsidRPr="00B5641C" w:rsidRDefault="00515241" w:rsidP="00515241">
            <w:pPr>
              <w:spacing w:after="0"/>
              <w:jc w:val="right"/>
              <w:rPr>
                <w:rFonts w:asciiTheme="minorHAnsi" w:eastAsia="Times New Roman" w:hAnsiTheme="minorHAnsi" w:cstheme="minorHAnsi"/>
                <w:color w:val="000000"/>
                <w:lang w:val="en-GB" w:eastAsia="en-GB"/>
              </w:rPr>
            </w:pPr>
            <w:r w:rsidRPr="00B5641C">
              <w:rPr>
                <w:rFonts w:asciiTheme="minorHAnsi" w:eastAsia="Times New Roman" w:hAnsiTheme="minorHAnsi" w:cstheme="minorHAnsi"/>
                <w:color w:val="000000"/>
                <w:lang w:val="en-GB" w:eastAsia="en-GB"/>
              </w:rPr>
              <w:t>38689</w:t>
            </w:r>
          </w:p>
        </w:tc>
      </w:tr>
      <w:tr w:rsidR="00515241" w:rsidRPr="00B5641C" w14:paraId="28C2F99D" w14:textId="77777777" w:rsidTr="00515241">
        <w:trPr>
          <w:trHeight w:val="305"/>
        </w:trPr>
        <w:tc>
          <w:tcPr>
            <w:tcW w:w="3402" w:type="dxa"/>
            <w:noWrap/>
            <w:hideMark/>
          </w:tcPr>
          <w:p w14:paraId="0B880E99" w14:textId="77777777" w:rsidR="00515241" w:rsidRPr="00B5641C" w:rsidRDefault="00515241" w:rsidP="00515241">
            <w:pPr>
              <w:spacing w:after="0"/>
              <w:rPr>
                <w:rFonts w:asciiTheme="minorHAnsi" w:eastAsia="Times New Roman" w:hAnsiTheme="minorHAnsi" w:cstheme="minorHAnsi"/>
                <w:color w:val="000000"/>
                <w:lang w:val="en-GB" w:eastAsia="en-GB"/>
              </w:rPr>
            </w:pPr>
            <w:r w:rsidRPr="00B5641C">
              <w:rPr>
                <w:rFonts w:asciiTheme="minorHAnsi" w:eastAsia="Times New Roman" w:hAnsiTheme="minorHAnsi" w:cstheme="minorHAnsi"/>
                <w:color w:val="000000"/>
                <w:lang w:val="en-GB" w:eastAsia="en-GB"/>
              </w:rPr>
              <w:t>Market Value of Equity</w:t>
            </w:r>
          </w:p>
        </w:tc>
        <w:tc>
          <w:tcPr>
            <w:tcW w:w="1118" w:type="dxa"/>
            <w:noWrap/>
            <w:hideMark/>
          </w:tcPr>
          <w:p w14:paraId="7DA4BFEF" w14:textId="77777777" w:rsidR="00515241" w:rsidRPr="00B5641C" w:rsidRDefault="00515241" w:rsidP="00515241">
            <w:pPr>
              <w:spacing w:after="0"/>
              <w:jc w:val="right"/>
              <w:rPr>
                <w:rFonts w:asciiTheme="minorHAnsi" w:eastAsia="Times New Roman" w:hAnsiTheme="minorHAnsi" w:cstheme="minorHAnsi"/>
                <w:color w:val="000000"/>
                <w:lang w:val="en-GB" w:eastAsia="en-GB"/>
              </w:rPr>
            </w:pPr>
            <w:r w:rsidRPr="00B5641C">
              <w:rPr>
                <w:rFonts w:asciiTheme="minorHAnsi" w:eastAsia="Times New Roman" w:hAnsiTheme="minorHAnsi" w:cstheme="minorHAnsi"/>
                <w:color w:val="000000"/>
                <w:lang w:val="en-GB" w:eastAsia="en-GB"/>
              </w:rPr>
              <w:t>153105</w:t>
            </w:r>
          </w:p>
        </w:tc>
        <w:tc>
          <w:tcPr>
            <w:tcW w:w="1118" w:type="dxa"/>
            <w:noWrap/>
            <w:hideMark/>
          </w:tcPr>
          <w:p w14:paraId="34642CCC" w14:textId="77777777" w:rsidR="00515241" w:rsidRPr="00B5641C" w:rsidRDefault="00515241" w:rsidP="00515241">
            <w:pPr>
              <w:spacing w:after="0"/>
              <w:jc w:val="right"/>
              <w:rPr>
                <w:rFonts w:asciiTheme="minorHAnsi" w:eastAsia="Times New Roman" w:hAnsiTheme="minorHAnsi" w:cstheme="minorHAnsi"/>
                <w:color w:val="000000"/>
                <w:lang w:val="en-GB" w:eastAsia="en-GB"/>
              </w:rPr>
            </w:pPr>
            <w:r w:rsidRPr="00B5641C">
              <w:rPr>
                <w:rFonts w:asciiTheme="minorHAnsi" w:eastAsia="Times New Roman" w:hAnsiTheme="minorHAnsi" w:cstheme="minorHAnsi"/>
                <w:color w:val="000000"/>
                <w:lang w:val="en-GB" w:eastAsia="en-GB"/>
              </w:rPr>
              <w:t>178920</w:t>
            </w:r>
          </w:p>
        </w:tc>
        <w:tc>
          <w:tcPr>
            <w:tcW w:w="1118" w:type="dxa"/>
            <w:noWrap/>
            <w:hideMark/>
          </w:tcPr>
          <w:p w14:paraId="02175ED0" w14:textId="77777777" w:rsidR="00515241" w:rsidRPr="00B5641C" w:rsidRDefault="00515241" w:rsidP="00515241">
            <w:pPr>
              <w:spacing w:after="0"/>
              <w:jc w:val="right"/>
              <w:rPr>
                <w:rFonts w:asciiTheme="minorHAnsi" w:eastAsia="Times New Roman" w:hAnsiTheme="minorHAnsi" w:cstheme="minorHAnsi"/>
                <w:color w:val="000000"/>
                <w:lang w:val="en-GB" w:eastAsia="en-GB"/>
              </w:rPr>
            </w:pPr>
            <w:r w:rsidRPr="00B5641C">
              <w:rPr>
                <w:rFonts w:asciiTheme="minorHAnsi" w:eastAsia="Times New Roman" w:hAnsiTheme="minorHAnsi" w:cstheme="minorHAnsi"/>
                <w:color w:val="000000"/>
                <w:lang w:val="en-GB" w:eastAsia="en-GB"/>
              </w:rPr>
              <w:t>268406</w:t>
            </w:r>
          </w:p>
        </w:tc>
        <w:tc>
          <w:tcPr>
            <w:tcW w:w="1118" w:type="dxa"/>
            <w:gridSpan w:val="2"/>
            <w:noWrap/>
            <w:hideMark/>
          </w:tcPr>
          <w:p w14:paraId="559CF6BA" w14:textId="77777777" w:rsidR="00515241" w:rsidRPr="00B5641C" w:rsidRDefault="00515241" w:rsidP="00515241">
            <w:pPr>
              <w:spacing w:after="0"/>
              <w:jc w:val="right"/>
              <w:rPr>
                <w:rFonts w:asciiTheme="minorHAnsi" w:eastAsia="Times New Roman" w:hAnsiTheme="minorHAnsi" w:cstheme="minorHAnsi"/>
                <w:color w:val="000000"/>
                <w:lang w:val="en-GB" w:eastAsia="en-GB"/>
              </w:rPr>
            </w:pPr>
            <w:r w:rsidRPr="00B5641C">
              <w:rPr>
                <w:rFonts w:asciiTheme="minorHAnsi" w:eastAsia="Times New Roman" w:hAnsiTheme="minorHAnsi" w:cstheme="minorHAnsi"/>
                <w:color w:val="000000"/>
                <w:lang w:val="en-GB" w:eastAsia="en-GB"/>
              </w:rPr>
              <w:t>275949</w:t>
            </w:r>
          </w:p>
        </w:tc>
        <w:tc>
          <w:tcPr>
            <w:tcW w:w="1118" w:type="dxa"/>
            <w:noWrap/>
            <w:hideMark/>
          </w:tcPr>
          <w:p w14:paraId="01B21B03" w14:textId="77777777" w:rsidR="00515241" w:rsidRPr="00B5641C" w:rsidRDefault="00515241" w:rsidP="00515241">
            <w:pPr>
              <w:spacing w:after="0"/>
              <w:jc w:val="right"/>
              <w:rPr>
                <w:rFonts w:asciiTheme="minorHAnsi" w:eastAsia="Times New Roman" w:hAnsiTheme="minorHAnsi" w:cstheme="minorHAnsi"/>
                <w:color w:val="000000"/>
                <w:lang w:val="en-GB" w:eastAsia="en-GB"/>
              </w:rPr>
            </w:pPr>
            <w:r w:rsidRPr="00B5641C">
              <w:rPr>
                <w:rFonts w:asciiTheme="minorHAnsi" w:eastAsia="Times New Roman" w:hAnsiTheme="minorHAnsi" w:cstheme="minorHAnsi"/>
                <w:color w:val="000000"/>
                <w:lang w:val="en-GB" w:eastAsia="en-GB"/>
              </w:rPr>
              <w:t>313301</w:t>
            </w:r>
          </w:p>
        </w:tc>
      </w:tr>
      <w:tr w:rsidR="00515241" w:rsidRPr="00B5641C" w14:paraId="0526C76E" w14:textId="77777777" w:rsidTr="00515241">
        <w:trPr>
          <w:trHeight w:val="305"/>
        </w:trPr>
        <w:tc>
          <w:tcPr>
            <w:tcW w:w="3402" w:type="dxa"/>
            <w:noWrap/>
            <w:hideMark/>
          </w:tcPr>
          <w:p w14:paraId="5AEEC65D" w14:textId="77777777" w:rsidR="00515241" w:rsidRPr="00B5641C" w:rsidRDefault="00515241" w:rsidP="00515241">
            <w:pPr>
              <w:spacing w:after="0"/>
              <w:rPr>
                <w:rFonts w:asciiTheme="minorHAnsi" w:eastAsia="Times New Roman" w:hAnsiTheme="minorHAnsi" w:cstheme="minorHAnsi"/>
                <w:color w:val="000000"/>
                <w:lang w:val="en-GB" w:eastAsia="en-GB"/>
              </w:rPr>
            </w:pPr>
            <w:r w:rsidRPr="00B5641C">
              <w:rPr>
                <w:rFonts w:asciiTheme="minorHAnsi" w:eastAsia="Times New Roman" w:hAnsiTheme="minorHAnsi" w:cstheme="minorHAnsi"/>
                <w:color w:val="000000"/>
                <w:lang w:val="en-GB" w:eastAsia="en-GB"/>
              </w:rPr>
              <w:t>Book Value of Total Liabilities</w:t>
            </w:r>
          </w:p>
        </w:tc>
        <w:tc>
          <w:tcPr>
            <w:tcW w:w="1118" w:type="dxa"/>
            <w:noWrap/>
            <w:hideMark/>
          </w:tcPr>
          <w:p w14:paraId="153CD5D3" w14:textId="77777777" w:rsidR="00515241" w:rsidRPr="00B5641C" w:rsidRDefault="00515241" w:rsidP="00515241">
            <w:pPr>
              <w:spacing w:after="0"/>
              <w:jc w:val="right"/>
              <w:rPr>
                <w:rFonts w:asciiTheme="minorHAnsi" w:eastAsia="Times New Roman" w:hAnsiTheme="minorHAnsi" w:cstheme="minorHAnsi"/>
                <w:color w:val="000000"/>
                <w:lang w:val="en-GB" w:eastAsia="en-GB"/>
              </w:rPr>
            </w:pPr>
            <w:r w:rsidRPr="00B5641C">
              <w:rPr>
                <w:rFonts w:asciiTheme="minorHAnsi" w:eastAsia="Times New Roman" w:hAnsiTheme="minorHAnsi" w:cstheme="minorHAnsi"/>
                <w:color w:val="000000"/>
                <w:lang w:val="en-GB" w:eastAsia="en-GB"/>
              </w:rPr>
              <w:t>170249</w:t>
            </w:r>
          </w:p>
        </w:tc>
        <w:tc>
          <w:tcPr>
            <w:tcW w:w="1118" w:type="dxa"/>
            <w:noWrap/>
            <w:hideMark/>
          </w:tcPr>
          <w:p w14:paraId="59E3B2AD" w14:textId="77777777" w:rsidR="00515241" w:rsidRPr="00B5641C" w:rsidRDefault="00515241" w:rsidP="00515241">
            <w:pPr>
              <w:spacing w:after="0"/>
              <w:jc w:val="right"/>
              <w:rPr>
                <w:rFonts w:asciiTheme="minorHAnsi" w:eastAsia="Times New Roman" w:hAnsiTheme="minorHAnsi" w:cstheme="minorHAnsi"/>
                <w:color w:val="000000"/>
                <w:lang w:val="en-GB" w:eastAsia="en-GB"/>
              </w:rPr>
            </w:pPr>
            <w:r w:rsidRPr="00B5641C">
              <w:rPr>
                <w:rFonts w:asciiTheme="minorHAnsi" w:eastAsia="Times New Roman" w:hAnsiTheme="minorHAnsi" w:cstheme="minorHAnsi"/>
                <w:color w:val="000000"/>
                <w:lang w:val="en-GB" w:eastAsia="en-GB"/>
              </w:rPr>
              <w:t>176952</w:t>
            </w:r>
          </w:p>
        </w:tc>
        <w:tc>
          <w:tcPr>
            <w:tcW w:w="1118" w:type="dxa"/>
            <w:noWrap/>
            <w:hideMark/>
          </w:tcPr>
          <w:p w14:paraId="0F4A8B70" w14:textId="77777777" w:rsidR="00515241" w:rsidRPr="00B5641C" w:rsidRDefault="00515241" w:rsidP="00515241">
            <w:pPr>
              <w:spacing w:after="0"/>
              <w:jc w:val="right"/>
              <w:rPr>
                <w:rFonts w:asciiTheme="minorHAnsi" w:eastAsia="Times New Roman" w:hAnsiTheme="minorHAnsi" w:cstheme="minorHAnsi"/>
                <w:color w:val="000000"/>
                <w:lang w:val="en-GB" w:eastAsia="en-GB"/>
              </w:rPr>
            </w:pPr>
            <w:r w:rsidRPr="00B5641C">
              <w:rPr>
                <w:rFonts w:asciiTheme="minorHAnsi" w:eastAsia="Times New Roman" w:hAnsiTheme="minorHAnsi" w:cstheme="minorHAnsi"/>
                <w:color w:val="000000"/>
                <w:lang w:val="en-GB" w:eastAsia="en-GB"/>
              </w:rPr>
              <w:t>235757</w:t>
            </w:r>
          </w:p>
        </w:tc>
        <w:tc>
          <w:tcPr>
            <w:tcW w:w="1118" w:type="dxa"/>
            <w:gridSpan w:val="2"/>
            <w:noWrap/>
            <w:hideMark/>
          </w:tcPr>
          <w:p w14:paraId="39D41371" w14:textId="77777777" w:rsidR="00515241" w:rsidRPr="00B5641C" w:rsidRDefault="00515241" w:rsidP="00515241">
            <w:pPr>
              <w:spacing w:after="0"/>
              <w:jc w:val="right"/>
              <w:rPr>
                <w:rFonts w:asciiTheme="minorHAnsi" w:eastAsia="Times New Roman" w:hAnsiTheme="minorHAnsi" w:cstheme="minorHAnsi"/>
                <w:color w:val="000000"/>
                <w:lang w:val="en-GB" w:eastAsia="en-GB"/>
              </w:rPr>
            </w:pPr>
            <w:r w:rsidRPr="00B5641C">
              <w:rPr>
                <w:rFonts w:asciiTheme="minorHAnsi" w:eastAsia="Times New Roman" w:hAnsiTheme="minorHAnsi" w:cstheme="minorHAnsi"/>
                <w:color w:val="000000"/>
                <w:lang w:val="en-GB" w:eastAsia="en-GB"/>
              </w:rPr>
              <w:t>234399</w:t>
            </w:r>
          </w:p>
        </w:tc>
        <w:tc>
          <w:tcPr>
            <w:tcW w:w="1118" w:type="dxa"/>
            <w:noWrap/>
            <w:hideMark/>
          </w:tcPr>
          <w:p w14:paraId="17FAA208" w14:textId="77777777" w:rsidR="00515241" w:rsidRPr="00B5641C" w:rsidRDefault="00515241" w:rsidP="00515241">
            <w:pPr>
              <w:spacing w:after="0"/>
              <w:jc w:val="right"/>
              <w:rPr>
                <w:rFonts w:asciiTheme="minorHAnsi" w:eastAsia="Times New Roman" w:hAnsiTheme="minorHAnsi" w:cstheme="minorHAnsi"/>
                <w:color w:val="000000"/>
                <w:lang w:val="en-GB" w:eastAsia="en-GB"/>
              </w:rPr>
            </w:pPr>
            <w:r w:rsidRPr="00B5641C">
              <w:rPr>
                <w:rFonts w:asciiTheme="minorHAnsi" w:eastAsia="Times New Roman" w:hAnsiTheme="minorHAnsi" w:cstheme="minorHAnsi"/>
                <w:color w:val="000000"/>
                <w:lang w:val="en-GB" w:eastAsia="en-GB"/>
              </w:rPr>
              <w:t>196989</w:t>
            </w:r>
          </w:p>
        </w:tc>
      </w:tr>
      <w:tr w:rsidR="00515241" w:rsidRPr="00B5641C" w14:paraId="34D652A0" w14:textId="77777777" w:rsidTr="00515241">
        <w:trPr>
          <w:trHeight w:val="305"/>
        </w:trPr>
        <w:tc>
          <w:tcPr>
            <w:tcW w:w="3402" w:type="dxa"/>
            <w:noWrap/>
            <w:hideMark/>
          </w:tcPr>
          <w:p w14:paraId="3BBD751E" w14:textId="77777777" w:rsidR="00515241" w:rsidRPr="00B5641C" w:rsidRDefault="00515241" w:rsidP="00515241">
            <w:pPr>
              <w:spacing w:after="0"/>
              <w:rPr>
                <w:rFonts w:asciiTheme="minorHAnsi" w:eastAsia="Times New Roman" w:hAnsiTheme="minorHAnsi" w:cstheme="minorHAnsi"/>
                <w:color w:val="000000"/>
                <w:lang w:val="en-GB" w:eastAsia="en-GB"/>
              </w:rPr>
            </w:pPr>
            <w:r w:rsidRPr="00B5641C">
              <w:rPr>
                <w:rFonts w:asciiTheme="minorHAnsi" w:eastAsia="Times New Roman" w:hAnsiTheme="minorHAnsi" w:cstheme="minorHAnsi"/>
                <w:color w:val="000000"/>
                <w:lang w:val="en-GB" w:eastAsia="en-GB"/>
              </w:rPr>
              <w:t>Total Assets</w:t>
            </w:r>
          </w:p>
        </w:tc>
        <w:tc>
          <w:tcPr>
            <w:tcW w:w="1118" w:type="dxa"/>
            <w:noWrap/>
            <w:hideMark/>
          </w:tcPr>
          <w:p w14:paraId="6E42D58A" w14:textId="77777777" w:rsidR="00515241" w:rsidRPr="00B5641C" w:rsidRDefault="00515241" w:rsidP="00515241">
            <w:pPr>
              <w:spacing w:after="0"/>
              <w:jc w:val="right"/>
              <w:rPr>
                <w:rFonts w:asciiTheme="minorHAnsi" w:eastAsia="Times New Roman" w:hAnsiTheme="minorHAnsi" w:cstheme="minorHAnsi"/>
                <w:color w:val="000000"/>
                <w:lang w:val="en-GB" w:eastAsia="en-GB"/>
              </w:rPr>
            </w:pPr>
            <w:r w:rsidRPr="00B5641C">
              <w:rPr>
                <w:rFonts w:asciiTheme="minorHAnsi" w:eastAsia="Times New Roman" w:hAnsiTheme="minorHAnsi" w:cstheme="minorHAnsi"/>
                <w:color w:val="000000"/>
                <w:lang w:val="en-GB" w:eastAsia="en-GB"/>
              </w:rPr>
              <w:t>323354</w:t>
            </w:r>
          </w:p>
        </w:tc>
        <w:tc>
          <w:tcPr>
            <w:tcW w:w="1118" w:type="dxa"/>
            <w:noWrap/>
            <w:hideMark/>
          </w:tcPr>
          <w:p w14:paraId="15070094" w14:textId="77777777" w:rsidR="00515241" w:rsidRPr="00B5641C" w:rsidRDefault="00515241" w:rsidP="00515241">
            <w:pPr>
              <w:spacing w:after="0"/>
              <w:jc w:val="right"/>
              <w:rPr>
                <w:rFonts w:asciiTheme="minorHAnsi" w:eastAsia="Times New Roman" w:hAnsiTheme="minorHAnsi" w:cstheme="minorHAnsi"/>
                <w:color w:val="000000"/>
                <w:lang w:val="en-GB" w:eastAsia="en-GB"/>
              </w:rPr>
            </w:pPr>
            <w:r w:rsidRPr="00B5641C">
              <w:rPr>
                <w:rFonts w:asciiTheme="minorHAnsi" w:eastAsia="Times New Roman" w:hAnsiTheme="minorHAnsi" w:cstheme="minorHAnsi"/>
                <w:color w:val="000000"/>
                <w:lang w:val="en-GB" w:eastAsia="en-GB"/>
              </w:rPr>
              <w:t>355872</w:t>
            </w:r>
          </w:p>
        </w:tc>
        <w:tc>
          <w:tcPr>
            <w:tcW w:w="1118" w:type="dxa"/>
            <w:noWrap/>
            <w:hideMark/>
          </w:tcPr>
          <w:p w14:paraId="48ADE18A" w14:textId="77777777" w:rsidR="00515241" w:rsidRPr="00B5641C" w:rsidRDefault="00515241" w:rsidP="00515241">
            <w:pPr>
              <w:spacing w:after="0"/>
              <w:jc w:val="right"/>
              <w:rPr>
                <w:rFonts w:asciiTheme="minorHAnsi" w:eastAsia="Times New Roman" w:hAnsiTheme="minorHAnsi" w:cstheme="minorHAnsi"/>
                <w:color w:val="000000"/>
                <w:lang w:val="en-GB" w:eastAsia="en-GB"/>
              </w:rPr>
            </w:pPr>
            <w:r w:rsidRPr="00B5641C">
              <w:rPr>
                <w:rFonts w:asciiTheme="minorHAnsi" w:eastAsia="Times New Roman" w:hAnsiTheme="minorHAnsi" w:cstheme="minorHAnsi"/>
                <w:color w:val="000000"/>
                <w:lang w:val="en-GB" w:eastAsia="en-GB"/>
              </w:rPr>
              <w:t>504163</w:t>
            </w:r>
          </w:p>
        </w:tc>
        <w:tc>
          <w:tcPr>
            <w:tcW w:w="1118" w:type="dxa"/>
            <w:gridSpan w:val="2"/>
            <w:noWrap/>
            <w:hideMark/>
          </w:tcPr>
          <w:p w14:paraId="51B258AD" w14:textId="77777777" w:rsidR="00515241" w:rsidRPr="00B5641C" w:rsidRDefault="00515241" w:rsidP="00515241">
            <w:pPr>
              <w:spacing w:after="0"/>
              <w:jc w:val="right"/>
              <w:rPr>
                <w:rFonts w:asciiTheme="minorHAnsi" w:eastAsia="Times New Roman" w:hAnsiTheme="minorHAnsi" w:cstheme="minorHAnsi"/>
                <w:color w:val="000000"/>
                <w:lang w:val="en-GB" w:eastAsia="en-GB"/>
              </w:rPr>
            </w:pPr>
            <w:r w:rsidRPr="00B5641C">
              <w:rPr>
                <w:rFonts w:asciiTheme="minorHAnsi" w:eastAsia="Times New Roman" w:hAnsiTheme="minorHAnsi" w:cstheme="minorHAnsi"/>
                <w:color w:val="000000"/>
                <w:lang w:val="en-GB" w:eastAsia="en-GB"/>
              </w:rPr>
              <w:t>510348</w:t>
            </w:r>
          </w:p>
        </w:tc>
        <w:tc>
          <w:tcPr>
            <w:tcW w:w="1118" w:type="dxa"/>
            <w:noWrap/>
            <w:hideMark/>
          </w:tcPr>
          <w:p w14:paraId="4200D41E" w14:textId="77777777" w:rsidR="00515241" w:rsidRPr="00B5641C" w:rsidRDefault="00515241" w:rsidP="00515241">
            <w:pPr>
              <w:spacing w:after="0"/>
              <w:jc w:val="right"/>
              <w:rPr>
                <w:rFonts w:asciiTheme="minorHAnsi" w:eastAsia="Times New Roman" w:hAnsiTheme="minorHAnsi" w:cstheme="minorHAnsi"/>
                <w:color w:val="000000"/>
                <w:lang w:val="en-GB" w:eastAsia="en-GB"/>
              </w:rPr>
            </w:pPr>
            <w:r w:rsidRPr="00B5641C">
              <w:rPr>
                <w:rFonts w:asciiTheme="minorHAnsi" w:eastAsia="Times New Roman" w:hAnsiTheme="minorHAnsi" w:cstheme="minorHAnsi"/>
                <w:color w:val="000000"/>
                <w:lang w:val="en-GB" w:eastAsia="en-GB"/>
              </w:rPr>
              <w:t>510290</w:t>
            </w:r>
          </w:p>
        </w:tc>
      </w:tr>
      <w:tr w:rsidR="00515241" w:rsidRPr="00B5641C" w14:paraId="645FEB4A" w14:textId="77777777" w:rsidTr="00515241">
        <w:trPr>
          <w:trHeight w:val="305"/>
        </w:trPr>
        <w:tc>
          <w:tcPr>
            <w:tcW w:w="3402" w:type="dxa"/>
            <w:noWrap/>
            <w:hideMark/>
          </w:tcPr>
          <w:p w14:paraId="1D2C81CB" w14:textId="77777777" w:rsidR="00515241" w:rsidRPr="00B5641C" w:rsidRDefault="00515241" w:rsidP="00515241">
            <w:pPr>
              <w:spacing w:after="0"/>
              <w:rPr>
                <w:rFonts w:asciiTheme="minorHAnsi" w:eastAsia="Times New Roman" w:hAnsiTheme="minorHAnsi" w:cstheme="minorHAnsi"/>
                <w:color w:val="000000"/>
                <w:lang w:val="en-GB" w:eastAsia="en-GB"/>
              </w:rPr>
            </w:pPr>
            <w:r w:rsidRPr="00B5641C">
              <w:rPr>
                <w:rFonts w:asciiTheme="minorHAnsi" w:eastAsia="Times New Roman" w:hAnsiTheme="minorHAnsi" w:cstheme="minorHAnsi"/>
                <w:color w:val="000000"/>
                <w:lang w:val="en-GB" w:eastAsia="en-GB"/>
              </w:rPr>
              <w:t>Net Sales</w:t>
            </w:r>
          </w:p>
        </w:tc>
        <w:tc>
          <w:tcPr>
            <w:tcW w:w="1118" w:type="dxa"/>
            <w:noWrap/>
            <w:hideMark/>
          </w:tcPr>
          <w:p w14:paraId="4F7C0F07" w14:textId="77777777" w:rsidR="00515241" w:rsidRPr="00B5641C" w:rsidRDefault="00515241" w:rsidP="00515241">
            <w:pPr>
              <w:spacing w:after="0"/>
              <w:jc w:val="right"/>
              <w:rPr>
                <w:rFonts w:asciiTheme="minorHAnsi" w:eastAsia="Times New Roman" w:hAnsiTheme="minorHAnsi" w:cstheme="minorHAnsi"/>
                <w:color w:val="000000"/>
                <w:lang w:val="en-GB" w:eastAsia="en-GB"/>
              </w:rPr>
            </w:pPr>
            <w:r w:rsidRPr="00B5641C">
              <w:rPr>
                <w:rFonts w:asciiTheme="minorHAnsi" w:eastAsia="Times New Roman" w:hAnsiTheme="minorHAnsi" w:cstheme="minorHAnsi"/>
                <w:color w:val="000000"/>
                <w:lang w:val="en-GB" w:eastAsia="en-GB"/>
              </w:rPr>
              <w:t>394879</w:t>
            </w:r>
          </w:p>
        </w:tc>
        <w:tc>
          <w:tcPr>
            <w:tcW w:w="1118" w:type="dxa"/>
            <w:noWrap/>
            <w:hideMark/>
          </w:tcPr>
          <w:p w14:paraId="655967EB" w14:textId="77777777" w:rsidR="00515241" w:rsidRPr="00B5641C" w:rsidRDefault="00515241" w:rsidP="00515241">
            <w:pPr>
              <w:spacing w:after="0"/>
              <w:jc w:val="right"/>
              <w:rPr>
                <w:rFonts w:asciiTheme="minorHAnsi" w:eastAsia="Times New Roman" w:hAnsiTheme="minorHAnsi" w:cstheme="minorHAnsi"/>
                <w:color w:val="000000"/>
                <w:lang w:val="en-GB" w:eastAsia="en-GB"/>
              </w:rPr>
            </w:pPr>
            <w:r w:rsidRPr="00B5641C">
              <w:rPr>
                <w:rFonts w:asciiTheme="minorHAnsi" w:eastAsia="Times New Roman" w:hAnsiTheme="minorHAnsi" w:cstheme="minorHAnsi"/>
                <w:color w:val="000000"/>
                <w:lang w:val="en-GB" w:eastAsia="en-GB"/>
              </w:rPr>
              <w:t>420457</w:t>
            </w:r>
          </w:p>
        </w:tc>
        <w:tc>
          <w:tcPr>
            <w:tcW w:w="1118" w:type="dxa"/>
            <w:noWrap/>
            <w:hideMark/>
          </w:tcPr>
          <w:p w14:paraId="31F47D2F" w14:textId="77777777" w:rsidR="00515241" w:rsidRPr="00B5641C" w:rsidRDefault="00515241" w:rsidP="00515241">
            <w:pPr>
              <w:spacing w:after="0"/>
              <w:jc w:val="right"/>
              <w:rPr>
                <w:rFonts w:asciiTheme="minorHAnsi" w:eastAsia="Times New Roman" w:hAnsiTheme="minorHAnsi" w:cstheme="minorHAnsi"/>
                <w:color w:val="000000"/>
                <w:lang w:val="en-GB" w:eastAsia="en-GB"/>
              </w:rPr>
            </w:pPr>
            <w:r w:rsidRPr="00B5641C">
              <w:rPr>
                <w:rFonts w:asciiTheme="minorHAnsi" w:eastAsia="Times New Roman" w:hAnsiTheme="minorHAnsi" w:cstheme="minorHAnsi"/>
                <w:color w:val="000000"/>
                <w:lang w:val="en-GB" w:eastAsia="en-GB"/>
              </w:rPr>
              <w:t>542751</w:t>
            </w:r>
          </w:p>
        </w:tc>
        <w:tc>
          <w:tcPr>
            <w:tcW w:w="1118" w:type="dxa"/>
            <w:gridSpan w:val="2"/>
            <w:noWrap/>
            <w:hideMark/>
          </w:tcPr>
          <w:p w14:paraId="0B73539C" w14:textId="77777777" w:rsidR="00515241" w:rsidRPr="00B5641C" w:rsidRDefault="00515241" w:rsidP="00515241">
            <w:pPr>
              <w:spacing w:after="0"/>
              <w:jc w:val="right"/>
              <w:rPr>
                <w:rFonts w:asciiTheme="minorHAnsi" w:eastAsia="Times New Roman" w:hAnsiTheme="minorHAnsi" w:cstheme="minorHAnsi"/>
                <w:color w:val="000000"/>
                <w:lang w:val="en-GB" w:eastAsia="en-GB"/>
              </w:rPr>
            </w:pPr>
            <w:r w:rsidRPr="00B5641C">
              <w:rPr>
                <w:rFonts w:asciiTheme="minorHAnsi" w:eastAsia="Times New Roman" w:hAnsiTheme="minorHAnsi" w:cstheme="minorHAnsi"/>
                <w:color w:val="000000"/>
                <w:lang w:val="en-GB" w:eastAsia="en-GB"/>
              </w:rPr>
              <w:t>601602</w:t>
            </w:r>
          </w:p>
        </w:tc>
        <w:tc>
          <w:tcPr>
            <w:tcW w:w="1118" w:type="dxa"/>
            <w:noWrap/>
            <w:hideMark/>
          </w:tcPr>
          <w:p w14:paraId="625B51D9" w14:textId="77777777" w:rsidR="00515241" w:rsidRPr="00B5641C" w:rsidRDefault="00515241" w:rsidP="00515241">
            <w:pPr>
              <w:spacing w:after="0"/>
              <w:jc w:val="right"/>
              <w:rPr>
                <w:rFonts w:asciiTheme="minorHAnsi" w:eastAsia="Times New Roman" w:hAnsiTheme="minorHAnsi" w:cstheme="minorHAnsi"/>
                <w:color w:val="000000"/>
                <w:lang w:val="en-GB" w:eastAsia="en-GB"/>
              </w:rPr>
            </w:pPr>
            <w:r w:rsidRPr="00B5641C">
              <w:rPr>
                <w:rFonts w:asciiTheme="minorHAnsi" w:eastAsia="Times New Roman" w:hAnsiTheme="minorHAnsi" w:cstheme="minorHAnsi"/>
                <w:color w:val="000000"/>
                <w:lang w:val="en-GB" w:eastAsia="en-GB"/>
              </w:rPr>
              <w:t>614680</w:t>
            </w:r>
          </w:p>
        </w:tc>
      </w:tr>
      <w:tr w:rsidR="00515241" w:rsidRPr="00B5641C" w14:paraId="4D8AFCA3" w14:textId="77777777" w:rsidTr="00515241">
        <w:trPr>
          <w:trHeight w:val="305"/>
        </w:trPr>
        <w:tc>
          <w:tcPr>
            <w:tcW w:w="3402" w:type="dxa"/>
            <w:noWrap/>
            <w:hideMark/>
          </w:tcPr>
          <w:p w14:paraId="4ED26095" w14:textId="77777777" w:rsidR="00515241" w:rsidRPr="00B5641C" w:rsidRDefault="00515241" w:rsidP="00515241">
            <w:pPr>
              <w:spacing w:after="0"/>
              <w:rPr>
                <w:rFonts w:asciiTheme="minorHAnsi" w:eastAsia="Times New Roman" w:hAnsiTheme="minorHAnsi" w:cstheme="minorHAnsi"/>
                <w:b/>
                <w:bCs/>
                <w:color w:val="000000"/>
                <w:lang w:val="en-GB" w:eastAsia="en-GB"/>
              </w:rPr>
            </w:pPr>
            <w:r w:rsidRPr="00B5641C">
              <w:rPr>
                <w:rFonts w:asciiTheme="minorHAnsi" w:eastAsia="Times New Roman" w:hAnsiTheme="minorHAnsi" w:cstheme="minorHAnsi"/>
                <w:b/>
                <w:bCs/>
                <w:color w:val="000000"/>
                <w:lang w:val="en-GB" w:eastAsia="en-GB"/>
              </w:rPr>
              <w:t>Z-Score</w:t>
            </w:r>
          </w:p>
        </w:tc>
        <w:tc>
          <w:tcPr>
            <w:tcW w:w="1118" w:type="dxa"/>
            <w:noWrap/>
            <w:hideMark/>
          </w:tcPr>
          <w:p w14:paraId="77D000C7" w14:textId="77777777" w:rsidR="00515241" w:rsidRPr="00B5641C" w:rsidRDefault="00515241" w:rsidP="00515241">
            <w:pPr>
              <w:spacing w:after="0"/>
              <w:jc w:val="right"/>
              <w:rPr>
                <w:rFonts w:asciiTheme="minorHAnsi" w:eastAsia="Times New Roman" w:hAnsiTheme="minorHAnsi" w:cstheme="minorHAnsi"/>
                <w:b/>
                <w:bCs/>
                <w:color w:val="000000"/>
                <w:lang w:val="en-GB" w:eastAsia="en-GB"/>
              </w:rPr>
            </w:pPr>
            <w:r w:rsidRPr="00B5641C">
              <w:rPr>
                <w:rFonts w:asciiTheme="minorHAnsi" w:eastAsia="Times New Roman" w:hAnsiTheme="minorHAnsi" w:cstheme="minorHAnsi"/>
                <w:b/>
                <w:bCs/>
                <w:color w:val="000000"/>
                <w:lang w:val="en-GB" w:eastAsia="en-GB"/>
              </w:rPr>
              <w:t>2.854</w:t>
            </w:r>
          </w:p>
        </w:tc>
        <w:tc>
          <w:tcPr>
            <w:tcW w:w="1118" w:type="dxa"/>
            <w:noWrap/>
            <w:hideMark/>
          </w:tcPr>
          <w:p w14:paraId="01BACB88" w14:textId="77777777" w:rsidR="00515241" w:rsidRPr="00B5641C" w:rsidRDefault="00515241" w:rsidP="00515241">
            <w:pPr>
              <w:spacing w:after="0"/>
              <w:jc w:val="right"/>
              <w:rPr>
                <w:rFonts w:asciiTheme="minorHAnsi" w:eastAsia="Times New Roman" w:hAnsiTheme="minorHAnsi" w:cstheme="minorHAnsi"/>
                <w:b/>
                <w:bCs/>
                <w:color w:val="000000"/>
                <w:lang w:val="en-GB" w:eastAsia="en-GB"/>
              </w:rPr>
            </w:pPr>
            <w:r w:rsidRPr="00B5641C">
              <w:rPr>
                <w:rFonts w:asciiTheme="minorHAnsi" w:eastAsia="Times New Roman" w:hAnsiTheme="minorHAnsi" w:cstheme="minorHAnsi"/>
                <w:b/>
                <w:bCs/>
                <w:color w:val="000000"/>
                <w:lang w:val="en-GB" w:eastAsia="en-GB"/>
              </w:rPr>
              <w:t>2.281</w:t>
            </w:r>
          </w:p>
        </w:tc>
        <w:tc>
          <w:tcPr>
            <w:tcW w:w="1118" w:type="dxa"/>
            <w:noWrap/>
            <w:hideMark/>
          </w:tcPr>
          <w:p w14:paraId="761ECFFC" w14:textId="77777777" w:rsidR="00515241" w:rsidRPr="00B5641C" w:rsidRDefault="00515241" w:rsidP="00515241">
            <w:pPr>
              <w:spacing w:after="0"/>
              <w:jc w:val="right"/>
              <w:rPr>
                <w:rFonts w:asciiTheme="minorHAnsi" w:eastAsia="Times New Roman" w:hAnsiTheme="minorHAnsi" w:cstheme="minorHAnsi"/>
                <w:b/>
                <w:bCs/>
                <w:color w:val="000000"/>
                <w:lang w:val="en-GB" w:eastAsia="en-GB"/>
              </w:rPr>
            </w:pPr>
            <w:r w:rsidRPr="00B5641C">
              <w:rPr>
                <w:rFonts w:asciiTheme="minorHAnsi" w:eastAsia="Times New Roman" w:hAnsiTheme="minorHAnsi" w:cstheme="minorHAnsi"/>
                <w:b/>
                <w:bCs/>
                <w:color w:val="000000"/>
                <w:lang w:val="en-GB" w:eastAsia="en-GB"/>
              </w:rPr>
              <w:t>3.077</w:t>
            </w:r>
          </w:p>
        </w:tc>
        <w:tc>
          <w:tcPr>
            <w:tcW w:w="1118" w:type="dxa"/>
            <w:gridSpan w:val="2"/>
            <w:noWrap/>
            <w:hideMark/>
          </w:tcPr>
          <w:p w14:paraId="171DDD81" w14:textId="77777777" w:rsidR="00515241" w:rsidRPr="00B5641C" w:rsidRDefault="00515241" w:rsidP="00515241">
            <w:pPr>
              <w:spacing w:after="0"/>
              <w:jc w:val="right"/>
              <w:rPr>
                <w:rFonts w:asciiTheme="minorHAnsi" w:eastAsia="Times New Roman" w:hAnsiTheme="minorHAnsi" w:cstheme="minorHAnsi"/>
                <w:b/>
                <w:bCs/>
                <w:color w:val="000000"/>
                <w:lang w:val="en-GB" w:eastAsia="en-GB"/>
              </w:rPr>
            </w:pPr>
            <w:r w:rsidRPr="00B5641C">
              <w:rPr>
                <w:rFonts w:asciiTheme="minorHAnsi" w:eastAsia="Times New Roman" w:hAnsiTheme="minorHAnsi" w:cstheme="minorHAnsi"/>
                <w:b/>
                <w:bCs/>
                <w:color w:val="000000"/>
                <w:lang w:val="en-GB" w:eastAsia="en-GB"/>
              </w:rPr>
              <w:t>3.228</w:t>
            </w:r>
          </w:p>
        </w:tc>
        <w:tc>
          <w:tcPr>
            <w:tcW w:w="1118" w:type="dxa"/>
            <w:noWrap/>
            <w:hideMark/>
          </w:tcPr>
          <w:p w14:paraId="6FC75814" w14:textId="77777777" w:rsidR="00515241" w:rsidRPr="00B5641C" w:rsidRDefault="00515241" w:rsidP="00515241">
            <w:pPr>
              <w:spacing w:after="0"/>
              <w:jc w:val="right"/>
              <w:rPr>
                <w:rFonts w:asciiTheme="minorHAnsi" w:eastAsia="Times New Roman" w:hAnsiTheme="minorHAnsi" w:cstheme="minorHAnsi"/>
                <w:b/>
                <w:bCs/>
                <w:color w:val="000000"/>
                <w:lang w:val="en-GB" w:eastAsia="en-GB"/>
              </w:rPr>
            </w:pPr>
            <w:r w:rsidRPr="00B5641C">
              <w:rPr>
                <w:rFonts w:asciiTheme="minorHAnsi" w:eastAsia="Times New Roman" w:hAnsiTheme="minorHAnsi" w:cstheme="minorHAnsi"/>
                <w:b/>
                <w:bCs/>
                <w:color w:val="000000"/>
                <w:lang w:val="en-GB" w:eastAsia="en-GB"/>
              </w:rPr>
              <w:t>3.647</w:t>
            </w:r>
          </w:p>
        </w:tc>
      </w:tr>
    </w:tbl>
    <w:p w14:paraId="680ADF57" w14:textId="29B0DD06" w:rsidR="00515241" w:rsidRPr="00104BFC" w:rsidRDefault="00515241" w:rsidP="00515241">
      <w:pPr>
        <w:rPr>
          <w:rFonts w:asciiTheme="minorHAnsi" w:hAnsiTheme="minorHAnsi"/>
          <w:b/>
          <w:szCs w:val="24"/>
          <w:lang w:val="en"/>
          <w14:ligatures w14:val="none"/>
        </w:rPr>
      </w:pPr>
      <w:r w:rsidRPr="00104BFC">
        <w:rPr>
          <w:rFonts w:asciiTheme="minorHAnsi" w:hAnsiTheme="minorHAnsi"/>
          <w:b/>
          <w:szCs w:val="24"/>
          <w:lang w:val="en"/>
          <w14:ligatures w14:val="none"/>
        </w:rPr>
        <w:t xml:space="preserve">Table </w:t>
      </w:r>
      <w:r>
        <w:rPr>
          <w:rFonts w:asciiTheme="minorHAnsi" w:hAnsiTheme="minorHAnsi"/>
          <w:b/>
          <w:szCs w:val="24"/>
          <w:lang w:val="en"/>
          <w14:ligatures w14:val="none"/>
        </w:rPr>
        <w:t>4</w:t>
      </w:r>
      <w:r w:rsidRPr="00104BFC">
        <w:rPr>
          <w:rFonts w:asciiTheme="minorHAnsi" w:hAnsiTheme="minorHAnsi"/>
          <w:b/>
          <w:szCs w:val="24"/>
          <w:lang w:val="en"/>
          <w14:ligatures w14:val="none"/>
        </w:rPr>
        <w:t>: Altman’s Z-Score Model</w:t>
      </w:r>
      <w:r>
        <w:rPr>
          <w:rFonts w:asciiTheme="minorHAnsi" w:hAnsiTheme="minorHAnsi"/>
          <w:b/>
          <w:szCs w:val="24"/>
          <w:lang w:val="en"/>
          <w14:ligatures w14:val="none"/>
        </w:rPr>
        <w:t xml:space="preserve"> (Source: Altman, 2018)</w:t>
      </w:r>
    </w:p>
    <w:p w14:paraId="6D40638D" w14:textId="28E0F587" w:rsidR="00345BDD" w:rsidRDefault="00345BDD" w:rsidP="00345BDD">
      <w:pPr>
        <w:pStyle w:val="Heading2"/>
      </w:pPr>
      <w:bookmarkStart w:id="45" w:name="_Toc216948160"/>
      <w:r>
        <w:t xml:space="preserve">Appendix </w:t>
      </w:r>
      <w:r w:rsidR="00515241">
        <w:t>5</w:t>
      </w:r>
      <w:r>
        <w:t>:</w:t>
      </w:r>
      <w:r w:rsidR="006507B2">
        <w:t xml:space="preserve"> Consolidated</w:t>
      </w:r>
      <w:r>
        <w:t xml:space="preserve"> Cash Flow Statement</w:t>
      </w:r>
      <w:bookmarkEnd w:id="45"/>
      <w:r>
        <w:t xml:space="preserve">  </w:t>
      </w:r>
    </w:p>
    <w:p w14:paraId="0DDA0BFE" w14:textId="4B5D7A18" w:rsidR="001444AA" w:rsidRDefault="001444AA" w:rsidP="001444AA">
      <w:r w:rsidRPr="001444AA">
        <w:rPr>
          <w:noProof/>
        </w:rPr>
        <w:drawing>
          <wp:inline distT="0" distB="0" distL="0" distR="0" wp14:anchorId="035D58A6" wp14:editId="669EEEAF">
            <wp:extent cx="3495675" cy="52959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496166" cy="5296644"/>
                    </a:xfrm>
                    <a:prstGeom prst="rect">
                      <a:avLst/>
                    </a:prstGeom>
                  </pic:spPr>
                </pic:pic>
              </a:graphicData>
            </a:graphic>
          </wp:inline>
        </w:drawing>
      </w:r>
    </w:p>
    <w:p w14:paraId="5C21CEAC" w14:textId="14974232" w:rsidR="006507B2" w:rsidRPr="006507B2" w:rsidRDefault="006507B2" w:rsidP="001444AA">
      <w:pPr>
        <w:rPr>
          <w:b/>
        </w:rPr>
      </w:pPr>
      <w:r w:rsidRPr="006507B2">
        <w:rPr>
          <w:b/>
        </w:rPr>
        <w:t xml:space="preserve">Table </w:t>
      </w:r>
      <w:r>
        <w:rPr>
          <w:b/>
        </w:rPr>
        <w:t>5</w:t>
      </w:r>
      <w:r w:rsidRPr="006507B2">
        <w:rPr>
          <w:b/>
        </w:rPr>
        <w:t xml:space="preserve">: Consolidated </w:t>
      </w:r>
      <w:r>
        <w:rPr>
          <w:b/>
        </w:rPr>
        <w:t>Cash Flow</w:t>
      </w:r>
      <w:r w:rsidRPr="006507B2">
        <w:rPr>
          <w:b/>
        </w:rPr>
        <w:t xml:space="preserve"> Statement (Source: Case Study)</w:t>
      </w:r>
    </w:p>
    <w:p w14:paraId="6A1B6298" w14:textId="430F119B" w:rsidR="001444AA" w:rsidRDefault="00345BDD" w:rsidP="001444AA">
      <w:pPr>
        <w:pStyle w:val="Heading2"/>
      </w:pPr>
      <w:bookmarkStart w:id="46" w:name="_Toc216948161"/>
      <w:r>
        <w:lastRenderedPageBreak/>
        <w:t xml:space="preserve">Appendix </w:t>
      </w:r>
      <w:r w:rsidR="00515241">
        <w:t>6</w:t>
      </w:r>
      <w:r>
        <w:t xml:space="preserve">: </w:t>
      </w:r>
      <w:r w:rsidR="001444AA">
        <w:t>PBP</w:t>
      </w:r>
      <w:bookmarkEnd w:id="46"/>
      <w:r>
        <w:t xml:space="preserve"> </w:t>
      </w:r>
    </w:p>
    <w:tbl>
      <w:tblPr>
        <w:tblW w:w="9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3"/>
        <w:gridCol w:w="1267"/>
        <w:gridCol w:w="1630"/>
        <w:gridCol w:w="1709"/>
        <w:gridCol w:w="1477"/>
        <w:gridCol w:w="222"/>
        <w:gridCol w:w="1267"/>
        <w:gridCol w:w="1631"/>
      </w:tblGrid>
      <w:tr w:rsidR="00D83CE7" w:rsidRPr="00D83CE7" w14:paraId="3F573F26" w14:textId="77777777" w:rsidTr="00D83CE7">
        <w:trPr>
          <w:trHeight w:val="284"/>
        </w:trPr>
        <w:tc>
          <w:tcPr>
            <w:tcW w:w="3421" w:type="dxa"/>
            <w:gridSpan w:val="3"/>
            <w:noWrap/>
            <w:vAlign w:val="bottom"/>
            <w:hideMark/>
          </w:tcPr>
          <w:p w14:paraId="77E5B8E6" w14:textId="77777777" w:rsidR="00D83CE7" w:rsidRPr="00D83CE7" w:rsidRDefault="00D83CE7" w:rsidP="00D83CE7">
            <w:pPr>
              <w:spacing w:after="0"/>
              <w:jc w:val="center"/>
              <w:rPr>
                <w:rFonts w:asciiTheme="minorHAnsi" w:eastAsia="Times New Roman" w:hAnsiTheme="minorHAnsi" w:cstheme="minorHAnsi"/>
                <w:b/>
                <w:bCs/>
                <w:color w:val="000000"/>
                <w:szCs w:val="24"/>
                <w:lang w:eastAsia="en-GB"/>
                <w14:ligatures w14:val="none"/>
              </w:rPr>
            </w:pPr>
            <w:r w:rsidRPr="00D83CE7">
              <w:rPr>
                <w:rFonts w:asciiTheme="minorHAnsi" w:eastAsia="Times New Roman" w:hAnsiTheme="minorHAnsi" w:cstheme="minorHAnsi"/>
                <w:b/>
                <w:bCs/>
                <w:color w:val="000000"/>
                <w:szCs w:val="24"/>
                <w:lang w:eastAsia="en-GB"/>
                <w14:ligatures w14:val="none"/>
              </w:rPr>
              <w:t>Project A</w:t>
            </w:r>
          </w:p>
        </w:tc>
        <w:tc>
          <w:tcPr>
            <w:tcW w:w="3347" w:type="dxa"/>
            <w:gridSpan w:val="3"/>
            <w:noWrap/>
            <w:vAlign w:val="bottom"/>
            <w:hideMark/>
          </w:tcPr>
          <w:p w14:paraId="42F33BD4" w14:textId="77777777" w:rsidR="00D83CE7" w:rsidRPr="00D83CE7" w:rsidRDefault="00D83CE7" w:rsidP="00D83CE7">
            <w:pPr>
              <w:spacing w:after="0"/>
              <w:jc w:val="center"/>
              <w:rPr>
                <w:rFonts w:asciiTheme="minorHAnsi" w:eastAsia="Times New Roman" w:hAnsiTheme="minorHAnsi" w:cstheme="minorHAnsi"/>
                <w:b/>
                <w:bCs/>
                <w:color w:val="000000"/>
                <w:szCs w:val="24"/>
                <w:lang w:eastAsia="en-GB"/>
                <w14:ligatures w14:val="none"/>
              </w:rPr>
            </w:pPr>
            <w:r w:rsidRPr="00D83CE7">
              <w:rPr>
                <w:rFonts w:asciiTheme="minorHAnsi" w:eastAsia="Times New Roman" w:hAnsiTheme="minorHAnsi" w:cstheme="minorHAnsi"/>
                <w:b/>
                <w:bCs/>
                <w:color w:val="000000"/>
                <w:szCs w:val="24"/>
                <w:lang w:eastAsia="en-GB"/>
                <w14:ligatures w14:val="none"/>
              </w:rPr>
              <w:t>Project B</w:t>
            </w:r>
          </w:p>
        </w:tc>
        <w:tc>
          <w:tcPr>
            <w:tcW w:w="2898" w:type="dxa"/>
            <w:gridSpan w:val="2"/>
            <w:noWrap/>
            <w:vAlign w:val="bottom"/>
            <w:hideMark/>
          </w:tcPr>
          <w:p w14:paraId="084AF9A1" w14:textId="77777777" w:rsidR="00D83CE7" w:rsidRPr="00D83CE7" w:rsidRDefault="00D83CE7" w:rsidP="00D83CE7">
            <w:pPr>
              <w:spacing w:after="0"/>
              <w:jc w:val="center"/>
              <w:rPr>
                <w:rFonts w:asciiTheme="minorHAnsi" w:eastAsia="Times New Roman" w:hAnsiTheme="minorHAnsi" w:cstheme="minorHAnsi"/>
                <w:b/>
                <w:bCs/>
                <w:color w:val="000000"/>
                <w:szCs w:val="24"/>
                <w:lang w:eastAsia="en-GB"/>
                <w14:ligatures w14:val="none"/>
              </w:rPr>
            </w:pPr>
            <w:r w:rsidRPr="00D83CE7">
              <w:rPr>
                <w:rFonts w:asciiTheme="minorHAnsi" w:eastAsia="Times New Roman" w:hAnsiTheme="minorHAnsi" w:cstheme="minorHAnsi"/>
                <w:b/>
                <w:bCs/>
                <w:color w:val="000000"/>
                <w:szCs w:val="24"/>
                <w:lang w:eastAsia="en-GB"/>
                <w14:ligatures w14:val="none"/>
              </w:rPr>
              <w:t>Project C</w:t>
            </w:r>
          </w:p>
        </w:tc>
      </w:tr>
      <w:tr w:rsidR="00D83CE7" w:rsidRPr="00D83CE7" w14:paraId="38D57840" w14:textId="77777777" w:rsidTr="00D83CE7">
        <w:trPr>
          <w:trHeight w:val="284"/>
        </w:trPr>
        <w:tc>
          <w:tcPr>
            <w:tcW w:w="523" w:type="dxa"/>
            <w:noWrap/>
            <w:vAlign w:val="bottom"/>
            <w:hideMark/>
          </w:tcPr>
          <w:p w14:paraId="111E6E59" w14:textId="77777777" w:rsidR="00D83CE7" w:rsidRPr="00D83CE7" w:rsidRDefault="00D83CE7" w:rsidP="00D83CE7">
            <w:pPr>
              <w:spacing w:after="0"/>
              <w:jc w:val="left"/>
              <w:rPr>
                <w:rFonts w:asciiTheme="minorHAnsi" w:eastAsia="Times New Roman" w:hAnsiTheme="minorHAnsi" w:cstheme="minorHAnsi"/>
                <w:b/>
                <w:bCs/>
                <w:color w:val="000000"/>
                <w:szCs w:val="24"/>
                <w:lang w:eastAsia="en-GB"/>
                <w14:ligatures w14:val="none"/>
              </w:rPr>
            </w:pPr>
            <w:r w:rsidRPr="00D83CE7">
              <w:rPr>
                <w:rFonts w:asciiTheme="minorHAnsi" w:eastAsia="Times New Roman" w:hAnsiTheme="minorHAnsi" w:cstheme="minorHAnsi"/>
                <w:b/>
                <w:bCs/>
                <w:color w:val="000000"/>
                <w:szCs w:val="24"/>
                <w:lang w:eastAsia="en-GB"/>
                <w14:ligatures w14:val="none"/>
              </w:rPr>
              <w:t>Year</w:t>
            </w:r>
          </w:p>
        </w:tc>
        <w:tc>
          <w:tcPr>
            <w:tcW w:w="1267" w:type="dxa"/>
            <w:noWrap/>
            <w:vAlign w:val="bottom"/>
            <w:hideMark/>
          </w:tcPr>
          <w:p w14:paraId="577C0221" w14:textId="77777777" w:rsidR="00D83CE7" w:rsidRPr="00D83CE7" w:rsidRDefault="00D83CE7" w:rsidP="00D83CE7">
            <w:pPr>
              <w:spacing w:after="0"/>
              <w:jc w:val="left"/>
              <w:rPr>
                <w:rFonts w:asciiTheme="minorHAnsi" w:eastAsia="Times New Roman" w:hAnsiTheme="minorHAnsi" w:cstheme="minorHAnsi"/>
                <w:b/>
                <w:bCs/>
                <w:color w:val="000000"/>
                <w:szCs w:val="24"/>
                <w:lang w:eastAsia="en-GB"/>
                <w14:ligatures w14:val="none"/>
              </w:rPr>
            </w:pPr>
            <w:r w:rsidRPr="00D83CE7">
              <w:rPr>
                <w:rFonts w:asciiTheme="minorHAnsi" w:eastAsia="Times New Roman" w:hAnsiTheme="minorHAnsi" w:cstheme="minorHAnsi"/>
                <w:b/>
                <w:bCs/>
                <w:color w:val="000000"/>
                <w:szCs w:val="24"/>
                <w:lang w:eastAsia="en-GB"/>
                <w14:ligatures w14:val="none"/>
              </w:rPr>
              <w:t>Cash Flows (CF)</w:t>
            </w:r>
          </w:p>
        </w:tc>
        <w:tc>
          <w:tcPr>
            <w:tcW w:w="1630" w:type="dxa"/>
            <w:noWrap/>
            <w:vAlign w:val="bottom"/>
            <w:hideMark/>
          </w:tcPr>
          <w:p w14:paraId="4B6A95DD" w14:textId="77777777" w:rsidR="00D83CE7" w:rsidRPr="00D83CE7" w:rsidRDefault="00D83CE7" w:rsidP="00D83CE7">
            <w:pPr>
              <w:spacing w:after="0"/>
              <w:jc w:val="left"/>
              <w:rPr>
                <w:rFonts w:asciiTheme="minorHAnsi" w:eastAsia="Times New Roman" w:hAnsiTheme="minorHAnsi" w:cstheme="minorHAnsi"/>
                <w:b/>
                <w:bCs/>
                <w:color w:val="000000"/>
                <w:szCs w:val="24"/>
                <w:lang w:eastAsia="en-GB"/>
                <w14:ligatures w14:val="none"/>
              </w:rPr>
            </w:pPr>
            <w:r w:rsidRPr="00D83CE7">
              <w:rPr>
                <w:rFonts w:asciiTheme="minorHAnsi" w:eastAsia="Times New Roman" w:hAnsiTheme="minorHAnsi" w:cstheme="minorHAnsi"/>
                <w:b/>
                <w:bCs/>
                <w:color w:val="000000"/>
                <w:szCs w:val="24"/>
                <w:lang w:eastAsia="en-GB"/>
                <w14:ligatures w14:val="none"/>
              </w:rPr>
              <w:t>Cumulative Cashflow</w:t>
            </w:r>
          </w:p>
        </w:tc>
        <w:tc>
          <w:tcPr>
            <w:tcW w:w="1709" w:type="dxa"/>
            <w:noWrap/>
            <w:vAlign w:val="bottom"/>
            <w:hideMark/>
          </w:tcPr>
          <w:p w14:paraId="53040C03" w14:textId="77777777" w:rsidR="00D83CE7" w:rsidRPr="00D83CE7" w:rsidRDefault="00D83CE7" w:rsidP="00D83CE7">
            <w:pPr>
              <w:spacing w:after="0"/>
              <w:jc w:val="left"/>
              <w:rPr>
                <w:rFonts w:asciiTheme="minorHAnsi" w:eastAsia="Times New Roman" w:hAnsiTheme="minorHAnsi" w:cstheme="minorHAnsi"/>
                <w:b/>
                <w:bCs/>
                <w:color w:val="000000"/>
                <w:szCs w:val="24"/>
                <w:lang w:eastAsia="en-GB"/>
                <w14:ligatures w14:val="none"/>
              </w:rPr>
            </w:pPr>
            <w:r w:rsidRPr="00D83CE7">
              <w:rPr>
                <w:rFonts w:asciiTheme="minorHAnsi" w:eastAsia="Times New Roman" w:hAnsiTheme="minorHAnsi" w:cstheme="minorHAnsi"/>
                <w:b/>
                <w:bCs/>
                <w:color w:val="000000"/>
                <w:szCs w:val="24"/>
                <w:lang w:eastAsia="en-GB"/>
                <w14:ligatures w14:val="none"/>
              </w:rPr>
              <w:t>Cash Flows (CF)</w:t>
            </w:r>
          </w:p>
        </w:tc>
        <w:tc>
          <w:tcPr>
            <w:tcW w:w="1637" w:type="dxa"/>
            <w:gridSpan w:val="2"/>
            <w:noWrap/>
            <w:vAlign w:val="bottom"/>
            <w:hideMark/>
          </w:tcPr>
          <w:p w14:paraId="5D4DA8ED" w14:textId="77777777" w:rsidR="00D83CE7" w:rsidRPr="00D83CE7" w:rsidRDefault="00D83CE7" w:rsidP="00D83CE7">
            <w:pPr>
              <w:spacing w:after="0"/>
              <w:jc w:val="left"/>
              <w:rPr>
                <w:rFonts w:asciiTheme="minorHAnsi" w:eastAsia="Times New Roman" w:hAnsiTheme="minorHAnsi" w:cstheme="minorHAnsi"/>
                <w:b/>
                <w:bCs/>
                <w:color w:val="000000"/>
                <w:szCs w:val="24"/>
                <w:lang w:eastAsia="en-GB"/>
                <w14:ligatures w14:val="none"/>
              </w:rPr>
            </w:pPr>
            <w:r w:rsidRPr="00D83CE7">
              <w:rPr>
                <w:rFonts w:asciiTheme="minorHAnsi" w:eastAsia="Times New Roman" w:hAnsiTheme="minorHAnsi" w:cstheme="minorHAnsi"/>
                <w:b/>
                <w:bCs/>
                <w:color w:val="000000"/>
                <w:szCs w:val="24"/>
                <w:lang w:eastAsia="en-GB"/>
                <w14:ligatures w14:val="none"/>
              </w:rPr>
              <w:t>Cumulative Cashflow</w:t>
            </w:r>
          </w:p>
        </w:tc>
        <w:tc>
          <w:tcPr>
            <w:tcW w:w="1267" w:type="dxa"/>
            <w:noWrap/>
            <w:vAlign w:val="bottom"/>
            <w:hideMark/>
          </w:tcPr>
          <w:p w14:paraId="07568423" w14:textId="77777777" w:rsidR="00D83CE7" w:rsidRPr="00D83CE7" w:rsidRDefault="00D83CE7" w:rsidP="00D83CE7">
            <w:pPr>
              <w:spacing w:after="0"/>
              <w:jc w:val="left"/>
              <w:rPr>
                <w:rFonts w:asciiTheme="minorHAnsi" w:eastAsia="Times New Roman" w:hAnsiTheme="minorHAnsi" w:cstheme="minorHAnsi"/>
                <w:b/>
                <w:bCs/>
                <w:color w:val="000000"/>
                <w:szCs w:val="24"/>
                <w:lang w:eastAsia="en-GB"/>
                <w14:ligatures w14:val="none"/>
              </w:rPr>
            </w:pPr>
            <w:r w:rsidRPr="00D83CE7">
              <w:rPr>
                <w:rFonts w:asciiTheme="minorHAnsi" w:eastAsia="Times New Roman" w:hAnsiTheme="minorHAnsi" w:cstheme="minorHAnsi"/>
                <w:b/>
                <w:bCs/>
                <w:color w:val="000000"/>
                <w:szCs w:val="24"/>
                <w:lang w:eastAsia="en-GB"/>
                <w14:ligatures w14:val="none"/>
              </w:rPr>
              <w:t>Cash Flows (CF)</w:t>
            </w:r>
          </w:p>
        </w:tc>
        <w:tc>
          <w:tcPr>
            <w:tcW w:w="1630" w:type="dxa"/>
            <w:noWrap/>
            <w:vAlign w:val="bottom"/>
            <w:hideMark/>
          </w:tcPr>
          <w:p w14:paraId="1D17E5BE" w14:textId="77777777" w:rsidR="00D83CE7" w:rsidRPr="00D83CE7" w:rsidRDefault="00D83CE7" w:rsidP="00D83CE7">
            <w:pPr>
              <w:spacing w:after="0"/>
              <w:jc w:val="left"/>
              <w:rPr>
                <w:rFonts w:asciiTheme="minorHAnsi" w:eastAsia="Times New Roman" w:hAnsiTheme="minorHAnsi" w:cstheme="minorHAnsi"/>
                <w:b/>
                <w:bCs/>
                <w:color w:val="000000"/>
                <w:szCs w:val="24"/>
                <w:lang w:eastAsia="en-GB"/>
                <w14:ligatures w14:val="none"/>
              </w:rPr>
            </w:pPr>
            <w:r w:rsidRPr="00D83CE7">
              <w:rPr>
                <w:rFonts w:asciiTheme="minorHAnsi" w:eastAsia="Times New Roman" w:hAnsiTheme="minorHAnsi" w:cstheme="minorHAnsi"/>
                <w:b/>
                <w:bCs/>
                <w:color w:val="000000"/>
                <w:szCs w:val="24"/>
                <w:lang w:eastAsia="en-GB"/>
                <w14:ligatures w14:val="none"/>
              </w:rPr>
              <w:t>Cumulative Cashflow</w:t>
            </w:r>
          </w:p>
        </w:tc>
      </w:tr>
      <w:tr w:rsidR="00D83CE7" w:rsidRPr="00D83CE7" w14:paraId="39FEA235" w14:textId="77777777" w:rsidTr="00D83CE7">
        <w:trPr>
          <w:trHeight w:val="284"/>
        </w:trPr>
        <w:tc>
          <w:tcPr>
            <w:tcW w:w="523" w:type="dxa"/>
            <w:noWrap/>
            <w:vAlign w:val="bottom"/>
            <w:hideMark/>
          </w:tcPr>
          <w:p w14:paraId="7072FB00" w14:textId="77777777" w:rsidR="00D83CE7" w:rsidRPr="00D83CE7" w:rsidRDefault="00D83CE7" w:rsidP="00D83CE7">
            <w:pPr>
              <w:spacing w:after="0"/>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0</w:t>
            </w:r>
          </w:p>
        </w:tc>
        <w:tc>
          <w:tcPr>
            <w:tcW w:w="1267" w:type="dxa"/>
            <w:noWrap/>
            <w:vAlign w:val="bottom"/>
            <w:hideMark/>
          </w:tcPr>
          <w:p w14:paraId="06142158" w14:textId="77777777" w:rsidR="00D83CE7" w:rsidRPr="00D83CE7" w:rsidRDefault="00D83CE7" w:rsidP="00D83CE7">
            <w:pPr>
              <w:spacing w:after="0"/>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-40</w:t>
            </w:r>
          </w:p>
        </w:tc>
        <w:tc>
          <w:tcPr>
            <w:tcW w:w="1630" w:type="dxa"/>
            <w:noWrap/>
            <w:vAlign w:val="bottom"/>
            <w:hideMark/>
          </w:tcPr>
          <w:p w14:paraId="4D4FE7A3" w14:textId="77777777" w:rsidR="00D83CE7" w:rsidRPr="00D83CE7" w:rsidRDefault="00D83CE7" w:rsidP="00D83CE7">
            <w:pPr>
              <w:spacing w:after="0"/>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-40</w:t>
            </w:r>
          </w:p>
        </w:tc>
        <w:tc>
          <w:tcPr>
            <w:tcW w:w="1709" w:type="dxa"/>
            <w:noWrap/>
            <w:vAlign w:val="bottom"/>
            <w:hideMark/>
          </w:tcPr>
          <w:p w14:paraId="0D763AAD" w14:textId="77777777" w:rsidR="00D83CE7" w:rsidRPr="00D83CE7" w:rsidRDefault="00D83CE7" w:rsidP="00D83CE7">
            <w:pPr>
              <w:spacing w:after="0"/>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-30</w:t>
            </w:r>
          </w:p>
        </w:tc>
        <w:tc>
          <w:tcPr>
            <w:tcW w:w="1477" w:type="dxa"/>
            <w:noWrap/>
            <w:vAlign w:val="bottom"/>
            <w:hideMark/>
          </w:tcPr>
          <w:p w14:paraId="0BB5A5E4" w14:textId="77777777" w:rsidR="00D83CE7" w:rsidRPr="00D83CE7" w:rsidRDefault="00D83CE7" w:rsidP="00D83CE7">
            <w:pPr>
              <w:spacing w:after="0"/>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-30</w:t>
            </w:r>
          </w:p>
        </w:tc>
        <w:tc>
          <w:tcPr>
            <w:tcW w:w="160" w:type="dxa"/>
            <w:noWrap/>
            <w:vAlign w:val="bottom"/>
            <w:hideMark/>
          </w:tcPr>
          <w:p w14:paraId="52A9C14B" w14:textId="77777777" w:rsidR="00D83CE7" w:rsidRPr="00D83CE7" w:rsidRDefault="00D83CE7" w:rsidP="00D83CE7">
            <w:pPr>
              <w:spacing w:after="0"/>
              <w:jc w:val="right"/>
              <w:rPr>
                <w:rFonts w:asciiTheme="minorHAnsi" w:eastAsia="Times New Roman" w:hAnsiTheme="minorHAnsi" w:cstheme="minorHAnsi"/>
                <w:color w:val="000000"/>
                <w:szCs w:val="24"/>
                <w:lang w:eastAsia="en-GB"/>
                <w14:ligatures w14:val="none"/>
              </w:rPr>
            </w:pPr>
          </w:p>
        </w:tc>
        <w:tc>
          <w:tcPr>
            <w:tcW w:w="1267" w:type="dxa"/>
            <w:noWrap/>
            <w:vAlign w:val="bottom"/>
            <w:hideMark/>
          </w:tcPr>
          <w:p w14:paraId="55692D31" w14:textId="77777777" w:rsidR="00D83CE7" w:rsidRPr="00D83CE7" w:rsidRDefault="00D83CE7" w:rsidP="00D83CE7">
            <w:pPr>
              <w:spacing w:after="0"/>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-50</w:t>
            </w:r>
          </w:p>
        </w:tc>
        <w:tc>
          <w:tcPr>
            <w:tcW w:w="1630" w:type="dxa"/>
            <w:noWrap/>
            <w:vAlign w:val="bottom"/>
            <w:hideMark/>
          </w:tcPr>
          <w:p w14:paraId="3EF78D90" w14:textId="77777777" w:rsidR="00D83CE7" w:rsidRPr="00D83CE7" w:rsidRDefault="00D83CE7" w:rsidP="00D83CE7">
            <w:pPr>
              <w:spacing w:after="0"/>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-50</w:t>
            </w:r>
          </w:p>
        </w:tc>
      </w:tr>
      <w:tr w:rsidR="00D83CE7" w:rsidRPr="00D83CE7" w14:paraId="72726666" w14:textId="77777777" w:rsidTr="00D83CE7">
        <w:trPr>
          <w:trHeight w:val="284"/>
        </w:trPr>
        <w:tc>
          <w:tcPr>
            <w:tcW w:w="523" w:type="dxa"/>
            <w:noWrap/>
            <w:vAlign w:val="bottom"/>
            <w:hideMark/>
          </w:tcPr>
          <w:p w14:paraId="78A19D5F" w14:textId="77777777" w:rsidR="00D83CE7" w:rsidRPr="00D83CE7" w:rsidRDefault="00D83CE7" w:rsidP="00D83CE7">
            <w:pPr>
              <w:spacing w:after="0"/>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1</w:t>
            </w:r>
          </w:p>
        </w:tc>
        <w:tc>
          <w:tcPr>
            <w:tcW w:w="1267" w:type="dxa"/>
            <w:noWrap/>
            <w:vAlign w:val="bottom"/>
            <w:hideMark/>
          </w:tcPr>
          <w:p w14:paraId="6B1F48B5" w14:textId="77777777" w:rsidR="00D83CE7" w:rsidRPr="00D83CE7" w:rsidRDefault="00D83CE7" w:rsidP="00D83CE7">
            <w:pPr>
              <w:spacing w:after="0"/>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10</w:t>
            </w:r>
          </w:p>
        </w:tc>
        <w:tc>
          <w:tcPr>
            <w:tcW w:w="1630" w:type="dxa"/>
            <w:noWrap/>
            <w:vAlign w:val="bottom"/>
            <w:hideMark/>
          </w:tcPr>
          <w:p w14:paraId="2A354A0E" w14:textId="77777777" w:rsidR="00D83CE7" w:rsidRPr="00D83CE7" w:rsidRDefault="00D83CE7" w:rsidP="00D83CE7">
            <w:pPr>
              <w:spacing w:after="0"/>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-30</w:t>
            </w:r>
          </w:p>
        </w:tc>
        <w:tc>
          <w:tcPr>
            <w:tcW w:w="1709" w:type="dxa"/>
            <w:noWrap/>
            <w:vAlign w:val="bottom"/>
            <w:hideMark/>
          </w:tcPr>
          <w:p w14:paraId="5966D021" w14:textId="77777777" w:rsidR="00D83CE7" w:rsidRPr="00D83CE7" w:rsidRDefault="00D83CE7" w:rsidP="00D83CE7">
            <w:pPr>
              <w:spacing w:after="0"/>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6</w:t>
            </w:r>
          </w:p>
        </w:tc>
        <w:tc>
          <w:tcPr>
            <w:tcW w:w="1477" w:type="dxa"/>
            <w:noWrap/>
            <w:vAlign w:val="bottom"/>
            <w:hideMark/>
          </w:tcPr>
          <w:p w14:paraId="584B620C" w14:textId="77777777" w:rsidR="00D83CE7" w:rsidRPr="00D83CE7" w:rsidRDefault="00D83CE7" w:rsidP="00D83CE7">
            <w:pPr>
              <w:spacing w:after="0"/>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-24</w:t>
            </w:r>
          </w:p>
        </w:tc>
        <w:tc>
          <w:tcPr>
            <w:tcW w:w="160" w:type="dxa"/>
            <w:noWrap/>
            <w:vAlign w:val="bottom"/>
            <w:hideMark/>
          </w:tcPr>
          <w:p w14:paraId="5EFD3AF4" w14:textId="77777777" w:rsidR="00D83CE7" w:rsidRPr="00D83CE7" w:rsidRDefault="00D83CE7" w:rsidP="00D83CE7">
            <w:pPr>
              <w:spacing w:after="0"/>
              <w:jc w:val="right"/>
              <w:rPr>
                <w:rFonts w:asciiTheme="minorHAnsi" w:eastAsia="Times New Roman" w:hAnsiTheme="minorHAnsi" w:cstheme="minorHAnsi"/>
                <w:color w:val="000000"/>
                <w:szCs w:val="24"/>
                <w:lang w:eastAsia="en-GB"/>
                <w14:ligatures w14:val="none"/>
              </w:rPr>
            </w:pPr>
          </w:p>
        </w:tc>
        <w:tc>
          <w:tcPr>
            <w:tcW w:w="1267" w:type="dxa"/>
            <w:noWrap/>
            <w:vAlign w:val="bottom"/>
            <w:hideMark/>
          </w:tcPr>
          <w:p w14:paraId="33CB7F41" w14:textId="77777777" w:rsidR="00D83CE7" w:rsidRPr="00D83CE7" w:rsidRDefault="00D83CE7" w:rsidP="00D83CE7">
            <w:pPr>
              <w:spacing w:after="0"/>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5</w:t>
            </w:r>
          </w:p>
        </w:tc>
        <w:tc>
          <w:tcPr>
            <w:tcW w:w="1630" w:type="dxa"/>
            <w:noWrap/>
            <w:vAlign w:val="bottom"/>
            <w:hideMark/>
          </w:tcPr>
          <w:p w14:paraId="20DDA793" w14:textId="77777777" w:rsidR="00D83CE7" w:rsidRPr="00D83CE7" w:rsidRDefault="00D83CE7" w:rsidP="00D83CE7">
            <w:pPr>
              <w:spacing w:after="0"/>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-45</w:t>
            </w:r>
          </w:p>
        </w:tc>
      </w:tr>
      <w:tr w:rsidR="00D83CE7" w:rsidRPr="00D83CE7" w14:paraId="2B8D9032" w14:textId="77777777" w:rsidTr="00D83CE7">
        <w:trPr>
          <w:trHeight w:val="284"/>
        </w:trPr>
        <w:tc>
          <w:tcPr>
            <w:tcW w:w="523" w:type="dxa"/>
            <w:noWrap/>
            <w:vAlign w:val="bottom"/>
            <w:hideMark/>
          </w:tcPr>
          <w:p w14:paraId="29CF5982" w14:textId="77777777" w:rsidR="00D83CE7" w:rsidRPr="00D83CE7" w:rsidRDefault="00D83CE7" w:rsidP="00D83CE7">
            <w:pPr>
              <w:spacing w:after="0"/>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2</w:t>
            </w:r>
          </w:p>
        </w:tc>
        <w:tc>
          <w:tcPr>
            <w:tcW w:w="1267" w:type="dxa"/>
            <w:noWrap/>
            <w:vAlign w:val="bottom"/>
            <w:hideMark/>
          </w:tcPr>
          <w:p w14:paraId="12A98CD9" w14:textId="77777777" w:rsidR="00D83CE7" w:rsidRPr="00D83CE7" w:rsidRDefault="00D83CE7" w:rsidP="00D83CE7">
            <w:pPr>
              <w:spacing w:after="0"/>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12</w:t>
            </w:r>
          </w:p>
        </w:tc>
        <w:tc>
          <w:tcPr>
            <w:tcW w:w="1630" w:type="dxa"/>
            <w:noWrap/>
            <w:vAlign w:val="bottom"/>
            <w:hideMark/>
          </w:tcPr>
          <w:p w14:paraId="0D8D124A" w14:textId="77777777" w:rsidR="00D83CE7" w:rsidRPr="00D83CE7" w:rsidRDefault="00D83CE7" w:rsidP="00D83CE7">
            <w:pPr>
              <w:spacing w:after="0"/>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-18</w:t>
            </w:r>
          </w:p>
        </w:tc>
        <w:tc>
          <w:tcPr>
            <w:tcW w:w="1709" w:type="dxa"/>
            <w:noWrap/>
            <w:vAlign w:val="bottom"/>
            <w:hideMark/>
          </w:tcPr>
          <w:p w14:paraId="78034FDC" w14:textId="77777777" w:rsidR="00D83CE7" w:rsidRPr="00D83CE7" w:rsidRDefault="00D83CE7" w:rsidP="00D83CE7">
            <w:pPr>
              <w:spacing w:after="0"/>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6</w:t>
            </w:r>
          </w:p>
        </w:tc>
        <w:tc>
          <w:tcPr>
            <w:tcW w:w="1477" w:type="dxa"/>
            <w:noWrap/>
            <w:vAlign w:val="bottom"/>
            <w:hideMark/>
          </w:tcPr>
          <w:p w14:paraId="321BA6DB" w14:textId="77777777" w:rsidR="00D83CE7" w:rsidRPr="00D83CE7" w:rsidRDefault="00D83CE7" w:rsidP="00D83CE7">
            <w:pPr>
              <w:spacing w:after="0"/>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-18</w:t>
            </w:r>
          </w:p>
        </w:tc>
        <w:tc>
          <w:tcPr>
            <w:tcW w:w="160" w:type="dxa"/>
            <w:noWrap/>
            <w:vAlign w:val="bottom"/>
            <w:hideMark/>
          </w:tcPr>
          <w:p w14:paraId="69DCE3D1" w14:textId="77777777" w:rsidR="00D83CE7" w:rsidRPr="00D83CE7" w:rsidRDefault="00D83CE7" w:rsidP="00D83CE7">
            <w:pPr>
              <w:spacing w:after="0"/>
              <w:jc w:val="right"/>
              <w:rPr>
                <w:rFonts w:asciiTheme="minorHAnsi" w:eastAsia="Times New Roman" w:hAnsiTheme="minorHAnsi" w:cstheme="minorHAnsi"/>
                <w:color w:val="000000"/>
                <w:szCs w:val="24"/>
                <w:lang w:eastAsia="en-GB"/>
                <w14:ligatures w14:val="none"/>
              </w:rPr>
            </w:pPr>
          </w:p>
        </w:tc>
        <w:tc>
          <w:tcPr>
            <w:tcW w:w="1267" w:type="dxa"/>
            <w:noWrap/>
            <w:vAlign w:val="bottom"/>
            <w:hideMark/>
          </w:tcPr>
          <w:p w14:paraId="5A1CB4F9" w14:textId="77777777" w:rsidR="00D83CE7" w:rsidRPr="00D83CE7" w:rsidRDefault="00D83CE7" w:rsidP="00D83CE7">
            <w:pPr>
              <w:spacing w:after="0"/>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10</w:t>
            </w:r>
          </w:p>
        </w:tc>
        <w:tc>
          <w:tcPr>
            <w:tcW w:w="1630" w:type="dxa"/>
            <w:noWrap/>
            <w:vAlign w:val="bottom"/>
            <w:hideMark/>
          </w:tcPr>
          <w:p w14:paraId="1A578B74" w14:textId="77777777" w:rsidR="00D83CE7" w:rsidRPr="00D83CE7" w:rsidRDefault="00D83CE7" w:rsidP="00D83CE7">
            <w:pPr>
              <w:spacing w:after="0"/>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-35</w:t>
            </w:r>
          </w:p>
        </w:tc>
      </w:tr>
      <w:tr w:rsidR="00D83CE7" w:rsidRPr="00D83CE7" w14:paraId="2617989B" w14:textId="77777777" w:rsidTr="00D83CE7">
        <w:trPr>
          <w:trHeight w:val="284"/>
        </w:trPr>
        <w:tc>
          <w:tcPr>
            <w:tcW w:w="523" w:type="dxa"/>
            <w:noWrap/>
            <w:vAlign w:val="bottom"/>
            <w:hideMark/>
          </w:tcPr>
          <w:p w14:paraId="70E1AAB3" w14:textId="77777777" w:rsidR="00D83CE7" w:rsidRPr="00D83CE7" w:rsidRDefault="00D83CE7" w:rsidP="00D83CE7">
            <w:pPr>
              <w:spacing w:after="0"/>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3</w:t>
            </w:r>
          </w:p>
        </w:tc>
        <w:tc>
          <w:tcPr>
            <w:tcW w:w="1267" w:type="dxa"/>
            <w:noWrap/>
            <w:vAlign w:val="bottom"/>
            <w:hideMark/>
          </w:tcPr>
          <w:p w14:paraId="1C5E7B62" w14:textId="77777777" w:rsidR="00D83CE7" w:rsidRPr="00D83CE7" w:rsidRDefault="00D83CE7" w:rsidP="00D83CE7">
            <w:pPr>
              <w:spacing w:after="0"/>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14</w:t>
            </w:r>
          </w:p>
        </w:tc>
        <w:tc>
          <w:tcPr>
            <w:tcW w:w="1630" w:type="dxa"/>
            <w:noWrap/>
            <w:vAlign w:val="bottom"/>
            <w:hideMark/>
          </w:tcPr>
          <w:p w14:paraId="6FB016DF" w14:textId="77777777" w:rsidR="00D83CE7" w:rsidRPr="00D83CE7" w:rsidRDefault="00D83CE7" w:rsidP="00D83CE7">
            <w:pPr>
              <w:spacing w:after="0"/>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-4</w:t>
            </w:r>
          </w:p>
        </w:tc>
        <w:tc>
          <w:tcPr>
            <w:tcW w:w="1709" w:type="dxa"/>
            <w:noWrap/>
            <w:vAlign w:val="bottom"/>
            <w:hideMark/>
          </w:tcPr>
          <w:p w14:paraId="516A52A9" w14:textId="77777777" w:rsidR="00D83CE7" w:rsidRPr="00D83CE7" w:rsidRDefault="00D83CE7" w:rsidP="00D83CE7">
            <w:pPr>
              <w:spacing w:after="0"/>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6</w:t>
            </w:r>
          </w:p>
        </w:tc>
        <w:tc>
          <w:tcPr>
            <w:tcW w:w="1477" w:type="dxa"/>
            <w:noWrap/>
            <w:vAlign w:val="bottom"/>
            <w:hideMark/>
          </w:tcPr>
          <w:p w14:paraId="76F1FBBA" w14:textId="77777777" w:rsidR="00D83CE7" w:rsidRPr="00D83CE7" w:rsidRDefault="00D83CE7" w:rsidP="00D83CE7">
            <w:pPr>
              <w:spacing w:after="0"/>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-12</w:t>
            </w:r>
          </w:p>
        </w:tc>
        <w:tc>
          <w:tcPr>
            <w:tcW w:w="160" w:type="dxa"/>
            <w:noWrap/>
            <w:vAlign w:val="bottom"/>
            <w:hideMark/>
          </w:tcPr>
          <w:p w14:paraId="3C5302B6" w14:textId="77777777" w:rsidR="00D83CE7" w:rsidRPr="00D83CE7" w:rsidRDefault="00D83CE7" w:rsidP="00D83CE7">
            <w:pPr>
              <w:spacing w:after="0"/>
              <w:jc w:val="right"/>
              <w:rPr>
                <w:rFonts w:asciiTheme="minorHAnsi" w:eastAsia="Times New Roman" w:hAnsiTheme="minorHAnsi" w:cstheme="minorHAnsi"/>
                <w:color w:val="000000"/>
                <w:szCs w:val="24"/>
                <w:lang w:eastAsia="en-GB"/>
                <w14:ligatures w14:val="none"/>
              </w:rPr>
            </w:pPr>
          </w:p>
        </w:tc>
        <w:tc>
          <w:tcPr>
            <w:tcW w:w="1267" w:type="dxa"/>
            <w:noWrap/>
            <w:vAlign w:val="bottom"/>
            <w:hideMark/>
          </w:tcPr>
          <w:p w14:paraId="579BC892" w14:textId="77777777" w:rsidR="00D83CE7" w:rsidRPr="00D83CE7" w:rsidRDefault="00D83CE7" w:rsidP="00D83CE7">
            <w:pPr>
              <w:spacing w:after="0"/>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20</w:t>
            </w:r>
          </w:p>
        </w:tc>
        <w:tc>
          <w:tcPr>
            <w:tcW w:w="1630" w:type="dxa"/>
            <w:noWrap/>
            <w:vAlign w:val="bottom"/>
            <w:hideMark/>
          </w:tcPr>
          <w:p w14:paraId="0E6A7BAF" w14:textId="77777777" w:rsidR="00D83CE7" w:rsidRPr="00D83CE7" w:rsidRDefault="00D83CE7" w:rsidP="00D83CE7">
            <w:pPr>
              <w:spacing w:after="0"/>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-15</w:t>
            </w:r>
          </w:p>
        </w:tc>
      </w:tr>
      <w:tr w:rsidR="00D83CE7" w:rsidRPr="00D83CE7" w14:paraId="7932414E" w14:textId="77777777" w:rsidTr="00D83CE7">
        <w:trPr>
          <w:trHeight w:val="284"/>
        </w:trPr>
        <w:tc>
          <w:tcPr>
            <w:tcW w:w="523" w:type="dxa"/>
            <w:noWrap/>
            <w:vAlign w:val="bottom"/>
            <w:hideMark/>
          </w:tcPr>
          <w:p w14:paraId="72463657" w14:textId="77777777" w:rsidR="00D83CE7" w:rsidRPr="00D83CE7" w:rsidRDefault="00D83CE7" w:rsidP="00D83CE7">
            <w:pPr>
              <w:spacing w:after="0"/>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4</w:t>
            </w:r>
          </w:p>
        </w:tc>
        <w:tc>
          <w:tcPr>
            <w:tcW w:w="1267" w:type="dxa"/>
            <w:noWrap/>
            <w:vAlign w:val="bottom"/>
            <w:hideMark/>
          </w:tcPr>
          <w:p w14:paraId="0A9FA51D" w14:textId="77777777" w:rsidR="00D83CE7" w:rsidRPr="00D83CE7" w:rsidRDefault="00D83CE7" w:rsidP="00D83CE7">
            <w:pPr>
              <w:spacing w:after="0"/>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10</w:t>
            </w:r>
          </w:p>
        </w:tc>
        <w:tc>
          <w:tcPr>
            <w:tcW w:w="1630" w:type="dxa"/>
            <w:noWrap/>
            <w:vAlign w:val="bottom"/>
            <w:hideMark/>
          </w:tcPr>
          <w:p w14:paraId="298E069A" w14:textId="77777777" w:rsidR="00D83CE7" w:rsidRPr="00D83CE7" w:rsidRDefault="00D83CE7" w:rsidP="00D83CE7">
            <w:pPr>
              <w:spacing w:after="0"/>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6</w:t>
            </w:r>
          </w:p>
        </w:tc>
        <w:tc>
          <w:tcPr>
            <w:tcW w:w="1709" w:type="dxa"/>
            <w:noWrap/>
            <w:vAlign w:val="bottom"/>
            <w:hideMark/>
          </w:tcPr>
          <w:p w14:paraId="48A01D35" w14:textId="77777777" w:rsidR="00D83CE7" w:rsidRPr="00D83CE7" w:rsidRDefault="00D83CE7" w:rsidP="00D83CE7">
            <w:pPr>
              <w:spacing w:after="0"/>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6</w:t>
            </w:r>
          </w:p>
        </w:tc>
        <w:tc>
          <w:tcPr>
            <w:tcW w:w="1477" w:type="dxa"/>
            <w:noWrap/>
            <w:vAlign w:val="bottom"/>
            <w:hideMark/>
          </w:tcPr>
          <w:p w14:paraId="418D5D3C" w14:textId="77777777" w:rsidR="00D83CE7" w:rsidRPr="00D83CE7" w:rsidRDefault="00D83CE7" w:rsidP="00D83CE7">
            <w:pPr>
              <w:spacing w:after="0"/>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-6</w:t>
            </w:r>
          </w:p>
        </w:tc>
        <w:tc>
          <w:tcPr>
            <w:tcW w:w="160" w:type="dxa"/>
            <w:noWrap/>
            <w:vAlign w:val="bottom"/>
            <w:hideMark/>
          </w:tcPr>
          <w:p w14:paraId="673E9E9C" w14:textId="77777777" w:rsidR="00D83CE7" w:rsidRPr="00D83CE7" w:rsidRDefault="00D83CE7" w:rsidP="00D83CE7">
            <w:pPr>
              <w:spacing w:after="0"/>
              <w:jc w:val="right"/>
              <w:rPr>
                <w:rFonts w:asciiTheme="minorHAnsi" w:eastAsia="Times New Roman" w:hAnsiTheme="minorHAnsi" w:cstheme="minorHAnsi"/>
                <w:color w:val="000000"/>
                <w:szCs w:val="24"/>
                <w:lang w:eastAsia="en-GB"/>
                <w14:ligatures w14:val="none"/>
              </w:rPr>
            </w:pPr>
          </w:p>
        </w:tc>
        <w:tc>
          <w:tcPr>
            <w:tcW w:w="1267" w:type="dxa"/>
            <w:noWrap/>
            <w:vAlign w:val="bottom"/>
            <w:hideMark/>
          </w:tcPr>
          <w:p w14:paraId="6857C260" w14:textId="77777777" w:rsidR="00D83CE7" w:rsidRPr="00D83CE7" w:rsidRDefault="00D83CE7" w:rsidP="00D83CE7">
            <w:pPr>
              <w:spacing w:after="0"/>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25</w:t>
            </w:r>
          </w:p>
        </w:tc>
        <w:tc>
          <w:tcPr>
            <w:tcW w:w="1630" w:type="dxa"/>
            <w:noWrap/>
            <w:vAlign w:val="bottom"/>
            <w:hideMark/>
          </w:tcPr>
          <w:p w14:paraId="09C8D8CF" w14:textId="77777777" w:rsidR="00D83CE7" w:rsidRPr="00D83CE7" w:rsidRDefault="00D83CE7" w:rsidP="00D83CE7">
            <w:pPr>
              <w:spacing w:after="0"/>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10</w:t>
            </w:r>
          </w:p>
        </w:tc>
      </w:tr>
      <w:tr w:rsidR="00D83CE7" w:rsidRPr="00D83CE7" w14:paraId="50B66ED5" w14:textId="77777777" w:rsidTr="00D83CE7">
        <w:trPr>
          <w:trHeight w:val="284"/>
        </w:trPr>
        <w:tc>
          <w:tcPr>
            <w:tcW w:w="523" w:type="dxa"/>
            <w:noWrap/>
            <w:vAlign w:val="bottom"/>
            <w:hideMark/>
          </w:tcPr>
          <w:p w14:paraId="180051D0" w14:textId="77777777" w:rsidR="00D83CE7" w:rsidRPr="00D83CE7" w:rsidRDefault="00D83CE7" w:rsidP="00D83CE7">
            <w:pPr>
              <w:spacing w:after="0"/>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5</w:t>
            </w:r>
          </w:p>
        </w:tc>
        <w:tc>
          <w:tcPr>
            <w:tcW w:w="1267" w:type="dxa"/>
            <w:noWrap/>
            <w:vAlign w:val="bottom"/>
            <w:hideMark/>
          </w:tcPr>
          <w:p w14:paraId="5F4F516E" w14:textId="77777777" w:rsidR="00D83CE7" w:rsidRPr="00D83CE7" w:rsidRDefault="00D83CE7" w:rsidP="00D83CE7">
            <w:pPr>
              <w:spacing w:after="0"/>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8</w:t>
            </w:r>
          </w:p>
        </w:tc>
        <w:tc>
          <w:tcPr>
            <w:tcW w:w="1630" w:type="dxa"/>
            <w:noWrap/>
            <w:vAlign w:val="bottom"/>
            <w:hideMark/>
          </w:tcPr>
          <w:p w14:paraId="00F3E3FF" w14:textId="77777777" w:rsidR="00D83CE7" w:rsidRPr="00D83CE7" w:rsidRDefault="00D83CE7" w:rsidP="00D83CE7">
            <w:pPr>
              <w:spacing w:after="0"/>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14</w:t>
            </w:r>
          </w:p>
        </w:tc>
        <w:tc>
          <w:tcPr>
            <w:tcW w:w="1709" w:type="dxa"/>
            <w:noWrap/>
            <w:vAlign w:val="bottom"/>
            <w:hideMark/>
          </w:tcPr>
          <w:p w14:paraId="277E6ADB" w14:textId="77777777" w:rsidR="00D83CE7" w:rsidRPr="00D83CE7" w:rsidRDefault="00D83CE7" w:rsidP="00D83CE7">
            <w:pPr>
              <w:spacing w:after="0"/>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6</w:t>
            </w:r>
          </w:p>
        </w:tc>
        <w:tc>
          <w:tcPr>
            <w:tcW w:w="1477" w:type="dxa"/>
            <w:noWrap/>
            <w:vAlign w:val="bottom"/>
            <w:hideMark/>
          </w:tcPr>
          <w:p w14:paraId="37D61666" w14:textId="77777777" w:rsidR="00D83CE7" w:rsidRPr="00D83CE7" w:rsidRDefault="00D83CE7" w:rsidP="00D83CE7">
            <w:pPr>
              <w:spacing w:after="0"/>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0</w:t>
            </w:r>
          </w:p>
        </w:tc>
        <w:tc>
          <w:tcPr>
            <w:tcW w:w="160" w:type="dxa"/>
            <w:noWrap/>
            <w:vAlign w:val="bottom"/>
            <w:hideMark/>
          </w:tcPr>
          <w:p w14:paraId="2B2606EF" w14:textId="77777777" w:rsidR="00D83CE7" w:rsidRPr="00D83CE7" w:rsidRDefault="00D83CE7" w:rsidP="00D83CE7">
            <w:pPr>
              <w:spacing w:after="0"/>
              <w:jc w:val="right"/>
              <w:rPr>
                <w:rFonts w:asciiTheme="minorHAnsi" w:eastAsia="Times New Roman" w:hAnsiTheme="minorHAnsi" w:cstheme="minorHAnsi"/>
                <w:color w:val="000000"/>
                <w:szCs w:val="24"/>
                <w:lang w:eastAsia="en-GB"/>
                <w14:ligatures w14:val="none"/>
              </w:rPr>
            </w:pPr>
          </w:p>
        </w:tc>
        <w:tc>
          <w:tcPr>
            <w:tcW w:w="1267" w:type="dxa"/>
            <w:noWrap/>
            <w:vAlign w:val="bottom"/>
            <w:hideMark/>
          </w:tcPr>
          <w:p w14:paraId="6CE4BFB6" w14:textId="77777777" w:rsidR="00D83CE7" w:rsidRPr="00D83CE7" w:rsidRDefault="00D83CE7" w:rsidP="00D83CE7">
            <w:pPr>
              <w:spacing w:after="0"/>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15</w:t>
            </w:r>
          </w:p>
        </w:tc>
        <w:tc>
          <w:tcPr>
            <w:tcW w:w="1630" w:type="dxa"/>
            <w:noWrap/>
            <w:vAlign w:val="bottom"/>
            <w:hideMark/>
          </w:tcPr>
          <w:p w14:paraId="1E9B8E7F" w14:textId="77777777" w:rsidR="00D83CE7" w:rsidRPr="00D83CE7" w:rsidRDefault="00D83CE7" w:rsidP="00D83CE7">
            <w:pPr>
              <w:spacing w:after="0"/>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25</w:t>
            </w:r>
          </w:p>
        </w:tc>
      </w:tr>
      <w:tr w:rsidR="00D83CE7" w:rsidRPr="00D83CE7" w14:paraId="70D32AD3" w14:textId="77777777" w:rsidTr="00D83CE7">
        <w:trPr>
          <w:trHeight w:val="284"/>
        </w:trPr>
        <w:tc>
          <w:tcPr>
            <w:tcW w:w="523" w:type="dxa"/>
            <w:noWrap/>
            <w:vAlign w:val="bottom"/>
            <w:hideMark/>
          </w:tcPr>
          <w:p w14:paraId="01C6D346" w14:textId="77777777" w:rsidR="00D83CE7" w:rsidRPr="00D83CE7" w:rsidRDefault="00D83CE7" w:rsidP="00D83CE7">
            <w:pPr>
              <w:spacing w:after="0"/>
              <w:jc w:val="right"/>
              <w:rPr>
                <w:rFonts w:asciiTheme="minorHAnsi" w:eastAsia="Times New Roman" w:hAnsiTheme="minorHAnsi" w:cstheme="minorHAnsi"/>
                <w:color w:val="000000"/>
                <w:szCs w:val="24"/>
                <w:lang w:eastAsia="en-GB"/>
                <w14:ligatures w14:val="none"/>
              </w:rPr>
            </w:pPr>
          </w:p>
        </w:tc>
        <w:tc>
          <w:tcPr>
            <w:tcW w:w="1267" w:type="dxa"/>
            <w:noWrap/>
            <w:vAlign w:val="bottom"/>
            <w:hideMark/>
          </w:tcPr>
          <w:p w14:paraId="43A3DB81" w14:textId="77777777" w:rsidR="00D83CE7" w:rsidRPr="00D83CE7" w:rsidRDefault="00D83CE7" w:rsidP="00D83CE7">
            <w:pPr>
              <w:spacing w:after="0"/>
              <w:jc w:val="left"/>
              <w:rPr>
                <w:rFonts w:asciiTheme="minorHAnsi" w:eastAsia="Times New Roman" w:hAnsiTheme="minorHAnsi" w:cstheme="minorHAnsi"/>
                <w:b/>
                <w:bCs/>
                <w:color w:val="000000"/>
                <w:szCs w:val="24"/>
                <w:lang w:eastAsia="en-GB"/>
                <w14:ligatures w14:val="none"/>
              </w:rPr>
            </w:pPr>
            <w:r w:rsidRPr="00D83CE7">
              <w:rPr>
                <w:rFonts w:asciiTheme="minorHAnsi" w:eastAsia="Times New Roman" w:hAnsiTheme="minorHAnsi" w:cstheme="minorHAnsi"/>
                <w:b/>
                <w:bCs/>
                <w:color w:val="000000"/>
                <w:szCs w:val="24"/>
                <w:lang w:eastAsia="en-GB"/>
                <w14:ligatures w14:val="none"/>
              </w:rPr>
              <w:t>PBP</w:t>
            </w:r>
          </w:p>
        </w:tc>
        <w:tc>
          <w:tcPr>
            <w:tcW w:w="1630" w:type="dxa"/>
            <w:noWrap/>
            <w:vAlign w:val="bottom"/>
            <w:hideMark/>
          </w:tcPr>
          <w:p w14:paraId="0028AAC1" w14:textId="77777777" w:rsidR="00D83CE7" w:rsidRPr="00D83CE7" w:rsidRDefault="00D83CE7" w:rsidP="00D83CE7">
            <w:pPr>
              <w:spacing w:after="0"/>
              <w:jc w:val="right"/>
              <w:rPr>
                <w:rFonts w:asciiTheme="minorHAnsi" w:eastAsia="Times New Roman" w:hAnsiTheme="minorHAnsi" w:cstheme="minorHAnsi"/>
                <w:b/>
                <w:bCs/>
                <w:color w:val="000000"/>
                <w:szCs w:val="24"/>
                <w:lang w:eastAsia="en-GB"/>
                <w14:ligatures w14:val="none"/>
              </w:rPr>
            </w:pPr>
            <w:r w:rsidRPr="00D83CE7">
              <w:rPr>
                <w:rFonts w:asciiTheme="minorHAnsi" w:eastAsia="Times New Roman" w:hAnsiTheme="minorHAnsi" w:cstheme="minorHAnsi"/>
                <w:b/>
                <w:bCs/>
                <w:color w:val="000000"/>
                <w:szCs w:val="24"/>
                <w:lang w:eastAsia="en-GB"/>
                <w14:ligatures w14:val="none"/>
              </w:rPr>
              <w:t>3.4</w:t>
            </w:r>
          </w:p>
        </w:tc>
        <w:tc>
          <w:tcPr>
            <w:tcW w:w="1709" w:type="dxa"/>
            <w:noWrap/>
            <w:vAlign w:val="bottom"/>
            <w:hideMark/>
          </w:tcPr>
          <w:p w14:paraId="332B4BC9" w14:textId="77777777" w:rsidR="00D83CE7" w:rsidRPr="00D83CE7" w:rsidRDefault="00D83CE7" w:rsidP="00D83CE7">
            <w:pPr>
              <w:spacing w:after="0"/>
              <w:jc w:val="left"/>
              <w:rPr>
                <w:rFonts w:asciiTheme="minorHAnsi" w:eastAsia="Times New Roman" w:hAnsiTheme="minorHAnsi" w:cstheme="minorHAnsi"/>
                <w:b/>
                <w:bCs/>
                <w:color w:val="000000"/>
                <w:szCs w:val="24"/>
                <w:lang w:eastAsia="en-GB"/>
                <w14:ligatures w14:val="none"/>
              </w:rPr>
            </w:pPr>
            <w:r w:rsidRPr="00D83CE7">
              <w:rPr>
                <w:rFonts w:asciiTheme="minorHAnsi" w:eastAsia="Times New Roman" w:hAnsiTheme="minorHAnsi" w:cstheme="minorHAnsi"/>
                <w:b/>
                <w:bCs/>
                <w:color w:val="000000"/>
                <w:szCs w:val="24"/>
                <w:lang w:eastAsia="en-GB"/>
                <w14:ligatures w14:val="none"/>
              </w:rPr>
              <w:t>PBP</w:t>
            </w:r>
          </w:p>
        </w:tc>
        <w:tc>
          <w:tcPr>
            <w:tcW w:w="1477" w:type="dxa"/>
            <w:noWrap/>
            <w:vAlign w:val="bottom"/>
            <w:hideMark/>
          </w:tcPr>
          <w:p w14:paraId="1F07352A" w14:textId="77777777" w:rsidR="00D83CE7" w:rsidRPr="00D83CE7" w:rsidRDefault="00D83CE7" w:rsidP="00D83CE7">
            <w:pPr>
              <w:spacing w:after="0"/>
              <w:jc w:val="right"/>
              <w:rPr>
                <w:rFonts w:asciiTheme="minorHAnsi" w:eastAsia="Times New Roman" w:hAnsiTheme="minorHAnsi" w:cstheme="minorHAnsi"/>
                <w:b/>
                <w:bCs/>
                <w:color w:val="000000"/>
                <w:szCs w:val="24"/>
                <w:lang w:eastAsia="en-GB"/>
                <w14:ligatures w14:val="none"/>
              </w:rPr>
            </w:pPr>
            <w:r w:rsidRPr="00D83CE7">
              <w:rPr>
                <w:rFonts w:asciiTheme="minorHAnsi" w:eastAsia="Times New Roman" w:hAnsiTheme="minorHAnsi" w:cstheme="minorHAnsi"/>
                <w:b/>
                <w:bCs/>
                <w:color w:val="000000"/>
                <w:szCs w:val="24"/>
                <w:lang w:eastAsia="en-GB"/>
                <w14:ligatures w14:val="none"/>
              </w:rPr>
              <w:t>5.0</w:t>
            </w:r>
          </w:p>
        </w:tc>
        <w:tc>
          <w:tcPr>
            <w:tcW w:w="160" w:type="dxa"/>
            <w:noWrap/>
            <w:vAlign w:val="bottom"/>
            <w:hideMark/>
          </w:tcPr>
          <w:p w14:paraId="728F57A2" w14:textId="77777777" w:rsidR="00D83CE7" w:rsidRPr="00D83CE7" w:rsidRDefault="00D83CE7" w:rsidP="00D83CE7">
            <w:pPr>
              <w:spacing w:after="0"/>
              <w:jc w:val="right"/>
              <w:rPr>
                <w:rFonts w:asciiTheme="minorHAnsi" w:eastAsia="Times New Roman" w:hAnsiTheme="minorHAnsi" w:cstheme="minorHAnsi"/>
                <w:b/>
                <w:bCs/>
                <w:color w:val="000000"/>
                <w:szCs w:val="24"/>
                <w:lang w:eastAsia="en-GB"/>
                <w14:ligatures w14:val="none"/>
              </w:rPr>
            </w:pPr>
          </w:p>
        </w:tc>
        <w:tc>
          <w:tcPr>
            <w:tcW w:w="1267" w:type="dxa"/>
            <w:noWrap/>
            <w:vAlign w:val="bottom"/>
            <w:hideMark/>
          </w:tcPr>
          <w:p w14:paraId="0021D7B8" w14:textId="77777777" w:rsidR="00D83CE7" w:rsidRPr="00D83CE7" w:rsidRDefault="00D83CE7" w:rsidP="00D83CE7">
            <w:pPr>
              <w:spacing w:after="0"/>
              <w:jc w:val="left"/>
              <w:rPr>
                <w:rFonts w:asciiTheme="minorHAnsi" w:eastAsia="Times New Roman" w:hAnsiTheme="minorHAnsi" w:cstheme="minorHAnsi"/>
                <w:b/>
                <w:bCs/>
                <w:color w:val="000000"/>
                <w:szCs w:val="24"/>
                <w:lang w:eastAsia="en-GB"/>
                <w14:ligatures w14:val="none"/>
              </w:rPr>
            </w:pPr>
            <w:r w:rsidRPr="00D83CE7">
              <w:rPr>
                <w:rFonts w:asciiTheme="minorHAnsi" w:eastAsia="Times New Roman" w:hAnsiTheme="minorHAnsi" w:cstheme="minorHAnsi"/>
                <w:b/>
                <w:bCs/>
                <w:color w:val="000000"/>
                <w:szCs w:val="24"/>
                <w:lang w:eastAsia="en-GB"/>
                <w14:ligatures w14:val="none"/>
              </w:rPr>
              <w:t>PBP</w:t>
            </w:r>
          </w:p>
        </w:tc>
        <w:tc>
          <w:tcPr>
            <w:tcW w:w="1630" w:type="dxa"/>
            <w:noWrap/>
            <w:vAlign w:val="bottom"/>
            <w:hideMark/>
          </w:tcPr>
          <w:p w14:paraId="2D5D56AE" w14:textId="77777777" w:rsidR="00D83CE7" w:rsidRPr="00D83CE7" w:rsidRDefault="00D83CE7" w:rsidP="00D83CE7">
            <w:pPr>
              <w:spacing w:after="0"/>
              <w:jc w:val="right"/>
              <w:rPr>
                <w:rFonts w:asciiTheme="minorHAnsi" w:eastAsia="Times New Roman" w:hAnsiTheme="minorHAnsi" w:cstheme="minorHAnsi"/>
                <w:b/>
                <w:bCs/>
                <w:color w:val="000000"/>
                <w:szCs w:val="24"/>
                <w:lang w:eastAsia="en-GB"/>
                <w14:ligatures w14:val="none"/>
              </w:rPr>
            </w:pPr>
            <w:r w:rsidRPr="00D83CE7">
              <w:rPr>
                <w:rFonts w:asciiTheme="minorHAnsi" w:eastAsia="Times New Roman" w:hAnsiTheme="minorHAnsi" w:cstheme="minorHAnsi"/>
                <w:b/>
                <w:bCs/>
                <w:color w:val="000000"/>
                <w:szCs w:val="24"/>
                <w:lang w:eastAsia="en-GB"/>
                <w14:ligatures w14:val="none"/>
              </w:rPr>
              <w:t>3.6</w:t>
            </w:r>
          </w:p>
        </w:tc>
      </w:tr>
    </w:tbl>
    <w:p w14:paraId="35F63031" w14:textId="0523E111" w:rsidR="00D83CE7" w:rsidRPr="006507B2" w:rsidRDefault="006507B2" w:rsidP="00D83CE7">
      <w:pPr>
        <w:rPr>
          <w:b/>
        </w:rPr>
      </w:pPr>
      <w:r w:rsidRPr="006507B2">
        <w:rPr>
          <w:b/>
        </w:rPr>
        <w:t xml:space="preserve">Table 6: </w:t>
      </w:r>
      <w:r>
        <w:rPr>
          <w:b/>
        </w:rPr>
        <w:t>PBP</w:t>
      </w:r>
      <w:r w:rsidRPr="006507B2">
        <w:rPr>
          <w:b/>
        </w:rPr>
        <w:t xml:space="preserve"> (Source: Self-created)</w:t>
      </w:r>
    </w:p>
    <w:p w14:paraId="31ACA659" w14:textId="06F00AA6" w:rsidR="00345BDD" w:rsidRDefault="00345BDD" w:rsidP="00345BDD">
      <w:pPr>
        <w:pStyle w:val="Heading2"/>
      </w:pPr>
      <w:bookmarkStart w:id="47" w:name="_Toc216948162"/>
      <w:r>
        <w:t xml:space="preserve">Appendix </w:t>
      </w:r>
      <w:r w:rsidR="00515241">
        <w:t>7</w:t>
      </w:r>
      <w:r>
        <w:t xml:space="preserve">: </w:t>
      </w:r>
      <w:r w:rsidR="001444AA">
        <w:t>ARR</w:t>
      </w:r>
      <w:bookmarkEnd w:id="47"/>
      <w:r>
        <w:t xml:space="preserve"> </w:t>
      </w:r>
    </w:p>
    <w:tbl>
      <w:tblPr>
        <w:tblW w:w="5160"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34"/>
        <w:gridCol w:w="1042"/>
        <w:gridCol w:w="1042"/>
        <w:gridCol w:w="1042"/>
      </w:tblGrid>
      <w:tr w:rsidR="00D83CE7" w:rsidRPr="00D83CE7" w14:paraId="18ADD451" w14:textId="77777777" w:rsidTr="006507B2">
        <w:trPr>
          <w:trHeight w:val="315"/>
        </w:trPr>
        <w:tc>
          <w:tcPr>
            <w:tcW w:w="2034" w:type="dxa"/>
            <w:noWrap/>
            <w:vAlign w:val="bottom"/>
            <w:hideMark/>
          </w:tcPr>
          <w:p w14:paraId="778FD428" w14:textId="77777777" w:rsidR="00D83CE7" w:rsidRPr="00D83CE7" w:rsidRDefault="00D83CE7" w:rsidP="00D83CE7">
            <w:pPr>
              <w:spacing w:after="0" w:line="240" w:lineRule="auto"/>
              <w:jc w:val="left"/>
              <w:rPr>
                <w:rFonts w:asciiTheme="minorHAnsi" w:eastAsia="Times New Roman" w:hAnsiTheme="minorHAnsi" w:cstheme="minorHAnsi"/>
                <w:b/>
                <w:bCs/>
                <w:color w:val="000000"/>
                <w:szCs w:val="24"/>
                <w:lang w:eastAsia="en-GB"/>
                <w14:ligatures w14:val="none"/>
              </w:rPr>
            </w:pPr>
            <w:r w:rsidRPr="00D83CE7">
              <w:rPr>
                <w:rFonts w:asciiTheme="minorHAnsi" w:eastAsia="Times New Roman" w:hAnsiTheme="minorHAnsi" w:cstheme="minorHAnsi"/>
                <w:b/>
                <w:bCs/>
                <w:color w:val="000000"/>
                <w:szCs w:val="24"/>
                <w:lang w:eastAsia="en-GB"/>
                <w14:ligatures w14:val="none"/>
              </w:rPr>
              <w:t>Year</w:t>
            </w:r>
          </w:p>
        </w:tc>
        <w:tc>
          <w:tcPr>
            <w:tcW w:w="1042" w:type="dxa"/>
            <w:noWrap/>
            <w:vAlign w:val="bottom"/>
            <w:hideMark/>
          </w:tcPr>
          <w:p w14:paraId="63CAF505" w14:textId="77777777" w:rsidR="00D83CE7" w:rsidRPr="00D83CE7" w:rsidRDefault="00D83CE7" w:rsidP="00D83CE7">
            <w:pPr>
              <w:spacing w:after="0" w:line="240" w:lineRule="auto"/>
              <w:jc w:val="left"/>
              <w:rPr>
                <w:rFonts w:asciiTheme="minorHAnsi" w:eastAsia="Times New Roman" w:hAnsiTheme="minorHAnsi" w:cstheme="minorHAnsi"/>
                <w:b/>
                <w:bCs/>
                <w:color w:val="000000"/>
                <w:szCs w:val="24"/>
                <w:lang w:eastAsia="en-GB"/>
                <w14:ligatures w14:val="none"/>
              </w:rPr>
            </w:pPr>
            <w:r w:rsidRPr="00D83CE7">
              <w:rPr>
                <w:rFonts w:asciiTheme="minorHAnsi" w:eastAsia="Times New Roman" w:hAnsiTheme="minorHAnsi" w:cstheme="minorHAnsi"/>
                <w:b/>
                <w:bCs/>
                <w:color w:val="000000"/>
                <w:szCs w:val="24"/>
                <w:lang w:eastAsia="en-GB"/>
                <w14:ligatures w14:val="none"/>
              </w:rPr>
              <w:t>Cash Flows (Project A)</w:t>
            </w:r>
          </w:p>
        </w:tc>
        <w:tc>
          <w:tcPr>
            <w:tcW w:w="1042" w:type="dxa"/>
            <w:noWrap/>
            <w:vAlign w:val="bottom"/>
            <w:hideMark/>
          </w:tcPr>
          <w:p w14:paraId="7C26AFA2" w14:textId="77777777" w:rsidR="00D83CE7" w:rsidRPr="00D83CE7" w:rsidRDefault="00D83CE7" w:rsidP="00D83CE7">
            <w:pPr>
              <w:spacing w:after="0" w:line="240" w:lineRule="auto"/>
              <w:jc w:val="left"/>
              <w:rPr>
                <w:rFonts w:asciiTheme="minorHAnsi" w:eastAsia="Times New Roman" w:hAnsiTheme="minorHAnsi" w:cstheme="minorHAnsi"/>
                <w:b/>
                <w:bCs/>
                <w:color w:val="000000"/>
                <w:szCs w:val="24"/>
                <w:lang w:eastAsia="en-GB"/>
                <w14:ligatures w14:val="none"/>
              </w:rPr>
            </w:pPr>
            <w:r w:rsidRPr="00D83CE7">
              <w:rPr>
                <w:rFonts w:asciiTheme="minorHAnsi" w:eastAsia="Times New Roman" w:hAnsiTheme="minorHAnsi" w:cstheme="minorHAnsi"/>
                <w:b/>
                <w:bCs/>
                <w:color w:val="000000"/>
                <w:szCs w:val="24"/>
                <w:lang w:eastAsia="en-GB"/>
                <w14:ligatures w14:val="none"/>
              </w:rPr>
              <w:t>Cash Flows (Project B)</w:t>
            </w:r>
          </w:p>
        </w:tc>
        <w:tc>
          <w:tcPr>
            <w:tcW w:w="1042" w:type="dxa"/>
            <w:noWrap/>
            <w:vAlign w:val="bottom"/>
            <w:hideMark/>
          </w:tcPr>
          <w:p w14:paraId="732CCC7D" w14:textId="77777777" w:rsidR="00D83CE7" w:rsidRPr="00D83CE7" w:rsidRDefault="00D83CE7" w:rsidP="00D83CE7">
            <w:pPr>
              <w:spacing w:after="0" w:line="240" w:lineRule="auto"/>
              <w:jc w:val="left"/>
              <w:rPr>
                <w:rFonts w:asciiTheme="minorHAnsi" w:eastAsia="Times New Roman" w:hAnsiTheme="minorHAnsi" w:cstheme="minorHAnsi"/>
                <w:b/>
                <w:bCs/>
                <w:color w:val="000000"/>
                <w:szCs w:val="24"/>
                <w:lang w:eastAsia="en-GB"/>
                <w14:ligatures w14:val="none"/>
              </w:rPr>
            </w:pPr>
            <w:r w:rsidRPr="00D83CE7">
              <w:rPr>
                <w:rFonts w:asciiTheme="minorHAnsi" w:eastAsia="Times New Roman" w:hAnsiTheme="minorHAnsi" w:cstheme="minorHAnsi"/>
                <w:b/>
                <w:bCs/>
                <w:color w:val="000000"/>
                <w:szCs w:val="24"/>
                <w:lang w:eastAsia="en-GB"/>
                <w14:ligatures w14:val="none"/>
              </w:rPr>
              <w:t>Cash Flows (Project C)</w:t>
            </w:r>
          </w:p>
        </w:tc>
      </w:tr>
      <w:tr w:rsidR="00D83CE7" w:rsidRPr="00D83CE7" w14:paraId="5F6734D6" w14:textId="77777777" w:rsidTr="006507B2">
        <w:trPr>
          <w:trHeight w:val="315"/>
        </w:trPr>
        <w:tc>
          <w:tcPr>
            <w:tcW w:w="2034" w:type="dxa"/>
            <w:noWrap/>
            <w:vAlign w:val="bottom"/>
            <w:hideMark/>
          </w:tcPr>
          <w:p w14:paraId="5FB6F978" w14:textId="77777777" w:rsidR="00D83CE7" w:rsidRPr="00D83CE7" w:rsidRDefault="00D83CE7" w:rsidP="00D83CE7">
            <w:pPr>
              <w:spacing w:after="0" w:line="240" w:lineRule="auto"/>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0</w:t>
            </w:r>
          </w:p>
        </w:tc>
        <w:tc>
          <w:tcPr>
            <w:tcW w:w="1042" w:type="dxa"/>
            <w:noWrap/>
            <w:vAlign w:val="bottom"/>
            <w:hideMark/>
          </w:tcPr>
          <w:p w14:paraId="098D6CD4" w14:textId="77777777" w:rsidR="00D83CE7" w:rsidRPr="00D83CE7" w:rsidRDefault="00D83CE7" w:rsidP="00D83CE7">
            <w:pPr>
              <w:spacing w:after="0" w:line="240" w:lineRule="auto"/>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40</w:t>
            </w:r>
          </w:p>
        </w:tc>
        <w:tc>
          <w:tcPr>
            <w:tcW w:w="1042" w:type="dxa"/>
            <w:noWrap/>
            <w:vAlign w:val="bottom"/>
            <w:hideMark/>
          </w:tcPr>
          <w:p w14:paraId="1194BAA3" w14:textId="77777777" w:rsidR="00D83CE7" w:rsidRPr="00D83CE7" w:rsidRDefault="00D83CE7" w:rsidP="00D83CE7">
            <w:pPr>
              <w:spacing w:after="0" w:line="240" w:lineRule="auto"/>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30</w:t>
            </w:r>
          </w:p>
        </w:tc>
        <w:tc>
          <w:tcPr>
            <w:tcW w:w="1042" w:type="dxa"/>
            <w:noWrap/>
            <w:vAlign w:val="bottom"/>
            <w:hideMark/>
          </w:tcPr>
          <w:p w14:paraId="11C8CCD8" w14:textId="77777777" w:rsidR="00D83CE7" w:rsidRPr="00D83CE7" w:rsidRDefault="00D83CE7" w:rsidP="00D83CE7">
            <w:pPr>
              <w:spacing w:after="0" w:line="240" w:lineRule="auto"/>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50</w:t>
            </w:r>
          </w:p>
        </w:tc>
      </w:tr>
      <w:tr w:rsidR="00D83CE7" w:rsidRPr="00D83CE7" w14:paraId="26DB4170" w14:textId="77777777" w:rsidTr="006507B2">
        <w:trPr>
          <w:trHeight w:val="315"/>
        </w:trPr>
        <w:tc>
          <w:tcPr>
            <w:tcW w:w="2034" w:type="dxa"/>
            <w:noWrap/>
            <w:vAlign w:val="bottom"/>
            <w:hideMark/>
          </w:tcPr>
          <w:p w14:paraId="1562E2B1" w14:textId="77777777" w:rsidR="00D83CE7" w:rsidRPr="00D83CE7" w:rsidRDefault="00D83CE7" w:rsidP="00D83CE7">
            <w:pPr>
              <w:spacing w:after="0" w:line="240" w:lineRule="auto"/>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1</w:t>
            </w:r>
          </w:p>
        </w:tc>
        <w:tc>
          <w:tcPr>
            <w:tcW w:w="1042" w:type="dxa"/>
            <w:noWrap/>
            <w:vAlign w:val="bottom"/>
            <w:hideMark/>
          </w:tcPr>
          <w:p w14:paraId="0D9F57D3" w14:textId="77777777" w:rsidR="00D83CE7" w:rsidRPr="00D83CE7" w:rsidRDefault="00D83CE7" w:rsidP="00D83CE7">
            <w:pPr>
              <w:spacing w:after="0" w:line="240" w:lineRule="auto"/>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10</w:t>
            </w:r>
          </w:p>
        </w:tc>
        <w:tc>
          <w:tcPr>
            <w:tcW w:w="1042" w:type="dxa"/>
            <w:noWrap/>
            <w:vAlign w:val="bottom"/>
            <w:hideMark/>
          </w:tcPr>
          <w:p w14:paraId="34F903FB" w14:textId="77777777" w:rsidR="00D83CE7" w:rsidRPr="00D83CE7" w:rsidRDefault="00D83CE7" w:rsidP="00D83CE7">
            <w:pPr>
              <w:spacing w:after="0" w:line="240" w:lineRule="auto"/>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6</w:t>
            </w:r>
          </w:p>
        </w:tc>
        <w:tc>
          <w:tcPr>
            <w:tcW w:w="1042" w:type="dxa"/>
            <w:noWrap/>
            <w:vAlign w:val="bottom"/>
            <w:hideMark/>
          </w:tcPr>
          <w:p w14:paraId="501A9537" w14:textId="77777777" w:rsidR="00D83CE7" w:rsidRPr="00D83CE7" w:rsidRDefault="00D83CE7" w:rsidP="00D83CE7">
            <w:pPr>
              <w:spacing w:after="0" w:line="240" w:lineRule="auto"/>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5</w:t>
            </w:r>
          </w:p>
        </w:tc>
      </w:tr>
      <w:tr w:rsidR="00D83CE7" w:rsidRPr="00D83CE7" w14:paraId="4AB5D5A9" w14:textId="77777777" w:rsidTr="006507B2">
        <w:trPr>
          <w:trHeight w:val="315"/>
        </w:trPr>
        <w:tc>
          <w:tcPr>
            <w:tcW w:w="2034" w:type="dxa"/>
            <w:noWrap/>
            <w:vAlign w:val="bottom"/>
            <w:hideMark/>
          </w:tcPr>
          <w:p w14:paraId="446A3317" w14:textId="77777777" w:rsidR="00D83CE7" w:rsidRPr="00D83CE7" w:rsidRDefault="00D83CE7" w:rsidP="00D83CE7">
            <w:pPr>
              <w:spacing w:after="0" w:line="240" w:lineRule="auto"/>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2</w:t>
            </w:r>
          </w:p>
        </w:tc>
        <w:tc>
          <w:tcPr>
            <w:tcW w:w="1042" w:type="dxa"/>
            <w:noWrap/>
            <w:vAlign w:val="bottom"/>
            <w:hideMark/>
          </w:tcPr>
          <w:p w14:paraId="3936C52F" w14:textId="77777777" w:rsidR="00D83CE7" w:rsidRPr="00D83CE7" w:rsidRDefault="00D83CE7" w:rsidP="00D83CE7">
            <w:pPr>
              <w:spacing w:after="0" w:line="240" w:lineRule="auto"/>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12</w:t>
            </w:r>
          </w:p>
        </w:tc>
        <w:tc>
          <w:tcPr>
            <w:tcW w:w="1042" w:type="dxa"/>
            <w:noWrap/>
            <w:vAlign w:val="bottom"/>
            <w:hideMark/>
          </w:tcPr>
          <w:p w14:paraId="05376F06" w14:textId="77777777" w:rsidR="00D83CE7" w:rsidRPr="00D83CE7" w:rsidRDefault="00D83CE7" w:rsidP="00D83CE7">
            <w:pPr>
              <w:spacing w:after="0" w:line="240" w:lineRule="auto"/>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6</w:t>
            </w:r>
          </w:p>
        </w:tc>
        <w:tc>
          <w:tcPr>
            <w:tcW w:w="1042" w:type="dxa"/>
            <w:noWrap/>
            <w:vAlign w:val="bottom"/>
            <w:hideMark/>
          </w:tcPr>
          <w:p w14:paraId="3AAAEF94" w14:textId="77777777" w:rsidR="00D83CE7" w:rsidRPr="00D83CE7" w:rsidRDefault="00D83CE7" w:rsidP="00D83CE7">
            <w:pPr>
              <w:spacing w:after="0" w:line="240" w:lineRule="auto"/>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10</w:t>
            </w:r>
          </w:p>
        </w:tc>
      </w:tr>
      <w:tr w:rsidR="00D83CE7" w:rsidRPr="00D83CE7" w14:paraId="5A43AA7E" w14:textId="77777777" w:rsidTr="006507B2">
        <w:trPr>
          <w:trHeight w:val="315"/>
        </w:trPr>
        <w:tc>
          <w:tcPr>
            <w:tcW w:w="2034" w:type="dxa"/>
            <w:noWrap/>
            <w:vAlign w:val="bottom"/>
            <w:hideMark/>
          </w:tcPr>
          <w:p w14:paraId="3CD28684" w14:textId="77777777" w:rsidR="00D83CE7" w:rsidRPr="00D83CE7" w:rsidRDefault="00D83CE7" w:rsidP="00D83CE7">
            <w:pPr>
              <w:spacing w:after="0" w:line="240" w:lineRule="auto"/>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3</w:t>
            </w:r>
          </w:p>
        </w:tc>
        <w:tc>
          <w:tcPr>
            <w:tcW w:w="1042" w:type="dxa"/>
            <w:noWrap/>
            <w:vAlign w:val="bottom"/>
            <w:hideMark/>
          </w:tcPr>
          <w:p w14:paraId="737F52C9" w14:textId="77777777" w:rsidR="00D83CE7" w:rsidRPr="00D83CE7" w:rsidRDefault="00D83CE7" w:rsidP="00D83CE7">
            <w:pPr>
              <w:spacing w:after="0" w:line="240" w:lineRule="auto"/>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14</w:t>
            </w:r>
          </w:p>
        </w:tc>
        <w:tc>
          <w:tcPr>
            <w:tcW w:w="1042" w:type="dxa"/>
            <w:noWrap/>
            <w:vAlign w:val="bottom"/>
            <w:hideMark/>
          </w:tcPr>
          <w:p w14:paraId="7697EB3E" w14:textId="77777777" w:rsidR="00D83CE7" w:rsidRPr="00D83CE7" w:rsidRDefault="00D83CE7" w:rsidP="00D83CE7">
            <w:pPr>
              <w:spacing w:after="0" w:line="240" w:lineRule="auto"/>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6</w:t>
            </w:r>
          </w:p>
        </w:tc>
        <w:tc>
          <w:tcPr>
            <w:tcW w:w="1042" w:type="dxa"/>
            <w:noWrap/>
            <w:vAlign w:val="bottom"/>
            <w:hideMark/>
          </w:tcPr>
          <w:p w14:paraId="3D289E0A" w14:textId="77777777" w:rsidR="00D83CE7" w:rsidRPr="00D83CE7" w:rsidRDefault="00D83CE7" w:rsidP="00D83CE7">
            <w:pPr>
              <w:spacing w:after="0" w:line="240" w:lineRule="auto"/>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20</w:t>
            </w:r>
          </w:p>
        </w:tc>
      </w:tr>
      <w:tr w:rsidR="00D83CE7" w:rsidRPr="00D83CE7" w14:paraId="4A5C501C" w14:textId="77777777" w:rsidTr="006507B2">
        <w:trPr>
          <w:trHeight w:val="315"/>
        </w:trPr>
        <w:tc>
          <w:tcPr>
            <w:tcW w:w="2034" w:type="dxa"/>
            <w:noWrap/>
            <w:vAlign w:val="bottom"/>
            <w:hideMark/>
          </w:tcPr>
          <w:p w14:paraId="70F07AD6" w14:textId="77777777" w:rsidR="00D83CE7" w:rsidRPr="00D83CE7" w:rsidRDefault="00D83CE7" w:rsidP="00D83CE7">
            <w:pPr>
              <w:spacing w:after="0" w:line="240" w:lineRule="auto"/>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4</w:t>
            </w:r>
          </w:p>
        </w:tc>
        <w:tc>
          <w:tcPr>
            <w:tcW w:w="1042" w:type="dxa"/>
            <w:noWrap/>
            <w:vAlign w:val="bottom"/>
            <w:hideMark/>
          </w:tcPr>
          <w:p w14:paraId="54A5667E" w14:textId="77777777" w:rsidR="00D83CE7" w:rsidRPr="00D83CE7" w:rsidRDefault="00D83CE7" w:rsidP="00D83CE7">
            <w:pPr>
              <w:spacing w:after="0" w:line="240" w:lineRule="auto"/>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10</w:t>
            </w:r>
          </w:p>
        </w:tc>
        <w:tc>
          <w:tcPr>
            <w:tcW w:w="1042" w:type="dxa"/>
            <w:noWrap/>
            <w:vAlign w:val="bottom"/>
            <w:hideMark/>
          </w:tcPr>
          <w:p w14:paraId="6859C843" w14:textId="77777777" w:rsidR="00D83CE7" w:rsidRPr="00D83CE7" w:rsidRDefault="00D83CE7" w:rsidP="00D83CE7">
            <w:pPr>
              <w:spacing w:after="0" w:line="240" w:lineRule="auto"/>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6</w:t>
            </w:r>
          </w:p>
        </w:tc>
        <w:tc>
          <w:tcPr>
            <w:tcW w:w="1042" w:type="dxa"/>
            <w:noWrap/>
            <w:vAlign w:val="bottom"/>
            <w:hideMark/>
          </w:tcPr>
          <w:p w14:paraId="5764A009" w14:textId="77777777" w:rsidR="00D83CE7" w:rsidRPr="00D83CE7" w:rsidRDefault="00D83CE7" w:rsidP="00D83CE7">
            <w:pPr>
              <w:spacing w:after="0" w:line="240" w:lineRule="auto"/>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25</w:t>
            </w:r>
          </w:p>
        </w:tc>
      </w:tr>
      <w:tr w:rsidR="00D83CE7" w:rsidRPr="00D83CE7" w14:paraId="4AEB01AB" w14:textId="77777777" w:rsidTr="006507B2">
        <w:trPr>
          <w:trHeight w:val="315"/>
        </w:trPr>
        <w:tc>
          <w:tcPr>
            <w:tcW w:w="2034" w:type="dxa"/>
            <w:noWrap/>
            <w:vAlign w:val="bottom"/>
            <w:hideMark/>
          </w:tcPr>
          <w:p w14:paraId="527A3004" w14:textId="77777777" w:rsidR="00D83CE7" w:rsidRPr="00D83CE7" w:rsidRDefault="00D83CE7" w:rsidP="00D83CE7">
            <w:pPr>
              <w:spacing w:after="0" w:line="240" w:lineRule="auto"/>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5</w:t>
            </w:r>
          </w:p>
        </w:tc>
        <w:tc>
          <w:tcPr>
            <w:tcW w:w="1042" w:type="dxa"/>
            <w:noWrap/>
            <w:vAlign w:val="bottom"/>
            <w:hideMark/>
          </w:tcPr>
          <w:p w14:paraId="3490EE3C" w14:textId="77777777" w:rsidR="00D83CE7" w:rsidRPr="00D83CE7" w:rsidRDefault="00D83CE7" w:rsidP="00D83CE7">
            <w:pPr>
              <w:spacing w:after="0" w:line="240" w:lineRule="auto"/>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8</w:t>
            </w:r>
          </w:p>
        </w:tc>
        <w:tc>
          <w:tcPr>
            <w:tcW w:w="1042" w:type="dxa"/>
            <w:noWrap/>
            <w:vAlign w:val="bottom"/>
            <w:hideMark/>
          </w:tcPr>
          <w:p w14:paraId="3710330A" w14:textId="77777777" w:rsidR="00D83CE7" w:rsidRPr="00D83CE7" w:rsidRDefault="00D83CE7" w:rsidP="00D83CE7">
            <w:pPr>
              <w:spacing w:after="0" w:line="240" w:lineRule="auto"/>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6</w:t>
            </w:r>
          </w:p>
        </w:tc>
        <w:tc>
          <w:tcPr>
            <w:tcW w:w="1042" w:type="dxa"/>
            <w:noWrap/>
            <w:vAlign w:val="bottom"/>
            <w:hideMark/>
          </w:tcPr>
          <w:p w14:paraId="0382C5CD" w14:textId="77777777" w:rsidR="00D83CE7" w:rsidRPr="00D83CE7" w:rsidRDefault="00D83CE7" w:rsidP="00D83CE7">
            <w:pPr>
              <w:spacing w:after="0" w:line="240" w:lineRule="auto"/>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15</w:t>
            </w:r>
          </w:p>
        </w:tc>
      </w:tr>
      <w:tr w:rsidR="00D83CE7" w:rsidRPr="00D83CE7" w14:paraId="3BFF0D13" w14:textId="77777777" w:rsidTr="006507B2">
        <w:trPr>
          <w:trHeight w:val="300"/>
        </w:trPr>
        <w:tc>
          <w:tcPr>
            <w:tcW w:w="2034" w:type="dxa"/>
            <w:noWrap/>
            <w:vAlign w:val="bottom"/>
            <w:hideMark/>
          </w:tcPr>
          <w:p w14:paraId="34ABDFCD" w14:textId="77777777" w:rsidR="00D83CE7" w:rsidRPr="00D83CE7" w:rsidRDefault="00D83CE7" w:rsidP="00D83CE7">
            <w:pPr>
              <w:spacing w:after="0" w:line="240" w:lineRule="auto"/>
              <w:jc w:val="lef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Total Profit</w:t>
            </w:r>
          </w:p>
        </w:tc>
        <w:tc>
          <w:tcPr>
            <w:tcW w:w="1042" w:type="dxa"/>
            <w:noWrap/>
            <w:vAlign w:val="bottom"/>
            <w:hideMark/>
          </w:tcPr>
          <w:p w14:paraId="40B59DC7" w14:textId="77777777" w:rsidR="00D83CE7" w:rsidRPr="00D83CE7" w:rsidRDefault="00D83CE7" w:rsidP="00D83CE7">
            <w:pPr>
              <w:spacing w:after="0" w:line="240" w:lineRule="auto"/>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14</w:t>
            </w:r>
          </w:p>
        </w:tc>
        <w:tc>
          <w:tcPr>
            <w:tcW w:w="1042" w:type="dxa"/>
            <w:noWrap/>
            <w:vAlign w:val="bottom"/>
            <w:hideMark/>
          </w:tcPr>
          <w:p w14:paraId="1272C120" w14:textId="77777777" w:rsidR="00D83CE7" w:rsidRPr="00D83CE7" w:rsidRDefault="00D83CE7" w:rsidP="00D83CE7">
            <w:pPr>
              <w:spacing w:after="0" w:line="240" w:lineRule="auto"/>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0</w:t>
            </w:r>
          </w:p>
        </w:tc>
        <w:tc>
          <w:tcPr>
            <w:tcW w:w="1042" w:type="dxa"/>
            <w:noWrap/>
            <w:vAlign w:val="bottom"/>
            <w:hideMark/>
          </w:tcPr>
          <w:p w14:paraId="57679655" w14:textId="77777777" w:rsidR="00D83CE7" w:rsidRPr="00D83CE7" w:rsidRDefault="00D83CE7" w:rsidP="00D83CE7">
            <w:pPr>
              <w:spacing w:after="0" w:line="240" w:lineRule="auto"/>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25</w:t>
            </w:r>
          </w:p>
        </w:tc>
      </w:tr>
      <w:tr w:rsidR="00D83CE7" w:rsidRPr="00D83CE7" w14:paraId="300A9AE5" w14:textId="77777777" w:rsidTr="006507B2">
        <w:trPr>
          <w:trHeight w:val="300"/>
        </w:trPr>
        <w:tc>
          <w:tcPr>
            <w:tcW w:w="2034" w:type="dxa"/>
            <w:noWrap/>
            <w:vAlign w:val="bottom"/>
            <w:hideMark/>
          </w:tcPr>
          <w:p w14:paraId="42A575B5" w14:textId="77777777" w:rsidR="00D83CE7" w:rsidRPr="00D83CE7" w:rsidRDefault="00D83CE7" w:rsidP="00D83CE7">
            <w:pPr>
              <w:spacing w:after="0" w:line="240" w:lineRule="auto"/>
              <w:jc w:val="lef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Average Annual Profit</w:t>
            </w:r>
          </w:p>
        </w:tc>
        <w:tc>
          <w:tcPr>
            <w:tcW w:w="1042" w:type="dxa"/>
            <w:noWrap/>
            <w:vAlign w:val="bottom"/>
            <w:hideMark/>
          </w:tcPr>
          <w:p w14:paraId="60A1787E" w14:textId="77777777" w:rsidR="00D83CE7" w:rsidRPr="00D83CE7" w:rsidRDefault="00D83CE7" w:rsidP="00D83CE7">
            <w:pPr>
              <w:spacing w:after="0" w:line="240" w:lineRule="auto"/>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2.8</w:t>
            </w:r>
          </w:p>
        </w:tc>
        <w:tc>
          <w:tcPr>
            <w:tcW w:w="1042" w:type="dxa"/>
            <w:noWrap/>
            <w:vAlign w:val="bottom"/>
            <w:hideMark/>
          </w:tcPr>
          <w:p w14:paraId="2D986E83" w14:textId="77777777" w:rsidR="00D83CE7" w:rsidRPr="00D83CE7" w:rsidRDefault="00D83CE7" w:rsidP="00D83CE7">
            <w:pPr>
              <w:spacing w:after="0" w:line="240" w:lineRule="auto"/>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0</w:t>
            </w:r>
          </w:p>
        </w:tc>
        <w:tc>
          <w:tcPr>
            <w:tcW w:w="1042" w:type="dxa"/>
            <w:noWrap/>
            <w:vAlign w:val="bottom"/>
            <w:hideMark/>
          </w:tcPr>
          <w:p w14:paraId="4BD47147" w14:textId="77777777" w:rsidR="00D83CE7" w:rsidRPr="00D83CE7" w:rsidRDefault="00D83CE7" w:rsidP="00D83CE7">
            <w:pPr>
              <w:spacing w:after="0" w:line="240" w:lineRule="auto"/>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5</w:t>
            </w:r>
          </w:p>
        </w:tc>
      </w:tr>
      <w:tr w:rsidR="00D83CE7" w:rsidRPr="00D83CE7" w14:paraId="4FB7FBAE" w14:textId="77777777" w:rsidTr="006507B2">
        <w:trPr>
          <w:trHeight w:val="300"/>
        </w:trPr>
        <w:tc>
          <w:tcPr>
            <w:tcW w:w="2034" w:type="dxa"/>
            <w:noWrap/>
            <w:vAlign w:val="bottom"/>
            <w:hideMark/>
          </w:tcPr>
          <w:p w14:paraId="21E4FE76" w14:textId="77777777" w:rsidR="00D83CE7" w:rsidRPr="00D83CE7" w:rsidRDefault="00D83CE7" w:rsidP="00D83CE7">
            <w:pPr>
              <w:spacing w:after="0" w:line="240" w:lineRule="auto"/>
              <w:jc w:val="lef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 xml:space="preserve">Average Investment </w:t>
            </w:r>
          </w:p>
        </w:tc>
        <w:tc>
          <w:tcPr>
            <w:tcW w:w="1042" w:type="dxa"/>
            <w:noWrap/>
            <w:vAlign w:val="bottom"/>
            <w:hideMark/>
          </w:tcPr>
          <w:p w14:paraId="6902C257" w14:textId="77777777" w:rsidR="00D83CE7" w:rsidRPr="00D83CE7" w:rsidRDefault="00D83CE7" w:rsidP="00D83CE7">
            <w:pPr>
              <w:spacing w:after="0" w:line="240" w:lineRule="auto"/>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20</w:t>
            </w:r>
          </w:p>
        </w:tc>
        <w:tc>
          <w:tcPr>
            <w:tcW w:w="1042" w:type="dxa"/>
            <w:noWrap/>
            <w:vAlign w:val="bottom"/>
            <w:hideMark/>
          </w:tcPr>
          <w:p w14:paraId="29E67CC4" w14:textId="77777777" w:rsidR="00D83CE7" w:rsidRPr="00D83CE7" w:rsidRDefault="00D83CE7" w:rsidP="00D83CE7">
            <w:pPr>
              <w:spacing w:after="0" w:line="240" w:lineRule="auto"/>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15</w:t>
            </w:r>
          </w:p>
        </w:tc>
        <w:tc>
          <w:tcPr>
            <w:tcW w:w="1042" w:type="dxa"/>
            <w:noWrap/>
            <w:vAlign w:val="bottom"/>
            <w:hideMark/>
          </w:tcPr>
          <w:p w14:paraId="0A4D3A08" w14:textId="77777777" w:rsidR="00D83CE7" w:rsidRPr="00D83CE7" w:rsidRDefault="00D83CE7" w:rsidP="00D83CE7">
            <w:pPr>
              <w:spacing w:after="0" w:line="240" w:lineRule="auto"/>
              <w:jc w:val="right"/>
              <w:rPr>
                <w:rFonts w:asciiTheme="minorHAnsi" w:eastAsia="Times New Roman" w:hAnsiTheme="minorHAnsi" w:cstheme="minorHAnsi"/>
                <w:color w:val="000000"/>
                <w:szCs w:val="24"/>
                <w:lang w:eastAsia="en-GB"/>
                <w14:ligatures w14:val="none"/>
              </w:rPr>
            </w:pPr>
            <w:r w:rsidRPr="00D83CE7">
              <w:rPr>
                <w:rFonts w:asciiTheme="minorHAnsi" w:eastAsia="Times New Roman" w:hAnsiTheme="minorHAnsi" w:cstheme="minorHAnsi"/>
                <w:color w:val="000000"/>
                <w:szCs w:val="24"/>
                <w:lang w:eastAsia="en-GB"/>
                <w14:ligatures w14:val="none"/>
              </w:rPr>
              <w:t>25</w:t>
            </w:r>
          </w:p>
        </w:tc>
      </w:tr>
      <w:tr w:rsidR="00D83CE7" w:rsidRPr="00D83CE7" w14:paraId="6B445F9D" w14:textId="77777777" w:rsidTr="006507B2">
        <w:trPr>
          <w:trHeight w:val="300"/>
        </w:trPr>
        <w:tc>
          <w:tcPr>
            <w:tcW w:w="2034" w:type="dxa"/>
            <w:noWrap/>
            <w:vAlign w:val="bottom"/>
            <w:hideMark/>
          </w:tcPr>
          <w:p w14:paraId="603F1395" w14:textId="77777777" w:rsidR="00D83CE7" w:rsidRPr="00D83CE7" w:rsidRDefault="00D83CE7" w:rsidP="00D83CE7">
            <w:pPr>
              <w:spacing w:after="0" w:line="240" w:lineRule="auto"/>
              <w:jc w:val="left"/>
              <w:rPr>
                <w:rFonts w:asciiTheme="minorHAnsi" w:eastAsia="Times New Roman" w:hAnsiTheme="minorHAnsi" w:cstheme="minorHAnsi"/>
                <w:b/>
                <w:bCs/>
                <w:color w:val="000000"/>
                <w:szCs w:val="24"/>
                <w:lang w:eastAsia="en-GB"/>
                <w14:ligatures w14:val="none"/>
              </w:rPr>
            </w:pPr>
            <w:r w:rsidRPr="00D83CE7">
              <w:rPr>
                <w:rFonts w:asciiTheme="minorHAnsi" w:eastAsia="Times New Roman" w:hAnsiTheme="minorHAnsi" w:cstheme="minorHAnsi"/>
                <w:b/>
                <w:bCs/>
                <w:color w:val="000000"/>
                <w:szCs w:val="24"/>
                <w:lang w:eastAsia="en-GB"/>
                <w14:ligatures w14:val="none"/>
              </w:rPr>
              <w:t>ARR</w:t>
            </w:r>
          </w:p>
        </w:tc>
        <w:tc>
          <w:tcPr>
            <w:tcW w:w="1042" w:type="dxa"/>
            <w:noWrap/>
            <w:vAlign w:val="bottom"/>
            <w:hideMark/>
          </w:tcPr>
          <w:p w14:paraId="6EDF1F01" w14:textId="77777777" w:rsidR="00D83CE7" w:rsidRPr="00D83CE7" w:rsidRDefault="00D83CE7" w:rsidP="00D83CE7">
            <w:pPr>
              <w:spacing w:after="0" w:line="240" w:lineRule="auto"/>
              <w:jc w:val="right"/>
              <w:rPr>
                <w:rFonts w:asciiTheme="minorHAnsi" w:eastAsia="Times New Roman" w:hAnsiTheme="minorHAnsi" w:cstheme="minorHAnsi"/>
                <w:b/>
                <w:bCs/>
                <w:color w:val="000000"/>
                <w:szCs w:val="24"/>
                <w:lang w:eastAsia="en-GB"/>
                <w14:ligatures w14:val="none"/>
              </w:rPr>
            </w:pPr>
            <w:r w:rsidRPr="00D83CE7">
              <w:rPr>
                <w:rFonts w:asciiTheme="minorHAnsi" w:eastAsia="Times New Roman" w:hAnsiTheme="minorHAnsi" w:cstheme="minorHAnsi"/>
                <w:b/>
                <w:bCs/>
                <w:color w:val="000000"/>
                <w:szCs w:val="24"/>
                <w:lang w:eastAsia="en-GB"/>
                <w14:ligatures w14:val="none"/>
              </w:rPr>
              <w:t>14%</w:t>
            </w:r>
          </w:p>
        </w:tc>
        <w:tc>
          <w:tcPr>
            <w:tcW w:w="1042" w:type="dxa"/>
            <w:noWrap/>
            <w:vAlign w:val="bottom"/>
            <w:hideMark/>
          </w:tcPr>
          <w:p w14:paraId="00B56E71" w14:textId="77777777" w:rsidR="00D83CE7" w:rsidRPr="00D83CE7" w:rsidRDefault="00D83CE7" w:rsidP="00D83CE7">
            <w:pPr>
              <w:spacing w:after="0" w:line="240" w:lineRule="auto"/>
              <w:jc w:val="right"/>
              <w:rPr>
                <w:rFonts w:asciiTheme="minorHAnsi" w:eastAsia="Times New Roman" w:hAnsiTheme="minorHAnsi" w:cstheme="minorHAnsi"/>
                <w:b/>
                <w:bCs/>
                <w:color w:val="000000"/>
                <w:szCs w:val="24"/>
                <w:lang w:eastAsia="en-GB"/>
                <w14:ligatures w14:val="none"/>
              </w:rPr>
            </w:pPr>
            <w:r w:rsidRPr="00D83CE7">
              <w:rPr>
                <w:rFonts w:asciiTheme="minorHAnsi" w:eastAsia="Times New Roman" w:hAnsiTheme="minorHAnsi" w:cstheme="minorHAnsi"/>
                <w:b/>
                <w:bCs/>
                <w:color w:val="000000"/>
                <w:szCs w:val="24"/>
                <w:lang w:eastAsia="en-GB"/>
                <w14:ligatures w14:val="none"/>
              </w:rPr>
              <w:t>0%</w:t>
            </w:r>
          </w:p>
        </w:tc>
        <w:tc>
          <w:tcPr>
            <w:tcW w:w="1042" w:type="dxa"/>
            <w:noWrap/>
            <w:vAlign w:val="bottom"/>
            <w:hideMark/>
          </w:tcPr>
          <w:p w14:paraId="4B5A88F1" w14:textId="77777777" w:rsidR="00D83CE7" w:rsidRPr="00D83CE7" w:rsidRDefault="00D83CE7" w:rsidP="00D83CE7">
            <w:pPr>
              <w:spacing w:after="0" w:line="240" w:lineRule="auto"/>
              <w:jc w:val="right"/>
              <w:rPr>
                <w:rFonts w:asciiTheme="minorHAnsi" w:eastAsia="Times New Roman" w:hAnsiTheme="minorHAnsi" w:cstheme="minorHAnsi"/>
                <w:b/>
                <w:bCs/>
                <w:color w:val="000000"/>
                <w:szCs w:val="24"/>
                <w:lang w:eastAsia="en-GB"/>
                <w14:ligatures w14:val="none"/>
              </w:rPr>
            </w:pPr>
            <w:r w:rsidRPr="00D83CE7">
              <w:rPr>
                <w:rFonts w:asciiTheme="minorHAnsi" w:eastAsia="Times New Roman" w:hAnsiTheme="minorHAnsi" w:cstheme="minorHAnsi"/>
                <w:b/>
                <w:bCs/>
                <w:color w:val="000000"/>
                <w:szCs w:val="24"/>
                <w:lang w:eastAsia="en-GB"/>
                <w14:ligatures w14:val="none"/>
              </w:rPr>
              <w:t>20%</w:t>
            </w:r>
          </w:p>
        </w:tc>
      </w:tr>
    </w:tbl>
    <w:p w14:paraId="7186DDFF" w14:textId="17556FB9" w:rsidR="00D83CE7" w:rsidRPr="006507B2" w:rsidRDefault="006507B2" w:rsidP="00D83CE7">
      <w:pPr>
        <w:rPr>
          <w:b/>
        </w:rPr>
      </w:pPr>
      <w:r w:rsidRPr="006507B2">
        <w:rPr>
          <w:b/>
        </w:rPr>
        <w:t xml:space="preserve">Table </w:t>
      </w:r>
      <w:r>
        <w:rPr>
          <w:b/>
        </w:rPr>
        <w:t>7</w:t>
      </w:r>
      <w:r w:rsidRPr="006507B2">
        <w:rPr>
          <w:b/>
        </w:rPr>
        <w:t xml:space="preserve">: </w:t>
      </w:r>
      <w:r>
        <w:rPr>
          <w:b/>
        </w:rPr>
        <w:t>ARR</w:t>
      </w:r>
      <w:r w:rsidRPr="006507B2">
        <w:rPr>
          <w:b/>
        </w:rPr>
        <w:t xml:space="preserve"> (Source: Self-created)</w:t>
      </w:r>
    </w:p>
    <w:p w14:paraId="4776721C" w14:textId="2D54761F" w:rsidR="00345BDD" w:rsidRDefault="00345BDD" w:rsidP="00345BDD">
      <w:pPr>
        <w:pStyle w:val="Heading2"/>
      </w:pPr>
      <w:bookmarkStart w:id="48" w:name="_Toc216948163"/>
      <w:r>
        <w:t xml:space="preserve">Appendix </w:t>
      </w:r>
      <w:r w:rsidR="00515241">
        <w:t>8</w:t>
      </w:r>
      <w:r>
        <w:t xml:space="preserve">: </w:t>
      </w:r>
      <w:r w:rsidR="001444AA">
        <w:t>NPV</w:t>
      </w:r>
      <w:bookmarkEnd w:id="48"/>
      <w:r>
        <w:t xml:space="preserve"> </w:t>
      </w:r>
    </w:p>
    <w:tbl>
      <w:tblPr>
        <w:tblW w:w="58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29"/>
        <w:gridCol w:w="1290"/>
        <w:gridCol w:w="1290"/>
        <w:gridCol w:w="1290"/>
      </w:tblGrid>
      <w:tr w:rsidR="00D83CE7" w:rsidRPr="00D83CE7" w14:paraId="18FC68A3" w14:textId="77777777" w:rsidTr="00D83CE7">
        <w:trPr>
          <w:trHeight w:val="284"/>
        </w:trPr>
        <w:tc>
          <w:tcPr>
            <w:tcW w:w="2029" w:type="dxa"/>
            <w:noWrap/>
            <w:vAlign w:val="bottom"/>
            <w:hideMark/>
          </w:tcPr>
          <w:p w14:paraId="77A3AD9A" w14:textId="77777777" w:rsidR="00D83CE7" w:rsidRPr="00D83CE7" w:rsidRDefault="00D83CE7" w:rsidP="00D83CE7">
            <w:pPr>
              <w:spacing w:after="0"/>
              <w:jc w:val="left"/>
              <w:rPr>
                <w:rFonts w:eastAsia="Times New Roman" w:cs="Times New Roman"/>
                <w:b/>
                <w:bCs/>
                <w:color w:val="000000"/>
                <w:szCs w:val="24"/>
                <w:lang w:eastAsia="en-GB"/>
                <w14:ligatures w14:val="none"/>
              </w:rPr>
            </w:pPr>
            <w:r w:rsidRPr="00D83CE7">
              <w:rPr>
                <w:rFonts w:eastAsia="Times New Roman" w:cs="Times New Roman"/>
                <w:b/>
                <w:bCs/>
                <w:color w:val="000000"/>
                <w:szCs w:val="24"/>
                <w:lang w:eastAsia="en-GB"/>
                <w14:ligatures w14:val="none"/>
              </w:rPr>
              <w:t>Cash Flows</w:t>
            </w:r>
          </w:p>
        </w:tc>
        <w:tc>
          <w:tcPr>
            <w:tcW w:w="1290" w:type="dxa"/>
            <w:noWrap/>
            <w:vAlign w:val="bottom"/>
            <w:hideMark/>
          </w:tcPr>
          <w:p w14:paraId="5D47E7C0" w14:textId="77777777" w:rsidR="00D83CE7" w:rsidRPr="00D83CE7" w:rsidRDefault="00D83CE7" w:rsidP="00D83CE7">
            <w:pPr>
              <w:spacing w:after="0"/>
              <w:jc w:val="left"/>
              <w:rPr>
                <w:rFonts w:eastAsia="Times New Roman" w:cs="Times New Roman"/>
                <w:b/>
                <w:bCs/>
                <w:color w:val="000000"/>
                <w:szCs w:val="24"/>
                <w:lang w:eastAsia="en-GB"/>
                <w14:ligatures w14:val="none"/>
              </w:rPr>
            </w:pPr>
            <w:r w:rsidRPr="00D83CE7">
              <w:rPr>
                <w:rFonts w:eastAsia="Times New Roman" w:cs="Times New Roman"/>
                <w:b/>
                <w:bCs/>
                <w:color w:val="000000"/>
                <w:szCs w:val="24"/>
                <w:lang w:eastAsia="en-GB"/>
                <w14:ligatures w14:val="none"/>
              </w:rPr>
              <w:t>Project A: Amount (£m)</w:t>
            </w:r>
          </w:p>
        </w:tc>
        <w:tc>
          <w:tcPr>
            <w:tcW w:w="1290" w:type="dxa"/>
            <w:noWrap/>
            <w:vAlign w:val="bottom"/>
            <w:hideMark/>
          </w:tcPr>
          <w:p w14:paraId="2A92A5DD" w14:textId="77777777" w:rsidR="00D83CE7" w:rsidRPr="00D83CE7" w:rsidRDefault="00D83CE7" w:rsidP="00D83CE7">
            <w:pPr>
              <w:spacing w:after="0"/>
              <w:jc w:val="left"/>
              <w:rPr>
                <w:rFonts w:eastAsia="Times New Roman" w:cs="Times New Roman"/>
                <w:b/>
                <w:bCs/>
                <w:color w:val="000000"/>
                <w:szCs w:val="24"/>
                <w:lang w:eastAsia="en-GB"/>
                <w14:ligatures w14:val="none"/>
              </w:rPr>
            </w:pPr>
            <w:r w:rsidRPr="00D83CE7">
              <w:rPr>
                <w:rFonts w:eastAsia="Times New Roman" w:cs="Times New Roman"/>
                <w:b/>
                <w:bCs/>
                <w:color w:val="000000"/>
                <w:szCs w:val="24"/>
                <w:lang w:eastAsia="en-GB"/>
                <w14:ligatures w14:val="none"/>
              </w:rPr>
              <w:t>Project B: Amount (£m)</w:t>
            </w:r>
          </w:p>
        </w:tc>
        <w:tc>
          <w:tcPr>
            <w:tcW w:w="1290" w:type="dxa"/>
            <w:noWrap/>
            <w:vAlign w:val="bottom"/>
            <w:hideMark/>
          </w:tcPr>
          <w:p w14:paraId="56F1E574" w14:textId="77777777" w:rsidR="00D83CE7" w:rsidRPr="00D83CE7" w:rsidRDefault="00D83CE7" w:rsidP="00D83CE7">
            <w:pPr>
              <w:spacing w:after="0"/>
              <w:jc w:val="left"/>
              <w:rPr>
                <w:rFonts w:eastAsia="Times New Roman" w:cs="Times New Roman"/>
                <w:b/>
                <w:bCs/>
                <w:color w:val="000000"/>
                <w:szCs w:val="24"/>
                <w:lang w:eastAsia="en-GB"/>
                <w14:ligatures w14:val="none"/>
              </w:rPr>
            </w:pPr>
            <w:r w:rsidRPr="00D83CE7">
              <w:rPr>
                <w:rFonts w:eastAsia="Times New Roman" w:cs="Times New Roman"/>
                <w:b/>
                <w:bCs/>
                <w:color w:val="000000"/>
                <w:szCs w:val="24"/>
                <w:lang w:eastAsia="en-GB"/>
                <w14:ligatures w14:val="none"/>
              </w:rPr>
              <w:t>Project C: Amount (£m)</w:t>
            </w:r>
          </w:p>
        </w:tc>
      </w:tr>
      <w:tr w:rsidR="00D83CE7" w:rsidRPr="00D83CE7" w14:paraId="458404CD" w14:textId="77777777" w:rsidTr="00D83CE7">
        <w:trPr>
          <w:trHeight w:val="284"/>
        </w:trPr>
        <w:tc>
          <w:tcPr>
            <w:tcW w:w="2029" w:type="dxa"/>
            <w:noWrap/>
            <w:vAlign w:val="bottom"/>
            <w:hideMark/>
          </w:tcPr>
          <w:p w14:paraId="2646F25C" w14:textId="7FF9EC6F" w:rsidR="00D83CE7" w:rsidRPr="00D83CE7" w:rsidRDefault="00D83CE7" w:rsidP="00D83CE7">
            <w:pPr>
              <w:spacing w:after="0"/>
              <w:jc w:val="lef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 xml:space="preserve">Initial Investment </w:t>
            </w:r>
          </w:p>
        </w:tc>
        <w:tc>
          <w:tcPr>
            <w:tcW w:w="1290" w:type="dxa"/>
            <w:noWrap/>
            <w:vAlign w:val="bottom"/>
            <w:hideMark/>
          </w:tcPr>
          <w:p w14:paraId="0ACC6F4B" w14:textId="77777777" w:rsidR="00D83CE7" w:rsidRPr="00D83CE7" w:rsidRDefault="00D83CE7" w:rsidP="00D83CE7">
            <w:pPr>
              <w:spacing w:after="0"/>
              <w:jc w:val="righ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40</w:t>
            </w:r>
          </w:p>
        </w:tc>
        <w:tc>
          <w:tcPr>
            <w:tcW w:w="1290" w:type="dxa"/>
            <w:noWrap/>
            <w:vAlign w:val="bottom"/>
            <w:hideMark/>
          </w:tcPr>
          <w:p w14:paraId="5FD648BE" w14:textId="77777777" w:rsidR="00D83CE7" w:rsidRPr="00D83CE7" w:rsidRDefault="00D83CE7" w:rsidP="00D83CE7">
            <w:pPr>
              <w:spacing w:after="0"/>
              <w:jc w:val="righ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30</w:t>
            </w:r>
          </w:p>
        </w:tc>
        <w:tc>
          <w:tcPr>
            <w:tcW w:w="1290" w:type="dxa"/>
            <w:noWrap/>
            <w:vAlign w:val="bottom"/>
            <w:hideMark/>
          </w:tcPr>
          <w:p w14:paraId="3AB17937" w14:textId="77777777" w:rsidR="00D83CE7" w:rsidRPr="00D83CE7" w:rsidRDefault="00D83CE7" w:rsidP="00D83CE7">
            <w:pPr>
              <w:spacing w:after="0"/>
              <w:jc w:val="righ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50</w:t>
            </w:r>
          </w:p>
        </w:tc>
      </w:tr>
      <w:tr w:rsidR="00D83CE7" w:rsidRPr="00D83CE7" w14:paraId="5493C815" w14:textId="77777777" w:rsidTr="00D83CE7">
        <w:trPr>
          <w:trHeight w:val="284"/>
        </w:trPr>
        <w:tc>
          <w:tcPr>
            <w:tcW w:w="2029" w:type="dxa"/>
            <w:noWrap/>
            <w:vAlign w:val="bottom"/>
            <w:hideMark/>
          </w:tcPr>
          <w:p w14:paraId="74B913CC" w14:textId="77777777" w:rsidR="00D83CE7" w:rsidRPr="00D83CE7" w:rsidRDefault="00D83CE7" w:rsidP="00D83CE7">
            <w:pPr>
              <w:spacing w:after="0"/>
              <w:jc w:val="lef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lastRenderedPageBreak/>
              <w:t>Year: 01</w:t>
            </w:r>
          </w:p>
        </w:tc>
        <w:tc>
          <w:tcPr>
            <w:tcW w:w="1290" w:type="dxa"/>
            <w:noWrap/>
            <w:vAlign w:val="bottom"/>
            <w:hideMark/>
          </w:tcPr>
          <w:p w14:paraId="7B396574" w14:textId="77777777" w:rsidR="00D83CE7" w:rsidRPr="00D83CE7" w:rsidRDefault="00D83CE7" w:rsidP="00D83CE7">
            <w:pPr>
              <w:spacing w:after="0"/>
              <w:jc w:val="righ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10</w:t>
            </w:r>
          </w:p>
        </w:tc>
        <w:tc>
          <w:tcPr>
            <w:tcW w:w="1290" w:type="dxa"/>
            <w:noWrap/>
            <w:vAlign w:val="bottom"/>
            <w:hideMark/>
          </w:tcPr>
          <w:p w14:paraId="63F60627" w14:textId="77777777" w:rsidR="00D83CE7" w:rsidRPr="00D83CE7" w:rsidRDefault="00D83CE7" w:rsidP="00D83CE7">
            <w:pPr>
              <w:spacing w:after="0"/>
              <w:jc w:val="righ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6</w:t>
            </w:r>
          </w:p>
        </w:tc>
        <w:tc>
          <w:tcPr>
            <w:tcW w:w="1290" w:type="dxa"/>
            <w:noWrap/>
            <w:vAlign w:val="bottom"/>
            <w:hideMark/>
          </w:tcPr>
          <w:p w14:paraId="7056FF79" w14:textId="77777777" w:rsidR="00D83CE7" w:rsidRPr="00D83CE7" w:rsidRDefault="00D83CE7" w:rsidP="00D83CE7">
            <w:pPr>
              <w:spacing w:after="0"/>
              <w:jc w:val="righ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5</w:t>
            </w:r>
          </w:p>
        </w:tc>
      </w:tr>
      <w:tr w:rsidR="00D83CE7" w:rsidRPr="00D83CE7" w14:paraId="2EA7780D" w14:textId="77777777" w:rsidTr="00D83CE7">
        <w:trPr>
          <w:trHeight w:val="284"/>
        </w:trPr>
        <w:tc>
          <w:tcPr>
            <w:tcW w:w="2029" w:type="dxa"/>
            <w:noWrap/>
            <w:vAlign w:val="bottom"/>
            <w:hideMark/>
          </w:tcPr>
          <w:p w14:paraId="446FA2AC" w14:textId="77777777" w:rsidR="00D83CE7" w:rsidRPr="00D83CE7" w:rsidRDefault="00D83CE7" w:rsidP="00D83CE7">
            <w:pPr>
              <w:spacing w:after="0"/>
              <w:jc w:val="lef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Year: 02</w:t>
            </w:r>
          </w:p>
        </w:tc>
        <w:tc>
          <w:tcPr>
            <w:tcW w:w="1290" w:type="dxa"/>
            <w:noWrap/>
            <w:vAlign w:val="bottom"/>
            <w:hideMark/>
          </w:tcPr>
          <w:p w14:paraId="09C0808C" w14:textId="77777777" w:rsidR="00D83CE7" w:rsidRPr="00D83CE7" w:rsidRDefault="00D83CE7" w:rsidP="00D83CE7">
            <w:pPr>
              <w:spacing w:after="0"/>
              <w:jc w:val="righ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12</w:t>
            </w:r>
          </w:p>
        </w:tc>
        <w:tc>
          <w:tcPr>
            <w:tcW w:w="1290" w:type="dxa"/>
            <w:noWrap/>
            <w:vAlign w:val="bottom"/>
            <w:hideMark/>
          </w:tcPr>
          <w:p w14:paraId="39102917" w14:textId="77777777" w:rsidR="00D83CE7" w:rsidRPr="00D83CE7" w:rsidRDefault="00D83CE7" w:rsidP="00D83CE7">
            <w:pPr>
              <w:spacing w:after="0"/>
              <w:jc w:val="righ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6</w:t>
            </w:r>
          </w:p>
        </w:tc>
        <w:tc>
          <w:tcPr>
            <w:tcW w:w="1290" w:type="dxa"/>
            <w:noWrap/>
            <w:vAlign w:val="bottom"/>
            <w:hideMark/>
          </w:tcPr>
          <w:p w14:paraId="3C0533F8" w14:textId="77777777" w:rsidR="00D83CE7" w:rsidRPr="00D83CE7" w:rsidRDefault="00D83CE7" w:rsidP="00D83CE7">
            <w:pPr>
              <w:spacing w:after="0"/>
              <w:jc w:val="righ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10</w:t>
            </w:r>
          </w:p>
        </w:tc>
      </w:tr>
      <w:tr w:rsidR="00D83CE7" w:rsidRPr="00D83CE7" w14:paraId="71473BD7" w14:textId="77777777" w:rsidTr="00D83CE7">
        <w:trPr>
          <w:trHeight w:val="284"/>
        </w:trPr>
        <w:tc>
          <w:tcPr>
            <w:tcW w:w="2029" w:type="dxa"/>
            <w:noWrap/>
            <w:vAlign w:val="bottom"/>
            <w:hideMark/>
          </w:tcPr>
          <w:p w14:paraId="69B56515" w14:textId="77777777" w:rsidR="00D83CE7" w:rsidRPr="00D83CE7" w:rsidRDefault="00D83CE7" w:rsidP="00D83CE7">
            <w:pPr>
              <w:spacing w:after="0"/>
              <w:jc w:val="lef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Year: 03</w:t>
            </w:r>
          </w:p>
        </w:tc>
        <w:tc>
          <w:tcPr>
            <w:tcW w:w="1290" w:type="dxa"/>
            <w:noWrap/>
            <w:vAlign w:val="bottom"/>
            <w:hideMark/>
          </w:tcPr>
          <w:p w14:paraId="6EF3D914" w14:textId="77777777" w:rsidR="00D83CE7" w:rsidRPr="00D83CE7" w:rsidRDefault="00D83CE7" w:rsidP="00D83CE7">
            <w:pPr>
              <w:spacing w:after="0"/>
              <w:jc w:val="righ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14</w:t>
            </w:r>
          </w:p>
        </w:tc>
        <w:tc>
          <w:tcPr>
            <w:tcW w:w="1290" w:type="dxa"/>
            <w:noWrap/>
            <w:vAlign w:val="bottom"/>
            <w:hideMark/>
          </w:tcPr>
          <w:p w14:paraId="1BDBB72C" w14:textId="77777777" w:rsidR="00D83CE7" w:rsidRPr="00D83CE7" w:rsidRDefault="00D83CE7" w:rsidP="00D83CE7">
            <w:pPr>
              <w:spacing w:after="0"/>
              <w:jc w:val="righ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6</w:t>
            </w:r>
          </w:p>
        </w:tc>
        <w:tc>
          <w:tcPr>
            <w:tcW w:w="1290" w:type="dxa"/>
            <w:noWrap/>
            <w:vAlign w:val="bottom"/>
            <w:hideMark/>
          </w:tcPr>
          <w:p w14:paraId="570EE3D5" w14:textId="77777777" w:rsidR="00D83CE7" w:rsidRPr="00D83CE7" w:rsidRDefault="00D83CE7" w:rsidP="00D83CE7">
            <w:pPr>
              <w:spacing w:after="0"/>
              <w:jc w:val="righ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20</w:t>
            </w:r>
          </w:p>
        </w:tc>
      </w:tr>
      <w:tr w:rsidR="00D83CE7" w:rsidRPr="00D83CE7" w14:paraId="4BE4D685" w14:textId="77777777" w:rsidTr="00D83CE7">
        <w:trPr>
          <w:trHeight w:val="284"/>
        </w:trPr>
        <w:tc>
          <w:tcPr>
            <w:tcW w:w="2029" w:type="dxa"/>
            <w:noWrap/>
            <w:vAlign w:val="bottom"/>
            <w:hideMark/>
          </w:tcPr>
          <w:p w14:paraId="54CFA2A9" w14:textId="77777777" w:rsidR="00D83CE7" w:rsidRPr="00D83CE7" w:rsidRDefault="00D83CE7" w:rsidP="00D83CE7">
            <w:pPr>
              <w:spacing w:after="0"/>
              <w:jc w:val="lef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Year: 04</w:t>
            </w:r>
          </w:p>
        </w:tc>
        <w:tc>
          <w:tcPr>
            <w:tcW w:w="1290" w:type="dxa"/>
            <w:noWrap/>
            <w:vAlign w:val="bottom"/>
            <w:hideMark/>
          </w:tcPr>
          <w:p w14:paraId="3CA01B77" w14:textId="77777777" w:rsidR="00D83CE7" w:rsidRPr="00D83CE7" w:rsidRDefault="00D83CE7" w:rsidP="00D83CE7">
            <w:pPr>
              <w:spacing w:after="0"/>
              <w:jc w:val="righ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10</w:t>
            </w:r>
          </w:p>
        </w:tc>
        <w:tc>
          <w:tcPr>
            <w:tcW w:w="1290" w:type="dxa"/>
            <w:noWrap/>
            <w:vAlign w:val="bottom"/>
            <w:hideMark/>
          </w:tcPr>
          <w:p w14:paraId="654A778C" w14:textId="77777777" w:rsidR="00D83CE7" w:rsidRPr="00D83CE7" w:rsidRDefault="00D83CE7" w:rsidP="00D83CE7">
            <w:pPr>
              <w:spacing w:after="0"/>
              <w:jc w:val="righ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6</w:t>
            </w:r>
          </w:p>
        </w:tc>
        <w:tc>
          <w:tcPr>
            <w:tcW w:w="1290" w:type="dxa"/>
            <w:noWrap/>
            <w:vAlign w:val="bottom"/>
            <w:hideMark/>
          </w:tcPr>
          <w:p w14:paraId="74D93576" w14:textId="77777777" w:rsidR="00D83CE7" w:rsidRPr="00D83CE7" w:rsidRDefault="00D83CE7" w:rsidP="00D83CE7">
            <w:pPr>
              <w:spacing w:after="0"/>
              <w:jc w:val="righ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25</w:t>
            </w:r>
          </w:p>
        </w:tc>
      </w:tr>
      <w:tr w:rsidR="00D83CE7" w:rsidRPr="00D83CE7" w14:paraId="1BE1FD50" w14:textId="77777777" w:rsidTr="00D83CE7">
        <w:trPr>
          <w:trHeight w:val="284"/>
        </w:trPr>
        <w:tc>
          <w:tcPr>
            <w:tcW w:w="2029" w:type="dxa"/>
            <w:noWrap/>
            <w:vAlign w:val="bottom"/>
            <w:hideMark/>
          </w:tcPr>
          <w:p w14:paraId="25068076" w14:textId="77777777" w:rsidR="00D83CE7" w:rsidRPr="00D83CE7" w:rsidRDefault="00D83CE7" w:rsidP="00D83CE7">
            <w:pPr>
              <w:spacing w:after="0"/>
              <w:jc w:val="lef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Year: 05</w:t>
            </w:r>
          </w:p>
        </w:tc>
        <w:tc>
          <w:tcPr>
            <w:tcW w:w="1290" w:type="dxa"/>
            <w:noWrap/>
            <w:vAlign w:val="bottom"/>
            <w:hideMark/>
          </w:tcPr>
          <w:p w14:paraId="057B0809" w14:textId="77777777" w:rsidR="00D83CE7" w:rsidRPr="00D83CE7" w:rsidRDefault="00D83CE7" w:rsidP="00D83CE7">
            <w:pPr>
              <w:spacing w:after="0"/>
              <w:jc w:val="righ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8</w:t>
            </w:r>
          </w:p>
        </w:tc>
        <w:tc>
          <w:tcPr>
            <w:tcW w:w="1290" w:type="dxa"/>
            <w:noWrap/>
            <w:vAlign w:val="bottom"/>
            <w:hideMark/>
          </w:tcPr>
          <w:p w14:paraId="5BEFFA97" w14:textId="77777777" w:rsidR="00D83CE7" w:rsidRPr="00D83CE7" w:rsidRDefault="00D83CE7" w:rsidP="00D83CE7">
            <w:pPr>
              <w:spacing w:after="0"/>
              <w:jc w:val="righ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6</w:t>
            </w:r>
          </w:p>
        </w:tc>
        <w:tc>
          <w:tcPr>
            <w:tcW w:w="1290" w:type="dxa"/>
            <w:noWrap/>
            <w:vAlign w:val="bottom"/>
            <w:hideMark/>
          </w:tcPr>
          <w:p w14:paraId="206D4AF9" w14:textId="77777777" w:rsidR="00D83CE7" w:rsidRPr="00D83CE7" w:rsidRDefault="00D83CE7" w:rsidP="00D83CE7">
            <w:pPr>
              <w:spacing w:after="0"/>
              <w:jc w:val="righ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15</w:t>
            </w:r>
          </w:p>
        </w:tc>
      </w:tr>
      <w:tr w:rsidR="00D83CE7" w:rsidRPr="00D83CE7" w14:paraId="466CE213" w14:textId="77777777" w:rsidTr="00D83CE7">
        <w:trPr>
          <w:trHeight w:val="284"/>
        </w:trPr>
        <w:tc>
          <w:tcPr>
            <w:tcW w:w="2029" w:type="dxa"/>
            <w:noWrap/>
            <w:vAlign w:val="bottom"/>
            <w:hideMark/>
          </w:tcPr>
          <w:p w14:paraId="47BFAB25" w14:textId="77777777" w:rsidR="00D83CE7" w:rsidRPr="00D83CE7" w:rsidRDefault="00D83CE7" w:rsidP="00D83CE7">
            <w:pPr>
              <w:spacing w:after="0"/>
              <w:jc w:val="left"/>
              <w:rPr>
                <w:rFonts w:eastAsia="Times New Roman" w:cs="Times New Roman"/>
                <w:b/>
                <w:bCs/>
                <w:color w:val="000000"/>
                <w:szCs w:val="24"/>
                <w:lang w:eastAsia="en-GB"/>
                <w14:ligatures w14:val="none"/>
              </w:rPr>
            </w:pPr>
            <w:r w:rsidRPr="00D83CE7">
              <w:rPr>
                <w:rFonts w:eastAsia="Times New Roman" w:cs="Times New Roman"/>
                <w:b/>
                <w:bCs/>
                <w:color w:val="000000"/>
                <w:szCs w:val="24"/>
                <w:lang w:eastAsia="en-GB"/>
                <w14:ligatures w14:val="none"/>
              </w:rPr>
              <w:t>NPV</w:t>
            </w:r>
          </w:p>
        </w:tc>
        <w:tc>
          <w:tcPr>
            <w:tcW w:w="1290" w:type="dxa"/>
            <w:noWrap/>
            <w:vAlign w:val="bottom"/>
            <w:hideMark/>
          </w:tcPr>
          <w:p w14:paraId="1F15966A" w14:textId="77777777" w:rsidR="00D83CE7" w:rsidRPr="00D83CE7" w:rsidRDefault="00D83CE7" w:rsidP="00D83CE7">
            <w:pPr>
              <w:spacing w:after="0"/>
              <w:jc w:val="right"/>
              <w:rPr>
                <w:rFonts w:eastAsia="Times New Roman" w:cs="Times New Roman"/>
                <w:b/>
                <w:bCs/>
                <w:color w:val="000000"/>
                <w:szCs w:val="24"/>
                <w:lang w:eastAsia="en-GB"/>
                <w14:ligatures w14:val="none"/>
              </w:rPr>
            </w:pPr>
            <w:r w:rsidRPr="00D83CE7">
              <w:rPr>
                <w:rFonts w:eastAsia="Times New Roman" w:cs="Times New Roman"/>
                <w:b/>
                <w:bCs/>
                <w:color w:val="000000"/>
                <w:szCs w:val="24"/>
                <w:lang w:eastAsia="en-GB"/>
                <w14:ligatures w14:val="none"/>
              </w:rPr>
              <w:t>1.32</w:t>
            </w:r>
          </w:p>
        </w:tc>
        <w:tc>
          <w:tcPr>
            <w:tcW w:w="1290" w:type="dxa"/>
            <w:noWrap/>
            <w:vAlign w:val="bottom"/>
            <w:hideMark/>
          </w:tcPr>
          <w:p w14:paraId="1A383089" w14:textId="77777777" w:rsidR="00D83CE7" w:rsidRPr="00D83CE7" w:rsidRDefault="00D83CE7" w:rsidP="00D83CE7">
            <w:pPr>
              <w:spacing w:after="0"/>
              <w:jc w:val="right"/>
              <w:rPr>
                <w:rFonts w:eastAsia="Times New Roman" w:cs="Times New Roman"/>
                <w:b/>
                <w:bCs/>
                <w:color w:val="000000"/>
                <w:szCs w:val="24"/>
                <w:lang w:eastAsia="en-GB"/>
                <w14:ligatures w14:val="none"/>
              </w:rPr>
            </w:pPr>
            <w:r w:rsidRPr="00D83CE7">
              <w:rPr>
                <w:rFonts w:eastAsia="Times New Roman" w:cs="Times New Roman"/>
                <w:b/>
                <w:bCs/>
                <w:color w:val="000000"/>
                <w:szCs w:val="24"/>
                <w:lang w:eastAsia="en-GB"/>
                <w14:ligatures w14:val="none"/>
              </w:rPr>
              <w:t>-7.26</w:t>
            </w:r>
          </w:p>
        </w:tc>
        <w:tc>
          <w:tcPr>
            <w:tcW w:w="1290" w:type="dxa"/>
            <w:noWrap/>
            <w:vAlign w:val="bottom"/>
            <w:hideMark/>
          </w:tcPr>
          <w:p w14:paraId="78AAAAF1" w14:textId="77777777" w:rsidR="00D83CE7" w:rsidRPr="00D83CE7" w:rsidRDefault="00D83CE7" w:rsidP="00D83CE7">
            <w:pPr>
              <w:spacing w:after="0"/>
              <w:jc w:val="right"/>
              <w:rPr>
                <w:rFonts w:eastAsia="Times New Roman" w:cs="Times New Roman"/>
                <w:b/>
                <w:bCs/>
                <w:color w:val="000000"/>
                <w:szCs w:val="24"/>
                <w:lang w:eastAsia="en-GB"/>
                <w14:ligatures w14:val="none"/>
              </w:rPr>
            </w:pPr>
            <w:r w:rsidRPr="00D83CE7">
              <w:rPr>
                <w:rFonts w:eastAsia="Times New Roman" w:cs="Times New Roman"/>
                <w:b/>
                <w:bCs/>
                <w:color w:val="000000"/>
                <w:szCs w:val="24"/>
                <w:lang w:eastAsia="en-GB"/>
                <w14:ligatures w14:val="none"/>
              </w:rPr>
              <w:t>4.23</w:t>
            </w:r>
          </w:p>
        </w:tc>
      </w:tr>
    </w:tbl>
    <w:p w14:paraId="7517506C" w14:textId="77CAFA45" w:rsidR="00D83CE7" w:rsidRPr="006507B2" w:rsidRDefault="006507B2" w:rsidP="00D83CE7">
      <w:pPr>
        <w:rPr>
          <w:b/>
        </w:rPr>
      </w:pPr>
      <w:r w:rsidRPr="006507B2">
        <w:rPr>
          <w:b/>
        </w:rPr>
        <w:t xml:space="preserve">Table </w:t>
      </w:r>
      <w:r>
        <w:rPr>
          <w:b/>
        </w:rPr>
        <w:t>8</w:t>
      </w:r>
      <w:r w:rsidRPr="006507B2">
        <w:rPr>
          <w:b/>
        </w:rPr>
        <w:t xml:space="preserve">: </w:t>
      </w:r>
      <w:r>
        <w:rPr>
          <w:b/>
        </w:rPr>
        <w:t>NPV</w:t>
      </w:r>
      <w:r w:rsidRPr="006507B2">
        <w:rPr>
          <w:b/>
        </w:rPr>
        <w:t xml:space="preserve"> (Source: Self-created)</w:t>
      </w:r>
    </w:p>
    <w:p w14:paraId="3451FCA3" w14:textId="1AB07BD2" w:rsidR="001444AA" w:rsidRDefault="001444AA" w:rsidP="001444AA">
      <w:pPr>
        <w:pStyle w:val="Heading2"/>
      </w:pPr>
      <w:bookmarkStart w:id="49" w:name="_Toc216948164"/>
      <w:r>
        <w:t xml:space="preserve">Appendix </w:t>
      </w:r>
      <w:r w:rsidR="00515241">
        <w:t>9</w:t>
      </w:r>
      <w:r>
        <w:t>: PI</w:t>
      </w:r>
      <w:bookmarkEnd w:id="49"/>
      <w:r>
        <w:t xml:space="preserve"> </w:t>
      </w:r>
    </w:p>
    <w:tbl>
      <w:tblPr>
        <w:tblW w:w="916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63"/>
        <w:gridCol w:w="2500"/>
        <w:gridCol w:w="2500"/>
        <w:gridCol w:w="2500"/>
      </w:tblGrid>
      <w:tr w:rsidR="00D83CE7" w:rsidRPr="00D83CE7" w14:paraId="4BAE5B91" w14:textId="77777777" w:rsidTr="00D83CE7">
        <w:trPr>
          <w:trHeight w:val="315"/>
        </w:trPr>
        <w:tc>
          <w:tcPr>
            <w:tcW w:w="1663" w:type="dxa"/>
            <w:noWrap/>
            <w:vAlign w:val="bottom"/>
            <w:hideMark/>
          </w:tcPr>
          <w:p w14:paraId="087E7BD0" w14:textId="77777777" w:rsidR="00D83CE7" w:rsidRPr="00D83CE7" w:rsidRDefault="00D83CE7" w:rsidP="00D83CE7">
            <w:pPr>
              <w:spacing w:after="0"/>
              <w:jc w:val="left"/>
              <w:rPr>
                <w:rFonts w:eastAsia="Times New Roman" w:cs="Times New Roman"/>
                <w:b/>
                <w:bCs/>
                <w:color w:val="000000"/>
                <w:szCs w:val="24"/>
                <w:lang w:eastAsia="en-GB"/>
                <w14:ligatures w14:val="none"/>
              </w:rPr>
            </w:pPr>
            <w:r w:rsidRPr="00D83CE7">
              <w:rPr>
                <w:rFonts w:eastAsia="Times New Roman" w:cs="Times New Roman"/>
                <w:b/>
                <w:bCs/>
                <w:color w:val="000000"/>
                <w:szCs w:val="24"/>
                <w:lang w:eastAsia="en-GB"/>
                <w14:ligatures w14:val="none"/>
              </w:rPr>
              <w:t>Cash Flows</w:t>
            </w:r>
          </w:p>
        </w:tc>
        <w:tc>
          <w:tcPr>
            <w:tcW w:w="2500" w:type="dxa"/>
            <w:noWrap/>
            <w:vAlign w:val="bottom"/>
            <w:hideMark/>
          </w:tcPr>
          <w:p w14:paraId="77609D78" w14:textId="77777777" w:rsidR="00D83CE7" w:rsidRPr="00D83CE7" w:rsidRDefault="00D83CE7" w:rsidP="00D83CE7">
            <w:pPr>
              <w:spacing w:after="0"/>
              <w:jc w:val="left"/>
              <w:rPr>
                <w:rFonts w:eastAsia="Times New Roman" w:cs="Times New Roman"/>
                <w:b/>
                <w:bCs/>
                <w:color w:val="000000"/>
                <w:szCs w:val="24"/>
                <w:lang w:eastAsia="en-GB"/>
                <w14:ligatures w14:val="none"/>
              </w:rPr>
            </w:pPr>
            <w:r w:rsidRPr="00D83CE7">
              <w:rPr>
                <w:rFonts w:eastAsia="Times New Roman" w:cs="Times New Roman"/>
                <w:b/>
                <w:bCs/>
                <w:color w:val="000000"/>
                <w:szCs w:val="24"/>
                <w:lang w:eastAsia="en-GB"/>
                <w14:ligatures w14:val="none"/>
              </w:rPr>
              <w:t>Project A: Amount (£m)</w:t>
            </w:r>
          </w:p>
        </w:tc>
        <w:tc>
          <w:tcPr>
            <w:tcW w:w="2500" w:type="dxa"/>
            <w:noWrap/>
            <w:vAlign w:val="bottom"/>
            <w:hideMark/>
          </w:tcPr>
          <w:p w14:paraId="50860CAA" w14:textId="77777777" w:rsidR="00D83CE7" w:rsidRPr="00D83CE7" w:rsidRDefault="00D83CE7" w:rsidP="00D83CE7">
            <w:pPr>
              <w:spacing w:after="0"/>
              <w:jc w:val="left"/>
              <w:rPr>
                <w:rFonts w:eastAsia="Times New Roman" w:cs="Times New Roman"/>
                <w:b/>
                <w:bCs/>
                <w:color w:val="000000"/>
                <w:szCs w:val="24"/>
                <w:lang w:eastAsia="en-GB"/>
                <w14:ligatures w14:val="none"/>
              </w:rPr>
            </w:pPr>
            <w:r w:rsidRPr="00D83CE7">
              <w:rPr>
                <w:rFonts w:eastAsia="Times New Roman" w:cs="Times New Roman"/>
                <w:b/>
                <w:bCs/>
                <w:color w:val="000000"/>
                <w:szCs w:val="24"/>
                <w:lang w:eastAsia="en-GB"/>
                <w14:ligatures w14:val="none"/>
              </w:rPr>
              <w:t>Project B: Amount (£m)</w:t>
            </w:r>
          </w:p>
        </w:tc>
        <w:tc>
          <w:tcPr>
            <w:tcW w:w="2500" w:type="dxa"/>
            <w:noWrap/>
            <w:vAlign w:val="bottom"/>
            <w:hideMark/>
          </w:tcPr>
          <w:p w14:paraId="41A0AA34" w14:textId="77777777" w:rsidR="00D83CE7" w:rsidRPr="00D83CE7" w:rsidRDefault="00D83CE7" w:rsidP="00D83CE7">
            <w:pPr>
              <w:spacing w:after="0"/>
              <w:jc w:val="left"/>
              <w:rPr>
                <w:rFonts w:eastAsia="Times New Roman" w:cs="Times New Roman"/>
                <w:b/>
                <w:bCs/>
                <w:color w:val="000000"/>
                <w:szCs w:val="24"/>
                <w:lang w:eastAsia="en-GB"/>
                <w14:ligatures w14:val="none"/>
              </w:rPr>
            </w:pPr>
            <w:r w:rsidRPr="00D83CE7">
              <w:rPr>
                <w:rFonts w:eastAsia="Times New Roman" w:cs="Times New Roman"/>
                <w:b/>
                <w:bCs/>
                <w:color w:val="000000"/>
                <w:szCs w:val="24"/>
                <w:lang w:eastAsia="en-GB"/>
                <w14:ligatures w14:val="none"/>
              </w:rPr>
              <w:t>Project C: Amount (£m)</w:t>
            </w:r>
          </w:p>
        </w:tc>
      </w:tr>
      <w:tr w:rsidR="00D83CE7" w:rsidRPr="00D83CE7" w14:paraId="2BD77311" w14:textId="77777777" w:rsidTr="00D83CE7">
        <w:trPr>
          <w:trHeight w:val="315"/>
        </w:trPr>
        <w:tc>
          <w:tcPr>
            <w:tcW w:w="1663" w:type="dxa"/>
            <w:noWrap/>
            <w:vAlign w:val="bottom"/>
            <w:hideMark/>
          </w:tcPr>
          <w:p w14:paraId="7AFB98DF" w14:textId="26C7E4E7" w:rsidR="00D83CE7" w:rsidRPr="00D83CE7" w:rsidRDefault="00D83CE7" w:rsidP="00D83CE7">
            <w:pPr>
              <w:spacing w:after="0"/>
              <w:jc w:val="lef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 xml:space="preserve">Initial Investment </w:t>
            </w:r>
          </w:p>
        </w:tc>
        <w:tc>
          <w:tcPr>
            <w:tcW w:w="2500" w:type="dxa"/>
            <w:noWrap/>
            <w:vAlign w:val="bottom"/>
            <w:hideMark/>
          </w:tcPr>
          <w:p w14:paraId="2124A2FE" w14:textId="77777777" w:rsidR="00D83CE7" w:rsidRPr="00D83CE7" w:rsidRDefault="00D83CE7" w:rsidP="00D83CE7">
            <w:pPr>
              <w:spacing w:after="0"/>
              <w:jc w:val="righ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40</w:t>
            </w:r>
          </w:p>
        </w:tc>
        <w:tc>
          <w:tcPr>
            <w:tcW w:w="2500" w:type="dxa"/>
            <w:noWrap/>
            <w:vAlign w:val="bottom"/>
            <w:hideMark/>
          </w:tcPr>
          <w:p w14:paraId="158DA70B" w14:textId="77777777" w:rsidR="00D83CE7" w:rsidRPr="00D83CE7" w:rsidRDefault="00D83CE7" w:rsidP="00D83CE7">
            <w:pPr>
              <w:spacing w:after="0"/>
              <w:jc w:val="righ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30</w:t>
            </w:r>
          </w:p>
        </w:tc>
        <w:tc>
          <w:tcPr>
            <w:tcW w:w="2500" w:type="dxa"/>
            <w:noWrap/>
            <w:vAlign w:val="bottom"/>
            <w:hideMark/>
          </w:tcPr>
          <w:p w14:paraId="764E1062" w14:textId="77777777" w:rsidR="00D83CE7" w:rsidRPr="00D83CE7" w:rsidRDefault="00D83CE7" w:rsidP="00D83CE7">
            <w:pPr>
              <w:spacing w:after="0"/>
              <w:jc w:val="righ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50</w:t>
            </w:r>
          </w:p>
        </w:tc>
      </w:tr>
      <w:tr w:rsidR="00D83CE7" w:rsidRPr="00D83CE7" w14:paraId="54750374" w14:textId="77777777" w:rsidTr="00D83CE7">
        <w:trPr>
          <w:trHeight w:val="315"/>
        </w:trPr>
        <w:tc>
          <w:tcPr>
            <w:tcW w:w="1663" w:type="dxa"/>
            <w:noWrap/>
            <w:vAlign w:val="bottom"/>
            <w:hideMark/>
          </w:tcPr>
          <w:p w14:paraId="03662992" w14:textId="77777777" w:rsidR="00D83CE7" w:rsidRPr="00D83CE7" w:rsidRDefault="00D83CE7" w:rsidP="00D83CE7">
            <w:pPr>
              <w:spacing w:after="0"/>
              <w:jc w:val="lef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Year: 01</w:t>
            </w:r>
          </w:p>
        </w:tc>
        <w:tc>
          <w:tcPr>
            <w:tcW w:w="2500" w:type="dxa"/>
            <w:noWrap/>
            <w:vAlign w:val="bottom"/>
            <w:hideMark/>
          </w:tcPr>
          <w:p w14:paraId="01558A14" w14:textId="77777777" w:rsidR="00D83CE7" w:rsidRPr="00D83CE7" w:rsidRDefault="00D83CE7" w:rsidP="00D83CE7">
            <w:pPr>
              <w:spacing w:after="0"/>
              <w:jc w:val="righ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10</w:t>
            </w:r>
          </w:p>
        </w:tc>
        <w:tc>
          <w:tcPr>
            <w:tcW w:w="2500" w:type="dxa"/>
            <w:noWrap/>
            <w:vAlign w:val="bottom"/>
            <w:hideMark/>
          </w:tcPr>
          <w:p w14:paraId="499ED20B" w14:textId="77777777" w:rsidR="00D83CE7" w:rsidRPr="00D83CE7" w:rsidRDefault="00D83CE7" w:rsidP="00D83CE7">
            <w:pPr>
              <w:spacing w:after="0"/>
              <w:jc w:val="righ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6</w:t>
            </w:r>
          </w:p>
        </w:tc>
        <w:tc>
          <w:tcPr>
            <w:tcW w:w="2500" w:type="dxa"/>
            <w:noWrap/>
            <w:vAlign w:val="bottom"/>
            <w:hideMark/>
          </w:tcPr>
          <w:p w14:paraId="6CECD35A" w14:textId="77777777" w:rsidR="00D83CE7" w:rsidRPr="00D83CE7" w:rsidRDefault="00D83CE7" w:rsidP="00D83CE7">
            <w:pPr>
              <w:spacing w:after="0"/>
              <w:jc w:val="righ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5</w:t>
            </w:r>
          </w:p>
        </w:tc>
      </w:tr>
      <w:tr w:rsidR="00D83CE7" w:rsidRPr="00D83CE7" w14:paraId="78C99D2E" w14:textId="77777777" w:rsidTr="00D83CE7">
        <w:trPr>
          <w:trHeight w:val="315"/>
        </w:trPr>
        <w:tc>
          <w:tcPr>
            <w:tcW w:w="1663" w:type="dxa"/>
            <w:noWrap/>
            <w:vAlign w:val="bottom"/>
            <w:hideMark/>
          </w:tcPr>
          <w:p w14:paraId="28125860" w14:textId="77777777" w:rsidR="00D83CE7" w:rsidRPr="00D83CE7" w:rsidRDefault="00D83CE7" w:rsidP="00D83CE7">
            <w:pPr>
              <w:spacing w:after="0"/>
              <w:jc w:val="lef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Year: 02</w:t>
            </w:r>
          </w:p>
        </w:tc>
        <w:tc>
          <w:tcPr>
            <w:tcW w:w="2500" w:type="dxa"/>
            <w:noWrap/>
            <w:vAlign w:val="bottom"/>
            <w:hideMark/>
          </w:tcPr>
          <w:p w14:paraId="62D52F8B" w14:textId="77777777" w:rsidR="00D83CE7" w:rsidRPr="00D83CE7" w:rsidRDefault="00D83CE7" w:rsidP="00D83CE7">
            <w:pPr>
              <w:spacing w:after="0"/>
              <w:jc w:val="righ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12</w:t>
            </w:r>
          </w:p>
        </w:tc>
        <w:tc>
          <w:tcPr>
            <w:tcW w:w="2500" w:type="dxa"/>
            <w:noWrap/>
            <w:vAlign w:val="bottom"/>
            <w:hideMark/>
          </w:tcPr>
          <w:p w14:paraId="278DCB14" w14:textId="77777777" w:rsidR="00D83CE7" w:rsidRPr="00D83CE7" w:rsidRDefault="00D83CE7" w:rsidP="00D83CE7">
            <w:pPr>
              <w:spacing w:after="0"/>
              <w:jc w:val="righ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6</w:t>
            </w:r>
          </w:p>
        </w:tc>
        <w:tc>
          <w:tcPr>
            <w:tcW w:w="2500" w:type="dxa"/>
            <w:noWrap/>
            <w:vAlign w:val="bottom"/>
            <w:hideMark/>
          </w:tcPr>
          <w:p w14:paraId="05B4811B" w14:textId="77777777" w:rsidR="00D83CE7" w:rsidRPr="00D83CE7" w:rsidRDefault="00D83CE7" w:rsidP="00D83CE7">
            <w:pPr>
              <w:spacing w:after="0"/>
              <w:jc w:val="righ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10</w:t>
            </w:r>
          </w:p>
        </w:tc>
      </w:tr>
      <w:tr w:rsidR="00D83CE7" w:rsidRPr="00D83CE7" w14:paraId="6CC903DE" w14:textId="77777777" w:rsidTr="00D83CE7">
        <w:trPr>
          <w:trHeight w:val="315"/>
        </w:trPr>
        <w:tc>
          <w:tcPr>
            <w:tcW w:w="1663" w:type="dxa"/>
            <w:noWrap/>
            <w:vAlign w:val="bottom"/>
            <w:hideMark/>
          </w:tcPr>
          <w:p w14:paraId="699FECA3" w14:textId="77777777" w:rsidR="00D83CE7" w:rsidRPr="00D83CE7" w:rsidRDefault="00D83CE7" w:rsidP="00D83CE7">
            <w:pPr>
              <w:spacing w:after="0"/>
              <w:jc w:val="lef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Year: 03</w:t>
            </w:r>
          </w:p>
        </w:tc>
        <w:tc>
          <w:tcPr>
            <w:tcW w:w="2500" w:type="dxa"/>
            <w:noWrap/>
            <w:vAlign w:val="bottom"/>
            <w:hideMark/>
          </w:tcPr>
          <w:p w14:paraId="37461E07" w14:textId="77777777" w:rsidR="00D83CE7" w:rsidRPr="00D83CE7" w:rsidRDefault="00D83CE7" w:rsidP="00D83CE7">
            <w:pPr>
              <w:spacing w:after="0"/>
              <w:jc w:val="righ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14</w:t>
            </w:r>
          </w:p>
        </w:tc>
        <w:tc>
          <w:tcPr>
            <w:tcW w:w="2500" w:type="dxa"/>
            <w:noWrap/>
            <w:vAlign w:val="bottom"/>
            <w:hideMark/>
          </w:tcPr>
          <w:p w14:paraId="17FAD334" w14:textId="77777777" w:rsidR="00D83CE7" w:rsidRPr="00D83CE7" w:rsidRDefault="00D83CE7" w:rsidP="00D83CE7">
            <w:pPr>
              <w:spacing w:after="0"/>
              <w:jc w:val="righ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6</w:t>
            </w:r>
          </w:p>
        </w:tc>
        <w:tc>
          <w:tcPr>
            <w:tcW w:w="2500" w:type="dxa"/>
            <w:noWrap/>
            <w:vAlign w:val="bottom"/>
            <w:hideMark/>
          </w:tcPr>
          <w:p w14:paraId="0C853182" w14:textId="77777777" w:rsidR="00D83CE7" w:rsidRPr="00D83CE7" w:rsidRDefault="00D83CE7" w:rsidP="00D83CE7">
            <w:pPr>
              <w:spacing w:after="0"/>
              <w:jc w:val="righ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20</w:t>
            </w:r>
          </w:p>
        </w:tc>
      </w:tr>
      <w:tr w:rsidR="00D83CE7" w:rsidRPr="00D83CE7" w14:paraId="39BA618B" w14:textId="77777777" w:rsidTr="00D83CE7">
        <w:trPr>
          <w:trHeight w:val="315"/>
        </w:trPr>
        <w:tc>
          <w:tcPr>
            <w:tcW w:w="1663" w:type="dxa"/>
            <w:noWrap/>
            <w:vAlign w:val="bottom"/>
            <w:hideMark/>
          </w:tcPr>
          <w:p w14:paraId="76A64BF7" w14:textId="77777777" w:rsidR="00D83CE7" w:rsidRPr="00D83CE7" w:rsidRDefault="00D83CE7" w:rsidP="00D83CE7">
            <w:pPr>
              <w:spacing w:after="0"/>
              <w:jc w:val="lef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Year: 04</w:t>
            </w:r>
          </w:p>
        </w:tc>
        <w:tc>
          <w:tcPr>
            <w:tcW w:w="2500" w:type="dxa"/>
            <w:noWrap/>
            <w:vAlign w:val="bottom"/>
            <w:hideMark/>
          </w:tcPr>
          <w:p w14:paraId="64BD275B" w14:textId="77777777" w:rsidR="00D83CE7" w:rsidRPr="00D83CE7" w:rsidRDefault="00D83CE7" w:rsidP="00D83CE7">
            <w:pPr>
              <w:spacing w:after="0"/>
              <w:jc w:val="righ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10</w:t>
            </w:r>
          </w:p>
        </w:tc>
        <w:tc>
          <w:tcPr>
            <w:tcW w:w="2500" w:type="dxa"/>
            <w:noWrap/>
            <w:vAlign w:val="bottom"/>
            <w:hideMark/>
          </w:tcPr>
          <w:p w14:paraId="479BCC2A" w14:textId="77777777" w:rsidR="00D83CE7" w:rsidRPr="00D83CE7" w:rsidRDefault="00D83CE7" w:rsidP="00D83CE7">
            <w:pPr>
              <w:spacing w:after="0"/>
              <w:jc w:val="righ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6</w:t>
            </w:r>
          </w:p>
        </w:tc>
        <w:tc>
          <w:tcPr>
            <w:tcW w:w="2500" w:type="dxa"/>
            <w:noWrap/>
            <w:vAlign w:val="bottom"/>
            <w:hideMark/>
          </w:tcPr>
          <w:p w14:paraId="3EF435A2" w14:textId="77777777" w:rsidR="00D83CE7" w:rsidRPr="00D83CE7" w:rsidRDefault="00D83CE7" w:rsidP="00D83CE7">
            <w:pPr>
              <w:spacing w:after="0"/>
              <w:jc w:val="righ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25</w:t>
            </w:r>
          </w:p>
        </w:tc>
      </w:tr>
      <w:tr w:rsidR="00D83CE7" w:rsidRPr="00D83CE7" w14:paraId="7527DC0D" w14:textId="77777777" w:rsidTr="00D83CE7">
        <w:trPr>
          <w:trHeight w:val="315"/>
        </w:trPr>
        <w:tc>
          <w:tcPr>
            <w:tcW w:w="1663" w:type="dxa"/>
            <w:noWrap/>
            <w:vAlign w:val="bottom"/>
            <w:hideMark/>
          </w:tcPr>
          <w:p w14:paraId="3E3CD53B" w14:textId="77777777" w:rsidR="00D83CE7" w:rsidRPr="00D83CE7" w:rsidRDefault="00D83CE7" w:rsidP="00D83CE7">
            <w:pPr>
              <w:spacing w:after="0"/>
              <w:jc w:val="lef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Year: 05</w:t>
            </w:r>
          </w:p>
        </w:tc>
        <w:tc>
          <w:tcPr>
            <w:tcW w:w="2500" w:type="dxa"/>
            <w:noWrap/>
            <w:vAlign w:val="bottom"/>
            <w:hideMark/>
          </w:tcPr>
          <w:p w14:paraId="3ECD1A11" w14:textId="77777777" w:rsidR="00D83CE7" w:rsidRPr="00D83CE7" w:rsidRDefault="00D83CE7" w:rsidP="00D83CE7">
            <w:pPr>
              <w:spacing w:after="0"/>
              <w:jc w:val="righ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8</w:t>
            </w:r>
          </w:p>
        </w:tc>
        <w:tc>
          <w:tcPr>
            <w:tcW w:w="2500" w:type="dxa"/>
            <w:noWrap/>
            <w:vAlign w:val="bottom"/>
            <w:hideMark/>
          </w:tcPr>
          <w:p w14:paraId="5D6DCBA6" w14:textId="77777777" w:rsidR="00D83CE7" w:rsidRPr="00D83CE7" w:rsidRDefault="00D83CE7" w:rsidP="00D83CE7">
            <w:pPr>
              <w:spacing w:after="0"/>
              <w:jc w:val="righ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6</w:t>
            </w:r>
          </w:p>
        </w:tc>
        <w:tc>
          <w:tcPr>
            <w:tcW w:w="2500" w:type="dxa"/>
            <w:noWrap/>
            <w:vAlign w:val="bottom"/>
            <w:hideMark/>
          </w:tcPr>
          <w:p w14:paraId="582A9876" w14:textId="77777777" w:rsidR="00D83CE7" w:rsidRPr="00D83CE7" w:rsidRDefault="00D83CE7" w:rsidP="00D83CE7">
            <w:pPr>
              <w:spacing w:after="0"/>
              <w:jc w:val="righ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15</w:t>
            </w:r>
          </w:p>
        </w:tc>
      </w:tr>
      <w:tr w:rsidR="00D83CE7" w:rsidRPr="00D83CE7" w14:paraId="31CDFDA0" w14:textId="77777777" w:rsidTr="00D83CE7">
        <w:trPr>
          <w:trHeight w:val="315"/>
        </w:trPr>
        <w:tc>
          <w:tcPr>
            <w:tcW w:w="1663" w:type="dxa"/>
            <w:noWrap/>
            <w:vAlign w:val="bottom"/>
            <w:hideMark/>
          </w:tcPr>
          <w:p w14:paraId="1531E23A" w14:textId="77777777" w:rsidR="00D83CE7" w:rsidRPr="00D83CE7" w:rsidRDefault="00D83CE7" w:rsidP="00D83CE7">
            <w:pPr>
              <w:spacing w:after="0"/>
              <w:jc w:val="left"/>
              <w:rPr>
                <w:rFonts w:eastAsia="Times New Roman" w:cs="Times New Roman"/>
                <w:b/>
                <w:bCs/>
                <w:color w:val="000000"/>
                <w:szCs w:val="24"/>
                <w:lang w:eastAsia="en-GB"/>
                <w14:ligatures w14:val="none"/>
              </w:rPr>
            </w:pPr>
            <w:r w:rsidRPr="00D83CE7">
              <w:rPr>
                <w:rFonts w:eastAsia="Times New Roman" w:cs="Times New Roman"/>
                <w:b/>
                <w:bCs/>
                <w:color w:val="000000"/>
                <w:szCs w:val="24"/>
                <w:lang w:eastAsia="en-GB"/>
                <w14:ligatures w14:val="none"/>
              </w:rPr>
              <w:t>NPV</w:t>
            </w:r>
          </w:p>
        </w:tc>
        <w:tc>
          <w:tcPr>
            <w:tcW w:w="2500" w:type="dxa"/>
            <w:noWrap/>
            <w:vAlign w:val="bottom"/>
            <w:hideMark/>
          </w:tcPr>
          <w:p w14:paraId="35C07628" w14:textId="77777777" w:rsidR="00D83CE7" w:rsidRPr="00D83CE7" w:rsidRDefault="00D83CE7" w:rsidP="00D83CE7">
            <w:pPr>
              <w:spacing w:after="0"/>
              <w:jc w:val="right"/>
              <w:rPr>
                <w:rFonts w:eastAsia="Times New Roman" w:cs="Times New Roman"/>
                <w:b/>
                <w:bCs/>
                <w:color w:val="000000"/>
                <w:szCs w:val="24"/>
                <w:lang w:eastAsia="en-GB"/>
                <w14:ligatures w14:val="none"/>
              </w:rPr>
            </w:pPr>
            <w:r w:rsidRPr="00D83CE7">
              <w:rPr>
                <w:rFonts w:eastAsia="Times New Roman" w:cs="Times New Roman"/>
                <w:b/>
                <w:bCs/>
                <w:color w:val="000000"/>
                <w:szCs w:val="24"/>
                <w:lang w:eastAsia="en-GB"/>
                <w14:ligatures w14:val="none"/>
              </w:rPr>
              <w:t>1.32</w:t>
            </w:r>
          </w:p>
        </w:tc>
        <w:tc>
          <w:tcPr>
            <w:tcW w:w="2500" w:type="dxa"/>
            <w:noWrap/>
            <w:vAlign w:val="bottom"/>
            <w:hideMark/>
          </w:tcPr>
          <w:p w14:paraId="3381A104" w14:textId="77777777" w:rsidR="00D83CE7" w:rsidRPr="00D83CE7" w:rsidRDefault="00D83CE7" w:rsidP="00D83CE7">
            <w:pPr>
              <w:spacing w:after="0"/>
              <w:jc w:val="right"/>
              <w:rPr>
                <w:rFonts w:eastAsia="Times New Roman" w:cs="Times New Roman"/>
                <w:b/>
                <w:bCs/>
                <w:color w:val="000000"/>
                <w:szCs w:val="24"/>
                <w:lang w:eastAsia="en-GB"/>
                <w14:ligatures w14:val="none"/>
              </w:rPr>
            </w:pPr>
            <w:r w:rsidRPr="00D83CE7">
              <w:rPr>
                <w:rFonts w:eastAsia="Times New Roman" w:cs="Times New Roman"/>
                <w:b/>
                <w:bCs/>
                <w:color w:val="000000"/>
                <w:szCs w:val="24"/>
                <w:lang w:eastAsia="en-GB"/>
                <w14:ligatures w14:val="none"/>
              </w:rPr>
              <w:t>-7.26</w:t>
            </w:r>
          </w:p>
        </w:tc>
        <w:tc>
          <w:tcPr>
            <w:tcW w:w="2500" w:type="dxa"/>
            <w:noWrap/>
            <w:vAlign w:val="bottom"/>
            <w:hideMark/>
          </w:tcPr>
          <w:p w14:paraId="0F0AF10B" w14:textId="77777777" w:rsidR="00D83CE7" w:rsidRPr="00D83CE7" w:rsidRDefault="00D83CE7" w:rsidP="00D83CE7">
            <w:pPr>
              <w:spacing w:after="0"/>
              <w:jc w:val="right"/>
              <w:rPr>
                <w:rFonts w:eastAsia="Times New Roman" w:cs="Times New Roman"/>
                <w:b/>
                <w:bCs/>
                <w:color w:val="000000"/>
                <w:szCs w:val="24"/>
                <w:lang w:eastAsia="en-GB"/>
                <w14:ligatures w14:val="none"/>
              </w:rPr>
            </w:pPr>
            <w:r w:rsidRPr="00D83CE7">
              <w:rPr>
                <w:rFonts w:eastAsia="Times New Roman" w:cs="Times New Roman"/>
                <w:b/>
                <w:bCs/>
                <w:color w:val="000000"/>
                <w:szCs w:val="24"/>
                <w:lang w:eastAsia="en-GB"/>
                <w14:ligatures w14:val="none"/>
              </w:rPr>
              <w:t>4.23</w:t>
            </w:r>
          </w:p>
        </w:tc>
      </w:tr>
      <w:tr w:rsidR="00D83CE7" w:rsidRPr="00D83CE7" w14:paraId="70E7F11D" w14:textId="77777777" w:rsidTr="00D83CE7">
        <w:trPr>
          <w:trHeight w:val="315"/>
        </w:trPr>
        <w:tc>
          <w:tcPr>
            <w:tcW w:w="1663" w:type="dxa"/>
            <w:noWrap/>
            <w:vAlign w:val="bottom"/>
            <w:hideMark/>
          </w:tcPr>
          <w:p w14:paraId="4687B9AB" w14:textId="77777777" w:rsidR="00D83CE7" w:rsidRPr="00D83CE7" w:rsidRDefault="00D83CE7" w:rsidP="00D83CE7">
            <w:pPr>
              <w:spacing w:after="0"/>
              <w:jc w:val="left"/>
              <w:rPr>
                <w:rFonts w:eastAsia="Times New Roman" w:cs="Times New Roman"/>
                <w:b/>
                <w:bCs/>
                <w:color w:val="000000"/>
                <w:szCs w:val="24"/>
                <w:lang w:eastAsia="en-GB"/>
                <w14:ligatures w14:val="none"/>
              </w:rPr>
            </w:pPr>
            <w:r w:rsidRPr="00D83CE7">
              <w:rPr>
                <w:rFonts w:eastAsia="Times New Roman" w:cs="Times New Roman"/>
                <w:b/>
                <w:bCs/>
                <w:color w:val="000000"/>
                <w:szCs w:val="24"/>
                <w:lang w:eastAsia="en-GB"/>
                <w14:ligatures w14:val="none"/>
              </w:rPr>
              <w:t>PV</w:t>
            </w:r>
          </w:p>
        </w:tc>
        <w:tc>
          <w:tcPr>
            <w:tcW w:w="2500" w:type="dxa"/>
            <w:noWrap/>
            <w:vAlign w:val="bottom"/>
            <w:hideMark/>
          </w:tcPr>
          <w:p w14:paraId="5FEAA717" w14:textId="77777777" w:rsidR="00D83CE7" w:rsidRPr="00D83CE7" w:rsidRDefault="00D83CE7" w:rsidP="00D83CE7">
            <w:pPr>
              <w:spacing w:after="0"/>
              <w:jc w:val="right"/>
              <w:rPr>
                <w:rFonts w:eastAsia="Times New Roman" w:cs="Times New Roman"/>
                <w:b/>
                <w:bCs/>
                <w:color w:val="000000"/>
                <w:szCs w:val="24"/>
                <w:lang w:eastAsia="en-GB"/>
                <w14:ligatures w14:val="none"/>
              </w:rPr>
            </w:pPr>
            <w:r w:rsidRPr="00D83CE7">
              <w:rPr>
                <w:rFonts w:eastAsia="Times New Roman" w:cs="Times New Roman"/>
                <w:b/>
                <w:bCs/>
                <w:color w:val="000000"/>
                <w:szCs w:val="24"/>
                <w:lang w:eastAsia="en-GB"/>
                <w14:ligatures w14:val="none"/>
              </w:rPr>
              <w:t>41.32</w:t>
            </w:r>
          </w:p>
        </w:tc>
        <w:tc>
          <w:tcPr>
            <w:tcW w:w="2500" w:type="dxa"/>
            <w:noWrap/>
            <w:vAlign w:val="bottom"/>
            <w:hideMark/>
          </w:tcPr>
          <w:p w14:paraId="4819129E" w14:textId="77777777" w:rsidR="00D83CE7" w:rsidRPr="00D83CE7" w:rsidRDefault="00D83CE7" w:rsidP="00D83CE7">
            <w:pPr>
              <w:spacing w:after="0"/>
              <w:jc w:val="right"/>
              <w:rPr>
                <w:rFonts w:eastAsia="Times New Roman" w:cs="Times New Roman"/>
                <w:b/>
                <w:bCs/>
                <w:color w:val="000000"/>
                <w:szCs w:val="24"/>
                <w:lang w:eastAsia="en-GB"/>
                <w14:ligatures w14:val="none"/>
              </w:rPr>
            </w:pPr>
            <w:r w:rsidRPr="00D83CE7">
              <w:rPr>
                <w:rFonts w:eastAsia="Times New Roman" w:cs="Times New Roman"/>
                <w:b/>
                <w:bCs/>
                <w:color w:val="000000"/>
                <w:szCs w:val="24"/>
                <w:lang w:eastAsia="en-GB"/>
                <w14:ligatures w14:val="none"/>
              </w:rPr>
              <w:t>22.74</w:t>
            </w:r>
          </w:p>
        </w:tc>
        <w:tc>
          <w:tcPr>
            <w:tcW w:w="2500" w:type="dxa"/>
            <w:noWrap/>
            <w:vAlign w:val="bottom"/>
            <w:hideMark/>
          </w:tcPr>
          <w:p w14:paraId="04EC1B82" w14:textId="77777777" w:rsidR="00D83CE7" w:rsidRPr="00D83CE7" w:rsidRDefault="00D83CE7" w:rsidP="00D83CE7">
            <w:pPr>
              <w:spacing w:after="0"/>
              <w:jc w:val="right"/>
              <w:rPr>
                <w:rFonts w:eastAsia="Times New Roman" w:cs="Times New Roman"/>
                <w:b/>
                <w:bCs/>
                <w:color w:val="000000"/>
                <w:szCs w:val="24"/>
                <w:lang w:eastAsia="en-GB"/>
                <w14:ligatures w14:val="none"/>
              </w:rPr>
            </w:pPr>
            <w:r w:rsidRPr="00D83CE7">
              <w:rPr>
                <w:rFonts w:eastAsia="Times New Roman" w:cs="Times New Roman"/>
                <w:b/>
                <w:bCs/>
                <w:color w:val="000000"/>
                <w:szCs w:val="24"/>
                <w:lang w:eastAsia="en-GB"/>
                <w14:ligatures w14:val="none"/>
              </w:rPr>
              <w:t>54.23</w:t>
            </w:r>
          </w:p>
        </w:tc>
      </w:tr>
      <w:tr w:rsidR="00D83CE7" w:rsidRPr="00D83CE7" w14:paraId="6A46BCC4" w14:textId="77777777" w:rsidTr="00D83CE7">
        <w:trPr>
          <w:trHeight w:val="315"/>
        </w:trPr>
        <w:tc>
          <w:tcPr>
            <w:tcW w:w="1663" w:type="dxa"/>
            <w:noWrap/>
            <w:vAlign w:val="bottom"/>
            <w:hideMark/>
          </w:tcPr>
          <w:p w14:paraId="0D19C9CB" w14:textId="77777777" w:rsidR="00D83CE7" w:rsidRPr="00D83CE7" w:rsidRDefault="00D83CE7" w:rsidP="00D83CE7">
            <w:pPr>
              <w:spacing w:after="0"/>
              <w:jc w:val="left"/>
              <w:rPr>
                <w:rFonts w:eastAsia="Times New Roman" w:cs="Times New Roman"/>
                <w:b/>
                <w:bCs/>
                <w:color w:val="000000"/>
                <w:szCs w:val="24"/>
                <w:lang w:eastAsia="en-GB"/>
                <w14:ligatures w14:val="none"/>
              </w:rPr>
            </w:pPr>
            <w:r w:rsidRPr="00D83CE7">
              <w:rPr>
                <w:rFonts w:eastAsia="Times New Roman" w:cs="Times New Roman"/>
                <w:b/>
                <w:bCs/>
                <w:color w:val="000000"/>
                <w:szCs w:val="24"/>
                <w:lang w:eastAsia="en-GB"/>
                <w14:ligatures w14:val="none"/>
              </w:rPr>
              <w:t>PI</w:t>
            </w:r>
          </w:p>
        </w:tc>
        <w:tc>
          <w:tcPr>
            <w:tcW w:w="2500" w:type="dxa"/>
            <w:noWrap/>
            <w:vAlign w:val="bottom"/>
            <w:hideMark/>
          </w:tcPr>
          <w:p w14:paraId="315F25B9" w14:textId="77777777" w:rsidR="00D83CE7" w:rsidRPr="00D83CE7" w:rsidRDefault="00D83CE7" w:rsidP="00D83CE7">
            <w:pPr>
              <w:spacing w:after="0"/>
              <w:jc w:val="right"/>
              <w:rPr>
                <w:rFonts w:eastAsia="Times New Roman" w:cs="Times New Roman"/>
                <w:b/>
                <w:bCs/>
                <w:color w:val="000000"/>
                <w:szCs w:val="24"/>
                <w:lang w:eastAsia="en-GB"/>
                <w14:ligatures w14:val="none"/>
              </w:rPr>
            </w:pPr>
            <w:r w:rsidRPr="00D83CE7">
              <w:rPr>
                <w:rFonts w:eastAsia="Times New Roman" w:cs="Times New Roman"/>
                <w:b/>
                <w:bCs/>
                <w:color w:val="000000"/>
                <w:szCs w:val="24"/>
                <w:lang w:eastAsia="en-GB"/>
                <w14:ligatures w14:val="none"/>
              </w:rPr>
              <w:t>1.03</w:t>
            </w:r>
          </w:p>
        </w:tc>
        <w:tc>
          <w:tcPr>
            <w:tcW w:w="2500" w:type="dxa"/>
            <w:noWrap/>
            <w:vAlign w:val="bottom"/>
            <w:hideMark/>
          </w:tcPr>
          <w:p w14:paraId="2A36EDCB" w14:textId="77777777" w:rsidR="00D83CE7" w:rsidRPr="00D83CE7" w:rsidRDefault="00D83CE7" w:rsidP="00D83CE7">
            <w:pPr>
              <w:spacing w:after="0"/>
              <w:jc w:val="right"/>
              <w:rPr>
                <w:rFonts w:eastAsia="Times New Roman" w:cs="Times New Roman"/>
                <w:b/>
                <w:bCs/>
                <w:color w:val="000000"/>
                <w:szCs w:val="24"/>
                <w:lang w:eastAsia="en-GB"/>
                <w14:ligatures w14:val="none"/>
              </w:rPr>
            </w:pPr>
            <w:r w:rsidRPr="00D83CE7">
              <w:rPr>
                <w:rFonts w:eastAsia="Times New Roman" w:cs="Times New Roman"/>
                <w:b/>
                <w:bCs/>
                <w:color w:val="000000"/>
                <w:szCs w:val="24"/>
                <w:lang w:eastAsia="en-GB"/>
                <w14:ligatures w14:val="none"/>
              </w:rPr>
              <w:t>0.76</w:t>
            </w:r>
          </w:p>
        </w:tc>
        <w:tc>
          <w:tcPr>
            <w:tcW w:w="2500" w:type="dxa"/>
            <w:noWrap/>
            <w:vAlign w:val="bottom"/>
            <w:hideMark/>
          </w:tcPr>
          <w:p w14:paraId="184D5872" w14:textId="77777777" w:rsidR="00D83CE7" w:rsidRPr="00D83CE7" w:rsidRDefault="00D83CE7" w:rsidP="00D83CE7">
            <w:pPr>
              <w:spacing w:after="0"/>
              <w:jc w:val="right"/>
              <w:rPr>
                <w:rFonts w:eastAsia="Times New Roman" w:cs="Times New Roman"/>
                <w:b/>
                <w:bCs/>
                <w:color w:val="000000"/>
                <w:szCs w:val="24"/>
                <w:lang w:eastAsia="en-GB"/>
                <w14:ligatures w14:val="none"/>
              </w:rPr>
            </w:pPr>
            <w:r w:rsidRPr="00D83CE7">
              <w:rPr>
                <w:rFonts w:eastAsia="Times New Roman" w:cs="Times New Roman"/>
                <w:b/>
                <w:bCs/>
                <w:color w:val="000000"/>
                <w:szCs w:val="24"/>
                <w:lang w:eastAsia="en-GB"/>
                <w14:ligatures w14:val="none"/>
              </w:rPr>
              <w:t>1.08</w:t>
            </w:r>
          </w:p>
        </w:tc>
      </w:tr>
    </w:tbl>
    <w:p w14:paraId="6598223F" w14:textId="645A4D0F" w:rsidR="00D83CE7" w:rsidRPr="006507B2" w:rsidRDefault="006507B2" w:rsidP="00D83CE7">
      <w:pPr>
        <w:rPr>
          <w:b/>
        </w:rPr>
      </w:pPr>
      <w:r w:rsidRPr="006507B2">
        <w:rPr>
          <w:b/>
        </w:rPr>
        <w:t xml:space="preserve">Table </w:t>
      </w:r>
      <w:r>
        <w:rPr>
          <w:b/>
        </w:rPr>
        <w:t>9</w:t>
      </w:r>
      <w:r w:rsidRPr="006507B2">
        <w:rPr>
          <w:b/>
        </w:rPr>
        <w:t xml:space="preserve">: </w:t>
      </w:r>
      <w:r>
        <w:rPr>
          <w:b/>
        </w:rPr>
        <w:t>PI</w:t>
      </w:r>
      <w:r w:rsidRPr="006507B2">
        <w:rPr>
          <w:b/>
        </w:rPr>
        <w:t xml:space="preserve"> (Source: Self-created)</w:t>
      </w:r>
    </w:p>
    <w:p w14:paraId="4855CD5C" w14:textId="7EFE8A8E" w:rsidR="001444AA" w:rsidRDefault="001444AA" w:rsidP="001444AA">
      <w:pPr>
        <w:pStyle w:val="Heading2"/>
      </w:pPr>
      <w:bookmarkStart w:id="50" w:name="_Toc216948165"/>
      <w:r>
        <w:t xml:space="preserve">Appendix </w:t>
      </w:r>
      <w:r w:rsidR="00515241">
        <w:t>10</w:t>
      </w:r>
      <w:r>
        <w:t>: IRR</w:t>
      </w:r>
      <w:bookmarkEnd w:id="50"/>
      <w:r>
        <w:t xml:space="preserve"> </w:t>
      </w:r>
    </w:p>
    <w:tbl>
      <w:tblPr>
        <w:tblW w:w="9163"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63"/>
        <w:gridCol w:w="2500"/>
        <w:gridCol w:w="2500"/>
        <w:gridCol w:w="2500"/>
      </w:tblGrid>
      <w:tr w:rsidR="00D83CE7" w:rsidRPr="00D83CE7" w14:paraId="48AED258" w14:textId="77777777" w:rsidTr="00D83CE7">
        <w:trPr>
          <w:trHeight w:val="315"/>
        </w:trPr>
        <w:tc>
          <w:tcPr>
            <w:tcW w:w="1663" w:type="dxa"/>
            <w:noWrap/>
            <w:vAlign w:val="bottom"/>
            <w:hideMark/>
          </w:tcPr>
          <w:p w14:paraId="461823CA" w14:textId="77777777" w:rsidR="00D83CE7" w:rsidRPr="00D83CE7" w:rsidRDefault="00D83CE7" w:rsidP="00D83CE7">
            <w:pPr>
              <w:spacing w:after="0"/>
              <w:jc w:val="left"/>
              <w:rPr>
                <w:rFonts w:eastAsia="Times New Roman" w:cs="Times New Roman"/>
                <w:b/>
                <w:bCs/>
                <w:color w:val="000000"/>
                <w:szCs w:val="24"/>
                <w:lang w:eastAsia="en-GB"/>
                <w14:ligatures w14:val="none"/>
              </w:rPr>
            </w:pPr>
            <w:r w:rsidRPr="00D83CE7">
              <w:rPr>
                <w:rFonts w:eastAsia="Times New Roman" w:cs="Times New Roman"/>
                <w:b/>
                <w:bCs/>
                <w:color w:val="000000"/>
                <w:szCs w:val="24"/>
                <w:lang w:eastAsia="en-GB"/>
                <w14:ligatures w14:val="none"/>
              </w:rPr>
              <w:t>Cash Flows</w:t>
            </w:r>
          </w:p>
        </w:tc>
        <w:tc>
          <w:tcPr>
            <w:tcW w:w="2500" w:type="dxa"/>
            <w:noWrap/>
            <w:vAlign w:val="bottom"/>
            <w:hideMark/>
          </w:tcPr>
          <w:p w14:paraId="2721E1EA" w14:textId="77777777" w:rsidR="00D83CE7" w:rsidRPr="00D83CE7" w:rsidRDefault="00D83CE7" w:rsidP="00D83CE7">
            <w:pPr>
              <w:spacing w:after="0"/>
              <w:jc w:val="left"/>
              <w:rPr>
                <w:rFonts w:eastAsia="Times New Roman" w:cs="Times New Roman"/>
                <w:b/>
                <w:bCs/>
                <w:color w:val="000000"/>
                <w:szCs w:val="24"/>
                <w:lang w:eastAsia="en-GB"/>
                <w14:ligatures w14:val="none"/>
              </w:rPr>
            </w:pPr>
            <w:r w:rsidRPr="00D83CE7">
              <w:rPr>
                <w:rFonts w:eastAsia="Times New Roman" w:cs="Times New Roman"/>
                <w:b/>
                <w:bCs/>
                <w:color w:val="000000"/>
                <w:szCs w:val="24"/>
                <w:lang w:eastAsia="en-GB"/>
                <w14:ligatures w14:val="none"/>
              </w:rPr>
              <w:t>Project A: Amount (£m)</w:t>
            </w:r>
          </w:p>
        </w:tc>
        <w:tc>
          <w:tcPr>
            <w:tcW w:w="2500" w:type="dxa"/>
            <w:noWrap/>
            <w:vAlign w:val="bottom"/>
            <w:hideMark/>
          </w:tcPr>
          <w:p w14:paraId="59E48634" w14:textId="77777777" w:rsidR="00D83CE7" w:rsidRPr="00D83CE7" w:rsidRDefault="00D83CE7" w:rsidP="00D83CE7">
            <w:pPr>
              <w:spacing w:after="0"/>
              <w:jc w:val="left"/>
              <w:rPr>
                <w:rFonts w:eastAsia="Times New Roman" w:cs="Times New Roman"/>
                <w:b/>
                <w:bCs/>
                <w:color w:val="000000"/>
                <w:szCs w:val="24"/>
                <w:lang w:eastAsia="en-GB"/>
                <w14:ligatures w14:val="none"/>
              </w:rPr>
            </w:pPr>
            <w:r w:rsidRPr="00D83CE7">
              <w:rPr>
                <w:rFonts w:eastAsia="Times New Roman" w:cs="Times New Roman"/>
                <w:b/>
                <w:bCs/>
                <w:color w:val="000000"/>
                <w:szCs w:val="24"/>
                <w:lang w:eastAsia="en-GB"/>
                <w14:ligatures w14:val="none"/>
              </w:rPr>
              <w:t>Project B: Amount (£m)</w:t>
            </w:r>
          </w:p>
        </w:tc>
        <w:tc>
          <w:tcPr>
            <w:tcW w:w="2500" w:type="dxa"/>
            <w:noWrap/>
            <w:vAlign w:val="bottom"/>
            <w:hideMark/>
          </w:tcPr>
          <w:p w14:paraId="2EFD5B93" w14:textId="77777777" w:rsidR="00D83CE7" w:rsidRPr="00D83CE7" w:rsidRDefault="00D83CE7" w:rsidP="00D83CE7">
            <w:pPr>
              <w:spacing w:after="0"/>
              <w:jc w:val="left"/>
              <w:rPr>
                <w:rFonts w:eastAsia="Times New Roman" w:cs="Times New Roman"/>
                <w:b/>
                <w:bCs/>
                <w:color w:val="000000"/>
                <w:szCs w:val="24"/>
                <w:lang w:eastAsia="en-GB"/>
                <w14:ligatures w14:val="none"/>
              </w:rPr>
            </w:pPr>
            <w:r w:rsidRPr="00D83CE7">
              <w:rPr>
                <w:rFonts w:eastAsia="Times New Roman" w:cs="Times New Roman"/>
                <w:b/>
                <w:bCs/>
                <w:color w:val="000000"/>
                <w:szCs w:val="24"/>
                <w:lang w:eastAsia="en-GB"/>
                <w14:ligatures w14:val="none"/>
              </w:rPr>
              <w:t>Project C: Amount (£m)</w:t>
            </w:r>
          </w:p>
        </w:tc>
      </w:tr>
      <w:tr w:rsidR="00D83CE7" w:rsidRPr="00D83CE7" w14:paraId="2D0C7284" w14:textId="77777777" w:rsidTr="00D83CE7">
        <w:trPr>
          <w:trHeight w:val="315"/>
        </w:trPr>
        <w:tc>
          <w:tcPr>
            <w:tcW w:w="1663" w:type="dxa"/>
            <w:noWrap/>
            <w:vAlign w:val="bottom"/>
            <w:hideMark/>
          </w:tcPr>
          <w:p w14:paraId="75C85FCB" w14:textId="7AADDB10" w:rsidR="00D83CE7" w:rsidRPr="00D83CE7" w:rsidRDefault="00D83CE7" w:rsidP="00D83CE7">
            <w:pPr>
              <w:spacing w:after="0"/>
              <w:jc w:val="lef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 xml:space="preserve">Initial Investment </w:t>
            </w:r>
          </w:p>
        </w:tc>
        <w:tc>
          <w:tcPr>
            <w:tcW w:w="2500" w:type="dxa"/>
            <w:noWrap/>
            <w:vAlign w:val="bottom"/>
            <w:hideMark/>
          </w:tcPr>
          <w:p w14:paraId="230FE92E" w14:textId="77777777" w:rsidR="00D83CE7" w:rsidRPr="00D83CE7" w:rsidRDefault="00D83CE7" w:rsidP="00D83CE7">
            <w:pPr>
              <w:spacing w:after="0"/>
              <w:jc w:val="righ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-40</w:t>
            </w:r>
          </w:p>
        </w:tc>
        <w:tc>
          <w:tcPr>
            <w:tcW w:w="2500" w:type="dxa"/>
            <w:noWrap/>
            <w:vAlign w:val="bottom"/>
            <w:hideMark/>
          </w:tcPr>
          <w:p w14:paraId="34715C0F" w14:textId="77777777" w:rsidR="00D83CE7" w:rsidRPr="00D83CE7" w:rsidRDefault="00D83CE7" w:rsidP="00D83CE7">
            <w:pPr>
              <w:spacing w:after="0"/>
              <w:jc w:val="righ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-30</w:t>
            </w:r>
          </w:p>
        </w:tc>
        <w:tc>
          <w:tcPr>
            <w:tcW w:w="2500" w:type="dxa"/>
            <w:noWrap/>
            <w:vAlign w:val="bottom"/>
            <w:hideMark/>
          </w:tcPr>
          <w:p w14:paraId="7BE576D3" w14:textId="77777777" w:rsidR="00D83CE7" w:rsidRPr="00D83CE7" w:rsidRDefault="00D83CE7" w:rsidP="00D83CE7">
            <w:pPr>
              <w:spacing w:after="0"/>
              <w:jc w:val="righ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-50</w:t>
            </w:r>
          </w:p>
        </w:tc>
      </w:tr>
      <w:tr w:rsidR="00D83CE7" w:rsidRPr="00D83CE7" w14:paraId="34F72608" w14:textId="77777777" w:rsidTr="00D83CE7">
        <w:trPr>
          <w:trHeight w:val="315"/>
        </w:trPr>
        <w:tc>
          <w:tcPr>
            <w:tcW w:w="1663" w:type="dxa"/>
            <w:noWrap/>
            <w:vAlign w:val="bottom"/>
            <w:hideMark/>
          </w:tcPr>
          <w:p w14:paraId="51920127" w14:textId="77777777" w:rsidR="00D83CE7" w:rsidRPr="00D83CE7" w:rsidRDefault="00D83CE7" w:rsidP="00D83CE7">
            <w:pPr>
              <w:spacing w:after="0"/>
              <w:jc w:val="lef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Year: 01</w:t>
            </w:r>
          </w:p>
        </w:tc>
        <w:tc>
          <w:tcPr>
            <w:tcW w:w="2500" w:type="dxa"/>
            <w:noWrap/>
            <w:vAlign w:val="bottom"/>
            <w:hideMark/>
          </w:tcPr>
          <w:p w14:paraId="69430EC8" w14:textId="77777777" w:rsidR="00D83CE7" w:rsidRPr="00D83CE7" w:rsidRDefault="00D83CE7" w:rsidP="00D83CE7">
            <w:pPr>
              <w:spacing w:after="0"/>
              <w:jc w:val="righ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10</w:t>
            </w:r>
          </w:p>
        </w:tc>
        <w:tc>
          <w:tcPr>
            <w:tcW w:w="2500" w:type="dxa"/>
            <w:noWrap/>
            <w:vAlign w:val="bottom"/>
            <w:hideMark/>
          </w:tcPr>
          <w:p w14:paraId="4C9AF1C9" w14:textId="77777777" w:rsidR="00D83CE7" w:rsidRPr="00D83CE7" w:rsidRDefault="00D83CE7" w:rsidP="00D83CE7">
            <w:pPr>
              <w:spacing w:after="0"/>
              <w:jc w:val="righ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6</w:t>
            </w:r>
          </w:p>
        </w:tc>
        <w:tc>
          <w:tcPr>
            <w:tcW w:w="2500" w:type="dxa"/>
            <w:noWrap/>
            <w:vAlign w:val="bottom"/>
            <w:hideMark/>
          </w:tcPr>
          <w:p w14:paraId="6F3A91C5" w14:textId="77777777" w:rsidR="00D83CE7" w:rsidRPr="00D83CE7" w:rsidRDefault="00D83CE7" w:rsidP="00D83CE7">
            <w:pPr>
              <w:spacing w:after="0"/>
              <w:jc w:val="righ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5</w:t>
            </w:r>
          </w:p>
        </w:tc>
      </w:tr>
      <w:tr w:rsidR="00D83CE7" w:rsidRPr="00D83CE7" w14:paraId="691FEA87" w14:textId="77777777" w:rsidTr="00D83CE7">
        <w:trPr>
          <w:trHeight w:val="315"/>
        </w:trPr>
        <w:tc>
          <w:tcPr>
            <w:tcW w:w="1663" w:type="dxa"/>
            <w:noWrap/>
            <w:vAlign w:val="bottom"/>
            <w:hideMark/>
          </w:tcPr>
          <w:p w14:paraId="087AD74D" w14:textId="77777777" w:rsidR="00D83CE7" w:rsidRPr="00D83CE7" w:rsidRDefault="00D83CE7" w:rsidP="00D83CE7">
            <w:pPr>
              <w:spacing w:after="0"/>
              <w:jc w:val="lef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Year: 02</w:t>
            </w:r>
          </w:p>
        </w:tc>
        <w:tc>
          <w:tcPr>
            <w:tcW w:w="2500" w:type="dxa"/>
            <w:noWrap/>
            <w:vAlign w:val="bottom"/>
            <w:hideMark/>
          </w:tcPr>
          <w:p w14:paraId="6BA26901" w14:textId="77777777" w:rsidR="00D83CE7" w:rsidRPr="00D83CE7" w:rsidRDefault="00D83CE7" w:rsidP="00D83CE7">
            <w:pPr>
              <w:spacing w:after="0"/>
              <w:jc w:val="righ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12</w:t>
            </w:r>
          </w:p>
        </w:tc>
        <w:tc>
          <w:tcPr>
            <w:tcW w:w="2500" w:type="dxa"/>
            <w:noWrap/>
            <w:vAlign w:val="bottom"/>
            <w:hideMark/>
          </w:tcPr>
          <w:p w14:paraId="50A348DE" w14:textId="77777777" w:rsidR="00D83CE7" w:rsidRPr="00D83CE7" w:rsidRDefault="00D83CE7" w:rsidP="00D83CE7">
            <w:pPr>
              <w:spacing w:after="0"/>
              <w:jc w:val="righ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6</w:t>
            </w:r>
          </w:p>
        </w:tc>
        <w:tc>
          <w:tcPr>
            <w:tcW w:w="2500" w:type="dxa"/>
            <w:noWrap/>
            <w:vAlign w:val="bottom"/>
            <w:hideMark/>
          </w:tcPr>
          <w:p w14:paraId="232F5015" w14:textId="77777777" w:rsidR="00D83CE7" w:rsidRPr="00D83CE7" w:rsidRDefault="00D83CE7" w:rsidP="00D83CE7">
            <w:pPr>
              <w:spacing w:after="0"/>
              <w:jc w:val="righ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10</w:t>
            </w:r>
          </w:p>
        </w:tc>
      </w:tr>
      <w:tr w:rsidR="00D83CE7" w:rsidRPr="00D83CE7" w14:paraId="4A078E5F" w14:textId="77777777" w:rsidTr="00D83CE7">
        <w:trPr>
          <w:trHeight w:val="315"/>
        </w:trPr>
        <w:tc>
          <w:tcPr>
            <w:tcW w:w="1663" w:type="dxa"/>
            <w:noWrap/>
            <w:vAlign w:val="bottom"/>
            <w:hideMark/>
          </w:tcPr>
          <w:p w14:paraId="08752007" w14:textId="77777777" w:rsidR="00D83CE7" w:rsidRPr="00D83CE7" w:rsidRDefault="00D83CE7" w:rsidP="00D83CE7">
            <w:pPr>
              <w:spacing w:after="0"/>
              <w:jc w:val="lef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Year: 03</w:t>
            </w:r>
          </w:p>
        </w:tc>
        <w:tc>
          <w:tcPr>
            <w:tcW w:w="2500" w:type="dxa"/>
            <w:noWrap/>
            <w:vAlign w:val="bottom"/>
            <w:hideMark/>
          </w:tcPr>
          <w:p w14:paraId="105A5E00" w14:textId="77777777" w:rsidR="00D83CE7" w:rsidRPr="00D83CE7" w:rsidRDefault="00D83CE7" w:rsidP="00D83CE7">
            <w:pPr>
              <w:spacing w:after="0"/>
              <w:jc w:val="righ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14</w:t>
            </w:r>
          </w:p>
        </w:tc>
        <w:tc>
          <w:tcPr>
            <w:tcW w:w="2500" w:type="dxa"/>
            <w:noWrap/>
            <w:vAlign w:val="bottom"/>
            <w:hideMark/>
          </w:tcPr>
          <w:p w14:paraId="75D4D4FA" w14:textId="77777777" w:rsidR="00D83CE7" w:rsidRPr="00D83CE7" w:rsidRDefault="00D83CE7" w:rsidP="00D83CE7">
            <w:pPr>
              <w:spacing w:after="0"/>
              <w:jc w:val="righ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6</w:t>
            </w:r>
          </w:p>
        </w:tc>
        <w:tc>
          <w:tcPr>
            <w:tcW w:w="2500" w:type="dxa"/>
            <w:noWrap/>
            <w:vAlign w:val="bottom"/>
            <w:hideMark/>
          </w:tcPr>
          <w:p w14:paraId="00FB76C2" w14:textId="77777777" w:rsidR="00D83CE7" w:rsidRPr="00D83CE7" w:rsidRDefault="00D83CE7" w:rsidP="00D83CE7">
            <w:pPr>
              <w:spacing w:after="0"/>
              <w:jc w:val="righ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20</w:t>
            </w:r>
          </w:p>
        </w:tc>
      </w:tr>
      <w:tr w:rsidR="00D83CE7" w:rsidRPr="00D83CE7" w14:paraId="6C3E97DC" w14:textId="77777777" w:rsidTr="00D83CE7">
        <w:trPr>
          <w:trHeight w:val="315"/>
        </w:trPr>
        <w:tc>
          <w:tcPr>
            <w:tcW w:w="1663" w:type="dxa"/>
            <w:noWrap/>
            <w:vAlign w:val="bottom"/>
            <w:hideMark/>
          </w:tcPr>
          <w:p w14:paraId="1EEDBE90" w14:textId="77777777" w:rsidR="00D83CE7" w:rsidRPr="00D83CE7" w:rsidRDefault="00D83CE7" w:rsidP="00D83CE7">
            <w:pPr>
              <w:spacing w:after="0"/>
              <w:jc w:val="lef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Year: 04</w:t>
            </w:r>
          </w:p>
        </w:tc>
        <w:tc>
          <w:tcPr>
            <w:tcW w:w="2500" w:type="dxa"/>
            <w:noWrap/>
            <w:vAlign w:val="bottom"/>
            <w:hideMark/>
          </w:tcPr>
          <w:p w14:paraId="21B45668" w14:textId="77777777" w:rsidR="00D83CE7" w:rsidRPr="00D83CE7" w:rsidRDefault="00D83CE7" w:rsidP="00D83CE7">
            <w:pPr>
              <w:spacing w:after="0"/>
              <w:jc w:val="righ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10</w:t>
            </w:r>
          </w:p>
        </w:tc>
        <w:tc>
          <w:tcPr>
            <w:tcW w:w="2500" w:type="dxa"/>
            <w:noWrap/>
            <w:vAlign w:val="bottom"/>
            <w:hideMark/>
          </w:tcPr>
          <w:p w14:paraId="1E63A12F" w14:textId="77777777" w:rsidR="00D83CE7" w:rsidRPr="00D83CE7" w:rsidRDefault="00D83CE7" w:rsidP="00D83CE7">
            <w:pPr>
              <w:spacing w:after="0"/>
              <w:jc w:val="righ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6</w:t>
            </w:r>
          </w:p>
        </w:tc>
        <w:tc>
          <w:tcPr>
            <w:tcW w:w="2500" w:type="dxa"/>
            <w:noWrap/>
            <w:vAlign w:val="bottom"/>
            <w:hideMark/>
          </w:tcPr>
          <w:p w14:paraId="6F2B53E6" w14:textId="77777777" w:rsidR="00D83CE7" w:rsidRPr="00D83CE7" w:rsidRDefault="00D83CE7" w:rsidP="00D83CE7">
            <w:pPr>
              <w:spacing w:after="0"/>
              <w:jc w:val="righ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25</w:t>
            </w:r>
          </w:p>
        </w:tc>
      </w:tr>
      <w:tr w:rsidR="00D83CE7" w:rsidRPr="00D83CE7" w14:paraId="3EF482C9" w14:textId="77777777" w:rsidTr="00D83CE7">
        <w:trPr>
          <w:trHeight w:val="315"/>
        </w:trPr>
        <w:tc>
          <w:tcPr>
            <w:tcW w:w="1663" w:type="dxa"/>
            <w:noWrap/>
            <w:vAlign w:val="bottom"/>
            <w:hideMark/>
          </w:tcPr>
          <w:p w14:paraId="3854D61F" w14:textId="77777777" w:rsidR="00D83CE7" w:rsidRPr="00D83CE7" w:rsidRDefault="00D83CE7" w:rsidP="00D83CE7">
            <w:pPr>
              <w:spacing w:after="0"/>
              <w:jc w:val="lef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Year: 05</w:t>
            </w:r>
          </w:p>
        </w:tc>
        <w:tc>
          <w:tcPr>
            <w:tcW w:w="2500" w:type="dxa"/>
            <w:noWrap/>
            <w:vAlign w:val="bottom"/>
            <w:hideMark/>
          </w:tcPr>
          <w:p w14:paraId="29A73F33" w14:textId="77777777" w:rsidR="00D83CE7" w:rsidRPr="00D83CE7" w:rsidRDefault="00D83CE7" w:rsidP="00D83CE7">
            <w:pPr>
              <w:spacing w:after="0"/>
              <w:jc w:val="righ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8</w:t>
            </w:r>
          </w:p>
        </w:tc>
        <w:tc>
          <w:tcPr>
            <w:tcW w:w="2500" w:type="dxa"/>
            <w:noWrap/>
            <w:vAlign w:val="bottom"/>
            <w:hideMark/>
          </w:tcPr>
          <w:p w14:paraId="10305C80" w14:textId="77777777" w:rsidR="00D83CE7" w:rsidRPr="00D83CE7" w:rsidRDefault="00D83CE7" w:rsidP="00D83CE7">
            <w:pPr>
              <w:spacing w:after="0"/>
              <w:jc w:val="righ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6</w:t>
            </w:r>
          </w:p>
        </w:tc>
        <w:tc>
          <w:tcPr>
            <w:tcW w:w="2500" w:type="dxa"/>
            <w:noWrap/>
            <w:vAlign w:val="bottom"/>
            <w:hideMark/>
          </w:tcPr>
          <w:p w14:paraId="2A594D3A" w14:textId="77777777" w:rsidR="00D83CE7" w:rsidRPr="00D83CE7" w:rsidRDefault="00D83CE7" w:rsidP="00D83CE7">
            <w:pPr>
              <w:spacing w:after="0"/>
              <w:jc w:val="right"/>
              <w:rPr>
                <w:rFonts w:eastAsia="Times New Roman" w:cs="Times New Roman"/>
                <w:color w:val="000000"/>
                <w:szCs w:val="24"/>
                <w:lang w:eastAsia="en-GB"/>
                <w14:ligatures w14:val="none"/>
              </w:rPr>
            </w:pPr>
            <w:r w:rsidRPr="00D83CE7">
              <w:rPr>
                <w:rFonts w:eastAsia="Times New Roman" w:cs="Times New Roman"/>
                <w:color w:val="000000"/>
                <w:szCs w:val="24"/>
                <w:lang w:eastAsia="en-GB"/>
                <w14:ligatures w14:val="none"/>
              </w:rPr>
              <w:t>15</w:t>
            </w:r>
          </w:p>
        </w:tc>
      </w:tr>
      <w:tr w:rsidR="00D83CE7" w:rsidRPr="00D83CE7" w14:paraId="49F9441D" w14:textId="77777777" w:rsidTr="00D83CE7">
        <w:trPr>
          <w:trHeight w:val="315"/>
        </w:trPr>
        <w:tc>
          <w:tcPr>
            <w:tcW w:w="1663" w:type="dxa"/>
            <w:noWrap/>
            <w:vAlign w:val="bottom"/>
            <w:hideMark/>
          </w:tcPr>
          <w:p w14:paraId="454A3542" w14:textId="77777777" w:rsidR="00D83CE7" w:rsidRPr="00D83CE7" w:rsidRDefault="00D83CE7" w:rsidP="00D83CE7">
            <w:pPr>
              <w:spacing w:after="0"/>
              <w:jc w:val="left"/>
              <w:rPr>
                <w:rFonts w:eastAsia="Times New Roman" w:cs="Times New Roman"/>
                <w:b/>
                <w:bCs/>
                <w:color w:val="000000"/>
                <w:szCs w:val="24"/>
                <w:lang w:eastAsia="en-GB"/>
                <w14:ligatures w14:val="none"/>
              </w:rPr>
            </w:pPr>
            <w:r w:rsidRPr="00D83CE7">
              <w:rPr>
                <w:rFonts w:eastAsia="Times New Roman" w:cs="Times New Roman"/>
                <w:b/>
                <w:bCs/>
                <w:color w:val="000000"/>
                <w:szCs w:val="24"/>
                <w:lang w:eastAsia="en-GB"/>
                <w14:ligatures w14:val="none"/>
              </w:rPr>
              <w:lastRenderedPageBreak/>
              <w:t>IRR</w:t>
            </w:r>
          </w:p>
        </w:tc>
        <w:tc>
          <w:tcPr>
            <w:tcW w:w="2500" w:type="dxa"/>
            <w:noWrap/>
            <w:vAlign w:val="bottom"/>
            <w:hideMark/>
          </w:tcPr>
          <w:p w14:paraId="4AE9EF74" w14:textId="77777777" w:rsidR="00D83CE7" w:rsidRPr="00D83CE7" w:rsidRDefault="00D83CE7" w:rsidP="00D83CE7">
            <w:pPr>
              <w:spacing w:after="0"/>
              <w:jc w:val="right"/>
              <w:rPr>
                <w:rFonts w:eastAsia="Times New Roman" w:cs="Times New Roman"/>
                <w:b/>
                <w:bCs/>
                <w:color w:val="000000"/>
                <w:szCs w:val="24"/>
                <w:lang w:eastAsia="en-GB"/>
                <w14:ligatures w14:val="none"/>
              </w:rPr>
            </w:pPr>
            <w:r w:rsidRPr="00D83CE7">
              <w:rPr>
                <w:rFonts w:eastAsia="Times New Roman" w:cs="Times New Roman"/>
                <w:b/>
                <w:bCs/>
                <w:color w:val="000000"/>
                <w:szCs w:val="24"/>
                <w:lang w:eastAsia="en-GB"/>
                <w14:ligatures w14:val="none"/>
              </w:rPr>
              <w:t>11.33%</w:t>
            </w:r>
          </w:p>
        </w:tc>
        <w:tc>
          <w:tcPr>
            <w:tcW w:w="2500" w:type="dxa"/>
            <w:noWrap/>
            <w:vAlign w:val="bottom"/>
            <w:hideMark/>
          </w:tcPr>
          <w:p w14:paraId="0B94241D" w14:textId="77777777" w:rsidR="00D83CE7" w:rsidRPr="00D83CE7" w:rsidRDefault="00D83CE7" w:rsidP="00D83CE7">
            <w:pPr>
              <w:spacing w:after="0"/>
              <w:jc w:val="right"/>
              <w:rPr>
                <w:rFonts w:eastAsia="Times New Roman" w:cs="Times New Roman"/>
                <w:b/>
                <w:bCs/>
                <w:color w:val="000000"/>
                <w:szCs w:val="24"/>
                <w:lang w:eastAsia="en-GB"/>
                <w14:ligatures w14:val="none"/>
              </w:rPr>
            </w:pPr>
            <w:r w:rsidRPr="00D83CE7">
              <w:rPr>
                <w:rFonts w:eastAsia="Times New Roman" w:cs="Times New Roman"/>
                <w:b/>
                <w:bCs/>
                <w:color w:val="000000"/>
                <w:szCs w:val="24"/>
                <w:lang w:eastAsia="en-GB"/>
                <w14:ligatures w14:val="none"/>
              </w:rPr>
              <w:t>0.00%</w:t>
            </w:r>
          </w:p>
        </w:tc>
        <w:tc>
          <w:tcPr>
            <w:tcW w:w="2500" w:type="dxa"/>
            <w:noWrap/>
            <w:vAlign w:val="bottom"/>
            <w:hideMark/>
          </w:tcPr>
          <w:p w14:paraId="4D3A2063" w14:textId="77777777" w:rsidR="00D83CE7" w:rsidRPr="00D83CE7" w:rsidRDefault="00D83CE7" w:rsidP="00D83CE7">
            <w:pPr>
              <w:spacing w:after="0"/>
              <w:jc w:val="right"/>
              <w:rPr>
                <w:rFonts w:eastAsia="Times New Roman" w:cs="Times New Roman"/>
                <w:b/>
                <w:bCs/>
                <w:color w:val="000000"/>
                <w:szCs w:val="24"/>
                <w:lang w:eastAsia="en-GB"/>
                <w14:ligatures w14:val="none"/>
              </w:rPr>
            </w:pPr>
            <w:r w:rsidRPr="00D83CE7">
              <w:rPr>
                <w:rFonts w:eastAsia="Times New Roman" w:cs="Times New Roman"/>
                <w:b/>
                <w:bCs/>
                <w:color w:val="000000"/>
                <w:szCs w:val="24"/>
                <w:lang w:eastAsia="en-GB"/>
                <w14:ligatures w14:val="none"/>
              </w:rPr>
              <w:t>12.72%</w:t>
            </w:r>
          </w:p>
        </w:tc>
      </w:tr>
    </w:tbl>
    <w:p w14:paraId="774B2FE2" w14:textId="549A00E6" w:rsidR="006507B2" w:rsidRPr="006507B2" w:rsidRDefault="006507B2" w:rsidP="006507B2">
      <w:pPr>
        <w:rPr>
          <w:b/>
        </w:rPr>
      </w:pPr>
      <w:r w:rsidRPr="006507B2">
        <w:rPr>
          <w:b/>
        </w:rPr>
        <w:t xml:space="preserve">Table </w:t>
      </w:r>
      <w:r>
        <w:rPr>
          <w:b/>
        </w:rPr>
        <w:t>10</w:t>
      </w:r>
      <w:r w:rsidRPr="006507B2">
        <w:rPr>
          <w:b/>
        </w:rPr>
        <w:t xml:space="preserve">: </w:t>
      </w:r>
      <w:r>
        <w:rPr>
          <w:b/>
        </w:rPr>
        <w:t>IRR</w:t>
      </w:r>
      <w:r w:rsidRPr="006507B2">
        <w:rPr>
          <w:b/>
        </w:rPr>
        <w:t xml:space="preserve"> (Source: Self-created)</w:t>
      </w:r>
    </w:p>
    <w:p w14:paraId="1FE8780B" w14:textId="77777777" w:rsidR="001444AA" w:rsidRPr="001444AA" w:rsidRDefault="001444AA" w:rsidP="001444AA"/>
    <w:p w14:paraId="7E5BA42D" w14:textId="77777777" w:rsidR="00B7037A" w:rsidRDefault="00B7037A"/>
    <w:sectPr w:rsidR="00B7037A" w:rsidSect="009C0ED0">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9CB3D5" w14:textId="77777777" w:rsidR="005A7A8C" w:rsidRDefault="005A7A8C" w:rsidP="009C0ED0">
      <w:pPr>
        <w:spacing w:after="0" w:line="240" w:lineRule="auto"/>
      </w:pPr>
      <w:r>
        <w:separator/>
      </w:r>
    </w:p>
  </w:endnote>
  <w:endnote w:type="continuationSeparator" w:id="0">
    <w:p w14:paraId="4F4933C9" w14:textId="77777777" w:rsidR="005A7A8C" w:rsidRDefault="005A7A8C" w:rsidP="009C0E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2357476"/>
      <w:docPartObj>
        <w:docPartGallery w:val="Page Numbers (Bottom of Page)"/>
        <w:docPartUnique/>
      </w:docPartObj>
    </w:sdtPr>
    <w:sdtEndPr>
      <w:rPr>
        <w:noProof/>
      </w:rPr>
    </w:sdtEndPr>
    <w:sdtContent>
      <w:p w14:paraId="51D8437C" w14:textId="09316724" w:rsidR="00BA1882" w:rsidRDefault="00BA188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15AD92" w14:textId="77777777" w:rsidR="00BA1882" w:rsidRDefault="00BA188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9FEA76" w14:textId="77777777" w:rsidR="005A7A8C" w:rsidRDefault="005A7A8C" w:rsidP="009C0ED0">
      <w:pPr>
        <w:spacing w:after="0" w:line="240" w:lineRule="auto"/>
      </w:pPr>
      <w:r>
        <w:separator/>
      </w:r>
    </w:p>
  </w:footnote>
  <w:footnote w:type="continuationSeparator" w:id="0">
    <w:p w14:paraId="62AF2B38" w14:textId="77777777" w:rsidR="005A7A8C" w:rsidRDefault="005A7A8C" w:rsidP="009C0E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99201"/>
    <w:multiLevelType w:val="multilevel"/>
    <w:tmpl w:val="511AC0B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left"/>
      <w:pPr>
        <w:ind w:left="2160" w:hanging="36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left"/>
      <w:pPr>
        <w:ind w:left="4320" w:hanging="36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left"/>
      <w:pPr>
        <w:ind w:left="6480" w:hanging="360"/>
      </w:pPr>
    </w:lvl>
  </w:abstractNum>
  <w:num w:numId="1" w16cid:durableId="87689158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F10655"/>
    <w:rsid w:val="0003656F"/>
    <w:rsid w:val="000672A3"/>
    <w:rsid w:val="00073C84"/>
    <w:rsid w:val="000E66F6"/>
    <w:rsid w:val="00100A92"/>
    <w:rsid w:val="00104BFC"/>
    <w:rsid w:val="00123117"/>
    <w:rsid w:val="00135A1D"/>
    <w:rsid w:val="001444AA"/>
    <w:rsid w:val="00145A27"/>
    <w:rsid w:val="00163D8F"/>
    <w:rsid w:val="001A2598"/>
    <w:rsid w:val="001B634B"/>
    <w:rsid w:val="001F1E82"/>
    <w:rsid w:val="00264D27"/>
    <w:rsid w:val="00273686"/>
    <w:rsid w:val="002A51E3"/>
    <w:rsid w:val="002F37FB"/>
    <w:rsid w:val="003057CF"/>
    <w:rsid w:val="003118F9"/>
    <w:rsid w:val="00345BDD"/>
    <w:rsid w:val="003614EE"/>
    <w:rsid w:val="003651BD"/>
    <w:rsid w:val="003B49AD"/>
    <w:rsid w:val="0045489B"/>
    <w:rsid w:val="00457A17"/>
    <w:rsid w:val="004B0AFB"/>
    <w:rsid w:val="004B2AF3"/>
    <w:rsid w:val="004E55B7"/>
    <w:rsid w:val="00515241"/>
    <w:rsid w:val="0052424D"/>
    <w:rsid w:val="0058664B"/>
    <w:rsid w:val="005A7A8C"/>
    <w:rsid w:val="005B4694"/>
    <w:rsid w:val="006507B2"/>
    <w:rsid w:val="006A6358"/>
    <w:rsid w:val="006B2DE7"/>
    <w:rsid w:val="006D3CBE"/>
    <w:rsid w:val="006D466A"/>
    <w:rsid w:val="006F16A6"/>
    <w:rsid w:val="0070328A"/>
    <w:rsid w:val="007549CA"/>
    <w:rsid w:val="007573FB"/>
    <w:rsid w:val="007669A7"/>
    <w:rsid w:val="008429AF"/>
    <w:rsid w:val="00845D2C"/>
    <w:rsid w:val="008B0840"/>
    <w:rsid w:val="009047C4"/>
    <w:rsid w:val="00925EB0"/>
    <w:rsid w:val="00931741"/>
    <w:rsid w:val="00967FCC"/>
    <w:rsid w:val="00974F14"/>
    <w:rsid w:val="009A2293"/>
    <w:rsid w:val="009C0ED0"/>
    <w:rsid w:val="009F13B0"/>
    <w:rsid w:val="00A236D1"/>
    <w:rsid w:val="00A435DB"/>
    <w:rsid w:val="00A8262C"/>
    <w:rsid w:val="00AB45FC"/>
    <w:rsid w:val="00B22071"/>
    <w:rsid w:val="00B24CC9"/>
    <w:rsid w:val="00B321DC"/>
    <w:rsid w:val="00B5641C"/>
    <w:rsid w:val="00B7037A"/>
    <w:rsid w:val="00B728A2"/>
    <w:rsid w:val="00B73BD1"/>
    <w:rsid w:val="00B8415A"/>
    <w:rsid w:val="00BA1882"/>
    <w:rsid w:val="00BD652D"/>
    <w:rsid w:val="00C46818"/>
    <w:rsid w:val="00C9314D"/>
    <w:rsid w:val="00CC0309"/>
    <w:rsid w:val="00D16F09"/>
    <w:rsid w:val="00D83CE7"/>
    <w:rsid w:val="00D9584B"/>
    <w:rsid w:val="00DC0CDD"/>
    <w:rsid w:val="00DC45BB"/>
    <w:rsid w:val="00DC7528"/>
    <w:rsid w:val="00DF3AD1"/>
    <w:rsid w:val="00E02D68"/>
    <w:rsid w:val="00E7432B"/>
    <w:rsid w:val="00EC240A"/>
    <w:rsid w:val="00F10655"/>
    <w:rsid w:val="00F52AE8"/>
    <w:rsid w:val="00FC499F"/>
    <w:rsid w:val="00FC6CCA"/>
    <w:rsid w:val="00FD6B9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4526AF"/>
  <w15:chartTrackingRefBased/>
  <w15:docId w15:val="{11507288-7FE9-4A6C-BF8A-A3E9ECB242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13B0"/>
    <w:pPr>
      <w:spacing w:after="160" w:line="360" w:lineRule="auto"/>
      <w:jc w:val="both"/>
    </w:pPr>
    <w:rPr>
      <w:rFonts w:ascii="Times New Roman" w:hAnsi="Times New Roman"/>
      <w:kern w:val="0"/>
      <w:sz w:val="24"/>
    </w:rPr>
  </w:style>
  <w:style w:type="paragraph" w:styleId="Heading1">
    <w:name w:val="heading 1"/>
    <w:basedOn w:val="Normal"/>
    <w:next w:val="Normal"/>
    <w:link w:val="Heading1Char"/>
    <w:uiPriority w:val="9"/>
    <w:qFormat/>
    <w:rsid w:val="0070328A"/>
    <w:pPr>
      <w:keepNext/>
      <w:keepLines/>
      <w:spacing w:before="240" w:after="0"/>
      <w:outlineLvl w:val="0"/>
    </w:pPr>
    <w:rPr>
      <w:rFonts w:asciiTheme="minorHAnsi" w:eastAsiaTheme="majorEastAsia" w:hAnsiTheme="minorHAnsi" w:cstheme="majorBidi"/>
      <w:b/>
      <w:sz w:val="32"/>
      <w:szCs w:val="32"/>
    </w:rPr>
  </w:style>
  <w:style w:type="paragraph" w:styleId="Heading2">
    <w:name w:val="heading 2"/>
    <w:basedOn w:val="Normal"/>
    <w:next w:val="Normal"/>
    <w:link w:val="Heading2Char"/>
    <w:uiPriority w:val="9"/>
    <w:unhideWhenUsed/>
    <w:qFormat/>
    <w:rsid w:val="0070328A"/>
    <w:pPr>
      <w:keepNext/>
      <w:keepLines/>
      <w:spacing w:before="40" w:after="0"/>
      <w:outlineLvl w:val="1"/>
    </w:pPr>
    <w:rPr>
      <w:rFonts w:eastAsiaTheme="majorEastAsia" w:cstheme="majorBidi"/>
      <w:b/>
      <w:sz w:val="28"/>
      <w:szCs w:val="26"/>
    </w:rPr>
  </w:style>
  <w:style w:type="paragraph" w:styleId="Heading3">
    <w:name w:val="heading 3"/>
    <w:basedOn w:val="Normal"/>
    <w:link w:val="Heading3Char"/>
    <w:uiPriority w:val="9"/>
    <w:qFormat/>
    <w:rsid w:val="0070328A"/>
    <w:pPr>
      <w:spacing w:beforeAutospacing="1" w:after="0" w:afterAutospacing="1"/>
      <w:outlineLvl w:val="2"/>
    </w:pPr>
    <w:rPr>
      <w:rFonts w:eastAsia="Times New Roman" w:cs="Times New Roman"/>
      <w:b/>
      <w:bCs/>
      <w:sz w:val="26"/>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2424D"/>
    <w:pPr>
      <w:spacing w:after="0" w:line="240" w:lineRule="auto"/>
    </w:pPr>
  </w:style>
  <w:style w:type="character" w:customStyle="1" w:styleId="Heading1Char">
    <w:name w:val="Heading 1 Char"/>
    <w:basedOn w:val="DefaultParagraphFont"/>
    <w:link w:val="Heading1"/>
    <w:uiPriority w:val="9"/>
    <w:rsid w:val="0070328A"/>
    <w:rPr>
      <w:rFonts w:eastAsiaTheme="majorEastAsia" w:cstheme="majorBidi"/>
      <w:b/>
      <w:kern w:val="0"/>
      <w:sz w:val="32"/>
      <w:szCs w:val="32"/>
    </w:rPr>
  </w:style>
  <w:style w:type="character" w:customStyle="1" w:styleId="Heading3Char">
    <w:name w:val="Heading 3 Char"/>
    <w:basedOn w:val="DefaultParagraphFont"/>
    <w:link w:val="Heading3"/>
    <w:uiPriority w:val="9"/>
    <w:rsid w:val="0070328A"/>
    <w:rPr>
      <w:rFonts w:ascii="Times New Roman" w:eastAsia="Times New Roman" w:hAnsi="Times New Roman" w:cs="Times New Roman"/>
      <w:b/>
      <w:bCs/>
      <w:kern w:val="0"/>
      <w:sz w:val="26"/>
      <w:szCs w:val="27"/>
      <w:lang w:eastAsia="en-GB"/>
    </w:rPr>
  </w:style>
  <w:style w:type="character" w:customStyle="1" w:styleId="Heading2Char">
    <w:name w:val="Heading 2 Char"/>
    <w:basedOn w:val="DefaultParagraphFont"/>
    <w:link w:val="Heading2"/>
    <w:uiPriority w:val="9"/>
    <w:rsid w:val="0070328A"/>
    <w:rPr>
      <w:rFonts w:ascii="Times New Roman" w:eastAsiaTheme="majorEastAsia" w:hAnsi="Times New Roman" w:cstheme="majorBidi"/>
      <w:b/>
      <w:kern w:val="0"/>
      <w:sz w:val="28"/>
      <w:szCs w:val="26"/>
    </w:rPr>
  </w:style>
  <w:style w:type="paragraph" w:styleId="Title">
    <w:name w:val="Title"/>
    <w:basedOn w:val="Normal"/>
    <w:next w:val="Normal"/>
    <w:link w:val="TitleChar"/>
    <w:uiPriority w:val="10"/>
    <w:qFormat/>
    <w:rsid w:val="009C0ED0"/>
    <w:pPr>
      <w:spacing w:after="0" w:line="216" w:lineRule="auto"/>
      <w:contextualSpacing/>
      <w:jc w:val="left"/>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9C0ED0"/>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9C0ED0"/>
    <w:pPr>
      <w:numPr>
        <w:ilvl w:val="1"/>
      </w:numPr>
      <w:spacing w:line="259" w:lineRule="auto"/>
      <w:jc w:val="left"/>
    </w:pPr>
    <w:rPr>
      <w:rFonts w:asciiTheme="minorHAnsi" w:eastAsiaTheme="minorEastAsia" w:hAnsiTheme="minorHAnsi" w:cs="Times New Roman"/>
      <w:color w:val="5A5A5A" w:themeColor="text1" w:themeTint="A5"/>
      <w:spacing w:val="15"/>
      <w:sz w:val="22"/>
      <w:lang w:val="en-US"/>
    </w:rPr>
  </w:style>
  <w:style w:type="character" w:customStyle="1" w:styleId="SubtitleChar">
    <w:name w:val="Subtitle Char"/>
    <w:basedOn w:val="DefaultParagraphFont"/>
    <w:link w:val="Subtitle"/>
    <w:uiPriority w:val="11"/>
    <w:rsid w:val="009C0ED0"/>
    <w:rPr>
      <w:rFonts w:eastAsiaTheme="minorEastAsia" w:cs="Times New Roman"/>
      <w:color w:val="5A5A5A" w:themeColor="text1" w:themeTint="A5"/>
      <w:spacing w:val="15"/>
      <w:kern w:val="0"/>
      <w:lang w:val="en-US"/>
    </w:rPr>
  </w:style>
  <w:style w:type="paragraph" w:styleId="Header">
    <w:name w:val="header"/>
    <w:basedOn w:val="Normal"/>
    <w:link w:val="HeaderChar"/>
    <w:uiPriority w:val="99"/>
    <w:unhideWhenUsed/>
    <w:rsid w:val="009C0E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0ED0"/>
    <w:rPr>
      <w:rFonts w:ascii="Times New Roman" w:hAnsi="Times New Roman"/>
      <w:kern w:val="0"/>
      <w:sz w:val="24"/>
    </w:rPr>
  </w:style>
  <w:style w:type="paragraph" w:styleId="Footer">
    <w:name w:val="footer"/>
    <w:basedOn w:val="Normal"/>
    <w:link w:val="FooterChar"/>
    <w:uiPriority w:val="99"/>
    <w:unhideWhenUsed/>
    <w:rsid w:val="009C0E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0ED0"/>
    <w:rPr>
      <w:rFonts w:ascii="Times New Roman" w:hAnsi="Times New Roman"/>
      <w:kern w:val="0"/>
      <w:sz w:val="24"/>
    </w:rPr>
  </w:style>
  <w:style w:type="paragraph" w:styleId="BodyText">
    <w:name w:val="Body Text"/>
    <w:basedOn w:val="Normal"/>
    <w:link w:val="BodyTextChar"/>
    <w:rsid w:val="009C0ED0"/>
    <w:pPr>
      <w:spacing w:before="180" w:after="180" w:line="240" w:lineRule="auto"/>
      <w:jc w:val="left"/>
    </w:pPr>
    <w:rPr>
      <w:rFonts w:asciiTheme="minorHAnsi" w:hAnsiTheme="minorHAnsi"/>
      <w:szCs w:val="24"/>
      <w:lang w:val="en"/>
      <w14:ligatures w14:val="none"/>
    </w:rPr>
  </w:style>
  <w:style w:type="character" w:customStyle="1" w:styleId="BodyTextChar">
    <w:name w:val="Body Text Char"/>
    <w:basedOn w:val="DefaultParagraphFont"/>
    <w:link w:val="BodyText"/>
    <w:rsid w:val="009C0ED0"/>
    <w:rPr>
      <w:kern w:val="0"/>
      <w:sz w:val="24"/>
      <w:szCs w:val="24"/>
      <w:lang w:val="en"/>
      <w14:ligatures w14:val="none"/>
    </w:rPr>
  </w:style>
  <w:style w:type="paragraph" w:customStyle="1" w:styleId="FirstParagraph">
    <w:name w:val="First Paragraph"/>
    <w:basedOn w:val="BodyText"/>
    <w:next w:val="BodyText"/>
    <w:rsid w:val="009C0ED0"/>
  </w:style>
  <w:style w:type="table" w:styleId="TableGrid">
    <w:name w:val="Table Grid"/>
    <w:basedOn w:val="TableNormal"/>
    <w:rsid w:val="009C0ED0"/>
    <w:pPr>
      <w:spacing w:after="0" w:line="240" w:lineRule="auto"/>
    </w:pPr>
    <w:rPr>
      <w:kern w:val="0"/>
      <w:sz w:val="24"/>
      <w:szCs w:val="24"/>
      <w:lang w:val="e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C0ED0"/>
    <w:pPr>
      <w:spacing w:before="100" w:beforeAutospacing="1" w:after="100" w:afterAutospacing="1" w:line="240" w:lineRule="auto"/>
      <w:jc w:val="left"/>
    </w:pPr>
    <w:rPr>
      <w:rFonts w:eastAsia="Times New Roman" w:cs="Times New Roman"/>
      <w:szCs w:val="24"/>
      <w:lang w:eastAsia="en-GB"/>
      <w14:ligatures w14:val="none"/>
    </w:rPr>
  </w:style>
  <w:style w:type="character" w:styleId="Strong">
    <w:name w:val="Strong"/>
    <w:basedOn w:val="DefaultParagraphFont"/>
    <w:uiPriority w:val="22"/>
    <w:qFormat/>
    <w:rsid w:val="009C0ED0"/>
    <w:rPr>
      <w:b/>
      <w:bCs/>
    </w:rPr>
  </w:style>
  <w:style w:type="paragraph" w:styleId="ListParagraph">
    <w:name w:val="List Paragraph"/>
    <w:basedOn w:val="Normal"/>
    <w:uiPriority w:val="34"/>
    <w:qFormat/>
    <w:rsid w:val="00D16F09"/>
    <w:pPr>
      <w:ind w:left="720"/>
      <w:contextualSpacing/>
    </w:pPr>
  </w:style>
  <w:style w:type="paragraph" w:styleId="TOCHeading">
    <w:name w:val="TOC Heading"/>
    <w:basedOn w:val="Heading1"/>
    <w:next w:val="Normal"/>
    <w:uiPriority w:val="39"/>
    <w:unhideWhenUsed/>
    <w:qFormat/>
    <w:rsid w:val="0003656F"/>
    <w:pPr>
      <w:spacing w:line="259" w:lineRule="auto"/>
      <w:jc w:val="left"/>
      <w:outlineLvl w:val="9"/>
    </w:pPr>
    <w:rPr>
      <w:rFonts w:asciiTheme="majorHAnsi" w:hAnsiTheme="majorHAnsi"/>
      <w:b w:val="0"/>
      <w:color w:val="365F91" w:themeColor="accent1" w:themeShade="BF"/>
      <w:lang w:val="en-US"/>
    </w:rPr>
  </w:style>
  <w:style w:type="paragraph" w:styleId="TOC1">
    <w:name w:val="toc 1"/>
    <w:basedOn w:val="Normal"/>
    <w:next w:val="Normal"/>
    <w:autoRedefine/>
    <w:uiPriority w:val="39"/>
    <w:unhideWhenUsed/>
    <w:rsid w:val="0003656F"/>
    <w:pPr>
      <w:spacing w:after="100"/>
    </w:pPr>
  </w:style>
  <w:style w:type="paragraph" w:styleId="TOC2">
    <w:name w:val="toc 2"/>
    <w:basedOn w:val="Normal"/>
    <w:next w:val="Normal"/>
    <w:autoRedefine/>
    <w:uiPriority w:val="39"/>
    <w:unhideWhenUsed/>
    <w:rsid w:val="0003656F"/>
    <w:pPr>
      <w:spacing w:after="100"/>
      <w:ind w:left="240"/>
    </w:pPr>
  </w:style>
  <w:style w:type="character" w:styleId="Hyperlink">
    <w:name w:val="Hyperlink"/>
    <w:basedOn w:val="DefaultParagraphFont"/>
    <w:uiPriority w:val="99"/>
    <w:unhideWhenUsed/>
    <w:rsid w:val="0003656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2894257">
      <w:bodyDiv w:val="1"/>
      <w:marLeft w:val="0"/>
      <w:marRight w:val="0"/>
      <w:marTop w:val="0"/>
      <w:marBottom w:val="0"/>
      <w:divBdr>
        <w:top w:val="none" w:sz="0" w:space="0" w:color="auto"/>
        <w:left w:val="none" w:sz="0" w:space="0" w:color="auto"/>
        <w:bottom w:val="none" w:sz="0" w:space="0" w:color="auto"/>
        <w:right w:val="none" w:sz="0" w:space="0" w:color="auto"/>
      </w:divBdr>
      <w:divsChild>
        <w:div w:id="986474487">
          <w:marLeft w:val="0"/>
          <w:marRight w:val="0"/>
          <w:marTop w:val="0"/>
          <w:marBottom w:val="0"/>
          <w:divBdr>
            <w:top w:val="none" w:sz="0" w:space="0" w:color="auto"/>
            <w:left w:val="none" w:sz="0" w:space="0" w:color="auto"/>
            <w:bottom w:val="none" w:sz="0" w:space="0" w:color="auto"/>
            <w:right w:val="none" w:sz="0" w:space="0" w:color="auto"/>
          </w:divBdr>
          <w:divsChild>
            <w:div w:id="622612011">
              <w:marLeft w:val="0"/>
              <w:marRight w:val="0"/>
              <w:marTop w:val="0"/>
              <w:marBottom w:val="0"/>
              <w:divBdr>
                <w:top w:val="none" w:sz="0" w:space="0" w:color="auto"/>
                <w:left w:val="none" w:sz="0" w:space="0" w:color="auto"/>
                <w:bottom w:val="none" w:sz="0" w:space="0" w:color="auto"/>
                <w:right w:val="none" w:sz="0" w:space="0" w:color="auto"/>
              </w:divBdr>
            </w:div>
            <w:div w:id="1787234281">
              <w:marLeft w:val="0"/>
              <w:marRight w:val="0"/>
              <w:marTop w:val="0"/>
              <w:marBottom w:val="0"/>
              <w:divBdr>
                <w:top w:val="none" w:sz="0" w:space="0" w:color="auto"/>
                <w:left w:val="none" w:sz="0" w:space="0" w:color="auto"/>
                <w:bottom w:val="none" w:sz="0" w:space="0" w:color="auto"/>
                <w:right w:val="none" w:sz="0" w:space="0" w:color="auto"/>
              </w:divBdr>
            </w:div>
            <w:div w:id="29113449">
              <w:marLeft w:val="0"/>
              <w:marRight w:val="0"/>
              <w:marTop w:val="0"/>
              <w:marBottom w:val="0"/>
              <w:divBdr>
                <w:top w:val="none" w:sz="0" w:space="0" w:color="auto"/>
                <w:left w:val="none" w:sz="0" w:space="0" w:color="auto"/>
                <w:bottom w:val="none" w:sz="0" w:space="0" w:color="auto"/>
                <w:right w:val="none" w:sz="0" w:space="0" w:color="auto"/>
              </w:divBdr>
            </w:div>
            <w:div w:id="569461310">
              <w:marLeft w:val="0"/>
              <w:marRight w:val="0"/>
              <w:marTop w:val="0"/>
              <w:marBottom w:val="0"/>
              <w:divBdr>
                <w:top w:val="none" w:sz="0" w:space="0" w:color="auto"/>
                <w:left w:val="none" w:sz="0" w:space="0" w:color="auto"/>
                <w:bottom w:val="none" w:sz="0" w:space="0" w:color="auto"/>
                <w:right w:val="none" w:sz="0" w:space="0" w:color="auto"/>
              </w:divBdr>
            </w:div>
            <w:div w:id="1486239316">
              <w:marLeft w:val="0"/>
              <w:marRight w:val="0"/>
              <w:marTop w:val="0"/>
              <w:marBottom w:val="0"/>
              <w:divBdr>
                <w:top w:val="none" w:sz="0" w:space="0" w:color="auto"/>
                <w:left w:val="none" w:sz="0" w:space="0" w:color="auto"/>
                <w:bottom w:val="none" w:sz="0" w:space="0" w:color="auto"/>
                <w:right w:val="none" w:sz="0" w:space="0" w:color="auto"/>
              </w:divBdr>
            </w:div>
            <w:div w:id="1057052879">
              <w:marLeft w:val="0"/>
              <w:marRight w:val="0"/>
              <w:marTop w:val="0"/>
              <w:marBottom w:val="0"/>
              <w:divBdr>
                <w:top w:val="none" w:sz="0" w:space="0" w:color="auto"/>
                <w:left w:val="none" w:sz="0" w:space="0" w:color="auto"/>
                <w:bottom w:val="none" w:sz="0" w:space="0" w:color="auto"/>
                <w:right w:val="none" w:sz="0" w:space="0" w:color="auto"/>
              </w:divBdr>
            </w:div>
            <w:div w:id="230383902">
              <w:marLeft w:val="0"/>
              <w:marRight w:val="0"/>
              <w:marTop w:val="0"/>
              <w:marBottom w:val="0"/>
              <w:divBdr>
                <w:top w:val="none" w:sz="0" w:space="0" w:color="auto"/>
                <w:left w:val="none" w:sz="0" w:space="0" w:color="auto"/>
                <w:bottom w:val="none" w:sz="0" w:space="0" w:color="auto"/>
                <w:right w:val="none" w:sz="0" w:space="0" w:color="auto"/>
              </w:divBdr>
            </w:div>
            <w:div w:id="1714453613">
              <w:marLeft w:val="0"/>
              <w:marRight w:val="0"/>
              <w:marTop w:val="0"/>
              <w:marBottom w:val="0"/>
              <w:divBdr>
                <w:top w:val="none" w:sz="0" w:space="0" w:color="auto"/>
                <w:left w:val="none" w:sz="0" w:space="0" w:color="auto"/>
                <w:bottom w:val="none" w:sz="0" w:space="0" w:color="auto"/>
                <w:right w:val="none" w:sz="0" w:space="0" w:color="auto"/>
              </w:divBdr>
            </w:div>
            <w:div w:id="412430865">
              <w:marLeft w:val="0"/>
              <w:marRight w:val="0"/>
              <w:marTop w:val="0"/>
              <w:marBottom w:val="0"/>
              <w:divBdr>
                <w:top w:val="none" w:sz="0" w:space="0" w:color="auto"/>
                <w:left w:val="none" w:sz="0" w:space="0" w:color="auto"/>
                <w:bottom w:val="none" w:sz="0" w:space="0" w:color="auto"/>
                <w:right w:val="none" w:sz="0" w:space="0" w:color="auto"/>
              </w:divBdr>
            </w:div>
            <w:div w:id="1382558023">
              <w:marLeft w:val="0"/>
              <w:marRight w:val="0"/>
              <w:marTop w:val="0"/>
              <w:marBottom w:val="0"/>
              <w:divBdr>
                <w:top w:val="none" w:sz="0" w:space="0" w:color="auto"/>
                <w:left w:val="none" w:sz="0" w:space="0" w:color="auto"/>
                <w:bottom w:val="none" w:sz="0" w:space="0" w:color="auto"/>
                <w:right w:val="none" w:sz="0" w:space="0" w:color="auto"/>
              </w:divBdr>
            </w:div>
            <w:div w:id="535504610">
              <w:marLeft w:val="0"/>
              <w:marRight w:val="0"/>
              <w:marTop w:val="0"/>
              <w:marBottom w:val="0"/>
              <w:divBdr>
                <w:top w:val="none" w:sz="0" w:space="0" w:color="auto"/>
                <w:left w:val="none" w:sz="0" w:space="0" w:color="auto"/>
                <w:bottom w:val="none" w:sz="0" w:space="0" w:color="auto"/>
                <w:right w:val="none" w:sz="0" w:space="0" w:color="auto"/>
              </w:divBdr>
            </w:div>
            <w:div w:id="1082724683">
              <w:marLeft w:val="0"/>
              <w:marRight w:val="0"/>
              <w:marTop w:val="0"/>
              <w:marBottom w:val="0"/>
              <w:divBdr>
                <w:top w:val="none" w:sz="0" w:space="0" w:color="auto"/>
                <w:left w:val="none" w:sz="0" w:space="0" w:color="auto"/>
                <w:bottom w:val="none" w:sz="0" w:space="0" w:color="auto"/>
                <w:right w:val="none" w:sz="0" w:space="0" w:color="auto"/>
              </w:divBdr>
            </w:div>
            <w:div w:id="1903639098">
              <w:marLeft w:val="0"/>
              <w:marRight w:val="0"/>
              <w:marTop w:val="0"/>
              <w:marBottom w:val="0"/>
              <w:divBdr>
                <w:top w:val="none" w:sz="0" w:space="0" w:color="auto"/>
                <w:left w:val="none" w:sz="0" w:space="0" w:color="auto"/>
                <w:bottom w:val="none" w:sz="0" w:space="0" w:color="auto"/>
                <w:right w:val="none" w:sz="0" w:space="0" w:color="auto"/>
              </w:divBdr>
            </w:div>
            <w:div w:id="1337152075">
              <w:marLeft w:val="0"/>
              <w:marRight w:val="0"/>
              <w:marTop w:val="0"/>
              <w:marBottom w:val="0"/>
              <w:divBdr>
                <w:top w:val="none" w:sz="0" w:space="0" w:color="auto"/>
                <w:left w:val="none" w:sz="0" w:space="0" w:color="auto"/>
                <w:bottom w:val="none" w:sz="0" w:space="0" w:color="auto"/>
                <w:right w:val="none" w:sz="0" w:space="0" w:color="auto"/>
              </w:divBdr>
            </w:div>
            <w:div w:id="751313156">
              <w:marLeft w:val="0"/>
              <w:marRight w:val="0"/>
              <w:marTop w:val="0"/>
              <w:marBottom w:val="0"/>
              <w:divBdr>
                <w:top w:val="none" w:sz="0" w:space="0" w:color="auto"/>
                <w:left w:val="none" w:sz="0" w:space="0" w:color="auto"/>
                <w:bottom w:val="none" w:sz="0" w:space="0" w:color="auto"/>
                <w:right w:val="none" w:sz="0" w:space="0" w:color="auto"/>
              </w:divBdr>
            </w:div>
            <w:div w:id="516963745">
              <w:marLeft w:val="0"/>
              <w:marRight w:val="0"/>
              <w:marTop w:val="0"/>
              <w:marBottom w:val="0"/>
              <w:divBdr>
                <w:top w:val="none" w:sz="0" w:space="0" w:color="auto"/>
                <w:left w:val="none" w:sz="0" w:space="0" w:color="auto"/>
                <w:bottom w:val="none" w:sz="0" w:space="0" w:color="auto"/>
                <w:right w:val="none" w:sz="0" w:space="0" w:color="auto"/>
              </w:divBdr>
            </w:div>
            <w:div w:id="1516114823">
              <w:marLeft w:val="0"/>
              <w:marRight w:val="0"/>
              <w:marTop w:val="0"/>
              <w:marBottom w:val="0"/>
              <w:divBdr>
                <w:top w:val="none" w:sz="0" w:space="0" w:color="auto"/>
                <w:left w:val="none" w:sz="0" w:space="0" w:color="auto"/>
                <w:bottom w:val="none" w:sz="0" w:space="0" w:color="auto"/>
                <w:right w:val="none" w:sz="0" w:space="0" w:color="auto"/>
              </w:divBdr>
            </w:div>
            <w:div w:id="819268247">
              <w:marLeft w:val="0"/>
              <w:marRight w:val="0"/>
              <w:marTop w:val="0"/>
              <w:marBottom w:val="0"/>
              <w:divBdr>
                <w:top w:val="none" w:sz="0" w:space="0" w:color="auto"/>
                <w:left w:val="none" w:sz="0" w:space="0" w:color="auto"/>
                <w:bottom w:val="none" w:sz="0" w:space="0" w:color="auto"/>
                <w:right w:val="none" w:sz="0" w:space="0" w:color="auto"/>
              </w:divBdr>
            </w:div>
            <w:div w:id="999583309">
              <w:marLeft w:val="0"/>
              <w:marRight w:val="0"/>
              <w:marTop w:val="0"/>
              <w:marBottom w:val="0"/>
              <w:divBdr>
                <w:top w:val="none" w:sz="0" w:space="0" w:color="auto"/>
                <w:left w:val="none" w:sz="0" w:space="0" w:color="auto"/>
                <w:bottom w:val="none" w:sz="0" w:space="0" w:color="auto"/>
                <w:right w:val="none" w:sz="0" w:space="0" w:color="auto"/>
              </w:divBdr>
            </w:div>
            <w:div w:id="748381461">
              <w:marLeft w:val="0"/>
              <w:marRight w:val="0"/>
              <w:marTop w:val="0"/>
              <w:marBottom w:val="0"/>
              <w:divBdr>
                <w:top w:val="none" w:sz="0" w:space="0" w:color="auto"/>
                <w:left w:val="none" w:sz="0" w:space="0" w:color="auto"/>
                <w:bottom w:val="none" w:sz="0" w:space="0" w:color="auto"/>
                <w:right w:val="none" w:sz="0" w:space="0" w:color="auto"/>
              </w:divBdr>
            </w:div>
            <w:div w:id="1920600046">
              <w:marLeft w:val="0"/>
              <w:marRight w:val="0"/>
              <w:marTop w:val="0"/>
              <w:marBottom w:val="0"/>
              <w:divBdr>
                <w:top w:val="none" w:sz="0" w:space="0" w:color="auto"/>
                <w:left w:val="none" w:sz="0" w:space="0" w:color="auto"/>
                <w:bottom w:val="none" w:sz="0" w:space="0" w:color="auto"/>
                <w:right w:val="none" w:sz="0" w:space="0" w:color="auto"/>
              </w:divBdr>
            </w:div>
            <w:div w:id="1350839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7672968">
      <w:bodyDiv w:val="1"/>
      <w:marLeft w:val="0"/>
      <w:marRight w:val="0"/>
      <w:marTop w:val="0"/>
      <w:marBottom w:val="0"/>
      <w:divBdr>
        <w:top w:val="none" w:sz="0" w:space="0" w:color="auto"/>
        <w:left w:val="none" w:sz="0" w:space="0" w:color="auto"/>
        <w:bottom w:val="none" w:sz="0" w:space="0" w:color="auto"/>
        <w:right w:val="none" w:sz="0" w:space="0" w:color="auto"/>
      </w:divBdr>
    </w:div>
    <w:div w:id="590235348">
      <w:bodyDiv w:val="1"/>
      <w:marLeft w:val="0"/>
      <w:marRight w:val="0"/>
      <w:marTop w:val="0"/>
      <w:marBottom w:val="0"/>
      <w:divBdr>
        <w:top w:val="none" w:sz="0" w:space="0" w:color="auto"/>
        <w:left w:val="none" w:sz="0" w:space="0" w:color="auto"/>
        <w:bottom w:val="none" w:sz="0" w:space="0" w:color="auto"/>
        <w:right w:val="none" w:sz="0" w:space="0" w:color="auto"/>
      </w:divBdr>
    </w:div>
    <w:div w:id="723220145">
      <w:bodyDiv w:val="1"/>
      <w:marLeft w:val="0"/>
      <w:marRight w:val="0"/>
      <w:marTop w:val="0"/>
      <w:marBottom w:val="0"/>
      <w:divBdr>
        <w:top w:val="none" w:sz="0" w:space="0" w:color="auto"/>
        <w:left w:val="none" w:sz="0" w:space="0" w:color="auto"/>
        <w:bottom w:val="none" w:sz="0" w:space="0" w:color="auto"/>
        <w:right w:val="none" w:sz="0" w:space="0" w:color="auto"/>
      </w:divBdr>
    </w:div>
    <w:div w:id="760566775">
      <w:bodyDiv w:val="1"/>
      <w:marLeft w:val="0"/>
      <w:marRight w:val="0"/>
      <w:marTop w:val="0"/>
      <w:marBottom w:val="0"/>
      <w:divBdr>
        <w:top w:val="none" w:sz="0" w:space="0" w:color="auto"/>
        <w:left w:val="none" w:sz="0" w:space="0" w:color="auto"/>
        <w:bottom w:val="none" w:sz="0" w:space="0" w:color="auto"/>
        <w:right w:val="none" w:sz="0" w:space="0" w:color="auto"/>
      </w:divBdr>
    </w:div>
    <w:div w:id="1690830868">
      <w:bodyDiv w:val="1"/>
      <w:marLeft w:val="0"/>
      <w:marRight w:val="0"/>
      <w:marTop w:val="0"/>
      <w:marBottom w:val="0"/>
      <w:divBdr>
        <w:top w:val="none" w:sz="0" w:space="0" w:color="auto"/>
        <w:left w:val="none" w:sz="0" w:space="0" w:color="auto"/>
        <w:bottom w:val="none" w:sz="0" w:space="0" w:color="auto"/>
        <w:right w:val="none" w:sz="0" w:space="0" w:color="auto"/>
      </w:divBdr>
    </w:div>
    <w:div w:id="1701390340">
      <w:bodyDiv w:val="1"/>
      <w:marLeft w:val="0"/>
      <w:marRight w:val="0"/>
      <w:marTop w:val="0"/>
      <w:marBottom w:val="0"/>
      <w:divBdr>
        <w:top w:val="none" w:sz="0" w:space="0" w:color="auto"/>
        <w:left w:val="none" w:sz="0" w:space="0" w:color="auto"/>
        <w:bottom w:val="none" w:sz="0" w:space="0" w:color="auto"/>
        <w:right w:val="none" w:sz="0" w:space="0" w:color="auto"/>
      </w:divBdr>
    </w:div>
    <w:div w:id="1726490789">
      <w:bodyDiv w:val="1"/>
      <w:marLeft w:val="0"/>
      <w:marRight w:val="0"/>
      <w:marTop w:val="0"/>
      <w:marBottom w:val="0"/>
      <w:divBdr>
        <w:top w:val="none" w:sz="0" w:space="0" w:color="auto"/>
        <w:left w:val="none" w:sz="0" w:space="0" w:color="auto"/>
        <w:bottom w:val="none" w:sz="0" w:space="0" w:color="auto"/>
        <w:right w:val="none" w:sz="0" w:space="0" w:color="auto"/>
      </w:divBdr>
    </w:div>
    <w:div w:id="20668323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5.xm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chart" Target="charts/chart2.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OneDrive\Desktop\Financial%20Management\Excel%20Work.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user\OneDrive\Desktop\Financial%20Management\Excel%20Work.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user\OneDrive\Desktop\Financial%20Management\Excel%20Work.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user\OneDrive\Desktop\Financial%20Management\Excel%20Work.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user\OneDrive\Desktop\Financial%20Management\Excel%20Work.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user\OneDrive\Desktop\Financial%20Management\Excel%20Work.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ysClr val="windowText" lastClr="000000"/>
                </a:solidFill>
                <a:latin typeface="+mn-lt"/>
                <a:ea typeface="+mn-ea"/>
                <a:cs typeface="+mn-cs"/>
              </a:defRPr>
            </a:pPr>
            <a:r>
              <a:rPr lang="en-GB"/>
              <a:t>Profitability Ratios</a:t>
            </a:r>
          </a:p>
        </c:rich>
      </c:tx>
      <c:overlay val="0"/>
      <c:spPr>
        <a:noFill/>
        <a:ln>
          <a:noFill/>
        </a:ln>
        <a:effectLst/>
      </c:spPr>
      <c:txPr>
        <a:bodyPr rot="0" spcFirstLastPara="1" vertOverflow="ellipsis" vert="horz" wrap="square" anchor="ctr" anchorCtr="1"/>
        <a:lstStyle/>
        <a:p>
          <a:pPr>
            <a:defRPr sz="1600" b="1" i="0" u="none" strike="noStrike" kern="1200" baseline="0">
              <a:solidFill>
                <a:sysClr val="windowText" lastClr="000000"/>
              </a:solidFill>
              <a:latin typeface="+mn-lt"/>
              <a:ea typeface="+mn-ea"/>
              <a:cs typeface="+mn-cs"/>
            </a:defRPr>
          </a:pPr>
          <a:endParaRPr lang="en-US"/>
        </a:p>
      </c:txPr>
    </c:title>
    <c:autoTitleDeleted val="0"/>
    <c:plotArea>
      <c:layout>
        <c:manualLayout>
          <c:layoutTarget val="inner"/>
          <c:xMode val="edge"/>
          <c:yMode val="edge"/>
          <c:x val="9.9624776460248587E-2"/>
          <c:y val="0.12972972972972974"/>
          <c:w val="0.87596603680947294"/>
          <c:h val="0.71492391998297511"/>
        </c:manualLayout>
      </c:layout>
      <c:barChart>
        <c:barDir val="col"/>
        <c:grouping val="clustered"/>
        <c:varyColors val="0"/>
        <c:ser>
          <c:idx val="0"/>
          <c:order val="0"/>
          <c:tx>
            <c:strRef>
              <c:f>Graph!$D$10</c:f>
              <c:strCache>
                <c:ptCount val="1"/>
                <c:pt idx="0">
                  <c:v>Gross Profit Margin</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numRef>
              <c:f>Graph!$E$9:$I$9</c:f>
              <c:numCache>
                <c:formatCode>General</c:formatCode>
                <c:ptCount val="5"/>
                <c:pt idx="0">
                  <c:v>2024</c:v>
                </c:pt>
                <c:pt idx="1">
                  <c:v>2023</c:v>
                </c:pt>
                <c:pt idx="2">
                  <c:v>2022</c:v>
                </c:pt>
                <c:pt idx="3">
                  <c:v>2021</c:v>
                </c:pt>
                <c:pt idx="4">
                  <c:v>2020</c:v>
                </c:pt>
              </c:numCache>
            </c:numRef>
          </c:cat>
          <c:val>
            <c:numRef>
              <c:f>Graph!$E$10:$I$10</c:f>
              <c:numCache>
                <c:formatCode>0.00%</c:formatCode>
                <c:ptCount val="5"/>
                <c:pt idx="0">
                  <c:v>0.28870000000000001</c:v>
                </c:pt>
                <c:pt idx="1">
                  <c:v>0.23200000000000001</c:v>
                </c:pt>
                <c:pt idx="2">
                  <c:v>0.28060000000000002</c:v>
                </c:pt>
                <c:pt idx="3">
                  <c:v>0.28760000000000002</c:v>
                </c:pt>
                <c:pt idx="4">
                  <c:v>0.28670000000000001</c:v>
                </c:pt>
              </c:numCache>
            </c:numRef>
          </c:val>
          <c:extLst>
            <c:ext xmlns:c16="http://schemas.microsoft.com/office/drawing/2014/chart" uri="{C3380CC4-5D6E-409C-BE32-E72D297353CC}">
              <c16:uniqueId val="{00000000-5A84-4FDD-8A3D-F6BC82F6E68C}"/>
            </c:ext>
          </c:extLst>
        </c:ser>
        <c:ser>
          <c:idx val="1"/>
          <c:order val="1"/>
          <c:tx>
            <c:strRef>
              <c:f>Graph!$D$11</c:f>
              <c:strCache>
                <c:ptCount val="1"/>
                <c:pt idx="0">
                  <c:v>Operating Profit Margin</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numRef>
              <c:f>Graph!$E$9:$I$9</c:f>
              <c:numCache>
                <c:formatCode>General</c:formatCode>
                <c:ptCount val="5"/>
                <c:pt idx="0">
                  <c:v>2024</c:v>
                </c:pt>
                <c:pt idx="1">
                  <c:v>2023</c:v>
                </c:pt>
                <c:pt idx="2">
                  <c:v>2022</c:v>
                </c:pt>
                <c:pt idx="3">
                  <c:v>2021</c:v>
                </c:pt>
                <c:pt idx="4">
                  <c:v>2020</c:v>
                </c:pt>
              </c:numCache>
            </c:numRef>
          </c:cat>
          <c:val>
            <c:numRef>
              <c:f>Graph!$E$11:$I$11</c:f>
              <c:numCache>
                <c:formatCode>0.00%</c:formatCode>
                <c:ptCount val="5"/>
                <c:pt idx="0">
                  <c:v>-6.4100000000000004E-2</c:v>
                </c:pt>
                <c:pt idx="1">
                  <c:v>-0.2029</c:v>
                </c:pt>
                <c:pt idx="2">
                  <c:v>2.6800000000000001E-2</c:v>
                </c:pt>
                <c:pt idx="3">
                  <c:v>3.8699999999999998E-2</c:v>
                </c:pt>
                <c:pt idx="4">
                  <c:v>6.0600000000000001E-2</c:v>
                </c:pt>
              </c:numCache>
            </c:numRef>
          </c:val>
          <c:extLst>
            <c:ext xmlns:c16="http://schemas.microsoft.com/office/drawing/2014/chart" uri="{C3380CC4-5D6E-409C-BE32-E72D297353CC}">
              <c16:uniqueId val="{00000001-5A84-4FDD-8A3D-F6BC82F6E68C}"/>
            </c:ext>
          </c:extLst>
        </c:ser>
        <c:ser>
          <c:idx val="2"/>
          <c:order val="2"/>
          <c:tx>
            <c:strRef>
              <c:f>Graph!$D$12</c:f>
              <c:strCache>
                <c:ptCount val="1"/>
                <c:pt idx="0">
                  <c:v>Net Profit Margin</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numRef>
              <c:f>Graph!$E$9:$I$9</c:f>
              <c:numCache>
                <c:formatCode>General</c:formatCode>
                <c:ptCount val="5"/>
                <c:pt idx="0">
                  <c:v>2024</c:v>
                </c:pt>
                <c:pt idx="1">
                  <c:v>2023</c:v>
                </c:pt>
                <c:pt idx="2">
                  <c:v>2022</c:v>
                </c:pt>
                <c:pt idx="3">
                  <c:v>2021</c:v>
                </c:pt>
                <c:pt idx="4">
                  <c:v>2020</c:v>
                </c:pt>
              </c:numCache>
            </c:numRef>
          </c:cat>
          <c:val>
            <c:numRef>
              <c:f>Graph!$E$12:$I$12</c:f>
              <c:numCache>
                <c:formatCode>0.00%</c:formatCode>
                <c:ptCount val="5"/>
                <c:pt idx="0">
                  <c:v>-6.0900000000000003E-2</c:v>
                </c:pt>
                <c:pt idx="1">
                  <c:v>-0.2336</c:v>
                </c:pt>
                <c:pt idx="2">
                  <c:v>6.9999999999999999E-4</c:v>
                </c:pt>
                <c:pt idx="3">
                  <c:v>8.8000000000000005E-3</c:v>
                </c:pt>
                <c:pt idx="4">
                  <c:v>6.2799999999999995E-2</c:v>
                </c:pt>
              </c:numCache>
            </c:numRef>
          </c:val>
          <c:extLst>
            <c:ext xmlns:c16="http://schemas.microsoft.com/office/drawing/2014/chart" uri="{C3380CC4-5D6E-409C-BE32-E72D297353CC}">
              <c16:uniqueId val="{00000002-5A84-4FDD-8A3D-F6BC82F6E68C}"/>
            </c:ext>
          </c:extLst>
        </c:ser>
        <c:ser>
          <c:idx val="3"/>
          <c:order val="3"/>
          <c:tx>
            <c:strRef>
              <c:f>Graph!$D$13</c:f>
              <c:strCache>
                <c:ptCount val="1"/>
                <c:pt idx="0">
                  <c:v>ROCE</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numRef>
              <c:f>Graph!$E$9:$I$9</c:f>
              <c:numCache>
                <c:formatCode>General</c:formatCode>
                <c:ptCount val="5"/>
                <c:pt idx="0">
                  <c:v>2024</c:v>
                </c:pt>
                <c:pt idx="1">
                  <c:v>2023</c:v>
                </c:pt>
                <c:pt idx="2">
                  <c:v>2022</c:v>
                </c:pt>
                <c:pt idx="3">
                  <c:v>2021</c:v>
                </c:pt>
                <c:pt idx="4">
                  <c:v>2020</c:v>
                </c:pt>
              </c:numCache>
            </c:numRef>
          </c:cat>
          <c:val>
            <c:numRef>
              <c:f>Graph!$E$13:$I$13</c:f>
              <c:numCache>
                <c:formatCode>0.00%</c:formatCode>
                <c:ptCount val="5"/>
                <c:pt idx="0">
                  <c:v>-7.2300000000000003E-2</c:v>
                </c:pt>
                <c:pt idx="1">
                  <c:v>-0.4158</c:v>
                </c:pt>
                <c:pt idx="2">
                  <c:v>5.8200000000000002E-2</c:v>
                </c:pt>
                <c:pt idx="3">
                  <c:v>8.1100000000000005E-2</c:v>
                </c:pt>
                <c:pt idx="4">
                  <c:v>0.11700000000000001</c:v>
                </c:pt>
              </c:numCache>
            </c:numRef>
          </c:val>
          <c:extLst>
            <c:ext xmlns:c16="http://schemas.microsoft.com/office/drawing/2014/chart" uri="{C3380CC4-5D6E-409C-BE32-E72D297353CC}">
              <c16:uniqueId val="{00000003-5A84-4FDD-8A3D-F6BC82F6E68C}"/>
            </c:ext>
          </c:extLst>
        </c:ser>
        <c:dLbls>
          <c:dLblPos val="outEnd"/>
          <c:showLegendKey val="0"/>
          <c:showVal val="1"/>
          <c:showCatName val="0"/>
          <c:showSerName val="0"/>
          <c:showPercent val="0"/>
          <c:showBubbleSize val="0"/>
        </c:dLbls>
        <c:gapWidth val="100"/>
        <c:overlap val="-24"/>
        <c:axId val="449370416"/>
        <c:axId val="449225264"/>
      </c:barChart>
      <c:catAx>
        <c:axId val="449370416"/>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449225264"/>
        <c:crosses val="autoZero"/>
        <c:auto val="1"/>
        <c:lblAlgn val="ctr"/>
        <c:lblOffset val="100"/>
        <c:noMultiLvlLbl val="0"/>
      </c:catAx>
      <c:valAx>
        <c:axId val="449225264"/>
        <c:scaling>
          <c:orientation val="minMax"/>
        </c:scaling>
        <c:delete val="0"/>
        <c:axPos val="l"/>
        <c:majorGridlines>
          <c:spPr>
            <a:ln w="9525" cap="flat" cmpd="sng" algn="ctr">
              <a:solidFill>
                <a:schemeClr val="tx2">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4493704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solidFill>
            <a:sysClr val="windowText" lastClr="000000"/>
          </a:solidFill>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ysClr val="windowText" lastClr="000000"/>
                </a:solidFill>
                <a:latin typeface="+mn-lt"/>
                <a:ea typeface="+mn-ea"/>
                <a:cs typeface="+mn-cs"/>
              </a:defRPr>
            </a:pPr>
            <a:r>
              <a:rPr lang="en-GB" cap="none"/>
              <a:t>Liquidity Ratios</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ysClr val="windowText" lastClr="000000"/>
              </a:solidFill>
              <a:latin typeface="+mn-lt"/>
              <a:ea typeface="+mn-ea"/>
              <a:cs typeface="+mn-cs"/>
            </a:defRPr>
          </a:pPr>
          <a:endParaRPr lang="en-US"/>
        </a:p>
      </c:txPr>
    </c:title>
    <c:autoTitleDeleted val="0"/>
    <c:plotArea>
      <c:layout/>
      <c:barChart>
        <c:barDir val="col"/>
        <c:grouping val="stacked"/>
        <c:varyColors val="0"/>
        <c:ser>
          <c:idx val="0"/>
          <c:order val="0"/>
          <c:tx>
            <c:strRef>
              <c:f>Graph!$D$16</c:f>
              <c:strCache>
                <c:ptCount val="1"/>
                <c:pt idx="0">
                  <c:v>Current Ratio</c:v>
                </c:pt>
              </c:strCache>
            </c:strRef>
          </c:tx>
          <c:spPr>
            <a:solidFill>
              <a:schemeClr val="accent1"/>
            </a:soli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highlight>
                      <a:srgbClr val="FFFF00"/>
                    </a:highlight>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Graph!$E$14:$I$15</c:f>
              <c:strCache>
                <c:ptCount val="5"/>
                <c:pt idx="0">
                  <c:v>2024</c:v>
                </c:pt>
                <c:pt idx="1">
                  <c:v>2023</c:v>
                </c:pt>
                <c:pt idx="2">
                  <c:v>2022</c:v>
                </c:pt>
                <c:pt idx="3">
                  <c:v>2021</c:v>
                </c:pt>
                <c:pt idx="4">
                  <c:v>2020</c:v>
                </c:pt>
              </c:strCache>
            </c:strRef>
          </c:cat>
          <c:val>
            <c:numRef>
              <c:f>Graph!$E$16:$I$16</c:f>
              <c:numCache>
                <c:formatCode>General</c:formatCode>
                <c:ptCount val="5"/>
                <c:pt idx="0">
                  <c:v>1.53</c:v>
                </c:pt>
                <c:pt idx="1">
                  <c:v>1.61</c:v>
                </c:pt>
                <c:pt idx="2">
                  <c:v>1.56</c:v>
                </c:pt>
                <c:pt idx="3">
                  <c:v>1.56</c:v>
                </c:pt>
                <c:pt idx="4">
                  <c:v>1.82</c:v>
                </c:pt>
              </c:numCache>
            </c:numRef>
          </c:val>
          <c:extLst>
            <c:ext xmlns:c16="http://schemas.microsoft.com/office/drawing/2014/chart" uri="{C3380CC4-5D6E-409C-BE32-E72D297353CC}">
              <c16:uniqueId val="{00000000-DFDA-4B6E-A120-20B53CFD7C92}"/>
            </c:ext>
          </c:extLst>
        </c:ser>
        <c:ser>
          <c:idx val="1"/>
          <c:order val="1"/>
          <c:tx>
            <c:strRef>
              <c:f>Graph!$D$17</c:f>
              <c:strCache>
                <c:ptCount val="1"/>
                <c:pt idx="0">
                  <c:v>Quick Ratio</c:v>
                </c:pt>
              </c:strCache>
            </c:strRef>
          </c:tx>
          <c:spPr>
            <a:solidFill>
              <a:schemeClr val="accent2"/>
            </a:soli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highlight>
                      <a:srgbClr val="FFFF00"/>
                    </a:highlight>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Graph!$E$14:$I$15</c:f>
              <c:strCache>
                <c:ptCount val="5"/>
                <c:pt idx="0">
                  <c:v>2024</c:v>
                </c:pt>
                <c:pt idx="1">
                  <c:v>2023</c:v>
                </c:pt>
                <c:pt idx="2">
                  <c:v>2022</c:v>
                </c:pt>
                <c:pt idx="3">
                  <c:v>2021</c:v>
                </c:pt>
                <c:pt idx="4">
                  <c:v>2020</c:v>
                </c:pt>
              </c:strCache>
            </c:strRef>
          </c:cat>
          <c:val>
            <c:numRef>
              <c:f>Graph!$E$17:$I$17</c:f>
              <c:numCache>
                <c:formatCode>General</c:formatCode>
                <c:ptCount val="5"/>
                <c:pt idx="0">
                  <c:v>1.03</c:v>
                </c:pt>
                <c:pt idx="1">
                  <c:v>1.06</c:v>
                </c:pt>
                <c:pt idx="2">
                  <c:v>0.91</c:v>
                </c:pt>
                <c:pt idx="3">
                  <c:v>0.93</c:v>
                </c:pt>
                <c:pt idx="4">
                  <c:v>1.1499999999999999</c:v>
                </c:pt>
              </c:numCache>
            </c:numRef>
          </c:val>
          <c:extLst>
            <c:ext xmlns:c16="http://schemas.microsoft.com/office/drawing/2014/chart" uri="{C3380CC4-5D6E-409C-BE32-E72D297353CC}">
              <c16:uniqueId val="{00000001-DFDA-4B6E-A120-20B53CFD7C92}"/>
            </c:ext>
          </c:extLst>
        </c:ser>
        <c:dLbls>
          <c:dLblPos val="ctr"/>
          <c:showLegendKey val="0"/>
          <c:showVal val="1"/>
          <c:showCatName val="0"/>
          <c:showSerName val="0"/>
          <c:showPercent val="0"/>
          <c:showBubbleSize val="0"/>
        </c:dLbls>
        <c:gapWidth val="79"/>
        <c:overlap val="100"/>
        <c:axId val="449369616"/>
        <c:axId val="449200304"/>
      </c:barChart>
      <c:catAx>
        <c:axId val="44936961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ysClr val="windowText" lastClr="000000"/>
                </a:solidFill>
                <a:latin typeface="+mn-lt"/>
                <a:ea typeface="+mn-ea"/>
                <a:cs typeface="+mn-cs"/>
              </a:defRPr>
            </a:pPr>
            <a:endParaRPr lang="en-US"/>
          </a:p>
        </c:txPr>
        <c:crossAx val="449200304"/>
        <c:crosses val="autoZero"/>
        <c:auto val="1"/>
        <c:lblAlgn val="ctr"/>
        <c:lblOffset val="100"/>
        <c:noMultiLvlLbl val="0"/>
      </c:catAx>
      <c:valAx>
        <c:axId val="449200304"/>
        <c:scaling>
          <c:orientation val="minMax"/>
        </c:scaling>
        <c:delete val="1"/>
        <c:axPos val="l"/>
        <c:numFmt formatCode="General" sourceLinked="1"/>
        <c:majorTickMark val="none"/>
        <c:minorTickMark val="none"/>
        <c:tickLblPos val="nextTo"/>
        <c:crossAx val="449369616"/>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solidFill>
            <a:sysClr val="windowText" lastClr="000000"/>
          </a:solidFill>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r>
              <a:rPr lang="en-GB" b="1"/>
              <a:t>Efficiency Ratios</a:t>
            </a:r>
          </a:p>
        </c:rich>
      </c:tx>
      <c:overlay val="0"/>
      <c:spPr>
        <a:noFill/>
        <a:ln>
          <a:noFill/>
        </a:ln>
        <a:effectLst/>
      </c:spPr>
      <c:txPr>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endParaRPr lang="en-US"/>
        </a:p>
      </c:txPr>
    </c:title>
    <c:autoTitleDeleted val="0"/>
    <c:plotArea>
      <c:layout/>
      <c:barChart>
        <c:barDir val="col"/>
        <c:grouping val="clustered"/>
        <c:varyColors val="0"/>
        <c:ser>
          <c:idx val="0"/>
          <c:order val="0"/>
          <c:tx>
            <c:strRef>
              <c:f>Graph!$D$20</c:f>
              <c:strCache>
                <c:ptCount val="1"/>
                <c:pt idx="0">
                  <c:v>Asset Turnover Ratio</c:v>
                </c:pt>
              </c:strCache>
            </c:strRef>
          </c:tx>
          <c:spPr>
            <a:solidFill>
              <a:schemeClr val="accent1"/>
            </a:soli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Graph!$E$19:$I$19</c:f>
              <c:numCache>
                <c:formatCode>General</c:formatCode>
                <c:ptCount val="5"/>
                <c:pt idx="0">
                  <c:v>2024</c:v>
                </c:pt>
                <c:pt idx="1">
                  <c:v>2023</c:v>
                </c:pt>
                <c:pt idx="2">
                  <c:v>2022</c:v>
                </c:pt>
                <c:pt idx="3">
                  <c:v>2021</c:v>
                </c:pt>
                <c:pt idx="4">
                  <c:v>2020</c:v>
                </c:pt>
              </c:numCache>
            </c:numRef>
          </c:cat>
          <c:val>
            <c:numRef>
              <c:f>Graph!$E$20:$I$20</c:f>
              <c:numCache>
                <c:formatCode>General</c:formatCode>
                <c:ptCount val="5"/>
                <c:pt idx="0">
                  <c:v>1.22</c:v>
                </c:pt>
                <c:pt idx="1">
                  <c:v>1.18</c:v>
                </c:pt>
                <c:pt idx="2">
                  <c:v>1.08</c:v>
                </c:pt>
                <c:pt idx="3">
                  <c:v>1.18</c:v>
                </c:pt>
                <c:pt idx="4">
                  <c:v>1.2</c:v>
                </c:pt>
              </c:numCache>
            </c:numRef>
          </c:val>
          <c:extLst>
            <c:ext xmlns:c16="http://schemas.microsoft.com/office/drawing/2014/chart" uri="{C3380CC4-5D6E-409C-BE32-E72D297353CC}">
              <c16:uniqueId val="{00000000-0ED3-4225-84BE-45E6DEFCF37C}"/>
            </c:ext>
          </c:extLst>
        </c:ser>
        <c:ser>
          <c:idx val="1"/>
          <c:order val="1"/>
          <c:tx>
            <c:strRef>
              <c:f>Graph!$D$21</c:f>
              <c:strCache>
                <c:ptCount val="1"/>
                <c:pt idx="0">
                  <c:v>Fixed Asset Turnover Ratio</c:v>
                </c:pt>
              </c:strCache>
            </c:strRef>
          </c:tx>
          <c:spPr>
            <a:solidFill>
              <a:schemeClr val="accent2"/>
            </a:soli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Graph!$E$19:$I$19</c:f>
              <c:numCache>
                <c:formatCode>General</c:formatCode>
                <c:ptCount val="5"/>
                <c:pt idx="0">
                  <c:v>2024</c:v>
                </c:pt>
                <c:pt idx="1">
                  <c:v>2023</c:v>
                </c:pt>
                <c:pt idx="2">
                  <c:v>2022</c:v>
                </c:pt>
                <c:pt idx="3">
                  <c:v>2021</c:v>
                </c:pt>
                <c:pt idx="4">
                  <c:v>2020</c:v>
                </c:pt>
              </c:numCache>
            </c:numRef>
          </c:cat>
          <c:val>
            <c:numRef>
              <c:f>Graph!$E$21:$I$21</c:f>
              <c:numCache>
                <c:formatCode>General</c:formatCode>
                <c:ptCount val="5"/>
                <c:pt idx="0">
                  <c:v>1.32</c:v>
                </c:pt>
                <c:pt idx="1">
                  <c:v>4.33</c:v>
                </c:pt>
                <c:pt idx="2">
                  <c:v>3.27</c:v>
                </c:pt>
                <c:pt idx="3">
                  <c:v>3.47</c:v>
                </c:pt>
                <c:pt idx="4">
                  <c:v>3.35</c:v>
                </c:pt>
              </c:numCache>
            </c:numRef>
          </c:val>
          <c:extLst>
            <c:ext xmlns:c16="http://schemas.microsoft.com/office/drawing/2014/chart" uri="{C3380CC4-5D6E-409C-BE32-E72D297353CC}">
              <c16:uniqueId val="{00000001-0ED3-4225-84BE-45E6DEFCF37C}"/>
            </c:ext>
          </c:extLst>
        </c:ser>
        <c:ser>
          <c:idx val="2"/>
          <c:order val="2"/>
          <c:tx>
            <c:strRef>
              <c:f>Graph!$D$22</c:f>
              <c:strCache>
                <c:ptCount val="1"/>
                <c:pt idx="0">
                  <c:v>Account Receivable Days</c:v>
                </c:pt>
              </c:strCache>
            </c:strRef>
          </c:tx>
          <c:spPr>
            <a:solidFill>
              <a:schemeClr val="accent3"/>
            </a:soli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Graph!$E$19:$I$19</c:f>
              <c:numCache>
                <c:formatCode>General</c:formatCode>
                <c:ptCount val="5"/>
                <c:pt idx="0">
                  <c:v>2024</c:v>
                </c:pt>
                <c:pt idx="1">
                  <c:v>2023</c:v>
                </c:pt>
                <c:pt idx="2">
                  <c:v>2022</c:v>
                </c:pt>
                <c:pt idx="3">
                  <c:v>2021</c:v>
                </c:pt>
                <c:pt idx="4">
                  <c:v>2020</c:v>
                </c:pt>
              </c:numCache>
            </c:numRef>
          </c:cat>
          <c:val>
            <c:numRef>
              <c:f>Graph!$E$22:$I$22</c:f>
              <c:numCache>
                <c:formatCode>General</c:formatCode>
                <c:ptCount val="5"/>
                <c:pt idx="0">
                  <c:v>102.23</c:v>
                </c:pt>
                <c:pt idx="1">
                  <c:v>85.33</c:v>
                </c:pt>
                <c:pt idx="2">
                  <c:v>71.67</c:v>
                </c:pt>
                <c:pt idx="3">
                  <c:v>77.55</c:v>
                </c:pt>
                <c:pt idx="4">
                  <c:v>76.86</c:v>
                </c:pt>
              </c:numCache>
            </c:numRef>
          </c:val>
          <c:extLst>
            <c:ext xmlns:c16="http://schemas.microsoft.com/office/drawing/2014/chart" uri="{C3380CC4-5D6E-409C-BE32-E72D297353CC}">
              <c16:uniqueId val="{00000002-0ED3-4225-84BE-45E6DEFCF37C}"/>
            </c:ext>
          </c:extLst>
        </c:ser>
        <c:ser>
          <c:idx val="3"/>
          <c:order val="3"/>
          <c:tx>
            <c:strRef>
              <c:f>Graph!$D$23</c:f>
              <c:strCache>
                <c:ptCount val="1"/>
                <c:pt idx="0">
                  <c:v>Account Payable Days</c:v>
                </c:pt>
              </c:strCache>
            </c:strRef>
          </c:tx>
          <c:spPr>
            <a:solidFill>
              <a:schemeClr val="accent4"/>
            </a:soli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Graph!$E$19:$I$19</c:f>
              <c:numCache>
                <c:formatCode>General</c:formatCode>
                <c:ptCount val="5"/>
                <c:pt idx="0">
                  <c:v>2024</c:v>
                </c:pt>
                <c:pt idx="1">
                  <c:v>2023</c:v>
                </c:pt>
                <c:pt idx="2">
                  <c:v>2022</c:v>
                </c:pt>
                <c:pt idx="3">
                  <c:v>2021</c:v>
                </c:pt>
                <c:pt idx="4">
                  <c:v>2020</c:v>
                </c:pt>
              </c:numCache>
            </c:numRef>
          </c:cat>
          <c:val>
            <c:numRef>
              <c:f>Graph!$E$23:$I$23</c:f>
              <c:numCache>
                <c:formatCode>General</c:formatCode>
                <c:ptCount val="5"/>
                <c:pt idx="0">
                  <c:v>87.09</c:v>
                </c:pt>
                <c:pt idx="1">
                  <c:v>58.36</c:v>
                </c:pt>
                <c:pt idx="2">
                  <c:v>63.61</c:v>
                </c:pt>
                <c:pt idx="3">
                  <c:v>78.06</c:v>
                </c:pt>
                <c:pt idx="4">
                  <c:v>69.290000000000006</c:v>
                </c:pt>
              </c:numCache>
            </c:numRef>
          </c:val>
          <c:extLst>
            <c:ext xmlns:c16="http://schemas.microsoft.com/office/drawing/2014/chart" uri="{C3380CC4-5D6E-409C-BE32-E72D297353CC}">
              <c16:uniqueId val="{00000003-0ED3-4225-84BE-45E6DEFCF37C}"/>
            </c:ext>
          </c:extLst>
        </c:ser>
        <c:ser>
          <c:idx val="4"/>
          <c:order val="4"/>
          <c:tx>
            <c:strRef>
              <c:f>Graph!$D$24</c:f>
              <c:strCache>
                <c:ptCount val="1"/>
                <c:pt idx="0">
                  <c:v>Invntory Days</c:v>
                </c:pt>
              </c:strCache>
            </c:strRef>
          </c:tx>
          <c:spPr>
            <a:solidFill>
              <a:schemeClr val="accent5"/>
            </a:soli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Graph!$E$19:$I$19</c:f>
              <c:numCache>
                <c:formatCode>General</c:formatCode>
                <c:ptCount val="5"/>
                <c:pt idx="0">
                  <c:v>2024</c:v>
                </c:pt>
                <c:pt idx="1">
                  <c:v>2023</c:v>
                </c:pt>
                <c:pt idx="2">
                  <c:v>2022</c:v>
                </c:pt>
                <c:pt idx="3">
                  <c:v>2021</c:v>
                </c:pt>
                <c:pt idx="4">
                  <c:v>2020</c:v>
                </c:pt>
              </c:numCache>
            </c:numRef>
          </c:cat>
          <c:val>
            <c:numRef>
              <c:f>Graph!$E$24:$I$24</c:f>
              <c:numCache>
                <c:formatCode>General</c:formatCode>
                <c:ptCount val="5"/>
                <c:pt idx="0">
                  <c:v>103.12</c:v>
                </c:pt>
                <c:pt idx="1">
                  <c:v>99.78</c:v>
                </c:pt>
                <c:pt idx="2">
                  <c:v>131.04</c:v>
                </c:pt>
                <c:pt idx="3">
                  <c:v>114.52</c:v>
                </c:pt>
                <c:pt idx="4">
                  <c:v>100.26</c:v>
                </c:pt>
              </c:numCache>
            </c:numRef>
          </c:val>
          <c:extLst>
            <c:ext xmlns:c16="http://schemas.microsoft.com/office/drawing/2014/chart" uri="{C3380CC4-5D6E-409C-BE32-E72D297353CC}">
              <c16:uniqueId val="{00000004-0ED3-4225-84BE-45E6DEFCF37C}"/>
            </c:ext>
          </c:extLst>
        </c:ser>
        <c:dLbls>
          <c:dLblPos val="outEnd"/>
          <c:showLegendKey val="0"/>
          <c:showVal val="1"/>
          <c:showCatName val="0"/>
          <c:showSerName val="0"/>
          <c:showPercent val="0"/>
          <c:showBubbleSize val="0"/>
        </c:dLbls>
        <c:gapWidth val="219"/>
        <c:overlap val="-27"/>
        <c:axId val="734888064"/>
        <c:axId val="449225680"/>
      </c:barChart>
      <c:catAx>
        <c:axId val="7348880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449225680"/>
        <c:crosses val="autoZero"/>
        <c:auto val="1"/>
        <c:lblAlgn val="ctr"/>
        <c:lblOffset val="100"/>
        <c:noMultiLvlLbl val="0"/>
      </c:catAx>
      <c:valAx>
        <c:axId val="4492256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7348880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solidFill>
            <a:sysClr val="windowText" lastClr="000000"/>
          </a:solidFill>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ysClr val="windowText" lastClr="000000"/>
                </a:solidFill>
                <a:latin typeface="+mn-lt"/>
                <a:ea typeface="+mn-ea"/>
                <a:cs typeface="+mn-cs"/>
              </a:defRPr>
            </a:pPr>
            <a:r>
              <a:rPr lang="en-GB" b="1"/>
              <a:t>Gearing Ratios</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ysClr val="windowText" lastClr="000000"/>
              </a:solidFill>
              <a:latin typeface="+mn-lt"/>
              <a:ea typeface="+mn-ea"/>
              <a:cs typeface="+mn-cs"/>
            </a:defRPr>
          </a:pPr>
          <a:endParaRPr lang="en-US"/>
        </a:p>
      </c:txPr>
    </c:title>
    <c:autoTitleDeleted val="0"/>
    <c:plotArea>
      <c:layout/>
      <c:barChart>
        <c:barDir val="bar"/>
        <c:grouping val="clustered"/>
        <c:varyColors val="0"/>
        <c:ser>
          <c:idx val="0"/>
          <c:order val="0"/>
          <c:tx>
            <c:strRef>
              <c:f>Graph!$E$26</c:f>
              <c:strCache>
                <c:ptCount val="1"/>
                <c:pt idx="0">
                  <c:v>2024</c:v>
                </c:pt>
              </c:strCache>
            </c:strRef>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Graph!$D$27:$D$28</c:f>
              <c:strCache>
                <c:ptCount val="2"/>
                <c:pt idx="0">
                  <c:v>Interest Coverage Ratio</c:v>
                </c:pt>
                <c:pt idx="1">
                  <c:v>Debt-equity Ratio</c:v>
                </c:pt>
              </c:strCache>
            </c:strRef>
          </c:cat>
          <c:val>
            <c:numRef>
              <c:f>Graph!$E$27:$E$28</c:f>
              <c:numCache>
                <c:formatCode>General</c:formatCode>
                <c:ptCount val="2"/>
                <c:pt idx="0">
                  <c:v>-3.55</c:v>
                </c:pt>
                <c:pt idx="1">
                  <c:v>1.1100000000000001</c:v>
                </c:pt>
              </c:numCache>
            </c:numRef>
          </c:val>
          <c:extLst>
            <c:ext xmlns:c16="http://schemas.microsoft.com/office/drawing/2014/chart" uri="{C3380CC4-5D6E-409C-BE32-E72D297353CC}">
              <c16:uniqueId val="{00000000-46EC-4DBD-8176-A1FA16F34D3E}"/>
            </c:ext>
          </c:extLst>
        </c:ser>
        <c:ser>
          <c:idx val="1"/>
          <c:order val="1"/>
          <c:tx>
            <c:strRef>
              <c:f>Graph!$F$26</c:f>
              <c:strCache>
                <c:ptCount val="1"/>
                <c:pt idx="0">
                  <c:v>2023</c:v>
                </c:pt>
              </c:strCache>
            </c:strRef>
          </c:tx>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Graph!$D$27:$D$28</c:f>
              <c:strCache>
                <c:ptCount val="2"/>
                <c:pt idx="0">
                  <c:v>Interest Coverage Ratio</c:v>
                </c:pt>
                <c:pt idx="1">
                  <c:v>Debt-equity Ratio</c:v>
                </c:pt>
              </c:strCache>
            </c:strRef>
          </c:cat>
          <c:val>
            <c:numRef>
              <c:f>Graph!$F$27:$F$28</c:f>
              <c:numCache>
                <c:formatCode>General</c:formatCode>
                <c:ptCount val="2"/>
                <c:pt idx="0">
                  <c:v>18.690000000000001</c:v>
                </c:pt>
                <c:pt idx="1">
                  <c:v>0.99</c:v>
                </c:pt>
              </c:numCache>
            </c:numRef>
          </c:val>
          <c:extLst>
            <c:ext xmlns:c16="http://schemas.microsoft.com/office/drawing/2014/chart" uri="{C3380CC4-5D6E-409C-BE32-E72D297353CC}">
              <c16:uniqueId val="{00000001-46EC-4DBD-8176-A1FA16F34D3E}"/>
            </c:ext>
          </c:extLst>
        </c:ser>
        <c:ser>
          <c:idx val="2"/>
          <c:order val="2"/>
          <c:tx>
            <c:strRef>
              <c:f>Graph!$G$26</c:f>
              <c:strCache>
                <c:ptCount val="1"/>
                <c:pt idx="0">
                  <c:v>2022</c:v>
                </c:pt>
              </c:strCache>
            </c:strRef>
          </c:tx>
          <c:spPr>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9525" cap="flat" cmpd="sng" algn="ctr">
              <a:solidFill>
                <a:schemeClr val="accent3">
                  <a:shade val="95000"/>
                </a:schemeClr>
              </a:solidFill>
              <a:round/>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Graph!$D$27:$D$28</c:f>
              <c:strCache>
                <c:ptCount val="2"/>
                <c:pt idx="0">
                  <c:v>Interest Coverage Ratio</c:v>
                </c:pt>
                <c:pt idx="1">
                  <c:v>Debt-equity Ratio</c:v>
                </c:pt>
              </c:strCache>
            </c:strRef>
          </c:cat>
          <c:val>
            <c:numRef>
              <c:f>Graph!$G$27:$G$28</c:f>
              <c:numCache>
                <c:formatCode>General</c:formatCode>
                <c:ptCount val="2"/>
                <c:pt idx="0">
                  <c:v>7.61</c:v>
                </c:pt>
                <c:pt idx="1">
                  <c:v>0.88</c:v>
                </c:pt>
              </c:numCache>
            </c:numRef>
          </c:val>
          <c:extLst>
            <c:ext xmlns:c16="http://schemas.microsoft.com/office/drawing/2014/chart" uri="{C3380CC4-5D6E-409C-BE32-E72D297353CC}">
              <c16:uniqueId val="{00000002-46EC-4DBD-8176-A1FA16F34D3E}"/>
            </c:ext>
          </c:extLst>
        </c:ser>
        <c:ser>
          <c:idx val="3"/>
          <c:order val="3"/>
          <c:tx>
            <c:strRef>
              <c:f>Graph!$H$26</c:f>
              <c:strCache>
                <c:ptCount val="1"/>
                <c:pt idx="0">
                  <c:v>2021</c:v>
                </c:pt>
              </c:strCache>
            </c:strRef>
          </c:tx>
          <c:spPr>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9525" cap="flat" cmpd="sng" algn="ctr">
              <a:solidFill>
                <a:schemeClr val="accent4">
                  <a:shade val="95000"/>
                </a:schemeClr>
              </a:solidFill>
              <a:round/>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Graph!$D$27:$D$28</c:f>
              <c:strCache>
                <c:ptCount val="2"/>
                <c:pt idx="0">
                  <c:v>Interest Coverage Ratio</c:v>
                </c:pt>
                <c:pt idx="1">
                  <c:v>Debt-equity Ratio</c:v>
                </c:pt>
              </c:strCache>
            </c:strRef>
          </c:cat>
          <c:val>
            <c:numRef>
              <c:f>Graph!$H$27:$H$28</c:f>
              <c:numCache>
                <c:formatCode>General</c:formatCode>
                <c:ptCount val="2"/>
                <c:pt idx="0">
                  <c:v>42.08</c:v>
                </c:pt>
                <c:pt idx="1">
                  <c:v>0.85</c:v>
                </c:pt>
              </c:numCache>
            </c:numRef>
          </c:val>
          <c:extLst>
            <c:ext xmlns:c16="http://schemas.microsoft.com/office/drawing/2014/chart" uri="{C3380CC4-5D6E-409C-BE32-E72D297353CC}">
              <c16:uniqueId val="{00000003-46EC-4DBD-8176-A1FA16F34D3E}"/>
            </c:ext>
          </c:extLst>
        </c:ser>
        <c:ser>
          <c:idx val="4"/>
          <c:order val="4"/>
          <c:tx>
            <c:strRef>
              <c:f>Graph!$I$26</c:f>
              <c:strCache>
                <c:ptCount val="1"/>
                <c:pt idx="0">
                  <c:v>2020</c:v>
                </c:pt>
              </c:strCache>
            </c:strRef>
          </c:tx>
          <c:spPr>
            <a:gradFill rotWithShape="1">
              <a:gsLst>
                <a:gs pos="0">
                  <a:schemeClr val="accent5">
                    <a:lumMod val="110000"/>
                    <a:satMod val="105000"/>
                    <a:tint val="67000"/>
                  </a:schemeClr>
                </a:gs>
                <a:gs pos="50000">
                  <a:schemeClr val="accent5">
                    <a:lumMod val="105000"/>
                    <a:satMod val="103000"/>
                    <a:tint val="73000"/>
                  </a:schemeClr>
                </a:gs>
                <a:gs pos="100000">
                  <a:schemeClr val="accent5">
                    <a:lumMod val="105000"/>
                    <a:satMod val="109000"/>
                    <a:tint val="81000"/>
                  </a:schemeClr>
                </a:gs>
              </a:gsLst>
              <a:lin ang="5400000" scaled="0"/>
            </a:gradFill>
            <a:ln w="9525" cap="flat" cmpd="sng" algn="ctr">
              <a:solidFill>
                <a:schemeClr val="accent5">
                  <a:shade val="95000"/>
                </a:schemeClr>
              </a:solidFill>
              <a:round/>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Graph!$D$27:$D$28</c:f>
              <c:strCache>
                <c:ptCount val="2"/>
                <c:pt idx="0">
                  <c:v>Interest Coverage Ratio</c:v>
                </c:pt>
                <c:pt idx="1">
                  <c:v>Debt-equity Ratio</c:v>
                </c:pt>
              </c:strCache>
            </c:strRef>
          </c:cat>
          <c:val>
            <c:numRef>
              <c:f>Graph!$I$27:$I$28</c:f>
              <c:numCache>
                <c:formatCode>General</c:formatCode>
                <c:ptCount val="2"/>
                <c:pt idx="0">
                  <c:v>27.21</c:v>
                </c:pt>
                <c:pt idx="1">
                  <c:v>0.63</c:v>
                </c:pt>
              </c:numCache>
            </c:numRef>
          </c:val>
          <c:extLst>
            <c:ext xmlns:c16="http://schemas.microsoft.com/office/drawing/2014/chart" uri="{C3380CC4-5D6E-409C-BE32-E72D297353CC}">
              <c16:uniqueId val="{00000004-46EC-4DBD-8176-A1FA16F34D3E}"/>
            </c:ext>
          </c:extLst>
        </c:ser>
        <c:dLbls>
          <c:dLblPos val="inEnd"/>
          <c:showLegendKey val="0"/>
          <c:showVal val="1"/>
          <c:showCatName val="0"/>
          <c:showSerName val="0"/>
          <c:showPercent val="0"/>
          <c:showBubbleSize val="0"/>
        </c:dLbls>
        <c:gapWidth val="100"/>
        <c:axId val="742208288"/>
        <c:axId val="512775504"/>
      </c:barChart>
      <c:catAx>
        <c:axId val="74220828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512775504"/>
        <c:crosses val="autoZero"/>
        <c:auto val="1"/>
        <c:lblAlgn val="ctr"/>
        <c:lblOffset val="100"/>
        <c:noMultiLvlLbl val="0"/>
      </c:catAx>
      <c:valAx>
        <c:axId val="51277550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7422082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solidFill>
            <a:sysClr val="windowText" lastClr="000000"/>
          </a:solidFill>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Graph!$D$31</c:f>
              <c:strCache>
                <c:ptCount val="1"/>
                <c:pt idx="0">
                  <c:v>EPS</c:v>
                </c:pt>
              </c:strCache>
            </c:strRef>
          </c:tx>
          <c:spPr>
            <a:solidFill>
              <a:schemeClr val="accent6"/>
            </a:solidFill>
            <a:ln>
              <a:noFill/>
            </a:ln>
            <a:effectLst/>
          </c:spPr>
          <c:invertIfNegative val="0"/>
          <c:cat>
            <c:numRef>
              <c:f>Graph!$E$30:$I$30</c:f>
              <c:numCache>
                <c:formatCode>General</c:formatCode>
                <c:ptCount val="5"/>
                <c:pt idx="0">
                  <c:v>2024</c:v>
                </c:pt>
                <c:pt idx="1">
                  <c:v>2023</c:v>
                </c:pt>
                <c:pt idx="2">
                  <c:v>2022</c:v>
                </c:pt>
                <c:pt idx="3">
                  <c:v>2021</c:v>
                </c:pt>
                <c:pt idx="4">
                  <c:v>2020</c:v>
                </c:pt>
              </c:numCache>
            </c:numRef>
          </c:cat>
          <c:val>
            <c:numRef>
              <c:f>Graph!$E$31:$I$31</c:f>
              <c:numCache>
                <c:formatCode>General</c:formatCode>
                <c:ptCount val="5"/>
                <c:pt idx="0">
                  <c:v>-1.85</c:v>
                </c:pt>
                <c:pt idx="1">
                  <c:v>-7.64</c:v>
                </c:pt>
                <c:pt idx="2">
                  <c:v>0.03</c:v>
                </c:pt>
                <c:pt idx="3">
                  <c:v>0.39</c:v>
                </c:pt>
                <c:pt idx="4">
                  <c:v>2.78</c:v>
                </c:pt>
              </c:numCache>
            </c:numRef>
          </c:val>
          <c:extLst>
            <c:ext xmlns:c16="http://schemas.microsoft.com/office/drawing/2014/chart" uri="{C3380CC4-5D6E-409C-BE32-E72D297353CC}">
              <c16:uniqueId val="{00000000-A3E4-4227-8D92-348DA5FA4DDD}"/>
            </c:ext>
          </c:extLst>
        </c:ser>
        <c:dLbls>
          <c:showLegendKey val="0"/>
          <c:showVal val="0"/>
          <c:showCatName val="0"/>
          <c:showSerName val="0"/>
          <c:showPercent val="0"/>
          <c:showBubbleSize val="0"/>
        </c:dLbls>
        <c:gapWidth val="219"/>
        <c:overlap val="-27"/>
        <c:axId val="733897248"/>
        <c:axId val="449209040"/>
      </c:barChart>
      <c:catAx>
        <c:axId val="7338972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9209040"/>
        <c:crosses val="autoZero"/>
        <c:auto val="1"/>
        <c:lblAlgn val="ctr"/>
        <c:lblOffset val="100"/>
        <c:noMultiLvlLbl val="0"/>
      </c:catAx>
      <c:valAx>
        <c:axId val="4492090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389724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r>
              <a:rPr lang="en-GB" b="1"/>
              <a:t>Cash Flow Ratio</a:t>
            </a:r>
          </a:p>
        </c:rich>
      </c:tx>
      <c:layout>
        <c:manualLayout>
          <c:xMode val="edge"/>
          <c:yMode val="edge"/>
          <c:x val="0.41782633420822402"/>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endParaRPr lang="en-US"/>
        </a:p>
      </c:txPr>
    </c:title>
    <c:autoTitleDeleted val="0"/>
    <c:plotArea>
      <c:layout/>
      <c:barChart>
        <c:barDir val="bar"/>
        <c:grouping val="clustered"/>
        <c:varyColors val="0"/>
        <c:ser>
          <c:idx val="0"/>
          <c:order val="0"/>
          <c:tx>
            <c:strRef>
              <c:f>Graph!$E$33</c:f>
              <c:strCache>
                <c:ptCount val="1"/>
                <c:pt idx="0">
                  <c:v>2024</c:v>
                </c:pt>
              </c:strCache>
            </c:strRef>
          </c:tx>
          <c:spPr>
            <a:solidFill>
              <a:schemeClr val="accent1"/>
            </a:solidFill>
            <a:ln>
              <a:noFill/>
            </a:ln>
            <a:effectLst/>
          </c:spPr>
          <c:invertIfNegative val="0"/>
          <c:cat>
            <c:strRef>
              <c:f>Graph!$D$34</c:f>
              <c:strCache>
                <c:ptCount val="1"/>
                <c:pt idx="0">
                  <c:v>Operating Cash Flow</c:v>
                </c:pt>
              </c:strCache>
            </c:strRef>
          </c:cat>
          <c:val>
            <c:numRef>
              <c:f>Graph!$E$34</c:f>
              <c:numCache>
                <c:formatCode>General</c:formatCode>
                <c:ptCount val="1"/>
                <c:pt idx="0">
                  <c:v>0.17</c:v>
                </c:pt>
              </c:numCache>
            </c:numRef>
          </c:val>
          <c:extLst>
            <c:ext xmlns:c16="http://schemas.microsoft.com/office/drawing/2014/chart" uri="{C3380CC4-5D6E-409C-BE32-E72D297353CC}">
              <c16:uniqueId val="{00000000-87F1-4A78-B890-F4936A682B46}"/>
            </c:ext>
          </c:extLst>
        </c:ser>
        <c:ser>
          <c:idx val="1"/>
          <c:order val="1"/>
          <c:tx>
            <c:strRef>
              <c:f>Graph!$F$33</c:f>
              <c:strCache>
                <c:ptCount val="1"/>
                <c:pt idx="0">
                  <c:v>2023</c:v>
                </c:pt>
              </c:strCache>
            </c:strRef>
          </c:tx>
          <c:spPr>
            <a:solidFill>
              <a:schemeClr val="accent2"/>
            </a:solidFill>
            <a:ln>
              <a:noFill/>
            </a:ln>
            <a:effectLst/>
          </c:spPr>
          <c:invertIfNegative val="0"/>
          <c:cat>
            <c:strRef>
              <c:f>Graph!$D$34</c:f>
              <c:strCache>
                <c:ptCount val="1"/>
                <c:pt idx="0">
                  <c:v>Operating Cash Flow</c:v>
                </c:pt>
              </c:strCache>
            </c:strRef>
          </c:cat>
          <c:val>
            <c:numRef>
              <c:f>Graph!$F$34</c:f>
              <c:numCache>
                <c:formatCode>General</c:formatCode>
                <c:ptCount val="1"/>
                <c:pt idx="0">
                  <c:v>0.27</c:v>
                </c:pt>
              </c:numCache>
            </c:numRef>
          </c:val>
          <c:extLst>
            <c:ext xmlns:c16="http://schemas.microsoft.com/office/drawing/2014/chart" uri="{C3380CC4-5D6E-409C-BE32-E72D297353CC}">
              <c16:uniqueId val="{00000001-87F1-4A78-B890-F4936A682B46}"/>
            </c:ext>
          </c:extLst>
        </c:ser>
        <c:ser>
          <c:idx val="2"/>
          <c:order val="2"/>
          <c:tx>
            <c:strRef>
              <c:f>Graph!$G$33</c:f>
              <c:strCache>
                <c:ptCount val="1"/>
                <c:pt idx="0">
                  <c:v>2022</c:v>
                </c:pt>
              </c:strCache>
            </c:strRef>
          </c:tx>
          <c:spPr>
            <a:solidFill>
              <a:schemeClr val="accent3"/>
            </a:solidFill>
            <a:ln>
              <a:noFill/>
            </a:ln>
            <a:effectLst/>
          </c:spPr>
          <c:invertIfNegative val="0"/>
          <c:cat>
            <c:strRef>
              <c:f>Graph!$D$34</c:f>
              <c:strCache>
                <c:ptCount val="1"/>
                <c:pt idx="0">
                  <c:v>Operating Cash Flow</c:v>
                </c:pt>
              </c:strCache>
            </c:strRef>
          </c:cat>
          <c:val>
            <c:numRef>
              <c:f>Graph!$G$34</c:f>
              <c:numCache>
                <c:formatCode>General</c:formatCode>
                <c:ptCount val="1"/>
                <c:pt idx="0">
                  <c:v>0.31</c:v>
                </c:pt>
              </c:numCache>
            </c:numRef>
          </c:val>
          <c:extLst>
            <c:ext xmlns:c16="http://schemas.microsoft.com/office/drawing/2014/chart" uri="{C3380CC4-5D6E-409C-BE32-E72D297353CC}">
              <c16:uniqueId val="{00000002-87F1-4A78-B890-F4936A682B46}"/>
            </c:ext>
          </c:extLst>
        </c:ser>
        <c:ser>
          <c:idx val="3"/>
          <c:order val="3"/>
          <c:tx>
            <c:strRef>
              <c:f>Graph!$H$33</c:f>
              <c:strCache>
                <c:ptCount val="1"/>
                <c:pt idx="0">
                  <c:v>2021</c:v>
                </c:pt>
              </c:strCache>
            </c:strRef>
          </c:tx>
          <c:spPr>
            <a:solidFill>
              <a:schemeClr val="accent4"/>
            </a:solidFill>
            <a:ln>
              <a:noFill/>
            </a:ln>
            <a:effectLst/>
          </c:spPr>
          <c:invertIfNegative val="0"/>
          <c:cat>
            <c:strRef>
              <c:f>Graph!$D$34</c:f>
              <c:strCache>
                <c:ptCount val="1"/>
                <c:pt idx="0">
                  <c:v>Operating Cash Flow</c:v>
                </c:pt>
              </c:strCache>
            </c:strRef>
          </c:cat>
          <c:val>
            <c:numRef>
              <c:f>Graph!$H$34</c:f>
              <c:numCache>
                <c:formatCode>General</c:formatCode>
                <c:ptCount val="1"/>
                <c:pt idx="0">
                  <c:v>0.31</c:v>
                </c:pt>
              </c:numCache>
            </c:numRef>
          </c:val>
          <c:extLst>
            <c:ext xmlns:c16="http://schemas.microsoft.com/office/drawing/2014/chart" uri="{C3380CC4-5D6E-409C-BE32-E72D297353CC}">
              <c16:uniqueId val="{00000003-87F1-4A78-B890-F4936A682B46}"/>
            </c:ext>
          </c:extLst>
        </c:ser>
        <c:ser>
          <c:idx val="4"/>
          <c:order val="4"/>
          <c:tx>
            <c:strRef>
              <c:f>Graph!$I$33</c:f>
              <c:strCache>
                <c:ptCount val="1"/>
                <c:pt idx="0">
                  <c:v>2020</c:v>
                </c:pt>
              </c:strCache>
            </c:strRef>
          </c:tx>
          <c:spPr>
            <a:solidFill>
              <a:schemeClr val="accent5"/>
            </a:solidFill>
            <a:ln>
              <a:noFill/>
            </a:ln>
            <a:effectLst/>
          </c:spPr>
          <c:invertIfNegative val="0"/>
          <c:cat>
            <c:strRef>
              <c:f>Graph!$D$34</c:f>
              <c:strCache>
                <c:ptCount val="1"/>
                <c:pt idx="0">
                  <c:v>Operating Cash Flow</c:v>
                </c:pt>
              </c:strCache>
            </c:strRef>
          </c:cat>
          <c:val>
            <c:numRef>
              <c:f>Graph!$I$34</c:f>
              <c:numCache>
                <c:formatCode>General</c:formatCode>
                <c:ptCount val="1"/>
                <c:pt idx="0">
                  <c:v>0.32</c:v>
                </c:pt>
              </c:numCache>
            </c:numRef>
          </c:val>
          <c:extLst>
            <c:ext xmlns:c16="http://schemas.microsoft.com/office/drawing/2014/chart" uri="{C3380CC4-5D6E-409C-BE32-E72D297353CC}">
              <c16:uniqueId val="{00000004-87F1-4A78-B890-F4936A682B46}"/>
            </c:ext>
          </c:extLst>
        </c:ser>
        <c:dLbls>
          <c:showLegendKey val="0"/>
          <c:showVal val="0"/>
          <c:showCatName val="0"/>
          <c:showSerName val="0"/>
          <c:showPercent val="0"/>
          <c:showBubbleSize val="0"/>
        </c:dLbls>
        <c:gapWidth val="182"/>
        <c:axId val="512879616"/>
        <c:axId val="449208208"/>
      </c:barChart>
      <c:catAx>
        <c:axId val="51287961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449208208"/>
        <c:crosses val="autoZero"/>
        <c:auto val="1"/>
        <c:lblAlgn val="ctr"/>
        <c:lblOffset val="100"/>
        <c:noMultiLvlLbl val="0"/>
      </c:catAx>
      <c:valAx>
        <c:axId val="44920820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5128796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solidFill>
            <a:sysClr val="windowText" lastClr="000000"/>
          </a:solidFill>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2.xml><?xml version="1.0" encoding="utf-8"?>
<cs:chartStyle xmlns:cs="http://schemas.microsoft.com/office/drawing/2012/chartStyle" xmlns:a="http://schemas.openxmlformats.org/drawingml/2006/main" id="298">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9">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793F3C1-FE73-4B77-AC58-07C8C43B5A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159</TotalTime>
  <Pages>28</Pages>
  <Words>6820</Words>
  <Characters>37307</Characters>
  <Application>Microsoft Office Word</Application>
  <DocSecurity>0</DocSecurity>
  <Lines>1286</Lines>
  <Paragraphs>760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43367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Kamrul Islam</dc:creator>
  <cp:keywords/>
  <dc:description/>
  <cp:lastModifiedBy>Kamrul Islam Bayazid (2506580)</cp:lastModifiedBy>
  <cp:revision>41</cp:revision>
  <dcterms:created xsi:type="dcterms:W3CDTF">2025-12-17T15:39:00Z</dcterms:created>
  <dcterms:modified xsi:type="dcterms:W3CDTF">2025-12-20T07:28:00Z</dcterms:modified>
  <cp:category/>
</cp:coreProperties>
</file>