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72939B" w14:textId="77777777" w:rsidR="00925717" w:rsidRPr="00925717" w:rsidRDefault="00925717" w:rsidP="00925717">
      <w:r w:rsidRPr="00925717">
        <w:rPr>
          <w:lang w:val="en"/>
        </w:rPr>
        <w:t>The first thousand days, from conception up to two years, are a period of essential growth and development on the part of a newborn baby. The period is notable for dangers in terms of dietary, environmental, hormonal and other stress. According to research by scientists in the field of human and animal bodies, and cell development it is noted that a significant physiological change takes place during this early period with a probability for long-term effects. This affects mothers from a low and middle income background according to research (McDonald and Thorne-Lyman, 2018, p. 1-9).</w:t>
      </w:r>
    </w:p>
    <w:p w14:paraId="2AF92E92" w14:textId="77777777" w:rsidR="00925717" w:rsidRPr="00925717" w:rsidRDefault="00925717" w:rsidP="00925717">
      <w:pPr>
        <w:rPr>
          <w:lang w:val="en"/>
        </w:rPr>
      </w:pPr>
      <w:r w:rsidRPr="00925717">
        <w:rPr>
          <w:lang w:val="en"/>
        </w:rPr>
        <w:t xml:space="preserve">Diet. According to NHS (2023) a healthy and balanced diet during pregnancy can help the baby grow and develop. He also says that taking a folic acid supplement is beneficial to ensure that the mother is getting everything she needs. </w:t>
      </w:r>
    </w:p>
    <w:p w14:paraId="347C5142" w14:textId="77777777" w:rsidR="00925717" w:rsidRPr="00925717" w:rsidRDefault="00925717" w:rsidP="00925717">
      <w:pPr>
        <w:rPr>
          <w:lang w:val="en"/>
        </w:rPr>
      </w:pPr>
      <w:r w:rsidRPr="00925717">
        <w:rPr>
          <w:lang w:val="en"/>
        </w:rPr>
        <w:t>Attend pregnancy appointments. Again NHS (2023) encourages mothers to go to their antenatal appointments. The scans, tests and checks are an important part of ensuring that the mother and the baby are healthy. Also, these help to find potential problems with the baby. That is why appointments are weekly.</w:t>
      </w:r>
    </w:p>
    <w:p w14:paraId="20462FFD" w14:textId="77777777" w:rsidR="00925717" w:rsidRPr="00925717" w:rsidRDefault="00925717" w:rsidP="00925717">
      <w:r w:rsidRPr="00925717">
        <w:rPr>
          <w:lang w:val="en"/>
        </w:rPr>
        <w:t>Mental health. During pregnancy the NHS (2023) offers a range of advice on how to keep up and/or improve mothers' mental health during pregnancy such as talking to their midwife, friend or family about how they feel, taking part in physical activity to improve mood and try to attend antenatal classes to meet others who are expecting.</w:t>
      </w:r>
    </w:p>
    <w:p w14:paraId="1BE2A882" w14:textId="77777777" w:rsidR="00925717" w:rsidRPr="00925717" w:rsidRDefault="00925717" w:rsidP="00925717">
      <w:pPr>
        <w:rPr>
          <w:lang w:val="en"/>
        </w:rPr>
      </w:pPr>
      <w:r w:rsidRPr="00925717">
        <w:rPr>
          <w:lang w:val="en"/>
        </w:rPr>
        <w:t>Smile at people</w:t>
      </w:r>
    </w:p>
    <w:p w14:paraId="61675100" w14:textId="77777777" w:rsidR="00925717" w:rsidRPr="00925717" w:rsidRDefault="00925717" w:rsidP="00925717">
      <w:pPr>
        <w:rPr>
          <w:lang w:val="en"/>
        </w:rPr>
      </w:pPr>
      <w:r w:rsidRPr="00925717">
        <w:rPr>
          <w:lang w:val="en"/>
        </w:rPr>
        <w:t>Recognize familiar people</w:t>
      </w:r>
    </w:p>
    <w:p w14:paraId="539B5BAB" w14:textId="77777777" w:rsidR="00925717" w:rsidRPr="00925717" w:rsidRDefault="00925717" w:rsidP="00925717">
      <w:pPr>
        <w:rPr>
          <w:lang w:val="en"/>
        </w:rPr>
      </w:pPr>
      <w:r w:rsidRPr="00925717">
        <w:rPr>
          <w:lang w:val="en"/>
        </w:rPr>
        <w:t>Usually by four months babies have doubled in weight</w:t>
      </w:r>
    </w:p>
    <w:p w14:paraId="0A1893D4" w14:textId="77777777" w:rsidR="00925717" w:rsidRPr="00925717" w:rsidRDefault="00925717" w:rsidP="00925717">
      <w:pPr>
        <w:rPr>
          <w:lang w:val="en"/>
        </w:rPr>
      </w:pPr>
      <w:r w:rsidRPr="00925717">
        <w:rPr>
          <w:lang w:val="en"/>
        </w:rPr>
        <w:t>Hold their arms up to be lifted</w:t>
      </w:r>
    </w:p>
    <w:p w14:paraId="6BEBE449" w14:textId="77777777" w:rsidR="00925717" w:rsidRPr="00925717" w:rsidRDefault="00925717" w:rsidP="00925717">
      <w:pPr>
        <w:rPr>
          <w:lang w:val="en"/>
        </w:rPr>
      </w:pPr>
      <w:r w:rsidRPr="00925717">
        <w:rPr>
          <w:lang w:val="en"/>
        </w:rPr>
        <w:t>Look in the direction of sounds</w:t>
      </w:r>
    </w:p>
    <w:p w14:paraId="53A1AE2B" w14:textId="77777777" w:rsidR="00925717" w:rsidRPr="00925717" w:rsidRDefault="00925717" w:rsidP="00925717">
      <w:pPr>
        <w:rPr>
          <w:lang w:val="en"/>
        </w:rPr>
      </w:pPr>
      <w:r w:rsidRPr="00925717">
        <w:rPr>
          <w:lang w:val="en"/>
        </w:rPr>
        <w:t>Sit up on top of this for minutes</w:t>
      </w:r>
    </w:p>
    <w:p w14:paraId="7CA385F4" w14:textId="77777777" w:rsidR="00925717" w:rsidRPr="00925717" w:rsidRDefault="00925717" w:rsidP="00925717">
      <w:r w:rsidRPr="00925717">
        <w:rPr>
          <w:lang w:val="en"/>
        </w:rPr>
        <w:t>Many babies take their first steps during this important period.</w:t>
      </w:r>
    </w:p>
    <w:p w14:paraId="7977BB31" w14:textId="77777777" w:rsidR="00925717" w:rsidRPr="00925717" w:rsidRDefault="00925717" w:rsidP="00925717">
      <w:r w:rsidRPr="00925717">
        <w:rPr>
          <w:lang w:val="en"/>
        </w:rPr>
        <w:t>The toddler stage is a span between infancy and early childhood. Early foundations are built for learning, relationships and health. As parents, carers and practitioners address their needs, a foundation for continued success and development is created.</w:t>
      </w:r>
    </w:p>
    <w:p w14:paraId="2A12C3E1" w14:textId="77777777" w:rsidR="00925717" w:rsidRPr="00925717" w:rsidRDefault="00925717" w:rsidP="00925717">
      <w:pPr>
        <w:rPr>
          <w:lang w:val="en"/>
        </w:rPr>
      </w:pPr>
      <w:r w:rsidRPr="00925717">
        <w:rPr>
          <w:lang w:val="en"/>
        </w:rPr>
        <w:t>Establishing trusting relationships between home and setting, where shared objectives for learning and development exist, improves children's well-being and sense of belonging.</w:t>
      </w:r>
    </w:p>
    <w:p w14:paraId="2CF16309" w14:textId="77777777" w:rsidR="00925717" w:rsidRPr="00925717" w:rsidRDefault="00925717" w:rsidP="00925717">
      <w:pPr>
        <w:rPr>
          <w:lang w:val="en"/>
        </w:rPr>
      </w:pPr>
    </w:p>
    <w:p w14:paraId="43711102" w14:textId="77777777" w:rsidR="00925717" w:rsidRPr="00925717" w:rsidRDefault="00925717" w:rsidP="00925717">
      <w:pPr>
        <w:rPr>
          <w:lang w:val="en"/>
        </w:rPr>
      </w:pPr>
      <w:r w:rsidRPr="00925717">
        <w:rPr>
          <w:lang w:val="en"/>
        </w:rPr>
        <w:t>Recognizing that parents and caregivers serve as a child's first educators is essential. Valuing their insights and understanding of their child is essential not only for facilitating a smooth transition from home to the educational setting but also for fostering strong and lasting partnerships.</w:t>
      </w:r>
    </w:p>
    <w:p w14:paraId="63A6512B" w14:textId="77777777" w:rsidR="00925717" w:rsidRPr="00925717" w:rsidRDefault="00925717" w:rsidP="00925717">
      <w:pPr>
        <w:rPr>
          <w:lang w:val="en"/>
        </w:rPr>
      </w:pPr>
    </w:p>
    <w:p w14:paraId="7E84B77C" w14:textId="77777777" w:rsidR="00925717" w:rsidRPr="00925717" w:rsidRDefault="00925717" w:rsidP="00925717">
      <w:r w:rsidRPr="00925717">
        <w:rPr>
          <w:lang w:val="en"/>
        </w:rPr>
        <w:t>Settings that prioritize open communication with parents and carers, alongside attentive listening and observation of children, are in a better position to facilitate a positive transition experience.   (Education Wales, 2024)</w:t>
      </w:r>
    </w:p>
    <w:p w14:paraId="5857C518" w14:textId="77777777" w:rsidR="008107C5" w:rsidRDefault="008107C5"/>
    <w:p w14:paraId="1CE42E3E" w14:textId="77777777" w:rsidR="00925717" w:rsidRPr="00925717" w:rsidRDefault="00925717" w:rsidP="00925717">
      <w:pPr>
        <w:rPr>
          <w:lang w:val="en"/>
        </w:rPr>
      </w:pPr>
      <w:r w:rsidRPr="00925717">
        <w:rPr>
          <w:lang w:val="en"/>
        </w:rPr>
        <w:lastRenderedPageBreak/>
        <w:t>Effective transition management is essential in determining the overall experience for a child. Providing appropriate support during this transition period is essential. A lack of such support can have significant long-term consequences. These can include less self-esteem and confidence, difficulty in establishing meaningful relationships, and less ability to adapt to change, both in the near and distant future.</w:t>
      </w:r>
    </w:p>
    <w:p w14:paraId="78CEB68B" w14:textId="77777777" w:rsidR="00925717" w:rsidRPr="00925717" w:rsidRDefault="00925717" w:rsidP="00925717">
      <w:pPr>
        <w:rPr>
          <w:lang w:val="en"/>
        </w:rPr>
      </w:pPr>
    </w:p>
    <w:p w14:paraId="2D3DF147" w14:textId="77777777" w:rsidR="00925717" w:rsidRPr="00925717" w:rsidRDefault="00925717" w:rsidP="00925717">
      <w:r w:rsidRPr="00925717">
        <w:rPr>
          <w:lang w:val="en"/>
        </w:rPr>
        <w:t>Effective collaboration between settings and parents or carers is essential in order to understand the unique needs of each child. By working together, it can be ensured that transition is managed smoothly and supportively for all children involved. (Education Wales, 2024)</w:t>
      </w:r>
    </w:p>
    <w:p w14:paraId="6D6909EA" w14:textId="77777777" w:rsidR="00925717" w:rsidRPr="00925717" w:rsidRDefault="00925717" w:rsidP="00925717">
      <w:pPr>
        <w:rPr>
          <w:lang w:val="en"/>
        </w:rPr>
      </w:pPr>
      <w:r w:rsidRPr="00925717">
        <w:rPr>
          <w:lang w:val="en"/>
        </w:rPr>
        <w:t>Hertzman (2002) notes that children are sure to develop with the above elements in place despite their background or needs.</w:t>
      </w:r>
    </w:p>
    <w:p w14:paraId="71AE4D97" w14:textId="77777777" w:rsidR="00925717" w:rsidRPr="00925717" w:rsidRDefault="00925717" w:rsidP="00925717">
      <w:pPr>
        <w:rPr>
          <w:lang w:val="en"/>
        </w:rPr>
      </w:pPr>
      <w:r w:rsidRPr="00925717">
        <w:rPr>
          <w:lang w:val="en"/>
        </w:rPr>
        <w:t xml:space="preserve">By promoting an inclusive ethos as above children will learn to respect and celebrate differences in relation to their peers </w:t>
      </w:r>
    </w:p>
    <w:p w14:paraId="46E39629" w14:textId="77777777" w:rsidR="00925717" w:rsidRPr="00925717" w:rsidRDefault="00925717" w:rsidP="00925717">
      <w:r w:rsidRPr="00925717">
        <w:rPr>
          <w:lang w:val="en"/>
        </w:rPr>
        <w:t>As practitioners promote children's interest in diversity, they develop positive attitudes towards differences throughout their lives.</w:t>
      </w:r>
    </w:p>
    <w:p w14:paraId="392CAA9F" w14:textId="77777777" w:rsidR="00925717" w:rsidRPr="00925717" w:rsidRDefault="00925717" w:rsidP="00925717">
      <w:r w:rsidRPr="00925717">
        <w:rPr>
          <w:lang w:val="en"/>
        </w:rPr>
        <w:t>Groups of learners to be considered when formulating inclusive policies and procedures (Welsh Government, 2016 referenced in Rees-Edwards and Ryder, 2018).</w:t>
      </w:r>
    </w:p>
    <w:p w14:paraId="46EACC80" w14:textId="77777777" w:rsidR="00925717" w:rsidRDefault="00925717"/>
    <w:p w14:paraId="5B6A94E4" w14:textId="56814ED9" w:rsidR="00925717" w:rsidRDefault="00925717" w:rsidP="00925717">
      <w:r w:rsidRPr="00925717">
        <w:drawing>
          <wp:inline distT="0" distB="0" distL="0" distR="0" wp14:anchorId="39BAAC21" wp14:editId="496A4AE6">
            <wp:extent cx="4923596" cy="4597832"/>
            <wp:effectExtent l="19050" t="19050" r="10795" b="12700"/>
            <wp:docPr id="8" name="Picture 7" descr="A white background with black text&#10;&#10;Description automatically generated">
              <a:extLst xmlns:a="http://schemas.openxmlformats.org/drawingml/2006/main">
                <a:ext uri="{FF2B5EF4-FFF2-40B4-BE49-F238E27FC236}">
                  <a16:creationId xmlns:a16="http://schemas.microsoft.com/office/drawing/2014/main" id="{C4D9547A-BB66-035D-1A6F-7B74FB10AE5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white background with black text&#10;&#10;Description automatically generated">
                      <a:extLst>
                        <a:ext uri="{FF2B5EF4-FFF2-40B4-BE49-F238E27FC236}">
                          <a16:creationId xmlns:a16="http://schemas.microsoft.com/office/drawing/2014/main" id="{C4D9547A-BB66-035D-1A6F-7B74FB10AE5B}"/>
                        </a:ext>
                      </a:extLst>
                    </pic:cNvPr>
                    <pic:cNvPicPr>
                      <a:picLocks noChangeAspect="1"/>
                    </pic:cNvPicPr>
                  </pic:nvPicPr>
                  <pic:blipFill>
                    <a:blip r:embed="rId4">
                      <a:extLst>
                        <a:ext uri="{28A0092B-C50C-407E-A947-70E740481C1C}">
                          <a14:useLocalDpi xmlns:a14="http://schemas.microsoft.com/office/drawing/2010/main" val="0"/>
                        </a:ext>
                      </a:extLst>
                    </a:blip>
                    <a:stretch>
                      <a:fillRect/>
                    </a:stretch>
                  </pic:blipFill>
                  <pic:spPr>
                    <a:xfrm>
                      <a:off x="0" y="0"/>
                      <a:ext cx="4923596" cy="4597832"/>
                    </a:xfrm>
                    <a:prstGeom prst="rect">
                      <a:avLst/>
                    </a:prstGeom>
                    <a:ln>
                      <a:solidFill>
                        <a:schemeClr val="bg1"/>
                      </a:solidFill>
                    </a:ln>
                  </pic:spPr>
                </pic:pic>
              </a:graphicData>
            </a:graphic>
          </wp:inline>
        </w:drawing>
      </w:r>
    </w:p>
    <w:p w14:paraId="06CE8BB3" w14:textId="77777777" w:rsidR="00925717" w:rsidRPr="00925717" w:rsidRDefault="00925717" w:rsidP="00925717">
      <w:pPr>
        <w:rPr>
          <w:lang w:val="en"/>
        </w:rPr>
      </w:pPr>
      <w:r w:rsidRPr="00925717">
        <w:rPr>
          <w:lang w:val="en"/>
        </w:rPr>
        <w:lastRenderedPageBreak/>
        <w:t>According to Ryder (2010, p. 203), practitioners should consider: -</w:t>
      </w:r>
    </w:p>
    <w:p w14:paraId="3CD218E9" w14:textId="77777777" w:rsidR="00925717" w:rsidRPr="00925717" w:rsidRDefault="00925717" w:rsidP="00925717">
      <w:pPr>
        <w:rPr>
          <w:lang w:val="en"/>
        </w:rPr>
      </w:pPr>
      <w:r w:rsidRPr="00925717">
        <w:rPr>
          <w:lang w:val="en"/>
        </w:rPr>
        <w:t>Developmentally appropriate practice</w:t>
      </w:r>
    </w:p>
    <w:p w14:paraId="6312760A" w14:textId="77777777" w:rsidR="00925717" w:rsidRPr="00925717" w:rsidRDefault="00925717" w:rsidP="00925717">
      <w:pPr>
        <w:rPr>
          <w:lang w:val="en"/>
        </w:rPr>
      </w:pPr>
      <w:r w:rsidRPr="00925717">
        <w:rPr>
          <w:lang w:val="en"/>
        </w:rPr>
        <w:t>Pedagogy based on observation and assessment</w:t>
      </w:r>
    </w:p>
    <w:p w14:paraId="56473DD7" w14:textId="77777777" w:rsidR="00925717" w:rsidRPr="00925717" w:rsidRDefault="00925717" w:rsidP="00925717">
      <w:pPr>
        <w:rPr>
          <w:lang w:val="en"/>
        </w:rPr>
      </w:pPr>
      <w:r w:rsidRPr="00925717">
        <w:rPr>
          <w:lang w:val="en"/>
        </w:rPr>
        <w:t>Parental input</w:t>
      </w:r>
    </w:p>
    <w:p w14:paraId="061C43A4" w14:textId="77777777" w:rsidR="00925717" w:rsidRPr="00925717" w:rsidRDefault="00925717" w:rsidP="00925717">
      <w:pPr>
        <w:rPr>
          <w:lang w:val="en"/>
        </w:rPr>
      </w:pPr>
      <w:r w:rsidRPr="00925717">
        <w:rPr>
          <w:lang w:val="en"/>
        </w:rPr>
        <w:t>Equality of access to a differentiated curriculum</w:t>
      </w:r>
    </w:p>
    <w:p w14:paraId="055B9897" w14:textId="77777777" w:rsidR="00925717" w:rsidRPr="00925717" w:rsidRDefault="00925717" w:rsidP="00925717">
      <w:r w:rsidRPr="00925717">
        <w:rPr>
          <w:lang w:val="en"/>
        </w:rPr>
        <w:t>A multi-professional approach to provision</w:t>
      </w:r>
    </w:p>
    <w:p w14:paraId="52119E76" w14:textId="77777777" w:rsidR="00925717" w:rsidRDefault="00925717" w:rsidP="00925717"/>
    <w:p w14:paraId="3608CA5B" w14:textId="77777777" w:rsidR="00925717" w:rsidRPr="00925717" w:rsidRDefault="00925717" w:rsidP="00925717">
      <w:pPr>
        <w:rPr>
          <w:lang w:val="en"/>
        </w:rPr>
      </w:pPr>
      <w:r w:rsidRPr="00925717">
        <w:rPr>
          <w:lang w:val="en"/>
        </w:rPr>
        <w:t>Copple and Bredekamp (2006, p. 7) note the following challenges: -</w:t>
      </w:r>
    </w:p>
    <w:p w14:paraId="0A47D6BD" w14:textId="77777777" w:rsidR="00925717" w:rsidRPr="00925717" w:rsidRDefault="00925717" w:rsidP="00925717">
      <w:pPr>
        <w:rPr>
          <w:lang w:val="en"/>
        </w:rPr>
      </w:pPr>
      <w:r w:rsidRPr="00925717">
        <w:rPr>
          <w:lang w:val="en"/>
        </w:rPr>
        <w:t>Recognize the point of development of each learner physically, emotionally, socially and intellectually</w:t>
      </w:r>
    </w:p>
    <w:p w14:paraId="0105B455" w14:textId="77777777" w:rsidR="00925717" w:rsidRPr="00925717" w:rsidRDefault="00925717" w:rsidP="00925717">
      <w:r w:rsidRPr="00925717">
        <w:rPr>
          <w:lang w:val="en"/>
        </w:rPr>
        <w:t>Prepare a sufficient challenge suitable to the experiences and needs of each individual.</w:t>
      </w:r>
    </w:p>
    <w:p w14:paraId="10FEB79E" w14:textId="77777777" w:rsidR="001E600F" w:rsidRPr="001E600F" w:rsidRDefault="001E600F" w:rsidP="001E600F">
      <w:proofErr w:type="spellStart"/>
      <w:r w:rsidRPr="001E600F">
        <w:rPr>
          <w:lang w:val="nb-NO"/>
        </w:rPr>
        <w:t>Refers</w:t>
      </w:r>
      <w:proofErr w:type="spellEnd"/>
      <w:r w:rsidRPr="001E600F">
        <w:rPr>
          <w:lang w:val="nb-NO"/>
        </w:rPr>
        <w:t xml:space="preserve"> to </w:t>
      </w:r>
      <w:proofErr w:type="spellStart"/>
      <w:r w:rsidRPr="001E600F">
        <w:rPr>
          <w:lang w:val="nb-NO"/>
        </w:rPr>
        <w:t>Bubikova</w:t>
      </w:r>
      <w:proofErr w:type="spellEnd"/>
      <w:r w:rsidRPr="001E600F">
        <w:rPr>
          <w:lang w:val="nb-NO"/>
        </w:rPr>
        <w:t xml:space="preserve">-Moan et al. </w:t>
      </w:r>
      <w:r w:rsidRPr="001E600F">
        <w:rPr>
          <w:lang w:val="en"/>
        </w:rPr>
        <w:t xml:space="preserve">(2019) to research which indicates that facilitators are the role that facilitators play when children play, including preparing the room ready for children to choose play equipment and freedom to choose what, when and how. The belief of Gaviria-Loaiza et al. (2017) that practitioner intervention is beneficial if it responds to the child's voice and request. </w:t>
      </w:r>
      <w:proofErr w:type="spellStart"/>
      <w:r w:rsidRPr="001E600F">
        <w:rPr>
          <w:lang w:val="en"/>
        </w:rPr>
        <w:t>Ashiabi</w:t>
      </w:r>
      <w:proofErr w:type="spellEnd"/>
      <w:r w:rsidRPr="001E600F">
        <w:rPr>
          <w:lang w:val="en"/>
        </w:rPr>
        <w:t xml:space="preserve"> (2007), Brown and Freeman (2001), Trawick-Smith and </w:t>
      </w:r>
      <w:proofErr w:type="spellStart"/>
      <w:r w:rsidRPr="001E600F">
        <w:rPr>
          <w:lang w:val="en"/>
        </w:rPr>
        <w:t>Dziurgot</w:t>
      </w:r>
      <w:proofErr w:type="spellEnd"/>
      <w:r w:rsidRPr="001E600F">
        <w:rPr>
          <w:lang w:val="en"/>
        </w:rPr>
        <w:t xml:space="preserve"> (2011) agree, noting the need for practitioners to pause and give children the opportunity to solve problems independently before offering a helping hand. To succeed, practitioners must develop a better understanding of play pedagogy (Fleer, 2015).</w:t>
      </w:r>
    </w:p>
    <w:p w14:paraId="60780FFD" w14:textId="77777777" w:rsidR="001E600F" w:rsidRPr="001E600F" w:rsidRDefault="001E600F" w:rsidP="001E600F">
      <w:r w:rsidRPr="001E600F">
        <w:rPr>
          <w:lang w:val="en"/>
        </w:rPr>
        <w:t>Tardos (2014) suggests that this is not easy, as there are four tasks related to success which are securing a suitable and safe space, planning and preparing the area, managing the space when creating a schedule and observing the play, and exchanging the resources to match the children's theme or skills.</w:t>
      </w:r>
    </w:p>
    <w:p w14:paraId="4986ABB4" w14:textId="77777777" w:rsidR="001E600F" w:rsidRPr="001E600F" w:rsidRDefault="001E600F" w:rsidP="001E600F">
      <w:r w:rsidRPr="001E600F">
        <w:rPr>
          <w:lang w:val="en"/>
        </w:rPr>
        <w:t>Falk (2018c), Kálló and Balog (2013), Tardos (2018) believe that "... ​when children build strong relationships with their educators during direct exchanges, they are psychologically nurtured and not lose the adult's direct intervention when they are in the play area."</w:t>
      </w:r>
    </w:p>
    <w:p w14:paraId="6C6262CD" w14:textId="77777777" w:rsidR="00925717" w:rsidRDefault="00925717" w:rsidP="00925717"/>
    <w:p w14:paraId="626EE6EC" w14:textId="77777777" w:rsidR="001E600F" w:rsidRPr="001E600F" w:rsidRDefault="001E600F" w:rsidP="001E600F">
      <w:pPr>
        <w:rPr>
          <w:lang w:val="cy-GB"/>
        </w:rPr>
      </w:pPr>
      <w:r w:rsidRPr="001E600F">
        <w:rPr>
          <w:lang w:val="cy-GB"/>
        </w:rPr>
        <w:t xml:space="preserve">Aiff </w:t>
      </w:r>
      <w:proofErr w:type="spellStart"/>
      <w:r w:rsidRPr="001E600F">
        <w:rPr>
          <w:lang w:val="cy-GB"/>
        </w:rPr>
        <w:t>Pikler</w:t>
      </w:r>
      <w:proofErr w:type="spellEnd"/>
      <w:r w:rsidRPr="001E600F">
        <w:rPr>
          <w:lang w:val="cy-GB"/>
        </w:rPr>
        <w:t xml:space="preserve"> gam ymhellach, gan nodi na ddylai ymarferwyr amharu ar chwarae plant. Yn ôl ei athroniaeth, mae eu cyfranogiad yn gyfyngedig i weithgareddau gwybyddol mwy cymhleth. Er cyfaddefa bod rôl tacluso yn allweddol iddynt oherwydd cant gyfle i arsylwi yn anffurfiol ar y chwarae, datrys unrhyw densiynau ac ail drefnu ardaloedd ac adnoddau, gan fod plant yn fwy parod i ymchwilio a darganfod mewn ardal daclus (</w:t>
      </w:r>
      <w:proofErr w:type="spellStart"/>
      <w:r w:rsidRPr="001E600F">
        <w:rPr>
          <w:lang w:val="cy-GB"/>
        </w:rPr>
        <w:t>Tardos</w:t>
      </w:r>
      <w:proofErr w:type="spellEnd"/>
      <w:r w:rsidRPr="001E600F">
        <w:rPr>
          <w:lang w:val="cy-GB"/>
        </w:rPr>
        <w:t>, 2014, 2018). Rhydd hyn neges glir i blant mai cyfrifoldeb yr ymarferwyr yw tacluso a nid ymyrryd ar y chwarae ond hwyluso o bell.</w:t>
      </w:r>
    </w:p>
    <w:p w14:paraId="0CB4833F" w14:textId="77777777" w:rsidR="001E600F" w:rsidRPr="001E600F" w:rsidRDefault="001E600F" w:rsidP="001E600F">
      <w:r w:rsidRPr="001E600F">
        <w:rPr>
          <w:lang w:val="en"/>
        </w:rPr>
        <w:t xml:space="preserve">An independent-supportive atmosphere (Deci and Ryan, 2000) is developed around children as a result of daily observations (Mózes, 2016; Tardos, 2016) and continuous professional reflection on the part of the practitioners (Kelemen, 2016). This goes along with research that promotes "giving power and control of play to the babies" (Jung &amp; Recchia, 2013). The aim of the play is therefore to foster independence, enjoy and socialize while discovering and learning about culture and the world around them. The responsibility of the practitioners is therefore to ensure diversity and challenge in terms of play. </w:t>
      </w:r>
    </w:p>
    <w:p w14:paraId="0E2EA89A" w14:textId="77777777" w:rsidR="001E600F" w:rsidRPr="001E600F" w:rsidRDefault="001E600F" w:rsidP="001E600F">
      <w:pPr>
        <w:rPr>
          <w:lang w:val="en"/>
        </w:rPr>
      </w:pPr>
      <w:r w:rsidRPr="001E600F">
        <w:rPr>
          <w:lang w:val="en"/>
        </w:rPr>
        <w:lastRenderedPageBreak/>
        <w:t>When creating an effective learning environment, the aim according to Richards (2010, p. 56) is to create an environment that encourages learners to "experiment, discover, investigate, create relationships and develop confidence."</w:t>
      </w:r>
    </w:p>
    <w:p w14:paraId="2F06C2FC" w14:textId="77777777" w:rsidR="001E600F" w:rsidRPr="001E600F" w:rsidRDefault="001E600F" w:rsidP="001E600F">
      <w:pPr>
        <w:rPr>
          <w:lang w:val="en"/>
        </w:rPr>
      </w:pPr>
    </w:p>
    <w:p w14:paraId="31730960" w14:textId="77777777" w:rsidR="001E600F" w:rsidRPr="001E600F" w:rsidRDefault="001E600F" w:rsidP="001E600F">
      <w:pPr>
        <w:rPr>
          <w:lang w:val="en"/>
        </w:rPr>
      </w:pPr>
      <w:r w:rsidRPr="001E600F">
        <w:rPr>
          <w:lang w:val="en"/>
        </w:rPr>
        <w:t xml:space="preserve">When evaluating the learning environment, it is essential to examine different visual elements, including use of </w:t>
      </w:r>
      <w:proofErr w:type="spellStart"/>
      <w:r w:rsidRPr="001E600F">
        <w:rPr>
          <w:lang w:val="en"/>
        </w:rPr>
        <w:t>colour</w:t>
      </w:r>
      <w:proofErr w:type="spellEnd"/>
      <w:r w:rsidRPr="001E600F">
        <w:rPr>
          <w:lang w:val="en"/>
        </w:rPr>
        <w:t>, displays, location of resources, types of natural light, designated investigative areas, their dimensions, and the materials they contain. This comprehensive evaluation helps to create an effective and interesting place for learning (Richards, 2010).</w:t>
      </w:r>
    </w:p>
    <w:p w14:paraId="253B7AD3" w14:textId="77777777" w:rsidR="001E600F" w:rsidRPr="001E600F" w:rsidRDefault="001E600F" w:rsidP="001E600F">
      <w:pPr>
        <w:rPr>
          <w:lang w:val="en"/>
        </w:rPr>
      </w:pPr>
    </w:p>
    <w:p w14:paraId="75E3A70C" w14:textId="77777777" w:rsidR="001E600F" w:rsidRPr="001E600F" w:rsidRDefault="001E600F" w:rsidP="001E600F">
      <w:r w:rsidRPr="001E600F">
        <w:rPr>
          <w:lang w:val="en"/>
        </w:rPr>
        <w:t>In general, early years settings embody the principles, values ​​and understanding of children's needs as perceived by the adults who lead the environment. This shows that adults often set the agenda. However, research suggests that the environment should reflect the children's own interests and wishes more (Richards, 2010).</w:t>
      </w:r>
    </w:p>
    <w:p w14:paraId="4DC8B7E1" w14:textId="77777777" w:rsidR="001E600F" w:rsidRPr="001E600F" w:rsidRDefault="001E600F" w:rsidP="001E600F">
      <w:pPr>
        <w:rPr>
          <w:lang w:val="en"/>
        </w:rPr>
      </w:pPr>
      <w:r w:rsidRPr="001E600F">
        <w:rPr>
          <w:lang w:val="en"/>
        </w:rPr>
        <w:t xml:space="preserve">Stobbs' research (2006:xii) shows that children achieve the best possible learning outcomes when they have a voice in the educational process and are encouraged to make positive contributions to their environment. </w:t>
      </w:r>
    </w:p>
    <w:p w14:paraId="28431592" w14:textId="77777777" w:rsidR="001E600F" w:rsidRPr="001E600F" w:rsidRDefault="001E600F" w:rsidP="001E600F">
      <w:pPr>
        <w:rPr>
          <w:lang w:val="en"/>
        </w:rPr>
      </w:pPr>
    </w:p>
    <w:p w14:paraId="309F4BEB" w14:textId="77777777" w:rsidR="001E600F" w:rsidRPr="001E600F" w:rsidRDefault="001E600F" w:rsidP="001E600F">
      <w:r w:rsidRPr="001E600F">
        <w:rPr>
          <w:lang w:val="en"/>
        </w:rPr>
        <w:t xml:space="preserve">Montessori (1870-1952, referenced in </w:t>
      </w:r>
      <w:proofErr w:type="spellStart"/>
      <w:r w:rsidRPr="001E600F">
        <w:rPr>
          <w:lang w:val="en"/>
        </w:rPr>
        <w:t>Siencyn</w:t>
      </w:r>
      <w:proofErr w:type="spellEnd"/>
      <w:r w:rsidRPr="001E600F">
        <w:rPr>
          <w:lang w:val="en"/>
        </w:rPr>
        <w:t xml:space="preserve"> 2008) promoted order and tidiness. He insisted that tools and resources are within children's reach to raise independence. He mentioned that children learn best through the five senses. He encouraged providers to create an environment to stimulate the senses.</w:t>
      </w:r>
    </w:p>
    <w:p w14:paraId="2CEF756E" w14:textId="77777777" w:rsidR="001E600F" w:rsidRPr="001E600F" w:rsidRDefault="001E600F" w:rsidP="001E600F">
      <w:pPr>
        <w:rPr>
          <w:lang w:val="en"/>
        </w:rPr>
      </w:pPr>
      <w:r w:rsidRPr="001E600F">
        <w:rPr>
          <w:lang w:val="en"/>
        </w:rPr>
        <w:t>Research (Isaacs 1930, Moyles 1994 Riley 2007) emphasizes the significance of a range of experiences, the use of outer space and the use of specific tools.</w:t>
      </w:r>
    </w:p>
    <w:p w14:paraId="7978BD3F" w14:textId="77777777" w:rsidR="001E600F" w:rsidRPr="001E600F" w:rsidRDefault="001E600F" w:rsidP="001E600F">
      <w:pPr>
        <w:rPr>
          <w:lang w:val="en"/>
        </w:rPr>
      </w:pPr>
    </w:p>
    <w:p w14:paraId="2801143F" w14:textId="77777777" w:rsidR="001E600F" w:rsidRPr="001E600F" w:rsidRDefault="001E600F" w:rsidP="001E600F">
      <w:r w:rsidRPr="001E600F">
        <w:rPr>
          <w:lang w:val="en"/>
        </w:rPr>
        <w:t xml:space="preserve">Froebel (1782-1852, referenced in </w:t>
      </w:r>
      <w:proofErr w:type="spellStart"/>
      <w:r w:rsidRPr="001E600F">
        <w:rPr>
          <w:lang w:val="en"/>
        </w:rPr>
        <w:t>Siencyn</w:t>
      </w:r>
      <w:proofErr w:type="spellEnd"/>
      <w:r w:rsidRPr="001E600F">
        <w:rPr>
          <w:lang w:val="en"/>
        </w:rPr>
        <w:t xml:space="preserve"> 2008) is the theorist who promoted the use of the outdoors as a learning space. McMillian (1860-1931, referenced in </w:t>
      </w:r>
      <w:proofErr w:type="spellStart"/>
      <w:r w:rsidRPr="001E600F">
        <w:rPr>
          <w:lang w:val="en"/>
        </w:rPr>
        <w:t>Siencyn</w:t>
      </w:r>
      <w:proofErr w:type="spellEnd"/>
      <w:r w:rsidRPr="001E600F">
        <w:rPr>
          <w:lang w:val="en"/>
        </w:rPr>
        <w:t xml:space="preserve"> 2008) was of the opinion that classroom doors should be open so that children have access to the outdoors and gain rich experiences with open-ended materials. This promotes healthy development. Montessori (1870-1952, cited in </w:t>
      </w:r>
      <w:proofErr w:type="spellStart"/>
      <w:r w:rsidRPr="001E600F">
        <w:rPr>
          <w:lang w:val="en"/>
        </w:rPr>
        <w:t>Siencyn</w:t>
      </w:r>
      <w:proofErr w:type="spellEnd"/>
      <w:r w:rsidRPr="001E600F">
        <w:rPr>
          <w:lang w:val="en"/>
        </w:rPr>
        <w:t xml:space="preserve"> 2008) builds on the theory, stating that children should have access to real resources. However, Isaacs (1885-1946, cited in </w:t>
      </w:r>
      <w:proofErr w:type="spellStart"/>
      <w:r w:rsidRPr="001E600F">
        <w:rPr>
          <w:lang w:val="en"/>
        </w:rPr>
        <w:t>Siencyn</w:t>
      </w:r>
      <w:proofErr w:type="spellEnd"/>
      <w:r w:rsidRPr="001E600F">
        <w:rPr>
          <w:lang w:val="en"/>
        </w:rPr>
        <w:t xml:space="preserve"> 2008) believed in imaginative play in order to develop an awareness of the reality of the real world. Macnaughton (2005, referenced in </w:t>
      </w:r>
      <w:proofErr w:type="spellStart"/>
      <w:r w:rsidRPr="001E600F">
        <w:rPr>
          <w:lang w:val="en"/>
        </w:rPr>
        <w:t>Siencyn</w:t>
      </w:r>
      <w:proofErr w:type="spellEnd"/>
      <w:r w:rsidRPr="001E600F">
        <w:rPr>
          <w:lang w:val="en"/>
        </w:rPr>
        <w:t xml:space="preserve"> 2008) goes a step further by stating the need to look at a child in his context, his family and his culture. He promoted multiculturalism. Therefore, by considering the theorists' findings Donaldson's (2015) vision for a Curriculum for Wales [</w:t>
      </w:r>
      <w:proofErr w:type="spellStart"/>
      <w:r w:rsidRPr="001E600F">
        <w:rPr>
          <w:lang w:val="en"/>
        </w:rPr>
        <w:t>CiG</w:t>
      </w:r>
      <w:proofErr w:type="spellEnd"/>
      <w:r w:rsidRPr="001E600F">
        <w:rPr>
          <w:lang w:val="en"/>
        </w:rPr>
        <w:t xml:space="preserve"> from now on] is promoted (Government of Wales, 2018)</w:t>
      </w:r>
    </w:p>
    <w:p w14:paraId="3823763B" w14:textId="77777777" w:rsidR="001E600F" w:rsidRPr="001E600F" w:rsidRDefault="001E600F" w:rsidP="001E600F">
      <w:pPr>
        <w:rPr>
          <w:lang w:val="en"/>
        </w:rPr>
      </w:pPr>
      <w:r w:rsidRPr="001E600F">
        <w:rPr>
          <w:lang w:val="en"/>
        </w:rPr>
        <w:t>According to Dowling and Walsh (2017, p. 102), the role of playful experiences in facilitating holistic growth and development in young children is recognized and supported by extensive research.</w:t>
      </w:r>
    </w:p>
    <w:p w14:paraId="437B97D1" w14:textId="77777777" w:rsidR="001E600F" w:rsidRPr="001E600F" w:rsidRDefault="001E600F" w:rsidP="001E600F">
      <w:pPr>
        <w:rPr>
          <w:lang w:val="en"/>
        </w:rPr>
      </w:pPr>
    </w:p>
    <w:p w14:paraId="777BF35B" w14:textId="77777777" w:rsidR="001E600F" w:rsidRPr="001E600F" w:rsidRDefault="001E600F" w:rsidP="001E600F">
      <w:pPr>
        <w:rPr>
          <w:lang w:val="en"/>
        </w:rPr>
      </w:pPr>
      <w:proofErr w:type="spellStart"/>
      <w:r w:rsidRPr="001E600F">
        <w:rPr>
          <w:lang w:val="en"/>
        </w:rPr>
        <w:t>Cytuna</w:t>
      </w:r>
      <w:proofErr w:type="spellEnd"/>
      <w:r w:rsidRPr="001E600F">
        <w:rPr>
          <w:lang w:val="en"/>
        </w:rPr>
        <w:t xml:space="preserve"> Education Cymru (2024) "Through play and playful experiences, children find ways to explore a variety of emotions and learn about the world they live in with others."</w:t>
      </w:r>
    </w:p>
    <w:p w14:paraId="6933E05E" w14:textId="77777777" w:rsidR="001E600F" w:rsidRPr="001E600F" w:rsidRDefault="001E600F" w:rsidP="001E600F">
      <w:pPr>
        <w:rPr>
          <w:lang w:val="en"/>
        </w:rPr>
      </w:pPr>
    </w:p>
    <w:p w14:paraId="06336F29" w14:textId="77777777" w:rsidR="001E600F" w:rsidRPr="001E600F" w:rsidRDefault="001E600F" w:rsidP="001E600F">
      <w:pPr>
        <w:rPr>
          <w:lang w:val="en"/>
        </w:rPr>
      </w:pPr>
      <w:r w:rsidRPr="001E600F">
        <w:rPr>
          <w:lang w:val="en"/>
        </w:rPr>
        <w:t>He elaborates by stating that developmental pathways draw attention to a child's right to participate in an environment that values ​​play, recognizing its intrinsic value as well as its significance in the learning process.</w:t>
      </w:r>
    </w:p>
    <w:p w14:paraId="7E3C38C7" w14:textId="77777777" w:rsidR="001E600F" w:rsidRPr="001E600F" w:rsidRDefault="001E600F" w:rsidP="001E600F">
      <w:pPr>
        <w:rPr>
          <w:lang w:val="en"/>
        </w:rPr>
      </w:pPr>
    </w:p>
    <w:p w14:paraId="675B3608" w14:textId="77777777" w:rsidR="001E600F" w:rsidRPr="001E600F" w:rsidRDefault="001E600F" w:rsidP="001E600F">
      <w:pPr>
        <w:rPr>
          <w:lang w:val="en"/>
        </w:rPr>
      </w:pPr>
      <w:r w:rsidRPr="001E600F">
        <w:rPr>
          <w:lang w:val="en"/>
        </w:rPr>
        <w:t>The developmental pathways highlight the key factors that contribute to a child's growth and development. They also outline effective strategies to foster curiosity and exploration among young learners.</w:t>
      </w:r>
    </w:p>
    <w:p w14:paraId="3134C7F8" w14:textId="77777777" w:rsidR="001E600F" w:rsidRPr="001E600F" w:rsidRDefault="001E600F" w:rsidP="001E600F">
      <w:pPr>
        <w:rPr>
          <w:lang w:val="en"/>
        </w:rPr>
      </w:pPr>
    </w:p>
    <w:p w14:paraId="50E8409F" w14:textId="77777777" w:rsidR="001E600F" w:rsidRPr="001E600F" w:rsidRDefault="001E600F" w:rsidP="001E600F">
      <w:r w:rsidRPr="001E600F">
        <w:rPr>
          <w:lang w:val="en"/>
        </w:rPr>
        <w:t>These statements, according to Education Wales (2024) emphasize the essential opportunities that are necessary for children to thrive. It is the duty of providers to identify and understand these factors in order to plan adapted play opportunities that effectively address these needs. These inclusive statements apply to children of all abilities.</w:t>
      </w:r>
    </w:p>
    <w:p w14:paraId="120B882A" w14:textId="77777777" w:rsidR="001E600F" w:rsidRDefault="001E600F" w:rsidP="00925717"/>
    <w:p w14:paraId="069310C8" w14:textId="77777777" w:rsidR="001E600F" w:rsidRPr="001E600F" w:rsidRDefault="001E600F" w:rsidP="001E600F">
      <w:r w:rsidRPr="001E600F">
        <w:rPr>
          <w:lang w:val="en"/>
        </w:rPr>
        <w:t>"There is a close link between the curriculum and the principles of children's development, as well as the four purposes of the curriculum and the statements of what is important in the six areas of learning and experience. It provides for broad and deep learning in a variety of contexts” Education Wales (2024).</w:t>
      </w:r>
    </w:p>
    <w:p w14:paraId="16F18D21" w14:textId="77777777" w:rsidR="001E600F" w:rsidRPr="001E600F" w:rsidRDefault="001E600F" w:rsidP="001E600F">
      <w:r w:rsidRPr="001E600F">
        <w:rPr>
          <w:lang w:val="en"/>
        </w:rPr>
        <w:t>Welsh Education (2024) emphasizes that, when planning effectively, the best is made of the environment and available resources.</w:t>
      </w:r>
    </w:p>
    <w:p w14:paraId="3CA62AF9" w14:textId="77777777" w:rsidR="001E600F" w:rsidRDefault="001E600F" w:rsidP="00925717"/>
    <w:p w14:paraId="1FC9A2C2" w14:textId="77777777" w:rsidR="001E600F" w:rsidRPr="001E600F" w:rsidRDefault="001E600F" w:rsidP="001E600F">
      <w:pPr>
        <w:rPr>
          <w:lang w:val="en"/>
        </w:rPr>
      </w:pPr>
      <w:r w:rsidRPr="001E600F">
        <w:rPr>
          <w:lang w:val="en"/>
        </w:rPr>
        <w:t>In a speech to the Learning and Work Institute and the Open University, Williams (2018) referred to some of the biggest challenges facing education in Wales since the Second World War. Among them were:-</w:t>
      </w:r>
    </w:p>
    <w:p w14:paraId="1575A1C1" w14:textId="77777777" w:rsidR="001E600F" w:rsidRPr="001E600F" w:rsidRDefault="001E600F" w:rsidP="001E600F">
      <w:pPr>
        <w:rPr>
          <w:lang w:val="en"/>
        </w:rPr>
      </w:pPr>
    </w:p>
    <w:p w14:paraId="5CCB2235" w14:textId="77777777" w:rsidR="001E600F" w:rsidRPr="001E600F" w:rsidRDefault="001E600F" w:rsidP="001E600F">
      <w:pPr>
        <w:rPr>
          <w:lang w:val="en"/>
        </w:rPr>
      </w:pPr>
      <w:r w:rsidRPr="001E600F">
        <w:rPr>
          <w:lang w:val="en"/>
        </w:rPr>
        <w:t>Reforming the curriculum and the assessment arrangements; a</w:t>
      </w:r>
    </w:p>
    <w:p w14:paraId="77EC34D3" w14:textId="77777777" w:rsidR="001E600F" w:rsidRPr="001E600F" w:rsidRDefault="001E600F" w:rsidP="001E600F">
      <w:r w:rsidRPr="001E600F">
        <w:rPr>
          <w:lang w:val="en"/>
        </w:rPr>
        <w:t>Reducing class sizes and giving teachers the resources they need to be the best they can be as educators and lifelong learners</w:t>
      </w:r>
    </w:p>
    <w:p w14:paraId="26FC4E7E" w14:textId="77777777" w:rsidR="001E600F" w:rsidRPr="001E600F" w:rsidRDefault="001E600F" w:rsidP="001E600F">
      <w:pPr>
        <w:rPr>
          <w:lang w:val="en"/>
        </w:rPr>
      </w:pPr>
      <w:r w:rsidRPr="001E600F">
        <w:rPr>
          <w:lang w:val="en"/>
        </w:rPr>
        <w:t xml:space="preserve">In terms of realizing the curriculum and fostering a practical understanding of progress, practitioners and education partners note that:- </w:t>
      </w:r>
    </w:p>
    <w:p w14:paraId="385BED0C" w14:textId="77777777" w:rsidR="001E600F" w:rsidRPr="001E600F" w:rsidRDefault="001E600F" w:rsidP="001E600F">
      <w:r w:rsidRPr="001E600F">
        <w:rPr>
          <w:lang w:val="en"/>
        </w:rPr>
        <w:t xml:space="preserve">"... </w:t>
      </w:r>
      <w:proofErr w:type="spellStart"/>
      <w:r w:rsidRPr="001E600F">
        <w:rPr>
          <w:lang w:val="en"/>
        </w:rPr>
        <w:t>CiG</w:t>
      </w:r>
      <w:proofErr w:type="spellEnd"/>
      <w:r w:rsidRPr="001E600F">
        <w:rPr>
          <w:lang w:val="en"/>
        </w:rPr>
        <w:t xml:space="preserve"> documentation and support materials are abundant, complex and, in places, unclear, which makes it challenging for practitioners to realize </w:t>
      </w:r>
      <w:proofErr w:type="spellStart"/>
      <w:r w:rsidRPr="001E600F">
        <w:rPr>
          <w:lang w:val="en"/>
        </w:rPr>
        <w:t>CiG</w:t>
      </w:r>
      <w:proofErr w:type="spellEnd"/>
      <w:r w:rsidRPr="001E600F">
        <w:rPr>
          <w:lang w:val="en"/>
        </w:rPr>
        <w:t xml:space="preserve"> in a coherent way across the system. This can lead to unhelpful practices in being used to meet uncertain requirements in terms of accountability" (University of Wales Trinity Saint David, University of Glasgow and WG, 2023).</w:t>
      </w:r>
    </w:p>
    <w:p w14:paraId="53BA736D" w14:textId="77777777" w:rsidR="001E600F" w:rsidRPr="001E600F" w:rsidRDefault="001E600F" w:rsidP="001E600F">
      <w:r w:rsidRPr="001E600F">
        <w:rPr>
          <w:lang w:val="en"/>
        </w:rPr>
        <w:t xml:space="preserve">Practitioners and education partners highlight the need for "adequate professional learning opportunities, aligned with a coherent approach, to allow sufficient time for reflection, knowledge development and enquiry" when trying to realize </w:t>
      </w:r>
      <w:proofErr w:type="spellStart"/>
      <w:r w:rsidRPr="001E600F">
        <w:rPr>
          <w:lang w:val="en"/>
        </w:rPr>
        <w:t>CiG</w:t>
      </w:r>
      <w:proofErr w:type="spellEnd"/>
      <w:r w:rsidRPr="001E600F">
        <w:rPr>
          <w:lang w:val="en"/>
        </w:rPr>
        <w:t xml:space="preserve"> (University of Wales Trinity Saint David, University Glasgow and WG, 2023).</w:t>
      </w:r>
    </w:p>
    <w:p w14:paraId="773EC23B" w14:textId="77777777" w:rsidR="001E600F" w:rsidRPr="001E600F" w:rsidRDefault="001E600F" w:rsidP="001E600F">
      <w:pPr>
        <w:rPr>
          <w:lang w:val="en"/>
        </w:rPr>
      </w:pPr>
      <w:r w:rsidRPr="001E600F">
        <w:rPr>
          <w:lang w:val="en"/>
        </w:rPr>
        <w:lastRenderedPageBreak/>
        <w:t xml:space="preserve">In addition to the curricular challenges, practitioners of non-maintained, local authority funded nursery education and schools will need to familiarize themselves with the Additional Learning Needs Code of Wales (WG, 2021) in order to ensure balanced and relevant provision for learners with learning needs extra. </w:t>
      </w:r>
    </w:p>
    <w:p w14:paraId="3DAE4127" w14:textId="77777777" w:rsidR="001E600F" w:rsidRPr="001E600F" w:rsidRDefault="001E600F" w:rsidP="001E600F">
      <w:pPr>
        <w:rPr>
          <w:lang w:val="en"/>
        </w:rPr>
      </w:pPr>
    </w:p>
    <w:p w14:paraId="61064869" w14:textId="77777777" w:rsidR="001E600F" w:rsidRPr="001E600F" w:rsidRDefault="001E600F" w:rsidP="001E600F">
      <w:r w:rsidRPr="001E600F">
        <w:rPr>
          <w:lang w:val="en"/>
        </w:rPr>
        <w:t xml:space="preserve">Indeed, Senedd Cymru (2024) suggests that the overlap between the introduction of </w:t>
      </w:r>
      <w:proofErr w:type="spellStart"/>
      <w:r w:rsidRPr="001E600F">
        <w:rPr>
          <w:lang w:val="en"/>
        </w:rPr>
        <w:t>CiG</w:t>
      </w:r>
      <w:proofErr w:type="spellEnd"/>
      <w:r w:rsidRPr="001E600F">
        <w:rPr>
          <w:lang w:val="en"/>
        </w:rPr>
        <w:t xml:space="preserve"> and ALN reforms has an impact on how they are implemented.</w:t>
      </w:r>
    </w:p>
    <w:p w14:paraId="1753F3FD" w14:textId="77777777" w:rsidR="001E600F" w:rsidRPr="001E600F" w:rsidRDefault="001E600F" w:rsidP="00925717"/>
    <w:sectPr w:rsidR="001E600F" w:rsidRPr="001E600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5717"/>
    <w:rsid w:val="00072871"/>
    <w:rsid w:val="001E600F"/>
    <w:rsid w:val="005D12C8"/>
    <w:rsid w:val="008107C5"/>
    <w:rsid w:val="0092571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317911"/>
  <w15:chartTrackingRefBased/>
  <w15:docId w15:val="{C7F9DA16-9C71-4695-BBE9-C2B383161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571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92571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92571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2571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2571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257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57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57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57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71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92571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92571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2571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2571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257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57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57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5717"/>
    <w:rPr>
      <w:rFonts w:eastAsiaTheme="majorEastAsia" w:cstheme="majorBidi"/>
      <w:color w:val="272727" w:themeColor="text1" w:themeTint="D8"/>
    </w:rPr>
  </w:style>
  <w:style w:type="paragraph" w:styleId="Title">
    <w:name w:val="Title"/>
    <w:basedOn w:val="Normal"/>
    <w:next w:val="Normal"/>
    <w:link w:val="TitleChar"/>
    <w:uiPriority w:val="10"/>
    <w:qFormat/>
    <w:rsid w:val="009257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57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57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57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5717"/>
    <w:pPr>
      <w:spacing w:before="160"/>
      <w:jc w:val="center"/>
    </w:pPr>
    <w:rPr>
      <w:i/>
      <w:iCs/>
      <w:color w:val="404040" w:themeColor="text1" w:themeTint="BF"/>
    </w:rPr>
  </w:style>
  <w:style w:type="character" w:customStyle="1" w:styleId="QuoteChar">
    <w:name w:val="Quote Char"/>
    <w:basedOn w:val="DefaultParagraphFont"/>
    <w:link w:val="Quote"/>
    <w:uiPriority w:val="29"/>
    <w:rsid w:val="00925717"/>
    <w:rPr>
      <w:i/>
      <w:iCs/>
      <w:color w:val="404040" w:themeColor="text1" w:themeTint="BF"/>
    </w:rPr>
  </w:style>
  <w:style w:type="paragraph" w:styleId="ListParagraph">
    <w:name w:val="List Paragraph"/>
    <w:basedOn w:val="Normal"/>
    <w:uiPriority w:val="34"/>
    <w:qFormat/>
    <w:rsid w:val="00925717"/>
    <w:pPr>
      <w:ind w:left="720"/>
      <w:contextualSpacing/>
    </w:pPr>
  </w:style>
  <w:style w:type="character" w:styleId="IntenseEmphasis">
    <w:name w:val="Intense Emphasis"/>
    <w:basedOn w:val="DefaultParagraphFont"/>
    <w:uiPriority w:val="21"/>
    <w:qFormat/>
    <w:rsid w:val="00925717"/>
    <w:rPr>
      <w:i/>
      <w:iCs/>
      <w:color w:val="2F5496" w:themeColor="accent1" w:themeShade="BF"/>
    </w:rPr>
  </w:style>
  <w:style w:type="paragraph" w:styleId="IntenseQuote">
    <w:name w:val="Intense Quote"/>
    <w:basedOn w:val="Normal"/>
    <w:next w:val="Normal"/>
    <w:link w:val="IntenseQuoteChar"/>
    <w:uiPriority w:val="30"/>
    <w:qFormat/>
    <w:rsid w:val="0092571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25717"/>
    <w:rPr>
      <w:i/>
      <w:iCs/>
      <w:color w:val="2F5496" w:themeColor="accent1" w:themeShade="BF"/>
    </w:rPr>
  </w:style>
  <w:style w:type="character" w:styleId="IntenseReference">
    <w:name w:val="Intense Reference"/>
    <w:basedOn w:val="DefaultParagraphFont"/>
    <w:uiPriority w:val="32"/>
    <w:qFormat/>
    <w:rsid w:val="00925717"/>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311239">
      <w:bodyDiv w:val="1"/>
      <w:marLeft w:val="0"/>
      <w:marRight w:val="0"/>
      <w:marTop w:val="0"/>
      <w:marBottom w:val="0"/>
      <w:divBdr>
        <w:top w:val="none" w:sz="0" w:space="0" w:color="auto"/>
        <w:left w:val="none" w:sz="0" w:space="0" w:color="auto"/>
        <w:bottom w:val="none" w:sz="0" w:space="0" w:color="auto"/>
        <w:right w:val="none" w:sz="0" w:space="0" w:color="auto"/>
      </w:divBdr>
    </w:div>
    <w:div w:id="149760440">
      <w:bodyDiv w:val="1"/>
      <w:marLeft w:val="0"/>
      <w:marRight w:val="0"/>
      <w:marTop w:val="0"/>
      <w:marBottom w:val="0"/>
      <w:divBdr>
        <w:top w:val="none" w:sz="0" w:space="0" w:color="auto"/>
        <w:left w:val="none" w:sz="0" w:space="0" w:color="auto"/>
        <w:bottom w:val="none" w:sz="0" w:space="0" w:color="auto"/>
        <w:right w:val="none" w:sz="0" w:space="0" w:color="auto"/>
      </w:divBdr>
    </w:div>
    <w:div w:id="198784513">
      <w:bodyDiv w:val="1"/>
      <w:marLeft w:val="0"/>
      <w:marRight w:val="0"/>
      <w:marTop w:val="0"/>
      <w:marBottom w:val="0"/>
      <w:divBdr>
        <w:top w:val="none" w:sz="0" w:space="0" w:color="auto"/>
        <w:left w:val="none" w:sz="0" w:space="0" w:color="auto"/>
        <w:bottom w:val="none" w:sz="0" w:space="0" w:color="auto"/>
        <w:right w:val="none" w:sz="0" w:space="0" w:color="auto"/>
      </w:divBdr>
    </w:div>
    <w:div w:id="200896171">
      <w:bodyDiv w:val="1"/>
      <w:marLeft w:val="0"/>
      <w:marRight w:val="0"/>
      <w:marTop w:val="0"/>
      <w:marBottom w:val="0"/>
      <w:divBdr>
        <w:top w:val="none" w:sz="0" w:space="0" w:color="auto"/>
        <w:left w:val="none" w:sz="0" w:space="0" w:color="auto"/>
        <w:bottom w:val="none" w:sz="0" w:space="0" w:color="auto"/>
        <w:right w:val="none" w:sz="0" w:space="0" w:color="auto"/>
      </w:divBdr>
    </w:div>
    <w:div w:id="263853842">
      <w:bodyDiv w:val="1"/>
      <w:marLeft w:val="0"/>
      <w:marRight w:val="0"/>
      <w:marTop w:val="0"/>
      <w:marBottom w:val="0"/>
      <w:divBdr>
        <w:top w:val="none" w:sz="0" w:space="0" w:color="auto"/>
        <w:left w:val="none" w:sz="0" w:space="0" w:color="auto"/>
        <w:bottom w:val="none" w:sz="0" w:space="0" w:color="auto"/>
        <w:right w:val="none" w:sz="0" w:space="0" w:color="auto"/>
      </w:divBdr>
    </w:div>
    <w:div w:id="461120823">
      <w:bodyDiv w:val="1"/>
      <w:marLeft w:val="0"/>
      <w:marRight w:val="0"/>
      <w:marTop w:val="0"/>
      <w:marBottom w:val="0"/>
      <w:divBdr>
        <w:top w:val="none" w:sz="0" w:space="0" w:color="auto"/>
        <w:left w:val="none" w:sz="0" w:space="0" w:color="auto"/>
        <w:bottom w:val="none" w:sz="0" w:space="0" w:color="auto"/>
        <w:right w:val="none" w:sz="0" w:space="0" w:color="auto"/>
      </w:divBdr>
    </w:div>
    <w:div w:id="552275312">
      <w:bodyDiv w:val="1"/>
      <w:marLeft w:val="0"/>
      <w:marRight w:val="0"/>
      <w:marTop w:val="0"/>
      <w:marBottom w:val="0"/>
      <w:divBdr>
        <w:top w:val="none" w:sz="0" w:space="0" w:color="auto"/>
        <w:left w:val="none" w:sz="0" w:space="0" w:color="auto"/>
        <w:bottom w:val="none" w:sz="0" w:space="0" w:color="auto"/>
        <w:right w:val="none" w:sz="0" w:space="0" w:color="auto"/>
      </w:divBdr>
    </w:div>
    <w:div w:id="596209824">
      <w:bodyDiv w:val="1"/>
      <w:marLeft w:val="0"/>
      <w:marRight w:val="0"/>
      <w:marTop w:val="0"/>
      <w:marBottom w:val="0"/>
      <w:divBdr>
        <w:top w:val="none" w:sz="0" w:space="0" w:color="auto"/>
        <w:left w:val="none" w:sz="0" w:space="0" w:color="auto"/>
        <w:bottom w:val="none" w:sz="0" w:space="0" w:color="auto"/>
        <w:right w:val="none" w:sz="0" w:space="0" w:color="auto"/>
      </w:divBdr>
    </w:div>
    <w:div w:id="596793370">
      <w:bodyDiv w:val="1"/>
      <w:marLeft w:val="0"/>
      <w:marRight w:val="0"/>
      <w:marTop w:val="0"/>
      <w:marBottom w:val="0"/>
      <w:divBdr>
        <w:top w:val="none" w:sz="0" w:space="0" w:color="auto"/>
        <w:left w:val="none" w:sz="0" w:space="0" w:color="auto"/>
        <w:bottom w:val="none" w:sz="0" w:space="0" w:color="auto"/>
        <w:right w:val="none" w:sz="0" w:space="0" w:color="auto"/>
      </w:divBdr>
    </w:div>
    <w:div w:id="715395321">
      <w:bodyDiv w:val="1"/>
      <w:marLeft w:val="0"/>
      <w:marRight w:val="0"/>
      <w:marTop w:val="0"/>
      <w:marBottom w:val="0"/>
      <w:divBdr>
        <w:top w:val="none" w:sz="0" w:space="0" w:color="auto"/>
        <w:left w:val="none" w:sz="0" w:space="0" w:color="auto"/>
        <w:bottom w:val="none" w:sz="0" w:space="0" w:color="auto"/>
        <w:right w:val="none" w:sz="0" w:space="0" w:color="auto"/>
      </w:divBdr>
    </w:div>
    <w:div w:id="738678310">
      <w:bodyDiv w:val="1"/>
      <w:marLeft w:val="0"/>
      <w:marRight w:val="0"/>
      <w:marTop w:val="0"/>
      <w:marBottom w:val="0"/>
      <w:divBdr>
        <w:top w:val="none" w:sz="0" w:space="0" w:color="auto"/>
        <w:left w:val="none" w:sz="0" w:space="0" w:color="auto"/>
        <w:bottom w:val="none" w:sz="0" w:space="0" w:color="auto"/>
        <w:right w:val="none" w:sz="0" w:space="0" w:color="auto"/>
      </w:divBdr>
    </w:div>
    <w:div w:id="754089252">
      <w:bodyDiv w:val="1"/>
      <w:marLeft w:val="0"/>
      <w:marRight w:val="0"/>
      <w:marTop w:val="0"/>
      <w:marBottom w:val="0"/>
      <w:divBdr>
        <w:top w:val="none" w:sz="0" w:space="0" w:color="auto"/>
        <w:left w:val="none" w:sz="0" w:space="0" w:color="auto"/>
        <w:bottom w:val="none" w:sz="0" w:space="0" w:color="auto"/>
        <w:right w:val="none" w:sz="0" w:space="0" w:color="auto"/>
      </w:divBdr>
    </w:div>
    <w:div w:id="785466271">
      <w:bodyDiv w:val="1"/>
      <w:marLeft w:val="0"/>
      <w:marRight w:val="0"/>
      <w:marTop w:val="0"/>
      <w:marBottom w:val="0"/>
      <w:divBdr>
        <w:top w:val="none" w:sz="0" w:space="0" w:color="auto"/>
        <w:left w:val="none" w:sz="0" w:space="0" w:color="auto"/>
        <w:bottom w:val="none" w:sz="0" w:space="0" w:color="auto"/>
        <w:right w:val="none" w:sz="0" w:space="0" w:color="auto"/>
      </w:divBdr>
    </w:div>
    <w:div w:id="788864139">
      <w:bodyDiv w:val="1"/>
      <w:marLeft w:val="0"/>
      <w:marRight w:val="0"/>
      <w:marTop w:val="0"/>
      <w:marBottom w:val="0"/>
      <w:divBdr>
        <w:top w:val="none" w:sz="0" w:space="0" w:color="auto"/>
        <w:left w:val="none" w:sz="0" w:space="0" w:color="auto"/>
        <w:bottom w:val="none" w:sz="0" w:space="0" w:color="auto"/>
        <w:right w:val="none" w:sz="0" w:space="0" w:color="auto"/>
      </w:divBdr>
    </w:div>
    <w:div w:id="789321391">
      <w:bodyDiv w:val="1"/>
      <w:marLeft w:val="0"/>
      <w:marRight w:val="0"/>
      <w:marTop w:val="0"/>
      <w:marBottom w:val="0"/>
      <w:divBdr>
        <w:top w:val="none" w:sz="0" w:space="0" w:color="auto"/>
        <w:left w:val="none" w:sz="0" w:space="0" w:color="auto"/>
        <w:bottom w:val="none" w:sz="0" w:space="0" w:color="auto"/>
        <w:right w:val="none" w:sz="0" w:space="0" w:color="auto"/>
      </w:divBdr>
    </w:div>
    <w:div w:id="822353236">
      <w:bodyDiv w:val="1"/>
      <w:marLeft w:val="0"/>
      <w:marRight w:val="0"/>
      <w:marTop w:val="0"/>
      <w:marBottom w:val="0"/>
      <w:divBdr>
        <w:top w:val="none" w:sz="0" w:space="0" w:color="auto"/>
        <w:left w:val="none" w:sz="0" w:space="0" w:color="auto"/>
        <w:bottom w:val="none" w:sz="0" w:space="0" w:color="auto"/>
        <w:right w:val="none" w:sz="0" w:space="0" w:color="auto"/>
      </w:divBdr>
    </w:div>
    <w:div w:id="827283096">
      <w:bodyDiv w:val="1"/>
      <w:marLeft w:val="0"/>
      <w:marRight w:val="0"/>
      <w:marTop w:val="0"/>
      <w:marBottom w:val="0"/>
      <w:divBdr>
        <w:top w:val="none" w:sz="0" w:space="0" w:color="auto"/>
        <w:left w:val="none" w:sz="0" w:space="0" w:color="auto"/>
        <w:bottom w:val="none" w:sz="0" w:space="0" w:color="auto"/>
        <w:right w:val="none" w:sz="0" w:space="0" w:color="auto"/>
      </w:divBdr>
    </w:div>
    <w:div w:id="839781610">
      <w:bodyDiv w:val="1"/>
      <w:marLeft w:val="0"/>
      <w:marRight w:val="0"/>
      <w:marTop w:val="0"/>
      <w:marBottom w:val="0"/>
      <w:divBdr>
        <w:top w:val="none" w:sz="0" w:space="0" w:color="auto"/>
        <w:left w:val="none" w:sz="0" w:space="0" w:color="auto"/>
        <w:bottom w:val="none" w:sz="0" w:space="0" w:color="auto"/>
        <w:right w:val="none" w:sz="0" w:space="0" w:color="auto"/>
      </w:divBdr>
    </w:div>
    <w:div w:id="870068457">
      <w:bodyDiv w:val="1"/>
      <w:marLeft w:val="0"/>
      <w:marRight w:val="0"/>
      <w:marTop w:val="0"/>
      <w:marBottom w:val="0"/>
      <w:divBdr>
        <w:top w:val="none" w:sz="0" w:space="0" w:color="auto"/>
        <w:left w:val="none" w:sz="0" w:space="0" w:color="auto"/>
        <w:bottom w:val="none" w:sz="0" w:space="0" w:color="auto"/>
        <w:right w:val="none" w:sz="0" w:space="0" w:color="auto"/>
      </w:divBdr>
    </w:div>
    <w:div w:id="1129711337">
      <w:bodyDiv w:val="1"/>
      <w:marLeft w:val="0"/>
      <w:marRight w:val="0"/>
      <w:marTop w:val="0"/>
      <w:marBottom w:val="0"/>
      <w:divBdr>
        <w:top w:val="none" w:sz="0" w:space="0" w:color="auto"/>
        <w:left w:val="none" w:sz="0" w:space="0" w:color="auto"/>
        <w:bottom w:val="none" w:sz="0" w:space="0" w:color="auto"/>
        <w:right w:val="none" w:sz="0" w:space="0" w:color="auto"/>
      </w:divBdr>
    </w:div>
    <w:div w:id="1159226889">
      <w:bodyDiv w:val="1"/>
      <w:marLeft w:val="0"/>
      <w:marRight w:val="0"/>
      <w:marTop w:val="0"/>
      <w:marBottom w:val="0"/>
      <w:divBdr>
        <w:top w:val="none" w:sz="0" w:space="0" w:color="auto"/>
        <w:left w:val="none" w:sz="0" w:space="0" w:color="auto"/>
        <w:bottom w:val="none" w:sz="0" w:space="0" w:color="auto"/>
        <w:right w:val="none" w:sz="0" w:space="0" w:color="auto"/>
      </w:divBdr>
    </w:div>
    <w:div w:id="1173185472">
      <w:bodyDiv w:val="1"/>
      <w:marLeft w:val="0"/>
      <w:marRight w:val="0"/>
      <w:marTop w:val="0"/>
      <w:marBottom w:val="0"/>
      <w:divBdr>
        <w:top w:val="none" w:sz="0" w:space="0" w:color="auto"/>
        <w:left w:val="none" w:sz="0" w:space="0" w:color="auto"/>
        <w:bottom w:val="none" w:sz="0" w:space="0" w:color="auto"/>
        <w:right w:val="none" w:sz="0" w:space="0" w:color="auto"/>
      </w:divBdr>
    </w:div>
    <w:div w:id="1198931822">
      <w:bodyDiv w:val="1"/>
      <w:marLeft w:val="0"/>
      <w:marRight w:val="0"/>
      <w:marTop w:val="0"/>
      <w:marBottom w:val="0"/>
      <w:divBdr>
        <w:top w:val="none" w:sz="0" w:space="0" w:color="auto"/>
        <w:left w:val="none" w:sz="0" w:space="0" w:color="auto"/>
        <w:bottom w:val="none" w:sz="0" w:space="0" w:color="auto"/>
        <w:right w:val="none" w:sz="0" w:space="0" w:color="auto"/>
      </w:divBdr>
    </w:div>
    <w:div w:id="1293363324">
      <w:bodyDiv w:val="1"/>
      <w:marLeft w:val="0"/>
      <w:marRight w:val="0"/>
      <w:marTop w:val="0"/>
      <w:marBottom w:val="0"/>
      <w:divBdr>
        <w:top w:val="none" w:sz="0" w:space="0" w:color="auto"/>
        <w:left w:val="none" w:sz="0" w:space="0" w:color="auto"/>
        <w:bottom w:val="none" w:sz="0" w:space="0" w:color="auto"/>
        <w:right w:val="none" w:sz="0" w:space="0" w:color="auto"/>
      </w:divBdr>
    </w:div>
    <w:div w:id="1358703698">
      <w:bodyDiv w:val="1"/>
      <w:marLeft w:val="0"/>
      <w:marRight w:val="0"/>
      <w:marTop w:val="0"/>
      <w:marBottom w:val="0"/>
      <w:divBdr>
        <w:top w:val="none" w:sz="0" w:space="0" w:color="auto"/>
        <w:left w:val="none" w:sz="0" w:space="0" w:color="auto"/>
        <w:bottom w:val="none" w:sz="0" w:space="0" w:color="auto"/>
        <w:right w:val="none" w:sz="0" w:space="0" w:color="auto"/>
      </w:divBdr>
    </w:div>
    <w:div w:id="1396510573">
      <w:bodyDiv w:val="1"/>
      <w:marLeft w:val="0"/>
      <w:marRight w:val="0"/>
      <w:marTop w:val="0"/>
      <w:marBottom w:val="0"/>
      <w:divBdr>
        <w:top w:val="none" w:sz="0" w:space="0" w:color="auto"/>
        <w:left w:val="none" w:sz="0" w:space="0" w:color="auto"/>
        <w:bottom w:val="none" w:sz="0" w:space="0" w:color="auto"/>
        <w:right w:val="none" w:sz="0" w:space="0" w:color="auto"/>
      </w:divBdr>
    </w:div>
    <w:div w:id="1415471386">
      <w:bodyDiv w:val="1"/>
      <w:marLeft w:val="0"/>
      <w:marRight w:val="0"/>
      <w:marTop w:val="0"/>
      <w:marBottom w:val="0"/>
      <w:divBdr>
        <w:top w:val="none" w:sz="0" w:space="0" w:color="auto"/>
        <w:left w:val="none" w:sz="0" w:space="0" w:color="auto"/>
        <w:bottom w:val="none" w:sz="0" w:space="0" w:color="auto"/>
        <w:right w:val="none" w:sz="0" w:space="0" w:color="auto"/>
      </w:divBdr>
    </w:div>
    <w:div w:id="1460146793">
      <w:bodyDiv w:val="1"/>
      <w:marLeft w:val="0"/>
      <w:marRight w:val="0"/>
      <w:marTop w:val="0"/>
      <w:marBottom w:val="0"/>
      <w:divBdr>
        <w:top w:val="none" w:sz="0" w:space="0" w:color="auto"/>
        <w:left w:val="none" w:sz="0" w:space="0" w:color="auto"/>
        <w:bottom w:val="none" w:sz="0" w:space="0" w:color="auto"/>
        <w:right w:val="none" w:sz="0" w:space="0" w:color="auto"/>
      </w:divBdr>
    </w:div>
    <w:div w:id="1467434422">
      <w:bodyDiv w:val="1"/>
      <w:marLeft w:val="0"/>
      <w:marRight w:val="0"/>
      <w:marTop w:val="0"/>
      <w:marBottom w:val="0"/>
      <w:divBdr>
        <w:top w:val="none" w:sz="0" w:space="0" w:color="auto"/>
        <w:left w:val="none" w:sz="0" w:space="0" w:color="auto"/>
        <w:bottom w:val="none" w:sz="0" w:space="0" w:color="auto"/>
        <w:right w:val="none" w:sz="0" w:space="0" w:color="auto"/>
      </w:divBdr>
    </w:div>
    <w:div w:id="1475102147">
      <w:bodyDiv w:val="1"/>
      <w:marLeft w:val="0"/>
      <w:marRight w:val="0"/>
      <w:marTop w:val="0"/>
      <w:marBottom w:val="0"/>
      <w:divBdr>
        <w:top w:val="none" w:sz="0" w:space="0" w:color="auto"/>
        <w:left w:val="none" w:sz="0" w:space="0" w:color="auto"/>
        <w:bottom w:val="none" w:sz="0" w:space="0" w:color="auto"/>
        <w:right w:val="none" w:sz="0" w:space="0" w:color="auto"/>
      </w:divBdr>
    </w:div>
    <w:div w:id="1478759893">
      <w:bodyDiv w:val="1"/>
      <w:marLeft w:val="0"/>
      <w:marRight w:val="0"/>
      <w:marTop w:val="0"/>
      <w:marBottom w:val="0"/>
      <w:divBdr>
        <w:top w:val="none" w:sz="0" w:space="0" w:color="auto"/>
        <w:left w:val="none" w:sz="0" w:space="0" w:color="auto"/>
        <w:bottom w:val="none" w:sz="0" w:space="0" w:color="auto"/>
        <w:right w:val="none" w:sz="0" w:space="0" w:color="auto"/>
      </w:divBdr>
    </w:div>
    <w:div w:id="1496149489">
      <w:bodyDiv w:val="1"/>
      <w:marLeft w:val="0"/>
      <w:marRight w:val="0"/>
      <w:marTop w:val="0"/>
      <w:marBottom w:val="0"/>
      <w:divBdr>
        <w:top w:val="none" w:sz="0" w:space="0" w:color="auto"/>
        <w:left w:val="none" w:sz="0" w:space="0" w:color="auto"/>
        <w:bottom w:val="none" w:sz="0" w:space="0" w:color="auto"/>
        <w:right w:val="none" w:sz="0" w:space="0" w:color="auto"/>
      </w:divBdr>
    </w:div>
    <w:div w:id="1627463241">
      <w:bodyDiv w:val="1"/>
      <w:marLeft w:val="0"/>
      <w:marRight w:val="0"/>
      <w:marTop w:val="0"/>
      <w:marBottom w:val="0"/>
      <w:divBdr>
        <w:top w:val="none" w:sz="0" w:space="0" w:color="auto"/>
        <w:left w:val="none" w:sz="0" w:space="0" w:color="auto"/>
        <w:bottom w:val="none" w:sz="0" w:space="0" w:color="auto"/>
        <w:right w:val="none" w:sz="0" w:space="0" w:color="auto"/>
      </w:divBdr>
    </w:div>
    <w:div w:id="1658340310">
      <w:bodyDiv w:val="1"/>
      <w:marLeft w:val="0"/>
      <w:marRight w:val="0"/>
      <w:marTop w:val="0"/>
      <w:marBottom w:val="0"/>
      <w:divBdr>
        <w:top w:val="none" w:sz="0" w:space="0" w:color="auto"/>
        <w:left w:val="none" w:sz="0" w:space="0" w:color="auto"/>
        <w:bottom w:val="none" w:sz="0" w:space="0" w:color="auto"/>
        <w:right w:val="none" w:sz="0" w:space="0" w:color="auto"/>
      </w:divBdr>
    </w:div>
    <w:div w:id="1683782385">
      <w:bodyDiv w:val="1"/>
      <w:marLeft w:val="0"/>
      <w:marRight w:val="0"/>
      <w:marTop w:val="0"/>
      <w:marBottom w:val="0"/>
      <w:divBdr>
        <w:top w:val="none" w:sz="0" w:space="0" w:color="auto"/>
        <w:left w:val="none" w:sz="0" w:space="0" w:color="auto"/>
        <w:bottom w:val="none" w:sz="0" w:space="0" w:color="auto"/>
        <w:right w:val="none" w:sz="0" w:space="0" w:color="auto"/>
      </w:divBdr>
    </w:div>
    <w:div w:id="1712799444">
      <w:bodyDiv w:val="1"/>
      <w:marLeft w:val="0"/>
      <w:marRight w:val="0"/>
      <w:marTop w:val="0"/>
      <w:marBottom w:val="0"/>
      <w:divBdr>
        <w:top w:val="none" w:sz="0" w:space="0" w:color="auto"/>
        <w:left w:val="none" w:sz="0" w:space="0" w:color="auto"/>
        <w:bottom w:val="none" w:sz="0" w:space="0" w:color="auto"/>
        <w:right w:val="none" w:sz="0" w:space="0" w:color="auto"/>
      </w:divBdr>
    </w:div>
    <w:div w:id="1737243739">
      <w:bodyDiv w:val="1"/>
      <w:marLeft w:val="0"/>
      <w:marRight w:val="0"/>
      <w:marTop w:val="0"/>
      <w:marBottom w:val="0"/>
      <w:divBdr>
        <w:top w:val="none" w:sz="0" w:space="0" w:color="auto"/>
        <w:left w:val="none" w:sz="0" w:space="0" w:color="auto"/>
        <w:bottom w:val="none" w:sz="0" w:space="0" w:color="auto"/>
        <w:right w:val="none" w:sz="0" w:space="0" w:color="auto"/>
      </w:divBdr>
    </w:div>
    <w:div w:id="1737704157">
      <w:bodyDiv w:val="1"/>
      <w:marLeft w:val="0"/>
      <w:marRight w:val="0"/>
      <w:marTop w:val="0"/>
      <w:marBottom w:val="0"/>
      <w:divBdr>
        <w:top w:val="none" w:sz="0" w:space="0" w:color="auto"/>
        <w:left w:val="none" w:sz="0" w:space="0" w:color="auto"/>
        <w:bottom w:val="none" w:sz="0" w:space="0" w:color="auto"/>
        <w:right w:val="none" w:sz="0" w:space="0" w:color="auto"/>
      </w:divBdr>
    </w:div>
    <w:div w:id="1749762057">
      <w:bodyDiv w:val="1"/>
      <w:marLeft w:val="0"/>
      <w:marRight w:val="0"/>
      <w:marTop w:val="0"/>
      <w:marBottom w:val="0"/>
      <w:divBdr>
        <w:top w:val="none" w:sz="0" w:space="0" w:color="auto"/>
        <w:left w:val="none" w:sz="0" w:space="0" w:color="auto"/>
        <w:bottom w:val="none" w:sz="0" w:space="0" w:color="auto"/>
        <w:right w:val="none" w:sz="0" w:space="0" w:color="auto"/>
      </w:divBdr>
    </w:div>
    <w:div w:id="1806893249">
      <w:bodyDiv w:val="1"/>
      <w:marLeft w:val="0"/>
      <w:marRight w:val="0"/>
      <w:marTop w:val="0"/>
      <w:marBottom w:val="0"/>
      <w:divBdr>
        <w:top w:val="none" w:sz="0" w:space="0" w:color="auto"/>
        <w:left w:val="none" w:sz="0" w:space="0" w:color="auto"/>
        <w:bottom w:val="none" w:sz="0" w:space="0" w:color="auto"/>
        <w:right w:val="none" w:sz="0" w:space="0" w:color="auto"/>
      </w:divBdr>
    </w:div>
    <w:div w:id="1807580036">
      <w:bodyDiv w:val="1"/>
      <w:marLeft w:val="0"/>
      <w:marRight w:val="0"/>
      <w:marTop w:val="0"/>
      <w:marBottom w:val="0"/>
      <w:divBdr>
        <w:top w:val="none" w:sz="0" w:space="0" w:color="auto"/>
        <w:left w:val="none" w:sz="0" w:space="0" w:color="auto"/>
        <w:bottom w:val="none" w:sz="0" w:space="0" w:color="auto"/>
        <w:right w:val="none" w:sz="0" w:space="0" w:color="auto"/>
      </w:divBdr>
    </w:div>
    <w:div w:id="1872762554">
      <w:bodyDiv w:val="1"/>
      <w:marLeft w:val="0"/>
      <w:marRight w:val="0"/>
      <w:marTop w:val="0"/>
      <w:marBottom w:val="0"/>
      <w:divBdr>
        <w:top w:val="none" w:sz="0" w:space="0" w:color="auto"/>
        <w:left w:val="none" w:sz="0" w:space="0" w:color="auto"/>
        <w:bottom w:val="none" w:sz="0" w:space="0" w:color="auto"/>
        <w:right w:val="none" w:sz="0" w:space="0" w:color="auto"/>
      </w:divBdr>
    </w:div>
    <w:div w:id="1881090467">
      <w:bodyDiv w:val="1"/>
      <w:marLeft w:val="0"/>
      <w:marRight w:val="0"/>
      <w:marTop w:val="0"/>
      <w:marBottom w:val="0"/>
      <w:divBdr>
        <w:top w:val="none" w:sz="0" w:space="0" w:color="auto"/>
        <w:left w:val="none" w:sz="0" w:space="0" w:color="auto"/>
        <w:bottom w:val="none" w:sz="0" w:space="0" w:color="auto"/>
        <w:right w:val="none" w:sz="0" w:space="0" w:color="auto"/>
      </w:divBdr>
    </w:div>
    <w:div w:id="1934360784">
      <w:bodyDiv w:val="1"/>
      <w:marLeft w:val="0"/>
      <w:marRight w:val="0"/>
      <w:marTop w:val="0"/>
      <w:marBottom w:val="0"/>
      <w:divBdr>
        <w:top w:val="none" w:sz="0" w:space="0" w:color="auto"/>
        <w:left w:val="none" w:sz="0" w:space="0" w:color="auto"/>
        <w:bottom w:val="none" w:sz="0" w:space="0" w:color="auto"/>
        <w:right w:val="none" w:sz="0" w:space="0" w:color="auto"/>
      </w:divBdr>
    </w:div>
    <w:div w:id="2003118576">
      <w:bodyDiv w:val="1"/>
      <w:marLeft w:val="0"/>
      <w:marRight w:val="0"/>
      <w:marTop w:val="0"/>
      <w:marBottom w:val="0"/>
      <w:divBdr>
        <w:top w:val="none" w:sz="0" w:space="0" w:color="auto"/>
        <w:left w:val="none" w:sz="0" w:space="0" w:color="auto"/>
        <w:bottom w:val="none" w:sz="0" w:space="0" w:color="auto"/>
        <w:right w:val="none" w:sz="0" w:space="0" w:color="auto"/>
      </w:divBdr>
    </w:div>
    <w:div w:id="2095933202">
      <w:bodyDiv w:val="1"/>
      <w:marLeft w:val="0"/>
      <w:marRight w:val="0"/>
      <w:marTop w:val="0"/>
      <w:marBottom w:val="0"/>
      <w:divBdr>
        <w:top w:val="none" w:sz="0" w:space="0" w:color="auto"/>
        <w:left w:val="none" w:sz="0" w:space="0" w:color="auto"/>
        <w:bottom w:val="none" w:sz="0" w:space="0" w:color="auto"/>
        <w:right w:val="none" w:sz="0" w:space="0" w:color="auto"/>
      </w:divBdr>
    </w:div>
    <w:div w:id="2103260980">
      <w:bodyDiv w:val="1"/>
      <w:marLeft w:val="0"/>
      <w:marRight w:val="0"/>
      <w:marTop w:val="0"/>
      <w:marBottom w:val="0"/>
      <w:divBdr>
        <w:top w:val="none" w:sz="0" w:space="0" w:color="auto"/>
        <w:left w:val="none" w:sz="0" w:space="0" w:color="auto"/>
        <w:bottom w:val="none" w:sz="0" w:space="0" w:color="auto"/>
        <w:right w:val="none" w:sz="0" w:space="0" w:color="auto"/>
      </w:divBdr>
    </w:div>
    <w:div w:id="2114469464">
      <w:bodyDiv w:val="1"/>
      <w:marLeft w:val="0"/>
      <w:marRight w:val="0"/>
      <w:marTop w:val="0"/>
      <w:marBottom w:val="0"/>
      <w:divBdr>
        <w:top w:val="none" w:sz="0" w:space="0" w:color="auto"/>
        <w:left w:val="none" w:sz="0" w:space="0" w:color="auto"/>
        <w:bottom w:val="none" w:sz="0" w:space="0" w:color="auto"/>
        <w:right w:val="none" w:sz="0" w:space="0" w:color="auto"/>
      </w:divBdr>
    </w:div>
    <w:div w:id="21417977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1966</Words>
  <Characters>10794</Characters>
  <Application>Microsoft Office Word</Application>
  <DocSecurity>0</DocSecurity>
  <Lines>199</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Young</dc:creator>
  <cp:keywords/>
  <dc:description/>
  <cp:lastModifiedBy>Natasha Young</cp:lastModifiedBy>
  <cp:revision>1</cp:revision>
  <dcterms:created xsi:type="dcterms:W3CDTF">2025-01-24T17:46:00Z</dcterms:created>
  <dcterms:modified xsi:type="dcterms:W3CDTF">2025-01-24T18:03:00Z</dcterms:modified>
</cp:coreProperties>
</file>