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36ADE" w14:textId="171CD4C7" w:rsidR="00676AFA" w:rsidRDefault="00676AFA" w:rsidP="00676AFA">
      <w:pPr>
        <w:tabs>
          <w:tab w:val="left" w:pos="6540"/>
        </w:tabs>
        <w:spacing w:line="360" w:lineRule="auto"/>
        <w:rPr>
          <w:rFonts w:ascii="Arial" w:hAnsi="Arial" w:cs="Arial"/>
          <w:b/>
          <w:bCs/>
          <w:sz w:val="32"/>
          <w:szCs w:val="32"/>
          <w:lang w:val="nl-NL"/>
        </w:rPr>
      </w:pPr>
      <w:r w:rsidRPr="00C03A91">
        <w:rPr>
          <w:rFonts w:ascii="Arial" w:hAnsi="Arial" w:cs="Arial"/>
          <w:noProof/>
        </w:rPr>
        <w:drawing>
          <wp:anchor distT="0" distB="0" distL="114300" distR="114300" simplePos="0" relativeHeight="251659264" behindDoc="0" locked="0" layoutInCell="1" allowOverlap="1" wp14:anchorId="481B9F20" wp14:editId="52473F27">
            <wp:simplePos x="0" y="0"/>
            <wp:positionH relativeFrom="column">
              <wp:posOffset>0</wp:posOffset>
            </wp:positionH>
            <wp:positionV relativeFrom="paragraph">
              <wp:posOffset>121</wp:posOffset>
            </wp:positionV>
            <wp:extent cx="2349500" cy="92583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49500" cy="925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AADECD" w14:textId="77777777" w:rsidR="00676AFA" w:rsidRDefault="00676AFA" w:rsidP="00676AFA">
      <w:pPr>
        <w:tabs>
          <w:tab w:val="left" w:pos="6540"/>
        </w:tabs>
        <w:spacing w:line="360" w:lineRule="auto"/>
        <w:rPr>
          <w:rFonts w:ascii="Arial" w:hAnsi="Arial" w:cs="Arial"/>
          <w:b/>
          <w:bCs/>
          <w:sz w:val="32"/>
          <w:szCs w:val="32"/>
          <w:lang w:val="nl-NL"/>
        </w:rPr>
      </w:pPr>
    </w:p>
    <w:p w14:paraId="6CF51A43" w14:textId="77777777" w:rsidR="00676AFA" w:rsidRDefault="00676AFA" w:rsidP="00676AFA">
      <w:pPr>
        <w:tabs>
          <w:tab w:val="left" w:pos="6540"/>
        </w:tabs>
        <w:spacing w:line="360" w:lineRule="auto"/>
        <w:rPr>
          <w:rFonts w:ascii="Arial" w:hAnsi="Arial" w:cs="Arial"/>
          <w:b/>
          <w:bCs/>
          <w:sz w:val="32"/>
          <w:szCs w:val="32"/>
          <w:lang w:val="nl-NL"/>
        </w:rPr>
      </w:pPr>
    </w:p>
    <w:p w14:paraId="2C436032" w14:textId="77777777" w:rsidR="00676AFA" w:rsidRDefault="00676AFA" w:rsidP="00676AFA">
      <w:pPr>
        <w:tabs>
          <w:tab w:val="left" w:pos="6540"/>
        </w:tabs>
        <w:spacing w:line="360" w:lineRule="auto"/>
        <w:rPr>
          <w:rFonts w:ascii="Arial" w:hAnsi="Arial" w:cs="Arial"/>
          <w:b/>
          <w:bCs/>
          <w:sz w:val="32"/>
          <w:szCs w:val="32"/>
          <w:lang w:val="nl-NL"/>
        </w:rPr>
      </w:pPr>
    </w:p>
    <w:p w14:paraId="14307C95" w14:textId="77777777" w:rsidR="00676AFA" w:rsidRDefault="00676AFA" w:rsidP="00676AFA">
      <w:pPr>
        <w:tabs>
          <w:tab w:val="left" w:pos="6540"/>
        </w:tabs>
        <w:spacing w:line="360" w:lineRule="auto"/>
        <w:rPr>
          <w:rFonts w:ascii="Arial" w:hAnsi="Arial" w:cs="Arial"/>
          <w:b/>
          <w:bCs/>
          <w:sz w:val="32"/>
          <w:szCs w:val="32"/>
          <w:lang w:val="nl-NL"/>
        </w:rPr>
      </w:pPr>
    </w:p>
    <w:p w14:paraId="5E8B843F" w14:textId="2FCE30BD" w:rsidR="00676AFA" w:rsidRDefault="00676AFA" w:rsidP="00676AFA">
      <w:pPr>
        <w:tabs>
          <w:tab w:val="left" w:pos="6540"/>
        </w:tabs>
        <w:spacing w:line="360" w:lineRule="auto"/>
        <w:rPr>
          <w:rFonts w:ascii="Arial" w:hAnsi="Arial" w:cs="Arial"/>
          <w:sz w:val="32"/>
          <w:szCs w:val="32"/>
          <w:lang w:val="uk-UA"/>
        </w:rPr>
      </w:pPr>
      <w:r w:rsidRPr="00443E06">
        <w:rPr>
          <w:rFonts w:ascii="Arial" w:hAnsi="Arial" w:cs="Arial"/>
          <w:b/>
          <w:bCs/>
          <w:sz w:val="32"/>
          <w:szCs w:val="32"/>
          <w:lang w:val="nl-NL"/>
        </w:rPr>
        <w:t>Student name</w:t>
      </w:r>
      <w:r w:rsidRPr="00443E06">
        <w:rPr>
          <w:rFonts w:ascii="Arial" w:hAnsi="Arial" w:cs="Arial"/>
          <w:sz w:val="32"/>
          <w:szCs w:val="32"/>
          <w:lang w:val="nl-NL"/>
        </w:rPr>
        <w:t>:</w:t>
      </w:r>
      <w:r w:rsidRPr="00443E06">
        <w:rPr>
          <w:rFonts w:ascii="Arial" w:hAnsi="Arial" w:cs="Arial"/>
          <w:sz w:val="32"/>
          <w:szCs w:val="32"/>
          <w:lang w:val="uk-UA"/>
        </w:rPr>
        <w:t xml:space="preserve"> </w:t>
      </w:r>
      <w:r w:rsidRPr="00443E06">
        <w:rPr>
          <w:rFonts w:ascii="Arial" w:hAnsi="Arial" w:cs="Arial"/>
          <w:sz w:val="32"/>
          <w:szCs w:val="32"/>
        </w:rPr>
        <w:t>Yuliia Silman</w:t>
      </w:r>
    </w:p>
    <w:p w14:paraId="295D4CE4" w14:textId="77777777" w:rsidR="00676AFA" w:rsidRPr="00EF4798" w:rsidRDefault="00676AFA" w:rsidP="00676AFA">
      <w:pPr>
        <w:tabs>
          <w:tab w:val="left" w:pos="6540"/>
        </w:tabs>
        <w:spacing w:line="360" w:lineRule="auto"/>
        <w:rPr>
          <w:rFonts w:ascii="Arial" w:hAnsi="Arial" w:cs="Arial"/>
          <w:sz w:val="32"/>
          <w:szCs w:val="32"/>
          <w:lang w:val="uk-UA"/>
        </w:rPr>
      </w:pPr>
    </w:p>
    <w:p w14:paraId="7B5B7ECC" w14:textId="77777777" w:rsidR="00676AFA" w:rsidRPr="00443E06" w:rsidRDefault="00676AFA" w:rsidP="00676AFA">
      <w:pPr>
        <w:tabs>
          <w:tab w:val="left" w:pos="6540"/>
        </w:tabs>
        <w:spacing w:line="360" w:lineRule="auto"/>
        <w:rPr>
          <w:rFonts w:ascii="Arial" w:hAnsi="Arial" w:cs="Arial"/>
          <w:sz w:val="32"/>
          <w:szCs w:val="32"/>
          <w:lang w:val="nl-NL"/>
        </w:rPr>
      </w:pPr>
      <w:r w:rsidRPr="00443E06">
        <w:rPr>
          <w:rFonts w:ascii="Arial" w:hAnsi="Arial" w:cs="Arial"/>
          <w:b/>
          <w:bCs/>
          <w:sz w:val="32"/>
          <w:szCs w:val="32"/>
          <w:lang w:val="nl-NL"/>
        </w:rPr>
        <w:t>Student ID</w:t>
      </w:r>
      <w:r w:rsidRPr="00443E06">
        <w:rPr>
          <w:rFonts w:ascii="Arial" w:hAnsi="Arial" w:cs="Arial"/>
          <w:sz w:val="32"/>
          <w:szCs w:val="32"/>
          <w:lang w:val="nl-NL"/>
        </w:rPr>
        <w:t>: 2431446</w:t>
      </w:r>
    </w:p>
    <w:p w14:paraId="001C4C41" w14:textId="77777777" w:rsidR="00676AFA" w:rsidRPr="00443E06" w:rsidRDefault="00676AFA" w:rsidP="00676AFA">
      <w:pPr>
        <w:tabs>
          <w:tab w:val="left" w:pos="6540"/>
        </w:tabs>
        <w:spacing w:line="360" w:lineRule="auto"/>
        <w:rPr>
          <w:rFonts w:ascii="Arial" w:hAnsi="Arial" w:cs="Arial"/>
          <w:sz w:val="32"/>
          <w:szCs w:val="32"/>
          <w:lang w:val="nl-NL"/>
        </w:rPr>
      </w:pPr>
    </w:p>
    <w:p w14:paraId="58A5FB8E" w14:textId="77777777" w:rsidR="00676AFA" w:rsidRPr="00443E06" w:rsidRDefault="00676AFA" w:rsidP="00676AFA">
      <w:pPr>
        <w:pStyle w:val="p1"/>
        <w:spacing w:line="360" w:lineRule="auto"/>
        <w:rPr>
          <w:rFonts w:ascii="Arial" w:hAnsi="Arial" w:cs="Arial"/>
          <w:sz w:val="32"/>
          <w:szCs w:val="32"/>
        </w:rPr>
      </w:pPr>
      <w:r w:rsidRPr="00443E06">
        <w:rPr>
          <w:rFonts w:ascii="Arial" w:hAnsi="Arial" w:cs="Arial"/>
          <w:b/>
          <w:bCs/>
          <w:sz w:val="32"/>
          <w:szCs w:val="32"/>
          <w:lang w:val="nl-NL"/>
        </w:rPr>
        <w:t>Module name</w:t>
      </w:r>
      <w:r w:rsidRPr="00443E06">
        <w:rPr>
          <w:rFonts w:ascii="Arial" w:hAnsi="Arial" w:cs="Arial"/>
          <w:sz w:val="32"/>
          <w:szCs w:val="32"/>
          <w:lang w:val="nl-NL"/>
        </w:rPr>
        <w:t xml:space="preserve">: </w:t>
      </w:r>
      <w:r w:rsidRPr="00443E06">
        <w:rPr>
          <w:rFonts w:ascii="Arial" w:hAnsi="Arial" w:cs="Arial"/>
          <w:sz w:val="32"/>
          <w:szCs w:val="32"/>
        </w:rPr>
        <w:t>Principles of Health and Social Care Practice</w:t>
      </w:r>
    </w:p>
    <w:p w14:paraId="72B05B4A" w14:textId="77777777" w:rsidR="00676AFA" w:rsidRPr="00443E06" w:rsidRDefault="00676AFA" w:rsidP="00676AFA">
      <w:pPr>
        <w:pStyle w:val="p1"/>
        <w:spacing w:line="360" w:lineRule="auto"/>
        <w:rPr>
          <w:rFonts w:ascii="Arial" w:hAnsi="Arial" w:cs="Arial"/>
          <w:b/>
          <w:bCs/>
          <w:sz w:val="32"/>
          <w:szCs w:val="32"/>
        </w:rPr>
      </w:pPr>
    </w:p>
    <w:p w14:paraId="72AB12E7" w14:textId="77777777" w:rsidR="00676AFA" w:rsidRDefault="00676AFA" w:rsidP="00676AFA">
      <w:pPr>
        <w:pStyle w:val="p1"/>
        <w:spacing w:line="360" w:lineRule="auto"/>
        <w:rPr>
          <w:rFonts w:ascii="Arial" w:hAnsi="Arial" w:cs="Arial"/>
          <w:b/>
          <w:bCs/>
          <w:sz w:val="32"/>
          <w:szCs w:val="32"/>
          <w:lang w:val="uk-UA"/>
        </w:rPr>
      </w:pPr>
    </w:p>
    <w:p w14:paraId="28010CD9" w14:textId="77777777" w:rsidR="00676AFA" w:rsidRPr="00443E06" w:rsidRDefault="00676AFA" w:rsidP="00676AFA">
      <w:pPr>
        <w:pStyle w:val="p1"/>
        <w:spacing w:line="360" w:lineRule="auto"/>
        <w:rPr>
          <w:rFonts w:ascii="Arial" w:hAnsi="Arial" w:cs="Arial"/>
          <w:sz w:val="32"/>
          <w:szCs w:val="32"/>
        </w:rPr>
      </w:pPr>
      <w:r w:rsidRPr="00443E06">
        <w:rPr>
          <w:rFonts w:ascii="Arial" w:hAnsi="Arial" w:cs="Arial"/>
          <w:b/>
          <w:bCs/>
          <w:sz w:val="32"/>
          <w:szCs w:val="32"/>
        </w:rPr>
        <w:t>Module code</w:t>
      </w:r>
      <w:r w:rsidRPr="00443E06">
        <w:rPr>
          <w:rFonts w:ascii="Arial" w:hAnsi="Arial" w:cs="Arial"/>
          <w:sz w:val="32"/>
          <w:szCs w:val="32"/>
        </w:rPr>
        <w:t xml:space="preserve">: BMHP5016 </w:t>
      </w:r>
    </w:p>
    <w:p w14:paraId="4B56AE15" w14:textId="77777777" w:rsidR="00676AFA" w:rsidRPr="00443E06" w:rsidRDefault="00676AFA" w:rsidP="00676AFA">
      <w:pPr>
        <w:tabs>
          <w:tab w:val="left" w:pos="6540"/>
        </w:tabs>
        <w:spacing w:line="360" w:lineRule="auto"/>
        <w:rPr>
          <w:rFonts w:ascii="Arial" w:hAnsi="Arial" w:cs="Arial"/>
          <w:sz w:val="32"/>
          <w:szCs w:val="32"/>
        </w:rPr>
      </w:pPr>
    </w:p>
    <w:p w14:paraId="57613FE2" w14:textId="77777777" w:rsidR="00676AFA" w:rsidRPr="00443E06" w:rsidRDefault="00676AFA" w:rsidP="00676AFA">
      <w:pPr>
        <w:tabs>
          <w:tab w:val="left" w:pos="6540"/>
        </w:tabs>
        <w:spacing w:line="360" w:lineRule="auto"/>
        <w:rPr>
          <w:rFonts w:ascii="Arial" w:hAnsi="Arial" w:cs="Arial"/>
          <w:sz w:val="32"/>
          <w:szCs w:val="32"/>
          <w:lang w:val="uk-UA"/>
        </w:rPr>
      </w:pPr>
      <w:r w:rsidRPr="00443E06">
        <w:rPr>
          <w:rFonts w:ascii="Arial" w:hAnsi="Arial" w:cs="Arial"/>
          <w:b/>
          <w:bCs/>
          <w:sz w:val="32"/>
          <w:szCs w:val="32"/>
        </w:rPr>
        <w:t>Lecturer name</w:t>
      </w:r>
      <w:r w:rsidRPr="00443E06">
        <w:rPr>
          <w:rFonts w:ascii="Arial" w:hAnsi="Arial" w:cs="Arial"/>
          <w:sz w:val="32"/>
          <w:szCs w:val="32"/>
        </w:rPr>
        <w:t>:</w:t>
      </w:r>
      <w:r w:rsidRPr="00443E06">
        <w:rPr>
          <w:rFonts w:ascii="Arial" w:hAnsi="Arial" w:cs="Arial"/>
          <w:sz w:val="32"/>
          <w:szCs w:val="32"/>
          <w:lang w:val="uk-UA"/>
        </w:rPr>
        <w:t xml:space="preserve"> </w:t>
      </w:r>
      <w:proofErr w:type="spellStart"/>
      <w:r w:rsidRPr="00443E06">
        <w:rPr>
          <w:rFonts w:ascii="Arial" w:hAnsi="Arial" w:cs="Arial"/>
          <w:color w:val="1D2125"/>
          <w:sz w:val="32"/>
          <w:szCs w:val="32"/>
          <w:shd w:val="clear" w:color="auto" w:fill="FFFFFF"/>
        </w:rPr>
        <w:t>Itse</w:t>
      </w:r>
      <w:proofErr w:type="spellEnd"/>
      <w:r w:rsidRPr="00443E06">
        <w:rPr>
          <w:rFonts w:ascii="Arial" w:hAnsi="Arial" w:cs="Arial"/>
          <w:color w:val="1D2125"/>
          <w:sz w:val="32"/>
          <w:szCs w:val="32"/>
          <w:shd w:val="clear" w:color="auto" w:fill="FFFFFF"/>
        </w:rPr>
        <w:t xml:space="preserve"> Olaoye</w:t>
      </w:r>
    </w:p>
    <w:p w14:paraId="48DC9C4A" w14:textId="77777777" w:rsidR="00676AFA" w:rsidRDefault="00676AFA" w:rsidP="00676AFA">
      <w:pPr>
        <w:pStyle w:val="p1"/>
        <w:spacing w:line="360" w:lineRule="auto"/>
        <w:jc w:val="both"/>
        <w:rPr>
          <w:rFonts w:ascii="Arial" w:hAnsi="Arial" w:cs="Arial"/>
          <w:b/>
          <w:bCs/>
          <w:sz w:val="32"/>
          <w:szCs w:val="32"/>
          <w:lang w:val="uk-UA"/>
        </w:rPr>
      </w:pPr>
    </w:p>
    <w:p w14:paraId="52649EE5" w14:textId="77777777" w:rsidR="00676AFA" w:rsidRPr="00443E06" w:rsidRDefault="00676AFA" w:rsidP="00676AFA">
      <w:pPr>
        <w:pStyle w:val="p1"/>
        <w:spacing w:line="360" w:lineRule="auto"/>
        <w:jc w:val="both"/>
        <w:rPr>
          <w:rFonts w:ascii="Arial" w:hAnsi="Arial" w:cs="Arial"/>
          <w:sz w:val="32"/>
          <w:szCs w:val="32"/>
        </w:rPr>
      </w:pPr>
      <w:r w:rsidRPr="00443E06">
        <w:rPr>
          <w:rFonts w:ascii="Arial" w:hAnsi="Arial" w:cs="Arial"/>
          <w:b/>
          <w:bCs/>
          <w:sz w:val="32"/>
          <w:szCs w:val="32"/>
        </w:rPr>
        <w:t>Assessment:</w:t>
      </w:r>
      <w:r>
        <w:rPr>
          <w:rFonts w:ascii="Arial" w:hAnsi="Arial" w:cs="Arial"/>
          <w:b/>
          <w:bCs/>
          <w:sz w:val="32"/>
          <w:szCs w:val="32"/>
        </w:rPr>
        <w:t xml:space="preserve"> </w:t>
      </w:r>
      <w:r w:rsidRPr="00443E06">
        <w:rPr>
          <w:rFonts w:ascii="Arial" w:hAnsi="Arial" w:cs="Arial"/>
          <w:sz w:val="32"/>
          <w:szCs w:val="32"/>
        </w:rPr>
        <w:t>Reflection on the Importance of Principles of Health and Social Care</w:t>
      </w:r>
      <w:r>
        <w:rPr>
          <w:rFonts w:ascii="Arial" w:hAnsi="Arial" w:cs="Arial"/>
          <w:sz w:val="32"/>
          <w:szCs w:val="32"/>
        </w:rPr>
        <w:t xml:space="preserve"> </w:t>
      </w:r>
      <w:r w:rsidRPr="00443E06">
        <w:rPr>
          <w:rFonts w:ascii="Arial" w:hAnsi="Arial" w:cs="Arial"/>
          <w:sz w:val="32"/>
          <w:szCs w:val="32"/>
        </w:rPr>
        <w:t>(Reflective</w:t>
      </w:r>
      <w:r>
        <w:rPr>
          <w:rFonts w:ascii="Arial" w:hAnsi="Arial" w:cs="Arial"/>
          <w:sz w:val="32"/>
          <w:szCs w:val="32"/>
        </w:rPr>
        <w:t xml:space="preserve"> </w:t>
      </w:r>
      <w:r w:rsidRPr="00443E06">
        <w:rPr>
          <w:rFonts w:ascii="Arial" w:hAnsi="Arial" w:cs="Arial"/>
          <w:sz w:val="32"/>
          <w:szCs w:val="32"/>
        </w:rPr>
        <w:t>Report)</w:t>
      </w:r>
    </w:p>
    <w:p w14:paraId="527CC4ED" w14:textId="77777777" w:rsidR="00676AFA" w:rsidRDefault="00676AFA"/>
    <w:p w14:paraId="19F0A60C" w14:textId="77777777" w:rsidR="00676AFA" w:rsidRDefault="00676AFA"/>
    <w:p w14:paraId="7C605328" w14:textId="77777777" w:rsidR="00676AFA" w:rsidRDefault="00676AFA"/>
    <w:p w14:paraId="73106176" w14:textId="77777777" w:rsidR="00676AFA" w:rsidRDefault="00676AFA"/>
    <w:p w14:paraId="4DEB0B47" w14:textId="77777777" w:rsidR="00676AFA" w:rsidRDefault="00676AFA"/>
    <w:p w14:paraId="5784946E" w14:textId="77777777" w:rsidR="00676AFA" w:rsidRDefault="00676AFA"/>
    <w:p w14:paraId="54F5B1D3" w14:textId="77777777" w:rsidR="00676AFA" w:rsidRDefault="00676AFA"/>
    <w:p w14:paraId="3B3C297D" w14:textId="77777777" w:rsidR="00676AFA" w:rsidRDefault="00676AFA"/>
    <w:p w14:paraId="2A372F07" w14:textId="77777777" w:rsidR="00676AFA" w:rsidRDefault="00676AFA"/>
    <w:p w14:paraId="6E2E7181" w14:textId="77777777" w:rsidR="00676AFA" w:rsidRDefault="00676AFA"/>
    <w:p w14:paraId="58A42DB9" w14:textId="77777777" w:rsidR="00676AFA" w:rsidRDefault="00676AFA"/>
    <w:p w14:paraId="5EEC8378" w14:textId="77777777" w:rsidR="00676AFA" w:rsidRDefault="00676AFA"/>
    <w:p w14:paraId="6F1E5908" w14:textId="77777777" w:rsidR="00676AFA" w:rsidRDefault="00676AFA"/>
    <w:p w14:paraId="148037F2" w14:textId="77777777" w:rsidR="00676AFA" w:rsidRDefault="00676AFA"/>
    <w:sdt>
      <w:sdtPr>
        <w:rPr>
          <w:rFonts w:ascii="Arial" w:eastAsia="Times New Roman" w:hAnsi="Arial" w:cs="Arial"/>
          <w:b w:val="0"/>
          <w:bCs w:val="0"/>
          <w:color w:val="auto"/>
          <w:sz w:val="24"/>
          <w:szCs w:val="24"/>
          <w:lang w:val="en-GB" w:eastAsia="en-GB"/>
        </w:rPr>
        <w:id w:val="697040841"/>
        <w:docPartObj>
          <w:docPartGallery w:val="Table of Contents"/>
          <w:docPartUnique/>
        </w:docPartObj>
      </w:sdtPr>
      <w:sdtEndPr>
        <w:rPr>
          <w:rFonts w:ascii="Times New Roman" w:hAnsi="Times New Roman" w:cs="Times New Roman"/>
          <w:b/>
          <w:bCs/>
          <w:noProof/>
        </w:rPr>
      </w:sdtEndPr>
      <w:sdtContent>
        <w:p w14:paraId="632BFC91" w14:textId="0D8725E7" w:rsidR="00676AFA" w:rsidRPr="00676AFA" w:rsidRDefault="00676AFA">
          <w:pPr>
            <w:pStyle w:val="TOCHeading"/>
            <w:rPr>
              <w:rFonts w:ascii="Arial" w:hAnsi="Arial" w:cs="Arial"/>
              <w:b w:val="0"/>
              <w:bCs w:val="0"/>
            </w:rPr>
          </w:pPr>
          <w:r w:rsidRPr="00676AFA">
            <w:rPr>
              <w:rFonts w:ascii="Arial" w:hAnsi="Arial" w:cs="Arial"/>
              <w:b w:val="0"/>
              <w:bCs w:val="0"/>
            </w:rPr>
            <w:t>Table of Contents</w:t>
          </w:r>
        </w:p>
        <w:p w14:paraId="3345CA63" w14:textId="2CF82FCA" w:rsidR="00676AFA" w:rsidRPr="00676AFA" w:rsidRDefault="00676AFA">
          <w:pPr>
            <w:pStyle w:val="TOC1"/>
            <w:tabs>
              <w:tab w:val="right" w:leader="dot" w:pos="9016"/>
            </w:tabs>
            <w:rPr>
              <w:rFonts w:ascii="Arial" w:hAnsi="Arial" w:cs="Arial"/>
              <w:b w:val="0"/>
              <w:bCs w:val="0"/>
              <w:i w:val="0"/>
              <w:iCs w:val="0"/>
              <w:noProof/>
              <w:sz w:val="28"/>
              <w:szCs w:val="28"/>
            </w:rPr>
          </w:pPr>
          <w:r w:rsidRPr="00676AFA">
            <w:rPr>
              <w:rFonts w:ascii="Arial" w:hAnsi="Arial" w:cs="Arial"/>
              <w:b w:val="0"/>
              <w:bCs w:val="0"/>
              <w:i w:val="0"/>
              <w:iCs w:val="0"/>
              <w:sz w:val="28"/>
              <w:szCs w:val="28"/>
            </w:rPr>
            <w:fldChar w:fldCharType="begin"/>
          </w:r>
          <w:r w:rsidRPr="00676AFA">
            <w:rPr>
              <w:rFonts w:ascii="Arial" w:hAnsi="Arial" w:cs="Arial"/>
              <w:b w:val="0"/>
              <w:bCs w:val="0"/>
              <w:i w:val="0"/>
              <w:iCs w:val="0"/>
              <w:sz w:val="28"/>
              <w:szCs w:val="28"/>
            </w:rPr>
            <w:instrText xml:space="preserve"> TOC \o "1-3" \h \z \u </w:instrText>
          </w:r>
          <w:r w:rsidRPr="00676AFA">
            <w:rPr>
              <w:rFonts w:ascii="Arial" w:hAnsi="Arial" w:cs="Arial"/>
              <w:b w:val="0"/>
              <w:bCs w:val="0"/>
              <w:i w:val="0"/>
              <w:iCs w:val="0"/>
              <w:sz w:val="28"/>
              <w:szCs w:val="28"/>
            </w:rPr>
            <w:fldChar w:fldCharType="separate"/>
          </w:r>
          <w:hyperlink w:anchor="_Toc227101504" w:history="1">
            <w:r w:rsidRPr="00676AFA">
              <w:rPr>
                <w:rStyle w:val="Hyperlink"/>
                <w:rFonts w:ascii="Arial" w:hAnsi="Arial" w:cs="Arial"/>
                <w:b w:val="0"/>
                <w:bCs w:val="0"/>
                <w:i w:val="0"/>
                <w:iCs w:val="0"/>
                <w:noProof/>
                <w:sz w:val="28"/>
                <w:szCs w:val="28"/>
              </w:rPr>
              <w:t>Introduction</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_Toc227101504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3</w:t>
            </w:r>
            <w:r w:rsidRPr="00676AFA">
              <w:rPr>
                <w:rFonts w:ascii="Arial" w:hAnsi="Arial" w:cs="Arial"/>
                <w:b w:val="0"/>
                <w:bCs w:val="0"/>
                <w:i w:val="0"/>
                <w:iCs w:val="0"/>
                <w:noProof/>
                <w:webHidden/>
                <w:sz w:val="28"/>
                <w:szCs w:val="28"/>
              </w:rPr>
              <w:fldChar w:fldCharType="end"/>
            </w:r>
          </w:hyperlink>
        </w:p>
        <w:p w14:paraId="17721182" w14:textId="3AF28ADB" w:rsidR="00676AFA" w:rsidRPr="00676AFA" w:rsidRDefault="00676AFA">
          <w:pPr>
            <w:pStyle w:val="TOC1"/>
            <w:tabs>
              <w:tab w:val="right" w:leader="dot" w:pos="9016"/>
            </w:tabs>
            <w:rPr>
              <w:rFonts w:ascii="Arial" w:hAnsi="Arial" w:cs="Arial"/>
              <w:b w:val="0"/>
              <w:bCs w:val="0"/>
              <w:i w:val="0"/>
              <w:iCs w:val="0"/>
              <w:noProof/>
              <w:sz w:val="28"/>
              <w:szCs w:val="28"/>
            </w:rPr>
          </w:pPr>
          <w:hyperlink w:anchor="_Toc227101505" w:history="1">
            <w:r w:rsidRPr="00676AFA">
              <w:rPr>
                <w:rStyle w:val="Hyperlink"/>
                <w:rFonts w:ascii="Arial" w:hAnsi="Arial" w:cs="Arial"/>
                <w:b w:val="0"/>
                <w:bCs w:val="0"/>
                <w:i w:val="0"/>
                <w:iCs w:val="0"/>
                <w:noProof/>
                <w:sz w:val="28"/>
                <w:szCs w:val="28"/>
              </w:rPr>
              <w:t>Task 1.</w:t>
            </w:r>
            <w:r w:rsidRPr="00676AFA">
              <w:rPr>
                <w:rStyle w:val="Hyperlink"/>
                <w:rFonts w:ascii="Arial" w:hAnsi="Arial" w:cs="Arial"/>
                <w:b w:val="0"/>
                <w:bCs w:val="0"/>
                <w:i w:val="0"/>
                <w:iCs w:val="0"/>
                <w:noProof/>
                <w:sz w:val="28"/>
                <w:szCs w:val="28"/>
                <w:lang w:val="uk-UA"/>
              </w:rPr>
              <w:t xml:space="preserve"> </w:t>
            </w:r>
            <w:r w:rsidRPr="00676AFA">
              <w:rPr>
                <w:rStyle w:val="Hyperlink"/>
                <w:rFonts w:ascii="Arial" w:hAnsi="Arial" w:cs="Arial"/>
                <w:b w:val="0"/>
                <w:bCs w:val="0"/>
                <w:i w:val="0"/>
                <w:iCs w:val="0"/>
                <w:noProof/>
                <w:sz w:val="28"/>
                <w:szCs w:val="28"/>
              </w:rPr>
              <w:t>The Importance of Principles in Health and Social Care</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_Toc227101505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3</w:t>
            </w:r>
            <w:r w:rsidRPr="00676AFA">
              <w:rPr>
                <w:rFonts w:ascii="Arial" w:hAnsi="Arial" w:cs="Arial"/>
                <w:b w:val="0"/>
                <w:bCs w:val="0"/>
                <w:i w:val="0"/>
                <w:iCs w:val="0"/>
                <w:noProof/>
                <w:webHidden/>
                <w:sz w:val="28"/>
                <w:szCs w:val="28"/>
              </w:rPr>
              <w:fldChar w:fldCharType="end"/>
            </w:r>
          </w:hyperlink>
        </w:p>
        <w:p w14:paraId="0E165E07" w14:textId="0479F616" w:rsidR="00676AFA" w:rsidRPr="00676AFA" w:rsidRDefault="00676AFA">
          <w:pPr>
            <w:pStyle w:val="TOC1"/>
            <w:tabs>
              <w:tab w:val="right" w:leader="dot" w:pos="9016"/>
            </w:tabs>
            <w:rPr>
              <w:rFonts w:ascii="Arial" w:hAnsi="Arial" w:cs="Arial"/>
              <w:b w:val="0"/>
              <w:bCs w:val="0"/>
              <w:i w:val="0"/>
              <w:iCs w:val="0"/>
              <w:noProof/>
              <w:sz w:val="28"/>
              <w:szCs w:val="28"/>
            </w:rPr>
          </w:pPr>
          <w:hyperlink w:anchor="_Toc227101506" w:history="1">
            <w:r w:rsidRPr="00676AFA">
              <w:rPr>
                <w:rStyle w:val="Hyperlink"/>
                <w:rFonts w:ascii="Arial" w:hAnsi="Arial" w:cs="Arial"/>
                <w:b w:val="0"/>
                <w:bCs w:val="0"/>
                <w:i w:val="0"/>
                <w:iCs w:val="0"/>
                <w:noProof/>
                <w:sz w:val="28"/>
                <w:szCs w:val="28"/>
              </w:rPr>
              <w:t>Task 2. Application of Principles in Health and Social Care Practice</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_Toc227101506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4</w:t>
            </w:r>
            <w:r w:rsidRPr="00676AFA">
              <w:rPr>
                <w:rFonts w:ascii="Arial" w:hAnsi="Arial" w:cs="Arial"/>
                <w:b w:val="0"/>
                <w:bCs w:val="0"/>
                <w:i w:val="0"/>
                <w:iCs w:val="0"/>
                <w:noProof/>
                <w:webHidden/>
                <w:sz w:val="28"/>
                <w:szCs w:val="28"/>
              </w:rPr>
              <w:fldChar w:fldCharType="end"/>
            </w:r>
          </w:hyperlink>
        </w:p>
        <w:p w14:paraId="0B21F60F" w14:textId="234761AD" w:rsidR="00676AFA" w:rsidRPr="00676AFA" w:rsidRDefault="00676AFA">
          <w:pPr>
            <w:pStyle w:val="TOC1"/>
            <w:tabs>
              <w:tab w:val="right" w:leader="dot" w:pos="9016"/>
            </w:tabs>
            <w:rPr>
              <w:rFonts w:ascii="Arial" w:hAnsi="Arial" w:cs="Arial"/>
              <w:b w:val="0"/>
              <w:bCs w:val="0"/>
              <w:i w:val="0"/>
              <w:iCs w:val="0"/>
              <w:noProof/>
              <w:sz w:val="28"/>
              <w:szCs w:val="28"/>
            </w:rPr>
          </w:pPr>
          <w:hyperlink w:anchor="_Toc227101507" w:history="1">
            <w:r w:rsidRPr="00676AFA">
              <w:rPr>
                <w:rStyle w:val="Hyperlink"/>
                <w:rFonts w:ascii="Arial" w:hAnsi="Arial" w:cs="Arial"/>
                <w:b w:val="0"/>
                <w:bCs w:val="0"/>
                <w:i w:val="0"/>
                <w:iCs w:val="0"/>
                <w:noProof/>
                <w:sz w:val="28"/>
                <w:szCs w:val="28"/>
              </w:rPr>
              <w:t>Task 3.</w:t>
            </w:r>
            <w:r w:rsidRPr="00676AFA">
              <w:rPr>
                <w:rStyle w:val="Hyperlink"/>
                <w:rFonts w:ascii="Arial" w:hAnsi="Arial" w:cs="Arial"/>
                <w:b w:val="0"/>
                <w:bCs w:val="0"/>
                <w:i w:val="0"/>
                <w:iCs w:val="0"/>
                <w:noProof/>
                <w:sz w:val="28"/>
                <w:szCs w:val="28"/>
                <w:lang w:val="uk-UA"/>
              </w:rPr>
              <w:t xml:space="preserve"> </w:t>
            </w:r>
            <w:r w:rsidRPr="00676AFA">
              <w:rPr>
                <w:rStyle w:val="Hyperlink"/>
                <w:rFonts w:ascii="Arial" w:hAnsi="Arial" w:cs="Arial"/>
                <w:b w:val="0"/>
                <w:bCs w:val="0"/>
                <w:i w:val="0"/>
                <w:iCs w:val="0"/>
                <w:noProof/>
                <w:sz w:val="28"/>
                <w:szCs w:val="28"/>
              </w:rPr>
              <w:t>Reflective Analysis of Developing Professional Practice in Health and Social Care</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_Toc227101507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6</w:t>
            </w:r>
            <w:r w:rsidRPr="00676AFA">
              <w:rPr>
                <w:rFonts w:ascii="Arial" w:hAnsi="Arial" w:cs="Arial"/>
                <w:b w:val="0"/>
                <w:bCs w:val="0"/>
                <w:i w:val="0"/>
                <w:iCs w:val="0"/>
                <w:noProof/>
                <w:webHidden/>
                <w:sz w:val="28"/>
                <w:szCs w:val="28"/>
              </w:rPr>
              <w:fldChar w:fldCharType="end"/>
            </w:r>
          </w:hyperlink>
        </w:p>
        <w:p w14:paraId="30E943D0" w14:textId="62E2BCE4" w:rsidR="00676AFA" w:rsidRPr="00676AFA" w:rsidRDefault="00676AFA">
          <w:pPr>
            <w:pStyle w:val="TOC1"/>
            <w:tabs>
              <w:tab w:val="right" w:leader="dot" w:pos="9016"/>
            </w:tabs>
            <w:rPr>
              <w:rFonts w:ascii="Arial" w:hAnsi="Arial" w:cs="Arial"/>
              <w:b w:val="0"/>
              <w:bCs w:val="0"/>
              <w:i w:val="0"/>
              <w:iCs w:val="0"/>
              <w:noProof/>
              <w:sz w:val="28"/>
              <w:szCs w:val="28"/>
            </w:rPr>
          </w:pPr>
          <w:hyperlink w:anchor="_Toc227101508" w:history="1">
            <w:r w:rsidRPr="00676AFA">
              <w:rPr>
                <w:rStyle w:val="Hyperlink"/>
                <w:rFonts w:ascii="Arial" w:hAnsi="Arial" w:cs="Arial"/>
                <w:b w:val="0"/>
                <w:bCs w:val="0"/>
                <w:i w:val="0"/>
                <w:iCs w:val="0"/>
                <w:noProof/>
                <w:sz w:val="28"/>
                <w:szCs w:val="28"/>
              </w:rPr>
              <w:t>Conclusion</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_Toc227101508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8</w:t>
            </w:r>
            <w:r w:rsidRPr="00676AFA">
              <w:rPr>
                <w:rFonts w:ascii="Arial" w:hAnsi="Arial" w:cs="Arial"/>
                <w:b w:val="0"/>
                <w:bCs w:val="0"/>
                <w:i w:val="0"/>
                <w:iCs w:val="0"/>
                <w:noProof/>
                <w:webHidden/>
                <w:sz w:val="28"/>
                <w:szCs w:val="28"/>
              </w:rPr>
              <w:fldChar w:fldCharType="end"/>
            </w:r>
          </w:hyperlink>
        </w:p>
        <w:p w14:paraId="7FDB5C66" w14:textId="39345538" w:rsidR="00676AFA" w:rsidRPr="00676AFA" w:rsidRDefault="00676AFA">
          <w:pPr>
            <w:pStyle w:val="TOC1"/>
            <w:tabs>
              <w:tab w:val="right" w:leader="dot" w:pos="9016"/>
            </w:tabs>
            <w:rPr>
              <w:rFonts w:ascii="Arial" w:hAnsi="Arial" w:cs="Arial"/>
              <w:b w:val="0"/>
              <w:bCs w:val="0"/>
              <w:i w:val="0"/>
              <w:iCs w:val="0"/>
              <w:noProof/>
              <w:sz w:val="28"/>
              <w:szCs w:val="28"/>
            </w:rPr>
          </w:pPr>
          <w:hyperlink w:anchor="_Toc227101509" w:history="1">
            <w:r w:rsidRPr="00676AFA">
              <w:rPr>
                <w:rStyle w:val="Hyperlink"/>
                <w:rFonts w:ascii="Arial" w:hAnsi="Arial" w:cs="Arial"/>
                <w:b w:val="0"/>
                <w:bCs w:val="0"/>
                <w:i w:val="0"/>
                <w:iCs w:val="0"/>
                <w:noProof/>
                <w:sz w:val="28"/>
                <w:szCs w:val="28"/>
              </w:rPr>
              <w:t>References</w:t>
            </w:r>
            <w:r w:rsidRPr="00676AFA">
              <w:rPr>
                <w:rFonts w:ascii="Arial" w:hAnsi="Arial" w:cs="Arial"/>
                <w:b w:val="0"/>
                <w:bCs w:val="0"/>
                <w:i w:val="0"/>
                <w:iCs w:val="0"/>
                <w:noProof/>
                <w:webHidden/>
                <w:sz w:val="28"/>
                <w:szCs w:val="28"/>
              </w:rPr>
              <w:tab/>
            </w:r>
            <w:r w:rsidRPr="00676AFA">
              <w:rPr>
                <w:rFonts w:ascii="Arial" w:hAnsi="Arial" w:cs="Arial"/>
                <w:b w:val="0"/>
                <w:bCs w:val="0"/>
                <w:i w:val="0"/>
                <w:iCs w:val="0"/>
                <w:noProof/>
                <w:webHidden/>
                <w:sz w:val="28"/>
                <w:szCs w:val="28"/>
              </w:rPr>
              <w:fldChar w:fldCharType="begin"/>
            </w:r>
            <w:r w:rsidRPr="00676AFA">
              <w:rPr>
                <w:rFonts w:ascii="Arial" w:hAnsi="Arial" w:cs="Arial"/>
                <w:b w:val="0"/>
                <w:bCs w:val="0"/>
                <w:i w:val="0"/>
                <w:iCs w:val="0"/>
                <w:noProof/>
                <w:webHidden/>
                <w:sz w:val="28"/>
                <w:szCs w:val="28"/>
              </w:rPr>
              <w:instrText xml:space="preserve"> PAGEREF _Toc227101509 \h </w:instrText>
            </w:r>
            <w:r w:rsidRPr="00676AFA">
              <w:rPr>
                <w:rFonts w:ascii="Arial" w:hAnsi="Arial" w:cs="Arial"/>
                <w:b w:val="0"/>
                <w:bCs w:val="0"/>
                <w:i w:val="0"/>
                <w:iCs w:val="0"/>
                <w:noProof/>
                <w:webHidden/>
                <w:sz w:val="28"/>
                <w:szCs w:val="28"/>
              </w:rPr>
            </w:r>
            <w:r w:rsidRPr="00676AFA">
              <w:rPr>
                <w:rFonts w:ascii="Arial" w:hAnsi="Arial" w:cs="Arial"/>
                <w:b w:val="0"/>
                <w:bCs w:val="0"/>
                <w:i w:val="0"/>
                <w:iCs w:val="0"/>
                <w:noProof/>
                <w:webHidden/>
                <w:sz w:val="28"/>
                <w:szCs w:val="28"/>
              </w:rPr>
              <w:fldChar w:fldCharType="separate"/>
            </w:r>
            <w:r w:rsidRPr="00676AFA">
              <w:rPr>
                <w:rFonts w:ascii="Arial" w:hAnsi="Arial" w:cs="Arial"/>
                <w:b w:val="0"/>
                <w:bCs w:val="0"/>
                <w:i w:val="0"/>
                <w:iCs w:val="0"/>
                <w:noProof/>
                <w:webHidden/>
                <w:sz w:val="28"/>
                <w:szCs w:val="28"/>
              </w:rPr>
              <w:t>9</w:t>
            </w:r>
            <w:r w:rsidRPr="00676AFA">
              <w:rPr>
                <w:rFonts w:ascii="Arial" w:hAnsi="Arial" w:cs="Arial"/>
                <w:b w:val="0"/>
                <w:bCs w:val="0"/>
                <w:i w:val="0"/>
                <w:iCs w:val="0"/>
                <w:noProof/>
                <w:webHidden/>
                <w:sz w:val="28"/>
                <w:szCs w:val="28"/>
              </w:rPr>
              <w:fldChar w:fldCharType="end"/>
            </w:r>
          </w:hyperlink>
        </w:p>
        <w:p w14:paraId="29853C17" w14:textId="27B60915" w:rsidR="00676AFA" w:rsidRDefault="00676AFA">
          <w:r w:rsidRPr="00676AFA">
            <w:rPr>
              <w:rFonts w:ascii="Arial" w:hAnsi="Arial" w:cs="Arial"/>
              <w:noProof/>
              <w:sz w:val="28"/>
              <w:szCs w:val="28"/>
            </w:rPr>
            <w:fldChar w:fldCharType="end"/>
          </w:r>
        </w:p>
      </w:sdtContent>
    </w:sdt>
    <w:p w14:paraId="0E67CEE1" w14:textId="77777777" w:rsidR="00676AFA" w:rsidRDefault="00676AFA"/>
    <w:p w14:paraId="026DB809" w14:textId="77777777" w:rsidR="00676AFA" w:rsidRDefault="00676AFA"/>
    <w:p w14:paraId="3892E7D6" w14:textId="77777777" w:rsidR="00676AFA" w:rsidRDefault="00676AFA"/>
    <w:p w14:paraId="5A423174" w14:textId="77777777" w:rsidR="00676AFA" w:rsidRDefault="00676AFA"/>
    <w:p w14:paraId="3C911CCE" w14:textId="77777777" w:rsidR="00676AFA" w:rsidRDefault="00676AFA"/>
    <w:p w14:paraId="0A8C172E" w14:textId="77777777" w:rsidR="00676AFA" w:rsidRDefault="00676AFA"/>
    <w:p w14:paraId="36E693AE" w14:textId="77777777" w:rsidR="00676AFA" w:rsidRDefault="00676AFA"/>
    <w:p w14:paraId="41954C88" w14:textId="77777777" w:rsidR="00676AFA" w:rsidRDefault="00676AFA"/>
    <w:p w14:paraId="52B2015D" w14:textId="77777777" w:rsidR="00676AFA" w:rsidRDefault="00676AFA"/>
    <w:p w14:paraId="087CF40A" w14:textId="77777777" w:rsidR="00676AFA" w:rsidRDefault="00676AFA"/>
    <w:p w14:paraId="7EDD77EE" w14:textId="77777777" w:rsidR="00676AFA" w:rsidRDefault="00676AFA"/>
    <w:p w14:paraId="19D087E3" w14:textId="77777777" w:rsidR="00676AFA" w:rsidRDefault="00676AFA"/>
    <w:p w14:paraId="5F4D5FF7" w14:textId="77777777" w:rsidR="00676AFA" w:rsidRDefault="00676AFA"/>
    <w:p w14:paraId="3B1822DC" w14:textId="77777777" w:rsidR="00676AFA" w:rsidRDefault="00676AFA"/>
    <w:p w14:paraId="5E461979" w14:textId="77777777" w:rsidR="00676AFA" w:rsidRDefault="00676AFA"/>
    <w:p w14:paraId="7F04478C" w14:textId="77777777" w:rsidR="00676AFA" w:rsidRDefault="00676AFA"/>
    <w:p w14:paraId="5EE01501" w14:textId="77777777" w:rsidR="00676AFA" w:rsidRDefault="00676AFA"/>
    <w:p w14:paraId="77A91DC1" w14:textId="77777777" w:rsidR="00676AFA" w:rsidRDefault="00676AFA"/>
    <w:p w14:paraId="22EE5D36" w14:textId="77777777" w:rsidR="00676AFA" w:rsidRDefault="00676AFA"/>
    <w:p w14:paraId="57B79307" w14:textId="77777777" w:rsidR="00676AFA" w:rsidRDefault="00676AFA"/>
    <w:p w14:paraId="16E0AD24" w14:textId="77777777" w:rsidR="00676AFA" w:rsidRDefault="00676AFA"/>
    <w:p w14:paraId="0C42A548" w14:textId="77777777" w:rsidR="00676AFA" w:rsidRDefault="00676AFA"/>
    <w:p w14:paraId="61CCC714" w14:textId="77777777" w:rsidR="00676AFA" w:rsidRDefault="00676AFA"/>
    <w:p w14:paraId="3D09627B" w14:textId="77777777" w:rsidR="00676AFA" w:rsidRDefault="00676AFA"/>
    <w:p w14:paraId="0F2E5FA7" w14:textId="77777777" w:rsidR="00676AFA" w:rsidRDefault="00676AFA"/>
    <w:p w14:paraId="19D78727" w14:textId="77777777" w:rsidR="00676AFA" w:rsidRDefault="00676AFA"/>
    <w:p w14:paraId="5287DF34" w14:textId="77777777" w:rsidR="00676AFA" w:rsidRDefault="00676AFA"/>
    <w:p w14:paraId="7DE19328" w14:textId="77777777" w:rsidR="00676AFA" w:rsidRDefault="00676AFA"/>
    <w:p w14:paraId="4DE5805F" w14:textId="77777777" w:rsidR="00676AFA" w:rsidRDefault="00676AFA"/>
    <w:p w14:paraId="152586FF" w14:textId="77777777" w:rsidR="00676AFA" w:rsidRDefault="00676AFA"/>
    <w:p w14:paraId="535FE5D4" w14:textId="77777777" w:rsidR="00676AFA" w:rsidRDefault="00676AFA"/>
    <w:p w14:paraId="372D167D" w14:textId="77777777" w:rsidR="00676AFA" w:rsidRDefault="00676AFA"/>
    <w:p w14:paraId="2C7CC279" w14:textId="77777777" w:rsidR="00676AFA" w:rsidRDefault="00676AFA"/>
    <w:p w14:paraId="54CEB0F0" w14:textId="77777777" w:rsidR="00676AFA" w:rsidRDefault="00676AFA"/>
    <w:p w14:paraId="39867586" w14:textId="77777777" w:rsidR="00676AFA" w:rsidRDefault="00676AFA"/>
    <w:p w14:paraId="452F3BF2" w14:textId="77777777" w:rsidR="00676AFA" w:rsidRPr="00B235DB" w:rsidRDefault="00676AFA" w:rsidP="00676AFA">
      <w:pPr>
        <w:pStyle w:val="Heading1"/>
        <w:rPr>
          <w:lang w:val="uk-UA"/>
        </w:rPr>
      </w:pPr>
      <w:bookmarkStart w:id="0" w:name="_Toc227101504"/>
      <w:r w:rsidRPr="00B235DB">
        <w:lastRenderedPageBreak/>
        <w:t>Introduction</w:t>
      </w:r>
      <w:bookmarkEnd w:id="0"/>
    </w:p>
    <w:p w14:paraId="401B9F69"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Health and social care practice in the UK is increasingly focused on providing more individualised care to improve the quality of care and health outcomes. However, the effective implementation of this approach relies on key principles that guide professional practice, including person-centred care, partnership working and ethical practice.</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This report examines the significance of these principles and their role in improving care quality, collaboration and decision-making. Task 1 explores their importance and interconnection within health and social care practice. Task 2 applies these principles to a professional practice, highlighting the challenges of balancing individual needs, coordinated care and ethical responsibility. Task 3 provides a reflective analysis based on personal experience, considering how these principles influence professional development in practice.</w:t>
      </w:r>
    </w:p>
    <w:p w14:paraId="7EBF5994" w14:textId="77777777" w:rsidR="00676AFA" w:rsidRPr="00B235DB" w:rsidRDefault="00676AFA" w:rsidP="00676AFA">
      <w:pPr>
        <w:pStyle w:val="Heading1"/>
      </w:pPr>
      <w:bookmarkStart w:id="1" w:name="_Toc227101505"/>
      <w:r w:rsidRPr="00B235DB">
        <w:t>Task 1.</w:t>
      </w:r>
      <w:r w:rsidRPr="00B235DB">
        <w:rPr>
          <w:lang w:val="uk-UA"/>
        </w:rPr>
        <w:t xml:space="preserve"> </w:t>
      </w:r>
      <w:r w:rsidRPr="00B235DB">
        <w:t>The Importance of Principles in Health and Social Care</w:t>
      </w:r>
      <w:bookmarkEnd w:id="1"/>
    </w:p>
    <w:p w14:paraId="0DDC8C30"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b/>
          <w:bCs/>
          <w:color w:val="000000" w:themeColor="text1"/>
          <w:sz w:val="22"/>
          <w:szCs w:val="22"/>
        </w:rPr>
        <w:t>Person-centred care</w:t>
      </w:r>
      <w:r w:rsidRPr="00B235DB">
        <w:rPr>
          <w:rFonts w:ascii="Arial" w:hAnsi="Arial" w:cs="Arial"/>
          <w:color w:val="000000" w:themeColor="text1"/>
          <w:sz w:val="22"/>
          <w:szCs w:val="22"/>
        </w:rPr>
        <w:t xml:space="preserve"> is widely recognised as an essential principle in health and social care. According to NICE (2021), it involves recognising individuals’ unique needs, preferences and values, and involving them in decisions about their care. This approach supports individuals in understanding their condition and treatment, which can improve adherence and lead to better health outcomes. It is also associated with increased satisfaction and stronger trust in healthcare professionals. Furthermore, person-centred care can be linked to Maslow’s hierarchy of needs, which highlights that individuals require support at different levels, including psychological, social and physical needs (</w:t>
      </w:r>
      <w:proofErr w:type="spellStart"/>
      <w:r w:rsidRPr="00B235DB">
        <w:rPr>
          <w:rFonts w:ascii="Arial" w:hAnsi="Arial" w:cs="Arial"/>
          <w:color w:val="000000" w:themeColor="text1"/>
          <w:sz w:val="22"/>
          <w:szCs w:val="22"/>
        </w:rPr>
        <w:t>Pichère</w:t>
      </w:r>
      <w:proofErr w:type="spellEnd"/>
      <w:r w:rsidRPr="00B235DB">
        <w:rPr>
          <w:rFonts w:ascii="Arial" w:hAnsi="Arial" w:cs="Arial"/>
          <w:color w:val="000000" w:themeColor="text1"/>
          <w:sz w:val="22"/>
          <w:szCs w:val="22"/>
        </w:rPr>
        <w:t xml:space="preserve"> and </w:t>
      </w:r>
      <w:proofErr w:type="spellStart"/>
      <w:r w:rsidRPr="00B235DB">
        <w:rPr>
          <w:rFonts w:ascii="Arial" w:hAnsi="Arial" w:cs="Arial"/>
          <w:color w:val="000000" w:themeColor="text1"/>
          <w:sz w:val="22"/>
          <w:szCs w:val="22"/>
        </w:rPr>
        <w:t>Cadiat</w:t>
      </w:r>
      <w:proofErr w:type="spellEnd"/>
      <w:r w:rsidRPr="00B235DB">
        <w:rPr>
          <w:rFonts w:ascii="Arial" w:hAnsi="Arial" w:cs="Arial"/>
          <w:color w:val="000000" w:themeColor="text1"/>
          <w:sz w:val="22"/>
          <w:szCs w:val="22"/>
        </w:rPr>
        <w:t>, 2016). Therefore, addressing these needs contributes to overall wellbeing and more effective care, as it encourages individuals to be actively involved in their care and feel valued.</w:t>
      </w:r>
    </w:p>
    <w:p w14:paraId="60FAC5DB"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b/>
          <w:bCs/>
          <w:color w:val="000000" w:themeColor="text1"/>
          <w:sz w:val="22"/>
          <w:szCs w:val="22"/>
        </w:rPr>
        <w:t>Partnership working</w:t>
      </w:r>
      <w:r w:rsidRPr="00B235DB">
        <w:rPr>
          <w:rFonts w:ascii="Arial" w:hAnsi="Arial" w:cs="Arial"/>
          <w:color w:val="000000" w:themeColor="text1"/>
          <w:sz w:val="22"/>
          <w:szCs w:val="22"/>
        </w:rPr>
        <w:t xml:space="preserve"> refers to collaboration between different professionals, services, individuals and their families to meet care needs in a coordinated way (Curreri, 2019). Such an approach is essential for delivering holistic care, as individuals often have complex needs that cannot be addressed by one professional alone. Through effective communication and shared decision-making, partnership working helps reduce fragmented services and ensures continuity of care, as</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a lack of coordination between services can lead to unmet needs and delays in support.</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 xml:space="preserve">Therefore, coordinated working allows different professionals to combine their knowledge to address individuals’ needs, including physical, emotional and social </w:t>
      </w:r>
      <w:r w:rsidRPr="00B235DB">
        <w:rPr>
          <w:rFonts w:ascii="Arial" w:hAnsi="Arial" w:cs="Arial"/>
          <w:color w:val="000000" w:themeColor="text1"/>
          <w:sz w:val="22"/>
          <w:szCs w:val="22"/>
        </w:rPr>
        <w:lastRenderedPageBreak/>
        <w:t>support. As a result, individuals receive more consistent and coordinated support, which improves both health outcomes and the overall quality of care.</w:t>
      </w:r>
      <w:r w:rsidRPr="00B235DB">
        <w:rPr>
          <w:rFonts w:ascii="Arial" w:hAnsi="Arial" w:cs="Arial"/>
          <w:color w:val="000000" w:themeColor="text1"/>
          <w:sz w:val="22"/>
          <w:szCs w:val="22"/>
          <w:lang w:val="uk-UA"/>
        </w:rPr>
        <w:t xml:space="preserve"> </w:t>
      </w:r>
    </w:p>
    <w:p w14:paraId="0F855A26"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b/>
          <w:bCs/>
          <w:color w:val="000000" w:themeColor="text1"/>
          <w:sz w:val="22"/>
          <w:szCs w:val="22"/>
        </w:rPr>
        <w:t>Ethical practice</w:t>
      </w:r>
      <w:r w:rsidRPr="00B235DB">
        <w:rPr>
          <w:rFonts w:ascii="Arial" w:hAnsi="Arial" w:cs="Arial"/>
          <w:color w:val="000000" w:themeColor="text1"/>
          <w:sz w:val="22"/>
          <w:szCs w:val="22"/>
        </w:rPr>
        <w:t xml:space="preserve"> underpins all aspects of health and social care by guiding professionals in decision-making. It involves respecting individuals’ rights and dignity, acting in their best interests, and ensuring that care is delivered safely and fairly (NMC, 2018). Key elements include maintaining confidentiality, respecting privacy, and supporting individuals in making informed decisions. These principles can also be understood through the four ethical principles of autonomy, beneficence, non-maleficence and justice, which provide a framework for balancing individual choice with professional responsibility. Ethical practice is essential for building trust and preventing harm, ensuring safe and respectful care.</w:t>
      </w:r>
    </w:p>
    <w:p w14:paraId="09E01363" w14:textId="3A17C0A3"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 xml:space="preserve">These principles are closely interconnected and together guide effective health and social care practice. Person-centred care focuses on individual needs, partnership working enables coordinated support, and ethical practice ensures that decisions are made responsibly. However, their application is not always straightforward. </w:t>
      </w:r>
      <w:r w:rsidR="007B549E">
        <w:rPr>
          <w:rFonts w:ascii="Arial" w:hAnsi="Arial" w:cs="Arial"/>
          <w:color w:val="000000" w:themeColor="text1"/>
          <w:sz w:val="22"/>
          <w:szCs w:val="22"/>
        </w:rPr>
        <w:t>Challenges</w:t>
      </w:r>
      <w:r w:rsidRPr="00B235DB">
        <w:rPr>
          <w:rFonts w:ascii="Arial" w:hAnsi="Arial" w:cs="Arial"/>
          <w:color w:val="000000" w:themeColor="text1"/>
          <w:sz w:val="22"/>
          <w:szCs w:val="22"/>
        </w:rPr>
        <w:t xml:space="preserve"> may </w:t>
      </w:r>
      <w:r w:rsidR="007B549E">
        <w:rPr>
          <w:rFonts w:ascii="Arial" w:hAnsi="Arial" w:cs="Arial"/>
          <w:color w:val="000000" w:themeColor="text1"/>
          <w:sz w:val="22"/>
          <w:szCs w:val="22"/>
        </w:rPr>
        <w:t>occur</w:t>
      </w:r>
      <w:r w:rsidRPr="00B235DB">
        <w:rPr>
          <w:rFonts w:ascii="Arial" w:hAnsi="Arial" w:cs="Arial"/>
          <w:color w:val="000000" w:themeColor="text1"/>
          <w:sz w:val="22"/>
          <w:szCs w:val="22"/>
        </w:rPr>
        <w:t xml:space="preserve"> when an individual’s preferences </w:t>
      </w:r>
      <w:r w:rsidR="007B549E">
        <w:rPr>
          <w:rFonts w:ascii="Arial" w:hAnsi="Arial" w:cs="Arial"/>
          <w:color w:val="000000" w:themeColor="text1"/>
          <w:sz w:val="22"/>
          <w:szCs w:val="22"/>
        </w:rPr>
        <w:t>do not align</w:t>
      </w:r>
      <w:r w:rsidRPr="00B235DB">
        <w:rPr>
          <w:rFonts w:ascii="Arial" w:hAnsi="Arial" w:cs="Arial"/>
          <w:color w:val="000000" w:themeColor="text1"/>
          <w:sz w:val="22"/>
          <w:szCs w:val="22"/>
        </w:rPr>
        <w:t xml:space="preserve"> with professional judgement or when ethical responsibilities limit certain choices. In addition, differences between professionals can make collaboration challenging</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NMC, 2018</w:t>
      </w:r>
      <w:r w:rsidRPr="00B235DB">
        <w:rPr>
          <w:rFonts w:ascii="Arial" w:hAnsi="Arial" w:cs="Arial"/>
          <w:color w:val="000000" w:themeColor="text1"/>
          <w:sz w:val="22"/>
          <w:szCs w:val="22"/>
          <w:lang w:val="uk-UA"/>
        </w:rPr>
        <w:t>)</w:t>
      </w:r>
      <w:r w:rsidRPr="00B235DB">
        <w:rPr>
          <w:rFonts w:ascii="Arial" w:hAnsi="Arial" w:cs="Arial"/>
          <w:color w:val="000000" w:themeColor="text1"/>
          <w:sz w:val="22"/>
          <w:szCs w:val="22"/>
        </w:rPr>
        <w:t>. These difficulties highlight the need for balance and professional judgement in practice.</w:t>
      </w:r>
    </w:p>
    <w:p w14:paraId="74547D8D" w14:textId="4E669875"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 xml:space="preserve">In </w:t>
      </w:r>
      <w:r w:rsidR="007B549E">
        <w:rPr>
          <w:rFonts w:ascii="Arial" w:hAnsi="Arial" w:cs="Arial"/>
          <w:color w:val="000000" w:themeColor="text1"/>
          <w:sz w:val="22"/>
          <w:szCs w:val="22"/>
        </w:rPr>
        <w:t>summary</w:t>
      </w:r>
      <w:r w:rsidRPr="00B235DB">
        <w:rPr>
          <w:rFonts w:ascii="Arial" w:hAnsi="Arial" w:cs="Arial"/>
          <w:color w:val="000000" w:themeColor="text1"/>
          <w:sz w:val="22"/>
          <w:szCs w:val="22"/>
        </w:rPr>
        <w:t>, person-centred care, partnership working and ethical practice are essential principles in health and social care. Together, they improve</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the quality of care, strengthen collaboration and guide decision-making. While their implementation can enhance care delivery, their application requires careful balance. Overall, these principles are fundamental to providing safe, effective and person-focused care.</w:t>
      </w:r>
    </w:p>
    <w:p w14:paraId="68617A17" w14:textId="77777777" w:rsidR="00676AFA" w:rsidRPr="00B235DB" w:rsidRDefault="00676AFA" w:rsidP="00676AFA">
      <w:pPr>
        <w:pStyle w:val="Heading1"/>
        <w:rPr>
          <w:lang w:val="uk-UA"/>
        </w:rPr>
      </w:pPr>
      <w:bookmarkStart w:id="2" w:name="_Toc227101506"/>
      <w:r w:rsidRPr="00B235DB">
        <w:t>Task 2. Application of Principles in Health and Social Care Practice</w:t>
      </w:r>
      <w:bookmarkEnd w:id="2"/>
    </w:p>
    <w:p w14:paraId="7E95A589"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A typical situation in UK health and social care can occur when an older adult is discharged from hospital following treatment, such as after a fall. After discharge, the individual may require continued support at home, including help with daily activities, medication and follow-up care (NHS England, 2023). Such a process involves several services working together to ensure that support is in place. A key challenge is balancing a safe discharge with the individual’s wish to remain independent.</w:t>
      </w:r>
    </w:p>
    <w:p w14:paraId="4DFC6929"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lastRenderedPageBreak/>
        <w:t>During discharge planning, it is important that the individual is involved in decisions about their care. In practice, this may include discussing available support options and understanding the person’s preferences about returning home. This approach enhances independence and helps the individual feel more confident managing their recovery. However, difficulties can arise if the person wishes to return home before adequate support has been arranged, which may increase risks to their safety.</w:t>
      </w:r>
    </w:p>
    <w:p w14:paraId="675B356A"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Coordinating care after discharge requires effective collaboration between different services. For example, hospital staff, community nurses and social workers must work together to arrange appropriate care. This reflects the principles outlined in the Care Act (2014), which emphasises the importance of promoting wellbeing and providing coordinated care. When communication between professionals is effective, care is more consistent and reduces the risk of gaps in support (CQC, 2023). However, delays in communication or unclear responsibilities can lead to fragmented care and negatively impact the individual’s experience.</w:t>
      </w:r>
    </w:p>
    <w:p w14:paraId="311D1673"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Ethical considerations also play an important role in decision-making. Professionals must ensure that the individual’s rights and dignity are respected while also protecting them from harm. The Mental Capacity Act (2005) is particularly relevant when there are concerns about whether the individual can make informed decisions about their care. In some cases, a person may choose to return home despite potential risks, creating a conflict between respecting autonomy and ensuring safety. In such situations, professionals must carefully assess risk and act in the individual’s best interests where necessary.</w:t>
      </w:r>
    </w:p>
    <w:p w14:paraId="43F305AE"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In practice, these aspects are closely connected. Promoting the individual’s preferences requires collaboration between services, and both must be guided by ethical decision-making. However, these principles do not always correspond with each other. For example, prioritising independence may increase risk, while focusing too much on safety may limit personal choice. In addition, differences in professional judgement can make it more difficult to reach shared decisions. This shows that applying these principles in practice requires flexibility and professional judgement rather than a standardised approach.</w:t>
      </w:r>
    </w:p>
    <w:p w14:paraId="5D2DBE20"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Overall, this example demonstrates that effective care depends on balancing individual needs, coordinated support and ethical responsibility. While these principles can improve care quality and outcomes, they also present challenges that must be carefully managed in practice.</w:t>
      </w:r>
    </w:p>
    <w:p w14:paraId="3EE3AA44" w14:textId="77777777" w:rsidR="00676AFA" w:rsidRPr="00B235DB" w:rsidRDefault="00676AFA" w:rsidP="00676AFA">
      <w:pPr>
        <w:pStyle w:val="Heading1"/>
        <w:rPr>
          <w:lang w:val="uk-UA"/>
        </w:rPr>
      </w:pPr>
      <w:bookmarkStart w:id="3" w:name="_Toc227101507"/>
      <w:r w:rsidRPr="00B235DB">
        <w:lastRenderedPageBreak/>
        <w:t>Task 3.</w:t>
      </w:r>
      <w:r w:rsidRPr="00B235DB">
        <w:rPr>
          <w:lang w:val="uk-UA"/>
        </w:rPr>
        <w:t xml:space="preserve"> </w:t>
      </w:r>
      <w:r w:rsidRPr="00B235DB">
        <w:t>Reflective Analysis of Developing Professional Practice in Health and Social Care</w:t>
      </w:r>
      <w:bookmarkEnd w:id="3"/>
    </w:p>
    <w:p w14:paraId="3F07C7F9"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As a student in health and social care, I am developing my understanding of key principles such as person-centred care, partnership working and ethical practice. This reflection is guided by Gibbs’ Reflective Cycle (1988) and examines how these principles influence my growth as a future professional.</w:t>
      </w:r>
    </w:p>
    <w:p w14:paraId="288F6A0F"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I have regular interaction with a young child with autism spectrum disorder (ASD), as I live in the same household. The child has limited communication skills, which can make it more difficult to understand his needs and respond appropriately, particularly in situations involving distress or behavioural changes, including emotional outbursts. This can be especially challenging for me when I care for him in the absence of his parents. In these situations, I usually follow the guidance they have provided in relation to his routine and often allow extended screen time as a way of keeping him calm and engaged.</w:t>
      </w:r>
    </w:p>
    <w:p w14:paraId="20E489AF"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During these situations, I experienced a range of emotions, including responsibility, anxiety and uncertainty. I was particularly aware of the child’s reliance on me when I was caring for him without his parents, which increased my concern about responding appropriately to his needs. I also</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lacked confidence in managing situations where he became distressed, due to my limited experience and understanding of ASD</w:t>
      </w:r>
      <w:r w:rsidRPr="00B235DB">
        <w:rPr>
          <w:rFonts w:ascii="Arial" w:hAnsi="Arial" w:cs="Arial"/>
          <w:color w:val="000000" w:themeColor="text1"/>
          <w:sz w:val="22"/>
          <w:szCs w:val="22"/>
          <w:lang w:val="uk-UA"/>
        </w:rPr>
        <w:t>.</w:t>
      </w:r>
    </w:p>
    <w:p w14:paraId="7A82B5F1"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 xml:space="preserve">I noticed that I felt more comfortable when the child remained calm, which led me to prioritise stability and avoid potential triggers of distress. This influenced my decision-making, as I focused on maintaining control of the situation rather than encouraging interaction or engagement. From one perspective, this approach was effective in maintaining the child’s immediate calmness, as there were no visible signs of distress or behavioural outbursts. This also reduced my own anxiety. </w:t>
      </w:r>
    </w:p>
    <w:p w14:paraId="038AE7AC"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 xml:space="preserve">However, this outcome was largely achieved through a strong reliance on screen time, which became my main strategy for managing the child’s behaviour. While this helped to prevent immediate distress, it limited opportunities for interaction, communication and engagement in alternative activities. Lima et al., </w:t>
      </w:r>
      <w:r w:rsidRPr="00B235DB">
        <w:rPr>
          <w:rFonts w:ascii="Arial" w:hAnsi="Arial" w:cs="Arial"/>
          <w:color w:val="000000" w:themeColor="text1"/>
          <w:sz w:val="22"/>
          <w:szCs w:val="22"/>
          <w:lang w:val="uk-UA"/>
        </w:rPr>
        <w:t>(</w:t>
      </w:r>
      <w:r w:rsidRPr="00B235DB">
        <w:rPr>
          <w:rFonts w:ascii="Arial" w:hAnsi="Arial" w:cs="Arial"/>
          <w:color w:val="000000" w:themeColor="text1"/>
          <w:sz w:val="22"/>
          <w:szCs w:val="22"/>
        </w:rPr>
        <w:t>2025</w:t>
      </w:r>
      <w:r w:rsidRPr="00B235DB">
        <w:rPr>
          <w:rFonts w:ascii="Arial" w:hAnsi="Arial" w:cs="Arial"/>
          <w:color w:val="000000" w:themeColor="text1"/>
          <w:sz w:val="22"/>
          <w:szCs w:val="22"/>
          <w:lang w:val="uk-UA"/>
        </w:rPr>
        <w:t>)</w:t>
      </w:r>
      <w:r w:rsidRPr="00B235DB">
        <w:rPr>
          <w:rFonts w:ascii="Arial" w:hAnsi="Arial" w:cs="Arial"/>
          <w:color w:val="000000" w:themeColor="text1"/>
          <w:sz w:val="22"/>
          <w:szCs w:val="22"/>
        </w:rPr>
        <w:t xml:space="preserve"> suggest that excessive screen use may be associated with negative effects on behaviour and social engagement in children with autism, which is relevant to this situation, as my reliance on screen time may have reduced opportunities for meaningful interaction.</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 xml:space="preserve">This highlights a strength in my ability to maintain a calm and safe </w:t>
      </w:r>
      <w:r w:rsidRPr="00B235DB">
        <w:rPr>
          <w:rFonts w:ascii="Arial" w:hAnsi="Arial" w:cs="Arial"/>
          <w:color w:val="000000" w:themeColor="text1"/>
          <w:sz w:val="22"/>
          <w:szCs w:val="22"/>
        </w:rPr>
        <w:lastRenderedPageBreak/>
        <w:t>environment for the child. However, it also shows a need to develop my skills and knowledge in supporting communication, interaction and behaviour more effectively.</w:t>
      </w:r>
    </w:p>
    <w:p w14:paraId="02E67466"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From a person-centred perspective, my approach</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addressed the child’s immediate emotional needs. Maintaining calmness can help reduce distress, particularly for children with ASD who may be sensitive to changes in their environment. However, person-centred care also involves supporting communication, engagement and overall development. In this situation, my reliance on screen time limited opportunities for interaction and reduced the child’s involvement in meaningful activities. Evidence-based guidance suggests that children with ASD benefit from structured approaches that support communication and social interaction (Crowe and Salt, 2015).</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This suggests that my approach focused on short-term stability rather than fully understanding the child’s needs, showing a limitation in how I applied person-centred care.</w:t>
      </w:r>
    </w:p>
    <w:p w14:paraId="5E0C2865"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In relation to partnership working, my approach was based on following the instructions provided by the parents, which ensured consistency in the child’s care. While this promoted the child’s immediate needs, my role remained limited, as I did not adjust my approach or consider alternative strategies in response to the child’s behaviour.</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I also did not seek further guidance from the parents to clarify how to manage specific situations, particularly when the child showed limited engagement. This shows that my involvement in the partnership was largely task-focused rather than collaborative. As a result, opportunities to provide more responsive and individualised support may have been reduced.</w:t>
      </w:r>
    </w:p>
    <w:p w14:paraId="1376A581"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From an ethical perspective, my actions were primarily guided by the principle of non-maleficence, as I aimed to prevent distress and ensure the child’s safety. Avoiding situations that could lead to emotional outbursts felt like a responsible approach. However, my reliance on screen time may have limited opportunities for interaction and learning, which made me question whether my approach fully supported the child’s best interests. According to the Nursing and Midwifery Council Code (2018), professionals are expected not only to ensure safety but also to promote wellbeing and support development. This shows that while my actions reduced immediate harm, they did not fully balance protection with development, creating an ethical tension in my decision-making.</w:t>
      </w:r>
    </w:p>
    <w:p w14:paraId="49B8052D" w14:textId="77777777"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Style w:val="Strong"/>
          <w:rFonts w:ascii="Arial" w:eastAsiaTheme="majorEastAsia" w:hAnsi="Arial" w:cs="Arial"/>
          <w:b w:val="0"/>
          <w:bCs w:val="0"/>
          <w:color w:val="000000" w:themeColor="text1"/>
          <w:sz w:val="22"/>
          <w:szCs w:val="22"/>
        </w:rPr>
        <w:t>This reflection has highlighted the importance of balancing immediate safety with supporting communication, engagement and development</w:t>
      </w:r>
      <w:r w:rsidRPr="00B235DB">
        <w:rPr>
          <w:rFonts w:ascii="Arial" w:hAnsi="Arial" w:cs="Arial"/>
          <w:color w:val="000000" w:themeColor="text1"/>
          <w:sz w:val="22"/>
          <w:szCs w:val="22"/>
        </w:rPr>
        <w:t xml:space="preserve">. While my approach was effective in maintaining calmness, it also showed limitations in how I applied person-centred care, partnership working and ethical practice. Moving forward, I aim to develop my confidence and </w:t>
      </w:r>
      <w:r w:rsidRPr="00B235DB">
        <w:rPr>
          <w:rFonts w:ascii="Arial" w:hAnsi="Arial" w:cs="Arial"/>
          <w:color w:val="000000" w:themeColor="text1"/>
          <w:sz w:val="22"/>
          <w:szCs w:val="22"/>
        </w:rPr>
        <w:lastRenderedPageBreak/>
        <w:t>practical skills in responding more actively to individual needs and promoting more meaningful interaction.</w:t>
      </w:r>
    </w:p>
    <w:p w14:paraId="33AB7BD8" w14:textId="77777777" w:rsidR="00676AFA" w:rsidRPr="00B235DB" w:rsidRDefault="00676AFA" w:rsidP="00676AFA">
      <w:pPr>
        <w:pStyle w:val="NormalWeb"/>
        <w:spacing w:line="360" w:lineRule="auto"/>
        <w:jc w:val="both"/>
        <w:rPr>
          <w:rFonts w:ascii="Arial" w:hAnsi="Arial" w:cs="Arial"/>
          <w:color w:val="000000" w:themeColor="text1"/>
          <w:sz w:val="22"/>
          <w:szCs w:val="22"/>
          <w:lang w:val="uk-UA"/>
        </w:rPr>
      </w:pPr>
      <w:r w:rsidRPr="00B235DB">
        <w:rPr>
          <w:rFonts w:ascii="Arial" w:hAnsi="Arial" w:cs="Arial"/>
          <w:color w:val="000000" w:themeColor="text1"/>
          <w:sz w:val="22"/>
          <w:szCs w:val="22"/>
        </w:rPr>
        <w:t>To improve my practice, I will continue to develop my understanding of autism, particularly in relation to communication and behaviour management. I have already completed training in this area, which has helped to clarify my understanding of ASD. However, I recognise the need to further develop my practical skills. I will focus on strengthening my ability to respond confidently to different situations and to apply appropriate strategies in practice. In addition, I aim to continue reflecting on my experiences to support my continued development. This will help me to provide more balanced, responsive and person-centred care.</w:t>
      </w:r>
      <w:r w:rsidRPr="00B235DB">
        <w:rPr>
          <w:rFonts w:ascii="Arial" w:hAnsi="Arial" w:cs="Arial"/>
          <w:color w:val="000000" w:themeColor="text1"/>
          <w:sz w:val="22"/>
          <w:szCs w:val="22"/>
          <w:lang w:val="uk-UA"/>
        </w:rPr>
        <w:t xml:space="preserve"> </w:t>
      </w:r>
    </w:p>
    <w:p w14:paraId="54BAE7E8" w14:textId="77777777" w:rsidR="00676AFA" w:rsidRPr="00B235DB" w:rsidRDefault="00676AFA" w:rsidP="00676AFA">
      <w:pPr>
        <w:pStyle w:val="Heading1"/>
        <w:rPr>
          <w:lang w:val="uk-UA"/>
        </w:rPr>
      </w:pPr>
      <w:bookmarkStart w:id="4" w:name="_Toc227101508"/>
      <w:r w:rsidRPr="00B235DB">
        <w:t>Conclusion</w:t>
      </w:r>
      <w:bookmarkEnd w:id="4"/>
    </w:p>
    <w:p w14:paraId="215F9257" w14:textId="122A2EAB" w:rsidR="00676AFA" w:rsidRPr="00B235DB" w:rsidRDefault="00676AFA" w:rsidP="00676AFA">
      <w:pPr>
        <w:pStyle w:val="NormalWeb"/>
        <w:spacing w:line="360" w:lineRule="auto"/>
        <w:jc w:val="both"/>
        <w:rPr>
          <w:rFonts w:ascii="Arial" w:hAnsi="Arial" w:cs="Arial"/>
          <w:color w:val="000000" w:themeColor="text1"/>
          <w:sz w:val="22"/>
          <w:szCs w:val="22"/>
        </w:rPr>
      </w:pPr>
      <w:r w:rsidRPr="00B235DB">
        <w:rPr>
          <w:rFonts w:ascii="Arial" w:hAnsi="Arial" w:cs="Arial"/>
          <w:color w:val="000000" w:themeColor="text1"/>
          <w:sz w:val="22"/>
          <w:szCs w:val="22"/>
        </w:rPr>
        <w:t xml:space="preserve">In conclusion, </w:t>
      </w:r>
      <w:r w:rsidR="007B549E" w:rsidRPr="00B235DB">
        <w:rPr>
          <w:rFonts w:ascii="Arial" w:hAnsi="Arial" w:cs="Arial"/>
          <w:color w:val="000000" w:themeColor="text1"/>
          <w:sz w:val="22"/>
          <w:szCs w:val="22"/>
        </w:rPr>
        <w:t>effective health and social care</w:t>
      </w:r>
      <w:r w:rsidR="007B549E">
        <w:rPr>
          <w:rFonts w:ascii="Arial" w:hAnsi="Arial" w:cs="Arial"/>
          <w:color w:val="000000" w:themeColor="text1"/>
          <w:sz w:val="22"/>
          <w:szCs w:val="22"/>
          <w:lang w:val="uk-UA"/>
        </w:rPr>
        <w:t xml:space="preserve"> </w:t>
      </w:r>
      <w:r w:rsidR="007B549E">
        <w:rPr>
          <w:rFonts w:ascii="Arial" w:hAnsi="Arial" w:cs="Arial"/>
          <w:color w:val="000000" w:themeColor="text1"/>
          <w:sz w:val="22"/>
          <w:szCs w:val="22"/>
        </w:rPr>
        <w:t xml:space="preserve">practice is shaped by key principles such as </w:t>
      </w:r>
      <w:r w:rsidRPr="00B235DB">
        <w:rPr>
          <w:rFonts w:ascii="Arial" w:hAnsi="Arial" w:cs="Arial"/>
          <w:color w:val="000000" w:themeColor="text1"/>
          <w:sz w:val="22"/>
          <w:szCs w:val="22"/>
        </w:rPr>
        <w:t>person-centred care, partnership working and ethical practice</w:t>
      </w:r>
      <w:r w:rsidR="007B549E">
        <w:rPr>
          <w:rFonts w:ascii="Arial" w:hAnsi="Arial" w:cs="Arial"/>
          <w:color w:val="000000" w:themeColor="text1"/>
          <w:sz w:val="22"/>
          <w:szCs w:val="22"/>
        </w:rPr>
        <w:t xml:space="preserve">. </w:t>
      </w:r>
      <w:r w:rsidRPr="00B235DB">
        <w:rPr>
          <w:rFonts w:ascii="Arial" w:hAnsi="Arial" w:cs="Arial"/>
          <w:color w:val="000000" w:themeColor="text1"/>
          <w:sz w:val="22"/>
          <w:szCs w:val="22"/>
        </w:rPr>
        <w:t>This report has shown that while these principles aim to improve care quality, collaboration and decision-making, their application in practice can be complex and requires balance. The situation of hospital discharge discussed in Task 2</w:t>
      </w:r>
      <w:r w:rsidRPr="00B235DB">
        <w:rPr>
          <w:rFonts w:ascii="Arial" w:hAnsi="Arial" w:cs="Arial"/>
          <w:color w:val="000000" w:themeColor="text1"/>
          <w:sz w:val="22"/>
          <w:szCs w:val="22"/>
          <w:lang w:val="uk-UA"/>
        </w:rPr>
        <w:t xml:space="preserve"> </w:t>
      </w:r>
      <w:r w:rsidRPr="00B235DB">
        <w:rPr>
          <w:rFonts w:ascii="Arial" w:hAnsi="Arial" w:cs="Arial"/>
          <w:color w:val="000000" w:themeColor="text1"/>
          <w:sz w:val="22"/>
          <w:szCs w:val="22"/>
        </w:rPr>
        <w:t>highlighted the challenges of coordinating care and managing risk, while the reflection demonstrated how these principles influence real-life decision-making and professional growth. Overall, effective practice depends on the ability to apply these principles in a flexible and responsive way. Developing this ability is essential for providing safe, person-focused and high-quality care.</w:t>
      </w:r>
    </w:p>
    <w:p w14:paraId="28FB210A" w14:textId="77777777" w:rsidR="00676AFA" w:rsidRDefault="00676AFA"/>
    <w:p w14:paraId="2C7DB337" w14:textId="77777777" w:rsidR="00676AFA" w:rsidRDefault="00676AFA"/>
    <w:p w14:paraId="5A57C422" w14:textId="77777777" w:rsidR="00676AFA" w:rsidRDefault="00676AFA"/>
    <w:p w14:paraId="156C0613" w14:textId="77777777" w:rsidR="00676AFA" w:rsidRDefault="00676AFA"/>
    <w:p w14:paraId="4A82F003" w14:textId="77777777" w:rsidR="00676AFA" w:rsidRDefault="00676AFA"/>
    <w:p w14:paraId="278D22A1" w14:textId="77777777" w:rsidR="00676AFA" w:rsidRDefault="00676AFA"/>
    <w:p w14:paraId="119C770E" w14:textId="77777777" w:rsidR="00676AFA" w:rsidRDefault="00676AFA"/>
    <w:p w14:paraId="42903035" w14:textId="77777777" w:rsidR="00676AFA" w:rsidRDefault="00676AFA"/>
    <w:p w14:paraId="105FC2A2" w14:textId="77777777" w:rsidR="00676AFA" w:rsidRDefault="00676AFA"/>
    <w:p w14:paraId="408646C2" w14:textId="77777777" w:rsidR="00676AFA" w:rsidRDefault="00676AFA" w:rsidP="00676AFA"/>
    <w:p w14:paraId="4995731E" w14:textId="77777777" w:rsidR="00676AFA" w:rsidRDefault="00676AFA" w:rsidP="00676AFA">
      <w:bookmarkStart w:id="5" w:name="_Toc227101509"/>
    </w:p>
    <w:p w14:paraId="5546DF78" w14:textId="77777777" w:rsidR="00676AFA" w:rsidRDefault="00676AFA" w:rsidP="00676AFA"/>
    <w:p w14:paraId="350B1FE6" w14:textId="77777777" w:rsidR="00676AFA" w:rsidRDefault="00676AFA" w:rsidP="00676AFA"/>
    <w:p w14:paraId="7A3F02E9" w14:textId="77777777" w:rsidR="00676AFA" w:rsidRDefault="00676AFA" w:rsidP="00676AFA"/>
    <w:p w14:paraId="1269F6DE" w14:textId="77777777" w:rsidR="00676AFA" w:rsidRDefault="00676AFA" w:rsidP="00676AFA"/>
    <w:p w14:paraId="0DEF715D" w14:textId="5E5F8B25" w:rsidR="00676AFA" w:rsidRDefault="00676AFA" w:rsidP="00676AFA">
      <w:pPr>
        <w:pStyle w:val="Heading1"/>
        <w:rPr>
          <w:lang w:val="uk-UA"/>
        </w:rPr>
      </w:pPr>
      <w:r w:rsidRPr="00676AFA">
        <w:lastRenderedPageBreak/>
        <w:t>References</w:t>
      </w:r>
      <w:bookmarkEnd w:id="5"/>
    </w:p>
    <w:p w14:paraId="46E33E12" w14:textId="77777777" w:rsidR="00676AFA" w:rsidRPr="00676AFA" w:rsidRDefault="00676AFA" w:rsidP="00676AFA">
      <w:pPr>
        <w:spacing w:line="360" w:lineRule="auto"/>
        <w:jc w:val="both"/>
        <w:rPr>
          <w:rFonts w:ascii="Arial" w:hAnsi="Arial" w:cs="Arial"/>
          <w:b/>
          <w:bCs/>
          <w:color w:val="000000" w:themeColor="text1"/>
          <w:sz w:val="22"/>
          <w:szCs w:val="22"/>
          <w:lang w:val="uk-UA"/>
        </w:rPr>
      </w:pPr>
    </w:p>
    <w:p w14:paraId="607BCEC0" w14:textId="676269EC" w:rsidR="00676AFA" w:rsidRPr="00676AFA" w:rsidRDefault="00676AFA" w:rsidP="00676AFA">
      <w:pPr>
        <w:pStyle w:val="NormalWeb"/>
        <w:spacing w:before="0" w:beforeAutospacing="0" w:after="240" w:afterAutospacing="0" w:line="360" w:lineRule="auto"/>
        <w:jc w:val="both"/>
        <w:rPr>
          <w:rFonts w:ascii="Arial" w:hAnsi="Arial" w:cs="Arial"/>
          <w:color w:val="000000" w:themeColor="text1"/>
          <w:sz w:val="22"/>
          <w:szCs w:val="22"/>
        </w:rPr>
      </w:pPr>
      <w:r w:rsidRPr="00676AFA">
        <w:rPr>
          <w:rFonts w:ascii="Arial" w:hAnsi="Arial" w:cs="Arial"/>
          <w:color w:val="000000" w:themeColor="text1"/>
          <w:sz w:val="22"/>
          <w:szCs w:val="22"/>
        </w:rPr>
        <w:t>Care act 2014.</w:t>
      </w:r>
      <w:r w:rsidRPr="00676AFA">
        <w:rPr>
          <w:rStyle w:val="apple-converted-space"/>
          <w:rFonts w:ascii="Arial" w:eastAsiaTheme="majorEastAsia" w:hAnsi="Arial" w:cs="Arial"/>
          <w:color w:val="000000" w:themeColor="text1"/>
          <w:sz w:val="22"/>
          <w:szCs w:val="22"/>
        </w:rPr>
        <w:t xml:space="preserve"> </w:t>
      </w:r>
      <w:r w:rsidRPr="00676AFA">
        <w:rPr>
          <w:rFonts w:ascii="Arial" w:hAnsi="Arial" w:cs="Arial"/>
          <w:color w:val="000000" w:themeColor="text1"/>
          <w:sz w:val="22"/>
          <w:szCs w:val="22"/>
        </w:rPr>
        <w:t xml:space="preserve">London: The Statuary Office. Available at: </w:t>
      </w:r>
      <w:hyperlink r:id="rId9" w:history="1">
        <w:r w:rsidRPr="00676AFA">
          <w:rPr>
            <w:rStyle w:val="Hyperlink"/>
            <w:rFonts w:ascii="Arial" w:hAnsi="Arial" w:cs="Arial"/>
            <w:color w:val="000000" w:themeColor="text1"/>
            <w:sz w:val="22"/>
            <w:szCs w:val="22"/>
          </w:rPr>
          <w:t>https://www.legislation.gov.uk/ukpga/2014/23/section/1</w:t>
        </w:r>
      </w:hyperlink>
      <w:r w:rsidRPr="00676AFA">
        <w:rPr>
          <w:rFonts w:ascii="Arial" w:hAnsi="Arial" w:cs="Arial"/>
          <w:color w:val="000000" w:themeColor="text1"/>
          <w:sz w:val="22"/>
          <w:szCs w:val="22"/>
        </w:rPr>
        <w:t xml:space="preserve">  (Accessed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26 March 2026).</w:t>
      </w:r>
    </w:p>
    <w:p w14:paraId="09669241" w14:textId="77777777" w:rsidR="00676AFA" w:rsidRDefault="00676AFA" w:rsidP="00676AFA">
      <w:pPr>
        <w:spacing w:line="360" w:lineRule="auto"/>
        <w:jc w:val="both"/>
        <w:rPr>
          <w:rFonts w:ascii="Arial" w:hAnsi="Arial" w:cs="Arial"/>
          <w:color w:val="000000" w:themeColor="text1"/>
          <w:sz w:val="22"/>
          <w:szCs w:val="22"/>
        </w:rPr>
      </w:pPr>
      <w:r w:rsidRPr="00676AFA">
        <w:rPr>
          <w:rFonts w:ascii="Arial" w:hAnsi="Arial" w:cs="Arial"/>
          <w:color w:val="000000" w:themeColor="text1"/>
          <w:sz w:val="22"/>
          <w:szCs w:val="22"/>
        </w:rPr>
        <w:t>Care Quality Commission (2023)</w:t>
      </w:r>
      <w:r w:rsidRPr="00676AFA">
        <w:rPr>
          <w:rStyle w:val="apple-converted-space"/>
          <w:rFonts w:ascii="Arial" w:eastAsiaTheme="majorEastAsia" w:hAnsi="Arial" w:cs="Arial"/>
          <w:color w:val="000000" w:themeColor="text1"/>
          <w:sz w:val="22"/>
          <w:szCs w:val="22"/>
        </w:rPr>
        <w:t> </w:t>
      </w:r>
      <w:r w:rsidRPr="00676AFA">
        <w:rPr>
          <w:rStyle w:val="Emphasis"/>
          <w:rFonts w:ascii="Arial" w:eastAsiaTheme="majorEastAsia" w:hAnsi="Arial" w:cs="Arial"/>
          <w:color w:val="000000" w:themeColor="text1"/>
          <w:sz w:val="22"/>
          <w:szCs w:val="22"/>
        </w:rPr>
        <w:t>The state of health care and adult social care in England 2022/23</w:t>
      </w:r>
      <w:r w:rsidRPr="00676AFA">
        <w:rPr>
          <w:rFonts w:ascii="Arial" w:hAnsi="Arial" w:cs="Arial"/>
          <w:color w:val="000000" w:themeColor="text1"/>
          <w:sz w:val="22"/>
          <w:szCs w:val="22"/>
        </w:rPr>
        <w:t xml:space="preserve">. Available at: </w:t>
      </w:r>
      <w:hyperlink r:id="rId10" w:history="1">
        <w:r w:rsidRPr="00676AFA">
          <w:rPr>
            <w:rStyle w:val="Hyperlink"/>
            <w:rFonts w:ascii="Arial" w:hAnsi="Arial" w:cs="Arial"/>
            <w:sz w:val="22"/>
            <w:szCs w:val="22"/>
          </w:rPr>
          <w:t>https://www.cqc.org.uk/publications/major-report/state-care/2022-2023/systems</w:t>
        </w:r>
      </w:hyperlink>
      <w:r w:rsidRPr="00676AFA">
        <w:rPr>
          <w:rFonts w:ascii="Arial" w:hAnsi="Arial" w:cs="Arial"/>
          <w:color w:val="000000" w:themeColor="text1"/>
          <w:sz w:val="22"/>
          <w:szCs w:val="22"/>
        </w:rPr>
        <w:t xml:space="preserve"> (Accessed: 29 March 2026).</w:t>
      </w:r>
    </w:p>
    <w:p w14:paraId="7502B29C" w14:textId="77777777" w:rsidR="00676AFA" w:rsidRPr="00676AFA" w:rsidRDefault="00676AFA" w:rsidP="00676AFA">
      <w:pPr>
        <w:spacing w:line="360" w:lineRule="auto"/>
        <w:jc w:val="both"/>
        <w:rPr>
          <w:rFonts w:ascii="Arial" w:hAnsi="Arial" w:cs="Arial"/>
          <w:color w:val="000000" w:themeColor="text1"/>
          <w:sz w:val="22"/>
          <w:szCs w:val="22"/>
          <w:lang w:val="uk-UA"/>
        </w:rPr>
      </w:pPr>
    </w:p>
    <w:p w14:paraId="3B476138" w14:textId="0949983F" w:rsidR="00676AFA" w:rsidRPr="00676AFA" w:rsidRDefault="00676AFA" w:rsidP="00676AFA">
      <w:pPr>
        <w:spacing w:line="360" w:lineRule="auto"/>
        <w:jc w:val="both"/>
        <w:rPr>
          <w:rFonts w:ascii="Arial" w:hAnsi="Arial" w:cs="Arial"/>
          <w:color w:val="000000" w:themeColor="text1"/>
          <w:sz w:val="22"/>
          <w:szCs w:val="22"/>
          <w:lang w:val="uk-UA"/>
        </w:rPr>
      </w:pPr>
      <w:r w:rsidRPr="00676AFA">
        <w:rPr>
          <w:rFonts w:ascii="Arial" w:hAnsi="Arial" w:cs="Arial"/>
          <w:color w:val="000000" w:themeColor="text1"/>
          <w:sz w:val="22"/>
          <w:szCs w:val="22"/>
          <w:shd w:val="clear" w:color="auto" w:fill="FFFFFF"/>
        </w:rPr>
        <w:t>Crowe, B. and Salt, A. (2015)</w:t>
      </w:r>
      <w:r w:rsidRPr="00676AFA">
        <w:rPr>
          <w:rFonts w:ascii="Arial" w:hAnsi="Arial" w:cs="Arial"/>
          <w:color w:val="000000" w:themeColor="text1"/>
          <w:sz w:val="22"/>
          <w:szCs w:val="22"/>
          <w:shd w:val="clear" w:color="auto" w:fill="FFFFFF"/>
          <w:lang w:val="uk-UA"/>
        </w:rPr>
        <w:t xml:space="preserve"> </w:t>
      </w:r>
      <w:r w:rsidRPr="00676AFA">
        <w:rPr>
          <w:rFonts w:ascii="Arial" w:hAnsi="Arial" w:cs="Arial"/>
          <w:i/>
          <w:iCs/>
          <w:color w:val="000000" w:themeColor="text1"/>
          <w:sz w:val="22"/>
          <w:szCs w:val="22"/>
          <w:shd w:val="clear" w:color="auto" w:fill="FFFFFF"/>
        </w:rPr>
        <w:t>Autism: the management and support of children and young people on the autism spectrum (NICE Clinical Guideline 170)</w:t>
      </w:r>
      <w:r w:rsidRPr="00676AFA">
        <w:rPr>
          <w:rFonts w:ascii="Arial" w:hAnsi="Arial" w:cs="Arial"/>
          <w:i/>
          <w:iCs/>
          <w:color w:val="000000" w:themeColor="text1"/>
          <w:sz w:val="22"/>
          <w:szCs w:val="22"/>
          <w:shd w:val="clear" w:color="auto" w:fill="FFFFFF"/>
          <w:lang w:val="uk-UA"/>
        </w:rPr>
        <w:t xml:space="preserve"> </w:t>
      </w:r>
      <w:r w:rsidRPr="00676AFA">
        <w:rPr>
          <w:rFonts w:ascii="Arial" w:hAnsi="Arial" w:cs="Arial"/>
          <w:color w:val="000000" w:themeColor="text1"/>
          <w:sz w:val="22"/>
          <w:szCs w:val="22"/>
        </w:rPr>
        <w:t>Available at:</w:t>
      </w:r>
      <w:r w:rsidRPr="00676AFA">
        <w:rPr>
          <w:rFonts w:ascii="Arial" w:hAnsi="Arial" w:cs="Arial"/>
          <w:color w:val="000000" w:themeColor="text1"/>
          <w:sz w:val="22"/>
          <w:szCs w:val="22"/>
          <w:lang w:val="uk-UA"/>
        </w:rPr>
        <w:t xml:space="preserve"> </w:t>
      </w:r>
      <w:hyperlink r:id="rId11" w:history="1">
        <w:r w:rsidRPr="00676AFA">
          <w:rPr>
            <w:rStyle w:val="Hyperlink"/>
            <w:rFonts w:ascii="Arial" w:hAnsi="Arial" w:cs="Arial"/>
            <w:sz w:val="22"/>
            <w:szCs w:val="22"/>
            <w:lang w:val="uk-UA"/>
          </w:rPr>
          <w:t>https://discovery.ucl.ac.uk/id/eprint/1471403/</w:t>
        </w:r>
      </w:hyperlink>
      <w:r w:rsidRPr="00676AFA">
        <w:rPr>
          <w:rFonts w:ascii="Arial" w:hAnsi="Arial" w:cs="Arial"/>
          <w:color w:val="000000" w:themeColor="text1"/>
          <w:sz w:val="22"/>
          <w:szCs w:val="22"/>
          <w:lang w:val="uk-UA"/>
        </w:rPr>
        <w:t xml:space="preserve"> </w:t>
      </w:r>
      <w:r w:rsidRPr="00676AFA">
        <w:rPr>
          <w:rFonts w:ascii="Arial" w:hAnsi="Arial" w:cs="Arial"/>
          <w:color w:val="000000" w:themeColor="text1"/>
          <w:sz w:val="22"/>
          <w:szCs w:val="22"/>
        </w:rPr>
        <w:t>(Accessed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1</w:t>
      </w:r>
      <w:r w:rsidRPr="00676AFA">
        <w:rPr>
          <w:rFonts w:ascii="Arial" w:hAnsi="Arial" w:cs="Arial"/>
          <w:color w:val="000000" w:themeColor="text1"/>
          <w:sz w:val="22"/>
          <w:szCs w:val="22"/>
          <w:lang w:val="uk-UA"/>
        </w:rPr>
        <w:t>2</w:t>
      </w:r>
      <w:r w:rsidRPr="00676AFA">
        <w:rPr>
          <w:rFonts w:ascii="Arial" w:hAnsi="Arial" w:cs="Arial"/>
          <w:color w:val="000000" w:themeColor="text1"/>
          <w:sz w:val="22"/>
          <w:szCs w:val="22"/>
        </w:rPr>
        <w:t xml:space="preserve"> April 2026).</w:t>
      </w:r>
    </w:p>
    <w:p w14:paraId="7F26B5B6" w14:textId="038B124C" w:rsidR="00676AFA" w:rsidRPr="00676AFA" w:rsidRDefault="00676AFA" w:rsidP="00676AFA">
      <w:pPr>
        <w:pStyle w:val="NormalWeb"/>
        <w:spacing w:line="360" w:lineRule="auto"/>
        <w:jc w:val="both"/>
        <w:rPr>
          <w:rFonts w:ascii="Arial" w:hAnsi="Arial" w:cs="Arial"/>
          <w:color w:val="000000" w:themeColor="text1"/>
          <w:sz w:val="22"/>
          <w:szCs w:val="22"/>
        </w:rPr>
      </w:pPr>
      <w:r w:rsidRPr="00676AFA">
        <w:rPr>
          <w:rFonts w:ascii="Arial" w:hAnsi="Arial" w:cs="Arial"/>
          <w:color w:val="000000" w:themeColor="text1"/>
          <w:sz w:val="22"/>
          <w:szCs w:val="22"/>
          <w:shd w:val="clear" w:color="auto" w:fill="FFFFFF"/>
        </w:rPr>
        <w:t xml:space="preserve">Curreri, N.A. (2019) ‘Partnership Working in Health and Social Care’, </w:t>
      </w:r>
      <w:r w:rsidRPr="00676AFA">
        <w:rPr>
          <w:rFonts w:ascii="Arial" w:hAnsi="Arial" w:cs="Arial"/>
          <w:i/>
          <w:iCs/>
          <w:color w:val="000000" w:themeColor="text1"/>
          <w:sz w:val="22"/>
          <w:szCs w:val="22"/>
        </w:rPr>
        <w:t>International journal of integrated care</w:t>
      </w:r>
      <w:r w:rsidRPr="00676AFA">
        <w:rPr>
          <w:rFonts w:ascii="Arial" w:hAnsi="Arial" w:cs="Arial"/>
          <w:color w:val="000000" w:themeColor="text1"/>
          <w:sz w:val="22"/>
          <w:szCs w:val="22"/>
          <w:shd w:val="clear" w:color="auto" w:fill="FFFFFF"/>
        </w:rPr>
        <w:t xml:space="preserve">. Paterna: Ubiquity Press, p. 12. Available at: </w:t>
      </w:r>
      <w:hyperlink r:id="rId12" w:history="1">
        <w:r w:rsidRPr="00676AFA">
          <w:rPr>
            <w:rStyle w:val="Hyperlink"/>
            <w:rFonts w:ascii="Arial" w:hAnsi="Arial" w:cs="Arial"/>
            <w:color w:val="000000" w:themeColor="text1"/>
            <w:sz w:val="22"/>
            <w:szCs w:val="22"/>
            <w:shd w:val="clear" w:color="auto" w:fill="FFFFFF"/>
          </w:rPr>
          <w:t>https://doi.org/10.5334/ijic.4722</w:t>
        </w:r>
      </w:hyperlink>
      <w:r w:rsidRPr="00676AFA">
        <w:rPr>
          <w:rFonts w:ascii="Arial" w:hAnsi="Arial" w:cs="Arial"/>
          <w:color w:val="000000" w:themeColor="text1"/>
          <w:sz w:val="22"/>
          <w:szCs w:val="22"/>
          <w:shd w:val="clear" w:color="auto" w:fill="FFFFFF"/>
        </w:rPr>
        <w:t>.</w:t>
      </w:r>
      <w:r w:rsidRPr="00676AFA">
        <w:rPr>
          <w:rFonts w:ascii="Arial" w:hAnsi="Arial" w:cs="Arial"/>
          <w:color w:val="000000" w:themeColor="text1"/>
          <w:sz w:val="22"/>
          <w:szCs w:val="22"/>
          <w:shd w:val="clear" w:color="auto" w:fill="FFFFFF"/>
          <w:lang w:val="uk-UA"/>
        </w:rPr>
        <w:t xml:space="preserve"> </w:t>
      </w:r>
      <w:r w:rsidRPr="00676AFA">
        <w:rPr>
          <w:rFonts w:ascii="Arial" w:hAnsi="Arial" w:cs="Arial"/>
          <w:color w:val="000000" w:themeColor="text1"/>
          <w:sz w:val="22"/>
          <w:szCs w:val="22"/>
        </w:rPr>
        <w:t>(Accessed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23 March 2026).</w:t>
      </w:r>
    </w:p>
    <w:p w14:paraId="41F225DD" w14:textId="77777777" w:rsidR="00676AFA" w:rsidRDefault="00676AFA" w:rsidP="00676AFA">
      <w:pPr>
        <w:spacing w:line="360" w:lineRule="auto"/>
        <w:jc w:val="both"/>
        <w:rPr>
          <w:rFonts w:ascii="Arial" w:hAnsi="Arial" w:cs="Arial"/>
          <w:color w:val="000000" w:themeColor="text1"/>
          <w:sz w:val="22"/>
          <w:szCs w:val="22"/>
          <w:shd w:val="clear" w:color="auto" w:fill="FFFFFF"/>
        </w:rPr>
      </w:pPr>
      <w:r w:rsidRPr="00676AFA">
        <w:rPr>
          <w:rFonts w:ascii="Arial" w:hAnsi="Arial" w:cs="Arial"/>
          <w:color w:val="000000" w:themeColor="text1"/>
          <w:sz w:val="22"/>
          <w:szCs w:val="22"/>
          <w:shd w:val="clear" w:color="auto" w:fill="FFFFFF"/>
        </w:rPr>
        <w:t>Gibbs, G. and Great Britain. Further Education Unit. (1988)</w:t>
      </w:r>
      <w:r w:rsidRPr="00676AFA">
        <w:rPr>
          <w:rStyle w:val="apple-converted-space"/>
          <w:rFonts w:ascii="Arial" w:eastAsiaTheme="majorEastAsia" w:hAnsi="Arial" w:cs="Arial"/>
          <w:color w:val="000000" w:themeColor="text1"/>
          <w:sz w:val="22"/>
          <w:szCs w:val="22"/>
          <w:shd w:val="clear" w:color="auto" w:fill="FFFFFF"/>
        </w:rPr>
        <w:t> </w:t>
      </w:r>
      <w:r w:rsidRPr="00676AFA">
        <w:rPr>
          <w:rFonts w:ascii="Arial" w:hAnsi="Arial" w:cs="Arial"/>
          <w:i/>
          <w:iCs/>
          <w:color w:val="000000" w:themeColor="text1"/>
          <w:sz w:val="22"/>
          <w:szCs w:val="22"/>
        </w:rPr>
        <w:t>Learning by doing: a guide to teaching and learning methods</w:t>
      </w:r>
      <w:r w:rsidRPr="00676AFA">
        <w:rPr>
          <w:rFonts w:ascii="Arial" w:hAnsi="Arial" w:cs="Arial"/>
          <w:color w:val="000000" w:themeColor="text1"/>
          <w:sz w:val="22"/>
          <w:szCs w:val="22"/>
          <w:shd w:val="clear" w:color="auto" w:fill="FFFFFF"/>
        </w:rPr>
        <w:t>. London: FEU.</w:t>
      </w:r>
    </w:p>
    <w:p w14:paraId="574C00D3" w14:textId="77777777" w:rsidR="00676AFA" w:rsidRPr="00676AFA" w:rsidRDefault="00676AFA" w:rsidP="00676AFA">
      <w:pPr>
        <w:spacing w:line="360" w:lineRule="auto"/>
        <w:jc w:val="both"/>
        <w:rPr>
          <w:rFonts w:ascii="Arial" w:hAnsi="Arial" w:cs="Arial"/>
          <w:color w:val="000000" w:themeColor="text1"/>
          <w:sz w:val="22"/>
          <w:szCs w:val="22"/>
          <w:highlight w:val="yellow"/>
          <w:lang w:val="uk-UA"/>
        </w:rPr>
      </w:pPr>
    </w:p>
    <w:p w14:paraId="01A3593E" w14:textId="7E8822A8" w:rsidR="00676AFA" w:rsidRPr="00676AFA" w:rsidRDefault="00676AFA" w:rsidP="00676AFA">
      <w:pPr>
        <w:spacing w:line="360" w:lineRule="auto"/>
        <w:jc w:val="both"/>
        <w:rPr>
          <w:rFonts w:ascii="Arial" w:hAnsi="Arial" w:cs="Arial"/>
          <w:color w:val="000000" w:themeColor="text1"/>
          <w:sz w:val="22"/>
          <w:szCs w:val="22"/>
          <w:lang w:val="uk-UA"/>
        </w:rPr>
      </w:pPr>
      <w:r w:rsidRPr="00676AFA">
        <w:rPr>
          <w:rFonts w:ascii="Arial" w:hAnsi="Arial" w:cs="Arial"/>
          <w:color w:val="000000" w:themeColor="text1"/>
          <w:sz w:val="22"/>
          <w:szCs w:val="22"/>
          <w:shd w:val="clear" w:color="auto" w:fill="FFFFFF"/>
        </w:rPr>
        <w:t xml:space="preserve">Lima, M.E. de S., Lopes, L.M.E. and Lima, F.E. de S. (2025) ‘Impact of screen use on behaviour and sleep in patients with autism spectrum disorder’, </w:t>
      </w:r>
      <w:r w:rsidRPr="00676AFA">
        <w:rPr>
          <w:rFonts w:ascii="Arial" w:hAnsi="Arial" w:cs="Arial"/>
          <w:i/>
          <w:iCs/>
          <w:color w:val="000000" w:themeColor="text1"/>
          <w:sz w:val="22"/>
          <w:szCs w:val="22"/>
        </w:rPr>
        <w:t>Aquinos de neuro-</w:t>
      </w:r>
      <w:proofErr w:type="spellStart"/>
      <w:r w:rsidRPr="00676AFA">
        <w:rPr>
          <w:rFonts w:ascii="Arial" w:hAnsi="Arial" w:cs="Arial"/>
          <w:i/>
          <w:iCs/>
          <w:color w:val="000000" w:themeColor="text1"/>
          <w:sz w:val="22"/>
          <w:szCs w:val="22"/>
        </w:rPr>
        <w:t>psiquiatria</w:t>
      </w:r>
      <w:proofErr w:type="spellEnd"/>
      <w:r w:rsidRPr="00676AFA">
        <w:rPr>
          <w:rFonts w:ascii="Arial" w:hAnsi="Arial" w:cs="Arial"/>
          <w:color w:val="000000" w:themeColor="text1"/>
          <w:sz w:val="22"/>
          <w:szCs w:val="22"/>
          <w:shd w:val="clear" w:color="auto" w:fill="FFFFFF"/>
        </w:rPr>
        <w:t xml:space="preserve">, 83(12), pp. 1–6. Available at: </w:t>
      </w:r>
      <w:hyperlink r:id="rId13" w:history="1">
        <w:r w:rsidRPr="00676AFA">
          <w:rPr>
            <w:rStyle w:val="Hyperlink"/>
            <w:rFonts w:ascii="Arial" w:hAnsi="Arial" w:cs="Arial"/>
            <w:color w:val="000000" w:themeColor="text1"/>
            <w:sz w:val="22"/>
            <w:szCs w:val="22"/>
            <w:shd w:val="clear" w:color="auto" w:fill="FFFFFF"/>
          </w:rPr>
          <w:t>https://doi.org/10.1055/s-0045-1813641</w:t>
        </w:r>
      </w:hyperlink>
      <w:r w:rsidRPr="00676AFA">
        <w:rPr>
          <w:rFonts w:ascii="Arial" w:hAnsi="Arial" w:cs="Arial"/>
          <w:color w:val="000000" w:themeColor="text1"/>
          <w:sz w:val="22"/>
          <w:szCs w:val="22"/>
          <w:shd w:val="clear" w:color="auto" w:fill="FFFFFF"/>
        </w:rPr>
        <w:t xml:space="preserve"> </w:t>
      </w:r>
      <w:r w:rsidRPr="00676AFA">
        <w:rPr>
          <w:rFonts w:ascii="Arial" w:hAnsi="Arial" w:cs="Arial"/>
          <w:color w:val="000000" w:themeColor="text1"/>
          <w:sz w:val="22"/>
          <w:szCs w:val="22"/>
        </w:rPr>
        <w:t>(Accessed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11 April 2026).</w:t>
      </w:r>
    </w:p>
    <w:p w14:paraId="299E724D" w14:textId="09C8FC6A" w:rsidR="00676AFA" w:rsidRPr="00676AFA" w:rsidRDefault="00676AFA" w:rsidP="00676AFA">
      <w:pPr>
        <w:pStyle w:val="NormalWeb"/>
        <w:spacing w:before="0" w:beforeAutospacing="0" w:after="240" w:afterAutospacing="0" w:line="360" w:lineRule="auto"/>
        <w:jc w:val="both"/>
        <w:rPr>
          <w:rFonts w:ascii="Arial" w:hAnsi="Arial" w:cs="Arial"/>
          <w:color w:val="000000" w:themeColor="text1"/>
          <w:sz w:val="22"/>
          <w:szCs w:val="22"/>
        </w:rPr>
      </w:pPr>
      <w:r w:rsidRPr="00676AFA">
        <w:rPr>
          <w:rFonts w:ascii="Arial" w:hAnsi="Arial" w:cs="Arial"/>
          <w:i/>
          <w:iCs/>
          <w:color w:val="000000" w:themeColor="text1"/>
          <w:sz w:val="22"/>
          <w:szCs w:val="22"/>
        </w:rPr>
        <w:t>Mental Capacity Act 2005</w:t>
      </w:r>
      <w:r w:rsidRPr="00676AFA">
        <w:rPr>
          <w:rFonts w:ascii="Arial" w:hAnsi="Arial" w:cs="Arial"/>
          <w:color w:val="000000" w:themeColor="text1"/>
          <w:sz w:val="22"/>
          <w:szCs w:val="22"/>
        </w:rPr>
        <w:t xml:space="preserve">. London: The Statuary Office. Available at: </w:t>
      </w:r>
      <w:hyperlink r:id="rId14" w:history="1">
        <w:r w:rsidRPr="00676AFA">
          <w:rPr>
            <w:rStyle w:val="Hyperlink"/>
            <w:rFonts w:ascii="Arial" w:hAnsi="Arial" w:cs="Arial"/>
            <w:color w:val="000000" w:themeColor="text1"/>
            <w:sz w:val="22"/>
            <w:szCs w:val="22"/>
          </w:rPr>
          <w:t>https://www.legislation.gov.uk/ukpga/2005/9/contents</w:t>
        </w:r>
      </w:hyperlink>
      <w:r w:rsidRPr="00676AFA">
        <w:rPr>
          <w:rFonts w:ascii="Arial" w:hAnsi="Arial" w:cs="Arial"/>
          <w:color w:val="000000" w:themeColor="text1"/>
          <w:sz w:val="22"/>
          <w:szCs w:val="22"/>
        </w:rPr>
        <w:t xml:space="preserve">  (Accessed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27 March 2026).</w:t>
      </w:r>
    </w:p>
    <w:p w14:paraId="1592B624" w14:textId="580BA37F" w:rsidR="00676AFA" w:rsidRPr="00676AFA" w:rsidRDefault="00676AFA" w:rsidP="00676AFA">
      <w:pPr>
        <w:pStyle w:val="NormalWeb"/>
        <w:spacing w:before="0" w:beforeAutospacing="0" w:after="240" w:afterAutospacing="0" w:line="360" w:lineRule="auto"/>
        <w:jc w:val="both"/>
        <w:rPr>
          <w:rFonts w:ascii="Arial" w:hAnsi="Arial" w:cs="Arial"/>
          <w:color w:val="000000"/>
          <w:sz w:val="22"/>
          <w:szCs w:val="22"/>
        </w:rPr>
      </w:pPr>
      <w:r w:rsidRPr="00676AFA">
        <w:rPr>
          <w:rFonts w:ascii="Arial" w:hAnsi="Arial" w:cs="Arial"/>
          <w:color w:val="000000"/>
          <w:sz w:val="22"/>
          <w:szCs w:val="22"/>
        </w:rPr>
        <w:t>National Institute for Health and Care Excellence (NICE) (2021)</w:t>
      </w:r>
      <w:r w:rsidRPr="00676AFA">
        <w:rPr>
          <w:rFonts w:ascii="Arial" w:hAnsi="Arial" w:cs="Arial"/>
          <w:i/>
          <w:iCs/>
          <w:color w:val="000000"/>
          <w:sz w:val="22"/>
          <w:szCs w:val="22"/>
        </w:rPr>
        <w:t xml:space="preserve"> Patient experience in adult NHS services: improving the experience of care for people using adult NHS services</w:t>
      </w:r>
      <w:r w:rsidRPr="00676AFA">
        <w:rPr>
          <w:rFonts w:ascii="Arial" w:hAnsi="Arial" w:cs="Arial"/>
          <w:color w:val="000000"/>
          <w:sz w:val="22"/>
          <w:szCs w:val="22"/>
        </w:rPr>
        <w:t xml:space="preserve">. Available at: </w:t>
      </w:r>
      <w:hyperlink r:id="rId15" w:history="1">
        <w:r w:rsidRPr="00676AFA">
          <w:rPr>
            <w:rStyle w:val="Hyperlink"/>
            <w:rFonts w:ascii="Arial" w:hAnsi="Arial" w:cs="Arial"/>
            <w:sz w:val="22"/>
            <w:szCs w:val="22"/>
          </w:rPr>
          <w:t>https://www.nice.org.uk/Guidance/CG138</w:t>
        </w:r>
      </w:hyperlink>
      <w:r w:rsidRPr="00676AFA">
        <w:rPr>
          <w:rFonts w:ascii="Arial" w:hAnsi="Arial" w:cs="Arial"/>
          <w:color w:val="000000"/>
          <w:sz w:val="22"/>
          <w:szCs w:val="22"/>
        </w:rPr>
        <w:t xml:space="preserve">  (Accessed</w:t>
      </w:r>
      <w:r>
        <w:rPr>
          <w:rFonts w:ascii="Arial" w:hAnsi="Arial" w:cs="Arial"/>
          <w:color w:val="000000"/>
          <w:sz w:val="22"/>
          <w:szCs w:val="22"/>
        </w:rPr>
        <w:t>:</w:t>
      </w:r>
      <w:r w:rsidRPr="00676AFA">
        <w:rPr>
          <w:rFonts w:ascii="Arial" w:hAnsi="Arial" w:cs="Arial"/>
          <w:color w:val="000000"/>
          <w:sz w:val="22"/>
          <w:szCs w:val="22"/>
        </w:rPr>
        <w:t xml:space="preserve"> 23 Mar</w:t>
      </w:r>
      <w:r>
        <w:rPr>
          <w:rFonts w:ascii="Arial" w:hAnsi="Arial" w:cs="Arial"/>
          <w:color w:val="000000"/>
          <w:sz w:val="22"/>
          <w:szCs w:val="22"/>
        </w:rPr>
        <w:t>ch</w:t>
      </w:r>
      <w:r w:rsidRPr="00676AFA">
        <w:rPr>
          <w:rFonts w:ascii="Arial" w:hAnsi="Arial" w:cs="Arial"/>
          <w:color w:val="000000"/>
          <w:sz w:val="22"/>
          <w:szCs w:val="22"/>
        </w:rPr>
        <w:t xml:space="preserve"> 2026).</w:t>
      </w:r>
    </w:p>
    <w:p w14:paraId="4D022009" w14:textId="1F3AC8A1" w:rsidR="00676AFA" w:rsidRPr="00676AFA" w:rsidRDefault="00676AFA" w:rsidP="00676AFA">
      <w:pPr>
        <w:pStyle w:val="NormalWeb"/>
        <w:spacing w:before="0" w:beforeAutospacing="0" w:after="240" w:afterAutospacing="0" w:line="360" w:lineRule="auto"/>
        <w:jc w:val="both"/>
        <w:rPr>
          <w:rFonts w:ascii="Arial" w:hAnsi="Arial" w:cs="Arial"/>
          <w:color w:val="000000" w:themeColor="text1"/>
          <w:sz w:val="22"/>
          <w:szCs w:val="22"/>
        </w:rPr>
      </w:pPr>
      <w:r w:rsidRPr="00676AFA">
        <w:rPr>
          <w:rFonts w:ascii="Arial" w:hAnsi="Arial" w:cs="Arial"/>
          <w:color w:val="000000" w:themeColor="text1"/>
          <w:sz w:val="22"/>
          <w:szCs w:val="22"/>
        </w:rPr>
        <w:t>NHS England (2023)</w:t>
      </w:r>
      <w:r w:rsidRPr="00676AFA">
        <w:rPr>
          <w:rFonts w:ascii="Arial" w:hAnsi="Arial" w:cs="Arial"/>
          <w:i/>
          <w:iCs/>
          <w:color w:val="000000" w:themeColor="text1"/>
          <w:sz w:val="22"/>
          <w:szCs w:val="22"/>
        </w:rPr>
        <w:t xml:space="preserve"> Hospital discharge fund guidance</w:t>
      </w:r>
      <w:r w:rsidRPr="00676AFA">
        <w:rPr>
          <w:rFonts w:ascii="Arial" w:hAnsi="Arial" w:cs="Arial"/>
          <w:color w:val="000000" w:themeColor="text1"/>
          <w:sz w:val="22"/>
          <w:szCs w:val="22"/>
        </w:rPr>
        <w:t xml:space="preserve">. Available at: </w:t>
      </w:r>
      <w:hyperlink r:id="rId16" w:history="1">
        <w:r w:rsidRPr="00676AFA">
          <w:rPr>
            <w:rStyle w:val="Hyperlink"/>
            <w:rFonts w:ascii="Arial" w:hAnsi="Arial" w:cs="Arial"/>
            <w:color w:val="000000" w:themeColor="text1"/>
            <w:sz w:val="22"/>
            <w:szCs w:val="22"/>
          </w:rPr>
          <w:t>https://www.england.nhs.uk/long-read/hospital-discharge-fund-guidance/</w:t>
        </w:r>
      </w:hyperlink>
      <w:r w:rsidRPr="00676AFA">
        <w:rPr>
          <w:rFonts w:ascii="Arial" w:hAnsi="Arial" w:cs="Arial"/>
          <w:color w:val="000000" w:themeColor="text1"/>
          <w:sz w:val="22"/>
          <w:szCs w:val="22"/>
        </w:rPr>
        <w:t xml:space="preserve">  (Accessed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28 March 2026).</w:t>
      </w:r>
    </w:p>
    <w:p w14:paraId="73250881" w14:textId="518C2DE1" w:rsidR="00676AFA" w:rsidRPr="00676AFA" w:rsidRDefault="00676AFA" w:rsidP="00676AFA">
      <w:pPr>
        <w:pStyle w:val="p1"/>
        <w:spacing w:line="360" w:lineRule="auto"/>
        <w:jc w:val="both"/>
        <w:rPr>
          <w:rFonts w:ascii="Arial" w:hAnsi="Arial" w:cs="Arial"/>
          <w:i/>
          <w:iCs/>
          <w:color w:val="000000" w:themeColor="text1"/>
          <w:sz w:val="22"/>
          <w:szCs w:val="22"/>
        </w:rPr>
      </w:pPr>
      <w:r w:rsidRPr="00676AFA">
        <w:rPr>
          <w:rFonts w:ascii="Arial" w:hAnsi="Arial" w:cs="Arial"/>
          <w:color w:val="000000" w:themeColor="text1"/>
          <w:sz w:val="22"/>
          <w:szCs w:val="22"/>
        </w:rPr>
        <w:t xml:space="preserve">Nursing and Midwifery Council (2018) </w:t>
      </w:r>
      <w:r w:rsidRPr="00676AFA">
        <w:rPr>
          <w:rFonts w:ascii="Arial" w:hAnsi="Arial" w:cs="Arial"/>
          <w:i/>
          <w:iCs/>
          <w:color w:val="000000" w:themeColor="text1"/>
          <w:sz w:val="22"/>
          <w:szCs w:val="22"/>
        </w:rPr>
        <w:t xml:space="preserve">The Code </w:t>
      </w:r>
      <w:r w:rsidRPr="00333D31">
        <w:rPr>
          <w:rFonts w:ascii="Arial" w:hAnsi="Arial" w:cs="Arial"/>
          <w:i/>
          <w:iCs/>
          <w:color w:val="000000" w:themeColor="text1"/>
          <w:sz w:val="22"/>
          <w:szCs w:val="22"/>
        </w:rPr>
        <w:t>Professional standards of practice</w:t>
      </w:r>
      <w:r w:rsidRPr="00676AFA">
        <w:rPr>
          <w:rFonts w:ascii="Arial" w:hAnsi="Arial" w:cs="Arial"/>
          <w:i/>
          <w:iCs/>
          <w:color w:val="000000" w:themeColor="text1"/>
          <w:sz w:val="22"/>
          <w:szCs w:val="22"/>
        </w:rPr>
        <w:t xml:space="preserve"> </w:t>
      </w:r>
      <w:r w:rsidRPr="00333D31">
        <w:rPr>
          <w:rFonts w:ascii="Arial" w:hAnsi="Arial" w:cs="Arial"/>
          <w:i/>
          <w:iCs/>
          <w:color w:val="000000" w:themeColor="text1"/>
          <w:sz w:val="22"/>
          <w:szCs w:val="22"/>
        </w:rPr>
        <w:t>and behaviour</w:t>
      </w:r>
      <w:r w:rsidRPr="00676AFA">
        <w:rPr>
          <w:rFonts w:ascii="Arial" w:hAnsi="Arial" w:cs="Arial"/>
          <w:i/>
          <w:iCs/>
          <w:color w:val="000000" w:themeColor="text1"/>
          <w:sz w:val="22"/>
          <w:szCs w:val="22"/>
        </w:rPr>
        <w:t xml:space="preserve"> </w:t>
      </w:r>
      <w:r w:rsidRPr="00333D31">
        <w:rPr>
          <w:rFonts w:ascii="Arial" w:hAnsi="Arial" w:cs="Arial"/>
          <w:i/>
          <w:iCs/>
          <w:color w:val="000000" w:themeColor="text1"/>
          <w:sz w:val="22"/>
          <w:szCs w:val="22"/>
        </w:rPr>
        <w:t>for nurses, midwives</w:t>
      </w:r>
      <w:r w:rsidRPr="00676AFA">
        <w:rPr>
          <w:rFonts w:ascii="Arial" w:hAnsi="Arial" w:cs="Arial"/>
          <w:i/>
          <w:iCs/>
          <w:color w:val="000000" w:themeColor="text1"/>
          <w:sz w:val="22"/>
          <w:szCs w:val="22"/>
        </w:rPr>
        <w:t xml:space="preserve"> </w:t>
      </w:r>
      <w:r w:rsidRPr="00333D31">
        <w:rPr>
          <w:rFonts w:ascii="Arial" w:hAnsi="Arial" w:cs="Arial"/>
          <w:i/>
          <w:iCs/>
          <w:color w:val="000000" w:themeColor="text1"/>
          <w:sz w:val="22"/>
          <w:szCs w:val="22"/>
        </w:rPr>
        <w:t>and nursing associates</w:t>
      </w:r>
      <w:r w:rsidRPr="00676AFA">
        <w:rPr>
          <w:rFonts w:ascii="Arial" w:hAnsi="Arial" w:cs="Arial"/>
          <w:i/>
          <w:iCs/>
          <w:color w:val="000000" w:themeColor="text1"/>
          <w:sz w:val="22"/>
          <w:szCs w:val="22"/>
        </w:rPr>
        <w:t xml:space="preserve">. </w:t>
      </w:r>
      <w:r w:rsidRPr="00676AFA">
        <w:rPr>
          <w:rFonts w:ascii="Arial" w:hAnsi="Arial" w:cs="Arial"/>
          <w:color w:val="000000" w:themeColor="text1"/>
          <w:sz w:val="22"/>
          <w:szCs w:val="22"/>
        </w:rPr>
        <w:t xml:space="preserve">Available at: </w:t>
      </w:r>
      <w:hyperlink r:id="rId17" w:history="1">
        <w:r w:rsidRPr="00676AFA">
          <w:rPr>
            <w:rStyle w:val="Hyperlink"/>
            <w:rFonts w:ascii="Arial" w:hAnsi="Arial" w:cs="Arial"/>
            <w:color w:val="000000" w:themeColor="text1"/>
            <w:sz w:val="22"/>
            <w:szCs w:val="22"/>
          </w:rPr>
          <w:t>https://www.nmc.org.uk/globalassets/sitedocuments/nmc-publications/nmc-code.pdf</w:t>
        </w:r>
      </w:hyperlink>
      <w:r w:rsidRPr="00676AFA">
        <w:rPr>
          <w:rFonts w:ascii="Arial" w:hAnsi="Arial" w:cs="Arial"/>
          <w:color w:val="000000" w:themeColor="text1"/>
          <w:sz w:val="22"/>
          <w:szCs w:val="22"/>
        </w:rPr>
        <w:t xml:space="preserve">  (Accessed</w:t>
      </w:r>
      <w:r>
        <w:rPr>
          <w:rFonts w:ascii="Arial" w:hAnsi="Arial" w:cs="Arial"/>
          <w:color w:val="000000" w:themeColor="text1"/>
          <w:sz w:val="22"/>
          <w:szCs w:val="22"/>
        </w:rPr>
        <w:t>:</w:t>
      </w:r>
      <w:r w:rsidRPr="00676AFA">
        <w:rPr>
          <w:rFonts w:ascii="Arial" w:hAnsi="Arial" w:cs="Arial"/>
          <w:color w:val="000000" w:themeColor="text1"/>
          <w:sz w:val="22"/>
          <w:szCs w:val="22"/>
        </w:rPr>
        <w:t xml:space="preserve"> 25 March 2026).</w:t>
      </w:r>
    </w:p>
    <w:p w14:paraId="5CB167FF" w14:textId="77777777" w:rsidR="00676AFA" w:rsidRPr="00676AFA" w:rsidRDefault="00676AFA" w:rsidP="00676AFA">
      <w:pPr>
        <w:pStyle w:val="NormalWeb"/>
        <w:spacing w:line="360" w:lineRule="auto"/>
        <w:jc w:val="both"/>
        <w:rPr>
          <w:rFonts w:ascii="Arial" w:hAnsi="Arial" w:cs="Arial"/>
          <w:color w:val="000000" w:themeColor="text1"/>
          <w:sz w:val="22"/>
          <w:szCs w:val="22"/>
          <w:shd w:val="clear" w:color="auto" w:fill="FFFFFF"/>
          <w:lang w:val="uk-UA"/>
        </w:rPr>
      </w:pPr>
      <w:proofErr w:type="spellStart"/>
      <w:r w:rsidRPr="00676AFA">
        <w:rPr>
          <w:rFonts w:ascii="Arial" w:hAnsi="Arial" w:cs="Arial"/>
          <w:color w:val="000000" w:themeColor="text1"/>
          <w:sz w:val="22"/>
          <w:szCs w:val="22"/>
          <w:shd w:val="clear" w:color="auto" w:fill="FFFFFF"/>
        </w:rPr>
        <w:t>Pichère</w:t>
      </w:r>
      <w:proofErr w:type="spellEnd"/>
      <w:r w:rsidRPr="00676AFA">
        <w:rPr>
          <w:rFonts w:ascii="Arial" w:hAnsi="Arial" w:cs="Arial"/>
          <w:color w:val="000000" w:themeColor="text1"/>
          <w:sz w:val="22"/>
          <w:szCs w:val="22"/>
          <w:shd w:val="clear" w:color="auto" w:fill="FFFFFF"/>
        </w:rPr>
        <w:t xml:space="preserve">, P. and </w:t>
      </w:r>
      <w:proofErr w:type="spellStart"/>
      <w:r w:rsidRPr="00676AFA">
        <w:rPr>
          <w:rFonts w:ascii="Arial" w:hAnsi="Arial" w:cs="Arial"/>
          <w:color w:val="000000" w:themeColor="text1"/>
          <w:sz w:val="22"/>
          <w:szCs w:val="22"/>
          <w:shd w:val="clear" w:color="auto" w:fill="FFFFFF"/>
        </w:rPr>
        <w:t>Cadiat</w:t>
      </w:r>
      <w:proofErr w:type="spellEnd"/>
      <w:r w:rsidRPr="00676AFA">
        <w:rPr>
          <w:rFonts w:ascii="Arial" w:hAnsi="Arial" w:cs="Arial"/>
          <w:color w:val="000000" w:themeColor="text1"/>
          <w:sz w:val="22"/>
          <w:szCs w:val="22"/>
          <w:shd w:val="clear" w:color="auto" w:fill="FFFFFF"/>
        </w:rPr>
        <w:t>, A.-C. (2016)</w:t>
      </w:r>
      <w:r w:rsidRPr="00676AFA">
        <w:rPr>
          <w:rStyle w:val="apple-converted-space"/>
          <w:rFonts w:ascii="Arial" w:eastAsiaTheme="majorEastAsia" w:hAnsi="Arial" w:cs="Arial"/>
          <w:color w:val="000000" w:themeColor="text1"/>
          <w:sz w:val="22"/>
          <w:szCs w:val="22"/>
          <w:shd w:val="clear" w:color="auto" w:fill="FFFFFF"/>
        </w:rPr>
        <w:t> </w:t>
      </w:r>
      <w:r w:rsidRPr="00676AFA">
        <w:rPr>
          <w:rFonts w:ascii="Arial" w:hAnsi="Arial" w:cs="Arial"/>
          <w:i/>
          <w:iCs/>
          <w:color w:val="000000" w:themeColor="text1"/>
          <w:sz w:val="22"/>
          <w:szCs w:val="22"/>
        </w:rPr>
        <w:t>Maslow’s hierarchy of needs</w:t>
      </w:r>
      <w:r w:rsidRPr="00676AFA">
        <w:rPr>
          <w:rFonts w:ascii="Arial" w:hAnsi="Arial" w:cs="Arial"/>
          <w:color w:val="000000" w:themeColor="text1"/>
          <w:sz w:val="22"/>
          <w:szCs w:val="22"/>
          <w:shd w:val="clear" w:color="auto" w:fill="FFFFFF"/>
        </w:rPr>
        <w:t>. Translated by C. Probert. Namur: Lemaitre Publishing.</w:t>
      </w:r>
      <w:r w:rsidRPr="00676AFA">
        <w:rPr>
          <w:rFonts w:ascii="Arial" w:hAnsi="Arial" w:cs="Arial"/>
          <w:color w:val="000000" w:themeColor="text1"/>
          <w:sz w:val="22"/>
          <w:szCs w:val="22"/>
          <w:shd w:val="clear" w:color="auto" w:fill="FFFFFF"/>
          <w:lang w:val="uk-UA"/>
        </w:rPr>
        <w:t xml:space="preserve"> </w:t>
      </w:r>
    </w:p>
    <w:p w14:paraId="1F550ABE" w14:textId="3C6985D3" w:rsidR="00676AFA" w:rsidRPr="00676AFA" w:rsidRDefault="00676AFA" w:rsidP="00676AFA">
      <w:pPr>
        <w:spacing w:line="360" w:lineRule="auto"/>
        <w:jc w:val="both"/>
        <w:rPr>
          <w:rFonts w:ascii="Arial" w:hAnsi="Arial" w:cs="Arial"/>
          <w:color w:val="000000" w:themeColor="text1"/>
          <w:sz w:val="22"/>
          <w:szCs w:val="22"/>
          <w:shd w:val="clear" w:color="auto" w:fill="FFFFFF"/>
          <w:lang w:val="uk-UA"/>
        </w:rPr>
      </w:pPr>
    </w:p>
    <w:p w14:paraId="70434A06" w14:textId="77777777" w:rsidR="00676AFA" w:rsidRPr="00676AFA" w:rsidRDefault="00676AFA">
      <w:pPr>
        <w:rPr>
          <w:b/>
          <w:bCs/>
          <w:lang w:val="uk-UA"/>
        </w:rPr>
      </w:pPr>
    </w:p>
    <w:sectPr w:rsidR="00676AFA" w:rsidRPr="00676AFA">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04B51" w14:textId="77777777" w:rsidR="00095539" w:rsidRDefault="00095539" w:rsidP="00676AFA">
      <w:r>
        <w:separator/>
      </w:r>
    </w:p>
  </w:endnote>
  <w:endnote w:type="continuationSeparator" w:id="0">
    <w:p w14:paraId="7E99B261" w14:textId="77777777" w:rsidR="00095539" w:rsidRDefault="00095539" w:rsidP="00676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4026690"/>
      <w:docPartObj>
        <w:docPartGallery w:val="Page Numbers (Bottom of Page)"/>
        <w:docPartUnique/>
      </w:docPartObj>
    </w:sdtPr>
    <w:sdtContent>
      <w:p w14:paraId="3EB62E67" w14:textId="33D4D3F0" w:rsidR="00676AFA" w:rsidRDefault="00676AFA" w:rsidP="00EA19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E83E98" w14:textId="77777777" w:rsidR="00676AFA" w:rsidRDefault="00676AFA" w:rsidP="00676A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8038445"/>
      <w:docPartObj>
        <w:docPartGallery w:val="Page Numbers (Bottom of Page)"/>
        <w:docPartUnique/>
      </w:docPartObj>
    </w:sdtPr>
    <w:sdtContent>
      <w:p w14:paraId="460708CB" w14:textId="322FA4DE" w:rsidR="00676AFA" w:rsidRDefault="00676AFA" w:rsidP="00EA19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0CFB08" w14:textId="77777777" w:rsidR="00676AFA" w:rsidRDefault="00676AFA" w:rsidP="00676A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157AA" w14:textId="77777777" w:rsidR="00095539" w:rsidRDefault="00095539" w:rsidP="00676AFA">
      <w:r>
        <w:separator/>
      </w:r>
    </w:p>
  </w:footnote>
  <w:footnote w:type="continuationSeparator" w:id="0">
    <w:p w14:paraId="588FB4AE" w14:textId="77777777" w:rsidR="00095539" w:rsidRDefault="00095539" w:rsidP="00676A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AFA"/>
    <w:rsid w:val="00095539"/>
    <w:rsid w:val="004A1F3E"/>
    <w:rsid w:val="004B0525"/>
    <w:rsid w:val="005D644F"/>
    <w:rsid w:val="00676AFA"/>
    <w:rsid w:val="007B549E"/>
    <w:rsid w:val="00851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6260B3"/>
  <w15:chartTrackingRefBased/>
  <w15:docId w15:val="{A0A26169-DAF7-D443-BA01-1E1BDAD90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AF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76AF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76AF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76AF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76AF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76AF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76AF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76AF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76AF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76AF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A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6A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A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A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A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A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A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A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AFA"/>
    <w:rPr>
      <w:rFonts w:eastAsiaTheme="majorEastAsia" w:cstheme="majorBidi"/>
      <w:color w:val="272727" w:themeColor="text1" w:themeTint="D8"/>
    </w:rPr>
  </w:style>
  <w:style w:type="paragraph" w:styleId="Title">
    <w:name w:val="Title"/>
    <w:basedOn w:val="Normal"/>
    <w:next w:val="Normal"/>
    <w:link w:val="TitleChar"/>
    <w:uiPriority w:val="10"/>
    <w:qFormat/>
    <w:rsid w:val="00676AF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76A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AF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76A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AF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76AFA"/>
    <w:rPr>
      <w:i/>
      <w:iCs/>
      <w:color w:val="404040" w:themeColor="text1" w:themeTint="BF"/>
    </w:rPr>
  </w:style>
  <w:style w:type="paragraph" w:styleId="ListParagraph">
    <w:name w:val="List Paragraph"/>
    <w:basedOn w:val="Normal"/>
    <w:uiPriority w:val="34"/>
    <w:qFormat/>
    <w:rsid w:val="00676AF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76AFA"/>
    <w:rPr>
      <w:i/>
      <w:iCs/>
      <w:color w:val="0F4761" w:themeColor="accent1" w:themeShade="BF"/>
    </w:rPr>
  </w:style>
  <w:style w:type="paragraph" w:styleId="IntenseQuote">
    <w:name w:val="Intense Quote"/>
    <w:basedOn w:val="Normal"/>
    <w:next w:val="Normal"/>
    <w:link w:val="IntenseQuoteChar"/>
    <w:uiPriority w:val="30"/>
    <w:qFormat/>
    <w:rsid w:val="00676AF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76AFA"/>
    <w:rPr>
      <w:i/>
      <w:iCs/>
      <w:color w:val="0F4761" w:themeColor="accent1" w:themeShade="BF"/>
    </w:rPr>
  </w:style>
  <w:style w:type="character" w:styleId="IntenseReference">
    <w:name w:val="Intense Reference"/>
    <w:basedOn w:val="DefaultParagraphFont"/>
    <w:uiPriority w:val="32"/>
    <w:qFormat/>
    <w:rsid w:val="00676AFA"/>
    <w:rPr>
      <w:b/>
      <w:bCs/>
      <w:smallCaps/>
      <w:color w:val="0F4761" w:themeColor="accent1" w:themeShade="BF"/>
      <w:spacing w:val="5"/>
    </w:rPr>
  </w:style>
  <w:style w:type="paragraph" w:customStyle="1" w:styleId="p1">
    <w:name w:val="p1"/>
    <w:basedOn w:val="Normal"/>
    <w:rsid w:val="00676AFA"/>
    <w:rPr>
      <w:rFonts w:ascii="Helvetica" w:hAnsi="Helvetica"/>
      <w:color w:val="000000"/>
      <w:sz w:val="18"/>
      <w:szCs w:val="18"/>
    </w:rPr>
  </w:style>
  <w:style w:type="paragraph" w:styleId="NormalWeb">
    <w:name w:val="Normal (Web)"/>
    <w:basedOn w:val="Normal"/>
    <w:uiPriority w:val="99"/>
    <w:unhideWhenUsed/>
    <w:rsid w:val="00676AFA"/>
    <w:pPr>
      <w:spacing w:before="100" w:beforeAutospacing="1" w:after="100" w:afterAutospacing="1"/>
    </w:pPr>
  </w:style>
  <w:style w:type="character" w:styleId="Strong">
    <w:name w:val="Strong"/>
    <w:basedOn w:val="DefaultParagraphFont"/>
    <w:uiPriority w:val="22"/>
    <w:qFormat/>
    <w:rsid w:val="00676AFA"/>
    <w:rPr>
      <w:b/>
      <w:bCs/>
    </w:rPr>
  </w:style>
  <w:style w:type="paragraph" w:styleId="Footer">
    <w:name w:val="footer"/>
    <w:basedOn w:val="Normal"/>
    <w:link w:val="FooterChar"/>
    <w:uiPriority w:val="99"/>
    <w:unhideWhenUsed/>
    <w:rsid w:val="00676AFA"/>
    <w:pPr>
      <w:tabs>
        <w:tab w:val="center" w:pos="4513"/>
        <w:tab w:val="right" w:pos="9026"/>
      </w:tabs>
    </w:pPr>
  </w:style>
  <w:style w:type="character" w:customStyle="1" w:styleId="FooterChar">
    <w:name w:val="Footer Char"/>
    <w:basedOn w:val="DefaultParagraphFont"/>
    <w:link w:val="Footer"/>
    <w:uiPriority w:val="99"/>
    <w:rsid w:val="00676AFA"/>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76AFA"/>
  </w:style>
  <w:style w:type="character" w:customStyle="1" w:styleId="apple-converted-space">
    <w:name w:val="apple-converted-space"/>
    <w:basedOn w:val="DefaultParagraphFont"/>
    <w:rsid w:val="00676AFA"/>
  </w:style>
  <w:style w:type="character" w:styleId="Hyperlink">
    <w:name w:val="Hyperlink"/>
    <w:basedOn w:val="DefaultParagraphFont"/>
    <w:uiPriority w:val="99"/>
    <w:unhideWhenUsed/>
    <w:rsid w:val="00676AFA"/>
    <w:rPr>
      <w:color w:val="467886" w:themeColor="hyperlink"/>
      <w:u w:val="single"/>
    </w:rPr>
  </w:style>
  <w:style w:type="character" w:styleId="FollowedHyperlink">
    <w:name w:val="FollowedHyperlink"/>
    <w:basedOn w:val="DefaultParagraphFont"/>
    <w:uiPriority w:val="99"/>
    <w:semiHidden/>
    <w:unhideWhenUsed/>
    <w:rsid w:val="00676AFA"/>
    <w:rPr>
      <w:color w:val="96607D" w:themeColor="followedHyperlink"/>
      <w:u w:val="single"/>
    </w:rPr>
  </w:style>
  <w:style w:type="character" w:styleId="Emphasis">
    <w:name w:val="Emphasis"/>
    <w:basedOn w:val="DefaultParagraphFont"/>
    <w:uiPriority w:val="20"/>
    <w:qFormat/>
    <w:rsid w:val="00676AFA"/>
    <w:rPr>
      <w:i/>
      <w:iCs/>
    </w:rPr>
  </w:style>
  <w:style w:type="character" w:styleId="UnresolvedMention">
    <w:name w:val="Unresolved Mention"/>
    <w:basedOn w:val="DefaultParagraphFont"/>
    <w:uiPriority w:val="99"/>
    <w:semiHidden/>
    <w:unhideWhenUsed/>
    <w:rsid w:val="00676AFA"/>
    <w:rPr>
      <w:color w:val="605E5C"/>
      <w:shd w:val="clear" w:color="auto" w:fill="E1DFDD"/>
    </w:rPr>
  </w:style>
  <w:style w:type="paragraph" w:styleId="TOCHeading">
    <w:name w:val="TOC Heading"/>
    <w:basedOn w:val="Heading1"/>
    <w:next w:val="Normal"/>
    <w:uiPriority w:val="39"/>
    <w:unhideWhenUsed/>
    <w:qFormat/>
    <w:rsid w:val="00676AF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76AFA"/>
    <w:pPr>
      <w:spacing w:before="120"/>
    </w:pPr>
    <w:rPr>
      <w:rFonts w:asciiTheme="minorHAnsi" w:hAnsiTheme="minorHAnsi"/>
      <w:b/>
      <w:bCs/>
      <w:i/>
      <w:iCs/>
    </w:rPr>
  </w:style>
  <w:style w:type="paragraph" w:styleId="TOC2">
    <w:name w:val="toc 2"/>
    <w:basedOn w:val="Normal"/>
    <w:next w:val="Normal"/>
    <w:autoRedefine/>
    <w:uiPriority w:val="39"/>
    <w:semiHidden/>
    <w:unhideWhenUsed/>
    <w:rsid w:val="00676AF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676AF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76AF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76AF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76AF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76AF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76AF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76AF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55/s-0045-181364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5334/ijic.4722" TargetMode="External"/><Relationship Id="rId17" Type="http://schemas.openxmlformats.org/officeDocument/2006/relationships/hyperlink" Target="https://www.nmc.org.uk/globalassets/sitedocuments/nmc-publications/nmc-code.pdf" TargetMode="External"/><Relationship Id="rId2" Type="http://schemas.openxmlformats.org/officeDocument/2006/relationships/styles" Target="styles.xml"/><Relationship Id="rId16" Type="http://schemas.openxmlformats.org/officeDocument/2006/relationships/hyperlink" Target="https://www.england.nhs.uk/long-read/hospital-discharge-fund-guid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scovery.ucl.ac.uk/id/eprint/1471403/" TargetMode="External"/><Relationship Id="rId5" Type="http://schemas.openxmlformats.org/officeDocument/2006/relationships/footnotes" Target="footnotes.xml"/><Relationship Id="rId15" Type="http://schemas.openxmlformats.org/officeDocument/2006/relationships/hyperlink" Target="https://www.nice.org.uk/Guidance/CG138" TargetMode="External"/><Relationship Id="rId10" Type="http://schemas.openxmlformats.org/officeDocument/2006/relationships/hyperlink" Target="https://www.cqc.org.uk/publications/major-report/state-care/2022-2023/system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egislation.gov.uk/ukpga/2014/23/section/1" TargetMode="External"/><Relationship Id="rId14"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0AD19-6677-7D47-B20E-05CFE2421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2757</Words>
  <Characters>15718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Silman (2431446)</dc:creator>
  <cp:keywords/>
  <dc:description/>
  <cp:lastModifiedBy>Yuliia Silman (2431446)</cp:lastModifiedBy>
  <cp:revision>2</cp:revision>
  <dcterms:created xsi:type="dcterms:W3CDTF">2026-04-14T22:10:00Z</dcterms:created>
  <dcterms:modified xsi:type="dcterms:W3CDTF">2026-04-14T22:50:00Z</dcterms:modified>
</cp:coreProperties>
</file>