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000001" w14:textId="7ABEC9AF" w:rsidR="001008E1" w:rsidRDefault="003D5829">
      <w:pPr>
        <w:jc w:val="center"/>
        <w:rPr>
          <w:b/>
          <w:bCs/>
          <w:sz w:val="32"/>
          <w:szCs w:val="32"/>
        </w:rPr>
      </w:pPr>
      <w:r>
        <w:rPr>
          <w:b/>
          <w:bCs/>
          <w:noProof/>
          <w:sz w:val="32"/>
          <w:szCs w:val="32"/>
        </w:rPr>
        <w:drawing>
          <wp:inline distT="0" distB="0" distL="0" distR="0" wp14:anchorId="044C3E2E" wp14:editId="629ED5E7">
            <wp:extent cx="5731510" cy="2750185"/>
            <wp:effectExtent l="0" t="0" r="0" b="0"/>
            <wp:docPr id="15568230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823015" name="Picture 1556823015"/>
                    <pic:cNvPicPr/>
                  </pic:nvPicPr>
                  <pic:blipFill>
                    <a:blip r:embed="rId7">
                      <a:extLst>
                        <a:ext uri="{28A0092B-C50C-407E-A947-70E740481C1C}">
                          <a14:useLocalDpi xmlns:a14="http://schemas.microsoft.com/office/drawing/2010/main" val="0"/>
                        </a:ext>
                      </a:extLst>
                    </a:blip>
                    <a:stretch>
                      <a:fillRect/>
                    </a:stretch>
                  </pic:blipFill>
                  <pic:spPr>
                    <a:xfrm>
                      <a:off x="0" y="0"/>
                      <a:ext cx="5731510" cy="2750185"/>
                    </a:xfrm>
                    <a:prstGeom prst="rect">
                      <a:avLst/>
                    </a:prstGeom>
                  </pic:spPr>
                </pic:pic>
              </a:graphicData>
            </a:graphic>
          </wp:inline>
        </w:drawing>
      </w:r>
    </w:p>
    <w:p w14:paraId="00000002" w14:textId="77777777" w:rsidR="001008E1" w:rsidRDefault="001008E1">
      <w:pPr>
        <w:jc w:val="center"/>
        <w:rPr>
          <w:b/>
          <w:bCs/>
          <w:sz w:val="32"/>
          <w:szCs w:val="32"/>
        </w:rPr>
      </w:pPr>
    </w:p>
    <w:p w14:paraId="10ED577D" w14:textId="77777777" w:rsidR="003D5829" w:rsidRPr="003D5829" w:rsidRDefault="003D5829" w:rsidP="003D5829">
      <w:pPr>
        <w:jc w:val="center"/>
        <w:rPr>
          <w:b/>
          <w:bCs/>
          <w:sz w:val="32"/>
          <w:szCs w:val="32"/>
          <w:lang w:val="nl-NL"/>
        </w:rPr>
      </w:pPr>
      <w:r w:rsidRPr="003D5829">
        <w:rPr>
          <w:b/>
          <w:bCs/>
          <w:sz w:val="32"/>
          <w:szCs w:val="32"/>
          <w:lang w:val="nl-NL"/>
        </w:rPr>
        <w:t xml:space="preserve">Student Name: </w:t>
      </w:r>
      <w:r w:rsidRPr="003D5829">
        <w:rPr>
          <w:sz w:val="32"/>
          <w:szCs w:val="32"/>
          <w:lang w:val="nl-NL"/>
        </w:rPr>
        <w:t>Yash Kapadiya</w:t>
      </w:r>
    </w:p>
    <w:p w14:paraId="7C41FE32" w14:textId="77777777" w:rsidR="003D5829" w:rsidRPr="003D5829" w:rsidRDefault="003D5829" w:rsidP="003D5829">
      <w:pPr>
        <w:jc w:val="center"/>
        <w:rPr>
          <w:b/>
          <w:bCs/>
          <w:sz w:val="32"/>
          <w:szCs w:val="32"/>
          <w:lang w:val="nl-NL"/>
        </w:rPr>
      </w:pPr>
      <w:r w:rsidRPr="003D5829">
        <w:rPr>
          <w:b/>
          <w:bCs/>
          <w:sz w:val="32"/>
          <w:szCs w:val="32"/>
          <w:lang w:val="nl-NL"/>
        </w:rPr>
        <w:t xml:space="preserve">Student ID: </w:t>
      </w:r>
      <w:r w:rsidRPr="003D5829">
        <w:rPr>
          <w:sz w:val="32"/>
          <w:szCs w:val="32"/>
          <w:lang w:val="nl-NL"/>
        </w:rPr>
        <w:t>2518277</w:t>
      </w:r>
    </w:p>
    <w:p w14:paraId="0AC1AF51" w14:textId="77777777" w:rsidR="003D5829" w:rsidRPr="003D5829" w:rsidRDefault="003D5829" w:rsidP="003D5829">
      <w:pPr>
        <w:jc w:val="center"/>
        <w:rPr>
          <w:sz w:val="32"/>
          <w:szCs w:val="32"/>
        </w:rPr>
      </w:pPr>
      <w:r w:rsidRPr="003D5829">
        <w:rPr>
          <w:b/>
          <w:bCs/>
          <w:sz w:val="32"/>
          <w:szCs w:val="32"/>
        </w:rPr>
        <w:t>Programme</w:t>
      </w:r>
      <w:r w:rsidRPr="003D5829">
        <w:rPr>
          <w:sz w:val="32"/>
          <w:szCs w:val="32"/>
        </w:rPr>
        <w:t>: MSc Public Health and Social Care in Practice</w:t>
      </w:r>
    </w:p>
    <w:p w14:paraId="436F6050" w14:textId="77777777" w:rsidR="003D5829" w:rsidRPr="003D5829" w:rsidRDefault="003D5829" w:rsidP="003D5829">
      <w:pPr>
        <w:jc w:val="center"/>
        <w:rPr>
          <w:sz w:val="32"/>
          <w:szCs w:val="32"/>
        </w:rPr>
      </w:pPr>
      <w:r w:rsidRPr="003D5829">
        <w:rPr>
          <w:b/>
          <w:bCs/>
          <w:sz w:val="32"/>
          <w:szCs w:val="32"/>
        </w:rPr>
        <w:t>Module Code and Title</w:t>
      </w:r>
      <w:r w:rsidRPr="003D5829">
        <w:rPr>
          <w:sz w:val="32"/>
          <w:szCs w:val="32"/>
        </w:rPr>
        <w:t>: LCHS7000: Social Epidemiology and Public Health Development</w:t>
      </w:r>
    </w:p>
    <w:p w14:paraId="7572DD86" w14:textId="3A167B52" w:rsidR="00B87A9B" w:rsidRDefault="003D5829" w:rsidP="00B87A9B">
      <w:pPr>
        <w:rPr>
          <w:sz w:val="32"/>
          <w:szCs w:val="32"/>
        </w:rPr>
      </w:pPr>
      <w:r>
        <w:rPr>
          <w:b/>
          <w:bCs/>
          <w:sz w:val="32"/>
          <w:szCs w:val="32"/>
        </w:rPr>
        <w:t xml:space="preserve">              </w:t>
      </w:r>
      <w:r w:rsidRPr="003D5829">
        <w:rPr>
          <w:b/>
          <w:bCs/>
          <w:sz w:val="32"/>
          <w:szCs w:val="32"/>
        </w:rPr>
        <w:t>Assignment Title</w:t>
      </w:r>
      <w:r w:rsidRPr="003D5829">
        <w:rPr>
          <w:sz w:val="32"/>
          <w:szCs w:val="32"/>
        </w:rPr>
        <w:t>: Component 2 Analytical Report</w:t>
      </w:r>
    </w:p>
    <w:p w14:paraId="241CE822" w14:textId="77777777" w:rsidR="003D5829" w:rsidRPr="003D5829" w:rsidRDefault="003D5829" w:rsidP="00B87A9B">
      <w:pPr>
        <w:rPr>
          <w:b/>
          <w:bCs/>
          <w:sz w:val="32"/>
          <w:szCs w:val="32"/>
        </w:rPr>
      </w:pPr>
    </w:p>
    <w:p w14:paraId="00000005" w14:textId="11E5D17A" w:rsidR="001008E1" w:rsidRDefault="000F5077">
      <w:pPr>
        <w:jc w:val="center"/>
        <w:rPr>
          <w:b/>
          <w:bCs/>
          <w:sz w:val="32"/>
          <w:szCs w:val="32"/>
        </w:rPr>
      </w:pPr>
      <w:r>
        <w:rPr>
          <w:b/>
          <w:bCs/>
          <w:sz w:val="32"/>
          <w:szCs w:val="32"/>
        </w:rPr>
        <w:t xml:space="preserve">Age and Health Inequalities among Older Adults </w:t>
      </w:r>
      <w:r w:rsidR="002364CD">
        <w:rPr>
          <w:b/>
          <w:bCs/>
          <w:sz w:val="32"/>
          <w:szCs w:val="32"/>
        </w:rPr>
        <w:t xml:space="preserve">(65 and above) </w:t>
      </w:r>
      <w:r>
        <w:rPr>
          <w:b/>
          <w:bCs/>
          <w:sz w:val="32"/>
          <w:szCs w:val="32"/>
        </w:rPr>
        <w:t>in England and an Epidemiological Analysis of Type 2 Diabetes in the London Borough of Newham</w:t>
      </w:r>
    </w:p>
    <w:p w14:paraId="0000000A" w14:textId="7A590B15" w:rsidR="001008E1" w:rsidRPr="003D5829" w:rsidRDefault="001008E1" w:rsidP="003D5829">
      <w:pPr>
        <w:rPr>
          <w:b/>
          <w:bCs/>
          <w:lang w:val="nl-NL"/>
        </w:rPr>
      </w:pPr>
    </w:p>
    <w:p w14:paraId="0000000B" w14:textId="205A81F7" w:rsidR="001008E1" w:rsidRDefault="000F5077" w:rsidP="003D5829">
      <w:r>
        <w:br w:type="page"/>
      </w:r>
    </w:p>
    <w:p w14:paraId="0000000C" w14:textId="77777777" w:rsidR="001008E1" w:rsidRDefault="000F5077">
      <w:pPr>
        <w:pStyle w:val="Heading1"/>
      </w:pPr>
      <w:bookmarkStart w:id="0" w:name="_rrc213eo2o6d" w:colFirst="0" w:colLast="0"/>
      <w:bookmarkEnd w:id="0"/>
      <w:r>
        <w:lastRenderedPageBreak/>
        <w:t>Task 1: Social Epidemiological Analysis</w:t>
      </w:r>
    </w:p>
    <w:p w14:paraId="0000000D" w14:textId="77777777" w:rsidR="001008E1" w:rsidRDefault="000F5077">
      <w:pPr>
        <w:pStyle w:val="Heading2"/>
      </w:pPr>
      <w:bookmarkStart w:id="1" w:name="_teevcgoa7638" w:colFirst="0" w:colLast="0"/>
      <w:bookmarkEnd w:id="1"/>
      <w:r>
        <w:t>1.1 Introduction</w:t>
      </w:r>
    </w:p>
    <w:p w14:paraId="305C51C4" w14:textId="71D18126" w:rsidR="00A42301" w:rsidRDefault="00A42301" w:rsidP="005478FF">
      <w:r w:rsidRPr="005478FF">
        <w:t>This first part of the report will focus on</w:t>
      </w:r>
      <w:r>
        <w:t xml:space="preserve"> </w:t>
      </w:r>
      <w:r w:rsidR="000F5077">
        <w:t>adults in England who are 65 years and above. Individuals aged between 65-74, 75-84 and 85 years or above vary in terms of health</w:t>
      </w:r>
      <w:r>
        <w:t xml:space="preserve"> </w:t>
      </w:r>
      <w:r w:rsidRPr="005478FF">
        <w:t>status</w:t>
      </w:r>
      <w:r w:rsidR="000F5077" w:rsidRPr="005478FF">
        <w:t xml:space="preserve"> and support</w:t>
      </w:r>
      <w:r w:rsidRPr="005478FF">
        <w:t xml:space="preserve"> they have available</w:t>
      </w:r>
      <w:r w:rsidR="000F5077" w:rsidRPr="005478FF">
        <w:t>.</w:t>
      </w:r>
      <w:r w:rsidR="000F5077">
        <w:t xml:space="preserve"> </w:t>
      </w:r>
      <w:r w:rsidR="005478FF" w:rsidRPr="00215AC8">
        <w:rPr>
          <w:color w:val="000000" w:themeColor="text1"/>
        </w:rPr>
        <w:t>In England in 2024, 73% of those aged 65-74 were supported in the community as opposed to 63% of those aged 75-84 and 59% of those aged 85-94, with residential care increasing to 1925 and 30 respectively (Local Government Association, 2024). The gap in health by age remains significant, as in 2022-2024, in England the inequality in healthy life expectancy among males and females amounts to 19.3 and 20.1 years, respectively, with the slope index of inequality between deprivation levels (Office for National Statistics, 2026). Even though ageing increases the likelihood of disease, deprivation, ageism, poverty, and unequal housing and care are linked to high levels of unmet support, with an estimated 2 million persons aged 65+ in England needing care and support (Age UK, 2024; Office for Health Improvement and Disparities, 2022).</w:t>
      </w:r>
      <w:r w:rsidR="005478FF" w:rsidRPr="005478FF">
        <w:rPr>
          <w:color w:val="EE0000"/>
        </w:rPr>
        <w:t xml:space="preserve"> </w:t>
      </w:r>
      <w:r w:rsidR="000F5077">
        <w:t>This analysis examines cardiovascular disease, dementia, depression, loneliness, poverty and digital exclusion.</w:t>
      </w:r>
      <w:r>
        <w:t xml:space="preserve"> </w:t>
      </w:r>
    </w:p>
    <w:p w14:paraId="0000000F" w14:textId="77777777" w:rsidR="001008E1" w:rsidRDefault="000F5077">
      <w:pPr>
        <w:pStyle w:val="Heading2"/>
      </w:pPr>
      <w:bookmarkStart w:id="2" w:name="_dtun1mg9rinj" w:colFirst="0" w:colLast="0"/>
      <w:bookmarkEnd w:id="2"/>
      <w:r>
        <w:t>1.2 Contextual Background and Underlying Factors</w:t>
      </w:r>
    </w:p>
    <w:p w14:paraId="00000010" w14:textId="77777777" w:rsidR="001008E1" w:rsidRDefault="000F5077">
      <w:pPr>
        <w:pStyle w:val="Heading3"/>
      </w:pPr>
      <w:bookmarkStart w:id="3" w:name="_1dcixrpzyl57" w:colFirst="0" w:colLast="0"/>
      <w:bookmarkEnd w:id="3"/>
      <w:r>
        <w:t>1.2.1 Higher Cardiovascular Disease and Stroke Burden</w:t>
      </w:r>
    </w:p>
    <w:p w14:paraId="00000011" w14:textId="524138D8" w:rsidR="001008E1" w:rsidRDefault="000F5077">
      <w:r w:rsidRPr="00A22FBA">
        <w:t xml:space="preserve">Cardiovascular disease </w:t>
      </w:r>
      <w:r w:rsidR="00A22FBA" w:rsidRPr="00A22FBA">
        <w:t>disproportionately affects</w:t>
      </w:r>
      <w:r w:rsidR="00F14671" w:rsidRPr="00A22FBA">
        <w:t xml:space="preserve"> people in older age and </w:t>
      </w:r>
      <w:r w:rsidRPr="00A22FBA">
        <w:t>has an imbalanced later-life impact</w:t>
      </w:r>
      <w:r w:rsidR="00F14671" w:rsidRPr="00A22FBA">
        <w:t xml:space="preserve"> (</w:t>
      </w:r>
      <w:proofErr w:type="spellStart"/>
      <w:r w:rsidR="00A22FBA" w:rsidRPr="00A61DBE">
        <w:rPr>
          <w:color w:val="000000" w:themeColor="text1"/>
        </w:rPr>
        <w:t>Gianfredi</w:t>
      </w:r>
      <w:proofErr w:type="spellEnd"/>
      <w:r w:rsidR="00A22FBA" w:rsidRPr="00A61DBE">
        <w:rPr>
          <w:color w:val="000000" w:themeColor="text1"/>
        </w:rPr>
        <w:t xml:space="preserve"> et al. 2025</w:t>
      </w:r>
      <w:r w:rsidR="00F14671" w:rsidRPr="00A61DBE">
        <w:rPr>
          <w:color w:val="000000" w:themeColor="text1"/>
        </w:rPr>
        <w:t>)</w:t>
      </w:r>
      <w:r w:rsidRPr="00A61DBE">
        <w:rPr>
          <w:color w:val="000000" w:themeColor="text1"/>
        </w:rPr>
        <w:t>.</w:t>
      </w:r>
      <w:r>
        <w:t xml:space="preserve"> England’s 2024/25 age-band data show people aged 65 or over accounted for approximately 66.8% of cardiovascular inpatient episodes and 73.3% of stroke episodes. Sex, age and deprivation were different in burden, which was indicative of hypertension, smoking, poor diet, inactivity, and cumulative exposure to socioeconomic factors (British Heart Foundation, 2026). Age increases biological susceptibility but cannot be used to explain delayed diagnosis or disproportionate rehabilitation. Blood pressure, medication reviews, available cardiac rehabilitation, transport assistance and community outreach should be aimed at the deprived and underserved older populations.</w:t>
      </w:r>
    </w:p>
    <w:p w14:paraId="00000012" w14:textId="77777777" w:rsidR="001008E1" w:rsidRDefault="000F5077">
      <w:pPr>
        <w:pStyle w:val="Heading3"/>
      </w:pPr>
      <w:bookmarkStart w:id="4" w:name="_nl7hipl6f2my" w:colFirst="0" w:colLast="0"/>
      <w:bookmarkEnd w:id="4"/>
      <w:r>
        <w:t>1.2.2 Dementia and Unequal Access to Diagnosis and Support</w:t>
      </w:r>
    </w:p>
    <w:p w14:paraId="00000013" w14:textId="3F17E30F" w:rsidR="001008E1" w:rsidRPr="0012509F" w:rsidRDefault="000F5077">
      <w:pPr>
        <w:rPr>
          <w:color w:val="000000" w:themeColor="text1"/>
        </w:rPr>
      </w:pPr>
      <w:r>
        <w:t>One out of 483,000 individuals aged 65 and above in England had been diagnosed with dementia by December 2024, which is 4.2% of the aged population (Office for Health Improvement and Disparities, 2025). The incidence of dementia is more than 20% in Black adults compared to UK average, and socioeconomic disadvantage might hasten its development (NHS England, 2024). Stigma, language, culturally inappropriate assessment and geographical disparity postpone assistance and enhance unpaid-carer burden</w:t>
      </w:r>
      <w:r w:rsidR="00F14671">
        <w:t xml:space="preserve"> </w:t>
      </w:r>
      <w:r w:rsidR="00F14671" w:rsidRPr="00A22FBA">
        <w:t>(</w:t>
      </w:r>
      <w:r w:rsidR="00A22FBA" w:rsidRPr="0012509F">
        <w:rPr>
          <w:color w:val="000000" w:themeColor="text1"/>
        </w:rPr>
        <w:t>Barnes et al. 2024</w:t>
      </w:r>
      <w:r w:rsidR="00F14671" w:rsidRPr="00A22FBA">
        <w:t>)</w:t>
      </w:r>
      <w:r w:rsidRPr="00A22FBA">
        <w:t>.</w:t>
      </w:r>
      <w:r>
        <w:t xml:space="preserve"> An increasing prevalence rate may be in part due to increased detection. Previous referral, multi-language information, culturally validated assessment, post-diagnostic care and </w:t>
      </w:r>
      <w:r>
        <w:lastRenderedPageBreak/>
        <w:t>respite are needed</w:t>
      </w:r>
      <w:r w:rsidR="00F14671">
        <w:t xml:space="preserve"> </w:t>
      </w:r>
      <w:r w:rsidR="00A22FBA" w:rsidRPr="0012509F">
        <w:rPr>
          <w:color w:val="000000" w:themeColor="text1"/>
        </w:rPr>
        <w:t>to reduce inequalities in access to dementia diagnosis and support, while also easing the burden on unpaid carers.</w:t>
      </w:r>
    </w:p>
    <w:p w14:paraId="00000014" w14:textId="77777777" w:rsidR="001008E1" w:rsidRDefault="000F5077">
      <w:pPr>
        <w:pStyle w:val="Heading3"/>
      </w:pPr>
      <w:bookmarkStart w:id="5" w:name="_p7976amtnjdm" w:colFirst="0" w:colLast="0"/>
      <w:bookmarkEnd w:id="5"/>
      <w:r>
        <w:t>1.2.3 Depression and Common Mental Health Problems in Later Life</w:t>
      </w:r>
    </w:p>
    <w:p w14:paraId="0C669C55" w14:textId="366110B3" w:rsidR="00F14671" w:rsidRDefault="000F5077">
      <w:r>
        <w:t>Ageing does not mean that one is guaranteed to develop depression. In 2022, 1 out of 8 adults aged 70 and above indicated moderate to severe depressive symptoms; older adults, men, disabled adults and Asian individuals were underrepresented in psychological-therapy services (Office for National Statistics, 2022). Physical illness, bereavement, caring, financial insecurity and isolation interact with each other and symptoms can be mistakenly thought to be due to ageing. However, most elderly people are independent and thus they should not be generalised as vulnerable. Primary care should enhance regular detection, inclusive age talking therapies, bereavement routes, social prescribing, referral and follow-up</w:t>
      </w:r>
      <w:r w:rsidR="00F14671">
        <w:t xml:space="preserve"> </w:t>
      </w:r>
      <w:r w:rsidR="00A22FBA">
        <w:t>(</w:t>
      </w:r>
      <w:r w:rsidR="00A22FBA" w:rsidRPr="0012509F">
        <w:rPr>
          <w:color w:val="000000" w:themeColor="text1"/>
        </w:rPr>
        <w:t>Uribe et al. 2023)</w:t>
      </w:r>
      <w:r>
        <w:t>.</w:t>
      </w:r>
    </w:p>
    <w:p w14:paraId="00000016" w14:textId="77777777" w:rsidR="001008E1" w:rsidRDefault="000F5077">
      <w:pPr>
        <w:pStyle w:val="Heading3"/>
      </w:pPr>
      <w:bookmarkStart w:id="6" w:name="_my45pua9e8rb" w:colFirst="0" w:colLast="0"/>
      <w:bookmarkEnd w:id="6"/>
      <w:r>
        <w:t>1.2.4 Social Isolation and Loneliness</w:t>
      </w:r>
    </w:p>
    <w:p w14:paraId="00000017" w14:textId="77777777" w:rsidR="001008E1" w:rsidRDefault="000F5077">
      <w:r>
        <w:t>Social isolation refers to a lack of contact, whereas loneliness is distress due to failure in relationships. In 2024, some 940,000 adults aged 65 and older in UK were frequently lonely and 270,000 in England spent a week without talking to friends or family (Age UK, 2024). The concentration of risks is found among bereaved individuals, carers, individuals who live alone, and disabled adults and residents without transport. Feeling lonely may contribute to worsening depression and frailty, however, bad health also makes it less likely to participate. Intergenerational groups and home outreach, befriending, social prescribing, affordable transport, and befriending should be integrated and customised.</w:t>
      </w:r>
    </w:p>
    <w:p w14:paraId="00000018" w14:textId="77777777" w:rsidR="001008E1" w:rsidRDefault="000F5077">
      <w:pPr>
        <w:pStyle w:val="Heading3"/>
      </w:pPr>
      <w:bookmarkStart w:id="7" w:name="_fpge3eu7kvvc" w:colFirst="0" w:colLast="0"/>
      <w:bookmarkEnd w:id="7"/>
      <w:r>
        <w:t>1.2.5 Poverty, Fuel Poverty and Material Deprivation</w:t>
      </w:r>
    </w:p>
    <w:p w14:paraId="00000019" w14:textId="026D275C" w:rsidR="001008E1" w:rsidRDefault="000F5077">
      <w:r>
        <w:t>In 2024/25, 16% of UK pensioners were in relatively low income before housing costs, with 12, or 1.5 million, people experiencing material deprivation (Department for Work and Pensions, 2026). The minority ethnic pensioners, renters and people who rely on state income and older women may be at risk</w:t>
      </w:r>
      <w:r w:rsidR="00F14671">
        <w:t xml:space="preserve"> </w:t>
      </w:r>
      <w:r w:rsidR="00B52980">
        <w:t xml:space="preserve">of </w:t>
      </w:r>
      <w:r w:rsidR="00B52980" w:rsidRPr="0012509F">
        <w:rPr>
          <w:color w:val="000000" w:themeColor="text1"/>
        </w:rPr>
        <w:t>persistent poverty, fuel poverty and material deprivation</w:t>
      </w:r>
      <w:r w:rsidRPr="00B52980">
        <w:rPr>
          <w:color w:val="EE0000"/>
        </w:rPr>
        <w:t xml:space="preserve">. </w:t>
      </w:r>
      <w:r>
        <w:t>Perpetual incomes, ineffective housing and energy expenses diminish heating, well-nourishment, transport and engagement, enhancing disease and tardiness. Need should proactively be identified by welfare-rights advice, Pension credit outreach, home-energy support, affordable housing and transport assistance.</w:t>
      </w:r>
    </w:p>
    <w:p w14:paraId="0000001A" w14:textId="77777777" w:rsidR="001008E1" w:rsidRDefault="000F5077">
      <w:pPr>
        <w:pStyle w:val="Heading3"/>
      </w:pPr>
      <w:bookmarkStart w:id="8" w:name="_ci0ibjxz3dd6" w:colFirst="0" w:colLast="0"/>
      <w:bookmarkEnd w:id="8"/>
      <w:r>
        <w:t>1.2.6 Digital Exclusion and Barriers to Health and Social Care</w:t>
      </w:r>
    </w:p>
    <w:p w14:paraId="0000001B" w14:textId="77777777" w:rsidR="001008E1" w:rsidRDefault="000F5077">
      <w:r>
        <w:t xml:space="preserve">Convenience can be enhanced with online appointments, prescriptions and information. By 2025/26, two-thirds of adults aged 75 to 84 years (78%) and half of those aged 85 years and above (46%) said they used the internet and only 13% of the elderly had used it without some difficulty (Department for Science, Innovation and Technology, 2026). Low income, disability, sensory or cognitive impairment, language and literacy are the factors that increase exclusion. Some of the older adults are, however, not afraid of technology. Services must maintain </w:t>
      </w:r>
      <w:r>
        <w:lastRenderedPageBreak/>
        <w:t>telephone and physical pathways, assisted digital support, friendly design and community education.</w:t>
      </w:r>
    </w:p>
    <w:p w14:paraId="0000001C" w14:textId="77777777" w:rsidR="001008E1" w:rsidRDefault="000F5077">
      <w:pPr>
        <w:pStyle w:val="Heading2"/>
      </w:pPr>
      <w:bookmarkStart w:id="9" w:name="_jupt8cdc8yr6" w:colFirst="0" w:colLast="0"/>
      <w:bookmarkEnd w:id="9"/>
      <w:r>
        <w:t>1.3 National Responses to Reduce Age-Related Health Inequalities</w:t>
      </w:r>
    </w:p>
    <w:p w14:paraId="0000001D" w14:textId="77777777" w:rsidR="001008E1" w:rsidRDefault="000F5077">
      <w:r>
        <w:t>The Better Care Fund 2026-2027 mandates that coordination of preventive health and social care be under the management of integrated care boards and local authorities. Its £9.154 billion investment package focuses on independence, intermediate care, reablement, reduced avoidable admissions of individuals aged 65 years and older and decreased discharge delays (Department of Health and Social Care and Ministry of Housing, 2026). This can help frail and multimorbid persons, but local discretion, workforce shortages and disproportionate capacity can bring about geographical inequalities. Identifying frailty in a systematic way through risk stratification, falls assessment, medication review and personalised support is promoted by NHS England (NHS England, 2026). Nonetheless, digitally deprived, remote and isolated residents will not be assessed. National frameworks are mandated with fair financing, outreach, entry modes and responsible local execution.</w:t>
      </w:r>
    </w:p>
    <w:p w14:paraId="0000001E" w14:textId="77777777" w:rsidR="001008E1" w:rsidRDefault="000F5077">
      <w:pPr>
        <w:pStyle w:val="Heading2"/>
      </w:pPr>
      <w:bookmarkStart w:id="10" w:name="_8dzaqxnhk55x" w:colFirst="0" w:colLast="0"/>
      <w:bookmarkEnd w:id="10"/>
      <w:r>
        <w:t>1.4 Organisation Supporting Older Adults: Age UK</w:t>
      </w:r>
    </w:p>
    <w:p w14:paraId="0000001F" w14:textId="77777777" w:rsidR="001008E1" w:rsidRDefault="000F5077">
      <w:r>
        <w:t>Age UK offers information and guidance on benefits, care, housing and health, such as telephone services and over 120 local organisations. It campaigns against ageism, it researches ageing, it influences policy and deals with loneliness in terms of friendship and community provision (Age UK, 2025). Through these activities, there is a linkage between individuals and entitlements as well as the revelation of structural inequalities. Its policy line is in favour of need-based care and equal chances of growing old. However, geographical distribution of capacity differs and charitable provision cannot substitute for well-financed statutory health, housing and social-care systems.</w:t>
      </w:r>
    </w:p>
    <w:p w14:paraId="00000020" w14:textId="77777777" w:rsidR="001008E1" w:rsidRDefault="000F5077">
      <w:pPr>
        <w:pStyle w:val="Heading2"/>
      </w:pPr>
      <w:bookmarkStart w:id="11" w:name="_uatrz3srqjwx" w:colFirst="0" w:colLast="0"/>
      <w:bookmarkEnd w:id="11"/>
      <w:r>
        <w:t>1.5 Conclusion</w:t>
      </w:r>
    </w:p>
    <w:p w14:paraId="00000021" w14:textId="77777777" w:rsidR="001008E1" w:rsidRDefault="000F5077">
      <w:r>
        <w:t>Older adults are subjected to unequal cardiovascular, cognitive and mental-health burdens as well as loneliness, poverty and digital exclusion. These results are an aggregation of cross-cuts of disadvantages over a lifetime, not age itself. Healthy ageing requires provision of mechanisms through national integration and frailty policies, but equitable provision at the local level, provision of accessible services and direct community support is required.</w:t>
      </w:r>
    </w:p>
    <w:p w14:paraId="00000022" w14:textId="77777777" w:rsidR="001008E1" w:rsidRDefault="001008E1"/>
    <w:p w14:paraId="00000023" w14:textId="77777777" w:rsidR="001008E1" w:rsidRDefault="000F5077">
      <w:pPr>
        <w:pStyle w:val="Heading1"/>
      </w:pPr>
      <w:bookmarkStart w:id="12" w:name="_lach5uvcb0z" w:colFirst="0" w:colLast="0"/>
      <w:bookmarkEnd w:id="12"/>
      <w:r>
        <w:br w:type="page"/>
      </w:r>
    </w:p>
    <w:p w14:paraId="00000024" w14:textId="77777777" w:rsidR="001008E1" w:rsidRDefault="000F5077">
      <w:pPr>
        <w:pStyle w:val="Heading1"/>
      </w:pPr>
      <w:bookmarkStart w:id="13" w:name="_351sg898b1t9" w:colFirst="0" w:colLast="0"/>
      <w:bookmarkEnd w:id="13"/>
      <w:r>
        <w:lastRenderedPageBreak/>
        <w:t>Task 2: Epidemiological Analysis</w:t>
      </w:r>
    </w:p>
    <w:p w14:paraId="00000025" w14:textId="77777777" w:rsidR="001008E1" w:rsidRDefault="000F5077">
      <w:pPr>
        <w:pStyle w:val="Heading2"/>
      </w:pPr>
      <w:bookmarkStart w:id="14" w:name="_w425ndxmjah0" w:colFirst="0" w:colLast="0"/>
      <w:bookmarkEnd w:id="14"/>
      <w:r>
        <w:t>2.1 Introduction</w:t>
      </w:r>
    </w:p>
    <w:p w14:paraId="4462DF70" w14:textId="6E89A809" w:rsidR="00853492" w:rsidRDefault="000F5077">
      <w:r>
        <w:t>Type 2 diabetes is a non-communicable disease that is chronic and does not have a definite cure, where the effectiveness of insulin decreases and the production of insulin in the pancreas is no longer adequate, leading to hyperglycaemia</w:t>
      </w:r>
      <w:r w:rsidR="00F14671">
        <w:t xml:space="preserve"> </w:t>
      </w:r>
      <w:r w:rsidR="00B52980">
        <w:t>(</w:t>
      </w:r>
      <w:r w:rsidR="00B52980" w:rsidRPr="00DB1452">
        <w:rPr>
          <w:color w:val="000000" w:themeColor="text1"/>
        </w:rPr>
        <w:t>Khin et al. 2023)</w:t>
      </w:r>
      <w:r w:rsidRPr="00DB1452">
        <w:rPr>
          <w:color w:val="000000" w:themeColor="text1"/>
        </w:rPr>
        <w:t>.</w:t>
      </w:r>
      <w:r>
        <w:t xml:space="preserve"> Unmanaged Type 2 diabetes may be damaging to cardiovascular, renal, neurological and visual systems</w:t>
      </w:r>
      <w:r w:rsidR="00853492">
        <w:t xml:space="preserve"> </w:t>
      </w:r>
      <w:r w:rsidR="00B52980">
        <w:t>(</w:t>
      </w:r>
      <w:proofErr w:type="spellStart"/>
      <w:r w:rsidR="00B52980" w:rsidRPr="00DB1452">
        <w:rPr>
          <w:color w:val="000000" w:themeColor="text1"/>
        </w:rPr>
        <w:t>Yapislar</w:t>
      </w:r>
      <w:proofErr w:type="spellEnd"/>
      <w:r w:rsidR="00B52980" w:rsidRPr="00DB1452">
        <w:rPr>
          <w:color w:val="000000" w:themeColor="text1"/>
        </w:rPr>
        <w:t xml:space="preserve"> and </w:t>
      </w:r>
      <w:proofErr w:type="spellStart"/>
      <w:r w:rsidR="00B52980" w:rsidRPr="00DB1452">
        <w:rPr>
          <w:color w:val="000000" w:themeColor="text1"/>
        </w:rPr>
        <w:t>Gurler</w:t>
      </w:r>
      <w:proofErr w:type="spellEnd"/>
      <w:r w:rsidR="00B52980" w:rsidRPr="00DB1452">
        <w:rPr>
          <w:color w:val="000000" w:themeColor="text1"/>
        </w:rPr>
        <w:t>, 2024)</w:t>
      </w:r>
      <w:r>
        <w:t>. It may cause a treatment burden, stigma, dietary tensions, employment disruption and financial strain</w:t>
      </w:r>
      <w:r w:rsidR="00853492">
        <w:t xml:space="preserve"> </w:t>
      </w:r>
      <w:r w:rsidR="00B52980">
        <w:t>(</w:t>
      </w:r>
      <w:r w:rsidR="00B52980" w:rsidRPr="00DB1452">
        <w:rPr>
          <w:color w:val="000000" w:themeColor="text1"/>
        </w:rPr>
        <w:t>Ahmed et al., 2025)</w:t>
      </w:r>
      <w:r>
        <w:t xml:space="preserve">. </w:t>
      </w:r>
      <w:r w:rsidR="00853492">
        <w:t>This report focuses on the population in the London borough of Newham</w:t>
      </w:r>
      <w:r w:rsidR="00B52980">
        <w:t>,</w:t>
      </w:r>
      <w:r w:rsidR="00853492">
        <w:t xml:space="preserve"> which is located in East London. </w:t>
      </w:r>
      <w:r>
        <w:t xml:space="preserve">The reason why Newham is chosen is that it </w:t>
      </w:r>
      <w:r w:rsidR="00853492" w:rsidRPr="00B52980">
        <w:rPr>
          <w:color w:val="000000" w:themeColor="text1"/>
        </w:rPr>
        <w:t>contains people at risk</w:t>
      </w:r>
      <w:r w:rsidR="00B52980" w:rsidRPr="00B52980">
        <w:rPr>
          <w:color w:val="000000" w:themeColor="text1"/>
        </w:rPr>
        <w:t xml:space="preserve">, </w:t>
      </w:r>
      <w:r w:rsidR="00B52980">
        <w:rPr>
          <w:color w:val="000000" w:themeColor="text1"/>
        </w:rPr>
        <w:t xml:space="preserve">a </w:t>
      </w:r>
      <w:r w:rsidRPr="00B52980">
        <w:rPr>
          <w:color w:val="000000" w:themeColor="text1"/>
        </w:rPr>
        <w:t xml:space="preserve">diverse </w:t>
      </w:r>
      <w:r w:rsidR="00853492" w:rsidRPr="00B52980">
        <w:rPr>
          <w:color w:val="000000" w:themeColor="text1"/>
        </w:rPr>
        <w:t xml:space="preserve">and </w:t>
      </w:r>
      <w:r>
        <w:t xml:space="preserve">deprived population. This report explores prevalence, determinants, responses </w:t>
      </w:r>
      <w:r w:rsidR="00B52980">
        <w:t>to</w:t>
      </w:r>
      <w:r>
        <w:t xml:space="preserve"> population health, surveillance, needs of the population, consequences and an appraised community intervention.</w:t>
      </w:r>
    </w:p>
    <w:p w14:paraId="00000027" w14:textId="77777777" w:rsidR="001008E1" w:rsidRDefault="000F5077">
      <w:pPr>
        <w:pStyle w:val="Heading2"/>
      </w:pPr>
      <w:bookmarkStart w:id="15" w:name="_is5kt04ybxt2" w:colFirst="0" w:colLast="0"/>
      <w:bookmarkEnd w:id="15"/>
      <w:r>
        <w:t>2.2 Incidence, Prevalence and Severity</w:t>
      </w:r>
    </w:p>
    <w:p w14:paraId="00000028" w14:textId="77777777" w:rsidR="001008E1" w:rsidRDefault="000F5077">
      <w:r>
        <w:t>Globally, 589 million adults aged 20-79 had diabetes in 2024, while 11.1% is projected to reach 853 million and 13% by 2050 (</w:t>
      </w:r>
      <w:proofErr w:type="spellStart"/>
      <w:r>
        <w:t>Genitsaridi</w:t>
      </w:r>
      <w:proofErr w:type="spellEnd"/>
      <w:r>
        <w:t xml:space="preserve"> et al., 2026). Type 2 prevalence in people aged 17+ recorded in GPs in England increased to 7.0% in March 2024, compared to 6.8% in March 2023; modelled total Type 2 prevalence in people aged 16+ was 7.8% in 2021 (Office for Health Improvement and Disparities, 2025). In 2024, 14% of the total diabetes was in the most deprived regions and 5% in the least deprived (NHS England, 2026a). The estimates of Newham vary, as a study found 8.6, which is higher than the whole of London, and Well Newham says that one in fourteen residents (</w:t>
      </w:r>
      <w:proofErr w:type="spellStart"/>
      <w:r>
        <w:t>Renzella</w:t>
      </w:r>
      <w:proofErr w:type="spellEnd"/>
      <w:r>
        <w:t xml:space="preserve"> et al., 2025; Well Newham, 2025). Variation is due to different dates and denominators. Similar local current incidence was not determined; prevalence is, thus, accumulated need for service, and not new diagnoses.</w:t>
      </w:r>
    </w:p>
    <w:p w14:paraId="00000029" w14:textId="77777777" w:rsidR="001008E1" w:rsidRDefault="000F5077">
      <w:pPr>
        <w:pStyle w:val="Heading2"/>
      </w:pPr>
      <w:bookmarkStart w:id="16" w:name="_lb82bo82isll" w:colFirst="0" w:colLast="0"/>
      <w:bookmarkEnd w:id="16"/>
      <w:r>
        <w:t>2.3 Public Health Measures Using the Three Ps</w:t>
      </w:r>
    </w:p>
    <w:p w14:paraId="0000002A" w14:textId="77777777" w:rsidR="001008E1" w:rsidRDefault="000F5077">
      <w:pPr>
        <w:numPr>
          <w:ilvl w:val="0"/>
          <w:numId w:val="1"/>
        </w:numPr>
      </w:pPr>
      <w:r>
        <w:rPr>
          <w:b/>
          <w:bCs/>
          <w:i/>
          <w:iCs/>
        </w:rPr>
        <w:t>Prevention</w:t>
      </w:r>
      <w:r>
        <w:t>: Prevention is to detect non-diabetic hyperglycaemia based on primary-care records, NHS Health Checks, pharmacies and community case-finding and then weight and diet and activity support. Reducing progression by over one-third of completers, Healthier You programme is nine months in length; however, inequalities might be recreated due to referral dependency, digital delivery, and attrition (NHS England, 2026d).</w:t>
      </w:r>
    </w:p>
    <w:p w14:paraId="0000002B" w14:textId="77777777" w:rsidR="001008E1" w:rsidRDefault="000F5077">
      <w:pPr>
        <w:numPr>
          <w:ilvl w:val="0"/>
          <w:numId w:val="1"/>
        </w:numPr>
      </w:pPr>
      <w:r>
        <w:rPr>
          <w:b/>
          <w:bCs/>
          <w:i/>
          <w:iCs/>
        </w:rPr>
        <w:t>Protection</w:t>
      </w:r>
      <w:r>
        <w:t xml:space="preserve">: Protection entails avoiding complications among diagnosed residents. NICE suggests that the annual HbA1c, blood pressure, cholesterol, kidney, BMI, smoking, foot and retinal processes, medication optimisation and timely specialist referral (NICE, 2026). In 2024/25, the proportion of 158,405 people with Type 2 diabetes recorded in North East London is eight reportable checks per 100,000, and the proportion is higher than the national level of 57.6%. In 2024/25, the proportion </w:t>
      </w:r>
      <w:r>
        <w:lastRenderedPageBreak/>
        <w:t>stands at 73.1 per 100,000, with eight reportable checks per 100,000 people (NHS North East London, 2025).</w:t>
      </w:r>
    </w:p>
    <w:p w14:paraId="0000002C" w14:textId="77777777" w:rsidR="001008E1" w:rsidRDefault="000F5077">
      <w:pPr>
        <w:numPr>
          <w:ilvl w:val="0"/>
          <w:numId w:val="1"/>
        </w:numPr>
      </w:pPr>
      <w:r>
        <w:rPr>
          <w:b/>
          <w:bCs/>
          <w:i/>
          <w:iCs/>
        </w:rPr>
        <w:t>Promotion</w:t>
      </w:r>
      <w:r>
        <w:t>: Education should be employed in promotion by pharmacies, libraries, faith organisations and community centres, and spare telephone and face-to-face avenues. The example of the mosque and library events on safe fasting during Ramadan in Newham is an example of cultural adaptation, but no outcome data are needed to presuppose the effectiveness of the events (Newham Council, 2024).</w:t>
      </w:r>
    </w:p>
    <w:p w14:paraId="0000002D" w14:textId="77777777" w:rsidR="001008E1" w:rsidRDefault="000F5077">
      <w:pPr>
        <w:pStyle w:val="Heading2"/>
      </w:pPr>
      <w:bookmarkStart w:id="17" w:name="_huccrwq1juxg" w:colFirst="0" w:colLast="0"/>
      <w:bookmarkEnd w:id="17"/>
      <w:r>
        <w:t>2.4 Key Determinants and Risk Factors</w:t>
      </w:r>
    </w:p>
    <w:p w14:paraId="0000002E" w14:textId="77777777" w:rsidR="001008E1" w:rsidRDefault="000F5077">
      <w:r>
        <w:t>Examples of non-modifiable determinants are age, family history, genetic susceptibility and ethnicity. First-degree family history increases risk two- to six-fold, and the South Asian, African-Caribbean and Black African groups have higher risk, which is usually in younger years (Diabetes UK, 2025). Amenable clinical and behavioural factors include overweight or central adiposity, inactivity, improper diet, high blood pressure, gestational diabetes and non-diabetic hyperglycaemia in the past. Even a socioecological interpretation does not blame the individual. Feasible choices are determined by income, insecure or shift employment, stress, housing, language, health literacy, access to services and neighbourhood environments. Newham Council estimated that an average family would require 50-74% of weekly income to adhere to healthy-eating advice, which demonstrates that knowledge is not sufficient to surpass the affordability barrier (Newham Council, 2025). Prevention involves clinical support and affordable food, safe activity areas, safe conditions and services.</w:t>
      </w:r>
    </w:p>
    <w:p w14:paraId="0000002F" w14:textId="77777777" w:rsidR="001008E1" w:rsidRDefault="000F5077">
      <w:pPr>
        <w:pStyle w:val="Heading2"/>
      </w:pPr>
      <w:bookmarkStart w:id="18" w:name="_ncc1cfa678ra" w:colFirst="0" w:colLast="0"/>
      <w:bookmarkEnd w:id="18"/>
      <w:r>
        <w:t>2.5 Health Needs Assessment and Population at Risk</w:t>
      </w:r>
    </w:p>
    <w:p w14:paraId="00000030" w14:textId="17F0E67D" w:rsidR="001008E1" w:rsidRDefault="000F5077">
      <w:r>
        <w:t>Epidemiological need should be combined with comparative need (Newham London England differences), expressed need (consultations, referrals, admissions and programme use), felt need (residents and local community organisations), and normative need (gaps to NICE standards) in a health-needs assessment</w:t>
      </w:r>
      <w:r w:rsidR="00853492">
        <w:t xml:space="preserve"> </w:t>
      </w:r>
      <w:r w:rsidR="005A2D56" w:rsidRPr="009A758F">
        <w:rPr>
          <w:color w:val="000000" w:themeColor="text1"/>
        </w:rPr>
        <w:t>(Trueba et al. 2023</w:t>
      </w:r>
      <w:r w:rsidR="005A2D56">
        <w:t>)</w:t>
      </w:r>
      <w:r>
        <w:t>. Planning of Newham combines population, service utilisation, illness, housing, poverty, employment and environment in its JSNA process (Newham Council, 2025). In national analysis, pre-diabetes was found in 22% of adults of Black and Asian ethnicity compared to 10% of adults of White and Mixed and Other ethnicity, as well as undiagnosed Type 2 diabetes was found in 5% compared to 2% respectively (Office for National Statistics, 2024). Newham should focus on adults who are non-diabetic hyperglycaemia, obesity or hypertension in deprived neighbourhoods, particularly ethnic communities with language or digital or access barriers and incomplete care methods.</w:t>
      </w:r>
    </w:p>
    <w:p w14:paraId="00000031" w14:textId="77777777" w:rsidR="001008E1" w:rsidRDefault="000F5077">
      <w:pPr>
        <w:pStyle w:val="Heading2"/>
      </w:pPr>
      <w:bookmarkStart w:id="19" w:name="_bi723sldr7ho" w:colFirst="0" w:colLast="0"/>
      <w:bookmarkEnd w:id="19"/>
      <w:r>
        <w:t>2.6 Monitoring and Surveillance Systems</w:t>
      </w:r>
    </w:p>
    <w:p w14:paraId="00000032" w14:textId="55EE97C1" w:rsidR="001008E1" w:rsidRDefault="000F5077">
      <w:r>
        <w:t xml:space="preserve">QOF </w:t>
      </w:r>
      <w:r w:rsidR="00853492" w:rsidRPr="005A2D56">
        <w:t>(</w:t>
      </w:r>
      <w:r w:rsidR="005A2D56" w:rsidRPr="005A2D56">
        <w:t>Quality</w:t>
      </w:r>
      <w:r w:rsidR="00853492" w:rsidRPr="005A2D56">
        <w:t xml:space="preserve"> and </w:t>
      </w:r>
      <w:r w:rsidR="005A2D56" w:rsidRPr="005A2D56">
        <w:t>Outcomes Framework</w:t>
      </w:r>
      <w:r w:rsidR="00853492" w:rsidRPr="005A2D56">
        <w:t>)</w:t>
      </w:r>
      <w:r w:rsidR="00853492">
        <w:t xml:space="preserve"> </w:t>
      </w:r>
      <w:r>
        <w:t xml:space="preserve">diabetes registers and routine records should be utilised in passive surveillance together with hospital statistics and national mortality </w:t>
      </w:r>
      <w:r>
        <w:lastRenderedPageBreak/>
        <w:t>registration</w:t>
      </w:r>
      <w:r w:rsidR="00853492">
        <w:t xml:space="preserve"> </w:t>
      </w:r>
      <w:r w:rsidR="00FA285B">
        <w:t>(</w:t>
      </w:r>
      <w:proofErr w:type="spellStart"/>
      <w:r w:rsidR="00FA285B" w:rsidRPr="009A758F">
        <w:rPr>
          <w:color w:val="000000" w:themeColor="text1"/>
        </w:rPr>
        <w:t>Vezyridis</w:t>
      </w:r>
      <w:proofErr w:type="spellEnd"/>
      <w:r w:rsidR="00FA285B" w:rsidRPr="009A758F">
        <w:rPr>
          <w:color w:val="000000" w:themeColor="text1"/>
        </w:rPr>
        <w:t xml:space="preserve"> and Timmons, 2021</w:t>
      </w:r>
      <w:r w:rsidR="00FA285B">
        <w:t>)</w:t>
      </w:r>
      <w:r>
        <w:t xml:space="preserve">. The National Diabetes Audit should be used to measure care completion, HbA1c, blood-pressure and lipid targets, prescribing and complications to conduct clinical surveillance. The triangulation of the Health Survey for England, modelled prevalence, OHID </w:t>
      </w:r>
      <w:r w:rsidR="00853492" w:rsidRPr="005A2D56">
        <w:t>(Office for Health Improvement and Disparities)</w:t>
      </w:r>
      <w:r w:rsidR="00853492">
        <w:t xml:space="preserve"> </w:t>
      </w:r>
      <w:r>
        <w:t>Fingertips indicators and Public Health Outcomes Framework of Newham should be used as population surveillance. In April 2026, non-diabetic hyperglycaemia and the young-adult diabetes indicators were introduced in the profile and can be compared across England, ICBs and local authorities (Office for Health Improvement and Disparities, 2026). Mobile risk assessment and specific HbA1c testing and outreach to underserved neighbourhoods should be added to active local surveillance. Publication delay, incompleteness of ethnicity coding, underdiagnosis, lack of retinal data, differences in denominator and completeness of variables must be recognised in interpretation. The National Diabetes Audit compares care to NICE standards, but accurately coded records of participating centres contribute, thus limiting representativeness (NHS England, 2026b).</w:t>
      </w:r>
    </w:p>
    <w:p w14:paraId="00000033" w14:textId="77777777" w:rsidR="001008E1" w:rsidRDefault="000F5077">
      <w:pPr>
        <w:pStyle w:val="Heading2"/>
      </w:pPr>
      <w:bookmarkStart w:id="20" w:name="_985104he7hba" w:colFirst="0" w:colLast="0"/>
      <w:bookmarkEnd w:id="20"/>
      <w:r>
        <w:t>2.7 Public Health Impact and Short- and Long-Term Consequences</w:t>
      </w:r>
    </w:p>
    <w:p w14:paraId="00000034" w14:textId="364805D7" w:rsidR="001008E1" w:rsidRDefault="000F5077">
      <w:r>
        <w:t>The immediate consequences are fatigue, thirst, decreased wellbeing, psychological distress, self-management workload, appointment costs, work absence and infrequent life-threatening hyperglycaemic emergencies</w:t>
      </w:r>
      <w:r w:rsidR="00853492">
        <w:t xml:space="preserve"> </w:t>
      </w:r>
      <w:r w:rsidR="00FA285B">
        <w:t>(</w:t>
      </w:r>
      <w:proofErr w:type="spellStart"/>
      <w:r w:rsidR="00FA285B" w:rsidRPr="009A758F">
        <w:rPr>
          <w:color w:val="000000" w:themeColor="text1"/>
        </w:rPr>
        <w:t>Mangoulia</w:t>
      </w:r>
      <w:proofErr w:type="spellEnd"/>
      <w:r w:rsidR="00FA285B" w:rsidRPr="009A758F">
        <w:rPr>
          <w:color w:val="000000" w:themeColor="text1"/>
        </w:rPr>
        <w:t xml:space="preserve"> et al., 2024)</w:t>
      </w:r>
      <w:r>
        <w:t>. It causes coronary disease, stroke, chronic kidney disease, retinopathy, neuropathy, ulceration, amputation, disability and premature mortality when exposed to it longer (NHS, 2025a). Average five-year earnings were 5,835 less, the likelihood of employment in year four was 4.7% points less and the probability of receiving benefits was 7.3% points higher after diabetes-related hospital diagnosis but causality was not established (Office for National Statistics, 2025a). Epidemiology projections should integrate the trends in prevalence, age structure, complications and population growth to approximate future primary, hospital and social-care demand without unwarranted accuracy.</w:t>
      </w:r>
    </w:p>
    <w:p w14:paraId="00000035" w14:textId="77777777" w:rsidR="001008E1" w:rsidRDefault="000F5077">
      <w:pPr>
        <w:pStyle w:val="Heading2"/>
      </w:pPr>
      <w:bookmarkStart w:id="21" w:name="_f3pk84d32w1t" w:colFirst="0" w:colLast="0"/>
      <w:bookmarkEnd w:id="21"/>
      <w:r>
        <w:t>2.8 Proposed Intervention Programme and Evaluation</w:t>
      </w:r>
    </w:p>
    <w:p w14:paraId="00000036" w14:textId="77777777" w:rsidR="001008E1" w:rsidRDefault="000F5077">
      <w:r>
        <w:t xml:space="preserve">The suggested Newham Community Diabetes Prevention and Early Detection Programme would target adults at increased risk aged 18 years or older, with even more intense outreach in deprived neighbourhoods and groups with a low uptake. Venues such as pharmacies, libraries, workplaces, community centres and faith would be used to provide a tested risk assessment; the eligible would be given an HbA1c test. Eligibility criteria of North East London involve HbA1c 4247.9 mmol/mol, fasting glucose 5.5-6.9 mmol/mol, or eligibility by history of qualifying gestational diabetes, then Healthier You referral (NHS North East London, 2025). Adapted diet, activity and risk education would be offered by multilingual health champions and digital exclusion would be minimised through telephone and face-to-face pathways. </w:t>
      </w:r>
      <w:r>
        <w:lastRenderedPageBreak/>
        <w:t>Missed care processes would be the focus of GP recall and weight-management, welfare, housing and activity support would be linked to residents through the work of navigators.</w:t>
      </w:r>
    </w:p>
    <w:p w14:paraId="00000037" w14:textId="77777777" w:rsidR="001008E1" w:rsidRDefault="000F5077">
      <w:r>
        <w:t>An assessment would be conducted to gather baseline, six and twelve months and eighteen months follow-up where possible. Process indicators would be used to measure reach, screening, eligibility, referral and completion. Knowledge, diet, activity, weight, waist circumference and primary-care engagement would be measured using impact indicators. The analysis of equity would be comparing results based on ethnicity, sex, age, language, disability and deprivation. The data on Newham in the past or similar non-participating boroughs ought to give a precautionary counterfactual. This is important, as an ONS assessment detected potential decreases in unplanned admissions following Diabetes Prevention Programme completion, but was unable to positively determine causation due to pre-programme trends (Office for National Statistics, 2025b).</w:t>
      </w:r>
    </w:p>
    <w:p w14:paraId="00000038" w14:textId="77777777" w:rsidR="001008E1" w:rsidRDefault="000F5077">
      <w:pPr>
        <w:pStyle w:val="Heading2"/>
      </w:pPr>
      <w:bookmarkStart w:id="22" w:name="_7zntb7xp340n" w:colFirst="0" w:colLast="0"/>
      <w:bookmarkEnd w:id="22"/>
      <w:r>
        <w:t xml:space="preserve">2.9 Strengths and Weaknesses of the Epidemiological Approach </w:t>
      </w:r>
    </w:p>
    <w:p w14:paraId="00000039" w14:textId="0453585F" w:rsidR="001008E1" w:rsidRDefault="000F5077">
      <w:r>
        <w:t>The routine datasets have coverage, repeated observation, standardised measures and comparison to London and England. They can find geographical imbalances, track treatment and complications and promote targeted commissioning. Since 2024/25, the National Diabetes Audit has been changed to a twelve-month audit, rather than fifteen months, and thus new results cannot be compared with previous publications (NHS England, 2026c). Self-selection can be brought in by community screening, whereas the loss to follow-up biases evaluation. The changes in intervention might be impossible to separate from prescribing, economic changes or borough-wide policy changes. Triangulation of quantitative evidence should then be done with patient response, community consultation, staff experience and qualitative research.</w:t>
      </w:r>
    </w:p>
    <w:p w14:paraId="0000003A" w14:textId="77777777" w:rsidR="001008E1" w:rsidRDefault="000F5077">
      <w:pPr>
        <w:pStyle w:val="Heading2"/>
      </w:pPr>
      <w:bookmarkStart w:id="23" w:name="_jymykw9vrjkz" w:colFirst="0" w:colLast="0"/>
      <w:bookmarkEnd w:id="23"/>
      <w:r>
        <w:t xml:space="preserve">2.10 Conclusion </w:t>
      </w:r>
    </w:p>
    <w:p w14:paraId="0000003B" w14:textId="525A8EC1" w:rsidR="001008E1" w:rsidRDefault="000F5077">
      <w:r w:rsidRPr="00D63873">
        <w:rPr>
          <w:color w:val="000000" w:themeColor="text1"/>
        </w:rPr>
        <w:t xml:space="preserve">Type 2 diabetes </w:t>
      </w:r>
      <w:r w:rsidR="007B0053" w:rsidRPr="00D63873">
        <w:rPr>
          <w:color w:val="000000" w:themeColor="text1"/>
        </w:rPr>
        <w:t>reflects significant inequity</w:t>
      </w:r>
      <w:r w:rsidR="007B0053" w:rsidRPr="00D63873">
        <w:rPr>
          <w:strike/>
          <w:color w:val="000000" w:themeColor="text1"/>
        </w:rPr>
        <w:t xml:space="preserve"> </w:t>
      </w:r>
      <w:r w:rsidR="007B0053" w:rsidRPr="00D63873">
        <w:rPr>
          <w:color w:val="000000" w:themeColor="text1"/>
        </w:rPr>
        <w:t xml:space="preserve">in </w:t>
      </w:r>
      <w:r w:rsidRPr="00D63873">
        <w:rPr>
          <w:color w:val="000000" w:themeColor="text1"/>
        </w:rPr>
        <w:t xml:space="preserve">Newham </w:t>
      </w:r>
      <w:r w:rsidR="007B0053" w:rsidRPr="00D63873">
        <w:rPr>
          <w:color w:val="000000" w:themeColor="text1"/>
        </w:rPr>
        <w:t>as a</w:t>
      </w:r>
      <w:r w:rsidR="007B0053" w:rsidRPr="00975E6D">
        <w:rPr>
          <w:color w:val="EE0000"/>
        </w:rPr>
        <w:t xml:space="preserve"> </w:t>
      </w:r>
      <w:r>
        <w:t>health issue that is influenced by metabolic risk, ethnicity, deprivation, access to food and access to services. Surveillance helps to compare and target but is limited by underdiagnosis, denominator fluctuation and evolving audit practices. The proposed programme integrates early detection, culturally sensitive prevention and enhanced clinical follow-up. Its value should be assessed in terms of process, outcome and equity metrics, with improvement being directed to those residents who are at highest risk, have the lowest access and bear the highest burden of preventable complications.</w:t>
      </w:r>
    </w:p>
    <w:p w14:paraId="44476C0E" w14:textId="030940E9" w:rsidR="007879C0" w:rsidRDefault="007879C0">
      <w:r>
        <w:br w:type="page"/>
      </w:r>
    </w:p>
    <w:p w14:paraId="2509673D" w14:textId="15A2E2D1" w:rsidR="003330C5" w:rsidRDefault="007879C0" w:rsidP="003330C5">
      <w:pPr>
        <w:pStyle w:val="Heading1"/>
      </w:pPr>
      <w:r>
        <w:lastRenderedPageBreak/>
        <w:t>References</w:t>
      </w:r>
    </w:p>
    <w:p w14:paraId="53E751C8" w14:textId="77777777" w:rsidR="00FA285B" w:rsidRPr="0013750F" w:rsidRDefault="00FA285B" w:rsidP="003330C5">
      <w:pPr>
        <w:shd w:val="clear" w:color="auto" w:fill="FFFFFF"/>
        <w:spacing w:before="240"/>
      </w:pPr>
      <w:r w:rsidRPr="0013750F">
        <w:t xml:space="preserve">Age UK (2024) ‘Age UK’s new report shows “You are not alone in feeling lonely”’, </w:t>
      </w:r>
      <w:r w:rsidRPr="009C223A">
        <w:rPr>
          <w:i/>
          <w:iCs/>
        </w:rPr>
        <w:t>Age UK</w:t>
      </w:r>
      <w:r w:rsidRPr="0013750F">
        <w:t xml:space="preserve">, 2 December. Available at: </w:t>
      </w:r>
      <w:hyperlink r:id="rId8" w:tgtFrame="_new" w:history="1">
        <w:r w:rsidRPr="0013750F">
          <w:rPr>
            <w:rStyle w:val="Hyperlink"/>
          </w:rPr>
          <w:t>https://www.ageuk.org.uk/latest-press/articles/age-uks-new-report-shows-you-are-not-alone-in-feeling-lonely/</w:t>
        </w:r>
      </w:hyperlink>
      <w:r w:rsidRPr="0013750F">
        <w:t xml:space="preserve"> (Accessed: 4 August 2026). </w:t>
      </w:r>
    </w:p>
    <w:p w14:paraId="6C394A6F" w14:textId="77777777" w:rsidR="00FA285B" w:rsidRPr="00D63873" w:rsidRDefault="00FA285B" w:rsidP="003330C5">
      <w:pPr>
        <w:shd w:val="clear" w:color="auto" w:fill="FFFFFF"/>
        <w:spacing w:before="240"/>
        <w:rPr>
          <w:color w:val="000000" w:themeColor="text1"/>
          <w:lang w:val="en-IN"/>
        </w:rPr>
      </w:pPr>
      <w:r w:rsidRPr="00D63873">
        <w:rPr>
          <w:color w:val="000000" w:themeColor="text1"/>
          <w:lang w:val="en-IN"/>
        </w:rPr>
        <w:t xml:space="preserve">Age UK (2024) </w:t>
      </w:r>
      <w:r w:rsidRPr="00D63873">
        <w:rPr>
          <w:i/>
          <w:iCs/>
          <w:color w:val="000000" w:themeColor="text1"/>
          <w:lang w:val="en-IN"/>
        </w:rPr>
        <w:t>The state of health and care of older people in England 2024</w:t>
      </w:r>
      <w:r w:rsidRPr="00D63873">
        <w:rPr>
          <w:color w:val="000000" w:themeColor="text1"/>
          <w:lang w:val="en-IN"/>
        </w:rPr>
        <w:t xml:space="preserve">. London: Age UK. Available at: </w:t>
      </w:r>
      <w:hyperlink r:id="rId9" w:tgtFrame="_new" w:history="1">
        <w:r w:rsidRPr="00D63873">
          <w:rPr>
            <w:rStyle w:val="Hyperlink"/>
            <w:color w:val="000000" w:themeColor="text1"/>
            <w:lang w:val="en-IN"/>
          </w:rPr>
          <w:t>https://www.ageuk.org.uk/discover/2024/september/state-of-health-and-care-of-older-people-in-england-2024/</w:t>
        </w:r>
      </w:hyperlink>
      <w:r w:rsidRPr="00D63873">
        <w:rPr>
          <w:color w:val="000000" w:themeColor="text1"/>
          <w:lang w:val="en-IN"/>
        </w:rPr>
        <w:t xml:space="preserve"> (Accessed: 7 August 2026).</w:t>
      </w:r>
    </w:p>
    <w:p w14:paraId="6CE969ED" w14:textId="77777777" w:rsidR="00FA285B" w:rsidRPr="0013750F" w:rsidRDefault="00FA285B" w:rsidP="003330C5">
      <w:pPr>
        <w:shd w:val="clear" w:color="auto" w:fill="FFFFFF"/>
        <w:spacing w:before="240"/>
      </w:pPr>
      <w:r w:rsidRPr="0013750F">
        <w:t>Age UK (</w:t>
      </w:r>
      <w:r>
        <w:t>2025</w:t>
      </w:r>
      <w:r w:rsidRPr="0013750F">
        <w:t xml:space="preserve">) ‘Our impact’, </w:t>
      </w:r>
      <w:r w:rsidRPr="009C223A">
        <w:rPr>
          <w:i/>
          <w:iCs/>
        </w:rPr>
        <w:t>Age UK</w:t>
      </w:r>
      <w:r w:rsidRPr="0013750F">
        <w:t xml:space="preserve">. Available at: </w:t>
      </w:r>
      <w:hyperlink r:id="rId10" w:tgtFrame="_new" w:history="1">
        <w:r w:rsidRPr="0013750F">
          <w:rPr>
            <w:rStyle w:val="Hyperlink"/>
          </w:rPr>
          <w:t>https://www.ageuk.org.uk/our-impact/</w:t>
        </w:r>
      </w:hyperlink>
      <w:r w:rsidRPr="0013750F">
        <w:t xml:space="preserve"> (Accessed: 4 August 2026). </w:t>
      </w:r>
    </w:p>
    <w:p w14:paraId="51918EA0" w14:textId="77777777" w:rsidR="00FA285B" w:rsidRPr="00FA285B" w:rsidRDefault="00FA285B" w:rsidP="00FA285B">
      <w:pPr>
        <w:shd w:val="clear" w:color="auto" w:fill="FFFFFF"/>
        <w:spacing w:before="240"/>
        <w:rPr>
          <w:color w:val="EE0000"/>
          <w:lang w:val="en-IN"/>
        </w:rPr>
      </w:pPr>
      <w:r w:rsidRPr="00FA285B">
        <w:rPr>
          <w:color w:val="EE0000"/>
          <w:lang w:val="en-IN"/>
        </w:rPr>
        <w:t xml:space="preserve">Ahmed, S.K., Murad, H.W., Mahmood, K.A., Abdalla, A.Q., Rony, M.K.K., Ravi, R.K. and Abdullah, L. (2025) ‘Understanding barriers to type 2 diabetes self-management in excessive weight adults: A qualitative study of patient experiences’, </w:t>
      </w:r>
      <w:r w:rsidRPr="00FA285B">
        <w:rPr>
          <w:i/>
          <w:iCs/>
          <w:color w:val="EE0000"/>
          <w:lang w:val="en-IN"/>
        </w:rPr>
        <w:t>Journal of Diabetes &amp; Metabolic Disorders</w:t>
      </w:r>
      <w:r w:rsidRPr="00FA285B">
        <w:rPr>
          <w:color w:val="EE0000"/>
          <w:lang w:val="en-IN"/>
        </w:rPr>
        <w:t xml:space="preserve">, 24(2), p. 217. </w:t>
      </w:r>
      <w:hyperlink r:id="rId11" w:tgtFrame="_new" w:history="1">
        <w:r w:rsidRPr="00FA285B">
          <w:rPr>
            <w:rStyle w:val="Hyperlink"/>
            <w:color w:val="EE0000"/>
            <w:lang w:val="en-IN"/>
          </w:rPr>
          <w:t>https://doi.org/10.1007/s40200-025-01734-1</w:t>
        </w:r>
      </w:hyperlink>
    </w:p>
    <w:p w14:paraId="58196EC2" w14:textId="77777777" w:rsidR="00FA285B" w:rsidRPr="00FA285B" w:rsidRDefault="00FA285B" w:rsidP="00FA285B">
      <w:pPr>
        <w:shd w:val="clear" w:color="auto" w:fill="FFFFFF"/>
        <w:spacing w:before="240"/>
        <w:rPr>
          <w:color w:val="EE0000"/>
          <w:lang w:val="en-IN"/>
        </w:rPr>
      </w:pPr>
      <w:r w:rsidRPr="00FA285B">
        <w:rPr>
          <w:color w:val="EE0000"/>
          <w:lang w:val="en-IN"/>
        </w:rPr>
        <w:t xml:space="preserve">Barnes, A., Phillips, F., Pickett, K., Haider, A.J., Robinson-Joyce, J. and Ahmed, S. (2024) ‘Rapid review: Ten ways to improve support for minoritised informal adult carers at local government policy level to redress inequality’, </w:t>
      </w:r>
      <w:r w:rsidRPr="00FA285B">
        <w:rPr>
          <w:i/>
          <w:iCs/>
          <w:color w:val="EE0000"/>
          <w:lang w:val="en-IN"/>
        </w:rPr>
        <w:t>Public Health in Practice</w:t>
      </w:r>
      <w:r w:rsidRPr="00FA285B">
        <w:rPr>
          <w:color w:val="EE0000"/>
          <w:lang w:val="en-IN"/>
        </w:rPr>
        <w:t xml:space="preserve">, 8, p. 100543. </w:t>
      </w:r>
      <w:hyperlink r:id="rId12" w:tgtFrame="_new" w:history="1">
        <w:r w:rsidRPr="00FA285B">
          <w:rPr>
            <w:rStyle w:val="Hyperlink"/>
            <w:color w:val="EE0000"/>
            <w:lang w:val="en-IN"/>
          </w:rPr>
          <w:t>https://doi.org/10.1016/j.puhip.2024.100543</w:t>
        </w:r>
      </w:hyperlink>
    </w:p>
    <w:p w14:paraId="62BAF220" w14:textId="77777777" w:rsidR="00FA285B" w:rsidRPr="0013750F" w:rsidRDefault="00FA285B" w:rsidP="003330C5">
      <w:pPr>
        <w:shd w:val="clear" w:color="auto" w:fill="FFFFFF"/>
        <w:spacing w:before="240"/>
      </w:pPr>
      <w:r w:rsidRPr="0013750F">
        <w:t xml:space="preserve">British Heart Foundation (2026) </w:t>
      </w:r>
      <w:r w:rsidRPr="009C223A">
        <w:rPr>
          <w:i/>
          <w:iCs/>
        </w:rPr>
        <w:t>Cardiovascular Disease Statistics 2026 Compendium</w:t>
      </w:r>
      <w:r w:rsidRPr="0013750F">
        <w:t xml:space="preserve">. London: British Heart Foundation. Available at: </w:t>
      </w:r>
      <w:hyperlink r:id="rId13" w:history="1">
        <w:r w:rsidRPr="00FF3C20">
          <w:rPr>
            <w:rStyle w:val="Hyperlink"/>
          </w:rPr>
          <w:t>https://www.bhf.org.uk/-/media/files/for-professionals/research/heart-statistics/bhf-statistics-compendium-2026-v2.pdf</w:t>
        </w:r>
      </w:hyperlink>
      <w:r>
        <w:t xml:space="preserve"> </w:t>
      </w:r>
      <w:r w:rsidRPr="0013750F">
        <w:t xml:space="preserve">(Accessed: 4 August 2026). </w:t>
      </w:r>
    </w:p>
    <w:p w14:paraId="38E793D0" w14:textId="77777777" w:rsidR="00FA285B" w:rsidRPr="0013750F" w:rsidRDefault="00FA285B" w:rsidP="003330C5">
      <w:pPr>
        <w:shd w:val="clear" w:color="auto" w:fill="FFFFFF"/>
        <w:spacing w:before="240"/>
      </w:pPr>
      <w:r w:rsidRPr="0013750F">
        <w:t xml:space="preserve">Department for Science, Innovation and Technology (2026) </w:t>
      </w:r>
      <w:r w:rsidRPr="009C223A">
        <w:rPr>
          <w:i/>
          <w:iCs/>
        </w:rPr>
        <w:t>DSIT Public Engagement Survey 2025/2026</w:t>
      </w:r>
      <w:r w:rsidRPr="0013750F">
        <w:t xml:space="preserve">. Available at: </w:t>
      </w:r>
      <w:hyperlink r:id="rId14" w:tgtFrame="_new" w:history="1">
        <w:r w:rsidRPr="0013750F">
          <w:rPr>
            <w:rStyle w:val="Hyperlink"/>
          </w:rPr>
          <w:t>https://www.gov.uk/government/statistics/dsit-public-engagement-survey-20252026/dsit-public-engagement-survey-20252026</w:t>
        </w:r>
      </w:hyperlink>
      <w:r w:rsidRPr="0013750F">
        <w:t xml:space="preserve"> (Accessed: 4 August 2026). </w:t>
      </w:r>
    </w:p>
    <w:p w14:paraId="271E5267" w14:textId="77777777" w:rsidR="00FA285B" w:rsidRPr="0013750F" w:rsidRDefault="00FA285B" w:rsidP="003330C5">
      <w:pPr>
        <w:shd w:val="clear" w:color="auto" w:fill="FFFFFF"/>
        <w:spacing w:before="240"/>
      </w:pPr>
      <w:r w:rsidRPr="0013750F">
        <w:t xml:space="preserve">Department for Work and Pensions (2026) </w:t>
      </w:r>
      <w:r w:rsidRPr="009C223A">
        <w:rPr>
          <w:i/>
          <w:iCs/>
        </w:rPr>
        <w:t>Households Below Average Income: An Analysis of the UK Income Distribution: FYE 1995 to FYE 2025</w:t>
      </w:r>
      <w:r w:rsidRPr="0013750F">
        <w:t xml:space="preserve">. Available at: </w:t>
      </w:r>
      <w:hyperlink r:id="rId15" w:tgtFrame="_new" w:history="1">
        <w:r w:rsidRPr="0013750F">
          <w:rPr>
            <w:rStyle w:val="Hyperlink"/>
          </w:rPr>
          <w:t>https://www.gov.uk/government/statistics/households-below-average-income-for-financial-years-ending-1995-to-2025/households-below-average-income-an-analysis-of-the-uk-income-distribution-fye-1995-to-fye-2025</w:t>
        </w:r>
      </w:hyperlink>
      <w:r w:rsidRPr="0013750F">
        <w:t xml:space="preserve"> (Accessed: 4 August 2026). </w:t>
      </w:r>
    </w:p>
    <w:p w14:paraId="514C09F7" w14:textId="77777777" w:rsidR="00FA285B" w:rsidRPr="0013750F" w:rsidRDefault="00FA285B" w:rsidP="003330C5">
      <w:pPr>
        <w:shd w:val="clear" w:color="auto" w:fill="FFFFFF"/>
        <w:spacing w:before="240"/>
      </w:pPr>
      <w:r w:rsidRPr="0013750F">
        <w:t xml:space="preserve">Department of Health and Social Care and Ministry of Housing (2026) </w:t>
      </w:r>
      <w:r w:rsidRPr="009C223A">
        <w:rPr>
          <w:i/>
          <w:iCs/>
        </w:rPr>
        <w:t>Better Care Fund framework 2026 to 2027</w:t>
      </w:r>
      <w:r w:rsidRPr="0013750F">
        <w:t xml:space="preserve">. Available at: </w:t>
      </w:r>
      <w:hyperlink r:id="rId16" w:history="1">
        <w:r w:rsidRPr="00FF3C20">
          <w:rPr>
            <w:rStyle w:val="Hyperlink"/>
          </w:rPr>
          <w:t>https://www.gov.uk/government/publications/better-</w:t>
        </w:r>
        <w:r w:rsidRPr="00FF3C20">
          <w:rPr>
            <w:rStyle w:val="Hyperlink"/>
          </w:rPr>
          <w:lastRenderedPageBreak/>
          <w:t>care-fund-framework-2026-to-2027/better-care-fund-framework-2026-to-2027</w:t>
        </w:r>
      </w:hyperlink>
      <w:r>
        <w:t xml:space="preserve"> </w:t>
      </w:r>
      <w:r w:rsidRPr="0013750F">
        <w:t xml:space="preserve">(Accessed: 4 August 2026). </w:t>
      </w:r>
    </w:p>
    <w:p w14:paraId="6D272CAF" w14:textId="77777777" w:rsidR="00FA285B" w:rsidRPr="0024389C" w:rsidRDefault="00FA285B" w:rsidP="003330C5">
      <w:pPr>
        <w:shd w:val="clear" w:color="auto" w:fill="FFFFFF"/>
        <w:spacing w:before="240"/>
      </w:pPr>
      <w:r w:rsidRPr="0024389C">
        <w:t>Diabetes UK (</w:t>
      </w:r>
      <w:r>
        <w:t>2025</w:t>
      </w:r>
      <w:r w:rsidRPr="0024389C">
        <w:t xml:space="preserve">) ‘Diabetes risk factors’. Available at: </w:t>
      </w:r>
      <w:hyperlink r:id="rId17" w:tgtFrame="_new" w:history="1">
        <w:r w:rsidRPr="0024389C">
          <w:rPr>
            <w:rStyle w:val="Hyperlink"/>
          </w:rPr>
          <w:t>https://www.diabetes.org.uk/about-diabetes/type-2-diabetes/diabetes-risk-factors</w:t>
        </w:r>
      </w:hyperlink>
      <w:r w:rsidRPr="0024389C">
        <w:t xml:space="preserve"> (Accessed: 4 August 2026).</w:t>
      </w:r>
    </w:p>
    <w:p w14:paraId="12EA1B41" w14:textId="77777777" w:rsidR="00FA285B" w:rsidRPr="0024389C" w:rsidRDefault="00FA285B" w:rsidP="003330C5">
      <w:pPr>
        <w:shd w:val="clear" w:color="auto" w:fill="FFFFFF"/>
        <w:spacing w:before="240"/>
      </w:pPr>
      <w:proofErr w:type="spellStart"/>
      <w:r w:rsidRPr="0024389C">
        <w:t>Genitsaridi</w:t>
      </w:r>
      <w:proofErr w:type="spellEnd"/>
      <w:r w:rsidRPr="0024389C">
        <w:t xml:space="preserve">, I., </w:t>
      </w:r>
      <w:proofErr w:type="spellStart"/>
      <w:r w:rsidRPr="0024389C">
        <w:t>Salpea</w:t>
      </w:r>
      <w:proofErr w:type="spellEnd"/>
      <w:r w:rsidRPr="0024389C">
        <w:t xml:space="preserve">, P., Salim, A., Sajjadi, S.F., Tomic, D., James, S. </w:t>
      </w:r>
      <w:r w:rsidRPr="009C223A">
        <w:rPr>
          <w:i/>
          <w:iCs/>
        </w:rPr>
        <w:t>et al.</w:t>
      </w:r>
      <w:r w:rsidRPr="0024389C">
        <w:t xml:space="preserve"> (2026) ‘11th edition of the IDF Diabetes Atlas: Global, regional, and national diabetes prevalence estimates for 2024 and projections for 2050’, </w:t>
      </w:r>
      <w:r w:rsidRPr="009C223A">
        <w:rPr>
          <w:i/>
          <w:iCs/>
        </w:rPr>
        <w:t>The Lancet Diabetes &amp; Endocrinology</w:t>
      </w:r>
      <w:r w:rsidRPr="0024389C">
        <w:t xml:space="preserve">, 14(2), pp. 149–156. Available at: </w:t>
      </w:r>
      <w:hyperlink r:id="rId18" w:tgtFrame="_new" w:history="1">
        <w:r w:rsidRPr="0024389C">
          <w:rPr>
            <w:rStyle w:val="Hyperlink"/>
          </w:rPr>
          <w:t>https://www.sciencedirect.com/science/article/pii/S2213858725002992/pdf</w:t>
        </w:r>
      </w:hyperlink>
      <w:r w:rsidRPr="0024389C">
        <w:t xml:space="preserve"> (Accessed: 4 August 2026). </w:t>
      </w:r>
    </w:p>
    <w:p w14:paraId="3A2452D2" w14:textId="77777777" w:rsidR="00FA285B" w:rsidRPr="00152B81" w:rsidRDefault="00FA285B" w:rsidP="00FA285B">
      <w:pPr>
        <w:shd w:val="clear" w:color="auto" w:fill="FFFFFF"/>
        <w:spacing w:before="240"/>
        <w:rPr>
          <w:color w:val="000000" w:themeColor="text1"/>
          <w:lang w:val="en-IN"/>
        </w:rPr>
      </w:pPr>
      <w:proofErr w:type="spellStart"/>
      <w:r w:rsidRPr="00152B81">
        <w:rPr>
          <w:color w:val="000000" w:themeColor="text1"/>
          <w:lang w:val="en-IN"/>
        </w:rPr>
        <w:t>Gianfredi</w:t>
      </w:r>
      <w:proofErr w:type="spellEnd"/>
      <w:r w:rsidRPr="00152B81">
        <w:rPr>
          <w:color w:val="000000" w:themeColor="text1"/>
          <w:lang w:val="en-IN"/>
        </w:rPr>
        <w:t xml:space="preserve">, V., Nucci, D., Pennisi, F., Maggi, S., Veronese, N. and Soysal, P. (2025) ‘Aging, longevity, and healthy aging: The public health approach’, </w:t>
      </w:r>
      <w:r w:rsidRPr="00152B81">
        <w:rPr>
          <w:i/>
          <w:iCs/>
          <w:color w:val="000000" w:themeColor="text1"/>
          <w:lang w:val="en-IN"/>
        </w:rPr>
        <w:t>Aging Clinical and Experimental Research</w:t>
      </w:r>
      <w:r w:rsidRPr="00152B81">
        <w:rPr>
          <w:color w:val="000000" w:themeColor="text1"/>
          <w:lang w:val="en-IN"/>
        </w:rPr>
        <w:t xml:space="preserve">, 37(1), p. 125. </w:t>
      </w:r>
      <w:hyperlink r:id="rId19" w:tgtFrame="_new" w:history="1">
        <w:r w:rsidRPr="00152B81">
          <w:rPr>
            <w:rStyle w:val="Hyperlink"/>
            <w:color w:val="000000" w:themeColor="text1"/>
            <w:lang w:val="en-IN"/>
          </w:rPr>
          <w:t>https://doi.org/10.1007/s40520-025-03021-8</w:t>
        </w:r>
      </w:hyperlink>
    </w:p>
    <w:p w14:paraId="1E8A23B3" w14:textId="77777777" w:rsidR="00FA285B" w:rsidRPr="00152B81" w:rsidRDefault="00FA285B" w:rsidP="00FA285B">
      <w:pPr>
        <w:shd w:val="clear" w:color="auto" w:fill="FFFFFF"/>
        <w:spacing w:before="240"/>
        <w:rPr>
          <w:color w:val="000000" w:themeColor="text1"/>
          <w:lang w:val="en-IN"/>
        </w:rPr>
      </w:pPr>
      <w:r w:rsidRPr="00152B81">
        <w:rPr>
          <w:color w:val="000000" w:themeColor="text1"/>
          <w:lang w:val="en-IN"/>
        </w:rPr>
        <w:t xml:space="preserve">Khin, P.P., Lee, J.H. and Jun, H.S. (2023) ‘Pancreatic beta-cell dysfunction in type 2 diabetes’, </w:t>
      </w:r>
      <w:r w:rsidRPr="00152B81">
        <w:rPr>
          <w:i/>
          <w:iCs/>
          <w:color w:val="000000" w:themeColor="text1"/>
          <w:lang w:val="en-IN"/>
        </w:rPr>
        <w:t>European Journal of Inflammation</w:t>
      </w:r>
      <w:r w:rsidRPr="00152B81">
        <w:rPr>
          <w:color w:val="000000" w:themeColor="text1"/>
          <w:lang w:val="en-IN"/>
        </w:rPr>
        <w:t xml:space="preserve">, 21, p. 1721727X231154152. </w:t>
      </w:r>
      <w:hyperlink r:id="rId20" w:tgtFrame="_new" w:history="1">
        <w:r w:rsidRPr="00152B81">
          <w:rPr>
            <w:rStyle w:val="Hyperlink"/>
            <w:color w:val="000000" w:themeColor="text1"/>
            <w:lang w:val="en-IN"/>
          </w:rPr>
          <w:t>https://doi.org/10.1177/1721727X231154152</w:t>
        </w:r>
      </w:hyperlink>
    </w:p>
    <w:p w14:paraId="34884299" w14:textId="77777777" w:rsidR="00FA285B" w:rsidRPr="00152B81" w:rsidRDefault="00FA285B" w:rsidP="003330C5">
      <w:pPr>
        <w:shd w:val="clear" w:color="auto" w:fill="FFFFFF"/>
        <w:spacing w:before="240"/>
        <w:rPr>
          <w:color w:val="000000" w:themeColor="text1"/>
          <w:lang w:val="en-IN"/>
        </w:rPr>
      </w:pPr>
      <w:r w:rsidRPr="00152B81">
        <w:rPr>
          <w:color w:val="000000" w:themeColor="text1"/>
          <w:lang w:val="en-IN"/>
        </w:rPr>
        <w:t xml:space="preserve">Local Government Association (2024) </w:t>
      </w:r>
      <w:r w:rsidRPr="00152B81">
        <w:rPr>
          <w:i/>
          <w:iCs/>
          <w:color w:val="000000" w:themeColor="text1"/>
          <w:lang w:val="en-IN"/>
        </w:rPr>
        <w:t>How does the setting for long-term support vary between age groups?</w:t>
      </w:r>
      <w:r w:rsidRPr="00152B81">
        <w:rPr>
          <w:color w:val="000000" w:themeColor="text1"/>
          <w:lang w:val="en-IN"/>
        </w:rPr>
        <w:t xml:space="preserve"> London: Local Government Association. Available at: </w:t>
      </w:r>
      <w:hyperlink r:id="rId21" w:tgtFrame="_new" w:history="1">
        <w:r w:rsidRPr="00152B81">
          <w:rPr>
            <w:rStyle w:val="Hyperlink"/>
            <w:color w:val="000000" w:themeColor="text1"/>
            <w:lang w:val="en-IN"/>
          </w:rPr>
          <w:t>https://www.local.gov.uk/our-support/partners-care-and-health/place-based-tools-and-information-care-and-health/client-level/age</w:t>
        </w:r>
      </w:hyperlink>
      <w:r w:rsidRPr="00152B81">
        <w:rPr>
          <w:color w:val="000000" w:themeColor="text1"/>
          <w:lang w:val="en-IN"/>
        </w:rPr>
        <w:t xml:space="preserve"> (Accessed: 7 August 2026).</w:t>
      </w:r>
    </w:p>
    <w:p w14:paraId="6A6FC6BD" w14:textId="77777777" w:rsidR="00FA285B" w:rsidRPr="00152B81" w:rsidRDefault="00FA285B" w:rsidP="00FA285B">
      <w:pPr>
        <w:shd w:val="clear" w:color="auto" w:fill="FFFFFF"/>
        <w:spacing w:before="240"/>
        <w:rPr>
          <w:color w:val="000000" w:themeColor="text1"/>
          <w:lang w:val="en-IN"/>
        </w:rPr>
      </w:pPr>
      <w:proofErr w:type="spellStart"/>
      <w:r w:rsidRPr="00152B81">
        <w:rPr>
          <w:color w:val="000000" w:themeColor="text1"/>
          <w:lang w:val="en-IN"/>
        </w:rPr>
        <w:t>Mangoulia</w:t>
      </w:r>
      <w:proofErr w:type="spellEnd"/>
      <w:r w:rsidRPr="00152B81">
        <w:rPr>
          <w:color w:val="000000" w:themeColor="text1"/>
          <w:lang w:val="en-IN"/>
        </w:rPr>
        <w:t xml:space="preserve">, P., Milionis, C., </w:t>
      </w:r>
      <w:proofErr w:type="spellStart"/>
      <w:r w:rsidRPr="00152B81">
        <w:rPr>
          <w:color w:val="000000" w:themeColor="text1"/>
          <w:lang w:val="en-IN"/>
        </w:rPr>
        <w:t>Vlachou</w:t>
      </w:r>
      <w:proofErr w:type="spellEnd"/>
      <w:r w:rsidRPr="00152B81">
        <w:rPr>
          <w:color w:val="000000" w:themeColor="text1"/>
          <w:lang w:val="en-IN"/>
        </w:rPr>
        <w:t xml:space="preserve">, E. and Ilias, I. (2024) ‘The interrelationship between diabetes mellitus and emotional well-being: Current concepts and future prospects’, </w:t>
      </w:r>
      <w:r w:rsidRPr="00152B81">
        <w:rPr>
          <w:i/>
          <w:iCs/>
          <w:color w:val="000000" w:themeColor="text1"/>
          <w:lang w:val="en-IN"/>
        </w:rPr>
        <w:t>Healthcare</w:t>
      </w:r>
      <w:r w:rsidRPr="00152B81">
        <w:rPr>
          <w:color w:val="000000" w:themeColor="text1"/>
          <w:lang w:val="en-IN"/>
        </w:rPr>
        <w:t xml:space="preserve">, 12(14), p. 1457. </w:t>
      </w:r>
      <w:hyperlink r:id="rId22" w:tgtFrame="_new" w:history="1">
        <w:r w:rsidRPr="00152B81">
          <w:rPr>
            <w:rStyle w:val="Hyperlink"/>
            <w:color w:val="000000" w:themeColor="text1"/>
            <w:lang w:val="en-IN"/>
          </w:rPr>
          <w:t>https://doi.org/10.3390/healthcare12141457</w:t>
        </w:r>
      </w:hyperlink>
    </w:p>
    <w:p w14:paraId="5D2834B9" w14:textId="77777777" w:rsidR="00FA285B" w:rsidRPr="0024389C" w:rsidRDefault="00FA285B" w:rsidP="003330C5">
      <w:pPr>
        <w:shd w:val="clear" w:color="auto" w:fill="FFFFFF"/>
        <w:spacing w:before="240"/>
      </w:pPr>
      <w:r w:rsidRPr="0024389C">
        <w:t xml:space="preserve">National Institute for Health and Care Excellence (NICE) (2026) ‘Quality statement 6: Nine key care processes’, </w:t>
      </w:r>
      <w:r w:rsidRPr="009C223A">
        <w:rPr>
          <w:i/>
          <w:iCs/>
        </w:rPr>
        <w:t>Type 2 diabetes in adults</w:t>
      </w:r>
      <w:r w:rsidRPr="0024389C">
        <w:t xml:space="preserve">, QS209. Available at: </w:t>
      </w:r>
      <w:hyperlink r:id="rId23" w:tgtFrame="_new" w:history="1">
        <w:r w:rsidRPr="0024389C">
          <w:rPr>
            <w:rStyle w:val="Hyperlink"/>
          </w:rPr>
          <w:t>https://www.nice.org.uk/guidance/qs209/chapter/Quality-statement-6-9-key-care-processes</w:t>
        </w:r>
      </w:hyperlink>
      <w:r w:rsidRPr="0024389C">
        <w:t xml:space="preserve"> (Accessed: 4 August 2026).</w:t>
      </w:r>
    </w:p>
    <w:p w14:paraId="6A7B84E8" w14:textId="77777777" w:rsidR="00FA285B" w:rsidRPr="0024389C" w:rsidRDefault="00FA285B" w:rsidP="003330C5">
      <w:pPr>
        <w:shd w:val="clear" w:color="auto" w:fill="FFFFFF"/>
        <w:spacing w:before="240"/>
      </w:pPr>
      <w:r w:rsidRPr="0024389C">
        <w:t xml:space="preserve">Newham Council (2024) ‘Newham’s Muslim community encouraged to attend free events promoting healthy fasting’. Available at: </w:t>
      </w:r>
      <w:hyperlink r:id="rId24" w:tgtFrame="_new" w:history="1">
        <w:r w:rsidRPr="0024389C">
          <w:rPr>
            <w:rStyle w:val="Hyperlink"/>
          </w:rPr>
          <w:t>https://www.newham.gov.uk/news/article/1241/newhams-muslim-community-encouraged-to-attend-free-events-promoting-healthy-fasting</w:t>
        </w:r>
      </w:hyperlink>
      <w:r w:rsidRPr="0024389C">
        <w:t xml:space="preserve"> (Accessed: 4 August 2026).</w:t>
      </w:r>
    </w:p>
    <w:p w14:paraId="1FA6A11C" w14:textId="77777777" w:rsidR="00FA285B" w:rsidRPr="0024389C" w:rsidRDefault="00FA285B" w:rsidP="003330C5">
      <w:pPr>
        <w:shd w:val="clear" w:color="auto" w:fill="FFFFFF"/>
        <w:spacing w:before="240"/>
      </w:pPr>
      <w:r w:rsidRPr="0024389C">
        <w:lastRenderedPageBreak/>
        <w:t xml:space="preserve">Newham Council (2025) ‘Fruit and Veg on Prescription launches in Newham to boost health and tackle food inequality’. Available at: </w:t>
      </w:r>
      <w:hyperlink r:id="rId25" w:tgtFrame="_new" w:history="1">
        <w:r w:rsidRPr="0024389C">
          <w:rPr>
            <w:rStyle w:val="Hyperlink"/>
          </w:rPr>
          <w:t>https://www.newham.gov.uk/news/article/1515/fruit-veg-on-prescription-launches-in-newham-to-boost-health-and-tackle-food-inequality</w:t>
        </w:r>
      </w:hyperlink>
      <w:r w:rsidRPr="0024389C">
        <w:t xml:space="preserve"> (Accessed: 4 August 2026).</w:t>
      </w:r>
    </w:p>
    <w:p w14:paraId="567F6711" w14:textId="77777777" w:rsidR="00FA285B" w:rsidRPr="0024389C" w:rsidRDefault="00FA285B" w:rsidP="003330C5">
      <w:pPr>
        <w:shd w:val="clear" w:color="auto" w:fill="FFFFFF"/>
        <w:spacing w:before="240"/>
      </w:pPr>
      <w:r w:rsidRPr="0024389C">
        <w:t>Newham Council (</w:t>
      </w:r>
      <w:r>
        <w:t>2025</w:t>
      </w:r>
      <w:r w:rsidRPr="0024389C">
        <w:t xml:space="preserve">) ‘Needs assessments’. Available at: </w:t>
      </w:r>
      <w:hyperlink r:id="rId26" w:tgtFrame="_new" w:history="1">
        <w:r w:rsidRPr="0024389C">
          <w:rPr>
            <w:rStyle w:val="Hyperlink"/>
          </w:rPr>
          <w:t>https://www.newham.gov.uk/health-adult-social-care/public-health-information-reports-strategies-fact-sheets/2</w:t>
        </w:r>
      </w:hyperlink>
      <w:r w:rsidRPr="0024389C">
        <w:t xml:space="preserve"> (Accessed: 4 August 2026).</w:t>
      </w:r>
    </w:p>
    <w:p w14:paraId="70A1E458" w14:textId="77777777" w:rsidR="00FA285B" w:rsidRPr="0024389C" w:rsidRDefault="00FA285B" w:rsidP="003330C5">
      <w:pPr>
        <w:shd w:val="clear" w:color="auto" w:fill="FFFFFF"/>
        <w:spacing w:before="240"/>
      </w:pPr>
      <w:r w:rsidRPr="0024389C">
        <w:t xml:space="preserve">NHS (2022) ‘Gestational diabetes’. Available at: </w:t>
      </w:r>
      <w:hyperlink r:id="rId27" w:tgtFrame="_new" w:history="1">
        <w:r w:rsidRPr="0024389C">
          <w:rPr>
            <w:rStyle w:val="Hyperlink"/>
          </w:rPr>
          <w:t>https://www.nhs.uk/conditions/gestational-diabetes/</w:t>
        </w:r>
      </w:hyperlink>
      <w:r w:rsidRPr="0024389C">
        <w:t xml:space="preserve"> (Accessed: 4 August 2026).</w:t>
      </w:r>
    </w:p>
    <w:p w14:paraId="0DC1F6C3" w14:textId="77777777" w:rsidR="00FA285B" w:rsidRPr="0024389C" w:rsidRDefault="00FA285B" w:rsidP="003330C5">
      <w:pPr>
        <w:shd w:val="clear" w:color="auto" w:fill="FFFFFF"/>
        <w:spacing w:before="240"/>
      </w:pPr>
      <w:r w:rsidRPr="0024389C">
        <w:t xml:space="preserve">NHS (2025a) ‘Complications of type 2 diabetes’. Available at: </w:t>
      </w:r>
      <w:hyperlink r:id="rId28" w:tgtFrame="_new" w:history="1">
        <w:r w:rsidRPr="0024389C">
          <w:rPr>
            <w:rStyle w:val="Hyperlink"/>
          </w:rPr>
          <w:t>https://www.nhs.uk/conditions/type-2-diabetes/complications/</w:t>
        </w:r>
      </w:hyperlink>
      <w:r w:rsidRPr="0024389C">
        <w:t xml:space="preserve"> (Accessed: 4 August 2026).</w:t>
      </w:r>
    </w:p>
    <w:p w14:paraId="652454CE" w14:textId="77777777" w:rsidR="00FA285B" w:rsidRPr="0024389C" w:rsidRDefault="00FA285B" w:rsidP="003330C5">
      <w:pPr>
        <w:shd w:val="clear" w:color="auto" w:fill="FFFFFF"/>
        <w:spacing w:before="240"/>
      </w:pPr>
      <w:r w:rsidRPr="0024389C">
        <w:t xml:space="preserve">NHS (2025b) ‘What is type 2 diabetes?’. Available at: </w:t>
      </w:r>
      <w:hyperlink r:id="rId29" w:tgtFrame="_new" w:history="1">
        <w:r w:rsidRPr="0024389C">
          <w:rPr>
            <w:rStyle w:val="Hyperlink"/>
          </w:rPr>
          <w:t>https://www.nhs.uk/conditions/type-2-diabetes/what-is-type-2-diabetes/</w:t>
        </w:r>
      </w:hyperlink>
      <w:r w:rsidRPr="0024389C">
        <w:t xml:space="preserve"> (Accessed: 4 August 2026).</w:t>
      </w:r>
    </w:p>
    <w:p w14:paraId="3DD644FE" w14:textId="77777777" w:rsidR="00FA285B" w:rsidRPr="0013750F" w:rsidRDefault="00FA285B" w:rsidP="003330C5">
      <w:pPr>
        <w:shd w:val="clear" w:color="auto" w:fill="FFFFFF"/>
        <w:spacing w:before="240"/>
      </w:pPr>
      <w:r w:rsidRPr="0013750F">
        <w:t xml:space="preserve">NHS England (2024) </w:t>
      </w:r>
      <w:proofErr w:type="spellStart"/>
      <w:r w:rsidRPr="009C223A">
        <w:rPr>
          <w:i/>
          <w:iCs/>
        </w:rPr>
        <w:t>RightCare</w:t>
      </w:r>
      <w:proofErr w:type="spellEnd"/>
      <w:r w:rsidRPr="009C223A">
        <w:rPr>
          <w:i/>
          <w:iCs/>
        </w:rPr>
        <w:t xml:space="preserve"> Dementia Scenario</w:t>
      </w:r>
      <w:r w:rsidRPr="0013750F">
        <w:t xml:space="preserve">. Available at: </w:t>
      </w:r>
      <w:hyperlink r:id="rId30" w:tgtFrame="_new" w:history="1">
        <w:r w:rsidRPr="0013750F">
          <w:rPr>
            <w:rStyle w:val="Hyperlink"/>
          </w:rPr>
          <w:t>https://www.england.nhs.uk/long-read/rightcare-dementia-scenario/</w:t>
        </w:r>
      </w:hyperlink>
      <w:r w:rsidRPr="0013750F">
        <w:t xml:space="preserve"> (Accessed: 4 August 2026). </w:t>
      </w:r>
    </w:p>
    <w:p w14:paraId="60219C2A" w14:textId="77777777" w:rsidR="00FA285B" w:rsidRPr="0013750F" w:rsidRDefault="00FA285B" w:rsidP="003330C5">
      <w:pPr>
        <w:shd w:val="clear" w:color="auto" w:fill="FFFFFF"/>
        <w:spacing w:before="240"/>
      </w:pPr>
      <w:r w:rsidRPr="0013750F">
        <w:t>NHS England (</w:t>
      </w:r>
      <w:r>
        <w:t>2026</w:t>
      </w:r>
      <w:r w:rsidRPr="0013750F">
        <w:t xml:space="preserve">) ‘Identifying frailty’, </w:t>
      </w:r>
      <w:r w:rsidRPr="009C223A">
        <w:rPr>
          <w:i/>
          <w:iCs/>
        </w:rPr>
        <w:t>NHS England</w:t>
      </w:r>
      <w:r w:rsidRPr="0013750F">
        <w:t xml:space="preserve">. Available at: </w:t>
      </w:r>
      <w:hyperlink r:id="rId31" w:tgtFrame="_new" w:history="1">
        <w:r w:rsidRPr="0013750F">
          <w:rPr>
            <w:rStyle w:val="Hyperlink"/>
          </w:rPr>
          <w:t>https://www.england.nhs.uk/ourwork/clinical-policy/older-people/frailty/frailty-risk-identification/</w:t>
        </w:r>
      </w:hyperlink>
      <w:r w:rsidRPr="0013750F">
        <w:t xml:space="preserve"> (Accessed: 4 August 2026). </w:t>
      </w:r>
    </w:p>
    <w:p w14:paraId="0470D393" w14:textId="77777777" w:rsidR="00FA285B" w:rsidRPr="0024389C" w:rsidRDefault="00FA285B" w:rsidP="003330C5">
      <w:pPr>
        <w:shd w:val="clear" w:color="auto" w:fill="FFFFFF"/>
        <w:spacing w:before="240"/>
      </w:pPr>
      <w:r w:rsidRPr="0024389C">
        <w:t xml:space="preserve">NHS England (2026a) ‘Adults’ health’, </w:t>
      </w:r>
      <w:r w:rsidRPr="009C223A">
        <w:rPr>
          <w:i/>
          <w:iCs/>
        </w:rPr>
        <w:t>Health Survey for England, 2024</w:t>
      </w:r>
      <w:r w:rsidRPr="0024389C">
        <w:t xml:space="preserve">. Available at: </w:t>
      </w:r>
      <w:hyperlink r:id="rId32" w:tgtFrame="_new" w:history="1">
        <w:r w:rsidRPr="0024389C">
          <w:rPr>
            <w:rStyle w:val="Hyperlink"/>
          </w:rPr>
          <w:t>https://digital.nhs.uk/data-and-information/publications/statistical/health-survey-for-england/2024/adults-health</w:t>
        </w:r>
      </w:hyperlink>
      <w:r w:rsidRPr="0024389C">
        <w:t xml:space="preserve"> (Accessed: 4 August 2026).</w:t>
      </w:r>
    </w:p>
    <w:p w14:paraId="7771597C" w14:textId="77777777" w:rsidR="00FA285B" w:rsidRPr="0024389C" w:rsidRDefault="00FA285B" w:rsidP="003330C5">
      <w:pPr>
        <w:shd w:val="clear" w:color="auto" w:fill="FFFFFF"/>
        <w:spacing w:before="240"/>
      </w:pPr>
      <w:r w:rsidRPr="0024389C">
        <w:t xml:space="preserve">NHS England (2026b) ‘National Diabetes Audit Core Report 1: Care Processes and Treatment Targets 2024–25: underlying data’. Available at: </w:t>
      </w:r>
      <w:hyperlink r:id="rId33" w:tgtFrame="_new" w:history="1">
        <w:r w:rsidRPr="0024389C">
          <w:rPr>
            <w:rStyle w:val="Hyperlink"/>
          </w:rPr>
          <w:t>https://digital.nhs.uk/data-and-information/publications/statistical/national-diabetes-audit/report-1-cp-and-tt-data-release-2024-25/nda-report-1-cp-and-tt-data-release-2024-25</w:t>
        </w:r>
      </w:hyperlink>
      <w:r w:rsidRPr="0024389C">
        <w:t xml:space="preserve"> (Accessed: 4 August 2026).</w:t>
      </w:r>
    </w:p>
    <w:p w14:paraId="5282D4E5" w14:textId="77777777" w:rsidR="00FA285B" w:rsidRPr="0024389C" w:rsidRDefault="00FA285B" w:rsidP="003330C5">
      <w:pPr>
        <w:shd w:val="clear" w:color="auto" w:fill="FFFFFF"/>
        <w:spacing w:before="240"/>
      </w:pPr>
      <w:r w:rsidRPr="0024389C">
        <w:t xml:space="preserve">NHS England (2026c) ‘National Diabetes Audit: impact of audit-period change from 15 to 12 months’. Available at: </w:t>
      </w:r>
      <w:hyperlink r:id="rId34" w:tgtFrame="_new" w:history="1">
        <w:r w:rsidRPr="0024389C">
          <w:rPr>
            <w:rStyle w:val="Hyperlink"/>
          </w:rPr>
          <w:t>https://digital.nhs.uk/data-and-information/publications/statistical/national-diabetes-audit/audit-period-comparison</w:t>
        </w:r>
      </w:hyperlink>
      <w:r w:rsidRPr="0024389C">
        <w:t xml:space="preserve"> (Accessed: 4 August 2026).</w:t>
      </w:r>
    </w:p>
    <w:p w14:paraId="002E2FEF" w14:textId="77777777" w:rsidR="00FA285B" w:rsidRPr="0024389C" w:rsidRDefault="00FA285B" w:rsidP="003330C5">
      <w:pPr>
        <w:shd w:val="clear" w:color="auto" w:fill="FFFFFF"/>
        <w:spacing w:before="240"/>
      </w:pPr>
      <w:r w:rsidRPr="0024389C">
        <w:lastRenderedPageBreak/>
        <w:t>NHS England (</w:t>
      </w:r>
      <w:r>
        <w:t>2026d</w:t>
      </w:r>
      <w:r w:rsidRPr="0024389C">
        <w:t xml:space="preserve">) ‘NHS Diabetes Prevention Programme’. Available at: </w:t>
      </w:r>
      <w:hyperlink r:id="rId35" w:tgtFrame="_new" w:history="1">
        <w:r w:rsidRPr="0024389C">
          <w:rPr>
            <w:rStyle w:val="Hyperlink"/>
          </w:rPr>
          <w:t>https://www.england.nhs.uk/diabetes/diabetes-prevention/</w:t>
        </w:r>
      </w:hyperlink>
      <w:r w:rsidRPr="0024389C">
        <w:t xml:space="preserve"> (Accessed: 4 August 2026).</w:t>
      </w:r>
    </w:p>
    <w:p w14:paraId="06F19608" w14:textId="77777777" w:rsidR="00FA285B" w:rsidRPr="0024389C" w:rsidRDefault="00FA285B" w:rsidP="003330C5">
      <w:pPr>
        <w:shd w:val="clear" w:color="auto" w:fill="FFFFFF"/>
        <w:spacing w:before="240"/>
      </w:pPr>
      <w:r w:rsidRPr="0024389C">
        <w:t>NHS North East London (</w:t>
      </w:r>
      <w:r>
        <w:t>2025</w:t>
      </w:r>
      <w:r w:rsidRPr="0024389C">
        <w:t xml:space="preserve">) ‘Diabetes—Diabetes Prevention Programme’. Available at: </w:t>
      </w:r>
      <w:hyperlink r:id="rId36" w:tgtFrame="_new" w:history="1">
        <w:r w:rsidRPr="0024389C">
          <w:rPr>
            <w:rStyle w:val="Hyperlink"/>
          </w:rPr>
          <w:t>https://northeastlondon.icb.nhs.uk/service/diabetes-diabetes-prevention-programme-ndpp/</w:t>
        </w:r>
      </w:hyperlink>
      <w:r w:rsidRPr="0024389C">
        <w:t xml:space="preserve"> (Accessed: 4 August 2026).</w:t>
      </w:r>
    </w:p>
    <w:p w14:paraId="7D1558D7" w14:textId="77777777" w:rsidR="00FA285B" w:rsidRPr="0024389C" w:rsidRDefault="00FA285B" w:rsidP="003330C5">
      <w:pPr>
        <w:shd w:val="clear" w:color="auto" w:fill="FFFFFF"/>
        <w:spacing w:before="240"/>
      </w:pPr>
      <w:r w:rsidRPr="0024389C">
        <w:t xml:space="preserve">NHS North East London (2025) ‘NHS in east London leading the way on diabetes care’. Available at: </w:t>
      </w:r>
      <w:hyperlink r:id="rId37" w:tgtFrame="_new" w:history="1">
        <w:r w:rsidRPr="0024389C">
          <w:rPr>
            <w:rStyle w:val="Hyperlink"/>
          </w:rPr>
          <w:t>https://northeastlondon.icb.nhs.uk/news/nhs-in-east-london-leading-the-way-on-diabetes-care/</w:t>
        </w:r>
      </w:hyperlink>
      <w:r w:rsidRPr="0024389C">
        <w:t xml:space="preserve"> (Accessed: 4 August 2026).</w:t>
      </w:r>
    </w:p>
    <w:p w14:paraId="36FE3791" w14:textId="77777777" w:rsidR="00FA285B" w:rsidRPr="00152B81" w:rsidRDefault="00FA285B" w:rsidP="003330C5">
      <w:pPr>
        <w:shd w:val="clear" w:color="auto" w:fill="FFFFFF"/>
        <w:spacing w:before="240"/>
        <w:rPr>
          <w:color w:val="000000" w:themeColor="text1"/>
          <w:lang w:val="en-IN"/>
        </w:rPr>
      </w:pPr>
      <w:r w:rsidRPr="00152B81">
        <w:rPr>
          <w:color w:val="000000" w:themeColor="text1"/>
          <w:lang w:val="en-IN"/>
        </w:rPr>
        <w:t xml:space="preserve">Office for Health Improvement and Disparities (2022) </w:t>
      </w:r>
      <w:r w:rsidRPr="00152B81">
        <w:rPr>
          <w:i/>
          <w:iCs/>
          <w:color w:val="000000" w:themeColor="text1"/>
          <w:lang w:val="en-IN"/>
        </w:rPr>
        <w:t>Healthy ageing: applying All Our Health</w:t>
      </w:r>
      <w:r w:rsidRPr="00152B81">
        <w:rPr>
          <w:color w:val="000000" w:themeColor="text1"/>
          <w:lang w:val="en-IN"/>
        </w:rPr>
        <w:t xml:space="preserve">. London: Department of Health and Social Care. Available at: </w:t>
      </w:r>
      <w:hyperlink r:id="rId38" w:tgtFrame="_new" w:history="1">
        <w:r w:rsidRPr="00152B81">
          <w:rPr>
            <w:rStyle w:val="Hyperlink"/>
            <w:color w:val="000000" w:themeColor="text1"/>
            <w:lang w:val="en-IN"/>
          </w:rPr>
          <w:t>https://www.gov.uk/government/publications/healthy-ageing/healthy-ageing-applying-all-our-health</w:t>
        </w:r>
      </w:hyperlink>
      <w:r w:rsidRPr="00152B81">
        <w:rPr>
          <w:color w:val="000000" w:themeColor="text1"/>
          <w:lang w:val="en-IN"/>
        </w:rPr>
        <w:t xml:space="preserve"> (Accessed: 7 August 2026).</w:t>
      </w:r>
    </w:p>
    <w:p w14:paraId="51A68FF7" w14:textId="77777777" w:rsidR="00FA285B" w:rsidRPr="0024389C" w:rsidRDefault="00FA285B" w:rsidP="003330C5">
      <w:pPr>
        <w:shd w:val="clear" w:color="auto" w:fill="FFFFFF"/>
        <w:spacing w:before="240"/>
      </w:pPr>
      <w:r w:rsidRPr="0024389C">
        <w:t xml:space="preserve">Office for Health Improvement and Disparities (2025) ‘Diabetes profile: statistical commentary, March 2025’. Available at: </w:t>
      </w:r>
      <w:hyperlink r:id="rId39" w:tgtFrame="_new" w:history="1">
        <w:r w:rsidRPr="0024389C">
          <w:rPr>
            <w:rStyle w:val="Hyperlink"/>
          </w:rPr>
          <w:t>https://www.gov.uk/government/statistics/diabetes-profile-update-march-2025/diabetes-profile-statistical-commentary-march-2025</w:t>
        </w:r>
      </w:hyperlink>
      <w:r w:rsidRPr="0024389C">
        <w:t xml:space="preserve"> (Accessed: 4 August 2026).</w:t>
      </w:r>
    </w:p>
    <w:p w14:paraId="7DEDCBD8" w14:textId="77777777" w:rsidR="00FA285B" w:rsidRPr="0013750F" w:rsidRDefault="00FA285B" w:rsidP="003330C5">
      <w:pPr>
        <w:shd w:val="clear" w:color="auto" w:fill="FFFFFF"/>
        <w:spacing w:before="240"/>
      </w:pPr>
      <w:r w:rsidRPr="0013750F">
        <w:t xml:space="preserve">Office for Health Improvement and Disparities (2025) </w:t>
      </w:r>
      <w:r w:rsidRPr="009C223A">
        <w:rPr>
          <w:i/>
          <w:iCs/>
        </w:rPr>
        <w:t>Dementia Profile: Prevalence and Supporting Well Topics—Statistical Commentary, March 2025</w:t>
      </w:r>
      <w:r w:rsidRPr="0013750F">
        <w:t xml:space="preserve">. Available at: </w:t>
      </w:r>
      <w:hyperlink r:id="rId40" w:tgtFrame="_new" w:history="1">
        <w:r w:rsidRPr="0013750F">
          <w:rPr>
            <w:rStyle w:val="Hyperlink"/>
          </w:rPr>
          <w:t>https://www.gov.uk/government/statistics/dementia-profile-march-2025-update/dementia-profile-prevalence-and-supporting-well-topics-statistical-commentary-march-2025</w:t>
        </w:r>
      </w:hyperlink>
      <w:r w:rsidRPr="0013750F">
        <w:t xml:space="preserve"> (Accessed: 4 August 2026). </w:t>
      </w:r>
    </w:p>
    <w:p w14:paraId="26B22ADC" w14:textId="77777777" w:rsidR="00FA285B" w:rsidRPr="0024389C" w:rsidRDefault="00FA285B" w:rsidP="003330C5">
      <w:pPr>
        <w:shd w:val="clear" w:color="auto" w:fill="FFFFFF"/>
        <w:spacing w:before="240"/>
      </w:pPr>
      <w:r w:rsidRPr="0024389C">
        <w:t xml:space="preserve">Office for Health Improvement and Disparities (2026) ‘Diabetes profile update: April 2026’. Available at: </w:t>
      </w:r>
      <w:hyperlink r:id="rId41" w:tgtFrame="_new" w:history="1">
        <w:r w:rsidRPr="0024389C">
          <w:rPr>
            <w:rStyle w:val="Hyperlink"/>
          </w:rPr>
          <w:t>https://www.gov.uk/government/statistics/diabetes-profile-update-april-2026</w:t>
        </w:r>
      </w:hyperlink>
      <w:r w:rsidRPr="0024389C">
        <w:t xml:space="preserve"> (Accessed: 4 August 2026).</w:t>
      </w:r>
    </w:p>
    <w:p w14:paraId="1C230A79" w14:textId="77777777" w:rsidR="00FA285B" w:rsidRDefault="00FA285B" w:rsidP="003330C5">
      <w:pPr>
        <w:spacing w:before="240"/>
      </w:pPr>
      <w:r w:rsidRPr="0013750F">
        <w:t xml:space="preserve">Office for National Statistics (2022) </w:t>
      </w:r>
      <w:r w:rsidRPr="009C223A">
        <w:rPr>
          <w:i/>
          <w:iCs/>
        </w:rPr>
        <w:t>Cost of Living and Depression in Adults, Great Britain: 29 September to 23 October 2022</w:t>
      </w:r>
      <w:r w:rsidRPr="0013750F">
        <w:t xml:space="preserve">. Available at: </w:t>
      </w:r>
      <w:hyperlink r:id="rId42" w:tgtFrame="_new" w:history="1">
        <w:r w:rsidRPr="0013750F">
          <w:rPr>
            <w:rStyle w:val="Hyperlink"/>
          </w:rPr>
          <w:t>https://www.ons.gov.uk/peoplepopulationandcommunity/healthandsocialcare/mentalhealth/articles/costoflivinganddepressioninadultsgreatbritain/29septemberto23october2022</w:t>
        </w:r>
      </w:hyperlink>
      <w:r w:rsidRPr="0013750F">
        <w:t xml:space="preserve"> (Accessed: 4 August 2026).</w:t>
      </w:r>
    </w:p>
    <w:p w14:paraId="0755818D" w14:textId="77777777" w:rsidR="00FA285B" w:rsidRPr="0024389C" w:rsidRDefault="00FA285B" w:rsidP="003330C5">
      <w:pPr>
        <w:shd w:val="clear" w:color="auto" w:fill="FFFFFF"/>
        <w:spacing w:before="240"/>
      </w:pPr>
      <w:r w:rsidRPr="0024389C">
        <w:t xml:space="preserve">Office for National Statistics (2024) ‘Risk factors for pre-diabetes and undiagnosed Type 2 diabetes in England: 2013 to 2019’. Available at: </w:t>
      </w:r>
      <w:hyperlink r:id="rId43" w:tgtFrame="_new" w:history="1">
        <w:r w:rsidRPr="0024389C">
          <w:rPr>
            <w:rStyle w:val="Hyperlink"/>
          </w:rPr>
          <w:t>https://www.ons.gov.uk/peoplepopulationandcommunity/healthandsocialcare/healthinequaliti</w:t>
        </w:r>
        <w:r w:rsidRPr="0024389C">
          <w:rPr>
            <w:rStyle w:val="Hyperlink"/>
          </w:rPr>
          <w:lastRenderedPageBreak/>
          <w:t>es/bulletins/riskfactorsforprediabetesandundiagnosedtype2diabetesinengland/2013to2019</w:t>
        </w:r>
      </w:hyperlink>
      <w:r w:rsidRPr="0024389C">
        <w:t xml:space="preserve"> (Accessed: 4 August 2026).</w:t>
      </w:r>
    </w:p>
    <w:p w14:paraId="7657BD89" w14:textId="77777777" w:rsidR="00FA285B" w:rsidRPr="0024389C" w:rsidRDefault="00FA285B" w:rsidP="003330C5">
      <w:pPr>
        <w:shd w:val="clear" w:color="auto" w:fill="FFFFFF"/>
        <w:spacing w:before="240"/>
      </w:pPr>
      <w:r w:rsidRPr="0024389C">
        <w:t xml:space="preserve">Office for National Statistics (2025a) ‘Impact of health conditions requiring hospitalisation on earnings, employment and benefits receipt, England: April 2014 to December 2022’. Available at: </w:t>
      </w:r>
      <w:hyperlink r:id="rId44" w:tgtFrame="_new" w:history="1">
        <w:r w:rsidRPr="0024389C">
          <w:rPr>
            <w:rStyle w:val="Hyperlink"/>
          </w:rPr>
          <w:t>https://www.ons.gov.uk/peoplepopulationandcommunity/healthandsocialcare/healthandwellbeing/articles/impactofhealthconditionsrequiringhospitalisationonearningsemploymentandbenefitsreceiptenglandapril2014todecember2022/april2014todecember2022</w:t>
        </w:r>
      </w:hyperlink>
      <w:r w:rsidRPr="0024389C">
        <w:t xml:space="preserve"> (Accessed: 4 August 2026).</w:t>
      </w:r>
    </w:p>
    <w:p w14:paraId="1F0F1D45" w14:textId="77777777" w:rsidR="00FA285B" w:rsidRPr="0024389C" w:rsidRDefault="00FA285B" w:rsidP="003330C5">
      <w:pPr>
        <w:shd w:val="clear" w:color="auto" w:fill="FFFFFF"/>
        <w:spacing w:before="240"/>
      </w:pPr>
      <w:r w:rsidRPr="0024389C">
        <w:t xml:space="preserve">Office for National Statistics (2025b) ‘Relationship between the NHS Diabetes Prevention Programme and monthly earnings, employee status and unplanned hospital admissions, England: April 2014 to December 2022’. Available at: </w:t>
      </w:r>
      <w:hyperlink r:id="rId45" w:tgtFrame="_new" w:history="1">
        <w:r w:rsidRPr="0024389C">
          <w:rPr>
            <w:rStyle w:val="Hyperlink"/>
          </w:rPr>
          <w:t>https://www.ons.gov.uk/peoplepopulationandcommunity/healthandsocialcare/healthandwellbeing/bulletins/relationshipbetweenthenhsdiabetespreventionprogrammeandmonthlyearningsemployeestatusandunplannedhospitaladmissionsengland/april2014todecember2022</w:t>
        </w:r>
      </w:hyperlink>
      <w:r w:rsidRPr="0024389C">
        <w:t xml:space="preserve"> (Accessed: 4 August 2026).</w:t>
      </w:r>
    </w:p>
    <w:p w14:paraId="21E29425" w14:textId="77777777" w:rsidR="00FA285B" w:rsidRPr="00152B81" w:rsidRDefault="00FA285B" w:rsidP="003330C5">
      <w:pPr>
        <w:shd w:val="clear" w:color="auto" w:fill="FFFFFF"/>
        <w:spacing w:before="240"/>
        <w:rPr>
          <w:color w:val="000000" w:themeColor="text1"/>
          <w:lang w:val="en-IN"/>
        </w:rPr>
      </w:pPr>
      <w:r w:rsidRPr="00152B81">
        <w:rPr>
          <w:color w:val="000000" w:themeColor="text1"/>
          <w:lang w:val="en-IN"/>
        </w:rPr>
        <w:t xml:space="preserve">Office for National Statistics (2026) </w:t>
      </w:r>
      <w:r w:rsidRPr="00152B81">
        <w:rPr>
          <w:i/>
          <w:iCs/>
          <w:color w:val="000000" w:themeColor="text1"/>
          <w:lang w:val="en-IN"/>
        </w:rPr>
        <w:t>Healthy life expectancy by national area deprivation, England and Wales: between 2013 to 2015 and 2022 to 2024</w:t>
      </w:r>
      <w:r w:rsidRPr="00152B81">
        <w:rPr>
          <w:color w:val="000000" w:themeColor="text1"/>
          <w:lang w:val="en-IN"/>
        </w:rPr>
        <w:t xml:space="preserve">. Newport: Office for National Statistics. Available at: </w:t>
      </w:r>
      <w:hyperlink r:id="rId46" w:tgtFrame="_new" w:history="1">
        <w:r w:rsidRPr="00152B81">
          <w:rPr>
            <w:rStyle w:val="Hyperlink"/>
            <w:color w:val="000000" w:themeColor="text1"/>
            <w:lang w:val="en-IN"/>
          </w:rPr>
          <w:t>https://www.ons.gov.uk/peoplepopulationandcommunity/healthandsocialcare/healthinequalities/bulletins/healthylifeexpectancybynationalareadeprivationenglandandwales/between2013to2015and2022to2024</w:t>
        </w:r>
      </w:hyperlink>
      <w:r w:rsidRPr="00152B81">
        <w:rPr>
          <w:color w:val="000000" w:themeColor="text1"/>
          <w:lang w:val="en-IN"/>
        </w:rPr>
        <w:t xml:space="preserve"> (Accessed: 7 August 2026).</w:t>
      </w:r>
    </w:p>
    <w:p w14:paraId="0C5A0C23" w14:textId="77777777" w:rsidR="00FA285B" w:rsidRPr="00152B81" w:rsidRDefault="00FA285B" w:rsidP="003330C5">
      <w:pPr>
        <w:shd w:val="clear" w:color="auto" w:fill="FFFFFF"/>
        <w:spacing w:before="240"/>
        <w:rPr>
          <w:color w:val="000000" w:themeColor="text1"/>
        </w:rPr>
      </w:pPr>
      <w:proofErr w:type="spellStart"/>
      <w:r w:rsidRPr="00152B81">
        <w:rPr>
          <w:color w:val="000000" w:themeColor="text1"/>
        </w:rPr>
        <w:t>Renzella</w:t>
      </w:r>
      <w:proofErr w:type="spellEnd"/>
      <w:r w:rsidRPr="00152B81">
        <w:rPr>
          <w:color w:val="000000" w:themeColor="text1"/>
        </w:rPr>
        <w:t xml:space="preserve">, J., </w:t>
      </w:r>
      <w:proofErr w:type="spellStart"/>
      <w:r w:rsidRPr="00152B81">
        <w:rPr>
          <w:color w:val="000000" w:themeColor="text1"/>
        </w:rPr>
        <w:t>Agbebiyi</w:t>
      </w:r>
      <w:proofErr w:type="spellEnd"/>
      <w:r w:rsidRPr="00152B81">
        <w:rPr>
          <w:color w:val="000000" w:themeColor="text1"/>
        </w:rPr>
        <w:t xml:space="preserve">, A., Nayyar, R., Malik, S., Ahmed, E., Harding, S., Scarborough, P. and Bhatnagar, P. (2025) ‘Identifying areas for action to create healthier diets in the London Borough of Newham: systems mapping with residents’, </w:t>
      </w:r>
      <w:r w:rsidRPr="00152B81">
        <w:rPr>
          <w:i/>
          <w:iCs/>
          <w:color w:val="000000" w:themeColor="text1"/>
        </w:rPr>
        <w:t>BMC Public Health</w:t>
      </w:r>
      <w:r w:rsidRPr="00152B81">
        <w:rPr>
          <w:color w:val="000000" w:themeColor="text1"/>
        </w:rPr>
        <w:t xml:space="preserve">, 25, article 2645. Available at: </w:t>
      </w:r>
      <w:hyperlink r:id="rId47" w:tgtFrame="_new" w:history="1">
        <w:r w:rsidRPr="00152B81">
          <w:rPr>
            <w:rStyle w:val="Hyperlink"/>
            <w:color w:val="000000" w:themeColor="text1"/>
          </w:rPr>
          <w:t>https://pmc.ncbi.nlm.nih.gov/articles/PMC12323162/</w:t>
        </w:r>
      </w:hyperlink>
      <w:r w:rsidRPr="00152B81">
        <w:rPr>
          <w:color w:val="000000" w:themeColor="text1"/>
        </w:rPr>
        <w:t xml:space="preserve"> (Accessed: 4 August 2026). </w:t>
      </w:r>
    </w:p>
    <w:p w14:paraId="75905322" w14:textId="77777777" w:rsidR="00FA285B" w:rsidRPr="00152B81" w:rsidRDefault="00FA285B" w:rsidP="00FA285B">
      <w:pPr>
        <w:shd w:val="clear" w:color="auto" w:fill="FFFFFF"/>
        <w:spacing w:before="240"/>
        <w:rPr>
          <w:color w:val="000000" w:themeColor="text1"/>
          <w:lang w:val="en-IN"/>
        </w:rPr>
      </w:pPr>
      <w:r w:rsidRPr="00152B81">
        <w:rPr>
          <w:color w:val="000000" w:themeColor="text1"/>
          <w:lang w:val="en-IN"/>
        </w:rPr>
        <w:t xml:space="preserve">Trueba, M.L., Axelrod, T. and </w:t>
      </w:r>
      <w:proofErr w:type="spellStart"/>
      <w:r w:rsidRPr="00152B81">
        <w:rPr>
          <w:color w:val="000000" w:themeColor="text1"/>
          <w:lang w:val="en-IN"/>
        </w:rPr>
        <w:t>Ayeb</w:t>
      </w:r>
      <w:proofErr w:type="spellEnd"/>
      <w:r w:rsidRPr="00152B81">
        <w:rPr>
          <w:color w:val="000000" w:themeColor="text1"/>
          <w:lang w:val="en-IN"/>
        </w:rPr>
        <w:t xml:space="preserve">-Karlsson, S. (2023) ‘Are asylum seekers and refugees provided with appropriate mental health support in the United Kingdom?’, </w:t>
      </w:r>
      <w:r w:rsidRPr="00152B81">
        <w:rPr>
          <w:i/>
          <w:iCs/>
          <w:color w:val="000000" w:themeColor="text1"/>
          <w:lang w:val="en-IN"/>
        </w:rPr>
        <w:t>Journal of Ethnic and Migration Studies</w:t>
      </w:r>
      <w:r w:rsidRPr="00152B81">
        <w:rPr>
          <w:color w:val="000000" w:themeColor="text1"/>
          <w:lang w:val="en-IN"/>
        </w:rPr>
        <w:t xml:space="preserve">, 49(13), pp. 3163–3183. </w:t>
      </w:r>
      <w:hyperlink r:id="rId48" w:tgtFrame="_new" w:history="1">
        <w:r w:rsidRPr="00152B81">
          <w:rPr>
            <w:rStyle w:val="Hyperlink"/>
            <w:color w:val="000000" w:themeColor="text1"/>
            <w:lang w:val="en-IN"/>
          </w:rPr>
          <w:t>https://doi.org/10.1080/1369183X.2023.2181126</w:t>
        </w:r>
      </w:hyperlink>
    </w:p>
    <w:p w14:paraId="3CD236F0" w14:textId="77777777" w:rsidR="00FA285B" w:rsidRPr="00152B81" w:rsidRDefault="00FA285B" w:rsidP="00FA285B">
      <w:pPr>
        <w:shd w:val="clear" w:color="auto" w:fill="FFFFFF"/>
        <w:spacing w:before="240"/>
        <w:rPr>
          <w:color w:val="000000" w:themeColor="text1"/>
          <w:lang w:val="en-IN"/>
        </w:rPr>
      </w:pPr>
      <w:r w:rsidRPr="00152B81">
        <w:rPr>
          <w:color w:val="000000" w:themeColor="text1"/>
          <w:lang w:val="en-IN"/>
        </w:rPr>
        <w:t xml:space="preserve">Uribe, G., Mukumbang, F., Moore, C., Jones, T., Woolfenden, S., Ostojic, K., Haber, P., Eastwood, J., Gillespie, J. and </w:t>
      </w:r>
      <w:proofErr w:type="spellStart"/>
      <w:r w:rsidRPr="00152B81">
        <w:rPr>
          <w:color w:val="000000" w:themeColor="text1"/>
          <w:lang w:val="en-IN"/>
        </w:rPr>
        <w:t>Huckel</w:t>
      </w:r>
      <w:proofErr w:type="spellEnd"/>
      <w:r w:rsidRPr="00152B81">
        <w:rPr>
          <w:color w:val="000000" w:themeColor="text1"/>
          <w:lang w:val="en-IN"/>
        </w:rPr>
        <w:t xml:space="preserve"> Schneider, C. (2023) ‘How can we define social care </w:t>
      </w:r>
      <w:r w:rsidRPr="00152B81">
        <w:rPr>
          <w:color w:val="000000" w:themeColor="text1"/>
          <w:lang w:val="en-IN"/>
        </w:rPr>
        <w:lastRenderedPageBreak/>
        <w:t xml:space="preserve">and what are the levels of true integration in integrated care? A narrative review’, </w:t>
      </w:r>
      <w:r w:rsidRPr="00152B81">
        <w:rPr>
          <w:i/>
          <w:iCs/>
          <w:color w:val="000000" w:themeColor="text1"/>
          <w:lang w:val="en-IN"/>
        </w:rPr>
        <w:t>Journal of Integrated Care</w:t>
      </w:r>
      <w:r w:rsidRPr="00152B81">
        <w:rPr>
          <w:color w:val="000000" w:themeColor="text1"/>
          <w:lang w:val="en-IN"/>
        </w:rPr>
        <w:t xml:space="preserve">, 31(5), pp. 43–84. </w:t>
      </w:r>
      <w:hyperlink r:id="rId49" w:tgtFrame="_new" w:history="1">
        <w:r w:rsidRPr="00152B81">
          <w:rPr>
            <w:rStyle w:val="Hyperlink"/>
            <w:color w:val="000000" w:themeColor="text1"/>
            <w:lang w:val="en-IN"/>
          </w:rPr>
          <w:t>https://doi.org/10.1108/JICA-08-2022-0045</w:t>
        </w:r>
      </w:hyperlink>
    </w:p>
    <w:p w14:paraId="67926B21" w14:textId="77777777" w:rsidR="00FA285B" w:rsidRPr="00152B81" w:rsidRDefault="00FA285B" w:rsidP="00FA285B">
      <w:pPr>
        <w:shd w:val="clear" w:color="auto" w:fill="FFFFFF"/>
        <w:spacing w:before="240"/>
        <w:rPr>
          <w:color w:val="000000" w:themeColor="text1"/>
          <w:lang w:val="en-IN"/>
        </w:rPr>
      </w:pPr>
      <w:proofErr w:type="spellStart"/>
      <w:r w:rsidRPr="00152B81">
        <w:rPr>
          <w:color w:val="000000" w:themeColor="text1"/>
          <w:lang w:val="en-IN"/>
        </w:rPr>
        <w:t>Vezyridis</w:t>
      </w:r>
      <w:proofErr w:type="spellEnd"/>
      <w:r w:rsidRPr="00152B81">
        <w:rPr>
          <w:color w:val="000000" w:themeColor="text1"/>
          <w:lang w:val="en-IN"/>
        </w:rPr>
        <w:t xml:space="preserve">, P. and Timmons, S. (2021) ‘E-Infrastructures and the divergent </w:t>
      </w:r>
      <w:proofErr w:type="spellStart"/>
      <w:r w:rsidRPr="00152B81">
        <w:rPr>
          <w:color w:val="000000" w:themeColor="text1"/>
          <w:lang w:val="en-IN"/>
        </w:rPr>
        <w:t>assetization</w:t>
      </w:r>
      <w:proofErr w:type="spellEnd"/>
      <w:r w:rsidRPr="00152B81">
        <w:rPr>
          <w:color w:val="000000" w:themeColor="text1"/>
          <w:lang w:val="en-IN"/>
        </w:rPr>
        <w:t xml:space="preserve"> of public health data: Expectations, uncertainties, and asymmetries’, </w:t>
      </w:r>
      <w:r w:rsidRPr="00152B81">
        <w:rPr>
          <w:i/>
          <w:iCs/>
          <w:color w:val="000000" w:themeColor="text1"/>
          <w:lang w:val="en-IN"/>
        </w:rPr>
        <w:t>Social Studies of Science</w:t>
      </w:r>
      <w:r w:rsidRPr="00152B81">
        <w:rPr>
          <w:color w:val="000000" w:themeColor="text1"/>
          <w:lang w:val="en-IN"/>
        </w:rPr>
        <w:t xml:space="preserve">, 51(4), pp. 606–627. </w:t>
      </w:r>
      <w:hyperlink r:id="rId50" w:tgtFrame="_new" w:history="1">
        <w:r w:rsidRPr="00152B81">
          <w:rPr>
            <w:rStyle w:val="Hyperlink"/>
            <w:color w:val="000000" w:themeColor="text1"/>
            <w:lang w:val="en-IN"/>
          </w:rPr>
          <w:t>https://doi.org/10.1177/0306312721989818</w:t>
        </w:r>
      </w:hyperlink>
    </w:p>
    <w:p w14:paraId="7724B7F0" w14:textId="77777777" w:rsidR="00FA285B" w:rsidRPr="00152B81" w:rsidRDefault="00FA285B" w:rsidP="003330C5">
      <w:pPr>
        <w:shd w:val="clear" w:color="auto" w:fill="FFFFFF"/>
        <w:spacing w:before="240"/>
        <w:rPr>
          <w:color w:val="000000" w:themeColor="text1"/>
        </w:rPr>
      </w:pPr>
      <w:r w:rsidRPr="00152B81">
        <w:rPr>
          <w:color w:val="000000" w:themeColor="text1"/>
        </w:rPr>
        <w:t>Well Newham (2025) ‘</w:t>
      </w:r>
      <w:r w:rsidRPr="00152B81">
        <w:rPr>
          <w:i/>
          <w:iCs/>
          <w:color w:val="000000" w:themeColor="text1"/>
        </w:rPr>
        <w:t>Diabetes’</w:t>
      </w:r>
      <w:r w:rsidRPr="00152B81">
        <w:rPr>
          <w:color w:val="000000" w:themeColor="text1"/>
        </w:rPr>
        <w:t xml:space="preserve">. Available at: </w:t>
      </w:r>
      <w:hyperlink r:id="rId51" w:tgtFrame="_new" w:history="1">
        <w:r w:rsidRPr="00152B81">
          <w:rPr>
            <w:rStyle w:val="Hyperlink"/>
            <w:color w:val="000000" w:themeColor="text1"/>
          </w:rPr>
          <w:t>https://www.wellnewham.org.uk/advice/diabetes</w:t>
        </w:r>
      </w:hyperlink>
      <w:r w:rsidRPr="00152B81">
        <w:rPr>
          <w:color w:val="000000" w:themeColor="text1"/>
        </w:rPr>
        <w:t xml:space="preserve"> (Accessed: 4 August 2026).</w:t>
      </w:r>
    </w:p>
    <w:p w14:paraId="56B1620E" w14:textId="77777777" w:rsidR="00FA285B" w:rsidRPr="00152B81" w:rsidRDefault="00FA285B" w:rsidP="00FA285B">
      <w:pPr>
        <w:shd w:val="clear" w:color="auto" w:fill="FFFFFF"/>
        <w:spacing w:before="240"/>
        <w:rPr>
          <w:color w:val="000000" w:themeColor="text1"/>
          <w:lang w:val="en-IN"/>
        </w:rPr>
      </w:pPr>
      <w:proofErr w:type="spellStart"/>
      <w:r w:rsidRPr="00152B81">
        <w:rPr>
          <w:color w:val="000000" w:themeColor="text1"/>
          <w:lang w:val="en-IN"/>
        </w:rPr>
        <w:t>Yapislar</w:t>
      </w:r>
      <w:proofErr w:type="spellEnd"/>
      <w:r w:rsidRPr="00152B81">
        <w:rPr>
          <w:color w:val="000000" w:themeColor="text1"/>
          <w:lang w:val="en-IN"/>
        </w:rPr>
        <w:t xml:space="preserve">, H. and </w:t>
      </w:r>
      <w:proofErr w:type="spellStart"/>
      <w:r w:rsidRPr="00152B81">
        <w:rPr>
          <w:color w:val="000000" w:themeColor="text1"/>
          <w:lang w:val="en-IN"/>
        </w:rPr>
        <w:t>Gurler</w:t>
      </w:r>
      <w:proofErr w:type="spellEnd"/>
      <w:r w:rsidRPr="00152B81">
        <w:rPr>
          <w:color w:val="000000" w:themeColor="text1"/>
          <w:lang w:val="en-IN"/>
        </w:rPr>
        <w:t xml:space="preserve">, E.B. (2024) ‘Management of </w:t>
      </w:r>
      <w:proofErr w:type="spellStart"/>
      <w:r w:rsidRPr="00152B81">
        <w:rPr>
          <w:color w:val="000000" w:themeColor="text1"/>
          <w:lang w:val="en-IN"/>
        </w:rPr>
        <w:t>microcomplications</w:t>
      </w:r>
      <w:proofErr w:type="spellEnd"/>
      <w:r w:rsidRPr="00152B81">
        <w:rPr>
          <w:color w:val="000000" w:themeColor="text1"/>
          <w:lang w:val="en-IN"/>
        </w:rPr>
        <w:t xml:space="preserve"> of diabetes mellitus: Challenges, current trends, and future perspectives in treatment’, </w:t>
      </w:r>
      <w:r w:rsidRPr="00152B81">
        <w:rPr>
          <w:i/>
          <w:iCs/>
          <w:color w:val="000000" w:themeColor="text1"/>
          <w:lang w:val="en-IN"/>
        </w:rPr>
        <w:t>Biomedicines</w:t>
      </w:r>
      <w:r w:rsidRPr="00152B81">
        <w:rPr>
          <w:color w:val="000000" w:themeColor="text1"/>
          <w:lang w:val="en-IN"/>
        </w:rPr>
        <w:t xml:space="preserve">, 12(9), p. 1958. </w:t>
      </w:r>
      <w:hyperlink r:id="rId52" w:tgtFrame="_new" w:history="1">
        <w:r w:rsidRPr="00152B81">
          <w:rPr>
            <w:rStyle w:val="Hyperlink"/>
            <w:color w:val="000000" w:themeColor="text1"/>
            <w:lang w:val="en-IN"/>
          </w:rPr>
          <w:t>https://doi.org/10.3390/biomedicines12091958</w:t>
        </w:r>
      </w:hyperlink>
    </w:p>
    <w:p w14:paraId="3A7513A8" w14:textId="77777777" w:rsidR="00FA285B" w:rsidRDefault="00FA285B" w:rsidP="003330C5">
      <w:pPr>
        <w:shd w:val="clear" w:color="auto" w:fill="FFFFFF"/>
        <w:spacing w:before="240"/>
      </w:pPr>
    </w:p>
    <w:p w14:paraId="50845E00" w14:textId="77777777" w:rsidR="003330C5" w:rsidRDefault="003330C5" w:rsidP="003330C5">
      <w:pPr>
        <w:shd w:val="clear" w:color="auto" w:fill="FFFFFF"/>
        <w:spacing w:before="240"/>
      </w:pPr>
    </w:p>
    <w:p w14:paraId="3C6A0C66" w14:textId="77777777" w:rsidR="003330C5" w:rsidRPr="0024389C" w:rsidRDefault="003330C5" w:rsidP="009C223A">
      <w:pPr>
        <w:shd w:val="clear" w:color="auto" w:fill="FFFFFF"/>
      </w:pPr>
    </w:p>
    <w:p w14:paraId="54DA5C5A" w14:textId="77777777" w:rsidR="007879C0" w:rsidRPr="007879C0" w:rsidRDefault="007879C0" w:rsidP="007879C0"/>
    <w:sectPr w:rsidR="007879C0" w:rsidRPr="007879C0" w:rsidSect="007879C0">
      <w:headerReference w:type="even" r:id="rId53"/>
      <w:headerReference w:type="default" r:id="rId54"/>
      <w:footerReference w:type="even" r:id="rId55"/>
      <w:footerReference w:type="default" r:id="rId56"/>
      <w:headerReference w:type="first" r:id="rId57"/>
      <w:footerReference w:type="first" r:id="rId5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705866" w14:textId="77777777" w:rsidR="00B33C0B" w:rsidRDefault="00B33C0B" w:rsidP="00B745CD">
      <w:pPr>
        <w:spacing w:line="240" w:lineRule="auto"/>
      </w:pPr>
      <w:r>
        <w:separator/>
      </w:r>
    </w:p>
  </w:endnote>
  <w:endnote w:type="continuationSeparator" w:id="0">
    <w:p w14:paraId="0BBFDC6D" w14:textId="77777777" w:rsidR="00B33C0B" w:rsidRDefault="00B33C0B" w:rsidP="00B745C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ACFF" w:usb2="00000009" w:usb3="00000000" w:csb0="000001FF" w:csb1="00000000"/>
    <w:embedRegular r:id="rId1" w:fontKey="{7E07D3AE-4F71-4ED1-BE97-4D1ECCC702B2}"/>
  </w:font>
  <w:font w:name="Cambria">
    <w:panose1 w:val="02040503050406030204"/>
    <w:charset w:val="00"/>
    <w:family w:val="roman"/>
    <w:pitch w:val="variable"/>
    <w:sig w:usb0="E00006FF" w:usb1="420024FF" w:usb2="02000000" w:usb3="00000000" w:csb0="0000019F" w:csb1="00000000"/>
    <w:embedRegular r:id="rId2" w:fontKey="{C418504F-C501-4780-BAB6-F36AD517D80F}"/>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043CD4" w14:textId="77777777" w:rsidR="0069096A" w:rsidRDefault="006909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4311312"/>
      <w:docPartObj>
        <w:docPartGallery w:val="Page Numbers (Bottom of Page)"/>
        <w:docPartUnique/>
      </w:docPartObj>
    </w:sdtPr>
    <w:sdtEndPr>
      <w:rPr>
        <w:noProof/>
        <w:sz w:val="20"/>
        <w:szCs w:val="20"/>
      </w:rPr>
    </w:sdtEndPr>
    <w:sdtContent>
      <w:p w14:paraId="23318CBF" w14:textId="4EC6BB48" w:rsidR="00B745CD" w:rsidRPr="00B745CD" w:rsidRDefault="00B745CD">
        <w:pPr>
          <w:pStyle w:val="Footer"/>
          <w:jc w:val="right"/>
          <w:rPr>
            <w:sz w:val="20"/>
            <w:szCs w:val="20"/>
          </w:rPr>
        </w:pPr>
        <w:r w:rsidRPr="00B745CD">
          <w:rPr>
            <w:sz w:val="20"/>
            <w:szCs w:val="20"/>
          </w:rPr>
          <w:fldChar w:fldCharType="begin"/>
        </w:r>
        <w:r w:rsidRPr="00B745CD">
          <w:rPr>
            <w:sz w:val="20"/>
            <w:szCs w:val="20"/>
          </w:rPr>
          <w:instrText xml:space="preserve"> PAGE   \* MERGEFORMAT </w:instrText>
        </w:r>
        <w:r w:rsidRPr="00B745CD">
          <w:rPr>
            <w:sz w:val="20"/>
            <w:szCs w:val="20"/>
          </w:rPr>
          <w:fldChar w:fldCharType="separate"/>
        </w:r>
        <w:r w:rsidRPr="00B745CD">
          <w:rPr>
            <w:noProof/>
            <w:sz w:val="20"/>
            <w:szCs w:val="20"/>
          </w:rPr>
          <w:t>2</w:t>
        </w:r>
        <w:r w:rsidRPr="00B745CD">
          <w:rPr>
            <w:noProof/>
            <w:sz w:val="20"/>
            <w:szCs w:val="20"/>
          </w:rPr>
          <w:fldChar w:fldCharType="end"/>
        </w:r>
      </w:p>
    </w:sdtContent>
  </w:sdt>
  <w:p w14:paraId="30C609CB" w14:textId="77777777" w:rsidR="00B745CD" w:rsidRDefault="00B745C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35897E" w14:textId="77777777" w:rsidR="0069096A" w:rsidRDefault="006909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45EA92" w14:textId="77777777" w:rsidR="00B33C0B" w:rsidRDefault="00B33C0B" w:rsidP="00B745CD">
      <w:pPr>
        <w:spacing w:line="240" w:lineRule="auto"/>
      </w:pPr>
      <w:r>
        <w:separator/>
      </w:r>
    </w:p>
  </w:footnote>
  <w:footnote w:type="continuationSeparator" w:id="0">
    <w:p w14:paraId="25A4D138" w14:textId="77777777" w:rsidR="00B33C0B" w:rsidRDefault="00B33C0B" w:rsidP="00B745C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ECB7DD" w14:textId="77777777" w:rsidR="0069096A" w:rsidRDefault="0069096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BF4D7B" w14:textId="77777777" w:rsidR="0069096A" w:rsidRDefault="0069096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537B45" w14:textId="77777777" w:rsidR="0069096A" w:rsidRDefault="006909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68573A"/>
    <w:multiLevelType w:val="hybridMultilevel"/>
    <w:tmpl w:val="4C5E3AD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78C74F2E"/>
    <w:multiLevelType w:val="multilevel"/>
    <w:tmpl w:val="4C3864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07836794">
    <w:abstractNumId w:val="1"/>
  </w:num>
  <w:num w:numId="2" w16cid:durableId="7786456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008E1"/>
    <w:rsid w:val="000F5077"/>
    <w:rsid w:val="001008E1"/>
    <w:rsid w:val="0012509F"/>
    <w:rsid w:val="00125C78"/>
    <w:rsid w:val="00152B81"/>
    <w:rsid w:val="00215AC8"/>
    <w:rsid w:val="002364CD"/>
    <w:rsid w:val="003330C5"/>
    <w:rsid w:val="003D5829"/>
    <w:rsid w:val="004D2034"/>
    <w:rsid w:val="004E11A5"/>
    <w:rsid w:val="005478FF"/>
    <w:rsid w:val="005A2D56"/>
    <w:rsid w:val="00601102"/>
    <w:rsid w:val="00632A58"/>
    <w:rsid w:val="0069096A"/>
    <w:rsid w:val="00700566"/>
    <w:rsid w:val="007879C0"/>
    <w:rsid w:val="00796249"/>
    <w:rsid w:val="007A4EA3"/>
    <w:rsid w:val="007B0053"/>
    <w:rsid w:val="007C3856"/>
    <w:rsid w:val="00853492"/>
    <w:rsid w:val="008A473B"/>
    <w:rsid w:val="00975E6D"/>
    <w:rsid w:val="009A31EB"/>
    <w:rsid w:val="009A758F"/>
    <w:rsid w:val="009C223A"/>
    <w:rsid w:val="00A22FBA"/>
    <w:rsid w:val="00A42301"/>
    <w:rsid w:val="00A516B8"/>
    <w:rsid w:val="00A61DBE"/>
    <w:rsid w:val="00B33C0B"/>
    <w:rsid w:val="00B52980"/>
    <w:rsid w:val="00B745CD"/>
    <w:rsid w:val="00B87A9B"/>
    <w:rsid w:val="00BA0342"/>
    <w:rsid w:val="00C05D86"/>
    <w:rsid w:val="00C82FEA"/>
    <w:rsid w:val="00D63873"/>
    <w:rsid w:val="00DB1452"/>
    <w:rsid w:val="00EA69DF"/>
    <w:rsid w:val="00F14671"/>
    <w:rsid w:val="00FA285B"/>
    <w:rsid w:val="00FF66E0"/>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512A2E"/>
  <w15:docId w15:val="{6CDB0C5C-6C09-4826-9EF8-3425578F20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styleId="Hyperlink">
    <w:name w:val="Hyperlink"/>
    <w:basedOn w:val="DefaultParagraphFont"/>
    <w:uiPriority w:val="99"/>
    <w:unhideWhenUsed/>
    <w:rsid w:val="007879C0"/>
    <w:rPr>
      <w:color w:val="0000FF" w:themeColor="hyperlink"/>
      <w:u w:val="single"/>
    </w:rPr>
  </w:style>
  <w:style w:type="paragraph" w:styleId="Header">
    <w:name w:val="header"/>
    <w:basedOn w:val="Normal"/>
    <w:link w:val="HeaderChar"/>
    <w:uiPriority w:val="99"/>
    <w:unhideWhenUsed/>
    <w:rsid w:val="00B745CD"/>
    <w:pPr>
      <w:tabs>
        <w:tab w:val="center" w:pos="4513"/>
        <w:tab w:val="right" w:pos="9026"/>
      </w:tabs>
      <w:spacing w:line="240" w:lineRule="auto"/>
    </w:pPr>
  </w:style>
  <w:style w:type="character" w:customStyle="1" w:styleId="HeaderChar">
    <w:name w:val="Header Char"/>
    <w:basedOn w:val="DefaultParagraphFont"/>
    <w:link w:val="Header"/>
    <w:uiPriority w:val="99"/>
    <w:rsid w:val="00B745CD"/>
  </w:style>
  <w:style w:type="paragraph" w:styleId="Footer">
    <w:name w:val="footer"/>
    <w:basedOn w:val="Normal"/>
    <w:link w:val="FooterChar"/>
    <w:uiPriority w:val="99"/>
    <w:unhideWhenUsed/>
    <w:rsid w:val="00B745CD"/>
    <w:pPr>
      <w:tabs>
        <w:tab w:val="center" w:pos="4513"/>
        <w:tab w:val="right" w:pos="9026"/>
      </w:tabs>
      <w:spacing w:line="240" w:lineRule="auto"/>
    </w:pPr>
  </w:style>
  <w:style w:type="character" w:customStyle="1" w:styleId="FooterChar">
    <w:name w:val="Footer Char"/>
    <w:basedOn w:val="DefaultParagraphFont"/>
    <w:link w:val="Footer"/>
    <w:uiPriority w:val="99"/>
    <w:rsid w:val="00B745CD"/>
  </w:style>
  <w:style w:type="paragraph" w:styleId="ListParagraph">
    <w:name w:val="List Paragraph"/>
    <w:basedOn w:val="Normal"/>
    <w:uiPriority w:val="34"/>
    <w:qFormat/>
    <w:rsid w:val="009C223A"/>
    <w:pPr>
      <w:ind w:left="720"/>
      <w:contextualSpacing/>
    </w:pPr>
  </w:style>
  <w:style w:type="character" w:styleId="UnresolvedMention">
    <w:name w:val="Unresolved Mention"/>
    <w:basedOn w:val="DefaultParagraphFont"/>
    <w:uiPriority w:val="99"/>
    <w:semiHidden/>
    <w:unhideWhenUsed/>
    <w:rsid w:val="00601102"/>
    <w:rPr>
      <w:color w:val="605E5C"/>
      <w:shd w:val="clear" w:color="auto" w:fill="E1DFDD"/>
    </w:rPr>
  </w:style>
  <w:style w:type="character" w:styleId="FollowedHyperlink">
    <w:name w:val="FollowedHyperlink"/>
    <w:basedOn w:val="DefaultParagraphFont"/>
    <w:uiPriority w:val="99"/>
    <w:semiHidden/>
    <w:unhideWhenUsed/>
    <w:rsid w:val="007B005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bhf.org.uk/-/media/files/for-professionals/research/heart-statistics/bhf-statistics-compendium-2026-v2.pdf" TargetMode="External"/><Relationship Id="rId18" Type="http://schemas.openxmlformats.org/officeDocument/2006/relationships/hyperlink" Target="https://www.sciencedirect.com/science/article/pii/S2213858725002992/pdf" TargetMode="External"/><Relationship Id="rId26" Type="http://schemas.openxmlformats.org/officeDocument/2006/relationships/hyperlink" Target="https://www.newham.gov.uk/health-adult-social-care/public-health-information-reports-strategies-fact-sheets/2?utm_source=chatgpt.com" TargetMode="External"/><Relationship Id="rId39" Type="http://schemas.openxmlformats.org/officeDocument/2006/relationships/hyperlink" Target="https://www.gov.uk/government/statistics/diabetes-profile-update-march-2025/diabetes-profile-statistical-commentary-march-2025?utm_source=chatgpt.com" TargetMode="External"/><Relationship Id="rId21" Type="http://schemas.openxmlformats.org/officeDocument/2006/relationships/hyperlink" Target="https://www.local.gov.uk/our-support/partners-care-and-health/place-based-tools-and-information-care-and-health/client-level/age" TargetMode="External"/><Relationship Id="rId34" Type="http://schemas.openxmlformats.org/officeDocument/2006/relationships/hyperlink" Target="https://digital.nhs.uk/data-and-information/publications/statistical/national-diabetes-audit/audit-period-comparison?utm_source=chatgpt.com" TargetMode="External"/><Relationship Id="rId42" Type="http://schemas.openxmlformats.org/officeDocument/2006/relationships/hyperlink" Target="https://www.ons.gov.uk/peoplepopulationandcommunity/healthandsocialcare/mentalhealth/articles/costoflivinganddepressioninadultsgreatbritain/29septemberto23october2022?utm_source=chatgpt.com" TargetMode="External"/><Relationship Id="rId47" Type="http://schemas.openxmlformats.org/officeDocument/2006/relationships/hyperlink" Target="https://pmc.ncbi.nlm.nih.gov/articles/PMC12323162/?utm_source=chatgpt.com" TargetMode="External"/><Relationship Id="rId50" Type="http://schemas.openxmlformats.org/officeDocument/2006/relationships/hyperlink" Target="https://doi.org/10.1177/0306312721989818" TargetMode="External"/><Relationship Id="rId55"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gov.uk/government/publications/better-care-fund-framework-2026-to-2027/better-care-fund-framework-2026-to-2027" TargetMode="External"/><Relationship Id="rId29" Type="http://schemas.openxmlformats.org/officeDocument/2006/relationships/hyperlink" Target="https://www.nhs.uk/conditions/type-2-diabetes/what-is-type-2-diabetes/" TargetMode="External"/><Relationship Id="rId11" Type="http://schemas.openxmlformats.org/officeDocument/2006/relationships/hyperlink" Target="https://doi.org/10.1007/s40200-025-01734-1" TargetMode="External"/><Relationship Id="rId24" Type="http://schemas.openxmlformats.org/officeDocument/2006/relationships/hyperlink" Target="https://www.newham.gov.uk/news/article/1241/newhams-muslim-community-encouraged-to-attend-free-events-promoting-healthy-fasting?utm_source=chatgpt.com" TargetMode="External"/><Relationship Id="rId32" Type="http://schemas.openxmlformats.org/officeDocument/2006/relationships/hyperlink" Target="https://digital.nhs.uk/data-and-information/publications/statistical/health-survey-for-england/2024/adults-health" TargetMode="External"/><Relationship Id="rId37" Type="http://schemas.openxmlformats.org/officeDocument/2006/relationships/hyperlink" Target="https://northeastlondon.icb.nhs.uk/news/nhs-in-east-london-leading-the-way-on-diabetes-care/" TargetMode="External"/><Relationship Id="rId40" Type="http://schemas.openxmlformats.org/officeDocument/2006/relationships/hyperlink" Target="https://www.gov.uk/government/statistics/dementia-profile-march-2025-update/dementia-profile-prevalence-and-supporting-well-topics-statistical-commentary-march-2025" TargetMode="External"/><Relationship Id="rId45" Type="http://schemas.openxmlformats.org/officeDocument/2006/relationships/hyperlink" Target="https://www.ons.gov.uk/peoplepopulationandcommunity/healthandsocialcare/healthandwellbeing/bulletins/relationshipbetweenthenhsdiabetespreventionprogrammeandmonthlyearningsemployeestatusandunplannedhospitaladmissionsengland/april2014todecember2022?utm_source=chatgpt.com" TargetMode="External"/><Relationship Id="rId53" Type="http://schemas.openxmlformats.org/officeDocument/2006/relationships/header" Target="header1.xml"/><Relationship Id="rId58" Type="http://schemas.openxmlformats.org/officeDocument/2006/relationships/footer" Target="footer3.xml"/><Relationship Id="rId5" Type="http://schemas.openxmlformats.org/officeDocument/2006/relationships/footnotes" Target="footnotes.xml"/><Relationship Id="rId19" Type="http://schemas.openxmlformats.org/officeDocument/2006/relationships/hyperlink" Target="https://doi.org/10.1007/s40520-025-03021-8" TargetMode="External"/><Relationship Id="rId4" Type="http://schemas.openxmlformats.org/officeDocument/2006/relationships/webSettings" Target="webSettings.xml"/><Relationship Id="rId9" Type="http://schemas.openxmlformats.org/officeDocument/2006/relationships/hyperlink" Target="https://www.ageuk.org.uk/discover/2024/september/state-of-health-and-care-of-older-people-in-england-2024/" TargetMode="External"/><Relationship Id="rId14" Type="http://schemas.openxmlformats.org/officeDocument/2006/relationships/hyperlink" Target="https://www.gov.uk/government/statistics/dsit-public-engagement-survey-20252026/dsit-public-engagement-survey-20252026" TargetMode="External"/><Relationship Id="rId22" Type="http://schemas.openxmlformats.org/officeDocument/2006/relationships/hyperlink" Target="https://doi.org/10.3390/healthcare12141457" TargetMode="External"/><Relationship Id="rId27" Type="http://schemas.openxmlformats.org/officeDocument/2006/relationships/hyperlink" Target="https://www.nhs.uk/conditions/gestational-diabetes/" TargetMode="External"/><Relationship Id="rId30" Type="http://schemas.openxmlformats.org/officeDocument/2006/relationships/hyperlink" Target="https://www.england.nhs.uk/long-read/rightcare-dementia-scenario/?utm_source=chatgpt.com" TargetMode="External"/><Relationship Id="rId35" Type="http://schemas.openxmlformats.org/officeDocument/2006/relationships/hyperlink" Target="https://www.england.nhs.uk/diabetes/diabetes-prevention/?utm_source=chatgpt.com" TargetMode="External"/><Relationship Id="rId43" Type="http://schemas.openxmlformats.org/officeDocument/2006/relationships/hyperlink" Target="https://www.ons.gov.uk/peoplepopulationandcommunity/healthandsocialcare/healthinequalities/bulletins/riskfactorsforprediabetesandundiagnosedtype2diabetesinengland/2013to2019" TargetMode="External"/><Relationship Id="rId48" Type="http://schemas.openxmlformats.org/officeDocument/2006/relationships/hyperlink" Target="https://doi.org/10.1080/1369183X.2023.2181126" TargetMode="External"/><Relationship Id="rId56" Type="http://schemas.openxmlformats.org/officeDocument/2006/relationships/footer" Target="footer2.xml"/><Relationship Id="rId8" Type="http://schemas.openxmlformats.org/officeDocument/2006/relationships/hyperlink" Target="https://www.ageuk.org.uk/latest-press/articles/age-uks-new-report-shows-you-are-not-alone-in-feeling-lonely/?utm_source=chatgpt.com" TargetMode="External"/><Relationship Id="rId51" Type="http://schemas.openxmlformats.org/officeDocument/2006/relationships/hyperlink" Target="https://www.wellnewham.org.uk/advice/diabetes" TargetMode="External"/><Relationship Id="rId3" Type="http://schemas.openxmlformats.org/officeDocument/2006/relationships/settings" Target="settings.xml"/><Relationship Id="rId12" Type="http://schemas.openxmlformats.org/officeDocument/2006/relationships/hyperlink" Target="https://doi.org/10.1016/j.puhip.2024.100543" TargetMode="External"/><Relationship Id="rId17" Type="http://schemas.openxmlformats.org/officeDocument/2006/relationships/hyperlink" Target="https://www.diabetes.org.uk/about-diabetes/type-2-diabetes/diabetes-risk-factors?utm_source=chatgpt.com" TargetMode="External"/><Relationship Id="rId25" Type="http://schemas.openxmlformats.org/officeDocument/2006/relationships/hyperlink" Target="https://www.newham.gov.uk/news/article/1515/fruit-veg-on-prescription-launches-in-newham-to-boost-health-and-tackle-food-inequality?utm_source=chatgpt.com" TargetMode="External"/><Relationship Id="rId33" Type="http://schemas.openxmlformats.org/officeDocument/2006/relationships/hyperlink" Target="https://digital.nhs.uk/data-and-information/publications/statistical/national-diabetes-audit/report-1-cp-and-tt-data-release-2024-25/nda-report-1-cp-and-tt-data-release-2024-25?utm_source=chatgpt.com" TargetMode="External"/><Relationship Id="rId38" Type="http://schemas.openxmlformats.org/officeDocument/2006/relationships/hyperlink" Target="https://www.gov.uk/government/publications/healthy-ageing/healthy-ageing-applying-all-our-health" TargetMode="External"/><Relationship Id="rId46" Type="http://schemas.openxmlformats.org/officeDocument/2006/relationships/hyperlink" Target="https://www.ons.gov.uk/peoplepopulationandcommunity/healthandsocialcare/healthinequalities/bulletins/healthylifeexpectancybynationalareadeprivationenglandandwales/between2013to2015and2022to2024?utm_source=chatgpt.com" TargetMode="External"/><Relationship Id="rId59" Type="http://schemas.openxmlformats.org/officeDocument/2006/relationships/fontTable" Target="fontTable.xml"/><Relationship Id="rId20" Type="http://schemas.openxmlformats.org/officeDocument/2006/relationships/hyperlink" Target="https://doi.org/10.1177/1721727X231154152" TargetMode="External"/><Relationship Id="rId41" Type="http://schemas.openxmlformats.org/officeDocument/2006/relationships/hyperlink" Target="https://www.gov.uk/government/statistics/diabetes-profile-update-april-2026?utm_source=chatgpt.com" TargetMode="External"/><Relationship Id="rId54"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gov.uk/government/statistics/households-below-average-income-for-financial-years-ending-1995-to-2025/households-below-average-income-an-analysis-of-the-uk-income-distribution-fye-1995-to-fye-2025" TargetMode="External"/><Relationship Id="rId23" Type="http://schemas.openxmlformats.org/officeDocument/2006/relationships/hyperlink" Target="https://www.nice.org.uk/guidance/qs209/chapter/Quality-statement-6-9-key-care-processes" TargetMode="External"/><Relationship Id="rId28" Type="http://schemas.openxmlformats.org/officeDocument/2006/relationships/hyperlink" Target="https://www.nhs.uk/conditions/type-2-diabetes/complications/?utm_source=chatgpt.com" TargetMode="External"/><Relationship Id="rId36" Type="http://schemas.openxmlformats.org/officeDocument/2006/relationships/hyperlink" Target="https://northeastlondon.icb.nhs.uk/service/diabetes-diabetes-prevention-programme-ndpp/" TargetMode="External"/><Relationship Id="rId49" Type="http://schemas.openxmlformats.org/officeDocument/2006/relationships/hyperlink" Target="https://doi.org/10.1108/JICA-08-2022-0045" TargetMode="External"/><Relationship Id="rId57" Type="http://schemas.openxmlformats.org/officeDocument/2006/relationships/header" Target="header3.xml"/><Relationship Id="rId10" Type="http://schemas.openxmlformats.org/officeDocument/2006/relationships/hyperlink" Target="https://www.ageuk.org.uk/our-impact/?utm_source=chatgpt.com" TargetMode="External"/><Relationship Id="rId31" Type="http://schemas.openxmlformats.org/officeDocument/2006/relationships/hyperlink" Target="https://www.england.nhs.uk/ourwork/clinical-policy/older-people/frailty/frailty-risk-identification/" TargetMode="External"/><Relationship Id="rId44" Type="http://schemas.openxmlformats.org/officeDocument/2006/relationships/hyperlink" Target="https://www.ons.gov.uk/peoplepopulationandcommunity/healthandsocialcare/healthandwellbeing/articles/impactofhealthconditionsrequiringhospitalisationonearningsemploymentandbenefitsreceiptenglandapril2014todecember2022/april2014todecember2022?utm_source=chatgpt.com" TargetMode="External"/><Relationship Id="rId52" Type="http://schemas.openxmlformats.org/officeDocument/2006/relationships/hyperlink" Target="https://doi.org/10.3390/biomedicines12091958" TargetMode="External"/><Relationship Id="rId60"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14</Pages>
  <Words>5682</Words>
  <Characters>32393</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Dev Gajera</cp:lastModifiedBy>
  <cp:revision>3</cp:revision>
  <dcterms:created xsi:type="dcterms:W3CDTF">2026-08-30T08:24:00Z</dcterms:created>
  <dcterms:modified xsi:type="dcterms:W3CDTF">2026-08-31T21:46:00Z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d9ff0d9a-f048-47e5-b79e-ce0128432202</vt:lpwstr>
  </property>
</Properties>
</file>