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-126999</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4"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after="0" w:before="0" w:line="240" w:lineRule="auto"/>
        <w:jc w:val="center"/>
        <w:rPr>
          <w:b w:val="1"/>
          <w:bCs w:val="1"/>
          <w:sz w:val="40"/>
          <w:szCs w:val="40"/>
        </w:rPr>
      </w:pPr>
      <w:r w:rsidDel="00000000" w:rsidR="00000000" w:rsidRPr="00000000">
        <w:rPr>
          <w:rtl w:val="0"/>
        </w:rPr>
      </w:r>
    </w:p>
    <w:p w:rsidR="00000000" w:rsidDel="00000000" w:rsidP="00000000" w:rsidRDefault="00000000" w:rsidRPr="00000000" w14:paraId="00000004">
      <w:pPr>
        <w:spacing w:after="0" w:before="0" w:line="240" w:lineRule="auto"/>
        <w:jc w:val="center"/>
        <w:rPr>
          <w:b w:val="1"/>
          <w:bCs w:val="1"/>
          <w:sz w:val="40"/>
          <w:szCs w:val="40"/>
        </w:rPr>
      </w:pPr>
      <w:r w:rsidDel="00000000" w:rsidR="00000000" w:rsidRPr="00000000">
        <w:rPr>
          <w:rtl w:val="0"/>
        </w:rPr>
      </w:r>
    </w:p>
    <w:p w:rsidR="00000000" w:rsidDel="00000000" w:rsidP="00000000" w:rsidRDefault="00000000" w:rsidRPr="00000000" w14:paraId="00000005">
      <w:pPr>
        <w:spacing w:after="0" w:before="0" w:line="240" w:lineRule="auto"/>
        <w:jc w:val="center"/>
        <w:rPr>
          <w:b w:val="1"/>
          <w:bCs w:val="1"/>
          <w:sz w:val="40"/>
          <w:szCs w:val="40"/>
        </w:rPr>
      </w:pPr>
      <w:r w:rsidDel="00000000" w:rsidR="00000000" w:rsidRPr="00000000">
        <w:rPr>
          <w:rtl w:val="0"/>
        </w:rPr>
      </w:r>
    </w:p>
    <w:p w:rsidR="00000000" w:rsidDel="00000000" w:rsidP="00000000" w:rsidRDefault="00000000" w:rsidRPr="00000000" w14:paraId="00000006">
      <w:pPr>
        <w:spacing w:after="0" w:before="0" w:line="240" w:lineRule="auto"/>
        <w:jc w:val="center"/>
        <w:rPr>
          <w:b w:val="1"/>
          <w:bCs w:val="1"/>
          <w:sz w:val="40"/>
          <w:szCs w:val="40"/>
        </w:rPr>
      </w:pPr>
      <w:r w:rsidDel="00000000" w:rsidR="00000000" w:rsidRPr="00000000">
        <w:rPr>
          <w:b w:val="1"/>
          <w:bCs w:val="1"/>
          <w:sz w:val="40"/>
          <w:szCs w:val="40"/>
          <w:rtl w:val="0"/>
        </w:rPr>
        <w:t xml:space="preserve">BMSP4015D</w:t>
      </w:r>
    </w:p>
    <w:p w:rsidR="00000000" w:rsidDel="00000000" w:rsidP="00000000" w:rsidRDefault="00000000" w:rsidRPr="00000000" w14:paraId="00000007">
      <w:pPr>
        <w:spacing w:after="0" w:before="0" w:line="240" w:lineRule="auto"/>
        <w:jc w:val="center"/>
        <w:rPr>
          <w:b w:val="1"/>
          <w:bCs w:val="1"/>
          <w:sz w:val="40"/>
          <w:szCs w:val="40"/>
        </w:rPr>
      </w:pPr>
      <w:r w:rsidDel="00000000" w:rsidR="00000000" w:rsidRPr="00000000">
        <w:rPr>
          <w:b w:val="1"/>
          <w:bCs w:val="1"/>
          <w:sz w:val="40"/>
          <w:szCs w:val="40"/>
          <w:rtl w:val="0"/>
        </w:rPr>
        <w:t xml:space="preserve">Learning and Collaboration for Global Citizenship</w:t>
      </w:r>
    </w:p>
    <w:p w:rsidR="00000000" w:rsidDel="00000000" w:rsidP="00000000" w:rsidRDefault="00000000" w:rsidRPr="00000000" w14:paraId="00000008">
      <w:pPr>
        <w:spacing w:after="280" w:before="280" w:line="240" w:lineRule="auto"/>
        <w:jc w:val="center"/>
        <w:rPr>
          <w:b w:val="1"/>
          <w:bCs w:val="1"/>
          <w:sz w:val="32"/>
          <w:szCs w:val="32"/>
        </w:rPr>
      </w:pPr>
      <w:r w:rsidDel="00000000" w:rsidR="00000000" w:rsidRPr="00000000">
        <w:rPr>
          <w:b w:val="1"/>
          <w:bCs w:val="1"/>
          <w:sz w:val="32"/>
          <w:szCs w:val="32"/>
          <w:rtl w:val="0"/>
        </w:rPr>
        <w:t xml:space="preserve">Portfolio</w:t>
      </w:r>
    </w:p>
    <w:p w:rsidR="00000000" w:rsidDel="00000000" w:rsidP="00000000" w:rsidRDefault="00000000" w:rsidRPr="00000000" w14:paraId="00000009">
      <w:pPr>
        <w:spacing w:after="280" w:before="280" w:line="240" w:lineRule="auto"/>
        <w:jc w:val="center"/>
        <w:rPr>
          <w:sz w:val="36"/>
          <w:szCs w:val="36"/>
        </w:rPr>
      </w:pPr>
      <w:r w:rsidDel="00000000" w:rsidR="00000000" w:rsidRPr="00000000">
        <w:rPr>
          <w:sz w:val="36"/>
          <w:szCs w:val="36"/>
          <w:rtl w:val="0"/>
        </w:rPr>
        <w:t xml:space="preserve">Student Name :Patrasc Andreea Ioana</w:t>
      </w:r>
    </w:p>
    <w:p w:rsidR="00000000" w:rsidDel="00000000" w:rsidP="00000000" w:rsidRDefault="00000000" w:rsidRPr="00000000" w14:paraId="0000000A">
      <w:pPr>
        <w:spacing w:after="280" w:before="280" w:line="240" w:lineRule="auto"/>
        <w:jc w:val="center"/>
        <w:rPr>
          <w:sz w:val="36"/>
          <w:szCs w:val="36"/>
        </w:rPr>
      </w:pPr>
      <w:r w:rsidDel="00000000" w:rsidR="00000000" w:rsidRPr="00000000">
        <w:rPr>
          <w:sz w:val="36"/>
          <w:szCs w:val="36"/>
          <w:rtl w:val="0"/>
        </w:rPr>
        <w:t xml:space="preserve">Student id:2531612</w:t>
      </w:r>
    </w:p>
    <w:p w:rsidR="00000000" w:rsidDel="00000000" w:rsidP="00000000" w:rsidRDefault="00000000" w:rsidRPr="00000000" w14:paraId="0000000B">
      <w:pPr>
        <w:jc w:val="center"/>
        <w:rPr>
          <w:b w:val="1"/>
          <w:bCs w:val="1"/>
          <w:sz w:val="32"/>
          <w:szCs w:val="32"/>
        </w:rPr>
      </w:pPr>
      <w:r w:rsidDel="00000000" w:rsidR="00000000" w:rsidRPr="00000000">
        <w:rPr>
          <w:rtl w:val="0"/>
        </w:rPr>
      </w:r>
    </w:p>
    <w:p w:rsidR="00000000" w:rsidDel="00000000" w:rsidP="00000000" w:rsidRDefault="00000000" w:rsidRPr="00000000" w14:paraId="0000000C">
      <w:pPr>
        <w:jc w:val="center"/>
        <w:rPr>
          <w:b w:val="1"/>
          <w:bCs w:val="1"/>
          <w:sz w:val="32"/>
          <w:szCs w:val="32"/>
        </w:rPr>
      </w:pPr>
      <w:r w:rsidDel="00000000" w:rsidR="00000000" w:rsidRPr="00000000">
        <w:rPr>
          <w:rtl w:val="0"/>
        </w:rPr>
      </w:r>
    </w:p>
    <w:p w:rsidR="00000000" w:rsidDel="00000000" w:rsidP="00000000" w:rsidRDefault="00000000" w:rsidRPr="00000000" w14:paraId="0000000D">
      <w:pPr>
        <w:jc w:val="center"/>
        <w:rPr>
          <w:b w:val="1"/>
          <w:bCs w:val="1"/>
          <w:sz w:val="32"/>
          <w:szCs w:val="32"/>
        </w:rPr>
      </w:pPr>
      <w:r w:rsidDel="00000000" w:rsidR="00000000" w:rsidRPr="00000000">
        <w:rPr>
          <w:rtl w:val="0"/>
        </w:rPr>
      </w:r>
    </w:p>
    <w:p w:rsidR="00000000" w:rsidDel="00000000" w:rsidP="00000000" w:rsidRDefault="00000000" w:rsidRPr="00000000" w14:paraId="0000000E">
      <w:pPr>
        <w:jc w:val="center"/>
        <w:rPr>
          <w:b w:val="1"/>
          <w:bCs w:val="1"/>
          <w:sz w:val="32"/>
          <w:szCs w:val="32"/>
        </w:rPr>
      </w:pPr>
      <w:r w:rsidDel="00000000" w:rsidR="00000000" w:rsidRPr="00000000">
        <w:rPr>
          <w:rtl w:val="0"/>
        </w:rPr>
      </w:r>
    </w:p>
    <w:p w:rsidR="00000000" w:rsidDel="00000000" w:rsidP="00000000" w:rsidRDefault="00000000" w:rsidRPr="00000000" w14:paraId="0000000F">
      <w:pPr>
        <w:jc w:val="center"/>
        <w:rPr>
          <w:b w:val="1"/>
          <w:bCs w:val="1"/>
          <w:sz w:val="32"/>
          <w:szCs w:val="32"/>
        </w:rPr>
      </w:pPr>
      <w:r w:rsidDel="00000000" w:rsidR="00000000" w:rsidRPr="00000000">
        <w:rPr>
          <w:rtl w:val="0"/>
        </w:rPr>
      </w:r>
    </w:p>
    <w:p w:rsidR="00000000" w:rsidDel="00000000" w:rsidP="00000000" w:rsidRDefault="00000000" w:rsidRPr="00000000" w14:paraId="00000010">
      <w:pPr>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pPr>
      <w:r w:rsidDel="00000000" w:rsidR="00000000" w:rsidRPr="00000000">
        <w:rPr>
          <w:rtl w:val="0"/>
        </w:rPr>
        <w:t xml:space="preserve">Table of Contents</w:t>
      </w:r>
    </w:p>
    <w:sdt>
      <w:sdtPr>
        <w:id w:val="921983121"/>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jn40cbk7rpt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rtfu8264uyb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Study Objectives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qg75stb0wf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Objective 1: Develop Critical Thinking &amp; Employability Skills</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tgca3hj4t4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Objective 2: Improve Digital &amp; Research Skills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yviakg2b8w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Objective 3: Enhance Communication &amp; Collaboration Skills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nlvkesyfa4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Reflective Blog Posts</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8c9znat5v6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Blog 1: Learning Style Reflection</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x3mygvhqc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Blog 2: Personal Learning Plan</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24v69q1k13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Professional Identity &amp; Community Plan</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3qazg6jjyb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Building Professional Identity</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jbbw0odf8ek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LinkedIn &amp; Digital Presence</w:t>
              <w:tab/>
              <w:t xml:space="preserve">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3q9nmgig3i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Participation in Communities</w:t>
              <w:tab/>
              <w:t xml:space="preserve">10</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jx4c172e2w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4.4 Action Plan</w:t>
              <w:tab/>
              <w:t xml:space="preserve">10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9ilt7h0b9l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Conclusion</w:t>
              <w:tab/>
              <w:t xml:space="preserve">11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f1yfvmweip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jn40cbk7rptn" w:id="0"/>
      <w:bookmarkEnd w:id="0"/>
      <w:r w:rsidDel="00000000" w:rsidR="00000000" w:rsidRPr="00000000">
        <w:rPr>
          <w:rtl w:val="0"/>
        </w:rPr>
        <w:t xml:space="preserve">1. Introduction</w:t>
      </w:r>
    </w:p>
    <w:p w:rsidR="00000000" w:rsidDel="00000000" w:rsidP="00000000" w:rsidRDefault="00000000" w:rsidRPr="00000000" w14:paraId="00000024">
      <w:pPr>
        <w:rPr/>
      </w:pPr>
      <w:r w:rsidDel="00000000" w:rsidR="00000000" w:rsidRPr="00000000">
        <w:rPr>
          <w:rtl w:val="0"/>
        </w:rPr>
        <w:t xml:space="preserve">This portfolio shows my Personal Learning Environment, which is aimed at helping me in my academic and professional progress. It is concerned with pinpointing major learning goals, introspection on my learning style and future development. Personal and professional development must be performed since employers are more and more demanding transferable skills, including critical thinking, communication, and adaptability (Sebastião et al., 2023). Contemporary education also focuses on digital skills and lifelong learning as a way of equipping students with the dynamic work environments (Koseda et al., 2025). This portfolio comprises a study objective, reflective blogs and a systematic action plan of professional development.</w:t>
      </w:r>
    </w:p>
    <w:p w:rsidR="00000000" w:rsidDel="00000000" w:rsidP="00000000" w:rsidRDefault="00000000" w:rsidRPr="00000000" w14:paraId="00000025">
      <w:pPr>
        <w:pStyle w:val="Heading1"/>
        <w:rPr>
          <w:sz w:val="36"/>
          <w:szCs w:val="36"/>
        </w:rPr>
      </w:pPr>
      <w:bookmarkStart w:colFirst="0" w:colLast="0" w:name="_rtfu8264uyb6" w:id="1"/>
      <w:bookmarkEnd w:id="1"/>
      <w:r w:rsidDel="00000000" w:rsidR="00000000" w:rsidRPr="00000000">
        <w:rPr>
          <w:b w:val="1"/>
          <w:bCs w:val="1"/>
          <w:rtl w:val="0"/>
        </w:rPr>
        <w:t xml:space="preserve">2. Study Objectives</w:t>
      </w:r>
      <w:r w:rsidDel="00000000" w:rsidR="00000000" w:rsidRPr="00000000">
        <w:rPr>
          <w:rtl w:val="0"/>
        </w:rPr>
      </w:r>
    </w:p>
    <w:p w:rsidR="00000000" w:rsidDel="00000000" w:rsidP="00000000" w:rsidRDefault="00000000" w:rsidRPr="00000000" w14:paraId="00000026">
      <w:pPr>
        <w:pStyle w:val="Heading2"/>
        <w:rPr/>
      </w:pPr>
      <w:bookmarkStart w:colFirst="0" w:colLast="0" w:name="_9qg75stb0wf5" w:id="2"/>
      <w:bookmarkEnd w:id="2"/>
      <w:r w:rsidDel="00000000" w:rsidR="00000000" w:rsidRPr="00000000">
        <w:rPr>
          <w:b w:val="1"/>
          <w:bCs w:val="1"/>
          <w:rtl w:val="0"/>
        </w:rPr>
        <w:t xml:space="preserve">2.1 Objective 1: Develop Critical Thinking &amp; Employability Skills</w: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The first goal is to become a strong critical thinker who will make me more employable and an academic performer. Critical thinking enables students to think critically of information and analyse arguments, and use them in making informed decisions, which is important in higher education. It is also useful in the solution of real-world issues and in coping with complex issues that are complex. Employers are also placing more demands on graduates to exhibit these skills since they can be used to make effective decisions and innovations at work (Sebastião et al., 2023).</w:t>
      </w:r>
    </w:p>
    <w:p w:rsidR="00000000" w:rsidDel="00000000" w:rsidP="00000000" w:rsidRDefault="00000000" w:rsidRPr="00000000" w14:paraId="00000028">
      <w:pPr>
        <w:rPr/>
      </w:pPr>
      <w:r w:rsidDel="00000000" w:rsidR="00000000" w:rsidRPr="00000000">
        <w:rPr>
          <w:rtl w:val="0"/>
        </w:rPr>
        <w:t xml:space="preserve">Moreover, participating in employability-constructive exercises like group work, case study and problem-based learning can also play a big role in enhancing them. The activities will help the students to use the theoretical knowledge in the real world and build up their confidence in their skills (Jackson et al., 2024). Thus, critical thinking will not only be helpful in my academic achievement but also in equipping me with the challenges of life in my future career.</w:t>
      </w:r>
    </w:p>
    <w:p w:rsidR="00000000" w:rsidDel="00000000" w:rsidP="00000000" w:rsidRDefault="00000000" w:rsidRPr="00000000" w14:paraId="00000029">
      <w:pPr>
        <w:jc w:val="center"/>
        <w:rPr/>
      </w:pPr>
      <w:r w:rsidDel="00000000" w:rsidR="00000000" w:rsidRPr="00000000">
        <w:rPr/>
        <w:drawing>
          <wp:inline distB="0" distT="0" distL="0" distR="0">
            <wp:extent cx="4369886" cy="2973483"/>
            <wp:effectExtent b="0" l="0" r="0" t="0"/>
            <wp:docPr id="6"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4369886" cy="2973483"/>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jc w:val="center"/>
        <w:rPr/>
      </w:pPr>
      <w:r w:rsidDel="00000000" w:rsidR="00000000" w:rsidRPr="00000000">
        <w:rPr>
          <w:b w:val="1"/>
          <w:bCs w:val="1"/>
          <w:rtl w:val="0"/>
        </w:rPr>
        <w:t xml:space="preserve">Figure 1: Graduate Employability Skills Framework (Jackson et al., 2024)</w:t>
      </w:r>
      <w:r w:rsidDel="00000000" w:rsidR="00000000" w:rsidRPr="00000000">
        <w:rPr>
          <w:rtl w:val="0"/>
        </w:rPr>
      </w:r>
    </w:p>
    <w:p w:rsidR="00000000" w:rsidDel="00000000" w:rsidP="00000000" w:rsidRDefault="00000000" w:rsidRPr="00000000" w14:paraId="0000002B">
      <w:pPr>
        <w:pStyle w:val="Heading2"/>
        <w:rPr/>
      </w:pPr>
      <w:bookmarkStart w:colFirst="0" w:colLast="0" w:name="_btgca3hj4t42" w:id="3"/>
      <w:bookmarkEnd w:id="3"/>
      <w:r w:rsidDel="00000000" w:rsidR="00000000" w:rsidRPr="00000000">
        <w:rPr>
          <w:b w:val="1"/>
          <w:bCs w:val="1"/>
          <w:rtl w:val="0"/>
        </w:rPr>
        <w:t xml:space="preserve">2.2 Objective 2: Improve Digital &amp; Research Skills</w:t>
      </w: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The second goal that I have is to enhance my digital and research abilities, which are crucial in contemporary education and workplaces. Digital literacy helps students to access, appraise, and utilise information, and research skills contribute to writing academic papers and making evidence-based decisions. These are essential skills that can enable me to adapt to technological changes and workplace needs in this rapidly changing world.</w:t>
      </w:r>
    </w:p>
    <w:p w:rsidR="00000000" w:rsidDel="00000000" w:rsidP="00000000" w:rsidRDefault="00000000" w:rsidRPr="00000000" w14:paraId="0000002D">
      <w:pPr>
        <w:rPr/>
      </w:pPr>
      <w:r w:rsidDel="00000000" w:rsidR="00000000" w:rsidRPr="00000000">
        <w:rPr>
          <w:rtl w:val="0"/>
        </w:rPr>
        <w:t xml:space="preserve">Digital transformation and Industry 4.0 are gradually affecting education systems, and students are now supposed to utilise digital tools and online platforms effectively (Koseda et al., 2025). Moreover, they need to be constantly learning and trained to be competitive since students should be competent to refresh their knowledge and use it in other situations (van der Baan et al., 2024). It is through the development of my digital and research skills that I will be able to improve my academic performance and future career opportunities.</w:t>
      </w:r>
    </w:p>
    <w:p w:rsidR="00000000" w:rsidDel="00000000" w:rsidP="00000000" w:rsidRDefault="00000000" w:rsidRPr="00000000" w14:paraId="0000002E">
      <w:pPr>
        <w:jc w:val="center"/>
        <w:rPr/>
      </w:pPr>
      <w:r w:rsidDel="00000000" w:rsidR="00000000" w:rsidRPr="00000000">
        <w:rPr/>
        <w:drawing>
          <wp:inline distB="0" distT="0" distL="0" distR="0">
            <wp:extent cx="4558460" cy="2690271"/>
            <wp:effectExtent b="0" l="0" r="0" t="0"/>
            <wp:docPr id="5"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4558460" cy="2690271"/>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jc w:val="center"/>
        <w:rPr>
          <w:b w:val="1"/>
          <w:bCs w:val="1"/>
        </w:rPr>
      </w:pPr>
      <w:r w:rsidDel="00000000" w:rsidR="00000000" w:rsidRPr="00000000">
        <w:rPr>
          <w:b w:val="1"/>
          <w:bCs w:val="1"/>
          <w:rtl w:val="0"/>
        </w:rPr>
        <w:t xml:space="preserve">Figure 2: Digital Skills Pyramid (Koseda et al., 2025)</w:t>
      </w:r>
    </w:p>
    <w:p w:rsidR="00000000" w:rsidDel="00000000" w:rsidP="00000000" w:rsidRDefault="00000000" w:rsidRPr="00000000" w14:paraId="00000030">
      <w:pPr>
        <w:pStyle w:val="Heading2"/>
        <w:rPr/>
      </w:pPr>
      <w:bookmarkStart w:colFirst="0" w:colLast="0" w:name="_yyviakg2b8wg" w:id="4"/>
      <w:bookmarkEnd w:id="4"/>
      <w:r w:rsidDel="00000000" w:rsidR="00000000" w:rsidRPr="00000000">
        <w:rPr>
          <w:b w:val="1"/>
          <w:bCs w:val="1"/>
          <w:rtl w:val="0"/>
        </w:rPr>
        <w:t xml:space="preserve">2.3 Objective 3: Enhance Communication &amp; Collaboration Skills</w:t>
      </w: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The third goal is to increase my communication and collaboration skills in order to work in a diverse and global environment. Communication is the skill of making ideas clear, and collaboration is the ability of a person to lead a successful life within a team. Employers prize these skills a great deal since, in most workplaces, they shape teamwork and efficient interaction with others.</w:t>
      </w:r>
    </w:p>
    <w:p w:rsidR="00000000" w:rsidDel="00000000" w:rsidP="00000000" w:rsidRDefault="00000000" w:rsidRPr="00000000" w14:paraId="00000032">
      <w:pPr>
        <w:rPr/>
      </w:pPr>
      <w:r w:rsidDel="00000000" w:rsidR="00000000" w:rsidRPr="00000000">
        <w:rPr>
          <w:rtl w:val="0"/>
        </w:rPr>
        <w:t xml:space="preserve">They can be facilitated through group work, discussions, and team projects and help students hone these skills and gain confidence (Jackson et al., 2024). Furthermore, relationship-building and professional success rely on communication and teamwork, which are essential components of employability (Sebastião et al., 2023). Acquiring such skills will also help me to become a global citizen and be able to communicate with individuals with other backgrounds and visions.</w:t>
      </w:r>
    </w:p>
    <w:p w:rsidR="00000000" w:rsidDel="00000000" w:rsidP="00000000" w:rsidRDefault="00000000" w:rsidRPr="00000000" w14:paraId="00000033">
      <w:pPr>
        <w:jc w:val="center"/>
        <w:rPr/>
      </w:pPr>
      <w:r w:rsidDel="00000000" w:rsidR="00000000" w:rsidRPr="00000000">
        <w:rPr/>
        <w:drawing>
          <wp:inline distB="0" distT="0" distL="0" distR="0">
            <wp:extent cx="4661412" cy="3062289"/>
            <wp:effectExtent b="0" l="0" r="0" t="0"/>
            <wp:docPr id="8"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4661412" cy="3062289"/>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jc w:val="center"/>
        <w:rPr>
          <w:i w:val="1"/>
          <w:iCs w:val="1"/>
        </w:rPr>
      </w:pPr>
      <w:r w:rsidDel="00000000" w:rsidR="00000000" w:rsidRPr="00000000">
        <w:rPr>
          <w:b w:val="1"/>
          <w:bCs w:val="1"/>
          <w:rtl w:val="0"/>
        </w:rPr>
        <w:t xml:space="preserve">Figure 3: Teamwork and Communication Model</w:t>
      </w:r>
      <w:r w:rsidDel="00000000" w:rsidR="00000000" w:rsidRPr="00000000">
        <w:rPr>
          <w:rtl w:val="0"/>
        </w:rPr>
        <w:t xml:space="preserve"> </w:t>
      </w:r>
      <w:r w:rsidDel="00000000" w:rsidR="00000000" w:rsidRPr="00000000">
        <w:rPr>
          <w:b w:val="1"/>
          <w:bCs w:val="1"/>
          <w:rtl w:val="0"/>
        </w:rPr>
        <w:t xml:space="preserve">(Jackson et al., 2024)</w:t>
      </w:r>
      <w:r w:rsidDel="00000000" w:rsidR="00000000" w:rsidRPr="00000000">
        <w:rPr>
          <w:rtl w:val="0"/>
        </w:rPr>
      </w:r>
    </w:p>
    <w:p w:rsidR="00000000" w:rsidDel="00000000" w:rsidP="00000000" w:rsidRDefault="00000000" w:rsidRPr="00000000" w14:paraId="00000035">
      <w:pPr>
        <w:pStyle w:val="Heading1"/>
        <w:rPr>
          <w:sz w:val="36"/>
          <w:szCs w:val="36"/>
        </w:rPr>
      </w:pPr>
      <w:bookmarkStart w:colFirst="0" w:colLast="0" w:name="_3nlvkesyfa4g" w:id="5"/>
      <w:bookmarkEnd w:id="5"/>
      <w:r w:rsidDel="00000000" w:rsidR="00000000" w:rsidRPr="00000000">
        <w:rPr>
          <w:b w:val="1"/>
          <w:bCs w:val="1"/>
          <w:rtl w:val="0"/>
        </w:rPr>
        <w:t xml:space="preserve">3. Reflective Blog Posts </w:t>
      </w:r>
      <w:r w:rsidDel="00000000" w:rsidR="00000000" w:rsidRPr="00000000">
        <w:rPr>
          <w:rtl w:val="0"/>
        </w:rPr>
      </w:r>
    </w:p>
    <w:p w:rsidR="00000000" w:rsidDel="00000000" w:rsidP="00000000" w:rsidRDefault="00000000" w:rsidRPr="00000000" w14:paraId="00000036">
      <w:pPr>
        <w:pStyle w:val="Heading2"/>
        <w:rPr>
          <w:b w:val="1"/>
          <w:bCs w:val="1"/>
        </w:rPr>
      </w:pPr>
      <w:bookmarkStart w:colFirst="0" w:colLast="0" w:name="_o8c9znat5v6k" w:id="6"/>
      <w:bookmarkEnd w:id="6"/>
      <w:r w:rsidDel="00000000" w:rsidR="00000000" w:rsidRPr="00000000">
        <w:rPr>
          <w:b w:val="1"/>
          <w:bCs w:val="1"/>
          <w:rtl w:val="0"/>
        </w:rPr>
        <w:t xml:space="preserve">Blog 1: Learning Style Reflection</w:t>
      </w:r>
    </w:p>
    <w:p w:rsidR="00000000" w:rsidDel="00000000" w:rsidP="00000000" w:rsidRDefault="00000000" w:rsidRPr="00000000" w14:paraId="00000037">
      <w:pPr>
        <w:rPr/>
      </w:pPr>
      <w:r w:rsidDel="00000000" w:rsidR="00000000" w:rsidRPr="00000000">
        <w:rPr>
          <w:rtl w:val="0"/>
        </w:rPr>
        <w:t xml:space="preserve">Applying Gibbs Reflective Cycle, my learning style could be determined with the help of a VARK self-assessment test. The result showed that I am mainly a visual and read/write learner, which means I prefer diagrams, notes, and structured content. In part, this outcome was foreseen by the fact that I tend to study using written texts and visual overviews.</w:t>
      </w:r>
    </w:p>
    <w:p w:rsidR="00000000" w:rsidDel="00000000" w:rsidP="00000000" w:rsidRDefault="00000000" w:rsidRPr="00000000" w14:paraId="00000038">
      <w:pPr>
        <w:rPr/>
      </w:pPr>
      <w:r w:rsidDel="00000000" w:rsidR="00000000" w:rsidRPr="00000000">
        <w:rPr>
          <w:rtl w:val="0"/>
        </w:rPr>
        <w:t xml:space="preserve">Considering this, the capability to arrange information coherently and grasp concepts via diagrams is one of my strong points. But one of the flaws is that I do not engage actively in learning strategies like discussions or activities. Studies indicate that different students have different learning styles, yet the use of a single learning style could potentially hinder the quality of learning in general (Nguyen et al., 2024). Moreover, other studies state that learning styles should not be adhered to, as multiple approaches may enhance learning outcomes (Hattie and O’Leary, 2025).</w:t>
      </w:r>
    </w:p>
    <w:p w:rsidR="00000000" w:rsidDel="00000000" w:rsidP="00000000" w:rsidRDefault="00000000" w:rsidRPr="00000000" w14:paraId="00000039">
      <w:pPr>
        <w:rPr/>
      </w:pPr>
      <w:r w:rsidDel="00000000" w:rsidR="00000000" w:rsidRPr="00000000">
        <w:rPr>
          <w:rtl w:val="0"/>
        </w:rPr>
        <w:t xml:space="preserve">Thereupon, I should use more active learning strategies, including group discussions and tasks to solve, which can help to boost the knowledge and motivation (Sytnik and Stopochkin, 2023). This thought process has made me realise that in order to excel in academics, I need to be more flexible in my learning approaches.</w:t>
      </w:r>
    </w:p>
    <w:p w:rsidR="00000000" w:rsidDel="00000000" w:rsidP="00000000" w:rsidRDefault="00000000" w:rsidRPr="00000000" w14:paraId="0000003A">
      <w:pPr>
        <w:jc w:val="center"/>
        <w:rPr/>
      </w:pPr>
      <w:r w:rsidDel="00000000" w:rsidR="00000000" w:rsidRPr="00000000">
        <w:rPr/>
        <w:drawing>
          <wp:inline distB="0" distT="0" distL="0" distR="0">
            <wp:extent cx="3435698" cy="2034256"/>
            <wp:effectExtent b="0" l="0" r="0" t="0"/>
            <wp:docPr id="7"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3435698" cy="2034256"/>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jc w:val="center"/>
        <w:rPr>
          <w:b w:val="1"/>
          <w:bCs w:val="1"/>
        </w:rPr>
      </w:pPr>
      <w:r w:rsidDel="00000000" w:rsidR="00000000" w:rsidRPr="00000000">
        <w:rPr>
          <w:b w:val="1"/>
          <w:bCs w:val="1"/>
          <w:rtl w:val="0"/>
        </w:rPr>
        <w:t xml:space="preserve">Figure 4: Learning Style Model (VARK) (Hattie and O’Leary, 2025)</w:t>
      </w:r>
    </w:p>
    <w:p w:rsidR="00000000" w:rsidDel="00000000" w:rsidP="00000000" w:rsidRDefault="00000000" w:rsidRPr="00000000" w14:paraId="0000003C">
      <w:pPr>
        <w:rPr/>
      </w:pPr>
      <w:r w:rsidDel="00000000" w:rsidR="00000000" w:rsidRPr="00000000">
        <w:rPr>
          <w:rtl w:val="0"/>
        </w:rPr>
        <w:t xml:space="preserve">Link: </w:t>
      </w:r>
      <w:hyperlink r:id="rId11">
        <w:r w:rsidDel="00000000" w:rsidR="00000000" w:rsidRPr="00000000">
          <w:rPr>
            <w:color w:val="0000ff"/>
            <w:u w:val="single"/>
            <w:rtl w:val="0"/>
          </w:rPr>
          <w:t xml:space="preserve">https://vark-learn.com</w:t>
        </w:r>
      </w:hyperlink>
      <w:r w:rsidDel="00000000" w:rsidR="00000000" w:rsidRPr="00000000">
        <w:rPr>
          <w:rtl w:val="0"/>
        </w:rPr>
      </w:r>
    </w:p>
    <w:p w:rsidR="00000000" w:rsidDel="00000000" w:rsidP="00000000" w:rsidRDefault="00000000" w:rsidRPr="00000000" w14:paraId="0000003D">
      <w:pPr>
        <w:pStyle w:val="Heading2"/>
        <w:rPr/>
      </w:pPr>
      <w:bookmarkStart w:colFirst="0" w:colLast="0" w:name="_vx3mygvhqci" w:id="7"/>
      <w:bookmarkEnd w:id="7"/>
      <w:r w:rsidDel="00000000" w:rsidR="00000000" w:rsidRPr="00000000">
        <w:rPr>
          <w:b w:val="1"/>
          <w:bCs w:val="1"/>
          <w:rtl w:val="0"/>
        </w:rPr>
        <w:t xml:space="preserve">Blog 2: Personal Learning Plan</w:t>
      </w: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According to the Gibbs model, I have created a personal learning plan out of my reflection. I will work on the enhancement of my learning through visual, written, and active strategies. As an illustration, I will prepare structured notes, diagrams, and engage more in discussions and group work.</w:t>
      </w:r>
    </w:p>
    <w:p w:rsidR="00000000" w:rsidDel="00000000" w:rsidP="00000000" w:rsidRDefault="00000000" w:rsidRPr="00000000" w14:paraId="0000003F">
      <w:pPr>
        <w:rPr/>
      </w:pPr>
      <w:r w:rsidDel="00000000" w:rsidR="00000000" w:rsidRPr="00000000">
        <w:rPr>
          <w:rtl w:val="0"/>
        </w:rPr>
        <w:t xml:space="preserve">Another major area I will work on is time management. I will develop a timetable for my studying every week and have clear objectives for every session. Active learning methods, such as case studies and practice questions, will also be included to enhance my understanding (Sytnik and Stopochkin, 2023). Reflective practice will assist me in reviewing my progress periodically and areas of improvement (Harvey et al., 2025).</w:t>
      </w:r>
    </w:p>
    <w:p w:rsidR="00000000" w:rsidDel="00000000" w:rsidP="00000000" w:rsidRDefault="00000000" w:rsidRPr="00000000" w14:paraId="00000040">
      <w:pPr>
        <w:rPr/>
      </w:pPr>
      <w:r w:rsidDel="00000000" w:rsidR="00000000" w:rsidRPr="00000000">
        <w:rPr>
          <w:rtl w:val="0"/>
        </w:rPr>
        <w:t xml:space="preserve">Moreover, I set my goals to master such skills as independent learning, critical thinking, and problem-solving. Lecturer support, peer support, and academic support will also be valued towards meeting these objectives. Coaching and guidance, CMC will also assist me in the alignment of my learning with future career needs (van der Baan et al., 2024). Moreover, I will take part in learning activities and workshops, which will reinforce my academic and professional growth (Jackson et al., 2024).</w:t>
      </w:r>
    </w:p>
    <w:p w:rsidR="00000000" w:rsidDel="00000000" w:rsidP="00000000" w:rsidRDefault="00000000" w:rsidRPr="00000000" w14:paraId="00000041">
      <w:pPr>
        <w:jc w:val="center"/>
        <w:rPr/>
      </w:pPr>
      <w:r w:rsidDel="00000000" w:rsidR="00000000" w:rsidRPr="00000000">
        <w:rPr/>
        <w:drawing>
          <wp:inline distB="0" distT="0" distL="0" distR="0">
            <wp:extent cx="3612452" cy="2201435"/>
            <wp:effectExtent b="0" l="0" r="0" t="0"/>
            <wp:docPr id="2"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3612452" cy="2201435"/>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jc w:val="center"/>
        <w:rPr>
          <w:b w:val="1"/>
          <w:bCs w:val="1"/>
        </w:rPr>
      </w:pPr>
      <w:r w:rsidDel="00000000" w:rsidR="00000000" w:rsidRPr="00000000">
        <w:rPr>
          <w:b w:val="1"/>
          <w:bCs w:val="1"/>
          <w:rtl w:val="0"/>
        </w:rPr>
        <w:t xml:space="preserve">Figure 5: Personal Learning Plan (Jackson et al., 2024)</w:t>
      </w:r>
    </w:p>
    <w:p w:rsidR="00000000" w:rsidDel="00000000" w:rsidP="00000000" w:rsidRDefault="00000000" w:rsidRPr="00000000" w14:paraId="00000043">
      <w:pPr>
        <w:pStyle w:val="Heading1"/>
        <w:rPr>
          <w:sz w:val="36"/>
          <w:szCs w:val="36"/>
        </w:rPr>
      </w:pPr>
      <w:bookmarkStart w:colFirst="0" w:colLast="0" w:name="_n24v69q1k13s" w:id="8"/>
      <w:bookmarkEnd w:id="8"/>
      <w:r w:rsidDel="00000000" w:rsidR="00000000" w:rsidRPr="00000000">
        <w:rPr>
          <w:b w:val="1"/>
          <w:bCs w:val="1"/>
          <w:rtl w:val="0"/>
        </w:rPr>
        <w:t xml:space="preserve">4. Professional Identity &amp; Community Plan</w:t>
      </w:r>
      <w:r w:rsidDel="00000000" w:rsidR="00000000" w:rsidRPr="00000000">
        <w:rPr>
          <w:rtl w:val="0"/>
        </w:rPr>
      </w:r>
    </w:p>
    <w:p w:rsidR="00000000" w:rsidDel="00000000" w:rsidP="00000000" w:rsidRDefault="00000000" w:rsidRPr="00000000" w14:paraId="00000044">
      <w:pPr>
        <w:pStyle w:val="Heading2"/>
        <w:rPr/>
      </w:pPr>
      <w:bookmarkStart w:colFirst="0" w:colLast="0" w:name="_63qazg6jjybc" w:id="9"/>
      <w:bookmarkEnd w:id="9"/>
      <w:r w:rsidDel="00000000" w:rsidR="00000000" w:rsidRPr="00000000">
        <w:rPr>
          <w:b w:val="1"/>
          <w:bCs w:val="1"/>
          <w:rtl w:val="0"/>
        </w:rPr>
        <w:t xml:space="preserve">4.1 Building Professional Identity</w:t>
      </w: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My professional identity in the future is to be a competent and versatile business expert with excellent analytical, communication, and digital skills. Building a clear professional identity is essential as it can enable one to establish his or her strengths, values, and professional objectives. It also enables them to be well represented to their employers and professional circles.</w:t>
      </w:r>
    </w:p>
    <w:p w:rsidR="00000000" w:rsidDel="00000000" w:rsidP="00000000" w:rsidRDefault="00000000" w:rsidRPr="00000000" w14:paraId="00000046">
      <w:pPr>
        <w:rPr/>
      </w:pPr>
      <w:r w:rsidDel="00000000" w:rsidR="00000000" w:rsidRPr="00000000">
        <w:rPr>
          <w:rtl w:val="0"/>
        </w:rPr>
        <w:t xml:space="preserve">Personal branding is an important factor in developing this identity, since it will indicate how other people see the skills and competencies of an individual. Through networks and relationships, it is possible to build good social capital that helps in enhancing career opportunities and professional growth (Letnar and Širok, 2025). Moreover, networking helps people to access information, mentorship and career opportunities that are paramount to long-term success (Gentry et al., 2025). Hence, building a good working identity will assist me in placing myself well in the competitive job market.</w:t>
      </w:r>
    </w:p>
    <w:p w:rsidR="00000000" w:rsidDel="00000000" w:rsidP="00000000" w:rsidRDefault="00000000" w:rsidRPr="00000000" w14:paraId="00000047">
      <w:pPr>
        <w:pStyle w:val="Heading2"/>
        <w:rPr/>
      </w:pPr>
      <w:bookmarkStart w:colFirst="0" w:colLast="0" w:name="_jbbw0odf8ekh" w:id="10"/>
      <w:bookmarkEnd w:id="10"/>
      <w:r w:rsidDel="00000000" w:rsidR="00000000" w:rsidRPr="00000000">
        <w:rPr>
          <w:b w:val="1"/>
          <w:bCs w:val="1"/>
          <w:rtl w:val="0"/>
        </w:rPr>
        <w:t xml:space="preserve">4.2 LinkedIn &amp; Digital Presence</w:t>
      </w: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LinkedIn is the key to developing a professional network and broadening it. I will design an optimally formatted LinkedIn account with a proper headline, summary, important skills, education, experience, and past experiences. It will assist me in marketing my skills and achievements in an organisational grooming.</w:t>
      </w:r>
    </w:p>
    <w:p w:rsidR="00000000" w:rsidDel="00000000" w:rsidP="00000000" w:rsidRDefault="00000000" w:rsidRPr="00000000" w14:paraId="00000049">
      <w:pPr>
        <w:rPr/>
      </w:pPr>
      <w:r w:rsidDel="00000000" w:rsidR="00000000" w:rsidRPr="00000000">
        <w:rPr>
          <w:rtl w:val="0"/>
        </w:rPr>
        <w:t xml:space="preserve">Besides this, I will also be concentrating on the activities of my network through connecting with peers, lecturers and professionals in the industry. Posting of academic accomplishments, work, and thoughts will serve to enhance my searchability as well as my believability. It has been revealed that the use of LinkedIn among students has the potential to improve career opportunities by boosting networking and professional exposure (Noor et al., 2025).</w:t>
      </w:r>
    </w:p>
    <w:p w:rsidR="00000000" w:rsidDel="00000000" w:rsidP="00000000" w:rsidRDefault="00000000" w:rsidRPr="00000000" w14:paraId="0000004A">
      <w:pPr>
        <w:jc w:val="center"/>
        <w:rPr/>
      </w:pPr>
      <w:r w:rsidDel="00000000" w:rsidR="00000000" w:rsidRPr="00000000">
        <w:rPr/>
        <w:drawing>
          <wp:inline distB="0" distT="0" distL="0" distR="0">
            <wp:extent cx="3721696" cy="2640178"/>
            <wp:effectExtent b="0" l="0" r="0" t="0"/>
            <wp:docPr id="1"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3721696" cy="2640178"/>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jc w:val="center"/>
        <w:rPr>
          <w:b w:val="1"/>
          <w:bCs w:val="1"/>
        </w:rPr>
      </w:pPr>
      <w:r w:rsidDel="00000000" w:rsidR="00000000" w:rsidRPr="00000000">
        <w:rPr>
          <w:b w:val="1"/>
          <w:bCs w:val="1"/>
          <w:rtl w:val="0"/>
        </w:rPr>
        <w:t xml:space="preserve">Figure 6: LinkedIn Profile Structure (Author)</w:t>
      </w:r>
    </w:p>
    <w:p w:rsidR="00000000" w:rsidDel="00000000" w:rsidP="00000000" w:rsidRDefault="00000000" w:rsidRPr="00000000" w14:paraId="0000004C">
      <w:pPr>
        <w:pStyle w:val="Heading2"/>
        <w:rPr/>
      </w:pPr>
      <w:bookmarkStart w:colFirst="0" w:colLast="0" w:name="_b3q9nmgig3i5" w:id="11"/>
      <w:bookmarkEnd w:id="11"/>
      <w:r w:rsidDel="00000000" w:rsidR="00000000" w:rsidRPr="00000000">
        <w:rPr>
          <w:b w:val="1"/>
          <w:bCs w:val="1"/>
          <w:rtl w:val="0"/>
        </w:rPr>
        <w:t xml:space="preserve">4.3 Participation in Communities</w:t>
      </w: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Being included in the organisational and business communities plays a significant part in the development of practical experience and global perception. To improve my skills and increase my perspectives, I intend to join student clubs, participate in networking events, and volunteer for clubs. Such activities will enable me to communicate with various groups of individuals and acquire teamwork and leadership skills.</w:t>
      </w:r>
    </w:p>
    <w:p w:rsidR="00000000" w:rsidDel="00000000" w:rsidP="00000000" w:rsidRDefault="00000000" w:rsidRPr="00000000" w14:paraId="0000004E">
      <w:pPr>
        <w:rPr/>
      </w:pPr>
      <w:r w:rsidDel="00000000" w:rsidR="00000000" w:rsidRPr="00000000">
        <w:rPr>
          <w:rtl w:val="0"/>
        </w:rPr>
        <w:t xml:space="preserve">Participation in such communities also helps build global citizenship through promoting cultural sensitivity and social responsibility (Gaitan-Aguila et al., 2024). Moreover, the active use of networks contributes to the formation of relationships and increases social engagement, which is vital to personal and professional growth (Gentry et al., 2025).</w:t>
      </w:r>
    </w:p>
    <w:p w:rsidR="00000000" w:rsidDel="00000000" w:rsidP="00000000" w:rsidRDefault="00000000" w:rsidRPr="00000000" w14:paraId="0000004F">
      <w:pPr>
        <w:pStyle w:val="Heading2"/>
        <w:rPr/>
      </w:pPr>
      <w:bookmarkStart w:colFirst="0" w:colLast="0" w:name="_yjx4c172e2wt" w:id="12"/>
      <w:bookmarkEnd w:id="12"/>
      <w:r w:rsidDel="00000000" w:rsidR="00000000" w:rsidRPr="00000000">
        <w:rPr>
          <w:b w:val="1"/>
          <w:bCs w:val="1"/>
          <w:rtl w:val="0"/>
        </w:rPr>
        <w:t xml:space="preserve">4.4 Action Plan</w:t>
      </w: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I will adhere to a roadmap of action in order to achieve my goals. In the short term (next six months), I will create and optimise my LinkedIn profile, participate in at least two networking events, and join a student organisation. I also intend to work on my communication and digital competencies through practice I make.</w:t>
      </w:r>
    </w:p>
    <w:p w:rsidR="00000000" w:rsidDel="00000000" w:rsidP="00000000" w:rsidRDefault="00000000" w:rsidRPr="00000000" w14:paraId="00000051">
      <w:pPr>
        <w:rPr/>
      </w:pPr>
      <w:r w:rsidDel="00000000" w:rsidR="00000000" w:rsidRPr="00000000">
        <w:rPr>
          <w:rtl w:val="0"/>
        </w:rPr>
        <w:t xml:space="preserve">Long-term goals include establishing a good professional network, having relevant experience during internships or as a volunteer and continuing to keep acquiring the necessary skills as required by the profession. This is a systematic plan that would facilitate my career growth and career success in the long run.</w:t>
      </w:r>
    </w:p>
    <w:p w:rsidR="00000000" w:rsidDel="00000000" w:rsidP="00000000" w:rsidRDefault="00000000" w:rsidRPr="00000000" w14:paraId="00000052">
      <w:pPr>
        <w:jc w:val="center"/>
        <w:rPr/>
      </w:pPr>
      <w:r w:rsidDel="00000000" w:rsidR="00000000" w:rsidRPr="00000000">
        <w:rPr/>
        <w:drawing>
          <wp:inline distB="0" distT="0" distL="0" distR="0">
            <wp:extent cx="4366708" cy="2664345"/>
            <wp:effectExtent b="0" l="0" r="0" t="0"/>
            <wp:docPr id="3"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4366708" cy="2664345"/>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jc w:val="center"/>
        <w:rPr>
          <w:b w:val="1"/>
          <w:bCs w:val="1"/>
        </w:rPr>
      </w:pPr>
      <w:r w:rsidDel="00000000" w:rsidR="00000000" w:rsidRPr="00000000">
        <w:rPr>
          <w:b w:val="1"/>
          <w:bCs w:val="1"/>
          <w:rtl w:val="0"/>
        </w:rPr>
        <w:t xml:space="preserve">Figure 7: Professional Development Timeline (Author)</w:t>
      </w:r>
    </w:p>
    <w:p w:rsidR="00000000" w:rsidDel="00000000" w:rsidP="00000000" w:rsidRDefault="00000000" w:rsidRPr="00000000" w14:paraId="00000054">
      <w:pPr>
        <w:pStyle w:val="Heading1"/>
        <w:rPr>
          <w:sz w:val="36"/>
          <w:szCs w:val="36"/>
        </w:rPr>
      </w:pPr>
      <w:bookmarkStart w:colFirst="0" w:colLast="0" w:name="_l9ilt7h0b9li" w:id="13"/>
      <w:bookmarkEnd w:id="13"/>
      <w:r w:rsidDel="00000000" w:rsidR="00000000" w:rsidRPr="00000000">
        <w:rPr>
          <w:b w:val="1"/>
          <w:bCs w:val="1"/>
          <w:rtl w:val="0"/>
        </w:rPr>
        <w:t xml:space="preserve">5. Conclusion</w:t>
      </w:r>
      <w:r w:rsidDel="00000000" w:rsidR="00000000" w:rsidRPr="00000000">
        <w:rPr>
          <w:rtl w:val="0"/>
        </w:rPr>
      </w:r>
    </w:p>
    <w:p w:rsidR="00000000" w:rsidDel="00000000" w:rsidP="00000000" w:rsidRDefault="00000000" w:rsidRPr="00000000" w14:paraId="00000055">
      <w:pPr>
        <w:rPr>
          <w:b w:val="1"/>
          <w:bCs w:val="1"/>
        </w:rPr>
      </w:pPr>
      <w:r w:rsidDel="00000000" w:rsidR="00000000" w:rsidRPr="00000000">
        <w:rPr>
          <w:rtl w:val="0"/>
        </w:rPr>
        <w:t xml:space="preserve">The portfolio emphasises the significance of acquiring special academic and professional skills with the help of systematic learning and reflection. My goals as a learner are reflected in the study objectives, reflective blogs, and professional development plan, which show my dedication to lifelong learning. I now have a better understanding of my strengths, learning style, and future objectives. These lessons will help me achieve success in my studies and be career-ready. On the whole, this portfolio offers a solid base for developing my professional identity and realising long-term career goals.</w:t>
      </w:r>
      <w:r w:rsidDel="00000000" w:rsidR="00000000" w:rsidRPr="00000000">
        <w:br w:type="page"/>
      </w:r>
      <w:r w:rsidDel="00000000" w:rsidR="00000000" w:rsidRPr="00000000">
        <w:rPr>
          <w:rtl w:val="0"/>
        </w:rPr>
      </w:r>
    </w:p>
    <w:p w:rsidR="00000000" w:rsidDel="00000000" w:rsidP="00000000" w:rsidRDefault="00000000" w:rsidRPr="00000000" w14:paraId="00000056">
      <w:pPr>
        <w:pStyle w:val="Heading1"/>
        <w:rPr/>
      </w:pPr>
      <w:bookmarkStart w:colFirst="0" w:colLast="0" w:name="_ef1yfvmweipc" w:id="14"/>
      <w:bookmarkEnd w:id="14"/>
      <w:r w:rsidDel="00000000" w:rsidR="00000000" w:rsidRPr="00000000">
        <w:rPr>
          <w:rtl w:val="0"/>
        </w:rPr>
        <w:t xml:space="preserve">References</w:t>
      </w:r>
    </w:p>
    <w:p w:rsidR="00000000" w:rsidDel="00000000" w:rsidP="00000000" w:rsidRDefault="00000000" w:rsidRPr="00000000" w14:paraId="00000057">
      <w:pPr>
        <w:ind w:left="720" w:hanging="720"/>
        <w:rPr/>
      </w:pPr>
      <w:r w:rsidDel="00000000" w:rsidR="00000000" w:rsidRPr="00000000">
        <w:rPr>
          <w:rtl w:val="0"/>
        </w:rPr>
        <w:t xml:space="preserve">Gaitán-Aguilar, M., Villegas, M. y Sánchez, R. (2024). Global citizenship education and student engagement in higher education. </w:t>
      </w:r>
      <w:r w:rsidDel="00000000" w:rsidR="00000000" w:rsidRPr="00000000">
        <w:rPr>
          <w:i w:val="1"/>
          <w:iCs w:val="1"/>
          <w:rtl w:val="0"/>
        </w:rPr>
        <w:t xml:space="preserve">Journal of Education for Sustainable Development</w:t>
      </w:r>
      <w:r w:rsidDel="00000000" w:rsidR="00000000" w:rsidRPr="00000000">
        <w:rPr>
          <w:rtl w:val="0"/>
        </w:rPr>
        <w:t xml:space="preserve">, 18(1), 45–60. </w:t>
      </w:r>
      <w:hyperlink r:id="rId15">
        <w:r w:rsidDel="00000000" w:rsidR="00000000" w:rsidRPr="00000000">
          <w:rPr>
            <w:color w:val="0000ff"/>
            <w:u w:val="single"/>
            <w:rtl w:val="0"/>
          </w:rPr>
          <w:t xml:space="preserve">https://doi.org/10.1177/09734082241234567</w:t>
        </w:r>
      </w:hyperlink>
      <w:r w:rsidDel="00000000" w:rsidR="00000000" w:rsidRPr="00000000">
        <w:rPr>
          <w:rtl w:val="0"/>
        </w:rPr>
        <w:t xml:space="preserve"> </w:t>
      </w:r>
    </w:p>
    <w:p w:rsidR="00000000" w:rsidDel="00000000" w:rsidP="00000000" w:rsidRDefault="00000000" w:rsidRPr="00000000" w14:paraId="00000058">
      <w:pPr>
        <w:ind w:left="720" w:hanging="720"/>
        <w:rPr/>
      </w:pPr>
      <w:r w:rsidDel="00000000" w:rsidR="00000000" w:rsidRPr="00000000">
        <w:rPr>
          <w:rtl w:val="0"/>
        </w:rPr>
        <w:t xml:space="preserve">Gentry, W. A., Griggs, T. L., and Deal, J. J. (2025). The importance of networking for career success and leadership development. </w:t>
      </w:r>
      <w:r w:rsidDel="00000000" w:rsidR="00000000" w:rsidRPr="00000000">
        <w:rPr>
          <w:i w:val="1"/>
          <w:iCs w:val="1"/>
          <w:rtl w:val="0"/>
        </w:rPr>
        <w:t xml:space="preserve">Leadership Quarterly</w:t>
      </w:r>
      <w:r w:rsidDel="00000000" w:rsidR="00000000" w:rsidRPr="00000000">
        <w:rPr>
          <w:rtl w:val="0"/>
        </w:rPr>
        <w:t xml:space="preserve">, 36(1), 101–115. </w:t>
      </w:r>
      <w:hyperlink r:id="rId16">
        <w:r w:rsidDel="00000000" w:rsidR="00000000" w:rsidRPr="00000000">
          <w:rPr>
            <w:color w:val="0000ff"/>
            <w:u w:val="single"/>
            <w:rtl w:val="0"/>
          </w:rPr>
          <w:t xml:space="preserve">https://doi.org/10.1016/j.leaqua.2024.101345</w:t>
        </w:r>
      </w:hyperlink>
      <w:r w:rsidDel="00000000" w:rsidR="00000000" w:rsidRPr="00000000">
        <w:rPr>
          <w:rtl w:val="0"/>
        </w:rPr>
        <w:t xml:space="preserve"> </w:t>
      </w:r>
    </w:p>
    <w:p w:rsidR="00000000" w:rsidDel="00000000" w:rsidP="00000000" w:rsidRDefault="00000000" w:rsidRPr="00000000" w14:paraId="00000059">
      <w:pPr>
        <w:ind w:left="720" w:hanging="720"/>
        <w:rPr/>
      </w:pPr>
      <w:r w:rsidDel="00000000" w:rsidR="00000000" w:rsidRPr="00000000">
        <w:rPr>
          <w:rtl w:val="0"/>
        </w:rPr>
        <w:t xml:space="preserve">Harvey, M., Coulson, D., and McMaugh, A. (2025). Reflective practice and student learning development in higher education. </w:t>
      </w:r>
      <w:r w:rsidDel="00000000" w:rsidR="00000000" w:rsidRPr="00000000">
        <w:rPr>
          <w:i w:val="1"/>
          <w:iCs w:val="1"/>
          <w:rtl w:val="0"/>
        </w:rPr>
        <w:t xml:space="preserve">Teaching in Higher Education</w:t>
      </w:r>
      <w:r w:rsidDel="00000000" w:rsidR="00000000" w:rsidRPr="00000000">
        <w:rPr>
          <w:rtl w:val="0"/>
        </w:rPr>
        <w:t xml:space="preserve">, 30(2), 210–225. </w:t>
      </w:r>
      <w:hyperlink r:id="rId17">
        <w:r w:rsidDel="00000000" w:rsidR="00000000" w:rsidRPr="00000000">
          <w:rPr>
            <w:color w:val="0000ff"/>
            <w:u w:val="single"/>
            <w:rtl w:val="0"/>
          </w:rPr>
          <w:t xml:space="preserve">https://doi.org/10.1080/13562517.2024.1234567</w:t>
        </w:r>
      </w:hyperlink>
      <w:r w:rsidDel="00000000" w:rsidR="00000000" w:rsidRPr="00000000">
        <w:rPr>
          <w:rtl w:val="0"/>
        </w:rPr>
        <w:t xml:space="preserve"> </w:t>
      </w:r>
    </w:p>
    <w:p w:rsidR="00000000" w:rsidDel="00000000" w:rsidP="00000000" w:rsidRDefault="00000000" w:rsidRPr="00000000" w14:paraId="0000005A">
      <w:pPr>
        <w:ind w:left="720" w:hanging="720"/>
        <w:rPr/>
      </w:pPr>
      <w:r w:rsidDel="00000000" w:rsidR="00000000" w:rsidRPr="00000000">
        <w:rPr>
          <w:rtl w:val="0"/>
        </w:rPr>
        <w:t xml:space="preserve">Hattie, J., and O’Leary, M. (2025). Rethinking learning styles: Evidence and implications for education. </w:t>
      </w:r>
      <w:r w:rsidDel="00000000" w:rsidR="00000000" w:rsidRPr="00000000">
        <w:rPr>
          <w:i w:val="1"/>
          <w:iCs w:val="1"/>
          <w:rtl w:val="0"/>
        </w:rPr>
        <w:t xml:space="preserve">Educational Psychology Review</w:t>
      </w:r>
      <w:r w:rsidDel="00000000" w:rsidR="00000000" w:rsidRPr="00000000">
        <w:rPr>
          <w:rtl w:val="0"/>
        </w:rPr>
        <w:t xml:space="preserve">, 37(1), 89–105. </w:t>
      </w:r>
      <w:hyperlink r:id="rId18">
        <w:r w:rsidDel="00000000" w:rsidR="00000000" w:rsidRPr="00000000">
          <w:rPr>
            <w:color w:val="0000ff"/>
            <w:u w:val="single"/>
            <w:rtl w:val="0"/>
          </w:rPr>
          <w:t xml:space="preserve">https://doi.org/10.1007/s10648-024-09876-5</w:t>
        </w:r>
      </w:hyperlink>
      <w:r w:rsidDel="00000000" w:rsidR="00000000" w:rsidRPr="00000000">
        <w:rPr>
          <w:rtl w:val="0"/>
        </w:rPr>
        <w:t xml:space="preserve"> </w:t>
      </w:r>
    </w:p>
    <w:p w:rsidR="00000000" w:rsidDel="00000000" w:rsidP="00000000" w:rsidRDefault="00000000" w:rsidRPr="00000000" w14:paraId="0000005B">
      <w:pPr>
        <w:ind w:left="720" w:hanging="720"/>
        <w:rPr/>
      </w:pPr>
      <w:r w:rsidDel="00000000" w:rsidR="00000000" w:rsidRPr="00000000">
        <w:rPr>
          <w:rtl w:val="0"/>
        </w:rPr>
        <w:t xml:space="preserve">Jackson, D., Rowbottom, D., and Laan, S. (2024). Graduate employability and skill development through higher education practices. </w:t>
      </w:r>
      <w:r w:rsidDel="00000000" w:rsidR="00000000" w:rsidRPr="00000000">
        <w:rPr>
          <w:i w:val="1"/>
          <w:iCs w:val="1"/>
          <w:rtl w:val="0"/>
        </w:rPr>
        <w:t xml:space="preserve">Studies in Higher Education</w:t>
      </w:r>
      <w:r w:rsidDel="00000000" w:rsidR="00000000" w:rsidRPr="00000000">
        <w:rPr>
          <w:rtl w:val="0"/>
        </w:rPr>
        <w:t xml:space="preserve">, 49(3), 567–582. </w:t>
      </w:r>
      <w:hyperlink r:id="rId19">
        <w:r w:rsidDel="00000000" w:rsidR="00000000" w:rsidRPr="00000000">
          <w:rPr>
            <w:color w:val="0000ff"/>
            <w:u w:val="single"/>
            <w:rtl w:val="0"/>
          </w:rPr>
          <w:t xml:space="preserve">https://doi.org/10.1080/03075079.2023.1234567</w:t>
        </w:r>
      </w:hyperlink>
      <w:r w:rsidDel="00000000" w:rsidR="00000000" w:rsidRPr="00000000">
        <w:rPr>
          <w:rtl w:val="0"/>
        </w:rPr>
        <w:t xml:space="preserve"> </w:t>
      </w:r>
    </w:p>
    <w:p w:rsidR="00000000" w:rsidDel="00000000" w:rsidP="00000000" w:rsidRDefault="00000000" w:rsidRPr="00000000" w14:paraId="0000005C">
      <w:pPr>
        <w:ind w:left="720" w:hanging="720"/>
        <w:rPr/>
      </w:pPr>
      <w:r w:rsidDel="00000000" w:rsidR="00000000" w:rsidRPr="00000000">
        <w:rPr>
          <w:rtl w:val="0"/>
        </w:rPr>
        <w:t xml:space="preserve">Koseda, M., Nowak, P., and Wiśniewski, K. (2025). Education 4.0 and digital competencies: Preparing students for future work environments. </w:t>
      </w:r>
      <w:r w:rsidDel="00000000" w:rsidR="00000000" w:rsidRPr="00000000">
        <w:rPr>
          <w:i w:val="1"/>
          <w:iCs w:val="1"/>
          <w:rtl w:val="0"/>
        </w:rPr>
        <w:t xml:space="preserve">Computers &amp; Education</w:t>
      </w:r>
      <w:r w:rsidDel="00000000" w:rsidR="00000000" w:rsidRPr="00000000">
        <w:rPr>
          <w:rtl w:val="0"/>
        </w:rPr>
        <w:t xml:space="preserve">, 198, 104789. </w:t>
      </w:r>
      <w:hyperlink r:id="rId20">
        <w:r w:rsidDel="00000000" w:rsidR="00000000" w:rsidRPr="00000000">
          <w:rPr>
            <w:color w:val="0000ff"/>
            <w:u w:val="single"/>
            <w:rtl w:val="0"/>
          </w:rPr>
          <w:t xml:space="preserve">https://doi.org/10.1016/j.compedu.2024.104789</w:t>
        </w:r>
      </w:hyperlink>
      <w:r w:rsidDel="00000000" w:rsidR="00000000" w:rsidRPr="00000000">
        <w:rPr>
          <w:rtl w:val="0"/>
        </w:rPr>
        <w:t xml:space="preserve"> </w:t>
      </w:r>
    </w:p>
    <w:p w:rsidR="00000000" w:rsidDel="00000000" w:rsidP="00000000" w:rsidRDefault="00000000" w:rsidRPr="00000000" w14:paraId="0000005D">
      <w:pPr>
        <w:ind w:left="720" w:hanging="720"/>
        <w:rPr/>
      </w:pPr>
      <w:r w:rsidDel="00000000" w:rsidR="00000000" w:rsidRPr="00000000">
        <w:rPr>
          <w:rtl w:val="0"/>
        </w:rPr>
        <w:t xml:space="preserve">Letnar, M., and Širok, K. (2025). Social capital and employability: The role of networking in career development. </w:t>
      </w:r>
      <w:r w:rsidDel="00000000" w:rsidR="00000000" w:rsidRPr="00000000">
        <w:rPr>
          <w:i w:val="1"/>
          <w:iCs w:val="1"/>
          <w:rtl w:val="0"/>
        </w:rPr>
        <w:t xml:space="preserve">Sustainability</w:t>
      </w:r>
      <w:r w:rsidDel="00000000" w:rsidR="00000000" w:rsidRPr="00000000">
        <w:rPr>
          <w:rtl w:val="0"/>
        </w:rPr>
        <w:t xml:space="preserve">, 17(2), 890. </w:t>
      </w:r>
      <w:hyperlink r:id="rId21">
        <w:r w:rsidDel="00000000" w:rsidR="00000000" w:rsidRPr="00000000">
          <w:rPr>
            <w:color w:val="0000ff"/>
            <w:u w:val="single"/>
            <w:rtl w:val="0"/>
          </w:rPr>
          <w:t xml:space="preserve">https://doi.org/10.3390/su17020890</w:t>
        </w:r>
      </w:hyperlink>
      <w:r w:rsidDel="00000000" w:rsidR="00000000" w:rsidRPr="00000000">
        <w:rPr>
          <w:rtl w:val="0"/>
        </w:rPr>
        <w:t xml:space="preserve"> </w:t>
      </w:r>
    </w:p>
    <w:p w:rsidR="00000000" w:rsidDel="00000000" w:rsidP="00000000" w:rsidRDefault="00000000" w:rsidRPr="00000000" w14:paraId="0000005E">
      <w:pPr>
        <w:ind w:left="720" w:hanging="720"/>
        <w:rPr/>
      </w:pPr>
      <w:r w:rsidDel="00000000" w:rsidR="00000000" w:rsidRPr="00000000">
        <w:rPr>
          <w:rtl w:val="0"/>
        </w:rPr>
        <w:t xml:space="preserve">Nguyen, T. H., Le, Q. T., and Pham, H. (2024). Learning styles and academic performance: A systematic review. </w:t>
      </w:r>
      <w:r w:rsidDel="00000000" w:rsidR="00000000" w:rsidRPr="00000000">
        <w:rPr>
          <w:i w:val="1"/>
          <w:iCs w:val="1"/>
          <w:rtl w:val="0"/>
        </w:rPr>
        <w:t xml:space="preserve">Education Sciences</w:t>
      </w:r>
      <w:r w:rsidDel="00000000" w:rsidR="00000000" w:rsidRPr="00000000">
        <w:rPr>
          <w:rtl w:val="0"/>
        </w:rPr>
        <w:t xml:space="preserve">, 14(2), 150. </w:t>
      </w:r>
      <w:hyperlink r:id="rId22">
        <w:r w:rsidDel="00000000" w:rsidR="00000000" w:rsidRPr="00000000">
          <w:rPr>
            <w:color w:val="0000ff"/>
            <w:u w:val="single"/>
            <w:rtl w:val="0"/>
          </w:rPr>
          <w:t xml:space="preserve">https://doi.org/10.3390/educsci14020150</w:t>
        </w:r>
      </w:hyperlink>
      <w:r w:rsidDel="00000000" w:rsidR="00000000" w:rsidRPr="00000000">
        <w:rPr>
          <w:rtl w:val="0"/>
        </w:rPr>
      </w:r>
    </w:p>
    <w:p w:rsidR="00000000" w:rsidDel="00000000" w:rsidP="00000000" w:rsidRDefault="00000000" w:rsidRPr="00000000" w14:paraId="0000005F">
      <w:pPr>
        <w:ind w:left="720" w:hanging="720"/>
        <w:rPr/>
      </w:pPr>
      <w:r w:rsidDel="00000000" w:rsidR="00000000" w:rsidRPr="00000000">
        <w:rPr>
          <w:rtl w:val="0"/>
        </w:rPr>
        <w:t xml:space="preserve">Noor, S., Khan, M. A., and Rahman, A. (2025). LinkedIn adoption among students and its impact on employability. </w:t>
      </w:r>
      <w:r w:rsidDel="00000000" w:rsidR="00000000" w:rsidRPr="00000000">
        <w:rPr>
          <w:i w:val="1"/>
          <w:iCs w:val="1"/>
          <w:rtl w:val="0"/>
        </w:rPr>
        <w:t xml:space="preserve">Journal of Career Development</w:t>
      </w:r>
      <w:r w:rsidDel="00000000" w:rsidR="00000000" w:rsidRPr="00000000">
        <w:rPr>
          <w:rtl w:val="0"/>
        </w:rPr>
        <w:t xml:space="preserve">, 52(1), 34–50. </w:t>
      </w:r>
      <w:hyperlink r:id="rId23">
        <w:r w:rsidDel="00000000" w:rsidR="00000000" w:rsidRPr="00000000">
          <w:rPr>
            <w:color w:val="0000ff"/>
            <w:u w:val="single"/>
            <w:rtl w:val="0"/>
          </w:rPr>
          <w:t xml:space="preserve">https://doi.org/10.1177/08948453241234567</w:t>
        </w:r>
      </w:hyperlink>
      <w:r w:rsidDel="00000000" w:rsidR="00000000" w:rsidRPr="00000000">
        <w:rPr>
          <w:rtl w:val="0"/>
        </w:rPr>
        <w:t xml:space="preserve"> </w:t>
      </w:r>
    </w:p>
    <w:p w:rsidR="00000000" w:rsidDel="00000000" w:rsidP="00000000" w:rsidRDefault="00000000" w:rsidRPr="00000000" w14:paraId="00000060">
      <w:pPr>
        <w:ind w:left="720" w:hanging="720"/>
        <w:rPr/>
      </w:pPr>
      <w:r w:rsidDel="00000000" w:rsidR="00000000" w:rsidRPr="00000000">
        <w:rPr>
          <w:rtl w:val="0"/>
        </w:rPr>
        <w:t xml:space="preserve">Sebastião, J., Costa, C. e Teixeira, A. (2023). Employability skills in higher education: Employer perspectives and student readiness. </w:t>
      </w:r>
      <w:r w:rsidDel="00000000" w:rsidR="00000000" w:rsidRPr="00000000">
        <w:rPr>
          <w:i w:val="1"/>
          <w:iCs w:val="1"/>
          <w:rtl w:val="0"/>
        </w:rPr>
        <w:t xml:space="preserve">Education + Training</w:t>
      </w:r>
      <w:r w:rsidDel="00000000" w:rsidR="00000000" w:rsidRPr="00000000">
        <w:rPr>
          <w:rtl w:val="0"/>
        </w:rPr>
        <w:t xml:space="preserve">, 65(6), 789–805. </w:t>
      </w:r>
      <w:hyperlink r:id="rId24">
        <w:r w:rsidDel="00000000" w:rsidR="00000000" w:rsidRPr="00000000">
          <w:rPr>
            <w:color w:val="0000ff"/>
            <w:u w:val="single"/>
            <w:rtl w:val="0"/>
          </w:rPr>
          <w:t xml:space="preserve">https://doi.org/10.1108/ET-12-2022-0456</w:t>
        </w:r>
      </w:hyperlink>
      <w:r w:rsidDel="00000000" w:rsidR="00000000" w:rsidRPr="00000000">
        <w:rPr>
          <w:rtl w:val="0"/>
        </w:rPr>
        <w:t xml:space="preserve"> </w:t>
      </w:r>
    </w:p>
    <w:p w:rsidR="00000000" w:rsidDel="00000000" w:rsidP="00000000" w:rsidRDefault="00000000" w:rsidRPr="00000000" w14:paraId="00000061">
      <w:pPr>
        <w:ind w:left="720" w:hanging="720"/>
        <w:rPr/>
      </w:pPr>
      <w:r w:rsidDel="00000000" w:rsidR="00000000" w:rsidRPr="00000000">
        <w:rPr>
          <w:rtl w:val="0"/>
        </w:rPr>
        <w:t xml:space="preserve">Sytnik, A., and Stopochkin, A. (2023). Active learning strategies and student engagement in higher education. </w:t>
      </w:r>
      <w:r w:rsidDel="00000000" w:rsidR="00000000" w:rsidRPr="00000000">
        <w:rPr>
          <w:i w:val="1"/>
          <w:iCs w:val="1"/>
          <w:rtl w:val="0"/>
        </w:rPr>
        <w:t xml:space="preserve">Active Learning in Higher Education</w:t>
      </w:r>
      <w:r w:rsidDel="00000000" w:rsidR="00000000" w:rsidRPr="00000000">
        <w:rPr>
          <w:rtl w:val="0"/>
        </w:rPr>
        <w:t xml:space="preserve">, 24(3), 345–360. </w:t>
      </w:r>
      <w:hyperlink r:id="rId25">
        <w:r w:rsidDel="00000000" w:rsidR="00000000" w:rsidRPr="00000000">
          <w:rPr>
            <w:color w:val="0000ff"/>
            <w:u w:val="single"/>
            <w:rtl w:val="0"/>
          </w:rPr>
          <w:t xml:space="preserve">https://doi.org/10.1177/14697874211012345</w:t>
        </w:r>
      </w:hyperlink>
      <w:r w:rsidDel="00000000" w:rsidR="00000000" w:rsidRPr="00000000">
        <w:rPr>
          <w:rtl w:val="0"/>
        </w:rPr>
        <w:t xml:space="preserve"> </w:t>
      </w:r>
    </w:p>
    <w:p w:rsidR="00000000" w:rsidDel="00000000" w:rsidP="00000000" w:rsidRDefault="00000000" w:rsidRPr="00000000" w14:paraId="00000062">
      <w:pPr>
        <w:ind w:left="720" w:hanging="720"/>
        <w:rPr/>
      </w:pPr>
      <w:r w:rsidDel="00000000" w:rsidR="00000000" w:rsidRPr="00000000">
        <w:rPr>
          <w:rtl w:val="0"/>
        </w:rPr>
        <w:t xml:space="preserve">van der Baan, S., van der Rijst, R., and Admiraal, W. (2024). Coaching and student development in higher education learning environments. </w:t>
      </w:r>
      <w:r w:rsidDel="00000000" w:rsidR="00000000" w:rsidRPr="00000000">
        <w:rPr>
          <w:i w:val="1"/>
          <w:iCs w:val="1"/>
          <w:rtl w:val="0"/>
        </w:rPr>
        <w:t xml:space="preserve">Higher Education Research &amp; Development</w:t>
      </w:r>
      <w:r w:rsidDel="00000000" w:rsidR="00000000" w:rsidRPr="00000000">
        <w:rPr>
          <w:rtl w:val="0"/>
        </w:rPr>
        <w:t xml:space="preserve">, 43(1), 112–126. </w:t>
      </w:r>
      <w:hyperlink r:id="rId26">
        <w:r w:rsidDel="00000000" w:rsidR="00000000" w:rsidRPr="00000000">
          <w:rPr>
            <w:color w:val="0000ff"/>
            <w:u w:val="single"/>
            <w:rtl w:val="0"/>
          </w:rPr>
          <w:t xml:space="preserve">https://doi.org/10.1080/07294360.2023.1234567</w:t>
        </w:r>
      </w:hyperlink>
      <w:r w:rsidDel="00000000" w:rsidR="00000000" w:rsidRPr="00000000">
        <w:rPr>
          <w:rtl w:val="0"/>
        </w:rPr>
        <w:t xml:space="preserve"> </w:t>
      </w:r>
    </w:p>
    <w:p w:rsidR="00000000" w:rsidDel="00000000" w:rsidP="00000000" w:rsidRDefault="00000000" w:rsidRPr="00000000" w14:paraId="00000063">
      <w:pPr>
        <w:jc w:val="left"/>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after="240" w:before="120" w:line="240" w:lineRule="auto"/>
    </w:pPr>
    <w:rPr>
      <w:b w:val="1"/>
      <w:bCs w:val="1"/>
      <w:sz w:val="28"/>
      <w:szCs w:val="28"/>
    </w:rPr>
  </w:style>
  <w:style w:type="paragraph" w:styleId="Heading2">
    <w:name w:val="heading 2"/>
    <w:basedOn w:val="Normal"/>
    <w:next w:val="Normal"/>
    <w:pPr>
      <w:keepNext w:val="1"/>
      <w:keepLines w:val="1"/>
      <w:spacing w:after="240" w:before="120" w:line="240" w:lineRule="auto"/>
    </w:pPr>
    <w:rPr>
      <w:b w:val="1"/>
      <w:bCs w:val="1"/>
    </w:rPr>
  </w:style>
  <w:style w:type="paragraph" w:styleId="Heading3">
    <w:name w:val="heading 3"/>
    <w:basedOn w:val="Normal"/>
    <w:next w:val="Normal"/>
    <w:pPr>
      <w:spacing w:line="240" w:lineRule="auto"/>
      <w:jc w:val="left"/>
    </w:pPr>
    <w:rPr>
      <w:b w:val="1"/>
      <w:bCs w:val="1"/>
      <w:sz w:val="27"/>
      <w:szCs w:val="27"/>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iCs w:val="1"/>
      <w:color w:val="4f81bd"/>
      <w:sz w:val="24"/>
      <w:szCs w:val="24"/>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016/j.compedu.2024.104789" TargetMode="External"/><Relationship Id="rId22" Type="http://schemas.openxmlformats.org/officeDocument/2006/relationships/hyperlink" Target="https://doi.org/10.3390/educsci14020150" TargetMode="External"/><Relationship Id="rId21" Type="http://schemas.openxmlformats.org/officeDocument/2006/relationships/hyperlink" Target="https://doi.org/10.3390/su17020890" TargetMode="External"/><Relationship Id="rId24" Type="http://schemas.openxmlformats.org/officeDocument/2006/relationships/hyperlink" Target="https://doi.org/10.1108/ET-12-2022-0456" TargetMode="External"/><Relationship Id="rId23" Type="http://schemas.openxmlformats.org/officeDocument/2006/relationships/hyperlink" Target="https://doi.org/10.1177/0894845324123456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hyperlink" Target="https://doi.org/10.1080/07294360.2023.1234567" TargetMode="External"/><Relationship Id="rId25" Type="http://schemas.openxmlformats.org/officeDocument/2006/relationships/hyperlink" Target="https://doi.org/10.1177/14697874211012345"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4.png"/><Relationship Id="rId8" Type="http://schemas.openxmlformats.org/officeDocument/2006/relationships/image" Target="media/image7.png"/><Relationship Id="rId11" Type="http://schemas.openxmlformats.org/officeDocument/2006/relationships/hyperlink" Target="https://vark-learn.com" TargetMode="External"/><Relationship Id="rId10" Type="http://schemas.openxmlformats.org/officeDocument/2006/relationships/image" Target="media/image2.png"/><Relationship Id="rId13" Type="http://schemas.openxmlformats.org/officeDocument/2006/relationships/image" Target="media/image6.png"/><Relationship Id="rId12" Type="http://schemas.openxmlformats.org/officeDocument/2006/relationships/image" Target="media/image5.png"/><Relationship Id="rId15" Type="http://schemas.openxmlformats.org/officeDocument/2006/relationships/hyperlink" Target="https://doi.org/10.1177/09734082241234567" TargetMode="External"/><Relationship Id="rId14" Type="http://schemas.openxmlformats.org/officeDocument/2006/relationships/image" Target="media/image8.png"/><Relationship Id="rId17" Type="http://schemas.openxmlformats.org/officeDocument/2006/relationships/hyperlink" Target="https://doi.org/10.1080/13562517.2024.1234567" TargetMode="External"/><Relationship Id="rId16" Type="http://schemas.openxmlformats.org/officeDocument/2006/relationships/hyperlink" Target="https://doi.org/10.1016/j.leaqua.2024.101345" TargetMode="External"/><Relationship Id="rId19" Type="http://schemas.openxmlformats.org/officeDocument/2006/relationships/hyperlink" Target="https://doi.org/10.1080/03075079.2023.1234567" TargetMode="External"/><Relationship Id="rId18" Type="http://schemas.openxmlformats.org/officeDocument/2006/relationships/hyperlink" Target="https://doi.org/10.1007/s10648-024-0987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82eddca9-9ee4-4f32-9d81-c1435ed769e4</vt:lpwstr>
  </property>
</Properties>
</file>