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2">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3">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4">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5">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6">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7">
      <w:pPr>
        <w:pBdr>
          <w:bottom w:color="000000" w:space="1" w:sz="4" w:val="single"/>
        </w:pBdr>
        <w:jc w:val="center"/>
        <w:rPr>
          <w:b w:val="1"/>
          <w:sz w:val="32"/>
          <w:szCs w:val="32"/>
        </w:rPr>
      </w:pPr>
      <w:bookmarkStart w:colFirst="0" w:colLast="0" w:name="_gjdgxs" w:id="0"/>
      <w:bookmarkEnd w:id="0"/>
      <w:r w:rsidDel="00000000" w:rsidR="00000000" w:rsidRPr="00000000">
        <w:rPr>
          <w:b w:val="1"/>
          <w:sz w:val="32"/>
          <w:szCs w:val="32"/>
          <w:rtl w:val="0"/>
        </w:rPr>
        <w:t xml:space="preserve">“Financial Management for the Hotel Industry”</w:t>
      </w:r>
    </w:p>
    <w:p w:rsidR="00000000" w:rsidDel="00000000" w:rsidP="00000000" w:rsidRDefault="00000000" w:rsidRPr="00000000" w14:paraId="00000008">
      <w:pPr>
        <w:pBdr>
          <w:bottom w:color="000000" w:space="1" w:sz="4" w:val="single"/>
        </w:pBdr>
        <w:spacing w:after="240" w:before="240" w:lineRule="auto"/>
        <w:jc w:val="center"/>
        <w:rPr>
          <w:b w:val="1"/>
          <w:sz w:val="32"/>
          <w:szCs w:val="32"/>
        </w:rPr>
      </w:pPr>
      <w:bookmarkStart w:colFirst="0" w:colLast="0" w:name="_cy1b1figh31c" w:id="1"/>
      <w:bookmarkEnd w:id="1"/>
      <w:r w:rsidDel="00000000" w:rsidR="00000000" w:rsidRPr="00000000">
        <w:rPr>
          <w:b w:val="1"/>
          <w:sz w:val="32"/>
          <w:szCs w:val="32"/>
          <w:rtl w:val="0"/>
        </w:rPr>
        <w:t xml:space="preserve">Student Name: Sylvester Egbueri</w:t>
      </w:r>
    </w:p>
    <w:p w:rsidR="00000000" w:rsidDel="00000000" w:rsidP="00000000" w:rsidRDefault="00000000" w:rsidRPr="00000000" w14:paraId="00000009">
      <w:pPr>
        <w:pBdr>
          <w:bottom w:color="000000" w:space="1" w:sz="4" w:val="single"/>
        </w:pBdr>
        <w:spacing w:after="240" w:before="240" w:lineRule="auto"/>
        <w:jc w:val="center"/>
        <w:rPr>
          <w:b w:val="1"/>
          <w:sz w:val="32"/>
          <w:szCs w:val="32"/>
        </w:rPr>
      </w:pPr>
      <w:bookmarkStart w:colFirst="0" w:colLast="0" w:name="_cy1b1figh31c" w:id="1"/>
      <w:bookmarkEnd w:id="1"/>
      <w:r w:rsidDel="00000000" w:rsidR="00000000" w:rsidRPr="00000000">
        <w:rPr>
          <w:b w:val="1"/>
          <w:sz w:val="32"/>
          <w:szCs w:val="32"/>
          <w:rtl w:val="0"/>
        </w:rPr>
        <w:t xml:space="preserve">Student Id: 1714548</w:t>
      </w:r>
    </w:p>
    <w:p w:rsidR="00000000" w:rsidDel="00000000" w:rsidP="00000000" w:rsidRDefault="00000000" w:rsidRPr="00000000" w14:paraId="0000000A">
      <w:pPr>
        <w:pBdr>
          <w:bottom w:color="000000" w:space="1" w:sz="4" w:val="single"/>
        </w:pBdr>
        <w:spacing w:after="240" w:before="240" w:lineRule="auto"/>
        <w:jc w:val="center"/>
        <w:rPr>
          <w:b w:val="1"/>
          <w:sz w:val="32"/>
          <w:szCs w:val="32"/>
        </w:rPr>
      </w:pPr>
      <w:bookmarkStart w:colFirst="0" w:colLast="0" w:name="_cy1b1figh31c" w:id="1"/>
      <w:bookmarkEnd w:id="1"/>
      <w:r w:rsidDel="00000000" w:rsidR="00000000" w:rsidRPr="00000000">
        <w:rPr>
          <w:b w:val="1"/>
          <w:sz w:val="32"/>
          <w:szCs w:val="32"/>
          <w:rtl w:val="0"/>
        </w:rPr>
        <w:t xml:space="preserve">Lecturer Name : Dale Clarke</w:t>
      </w:r>
    </w:p>
    <w:p w:rsidR="00000000" w:rsidDel="00000000" w:rsidP="00000000" w:rsidRDefault="00000000" w:rsidRPr="00000000" w14:paraId="0000000B">
      <w:pPr>
        <w:pBdr>
          <w:bottom w:color="000000" w:space="1" w:sz="4" w:val="single"/>
        </w:pBdr>
        <w:jc w:val="center"/>
        <w:rPr>
          <w:b w:val="1"/>
          <w:sz w:val="32"/>
          <w:szCs w:val="32"/>
        </w:rPr>
      </w:pPr>
      <w:bookmarkStart w:colFirst="0" w:colLast="0" w:name="_cy1b1figh31c" w:id="1"/>
      <w:bookmarkEnd w:id="1"/>
      <w:r w:rsidDel="00000000" w:rsidR="00000000" w:rsidRPr="00000000">
        <w:rPr>
          <w:rtl w:val="0"/>
        </w:rPr>
      </w:r>
    </w:p>
    <w:p w:rsidR="00000000" w:rsidDel="00000000" w:rsidP="00000000" w:rsidRDefault="00000000" w:rsidRPr="00000000" w14:paraId="0000000C">
      <w:pPr>
        <w:pBdr>
          <w:bottom w:color="000000" w:space="1" w:sz="4" w:val="single"/>
        </w:pBdr>
        <w:jc w:val="center"/>
        <w:rPr/>
      </w:pPr>
      <w:r w:rsidDel="00000000" w:rsidR="00000000" w:rsidRPr="00000000">
        <w:rPr>
          <w:b w:val="1"/>
          <w:sz w:val="32"/>
          <w:szCs w:val="32"/>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overview</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Applied comparative analysis between Intercontinental Hotels Group (IHG) &amp; Hyatt Hotels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Liquidity analysis with the processing of ratios of both businesses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Profitability analysis with the processing of ratios of both businesses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position with capital analysis for both businesses</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Growth Potential of both businesses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Conclusions</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30j0zll" w:id="2"/>
      <w:bookmarkEnd w:id="2"/>
      <w:r w:rsidDel="00000000" w:rsidR="00000000" w:rsidRPr="00000000">
        <w:rPr>
          <w:rtl w:val="0"/>
        </w:rPr>
        <w:t xml:space="preserve">Introduction </w:t>
      </w:r>
    </w:p>
    <w:p w:rsidR="00000000" w:rsidDel="00000000" w:rsidP="00000000" w:rsidRDefault="00000000" w:rsidRPr="00000000" w14:paraId="0000001B">
      <w:pPr>
        <w:rPr/>
      </w:pPr>
      <w:r w:rsidDel="00000000" w:rsidR="00000000" w:rsidRPr="00000000">
        <w:rPr>
          <w:rtl w:val="0"/>
        </w:rPr>
        <w:t xml:space="preserve">Financial Management concepts for every individual business generally provide an opportunity related to the maintenance of evaluation and managerial decision support.  The processing of general evaluation provides the area of development recognition support that needs some significant strategic modification for the formulated efficiency. The identified concept of proper “Financial Management” for the hospitality business provides an area of development including positive modifications which can be applied for the feasibility of growth (Seal </w:t>
      </w:r>
      <w:r w:rsidDel="00000000" w:rsidR="00000000" w:rsidRPr="00000000">
        <w:rPr>
          <w:i w:val="1"/>
          <w:rtl w:val="0"/>
        </w:rPr>
        <w:t xml:space="preserve">et al.,</w:t>
      </w:r>
      <w:r w:rsidDel="00000000" w:rsidR="00000000" w:rsidRPr="00000000">
        <w:rPr>
          <w:rtl w:val="0"/>
        </w:rPr>
        <w:t xml:space="preserve"> 2018). This report is mainly a comparative analysis related to different operation and financial area aspects between the business of </w:t>
      </w:r>
      <w:r w:rsidDel="00000000" w:rsidR="00000000" w:rsidRPr="00000000">
        <w:rPr>
          <w:b w:val="1"/>
          <w:rtl w:val="0"/>
        </w:rPr>
        <w:t xml:space="preserve">Intercontinental Hotels Group (IHG) &amp; Hyatt Hotels </w:t>
      </w:r>
      <w:r w:rsidDel="00000000" w:rsidR="00000000" w:rsidRPr="00000000">
        <w:rPr>
          <w:rtl w:val="0"/>
        </w:rPr>
        <w:t xml:space="preserve">mainly. </w:t>
      </w:r>
    </w:p>
    <w:p w:rsidR="00000000" w:rsidDel="00000000" w:rsidP="00000000" w:rsidRDefault="00000000" w:rsidRPr="00000000" w14:paraId="0000001C">
      <w:pPr>
        <w:pStyle w:val="Heading1"/>
        <w:rPr/>
      </w:pPr>
      <w:bookmarkStart w:colFirst="0" w:colLast="0" w:name="_1fob9te" w:id="3"/>
      <w:bookmarkEnd w:id="3"/>
      <w:r w:rsidDel="00000000" w:rsidR="00000000" w:rsidRPr="00000000">
        <w:rPr>
          <w:rtl w:val="0"/>
        </w:rPr>
        <w:t xml:space="preserve">Organisational overview</w:t>
      </w:r>
    </w:p>
    <w:p w:rsidR="00000000" w:rsidDel="00000000" w:rsidP="00000000" w:rsidRDefault="00000000" w:rsidRPr="00000000" w14:paraId="0000001D">
      <w:pPr>
        <w:rPr/>
      </w:pPr>
      <w:r w:rsidDel="00000000" w:rsidR="00000000" w:rsidRPr="00000000">
        <w:rPr>
          <w:b w:val="1"/>
          <w:rtl w:val="0"/>
        </w:rPr>
        <w:t xml:space="preserve">Intercontinental Hotels Group (IHG) is </w:t>
      </w:r>
      <w:r w:rsidDel="00000000" w:rsidR="00000000" w:rsidRPr="00000000">
        <w:rPr>
          <w:rtl w:val="0"/>
        </w:rPr>
        <w:t xml:space="preserve">one of the largest hotel chain businesses in the United Kingdom that was established during the period of 2003. At the present situation, the organisation offered 6028 Hotel support along with a total capability of 884820 rooms in global prospects. Additionally, the business also provides an opportunity to 325000 numbers of employments supports which also initiate positive social contributions as well. During the period of 2020 with the initiative changing approach, the organisation focuses on true hospitality including proper cultural diversity support which initiates positive growth and business expansions. During 2021, the organisation initiated a proper branding initiative including an operating compatibility approach along with some premium and luxury hotel facility support in Australia and Thailand. During the period 2022, the organisation will focus on loyalty formulations and also open its 6000th hotel along with proper strategic alliance support (IHG, 2022). </w:t>
      </w:r>
    </w:p>
    <w:p w:rsidR="00000000" w:rsidDel="00000000" w:rsidP="00000000" w:rsidRDefault="00000000" w:rsidRPr="00000000" w14:paraId="0000001E">
      <w:pPr>
        <w:rPr/>
      </w:pPr>
      <w:r w:rsidDel="00000000" w:rsidR="00000000" w:rsidRPr="00000000">
        <w:rPr>
          <w:b w:val="1"/>
          <w:rtl w:val="0"/>
        </w:rPr>
        <w:t xml:space="preserve">Hyatt Hotels Corporation</w:t>
      </w:r>
      <w:r w:rsidDel="00000000" w:rsidR="00000000" w:rsidRPr="00000000">
        <w:rPr>
          <w:rtl w:val="0"/>
        </w:rPr>
        <w:t xml:space="preserve"> is also considered the largest hotel chain business that was incorporated in the period 1957 in the United States by Hyatt Robert von Dehn and Jack Dyer Crouch. At the present situation, the business provides 1350 hotel engagements with the capability of 350200 room support that brings accountability and progressive support on an effective basis. The organisation is formulated on a worldwide basis and used to provide around 189000 employment support as well. During the period of 2019, the organisation initiated a new hotel branding initiative through initiating a joint venture “BTG Homeinns Hotels Group to cater to China’s growing upper-midscale market of frequent business travellers.” During 2020, this group initiated a global welding collaboration support including a positive hospitality engagement with the “Global Biorisk Advisory Council accreditation” approach (Hyatt, 2022). Even in the present period of 2021, “the organisation initiate an announcement of the acquisition of Apple Leisure Group (ALG), a leading luxury resort management services, travel, and hospitality group with a unique collection of resort brands with the AMR Collection, which consists of more than 100 hotels and resorts across 10 countries”. </w:t>
      </w:r>
    </w:p>
    <w:p w:rsidR="00000000" w:rsidDel="00000000" w:rsidP="00000000" w:rsidRDefault="00000000" w:rsidRPr="00000000" w14:paraId="0000001F">
      <w:pPr>
        <w:pStyle w:val="Heading1"/>
        <w:rPr/>
      </w:pPr>
      <w:bookmarkStart w:colFirst="0" w:colLast="0" w:name="_3znysh7" w:id="4"/>
      <w:bookmarkEnd w:id="4"/>
      <w:r w:rsidDel="00000000" w:rsidR="00000000" w:rsidRPr="00000000">
        <w:rPr>
          <w:rtl w:val="0"/>
        </w:rPr>
        <w:t xml:space="preserve">Applied comparative analysis between Intercontinental Hotels Group (IHG) &amp; Hyatt Hotels</w:t>
      </w:r>
    </w:p>
    <w:p w:rsidR="00000000" w:rsidDel="00000000" w:rsidP="00000000" w:rsidRDefault="00000000" w:rsidRPr="00000000" w14:paraId="00000020">
      <w:pPr>
        <w:rPr>
          <w:b w:val="1"/>
        </w:rPr>
      </w:pPr>
      <w:r w:rsidDel="00000000" w:rsidR="00000000" w:rsidRPr="00000000">
        <w:rPr>
          <w:rtl w:val="0"/>
        </w:rPr>
        <w:t xml:space="preserve">According to the present initiative approach a significant operating and financial comparison between the Intercontinental Hotels Group (IHG) &amp; Hyatt Hotels has been initiated with the engagement of which the compatibility approach including the progressive development approach supportively initiated. </w:t>
      </w: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Business revenue engagement for both businesses </w:t>
      </w:r>
    </w:p>
    <w:p w:rsidR="00000000" w:rsidDel="00000000" w:rsidP="00000000" w:rsidRDefault="00000000" w:rsidRPr="00000000" w14:paraId="00000022">
      <w:pPr>
        <w:rPr/>
      </w:pPr>
      <w:r w:rsidDel="00000000" w:rsidR="00000000" w:rsidRPr="00000000">
        <w:rPr>
          <w:rtl w:val="0"/>
        </w:rPr>
        <w:t xml:space="preserve">The identification and processing support of business financial approaches generally provide an opportunity for the maintenance of accountability support.  The presence of the business revenue concepts initiates a positive development including the accountability approach mainly which is sustainable for the maintenance of marketing progress mainly.  The presence of this engagement generally provides an opportunity for financial stability and progressive measurement support which is also initiated for the development of business profit structure (Hayes and Miller, 2021). </w:t>
      </w:r>
    </w:p>
    <w:p w:rsidR="00000000" w:rsidDel="00000000" w:rsidP="00000000" w:rsidRDefault="00000000" w:rsidRPr="00000000" w14:paraId="00000023">
      <w:pPr>
        <w:rPr/>
      </w:pPr>
      <w:r w:rsidDel="00000000" w:rsidR="00000000" w:rsidRPr="00000000">
        <w:rPr>
          <w:rtl w:val="0"/>
        </w:rPr>
        <w:t xml:space="preserve">Associated with the general operating engagement a primary formulation related to business revenue concept has been initiated for both the business for identification of accounting stability in an effective basis. </w:t>
      </w:r>
    </w:p>
    <w:tbl>
      <w:tblPr>
        <w:tblStyle w:val="Table1"/>
        <w:tblW w:w="909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000"/>
      </w:tblPr>
      <w:tblGrid>
        <w:gridCol w:w="1425"/>
        <w:gridCol w:w="1290"/>
        <w:gridCol w:w="1275"/>
        <w:gridCol w:w="1275"/>
        <w:gridCol w:w="1275"/>
        <w:gridCol w:w="1275"/>
        <w:gridCol w:w="1275"/>
        <w:tblGridChange w:id="0">
          <w:tblGrid>
            <w:gridCol w:w="1425"/>
            <w:gridCol w:w="1290"/>
            <w:gridCol w:w="1275"/>
            <w:gridCol w:w="1275"/>
            <w:gridCol w:w="1275"/>
            <w:gridCol w:w="1275"/>
            <w:gridCol w:w="1275"/>
          </w:tblGrid>
        </w:tblGridChange>
      </w:tblGrid>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24">
            <w:pPr>
              <w:widowControl w:val="0"/>
              <w:spacing w:line="276" w:lineRule="auto"/>
              <w:jc w:val="left"/>
              <w:rPr/>
            </w:pPr>
            <w:r w:rsidDel="00000000" w:rsidR="00000000" w:rsidRPr="00000000">
              <w:rPr>
                <w:rtl w:val="0"/>
              </w:rPr>
              <w:t xml:space="preserve"> </w:t>
            </w:r>
          </w:p>
        </w:tc>
        <w:tc>
          <w:tcPr>
            <w:gridSpan w:val="3"/>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25">
            <w:pPr>
              <w:widowControl w:val="0"/>
              <w:spacing w:line="276" w:lineRule="auto"/>
              <w:jc w:val="center"/>
              <w:rPr>
                <w:b w:val="1"/>
              </w:rPr>
            </w:pPr>
            <w:r w:rsidDel="00000000" w:rsidR="00000000" w:rsidRPr="00000000">
              <w:rPr>
                <w:b w:val="1"/>
                <w:rtl w:val="0"/>
              </w:rPr>
              <w:t xml:space="preserve">IHG</w:t>
            </w:r>
          </w:p>
        </w:tc>
        <w:tc>
          <w:tcPr>
            <w:gridSpan w:val="3"/>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8">
            <w:pPr>
              <w:widowControl w:val="0"/>
              <w:spacing w:line="276" w:lineRule="auto"/>
              <w:jc w:val="center"/>
              <w:rPr>
                <w:b w:val="1"/>
              </w:rPr>
            </w:pPr>
            <w:r w:rsidDel="00000000" w:rsidR="00000000" w:rsidRPr="00000000">
              <w:rPr>
                <w:b w:val="1"/>
                <w:rtl w:val="0"/>
              </w:rPr>
              <w:t xml:space="preserve">Hyatt</w:t>
            </w:r>
          </w:p>
        </w:tc>
      </w:tr>
      <w:tr>
        <w:trPr>
          <w:cantSplit w:val="0"/>
          <w:trHeight w:val="50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B">
            <w:pPr>
              <w:widowControl w:val="0"/>
              <w:spacing w:line="276" w:lineRule="auto"/>
              <w:jc w:val="left"/>
              <w:rPr/>
            </w:pPr>
            <w:r w:rsidDel="00000000" w:rsidR="00000000" w:rsidRPr="00000000">
              <w:rPr>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C">
            <w:pPr>
              <w:widowControl w:val="0"/>
              <w:spacing w:line="276" w:lineRule="auto"/>
              <w:jc w:val="center"/>
              <w:rPr>
                <w:b w:val="1"/>
              </w:rPr>
            </w:pPr>
            <w:r w:rsidDel="00000000" w:rsidR="00000000" w:rsidRPr="00000000">
              <w:rPr>
                <w:b w:val="1"/>
                <w:rtl w:val="0"/>
              </w:rPr>
              <w:t xml:space="preserve">2020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D">
            <w:pPr>
              <w:widowControl w:val="0"/>
              <w:spacing w:line="276" w:lineRule="auto"/>
              <w:jc w:val="center"/>
              <w:rPr>
                <w:b w:val="1"/>
              </w:rPr>
            </w:pPr>
            <w:r w:rsidDel="00000000" w:rsidR="00000000" w:rsidRPr="00000000">
              <w:rPr>
                <w:b w:val="1"/>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E">
            <w:pPr>
              <w:widowControl w:val="0"/>
              <w:spacing w:line="276" w:lineRule="auto"/>
              <w:jc w:val="center"/>
              <w:rPr>
                <w:b w:val="1"/>
              </w:rPr>
            </w:pPr>
            <w:r w:rsidDel="00000000" w:rsidR="00000000" w:rsidRPr="00000000">
              <w:rPr>
                <w:b w:val="1"/>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2F">
            <w:pPr>
              <w:widowControl w:val="0"/>
              <w:spacing w:line="276" w:lineRule="auto"/>
              <w:jc w:val="center"/>
              <w:rPr>
                <w:b w:val="1"/>
              </w:rPr>
            </w:pPr>
            <w:r w:rsidDel="00000000" w:rsidR="00000000" w:rsidRPr="00000000">
              <w:rPr>
                <w:b w:val="1"/>
                <w:rtl w:val="0"/>
              </w:rPr>
              <w:t xml:space="preserve">2020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0">
            <w:pPr>
              <w:widowControl w:val="0"/>
              <w:spacing w:line="276" w:lineRule="auto"/>
              <w:jc w:val="center"/>
              <w:rPr>
                <w:b w:val="1"/>
              </w:rPr>
            </w:pPr>
            <w:r w:rsidDel="00000000" w:rsidR="00000000" w:rsidRPr="00000000">
              <w:rPr>
                <w:b w:val="1"/>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1">
            <w:pPr>
              <w:widowControl w:val="0"/>
              <w:spacing w:line="276" w:lineRule="auto"/>
              <w:jc w:val="center"/>
              <w:rPr>
                <w:b w:val="1"/>
              </w:rPr>
            </w:pPr>
            <w:r w:rsidDel="00000000" w:rsidR="00000000" w:rsidRPr="00000000">
              <w:rPr>
                <w:b w:val="1"/>
                <w:rtl w:val="0"/>
              </w:rPr>
              <w:t xml:space="preserve">2022</w:t>
            </w:r>
          </w:p>
        </w:tc>
      </w:tr>
      <w:tr>
        <w:trPr>
          <w:cantSplit w:val="0"/>
          <w:trHeight w:val="50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2">
            <w:pPr>
              <w:widowControl w:val="0"/>
              <w:spacing w:line="276" w:lineRule="auto"/>
              <w:jc w:val="left"/>
              <w:rPr/>
            </w:pPr>
            <w:r w:rsidDel="00000000" w:rsidR="00000000" w:rsidRPr="00000000">
              <w:rPr>
                <w:rtl w:val="0"/>
              </w:rPr>
              <w:t xml:space="preserve">Revenue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3">
            <w:pPr>
              <w:widowControl w:val="0"/>
              <w:spacing w:line="276" w:lineRule="auto"/>
              <w:jc w:val="left"/>
              <w:rPr/>
            </w:pPr>
            <w:r w:rsidDel="00000000" w:rsidR="00000000" w:rsidRPr="00000000">
              <w:rPr>
                <w:rtl w:val="0"/>
              </w:rPr>
              <w:t xml:space="preserve">2394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4">
            <w:pPr>
              <w:widowControl w:val="0"/>
              <w:spacing w:line="276" w:lineRule="auto"/>
              <w:jc w:val="left"/>
              <w:rPr/>
            </w:pPr>
            <w:r w:rsidDel="00000000" w:rsidR="00000000" w:rsidRPr="00000000">
              <w:rPr>
                <w:rtl w:val="0"/>
              </w:rPr>
              <w:t xml:space="preserve">2907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5">
            <w:pPr>
              <w:widowControl w:val="0"/>
              <w:spacing w:line="276" w:lineRule="auto"/>
              <w:jc w:val="left"/>
              <w:rPr/>
            </w:pPr>
            <w:r w:rsidDel="00000000" w:rsidR="00000000" w:rsidRPr="00000000">
              <w:rPr>
                <w:rtl w:val="0"/>
              </w:rPr>
              <w:t xml:space="preserve">3892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6">
            <w:pPr>
              <w:widowControl w:val="0"/>
              <w:spacing w:line="276" w:lineRule="auto"/>
              <w:jc w:val="left"/>
              <w:rPr/>
            </w:pPr>
            <w:r w:rsidDel="00000000" w:rsidR="00000000" w:rsidRPr="00000000">
              <w:rPr>
                <w:rtl w:val="0"/>
              </w:rPr>
              <w:t xml:space="preserve">2066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7">
            <w:pPr>
              <w:widowControl w:val="0"/>
              <w:spacing w:line="276" w:lineRule="auto"/>
              <w:jc w:val="left"/>
              <w:rPr/>
            </w:pPr>
            <w:r w:rsidDel="00000000" w:rsidR="00000000" w:rsidRPr="00000000">
              <w:rPr>
                <w:rtl w:val="0"/>
              </w:rPr>
              <w:t xml:space="preserve">3028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8">
            <w:pPr>
              <w:widowControl w:val="0"/>
              <w:spacing w:line="276" w:lineRule="auto"/>
              <w:jc w:val="left"/>
              <w:rPr/>
            </w:pPr>
            <w:r w:rsidDel="00000000" w:rsidR="00000000" w:rsidRPr="00000000">
              <w:rPr>
                <w:rtl w:val="0"/>
              </w:rPr>
              <w:t xml:space="preserve">5891</w:t>
            </w:r>
          </w:p>
        </w:tc>
      </w:tr>
      <w:tr>
        <w:trPr>
          <w:cantSplit w:val="0"/>
          <w:trHeight w:val="50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9">
            <w:pPr>
              <w:widowControl w:val="0"/>
              <w:spacing w:line="276" w:lineRule="auto"/>
              <w:jc w:val="left"/>
              <w:rPr/>
            </w:pPr>
            <w:r w:rsidDel="00000000" w:rsidR="00000000" w:rsidRPr="00000000">
              <w:rPr>
                <w:rtl w:val="0"/>
              </w:rPr>
              <w:t xml:space="preserve">Difference</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A">
            <w:pPr>
              <w:widowControl w:val="0"/>
              <w:spacing w:line="276" w:lineRule="auto"/>
              <w:jc w:val="left"/>
              <w:rPr/>
            </w:pPr>
            <w:r w:rsidDel="00000000" w:rsidR="00000000" w:rsidRPr="00000000">
              <w:rPr>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B">
            <w:pPr>
              <w:widowControl w:val="0"/>
              <w:spacing w:line="276" w:lineRule="auto"/>
              <w:jc w:val="left"/>
              <w:rPr/>
            </w:pPr>
            <w:r w:rsidDel="00000000" w:rsidR="00000000" w:rsidRPr="00000000">
              <w:rPr>
                <w:rtl w:val="0"/>
              </w:rPr>
              <w:t xml:space="preserve">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C">
            <w:pPr>
              <w:widowControl w:val="0"/>
              <w:spacing w:line="276" w:lineRule="auto"/>
              <w:jc w:val="left"/>
              <w:rPr/>
            </w:pPr>
            <w:r w:rsidDel="00000000" w:rsidR="00000000" w:rsidRPr="00000000">
              <w:rPr>
                <w:rtl w:val="0"/>
              </w:rPr>
              <w:t xml:space="preserve">34%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D">
            <w:pPr>
              <w:widowControl w:val="0"/>
              <w:spacing w:line="276" w:lineRule="auto"/>
              <w:jc w:val="left"/>
              <w:rPr/>
            </w:pPr>
            <w:r w:rsidDel="00000000" w:rsidR="00000000" w:rsidRPr="00000000">
              <w:rPr>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E">
            <w:pPr>
              <w:widowControl w:val="0"/>
              <w:spacing w:line="276" w:lineRule="auto"/>
              <w:jc w:val="left"/>
              <w:rPr/>
            </w:pPr>
            <w:r w:rsidDel="00000000" w:rsidR="00000000" w:rsidRPr="00000000">
              <w:rPr>
                <w:rtl w:val="0"/>
              </w:rPr>
              <w:t xml:space="preserve">47%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03F">
            <w:pPr>
              <w:widowControl w:val="0"/>
              <w:spacing w:line="276" w:lineRule="auto"/>
              <w:jc w:val="left"/>
              <w:rPr/>
            </w:pPr>
            <w:r w:rsidDel="00000000" w:rsidR="00000000" w:rsidRPr="00000000">
              <w:rPr>
                <w:rtl w:val="0"/>
              </w:rPr>
              <w:t xml:space="preserve">95%</w:t>
            </w:r>
          </w:p>
        </w:tc>
      </w:tr>
    </w:tbl>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Associated with the general engagement a positive formulated financial position is generally initiated in both businesses that indicate the progressive and formulated revenue processing for the business of Hyatt mainly (Hyatt.com, 2022). The presence and processing of such revenue initiates the progressive development approach during the period of 2022 which initiates around 95% revenue progressive support in the present period mainly. </w:t>
      </w:r>
    </w:p>
    <w:p w:rsidR="00000000" w:rsidDel="00000000" w:rsidP="00000000" w:rsidRDefault="00000000" w:rsidRPr="00000000" w14:paraId="00000042">
      <w:pPr>
        <w:pStyle w:val="Heading1"/>
        <w:rPr/>
      </w:pPr>
      <w:bookmarkStart w:colFirst="0" w:colLast="0" w:name="_2et92p0" w:id="5"/>
      <w:bookmarkEnd w:id="5"/>
      <w:r w:rsidDel="00000000" w:rsidR="00000000" w:rsidRPr="00000000">
        <w:rPr>
          <w:rtl w:val="0"/>
        </w:rPr>
        <w:t xml:space="preserve">Liquidity analysis with the processing of ratios of both businesses</w:t>
      </w:r>
    </w:p>
    <w:p w:rsidR="00000000" w:rsidDel="00000000" w:rsidP="00000000" w:rsidRDefault="00000000" w:rsidRPr="00000000" w14:paraId="00000043">
      <w:pPr>
        <w:rPr/>
      </w:pPr>
      <w:r w:rsidDel="00000000" w:rsidR="00000000" w:rsidRPr="00000000">
        <w:rPr>
          <w:rtl w:val="0"/>
        </w:rPr>
        <w:t xml:space="preserve">According to the present operating position the engagement and processing support of the business liquidity position is initiated for the maintenance and processing of financial processing on an effective basis. A positive volume of business liquidity is generally initiated related to the business of IHG in the present operating position compared to the financial engagement of Hyatt mainly (Jagels, 2022). The primary volume of the current ratio including the cash and quick ratio also provides a positive opportunity for the business IHG along with sustainable cash flow processing support. </w:t>
      </w:r>
    </w:p>
    <w:p w:rsidR="00000000" w:rsidDel="00000000" w:rsidP="00000000" w:rsidRDefault="00000000" w:rsidRPr="00000000" w14:paraId="00000044">
      <w:pPr>
        <w:jc w:val="center"/>
        <w:rPr/>
      </w:pPr>
      <w:r w:rsidDel="00000000" w:rsidR="00000000" w:rsidRPr="00000000">
        <w:rPr/>
        <w:drawing>
          <wp:inline distB="114300" distT="114300" distL="114300" distR="114300">
            <wp:extent cx="5381625" cy="29146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381625" cy="291465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According to the present financial processing support, the overall estimated fair value processing related to the business of IHG initiated UK£63.67 based on the 2 Stage Free Cash Flow to Equity approach that formulates the overall Liquidity formulations effectively. Even in the present situation the marketing progress including the standardised business branding initiative support also provides a positive opportunity related to the cash flow initiative engagement properly (Yahoo Finance, 2023). Along with the primary intention of expansions in the present situation, this particular group initiated a partnership engagement with Arabella Group to expand business in Egypt (Hospitality Net, 2022). The processing of this engagement can generate proper cash flow initiative support along with financial compatibility support which provides a positive opportunity for business expansions as well. </w:t>
      </w:r>
    </w:p>
    <w:p w:rsidR="00000000" w:rsidDel="00000000" w:rsidP="00000000" w:rsidRDefault="00000000" w:rsidRPr="00000000" w14:paraId="00000046">
      <w:pPr>
        <w:pStyle w:val="Heading1"/>
        <w:rPr/>
      </w:pPr>
      <w:bookmarkStart w:colFirst="0" w:colLast="0" w:name="_tyjcwt" w:id="6"/>
      <w:bookmarkEnd w:id="6"/>
      <w:r w:rsidDel="00000000" w:rsidR="00000000" w:rsidRPr="00000000">
        <w:rPr>
          <w:rtl w:val="0"/>
        </w:rPr>
        <w:t xml:space="preserve">Profitability analysis with the processing of ratios of both businesses</w:t>
      </w:r>
    </w:p>
    <w:p w:rsidR="00000000" w:rsidDel="00000000" w:rsidP="00000000" w:rsidRDefault="00000000" w:rsidRPr="00000000" w14:paraId="00000047">
      <w:pPr>
        <w:rPr/>
      </w:pPr>
      <w:r w:rsidDel="00000000" w:rsidR="00000000" w:rsidRPr="00000000">
        <w:rPr>
          <w:rtl w:val="0"/>
        </w:rPr>
        <w:t xml:space="preserve">The identification and formulation support of effective profitability engagement is initiated for the development and optimised operating formulation purpose. The general processing support of this analysis is sustainable for business stability and accountability reasons (Horngren and Forster, 2019). According to primary computation support, the engagement of profit performances related to the business of IHG provides a supportive development position at both times compared to the financial gains of Hyatt. The approach of this processing indicates sustainable financial processing support with a formulated accounting development mainly. </w:t>
      </w:r>
    </w:p>
    <w:p w:rsidR="00000000" w:rsidDel="00000000" w:rsidP="00000000" w:rsidRDefault="00000000" w:rsidRPr="00000000" w14:paraId="00000048">
      <w:pPr>
        <w:jc w:val="center"/>
        <w:rPr/>
      </w:pPr>
      <w:r w:rsidDel="00000000" w:rsidR="00000000" w:rsidRPr="00000000">
        <w:rPr/>
        <w:drawing>
          <wp:inline distB="114300" distT="114300" distL="114300" distR="114300">
            <wp:extent cx="5391150" cy="41148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391150" cy="41148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Independence financial case organisations gain around 50% annual profit hikes which provide a positive opportunity to maintain proper accountability support.  Even in the present situation the organisation provides annual division by 61% to $1.38 and announces a new US$750 million share buyback. Engagement in the current supply chain processing including the branding initiative of the business initiates the pretext profit of $540 million with a 34% hike in the overall revenue position (Sharesmagazine.co.uk, 2022). Associated with the general operating progress support in the present situation the overall financial positions including the RevPAR and profitability position in IHG supportively expanded that initiates sustainable profit progress including the accountability initiatives on an effective basis (director stalk, 2023). </w:t>
      </w:r>
    </w:p>
    <w:p w:rsidR="00000000" w:rsidDel="00000000" w:rsidP="00000000" w:rsidRDefault="00000000" w:rsidRPr="00000000" w14:paraId="0000004A">
      <w:pPr>
        <w:pStyle w:val="Heading1"/>
        <w:rPr/>
      </w:pPr>
      <w:bookmarkStart w:colFirst="0" w:colLast="0" w:name="_3dy6vkm" w:id="7"/>
      <w:bookmarkEnd w:id="7"/>
      <w:r w:rsidDel="00000000" w:rsidR="00000000" w:rsidRPr="00000000">
        <w:rPr>
          <w:rtl w:val="0"/>
        </w:rPr>
        <w:t xml:space="preserve">Market position with capital analysis for both businesses</w:t>
      </w:r>
    </w:p>
    <w:p w:rsidR="00000000" w:rsidDel="00000000" w:rsidP="00000000" w:rsidRDefault="00000000" w:rsidRPr="00000000" w14:paraId="0000004B">
      <w:pPr>
        <w:rPr/>
      </w:pPr>
      <w:r w:rsidDel="00000000" w:rsidR="00000000" w:rsidRPr="00000000">
        <w:rPr>
          <w:rtl w:val="0"/>
        </w:rPr>
        <w:t xml:space="preserve">According to the general identification support, market formulations and compatibility is one of the primary attributes for every individual business with the presence of which sustainable development can be initiated.  The primary environment of the market capitalisation approach and some of the market attributes are used to provide a positive opportunity for individual organisations depending on which strategic formulations can be structured (Drury, 2018). The identification and formulation of this approach also provide a positive volume of visibility position support which is comparatively sustainable for business development. </w:t>
      </w:r>
    </w:p>
    <w:p w:rsidR="00000000" w:rsidDel="00000000" w:rsidP="00000000" w:rsidRDefault="00000000" w:rsidRPr="00000000" w14:paraId="0000004C">
      <w:pPr>
        <w:rPr/>
      </w:pPr>
      <w:r w:rsidDel="00000000" w:rsidR="00000000" w:rsidRPr="00000000">
        <w:rPr>
          <w:rtl w:val="0"/>
        </w:rPr>
        <w:t xml:space="preserve">Following the present market structure and other associated aspects the current market capitalization value related to the business </w:t>
      </w:r>
      <w:r w:rsidDel="00000000" w:rsidR="00000000" w:rsidRPr="00000000">
        <w:rPr>
          <w:b w:val="1"/>
          <w:rtl w:val="0"/>
        </w:rPr>
        <w:t xml:space="preserve">Intercontinental Hotels Group (IHG) </w:t>
      </w:r>
      <w:r w:rsidDel="00000000" w:rsidR="00000000" w:rsidRPr="00000000">
        <w:rPr>
          <w:rtl w:val="0"/>
        </w:rPr>
        <w:t xml:space="preserve">indicates the level of 12.073 billion mainly. Additionally, the primary volume of the beta of the business is indicating the level of 0.95 and the PE ratio as 34.00 respectively. Considering the same support at the present situation the primary volume of EPS is 2.04 with a positive financial gaining position (finance.yahoo.com, 2023). </w:t>
      </w:r>
    </w:p>
    <w:p w:rsidR="00000000" w:rsidDel="00000000" w:rsidP="00000000" w:rsidRDefault="00000000" w:rsidRPr="00000000" w14:paraId="0000004D">
      <w:pPr>
        <w:rPr/>
      </w:pPr>
      <w:r w:rsidDel="00000000" w:rsidR="00000000" w:rsidRPr="00000000">
        <w:rPr>
          <w:rtl w:val="0"/>
        </w:rPr>
        <w:t xml:space="preserve">With the same operation all processing and performance initiatives support the organisation, </w:t>
      </w:r>
      <w:r w:rsidDel="00000000" w:rsidR="00000000" w:rsidRPr="00000000">
        <w:rPr>
          <w:b w:val="1"/>
          <w:rtl w:val="0"/>
        </w:rPr>
        <w:t xml:space="preserve">Hyatt Hotels </w:t>
      </w:r>
      <w:r w:rsidDel="00000000" w:rsidR="00000000" w:rsidRPr="00000000">
        <w:rPr>
          <w:rtl w:val="0"/>
        </w:rPr>
        <w:t xml:space="preserve">initiate the market capitalisation value of 12.085 billion in the present situation.  Additionally, the volume of the beta of the business is indicating the level of 1.37 and the PE ratio as 27.64 respectively. Including the same support at the present period, the level of EPS of the business resulted in 4.11 respectively (finance.yahoo.com, 2023). With the identification of both the analysis it is considered that at the present situation, the market capitalisation and other associated financial approach related to the business of IHG indicates a comparatively sustainable and formulated growth support with standardised market stability. </w:t>
      </w:r>
    </w:p>
    <w:p w:rsidR="00000000" w:rsidDel="00000000" w:rsidP="00000000" w:rsidRDefault="00000000" w:rsidRPr="00000000" w14:paraId="0000004E">
      <w:pPr>
        <w:pStyle w:val="Heading1"/>
        <w:rPr/>
      </w:pPr>
      <w:bookmarkStart w:colFirst="0" w:colLast="0" w:name="_1t3h5sf" w:id="8"/>
      <w:bookmarkEnd w:id="8"/>
      <w:r w:rsidDel="00000000" w:rsidR="00000000" w:rsidRPr="00000000">
        <w:rPr>
          <w:rtl w:val="0"/>
        </w:rPr>
        <w:t xml:space="preserve">Growth Potential of both businesses </w:t>
      </w:r>
    </w:p>
    <w:p w:rsidR="00000000" w:rsidDel="00000000" w:rsidP="00000000" w:rsidRDefault="00000000" w:rsidRPr="00000000" w14:paraId="0000004F">
      <w:pPr>
        <w:rPr/>
      </w:pPr>
      <w:r w:rsidDel="00000000" w:rsidR="00000000" w:rsidRPr="00000000">
        <w:rPr>
          <w:rtl w:val="0"/>
        </w:rPr>
        <w:t xml:space="preserve">According to the primary identification and processing support the presence of strategic initiative is one of the essential approaches which provide a proper opportunity to individual businesses for development. With the maintenance of strategic formulation support the primary compatibility including the profit-earning approach of business can be effectively standardised which will provide structural support for the future prospect (Guilding, 2019).  </w:t>
      </w:r>
    </w:p>
    <w:p w:rsidR="00000000" w:rsidDel="00000000" w:rsidP="00000000" w:rsidRDefault="00000000" w:rsidRPr="00000000" w14:paraId="00000050">
      <w:pPr>
        <w:rPr/>
      </w:pPr>
      <w:r w:rsidDel="00000000" w:rsidR="00000000" w:rsidRPr="00000000">
        <w:rPr>
          <w:rtl w:val="0"/>
        </w:rPr>
        <w:t xml:space="preserve">According to the primary identifications related to the business of </w:t>
      </w:r>
      <w:r w:rsidDel="00000000" w:rsidR="00000000" w:rsidRPr="00000000">
        <w:rPr>
          <w:b w:val="1"/>
          <w:rtl w:val="0"/>
        </w:rPr>
        <w:t xml:space="preserve">IHG</w:t>
      </w:r>
      <w:r w:rsidDel="00000000" w:rsidR="00000000" w:rsidRPr="00000000">
        <w:rPr>
          <w:rtl w:val="0"/>
        </w:rPr>
        <w:t xml:space="preserve">, positive strategic formulations including the branding initiatives provide a systematic opportunity for business development and other compatibility. The processing support related to the industrial feasibility positions including the market share support also provides a positive structural development for the business from the financial prospect. Additionally, the current initiative related to customer-centric support and also a positive contribution towards the community formulation provide a proper strategic development approach to the business. In the present situation, the initiated strategic formulations of this business to expand the operation in China provide a positive opportunity in the future that brings the compatibility position on an effective basis (InterContinental Hotels Group PLC, 2022). Even current accelerated American expansion plans of the business provide a positive opportunity for performance growth including accountability support as well. With the initiative of this engagement along with the business operation of compatibility, the organisation is intended to formulate proper branding support which will provide a proper accountability and financial growth initiative engagement. In the present position the organisation “Holiday Inn Express has 110 signings adding to the largest brand of the group’s pipeline”, which will provide a sustainable volume of profit processing approach to this business mainly (Hill, 2023). </w:t>
      </w:r>
    </w:p>
    <w:p w:rsidR="00000000" w:rsidDel="00000000" w:rsidP="00000000" w:rsidRDefault="00000000" w:rsidRPr="00000000" w14:paraId="00000051">
      <w:pPr>
        <w:rPr/>
      </w:pPr>
      <w:r w:rsidDel="00000000" w:rsidR="00000000" w:rsidRPr="00000000">
        <w:rPr>
          <w:rtl w:val="0"/>
        </w:rPr>
        <w:t xml:space="preserve">On the other hand in the present situation, the management of </w:t>
      </w:r>
      <w:r w:rsidDel="00000000" w:rsidR="00000000" w:rsidRPr="00000000">
        <w:rPr>
          <w:b w:val="1"/>
          <w:rtl w:val="0"/>
        </w:rPr>
        <w:t xml:space="preserve">Hyatt Hotels </w:t>
      </w:r>
      <w:r w:rsidDel="00000000" w:rsidR="00000000" w:rsidRPr="00000000">
        <w:rPr>
          <w:rtl w:val="0"/>
        </w:rPr>
        <w:t xml:space="preserve">initially formulated a positive luxury plan along with the acquisition of London-based Mr &amp; Mrs Smith, which will provide supportive operating growth support to the business on an effective basis. In order to format this approach, the organisation “Hyatt will acquire 100 per cent of the asset-light Mr &amp; Mrs Smith platform for an enterprise value of £53.0 million in cash consideration”. With the initiative of this strategic support, a positive volume of revenue formulations including the profit development initiative can be balanced which will provide a proper volume of stability position support in future (Businesswire.com, 2023). Additionally, the organisation also provides a systematic opportunity related to the renovation process of Hyatt Regency With the primary intention of developing strategic formulations and a proper volume of operation and compatibility support (Hospitality Net, 2023). A business also provides a systematic volume of development progress related to the operation and the branding initiative of the business on an effective basis so that the primary volume of revenue formulations can effectively be initiated. </w:t>
      </w:r>
    </w:p>
    <w:p w:rsidR="00000000" w:rsidDel="00000000" w:rsidP="00000000" w:rsidRDefault="00000000" w:rsidRPr="00000000" w14:paraId="00000052">
      <w:pPr>
        <w:pStyle w:val="Heading1"/>
        <w:rPr/>
      </w:pPr>
      <w:bookmarkStart w:colFirst="0" w:colLast="0" w:name="_4d34og8" w:id="9"/>
      <w:bookmarkEnd w:id="9"/>
      <w:r w:rsidDel="00000000" w:rsidR="00000000" w:rsidRPr="00000000">
        <w:rPr>
          <w:rtl w:val="0"/>
        </w:rPr>
        <w:t xml:space="preserve">Recommendation</w:t>
      </w:r>
    </w:p>
    <w:p w:rsidR="00000000" w:rsidDel="00000000" w:rsidP="00000000" w:rsidRDefault="00000000" w:rsidRPr="00000000" w14:paraId="00000053">
      <w:pPr>
        <w:rPr/>
      </w:pPr>
      <w:r w:rsidDel="00000000" w:rsidR="00000000" w:rsidRPr="00000000">
        <w:rPr>
          <w:b w:val="1"/>
          <w:rtl w:val="0"/>
        </w:rPr>
        <w:t xml:space="preserve">For IHG: </w:t>
      </w:r>
      <w:r w:rsidDel="00000000" w:rsidR="00000000" w:rsidRPr="00000000">
        <w:rPr>
          <w:rtl w:val="0"/>
        </w:rPr>
        <w:t xml:space="preserve">Depending on the overall operational processing and  performance development initiative the management of the business needs to provide  a proper volume of significance to the financial positivity and accountability mainly so that the growth and other progress can be initiated. Additionally, management needs to provide focus on standardised performances and some of the strategic modifications with the branding approach so that probable business growth and other associated performances can be formulated (Bhimani, 2018). </w:t>
      </w:r>
    </w:p>
    <w:p w:rsidR="00000000" w:rsidDel="00000000" w:rsidP="00000000" w:rsidRDefault="00000000" w:rsidRPr="00000000" w14:paraId="00000054">
      <w:pPr>
        <w:rPr/>
      </w:pPr>
      <w:r w:rsidDel="00000000" w:rsidR="00000000" w:rsidRPr="00000000">
        <w:rPr>
          <w:rtl w:val="0"/>
        </w:rPr>
        <w:t xml:space="preserve">For </w:t>
      </w:r>
      <w:r w:rsidDel="00000000" w:rsidR="00000000" w:rsidRPr="00000000">
        <w:rPr>
          <w:b w:val="1"/>
          <w:rtl w:val="0"/>
        </w:rPr>
        <w:t xml:space="preserve">Hyatt: </w:t>
      </w:r>
      <w:r w:rsidDel="00000000" w:rsidR="00000000" w:rsidRPr="00000000">
        <w:rPr>
          <w:rtl w:val="0"/>
        </w:rPr>
        <w:t xml:space="preserve">The overall financial processing of this business is not indicating a supportive engagement including the compatibility approach on a progressive basis. Depending on this position a positive volume of financial stability and profit formulation support is required in this business so that the optimum growth can be initiated properly. Additionally, the business also requires providing focus on the strategic formulations including the key performance indicators effectively so that the optimised valuation support can be modified. </w:t>
      </w:r>
    </w:p>
    <w:p w:rsidR="00000000" w:rsidDel="00000000" w:rsidP="00000000" w:rsidRDefault="00000000" w:rsidRPr="00000000" w14:paraId="00000055">
      <w:pPr>
        <w:pStyle w:val="Heading1"/>
        <w:rPr/>
      </w:pPr>
      <w:bookmarkStart w:colFirst="0" w:colLast="0" w:name="_2s8eyo1" w:id="10"/>
      <w:bookmarkEnd w:id="10"/>
      <w:r w:rsidDel="00000000" w:rsidR="00000000" w:rsidRPr="00000000">
        <w:rPr>
          <w:rtl w:val="0"/>
        </w:rPr>
        <w:t xml:space="preserve">Conclusions</w:t>
      </w:r>
    </w:p>
    <w:p w:rsidR="00000000" w:rsidDel="00000000" w:rsidP="00000000" w:rsidRDefault="00000000" w:rsidRPr="00000000" w14:paraId="00000056">
      <w:pPr>
        <w:rPr/>
      </w:pPr>
      <w:r w:rsidDel="00000000" w:rsidR="00000000" w:rsidRPr="00000000">
        <w:rPr>
          <w:rtl w:val="0"/>
        </w:rPr>
        <w:t xml:space="preserve">In conclusion, processing and formulation of proper financial operation and accountability are necessary for individual businesses which provide the ultimate benefit of standardisation. With maintenance support of proper finances and operation, the general engagement of business compatibility initiatives are generally proceeds that also provide accountability support to individual businesses. It generally provides the formulated growth support including the operating progress approach that manages the operating development on a proper basis. </w:t>
      </w:r>
    </w:p>
    <w:p w:rsidR="00000000" w:rsidDel="00000000" w:rsidP="00000000" w:rsidRDefault="00000000" w:rsidRPr="00000000" w14:paraId="0000005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bookmarkStart w:colFirst="0" w:colLast="0" w:name="_17dp8vu" w:id="11"/>
      <w:bookmarkEnd w:id="11"/>
      <w:r w:rsidDel="00000000" w:rsidR="00000000" w:rsidRPr="00000000">
        <w:rPr>
          <w:rtl w:val="0"/>
        </w:rPr>
        <w:t xml:space="preserve">References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Bhimani A, (Ed) (2018) Contemporary Issues in Management Accounting , Oxford</w:t>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Businesswire.com.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Hyatt to Further Strengthen Position in Luxury with Plans to Acquire Mr &amp; Mrs Smith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https://www.businesswire.com/news/home/20230427006080/en/Hyatt-to-Further-Strengthen-Position-in-Luxury-with-Plans-to-Acquire-Mr-Mrs-Smith [Accessed 28 Apr. 2023].</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directorstalk,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InterContinental Hotels Group H2 exceeded 2019 levels for both RevPAR and profitability - DirectorsTalk Interviews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https://www.directorstalkinterviews.com/intercontinental-hotels-group-h2-exceeded-2019-levels-for-both-revpar-and-profitability/4121107143 [Accessed 28 Apr. 2023].</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Drury C (2018) (9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tl w:val="0"/>
        </w:rPr>
        <w:t xml:space="preserve">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 Management and Cost Accounting, London, Prentice Hall</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finance.yahoo.com.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Hyatt Hotels Corporation (H) Stock Price, Quote, History &amp; News - Yahoo Finance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https://finance.yahoo.com/quote/h/ [Accessed 28 Apr. 2023].</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finance.yahoo.com.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Intercontinental Hotels Group (IHG) Stock Price, News, Quote &amp; History - Yahoo Finance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https://finance.yahoo.com/quote/IHG/ [Accessed 28 Apr. 2023].</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Guilding,C.(2019) Accounting Essentials for Hospitality Managers, London, Taylor and Francis.</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Hayes,M. and Miller, A. (2021) Revenue Management for the Hospitality Industry, London, Wiley</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Hill, L.J.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IHG reveals details of accelerated American expansion plans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THP News. Available at: https://tophotel.news/ihg-reveals-details-of-accelerated-american-expansion-plans/ [Accessed 28 Apr. 2023].</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Horngren C T and Forster G (2019) (11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tl w:val="0"/>
        </w:rPr>
        <w:t xml:space="preserve">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 Cost Accounting, A Managerial Emphasis, London:  Prentice Hall International</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Hospitality Net.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IHG expands luxury and premium hospitality offering in Egypt with triple hotel signing, in partnership with Arabella Group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https://www.hospitalitynet.org/news/4115572.html [Accessed 28 Apr. 2023].</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Hospitality Net.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Multimillion Dollar Renovations are Underway at Hyatt Regency Coralville Hotel &amp; Conference Center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https://www.hospitalitynet.org/announcement/41009456.html [Accessed 28 Apr. 2023].</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Hyatt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Hyatt History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Hyatt About. Available at: https://about.hyatt.com/en/hyatthistory.html [Accessed 28 Apr. 2023].</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Hyatt.com.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Hyatt Hotels Corporation - Investor Relations - Financial Reporting - Annual Reports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https://investors.hyatt.com/investor-relations/financial-reporting/annual-reports/default.aspx [Accessed 28 Apr. 2023].</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IHG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Our History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InterContinental Hotels Group PLC. Available at: https://www.ihgplc.com/en/about-us/our-history [Accessed 28 Apr. 2023].</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InterContinental Hotels Group PLC.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IHG Hotels &amp; Resorts Announces Expansion in Greater China with Full Roster of New Openings for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https://www.ihgplc.com/en/news-and-media/news-releases/2023/ihg-hotel-and-resorts-announces-expansion-in-greater-china-with-full-roster-of-new-openings-for-2023 [Accessed 17 Mar. 2023].</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Jagels,M. (2022) Hospitality Management Accounting, London, Wiley.</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Seal W, Garrison RH, Noreen E (2018) Management Accounting, McGraw Hill</w:t>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Sharesmagazine.co.uk.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InterContinental Hotels delivers 50% annual profits hike and launches $750 million share buyback | Shares Magazine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https://www.sharesmagazine.co.uk/news/shares/intercontinental-hotels-delivers-50-annual-profits-hike-and-launches-750-million-share-buyback [Accessed 28 Apr. 2023].</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Yahoo Finance.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Estimating The Intrinsic Value Of InterContinental Hotels Group PLC (LON:IHG)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https://finance.yahoo.com/news/estimating-intrinsic-value-intercontinental-hotels-125215180.html [Accessed 28 Apr. 2023].</w:t>
      </w:r>
    </w:p>
    <w:p w:rsidR="00000000" w:rsidDel="00000000" w:rsidP="00000000" w:rsidRDefault="00000000" w:rsidRPr="00000000" w14:paraId="0000006D">
      <w:pPr>
        <w:spacing w:after="280" w:before="280" w:lineRule="auto"/>
        <w:rPr>
          <w:color w:val="000000"/>
        </w:rPr>
      </w:pPr>
      <w:r w:rsidDel="00000000" w:rsidR="00000000" w:rsidRPr="00000000">
        <w:rPr>
          <w:color w:val="000000"/>
          <w:rtl w:val="0"/>
        </w:rPr>
        <w:t xml:space="preserve">‌‌</w:t>
      </w:r>
    </w:p>
    <w:p w:rsidR="00000000" w:rsidDel="00000000" w:rsidP="00000000" w:rsidRDefault="00000000" w:rsidRPr="00000000" w14:paraId="0000006E">
      <w:pPr>
        <w:rPr>
          <w:color w:val="000000"/>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sectPr>
      <w:footerReference r:id="rId8"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color w:val="000000"/>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