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6ED6E748" w14:textId="77777777" w:rsidR="00D2654F" w:rsidRDefault="00760116">
      <w:pPr>
        <w:pStyle w:val="Heading2"/>
        <w:pBdr>
          <w:top w:val="nil"/>
          <w:left w:val="nil"/>
          <w:bottom w:val="nil"/>
          <w:right w:val="nil"/>
          <w:between w:val="nil"/>
        </w:pBdr>
        <w:spacing w:before="0" w:line="288" w:lineRule="auto"/>
        <w:rPr>
          <w:rFonts w:ascii="Open Sans" w:eastAsia="Open Sans" w:hAnsi="Open Sans" w:cs="Open Sans"/>
          <w:color w:val="695D46"/>
          <w:sz w:val="24"/>
          <w:szCs w:val="24"/>
        </w:rPr>
      </w:pPr>
      <w:bookmarkStart w:id="0" w:name="_z6ne0og04bp5" w:colFirst="0" w:colLast="0"/>
      <w:bookmarkEnd w:id="0"/>
      <w:r>
        <w:rPr>
          <w:rFonts w:ascii="Open Sans" w:eastAsia="Open Sans" w:hAnsi="Open Sans" w:cs="Open Sans"/>
          <w:noProof/>
          <w:color w:val="695D46"/>
          <w:sz w:val="24"/>
          <w:szCs w:val="24"/>
        </w:rPr>
        <w:drawing>
          <wp:inline distT="114300" distB="114300" distL="114300" distR="114300" wp14:anchorId="6E818E78" wp14:editId="7B43935E">
            <wp:extent cx="5916349" cy="104775"/>
            <wp:effectExtent l="0" t="0" r="0" b="0"/>
            <wp:docPr id="2" name="image1.png" descr="horizontal line"/>
            <wp:cNvGraphicFramePr/>
            <a:graphic xmlns:a="http://schemas.openxmlformats.org/drawingml/2006/main">
              <a:graphicData uri="http://schemas.openxmlformats.org/drawingml/2006/picture">
                <pic:pic xmlns:pic="http://schemas.openxmlformats.org/drawingml/2006/picture">
                  <pic:nvPicPr>
                    <pic:cNvPr id="0" name="image1.png" descr="horizontal line"/>
                    <pic:cNvPicPr preferRelativeResize="0"/>
                  </pic:nvPicPr>
                  <pic:blipFill>
                    <a:blip r:embed="rId6"/>
                    <a:srcRect b="-35184"/>
                    <a:stretch>
                      <a:fillRect/>
                    </a:stretch>
                  </pic:blipFill>
                  <pic:spPr>
                    <a:xfrm>
                      <a:off x="0" y="0"/>
                      <a:ext cx="5916349" cy="104775"/>
                    </a:xfrm>
                    <a:prstGeom prst="rect">
                      <a:avLst/>
                    </a:prstGeom>
                    <a:ln/>
                  </pic:spPr>
                </pic:pic>
              </a:graphicData>
            </a:graphic>
          </wp:inline>
        </w:drawing>
      </w:r>
      <w:r>
        <w:rPr>
          <w:rFonts w:ascii="Open Sans" w:eastAsia="Open Sans" w:hAnsi="Open Sans" w:cs="Open Sans"/>
          <w:color w:val="695D46"/>
          <w:sz w:val="24"/>
          <w:szCs w:val="24"/>
        </w:rPr>
        <w:t xml:space="preserve"> </w:t>
      </w:r>
    </w:p>
    <w:p w14:paraId="45739E48" w14:textId="77777777" w:rsidR="00D2654F" w:rsidRDefault="00760116">
      <w:pPr>
        <w:pBdr>
          <w:top w:val="nil"/>
          <w:left w:val="nil"/>
          <w:bottom w:val="nil"/>
          <w:right w:val="nil"/>
          <w:between w:val="nil"/>
        </w:pBdr>
      </w:pPr>
      <w:r>
        <w:rPr>
          <w:noProof/>
        </w:rPr>
        <w:drawing>
          <wp:inline distT="114300" distB="114300" distL="114300" distR="114300" wp14:anchorId="6A796E10" wp14:editId="4F8051D3">
            <wp:extent cx="5910263" cy="3940175"/>
            <wp:effectExtent l="0" t="0" r="0" b="0"/>
            <wp:docPr id="3"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a:stretch>
                      <a:fillRect/>
                    </a:stretch>
                  </pic:blipFill>
                  <pic:spPr>
                    <a:xfrm>
                      <a:off x="0" y="0"/>
                      <a:ext cx="5910263" cy="3940175"/>
                    </a:xfrm>
                    <a:prstGeom prst="rect">
                      <a:avLst/>
                    </a:prstGeom>
                    <a:ln/>
                  </pic:spPr>
                </pic:pic>
              </a:graphicData>
            </a:graphic>
          </wp:inline>
        </w:drawing>
      </w:r>
    </w:p>
    <w:p w14:paraId="7F8C03FF" w14:textId="77777777" w:rsidR="00D2654F" w:rsidRDefault="00760116">
      <w:pPr>
        <w:spacing w:before="0" w:line="480" w:lineRule="auto"/>
        <w:jc w:val="center"/>
        <w:rPr>
          <w:rFonts w:ascii="Arial" w:eastAsia="Arial" w:hAnsi="Arial" w:cs="Arial"/>
          <w:color w:val="000000"/>
          <w:sz w:val="24"/>
          <w:szCs w:val="24"/>
        </w:rPr>
      </w:pPr>
      <w:r>
        <w:rPr>
          <w:rFonts w:ascii="Arial" w:eastAsia="Arial" w:hAnsi="Arial" w:cs="Arial"/>
          <w:color w:val="000000"/>
          <w:sz w:val="24"/>
          <w:szCs w:val="24"/>
        </w:rPr>
        <w:t>Understanding Policing: Assignment 1</w:t>
      </w:r>
    </w:p>
    <w:p w14:paraId="398257A8" w14:textId="77777777" w:rsidR="00D2654F" w:rsidRDefault="00760116">
      <w:pPr>
        <w:spacing w:before="0" w:line="480" w:lineRule="auto"/>
        <w:jc w:val="center"/>
        <w:rPr>
          <w:rFonts w:ascii="Arial" w:eastAsia="Arial" w:hAnsi="Arial" w:cs="Arial"/>
          <w:color w:val="000000"/>
          <w:sz w:val="24"/>
          <w:szCs w:val="24"/>
        </w:rPr>
      </w:pPr>
      <w:r>
        <w:rPr>
          <w:rFonts w:ascii="Arial" w:eastAsia="Arial" w:hAnsi="Arial" w:cs="Arial"/>
          <w:color w:val="000000"/>
          <w:sz w:val="24"/>
          <w:szCs w:val="24"/>
        </w:rPr>
        <w:t>Police Legitimacy</w:t>
      </w:r>
    </w:p>
    <w:p w14:paraId="586991FC" w14:textId="77777777" w:rsidR="00D2654F" w:rsidRDefault="00D2654F">
      <w:pPr>
        <w:pBdr>
          <w:top w:val="nil"/>
          <w:left w:val="nil"/>
          <w:bottom w:val="nil"/>
          <w:right w:val="nil"/>
          <w:between w:val="nil"/>
        </w:pBdr>
        <w:spacing w:line="480" w:lineRule="auto"/>
        <w:jc w:val="center"/>
        <w:rPr>
          <w:rFonts w:ascii="Arial" w:eastAsia="Arial" w:hAnsi="Arial" w:cs="Arial"/>
          <w:color w:val="000000"/>
          <w:sz w:val="24"/>
          <w:szCs w:val="24"/>
        </w:rPr>
      </w:pPr>
    </w:p>
    <w:p w14:paraId="65125519" w14:textId="77777777" w:rsidR="00D2654F" w:rsidRDefault="00760116">
      <w:pPr>
        <w:pBdr>
          <w:top w:val="nil"/>
          <w:left w:val="nil"/>
          <w:bottom w:val="nil"/>
          <w:right w:val="nil"/>
          <w:between w:val="nil"/>
        </w:pBdr>
        <w:spacing w:before="0" w:line="480" w:lineRule="auto"/>
        <w:jc w:val="center"/>
        <w:rPr>
          <w:rFonts w:ascii="Arial" w:eastAsia="Arial" w:hAnsi="Arial" w:cs="Arial"/>
          <w:color w:val="000000"/>
          <w:sz w:val="24"/>
          <w:szCs w:val="24"/>
        </w:rPr>
      </w:pPr>
      <w:r>
        <w:rPr>
          <w:rFonts w:ascii="Arial" w:eastAsia="Arial" w:hAnsi="Arial" w:cs="Arial"/>
          <w:color w:val="000000"/>
          <w:sz w:val="24"/>
          <w:szCs w:val="24"/>
        </w:rPr>
        <w:t xml:space="preserve">Evaluate the Success and Limitations of the </w:t>
      </w:r>
    </w:p>
    <w:p w14:paraId="0B579726" w14:textId="77777777" w:rsidR="00D2654F" w:rsidRDefault="00760116">
      <w:pPr>
        <w:pBdr>
          <w:top w:val="nil"/>
          <w:left w:val="nil"/>
          <w:bottom w:val="nil"/>
          <w:right w:val="nil"/>
          <w:between w:val="nil"/>
        </w:pBdr>
        <w:spacing w:before="0" w:line="480" w:lineRule="auto"/>
        <w:jc w:val="center"/>
        <w:rPr>
          <w:rFonts w:ascii="Arial" w:eastAsia="Arial" w:hAnsi="Arial" w:cs="Arial"/>
          <w:color w:val="000000"/>
          <w:sz w:val="24"/>
          <w:szCs w:val="24"/>
        </w:rPr>
      </w:pPr>
      <w:r>
        <w:rPr>
          <w:rFonts w:ascii="Arial" w:eastAsia="Arial" w:hAnsi="Arial" w:cs="Arial"/>
          <w:color w:val="000000"/>
          <w:sz w:val="24"/>
          <w:szCs w:val="24"/>
        </w:rPr>
        <w:t xml:space="preserve">Police and Criminal Evidence Act (1984)                          </w:t>
      </w:r>
    </w:p>
    <w:p w14:paraId="3A4E31F8" w14:textId="77777777" w:rsidR="00D2654F" w:rsidRDefault="00760116">
      <w:pPr>
        <w:pBdr>
          <w:top w:val="nil"/>
          <w:left w:val="nil"/>
          <w:bottom w:val="nil"/>
          <w:right w:val="nil"/>
          <w:between w:val="nil"/>
        </w:pBdr>
        <w:spacing w:before="0" w:line="480" w:lineRule="auto"/>
        <w:jc w:val="center"/>
        <w:rPr>
          <w:rFonts w:ascii="Arial" w:eastAsia="Arial" w:hAnsi="Arial" w:cs="Arial"/>
          <w:color w:val="000000"/>
          <w:sz w:val="24"/>
          <w:szCs w:val="24"/>
        </w:rPr>
      </w:pPr>
      <w:r>
        <w:rPr>
          <w:rFonts w:ascii="Arial" w:eastAsia="Arial" w:hAnsi="Arial" w:cs="Arial"/>
          <w:color w:val="000000"/>
          <w:sz w:val="24"/>
          <w:szCs w:val="24"/>
        </w:rPr>
        <w:t>in Preventing Miscarriages of Justice</w:t>
      </w:r>
    </w:p>
    <w:p w14:paraId="64DFD487" w14:textId="77777777" w:rsidR="00D2654F" w:rsidRDefault="00D2654F">
      <w:pPr>
        <w:spacing w:before="0" w:line="480" w:lineRule="auto"/>
        <w:jc w:val="center"/>
        <w:rPr>
          <w:rFonts w:ascii="Arial" w:eastAsia="Arial" w:hAnsi="Arial" w:cs="Arial"/>
          <w:color w:val="000000"/>
          <w:sz w:val="24"/>
          <w:szCs w:val="24"/>
        </w:rPr>
      </w:pPr>
    </w:p>
    <w:p w14:paraId="79E92C49" w14:textId="77777777" w:rsidR="00D2654F" w:rsidRDefault="00760116">
      <w:pPr>
        <w:spacing w:before="0" w:line="480" w:lineRule="auto"/>
        <w:jc w:val="center"/>
        <w:rPr>
          <w:rFonts w:ascii="Arial" w:eastAsia="Arial" w:hAnsi="Arial" w:cs="Arial"/>
          <w:color w:val="000000"/>
          <w:sz w:val="24"/>
          <w:szCs w:val="24"/>
        </w:rPr>
      </w:pPr>
      <w:r>
        <w:rPr>
          <w:rFonts w:ascii="Arial" w:eastAsia="Arial" w:hAnsi="Arial" w:cs="Arial"/>
          <w:color w:val="000000"/>
          <w:sz w:val="24"/>
          <w:szCs w:val="24"/>
        </w:rPr>
        <w:t xml:space="preserve">By Cassie Johnson                                                                          </w:t>
      </w:r>
    </w:p>
    <w:p w14:paraId="0154E648" w14:textId="77777777" w:rsidR="00D2654F" w:rsidRDefault="00760116">
      <w:pPr>
        <w:spacing w:before="0" w:line="480" w:lineRule="auto"/>
        <w:jc w:val="center"/>
        <w:rPr>
          <w:rFonts w:ascii="Arial" w:eastAsia="Arial" w:hAnsi="Arial" w:cs="Arial"/>
          <w:color w:val="000000"/>
          <w:sz w:val="24"/>
          <w:szCs w:val="24"/>
        </w:rPr>
      </w:pPr>
      <w:r>
        <w:rPr>
          <w:rFonts w:ascii="Arial" w:eastAsia="Arial" w:hAnsi="Arial" w:cs="Arial"/>
          <w:color w:val="000000"/>
          <w:sz w:val="24"/>
          <w:szCs w:val="24"/>
        </w:rPr>
        <w:t xml:space="preserve">BA Law and Criminology                                                 </w:t>
      </w:r>
    </w:p>
    <w:p w14:paraId="31131214" w14:textId="77777777" w:rsidR="00D2654F" w:rsidRDefault="00760116">
      <w:pPr>
        <w:spacing w:before="0" w:line="480" w:lineRule="auto"/>
        <w:jc w:val="center"/>
        <w:rPr>
          <w:rFonts w:ascii="Arial" w:eastAsia="Arial" w:hAnsi="Arial" w:cs="Arial"/>
          <w:color w:val="000000"/>
          <w:sz w:val="24"/>
          <w:szCs w:val="24"/>
        </w:rPr>
      </w:pPr>
      <w:r>
        <w:rPr>
          <w:rFonts w:ascii="Arial" w:eastAsia="Arial" w:hAnsi="Arial" w:cs="Arial"/>
          <w:color w:val="000000"/>
          <w:sz w:val="24"/>
          <w:szCs w:val="24"/>
        </w:rPr>
        <w:t xml:space="preserve">                       University of Wales Trinity Saint David                   </w:t>
      </w:r>
      <w:r>
        <w:rPr>
          <w:rFonts w:ascii="Arial" w:eastAsia="Arial" w:hAnsi="Arial" w:cs="Arial"/>
          <w:color w:val="000000"/>
          <w:sz w:val="24"/>
          <w:szCs w:val="24"/>
        </w:rPr>
        <w:tab/>
      </w:r>
    </w:p>
    <w:p w14:paraId="43A94C67" w14:textId="77777777" w:rsidR="00D2654F" w:rsidRDefault="00760116">
      <w:pPr>
        <w:spacing w:before="0" w:line="480" w:lineRule="auto"/>
        <w:jc w:val="center"/>
        <w:rPr>
          <w:rFonts w:ascii="Arial" w:eastAsia="Arial" w:hAnsi="Arial" w:cs="Arial"/>
          <w:color w:val="000000"/>
          <w:sz w:val="24"/>
          <w:szCs w:val="24"/>
        </w:rPr>
      </w:pPr>
      <w:r>
        <w:rPr>
          <w:rFonts w:ascii="Arial" w:eastAsia="Arial" w:hAnsi="Arial" w:cs="Arial"/>
          <w:color w:val="000000"/>
          <w:sz w:val="24"/>
          <w:szCs w:val="24"/>
        </w:rPr>
        <w:t>Student No: 1812437</w:t>
      </w:r>
    </w:p>
    <w:p w14:paraId="50E4E72B" w14:textId="77777777" w:rsidR="00D2654F" w:rsidRDefault="00D2654F">
      <w:pPr>
        <w:pBdr>
          <w:top w:val="nil"/>
          <w:left w:val="nil"/>
          <w:bottom w:val="nil"/>
          <w:right w:val="nil"/>
          <w:between w:val="nil"/>
        </w:pBdr>
        <w:spacing w:before="0"/>
        <w:rPr>
          <w:rFonts w:ascii="PT Sans Narrow" w:eastAsia="PT Sans Narrow" w:hAnsi="PT Sans Narrow" w:cs="PT Sans Narrow"/>
          <w:color w:val="000000"/>
          <w:sz w:val="32"/>
          <w:szCs w:val="32"/>
        </w:rPr>
      </w:pPr>
    </w:p>
    <w:p w14:paraId="78853363" w14:textId="77777777" w:rsidR="00D2654F" w:rsidRDefault="00D2654F">
      <w:pPr>
        <w:shd w:val="clear" w:color="auto" w:fill="FFFFFF"/>
        <w:spacing w:before="300" w:after="300"/>
        <w:rPr>
          <w:rFonts w:ascii="Arial" w:eastAsia="Arial" w:hAnsi="Arial" w:cs="Arial"/>
          <w:color w:val="000000"/>
        </w:rPr>
      </w:pPr>
    </w:p>
    <w:p w14:paraId="291143D8" w14:textId="77777777" w:rsidR="00D2654F" w:rsidRDefault="00D2654F">
      <w:pPr>
        <w:shd w:val="clear" w:color="auto" w:fill="FFFFFF"/>
        <w:spacing w:before="300" w:after="300"/>
        <w:rPr>
          <w:rFonts w:ascii="Arial" w:eastAsia="Arial" w:hAnsi="Arial" w:cs="Arial"/>
          <w:color w:val="000000"/>
        </w:rPr>
      </w:pPr>
    </w:p>
    <w:p w14:paraId="16647815" w14:textId="77777777" w:rsidR="00D2654F" w:rsidRDefault="00760116">
      <w:pPr>
        <w:shd w:val="clear" w:color="auto" w:fill="FFFFFF"/>
        <w:spacing w:before="300" w:after="300" w:line="480" w:lineRule="auto"/>
        <w:rPr>
          <w:rFonts w:ascii="Arial" w:eastAsia="Arial" w:hAnsi="Arial" w:cs="Arial"/>
          <w:color w:val="000000"/>
          <w:sz w:val="24"/>
          <w:szCs w:val="24"/>
        </w:rPr>
      </w:pPr>
      <w:r>
        <w:rPr>
          <w:rFonts w:ascii="Arial" w:eastAsia="Arial" w:hAnsi="Arial" w:cs="Arial"/>
          <w:color w:val="000000"/>
          <w:sz w:val="24"/>
          <w:szCs w:val="24"/>
        </w:rPr>
        <w:t xml:space="preserve">The Police and Criminal Evidence Act 1984, otherwise known as PACE 1984, was introduced with the idea being to merge police powers under one code of practice. It has been said previously that although unwritten, PACE was already in existence and in force before it became legislature, however, after a string of miscarriages of justice it became inevitable that there needed to be a shakeup to correct the failings in investigations and also to regain faith lost within the public. PACE 1984 is a piece of legislature for police officers in England and Wales to follow and abide by in the prevention of crime. The Acts existence was primarily created to provide officers assistance when exercising their duties but also to create a balance between the public and police. There are three main concepts to the act: the notion of reasonable suspicion, the regulation of any use of force and the management of police </w:t>
      </w:r>
      <w:proofErr w:type="spellStart"/>
      <w:r>
        <w:rPr>
          <w:rFonts w:ascii="Arial" w:eastAsia="Arial" w:hAnsi="Arial" w:cs="Arial"/>
          <w:color w:val="000000"/>
          <w:sz w:val="24"/>
          <w:szCs w:val="24"/>
        </w:rPr>
        <w:t>behaviour</w:t>
      </w:r>
      <w:proofErr w:type="spellEnd"/>
      <w:r>
        <w:rPr>
          <w:rFonts w:ascii="Arial" w:eastAsia="Arial" w:hAnsi="Arial" w:cs="Arial"/>
          <w:color w:val="000000"/>
          <w:sz w:val="24"/>
          <w:szCs w:val="24"/>
        </w:rPr>
        <w:t xml:space="preserve"> </w:t>
      </w:r>
      <w:proofErr w:type="gramStart"/>
      <w:r>
        <w:rPr>
          <w:rFonts w:ascii="Arial" w:eastAsia="Arial" w:hAnsi="Arial" w:cs="Arial"/>
          <w:color w:val="000000"/>
          <w:sz w:val="24"/>
          <w:szCs w:val="24"/>
        </w:rPr>
        <w:t>in regards to</w:t>
      </w:r>
      <w:proofErr w:type="gramEnd"/>
      <w:r>
        <w:rPr>
          <w:rFonts w:ascii="Arial" w:eastAsia="Arial" w:hAnsi="Arial" w:cs="Arial"/>
          <w:color w:val="000000"/>
          <w:sz w:val="24"/>
          <w:szCs w:val="24"/>
        </w:rPr>
        <w:t xml:space="preserve"> evidence collection s60. PACE 1984 provides safeguards during police questioning and is supported by strict codes of practice under s60 and s66. Officers have strict rules to abide by when they are conducting interviews, time limits on detaining suspects, and how they handle evidence. Interviews now </w:t>
      </w:r>
      <w:proofErr w:type="gramStart"/>
      <w:r>
        <w:rPr>
          <w:rFonts w:ascii="Arial" w:eastAsia="Arial" w:hAnsi="Arial" w:cs="Arial"/>
          <w:color w:val="000000"/>
          <w:sz w:val="24"/>
          <w:szCs w:val="24"/>
        </w:rPr>
        <w:t>have to</w:t>
      </w:r>
      <w:proofErr w:type="gramEnd"/>
      <w:r>
        <w:rPr>
          <w:rFonts w:ascii="Arial" w:eastAsia="Arial" w:hAnsi="Arial" w:cs="Arial"/>
          <w:color w:val="000000"/>
          <w:sz w:val="24"/>
          <w:szCs w:val="24"/>
        </w:rPr>
        <w:t xml:space="preserve"> be conducted under-recording to ensure there is no mistreatment, intimidation or coercion. The PACE codes of practice cover: stop and search, arrest, detention, investigation, identification and interviewing detainees </w:t>
      </w:r>
      <w:hyperlink r:id="rId8">
        <w:r>
          <w:rPr>
            <w:rFonts w:ascii="Arial" w:eastAsia="Arial" w:hAnsi="Arial" w:cs="Arial"/>
            <w:color w:val="000000"/>
            <w:sz w:val="24"/>
            <w:szCs w:val="24"/>
          </w:rPr>
          <w:t>(Home Office, 2013)</w:t>
        </w:r>
      </w:hyperlink>
    </w:p>
    <w:p w14:paraId="275F8377" w14:textId="78E79507" w:rsidR="00D2654F" w:rsidRDefault="00760116">
      <w:pPr>
        <w:shd w:val="clear" w:color="auto" w:fill="FFFFFF"/>
        <w:spacing w:before="300" w:after="300" w:line="480" w:lineRule="auto"/>
        <w:rPr>
          <w:rFonts w:ascii="Arial" w:eastAsia="Arial" w:hAnsi="Arial" w:cs="Arial"/>
          <w:color w:val="000000"/>
          <w:sz w:val="24"/>
          <w:szCs w:val="24"/>
        </w:rPr>
      </w:pPr>
      <w:r>
        <w:rPr>
          <w:rFonts w:ascii="Arial" w:eastAsia="Arial" w:hAnsi="Arial" w:cs="Arial"/>
          <w:color w:val="000000"/>
          <w:sz w:val="24"/>
          <w:szCs w:val="24"/>
        </w:rPr>
        <w:t xml:space="preserve">In the 1700’s police forces did not exist. Instead, law enforcement was carried out by unpaid parish constables chosen by the local justice of the peace. By 1753 this form of policing was no longer adequate due to its </w:t>
      </w:r>
      <w:proofErr w:type="spellStart"/>
      <w:r>
        <w:rPr>
          <w:rFonts w:ascii="Arial" w:eastAsia="Arial" w:hAnsi="Arial" w:cs="Arial"/>
          <w:color w:val="000000"/>
          <w:sz w:val="24"/>
          <w:szCs w:val="24"/>
        </w:rPr>
        <w:t>disorganisation</w:t>
      </w:r>
      <w:proofErr w:type="spellEnd"/>
      <w:r>
        <w:rPr>
          <w:rFonts w:ascii="Arial" w:eastAsia="Arial" w:hAnsi="Arial" w:cs="Arial"/>
          <w:color w:val="000000"/>
          <w:sz w:val="24"/>
          <w:szCs w:val="24"/>
        </w:rPr>
        <w:t xml:space="preserve"> and lack of criminal </w:t>
      </w:r>
      <w:r>
        <w:rPr>
          <w:rFonts w:ascii="Arial" w:eastAsia="Arial" w:hAnsi="Arial" w:cs="Arial"/>
          <w:color w:val="000000"/>
          <w:sz w:val="24"/>
          <w:szCs w:val="24"/>
        </w:rPr>
        <w:lastRenderedPageBreak/>
        <w:t xml:space="preserve">investigation capability. </w:t>
      </w:r>
      <w:hyperlink r:id="rId9">
        <w:r>
          <w:rPr>
            <w:rFonts w:ascii="Arial" w:eastAsia="Arial" w:hAnsi="Arial" w:cs="Arial"/>
            <w:color w:val="000000"/>
            <w:sz w:val="24"/>
            <w:szCs w:val="24"/>
          </w:rPr>
          <w:t>(</w:t>
        </w:r>
      </w:hyperlink>
      <w:hyperlink r:id="rId10">
        <w:r>
          <w:rPr>
            <w:rFonts w:ascii="Arial" w:eastAsia="Arial" w:hAnsi="Arial" w:cs="Arial"/>
            <w:i/>
            <w:color w:val="000000"/>
            <w:sz w:val="24"/>
            <w:szCs w:val="24"/>
          </w:rPr>
          <w:t>BBC</w:t>
        </w:r>
      </w:hyperlink>
      <w:hyperlink r:id="rId11">
        <w:r>
          <w:rPr>
            <w:rFonts w:ascii="Arial" w:eastAsia="Arial" w:hAnsi="Arial" w:cs="Arial"/>
            <w:color w:val="000000"/>
            <w:sz w:val="24"/>
            <w:szCs w:val="24"/>
          </w:rPr>
          <w:t xml:space="preserve">, </w:t>
        </w:r>
        <w:r w:rsidR="008F0D40">
          <w:rPr>
            <w:rFonts w:ascii="Arial" w:eastAsia="Arial" w:hAnsi="Arial" w:cs="Arial"/>
            <w:color w:val="000000"/>
            <w:sz w:val="24"/>
            <w:szCs w:val="24"/>
          </w:rPr>
          <w:t>2019</w:t>
        </w:r>
        <w:r>
          <w:rPr>
            <w:rFonts w:ascii="Arial" w:eastAsia="Arial" w:hAnsi="Arial" w:cs="Arial"/>
            <w:color w:val="000000"/>
            <w:sz w:val="24"/>
            <w:szCs w:val="24"/>
          </w:rPr>
          <w:t>)</w:t>
        </w:r>
      </w:hyperlink>
      <w:r>
        <w:rPr>
          <w:rFonts w:ascii="Arial" w:eastAsia="Arial" w:hAnsi="Arial" w:cs="Arial"/>
          <w:color w:val="000000"/>
          <w:sz w:val="24"/>
          <w:szCs w:val="24"/>
        </w:rPr>
        <w:t xml:space="preserve"> 1753 saw the first detective force introduced, this was known as the Bow Street Runners. Due to the increasing size of London in the 1800s during the time of the industrial revolution, it became clear that the usual form of policing which were volunteer constables, watchmen and bow street runners were no longer </w:t>
      </w:r>
      <w:proofErr w:type="gramStart"/>
      <w:r>
        <w:rPr>
          <w:rFonts w:ascii="Arial" w:eastAsia="Arial" w:hAnsi="Arial" w:cs="Arial"/>
          <w:color w:val="000000"/>
          <w:sz w:val="24"/>
          <w:szCs w:val="24"/>
        </w:rPr>
        <w:t>sufficient enough</w:t>
      </w:r>
      <w:proofErr w:type="gramEnd"/>
      <w:r>
        <w:rPr>
          <w:rFonts w:ascii="Arial" w:eastAsia="Arial" w:hAnsi="Arial" w:cs="Arial"/>
          <w:color w:val="000000"/>
          <w:sz w:val="24"/>
          <w:szCs w:val="24"/>
        </w:rPr>
        <w:t xml:space="preserve"> to prevent crime. Sir Robert peeler, appointed home secretary in 1822, saw to the birth of the first police force founded in the UK, the metropolitan police force. Peel, regarded as the father of policing, was heavily influenced by Jeremy Bentham, a social and legal philosopher who believed there should be politically neutral police forces to maintain social order and deter people from crime </w:t>
      </w:r>
      <w:hyperlink r:id="rId12">
        <w:r>
          <w:rPr>
            <w:rFonts w:ascii="Arial" w:eastAsia="Arial" w:hAnsi="Arial" w:cs="Arial"/>
            <w:color w:val="000000"/>
            <w:sz w:val="24"/>
            <w:szCs w:val="24"/>
          </w:rPr>
          <w:t>(Churchill, 2013)</w:t>
        </w:r>
      </w:hyperlink>
      <w:r>
        <w:rPr>
          <w:rFonts w:ascii="Arial" w:eastAsia="Arial" w:hAnsi="Arial" w:cs="Arial"/>
          <w:color w:val="000000"/>
          <w:sz w:val="24"/>
          <w:szCs w:val="24"/>
        </w:rPr>
        <w:t>.</w:t>
      </w:r>
    </w:p>
    <w:p w14:paraId="16432ACC" w14:textId="77777777" w:rsidR="00D2654F" w:rsidRDefault="00760116">
      <w:pPr>
        <w:spacing w:before="240" w:after="240" w:line="480" w:lineRule="auto"/>
        <w:rPr>
          <w:rFonts w:ascii="Arial" w:eastAsia="Arial" w:hAnsi="Arial" w:cs="Arial"/>
          <w:color w:val="000000"/>
          <w:sz w:val="24"/>
          <w:szCs w:val="24"/>
        </w:rPr>
      </w:pPr>
      <w:r>
        <w:rPr>
          <w:rFonts w:ascii="Arial" w:eastAsia="Arial" w:hAnsi="Arial" w:cs="Arial"/>
          <w:color w:val="000000"/>
          <w:sz w:val="24"/>
          <w:szCs w:val="24"/>
        </w:rPr>
        <w:t xml:space="preserve">Officers of the time became known as peelers or bobbies who wore tailcoats and top hats. The biggest problem with crime in these days was burglary. In 1842 an investigative force was formed to replace the bow street runners and consisted of 2 inspectors, six sergeants and several constables. In 1863 215 officers were arrested for being intoxicated on duty. This, at the time, was as far as deviance within the force went. In 1877 the arrest of 3 high ranking detectives for corruption was the first known case of its kind but had certainly not been the last </w:t>
      </w:r>
      <w:hyperlink r:id="rId13">
        <w:r>
          <w:rPr>
            <w:rFonts w:ascii="Arial" w:eastAsia="Arial" w:hAnsi="Arial" w:cs="Arial"/>
            <w:color w:val="000000"/>
            <w:sz w:val="24"/>
            <w:szCs w:val="24"/>
          </w:rPr>
          <w:t xml:space="preserve">(Evans and </w:t>
        </w:r>
        <w:proofErr w:type="spellStart"/>
        <w:r>
          <w:rPr>
            <w:rFonts w:ascii="Arial" w:eastAsia="Arial" w:hAnsi="Arial" w:cs="Arial"/>
            <w:color w:val="000000"/>
            <w:sz w:val="24"/>
            <w:szCs w:val="24"/>
          </w:rPr>
          <w:t>Rumbelow</w:t>
        </w:r>
        <w:proofErr w:type="spellEnd"/>
        <w:r>
          <w:rPr>
            <w:rFonts w:ascii="Arial" w:eastAsia="Arial" w:hAnsi="Arial" w:cs="Arial"/>
            <w:color w:val="000000"/>
            <w:sz w:val="24"/>
            <w:szCs w:val="24"/>
          </w:rPr>
          <w:t>, 2010)</w:t>
        </w:r>
      </w:hyperlink>
      <w:r>
        <w:rPr>
          <w:rFonts w:ascii="Arial" w:eastAsia="Arial" w:hAnsi="Arial" w:cs="Arial"/>
          <w:color w:val="000000"/>
          <w:sz w:val="24"/>
          <w:szCs w:val="24"/>
        </w:rPr>
        <w:t xml:space="preserve">. As a result of the scandal, the investigative force was changed to become the criminal investigations department. The three chief inspectors, John Meiklejohn, Nathanial </w:t>
      </w:r>
      <w:proofErr w:type="spellStart"/>
      <w:r>
        <w:rPr>
          <w:rFonts w:ascii="Arial" w:eastAsia="Arial" w:hAnsi="Arial" w:cs="Arial"/>
          <w:color w:val="000000"/>
          <w:sz w:val="24"/>
          <w:szCs w:val="24"/>
        </w:rPr>
        <w:t>Druscovich</w:t>
      </w:r>
      <w:proofErr w:type="spellEnd"/>
      <w:r>
        <w:rPr>
          <w:rFonts w:ascii="Arial" w:eastAsia="Arial" w:hAnsi="Arial" w:cs="Arial"/>
          <w:color w:val="000000"/>
          <w:sz w:val="24"/>
          <w:szCs w:val="24"/>
        </w:rPr>
        <w:t xml:space="preserve"> and </w:t>
      </w:r>
      <w:proofErr w:type="spellStart"/>
      <w:r>
        <w:rPr>
          <w:rFonts w:ascii="Arial" w:eastAsia="Arial" w:hAnsi="Arial" w:cs="Arial"/>
          <w:color w:val="000000"/>
          <w:sz w:val="24"/>
          <w:szCs w:val="24"/>
        </w:rPr>
        <w:t>Pamer</w:t>
      </w:r>
      <w:proofErr w:type="spellEnd"/>
      <w:r>
        <w:rPr>
          <w:rFonts w:ascii="Arial" w:eastAsia="Arial" w:hAnsi="Arial" w:cs="Arial"/>
          <w:color w:val="000000"/>
          <w:sz w:val="24"/>
          <w:szCs w:val="24"/>
        </w:rPr>
        <w:t>, were sentenced to 2 years after being found guilty of accepting bribes from a scammer who had been swindling money from a Parisian woman. The three inspectors had been warning the defendants of when their arrests were imminent, allowing them to escape justice.</w:t>
      </w:r>
    </w:p>
    <w:p w14:paraId="29CDA14A" w14:textId="77777777" w:rsidR="00D2654F" w:rsidRDefault="00760116">
      <w:pPr>
        <w:spacing w:before="240" w:after="240" w:line="480" w:lineRule="auto"/>
        <w:rPr>
          <w:rFonts w:ascii="Arial" w:eastAsia="Arial" w:hAnsi="Arial" w:cs="Arial"/>
          <w:color w:val="000000"/>
          <w:sz w:val="24"/>
          <w:szCs w:val="24"/>
        </w:rPr>
      </w:pPr>
      <w:r>
        <w:rPr>
          <w:rFonts w:ascii="Arial" w:eastAsia="Arial" w:hAnsi="Arial" w:cs="Arial"/>
          <w:color w:val="000000"/>
          <w:sz w:val="24"/>
          <w:szCs w:val="24"/>
        </w:rPr>
        <w:lastRenderedPageBreak/>
        <w:t xml:space="preserve">Miscarriages of justice have been defined in many ways over the decades. Primarily it is where the conviction or punishment of a person has been unfairly served for a crime they have not committed. In a stop and search report done by the Equality of Human Rights, Ken Hinds speaks of his own experience when in 2004 he witnessed a stop and search of a young black male. Hinds observed in case he was needed to give a witness </w:t>
      </w:r>
      <w:proofErr w:type="gramStart"/>
      <w:r>
        <w:rPr>
          <w:rFonts w:ascii="Arial" w:eastAsia="Arial" w:hAnsi="Arial" w:cs="Arial"/>
          <w:color w:val="000000"/>
          <w:sz w:val="24"/>
          <w:szCs w:val="24"/>
        </w:rPr>
        <w:t>statement,</w:t>
      </w:r>
      <w:proofErr w:type="gramEnd"/>
      <w:r>
        <w:rPr>
          <w:rFonts w:ascii="Arial" w:eastAsia="Arial" w:hAnsi="Arial" w:cs="Arial"/>
          <w:color w:val="000000"/>
          <w:sz w:val="24"/>
          <w:szCs w:val="24"/>
        </w:rPr>
        <w:t xml:space="preserve"> however, he was then wrongfully arrested for threatening and abusive </w:t>
      </w:r>
      <w:proofErr w:type="spellStart"/>
      <w:r>
        <w:rPr>
          <w:rFonts w:ascii="Arial" w:eastAsia="Arial" w:hAnsi="Arial" w:cs="Arial"/>
          <w:color w:val="000000"/>
          <w:sz w:val="24"/>
          <w:szCs w:val="24"/>
        </w:rPr>
        <w:t>behaviour</w:t>
      </w:r>
      <w:proofErr w:type="spellEnd"/>
      <w:r>
        <w:rPr>
          <w:rFonts w:ascii="Arial" w:eastAsia="Arial" w:hAnsi="Arial" w:cs="Arial"/>
          <w:color w:val="000000"/>
          <w:sz w:val="24"/>
          <w:szCs w:val="24"/>
        </w:rPr>
        <w:t xml:space="preserve">. At his trial in 2005, the case was dismissed, and he pursued an apology. According to Hinds </w:t>
      </w:r>
      <w:hyperlink r:id="rId14">
        <w:r>
          <w:rPr>
            <w:rFonts w:ascii="Arial" w:eastAsia="Arial" w:hAnsi="Arial" w:cs="Arial"/>
            <w:color w:val="000000"/>
            <w:sz w:val="24"/>
            <w:szCs w:val="24"/>
          </w:rPr>
          <w:t>(United Kingdom, Equality and Human Rights Commission, 2010)</w:t>
        </w:r>
      </w:hyperlink>
      <w:r>
        <w:rPr>
          <w:rFonts w:ascii="Arial" w:eastAsia="Arial" w:hAnsi="Arial" w:cs="Arial"/>
          <w:color w:val="000000"/>
          <w:sz w:val="24"/>
          <w:szCs w:val="24"/>
        </w:rPr>
        <w:t xml:space="preserve"> “It was made clear there are two sides, and the police are not on mine, rather than tackling crime in the black community strategically the police often add fire to it.” Justice </w:t>
      </w:r>
      <w:proofErr w:type="spellStart"/>
      <w:r>
        <w:rPr>
          <w:rFonts w:ascii="Arial" w:eastAsia="Arial" w:hAnsi="Arial" w:cs="Arial"/>
          <w:color w:val="000000"/>
          <w:sz w:val="24"/>
          <w:szCs w:val="24"/>
        </w:rPr>
        <w:t>Dundedin</w:t>
      </w:r>
      <w:proofErr w:type="spellEnd"/>
      <w:r>
        <w:rPr>
          <w:rFonts w:ascii="Arial" w:eastAsia="Arial" w:hAnsi="Arial" w:cs="Arial"/>
          <w:color w:val="000000"/>
          <w:sz w:val="24"/>
          <w:szCs w:val="24"/>
        </w:rPr>
        <w:t>, in 1927, of the privy council, defined miscarriage of justice as: “A miscarriage of justice means such departure from the rules which permeate all judicial procedure as to make that which happened not in the proper use of the word, judicial procedure at all.”</w:t>
      </w:r>
      <w:hyperlink r:id="rId15">
        <w:r>
          <w:rPr>
            <w:rFonts w:ascii="Arial" w:eastAsia="Arial" w:hAnsi="Arial" w:cs="Arial"/>
            <w:color w:val="000000"/>
            <w:sz w:val="24"/>
            <w:szCs w:val="24"/>
          </w:rPr>
          <w:t>(</w:t>
        </w:r>
      </w:hyperlink>
      <w:hyperlink r:id="rId16">
        <w:r>
          <w:rPr>
            <w:rFonts w:ascii="Arial" w:eastAsia="Arial" w:hAnsi="Arial" w:cs="Arial"/>
            <w:i/>
            <w:color w:val="000000"/>
            <w:sz w:val="24"/>
            <w:szCs w:val="24"/>
          </w:rPr>
          <w:t>Miscarriage of Justice Definition</w:t>
        </w:r>
      </w:hyperlink>
      <w:hyperlink r:id="rId17">
        <w:r>
          <w:rPr>
            <w:rFonts w:ascii="Arial" w:eastAsia="Arial" w:hAnsi="Arial" w:cs="Arial"/>
            <w:color w:val="000000"/>
            <w:sz w:val="24"/>
            <w:szCs w:val="24"/>
          </w:rPr>
          <w:t>)</w:t>
        </w:r>
      </w:hyperlink>
      <w:r>
        <w:rPr>
          <w:rFonts w:ascii="Arial" w:eastAsia="Arial" w:hAnsi="Arial" w:cs="Arial"/>
          <w:color w:val="000000"/>
          <w:sz w:val="24"/>
          <w:szCs w:val="24"/>
        </w:rPr>
        <w:t xml:space="preserve"> Ultimately the most significant root cause of </w:t>
      </w:r>
      <w:proofErr w:type="spellStart"/>
      <w:r>
        <w:rPr>
          <w:rFonts w:ascii="Arial" w:eastAsia="Arial" w:hAnsi="Arial" w:cs="Arial"/>
          <w:color w:val="000000"/>
          <w:sz w:val="24"/>
          <w:szCs w:val="24"/>
        </w:rPr>
        <w:t>Moj’s</w:t>
      </w:r>
      <w:proofErr w:type="spellEnd"/>
      <w:r>
        <w:rPr>
          <w:rFonts w:ascii="Arial" w:eastAsia="Arial" w:hAnsi="Arial" w:cs="Arial"/>
          <w:color w:val="000000"/>
          <w:sz w:val="24"/>
          <w:szCs w:val="24"/>
        </w:rPr>
        <w:t xml:space="preserve"> is down to the ill competent investigations and the failure to disclose vital evidence. According to Richard Foster, chairman of the criminal cases review commission (CCRC) </w:t>
      </w:r>
      <w:hyperlink r:id="rId18">
        <w:r>
          <w:rPr>
            <w:rFonts w:ascii="Arial" w:eastAsia="Arial" w:hAnsi="Arial" w:cs="Arial"/>
            <w:color w:val="000000"/>
            <w:sz w:val="24"/>
            <w:szCs w:val="24"/>
          </w:rPr>
          <w:t>(</w:t>
        </w:r>
        <w:proofErr w:type="spellStart"/>
        <w:r>
          <w:rPr>
            <w:rFonts w:ascii="Arial" w:eastAsia="Arial" w:hAnsi="Arial" w:cs="Arial"/>
            <w:color w:val="000000"/>
            <w:sz w:val="24"/>
            <w:szCs w:val="24"/>
          </w:rPr>
          <w:t>Bowcott</w:t>
        </w:r>
        <w:proofErr w:type="spellEnd"/>
        <w:r>
          <w:rPr>
            <w:rFonts w:ascii="Arial" w:eastAsia="Arial" w:hAnsi="Arial" w:cs="Arial"/>
            <w:color w:val="000000"/>
            <w:sz w:val="24"/>
            <w:szCs w:val="24"/>
          </w:rPr>
          <w:t>, 2018)</w:t>
        </w:r>
      </w:hyperlink>
      <w:r>
        <w:rPr>
          <w:rFonts w:ascii="Arial" w:eastAsia="Arial" w:hAnsi="Arial" w:cs="Arial"/>
          <w:color w:val="000000"/>
          <w:sz w:val="24"/>
          <w:szCs w:val="24"/>
        </w:rPr>
        <w:t xml:space="preserve"> “Failure to disclose vital evidence is the single biggest cause of miscarriages of justice, and the problem is getting worse.” Foster went on to say that he finds a lack of adequately trained investigators resulting in criminals escaping justice, unsafe convictions and “Trials collapsing at the front door.”</w:t>
      </w:r>
      <w:hyperlink r:id="rId19">
        <w:r>
          <w:rPr>
            <w:rFonts w:ascii="Arial" w:eastAsia="Arial" w:hAnsi="Arial" w:cs="Arial"/>
            <w:color w:val="000000"/>
            <w:sz w:val="24"/>
            <w:szCs w:val="24"/>
          </w:rPr>
          <w:t>(</w:t>
        </w:r>
        <w:proofErr w:type="spellStart"/>
        <w:r>
          <w:rPr>
            <w:rFonts w:ascii="Arial" w:eastAsia="Arial" w:hAnsi="Arial" w:cs="Arial"/>
            <w:color w:val="000000"/>
            <w:sz w:val="24"/>
            <w:szCs w:val="24"/>
          </w:rPr>
          <w:t>Bowcott</w:t>
        </w:r>
        <w:proofErr w:type="spellEnd"/>
        <w:r>
          <w:rPr>
            <w:rFonts w:ascii="Arial" w:eastAsia="Arial" w:hAnsi="Arial" w:cs="Arial"/>
            <w:color w:val="000000"/>
            <w:sz w:val="24"/>
            <w:szCs w:val="24"/>
          </w:rPr>
          <w:t>, 2018)</w:t>
        </w:r>
      </w:hyperlink>
    </w:p>
    <w:p w14:paraId="50B14ACE" w14:textId="77777777" w:rsidR="00D2654F" w:rsidRDefault="00760116">
      <w:pPr>
        <w:spacing w:before="240" w:after="240" w:line="480" w:lineRule="auto"/>
        <w:rPr>
          <w:rFonts w:ascii="Arial" w:eastAsia="Arial" w:hAnsi="Arial" w:cs="Arial"/>
          <w:color w:val="000000"/>
          <w:sz w:val="24"/>
          <w:szCs w:val="24"/>
        </w:rPr>
      </w:pPr>
      <w:r>
        <w:rPr>
          <w:rFonts w:ascii="Arial" w:eastAsia="Arial" w:hAnsi="Arial" w:cs="Arial"/>
          <w:color w:val="000000"/>
          <w:sz w:val="24"/>
          <w:szCs w:val="24"/>
        </w:rPr>
        <w:t xml:space="preserve">As already determined, police pay a significant role in miscarriages of justice, conducting improper investigations, interviews and incorrectly gathering evidence leading to failure in having the full facts of a case. In 2002 the case of Stephen Downing </w:t>
      </w:r>
      <w:r>
        <w:rPr>
          <w:rFonts w:ascii="Arial" w:eastAsia="Arial" w:hAnsi="Arial" w:cs="Arial"/>
          <w:color w:val="000000"/>
          <w:sz w:val="24"/>
          <w:szCs w:val="24"/>
        </w:rPr>
        <w:lastRenderedPageBreak/>
        <w:t xml:space="preserve">dubbed as the “Bakewell Tart” went international when Downing was released after spending 27 years in prison for the murder of Wendy Sewell in 1973. Downing was a groundskeeper at a graveyard and at the age of 17, he had the IQ of an 11-year-old. Downing found Sewell and when the police arrived, he was taken to the police station although he had not been cautioned. Downing spent nine hours being detained without a solicitor and was coerced into signing a confession he could not read. In the court of appeal The Rt Hon, Lord Justice pill said: “The court cannot be sure the confessions are reliable. It follows that the conviction is unsafe. The conviction is quashed.” </w:t>
      </w:r>
      <w:hyperlink r:id="rId20">
        <w:r>
          <w:rPr>
            <w:rFonts w:ascii="Arial" w:eastAsia="Arial" w:hAnsi="Arial" w:cs="Arial"/>
            <w:color w:val="000000"/>
            <w:sz w:val="24"/>
            <w:szCs w:val="24"/>
          </w:rPr>
          <w:t>(Edmond, 2002)</w:t>
        </w:r>
      </w:hyperlink>
      <w:r>
        <w:rPr>
          <w:rFonts w:ascii="Arial" w:eastAsia="Arial" w:hAnsi="Arial" w:cs="Arial"/>
          <w:color w:val="000000"/>
          <w:sz w:val="24"/>
          <w:szCs w:val="24"/>
        </w:rPr>
        <w:t xml:space="preserve"> The case was declared a miscarriage of justice and is thought to be the most protracted miscarriage of justice in British legal history.  The general conception of Miscarriages of justice is shared by the diverse communities of lawyers, media and politicians, in general, social communication is not injustice per se but wrongful convictions. Barak Defines Miscarriages of justice as a: “Grossly unfair outcome in a judicial proceeding as when a defendant is convicted despite lack of evidence on an essential element of a crime” </w:t>
      </w:r>
      <w:hyperlink r:id="rId21">
        <w:r>
          <w:rPr>
            <w:rFonts w:ascii="Arial" w:eastAsia="Arial" w:hAnsi="Arial" w:cs="Arial"/>
            <w:color w:val="000000"/>
            <w:sz w:val="24"/>
            <w:szCs w:val="24"/>
          </w:rPr>
          <w:t>(Bohm, 2005)</w:t>
        </w:r>
      </w:hyperlink>
      <w:r>
        <w:rPr>
          <w:rFonts w:ascii="Arial" w:eastAsia="Arial" w:hAnsi="Arial" w:cs="Arial"/>
          <w:color w:val="000000"/>
          <w:sz w:val="24"/>
          <w:szCs w:val="24"/>
        </w:rPr>
        <w:t xml:space="preserve">. Barak’s definition is directed at all the various wrongdoings such as wrongful arrests, convictions, indictments, and sentences. </w:t>
      </w:r>
      <w:proofErr w:type="gramStart"/>
      <w:r>
        <w:rPr>
          <w:rFonts w:ascii="Arial" w:eastAsia="Arial" w:hAnsi="Arial" w:cs="Arial"/>
          <w:color w:val="000000"/>
          <w:sz w:val="24"/>
          <w:szCs w:val="24"/>
        </w:rPr>
        <w:t>In particular the</w:t>
      </w:r>
      <w:proofErr w:type="gramEnd"/>
      <w:r>
        <w:rPr>
          <w:rFonts w:ascii="Arial" w:eastAsia="Arial" w:hAnsi="Arial" w:cs="Arial"/>
          <w:color w:val="000000"/>
          <w:sz w:val="24"/>
          <w:szCs w:val="24"/>
        </w:rPr>
        <w:t xml:space="preserve"> result of unfair unacceptable standard of policing. According to Barak, there are two main types of miscarriages of justice “The error of due process” Which relates to unfair treatment, and the “Error of impunity” whereby a lapse in judgment leaves the real culprit able to escape justice. Thus, it is the error of process which leads to the mistake of impunity </w:t>
      </w:r>
      <w:hyperlink r:id="rId22">
        <w:r>
          <w:rPr>
            <w:rFonts w:ascii="Arial" w:eastAsia="Arial" w:hAnsi="Arial" w:cs="Arial"/>
            <w:color w:val="000000"/>
            <w:sz w:val="24"/>
            <w:szCs w:val="24"/>
          </w:rPr>
          <w:t>(Barak, 2007)</w:t>
        </w:r>
      </w:hyperlink>
      <w:r>
        <w:rPr>
          <w:rFonts w:ascii="Arial" w:eastAsia="Arial" w:hAnsi="Arial" w:cs="Arial"/>
          <w:color w:val="000000"/>
          <w:sz w:val="24"/>
          <w:szCs w:val="24"/>
        </w:rPr>
        <w:t>.</w:t>
      </w:r>
    </w:p>
    <w:p w14:paraId="3C8FA025" w14:textId="77777777" w:rsidR="00D2654F" w:rsidRDefault="00760116">
      <w:pPr>
        <w:spacing w:before="240" w:after="240" w:line="480" w:lineRule="auto"/>
        <w:rPr>
          <w:rFonts w:ascii="Arial" w:eastAsia="Arial" w:hAnsi="Arial" w:cs="Arial"/>
          <w:color w:val="000000"/>
          <w:sz w:val="24"/>
          <w:szCs w:val="24"/>
        </w:rPr>
      </w:pPr>
      <w:r>
        <w:rPr>
          <w:rFonts w:ascii="Arial" w:eastAsia="Arial" w:hAnsi="Arial" w:cs="Arial"/>
          <w:color w:val="000000"/>
          <w:sz w:val="24"/>
          <w:szCs w:val="24"/>
        </w:rPr>
        <w:t xml:space="preserve">Miscarriages of justice are the direct result of system failure right from the first meeting with the police, up until the last moment in the courtroom if it goes as far as that. Not all </w:t>
      </w:r>
      <w:r>
        <w:rPr>
          <w:rFonts w:ascii="Arial" w:eastAsia="Arial" w:hAnsi="Arial" w:cs="Arial"/>
          <w:color w:val="000000"/>
          <w:sz w:val="24"/>
          <w:szCs w:val="24"/>
        </w:rPr>
        <w:lastRenderedPageBreak/>
        <w:t xml:space="preserve">miscarriages of justice make it as far as court meaning there is lots of unprecedented situations. Miscarriages of justice can only be decided upon when am appeal court examines an entire case and its evidence, it is only if they are of the opinion the outcome would be </w:t>
      </w:r>
      <w:proofErr w:type="spellStart"/>
      <w:r>
        <w:rPr>
          <w:rFonts w:ascii="Arial" w:eastAsia="Arial" w:hAnsi="Arial" w:cs="Arial"/>
          <w:color w:val="000000"/>
          <w:sz w:val="24"/>
          <w:szCs w:val="24"/>
        </w:rPr>
        <w:t>favourable</w:t>
      </w:r>
      <w:proofErr w:type="spellEnd"/>
      <w:r>
        <w:rPr>
          <w:rFonts w:ascii="Arial" w:eastAsia="Arial" w:hAnsi="Arial" w:cs="Arial"/>
          <w:color w:val="000000"/>
          <w:sz w:val="24"/>
          <w:szCs w:val="24"/>
        </w:rPr>
        <w:t xml:space="preserve"> to the appealing party that they will go ahead with the appeal. The court is also able to order a retrial if they have evidence to show the jury has been misdirected in the previous trial when </w:t>
      </w:r>
      <w:proofErr w:type="gramStart"/>
      <w:r>
        <w:rPr>
          <w:rFonts w:ascii="Arial" w:eastAsia="Arial" w:hAnsi="Arial" w:cs="Arial"/>
          <w:color w:val="000000"/>
          <w:sz w:val="24"/>
          <w:szCs w:val="24"/>
        </w:rPr>
        <w:t>coming to the conclusion of</w:t>
      </w:r>
      <w:proofErr w:type="gramEnd"/>
      <w:r>
        <w:rPr>
          <w:rFonts w:ascii="Arial" w:eastAsia="Arial" w:hAnsi="Arial" w:cs="Arial"/>
          <w:color w:val="000000"/>
          <w:sz w:val="24"/>
          <w:szCs w:val="24"/>
        </w:rPr>
        <w:t xml:space="preserve"> their verdict. Several sensational cases in the 1970s revealed how deep Miscarriages of justice go. The terrorism cases “showed a profound amount of corruption” The defendants were wrongly convicted on the reliance of unaccountable confessions given in police interrogation with unreliable evidence. The three cases in question were declared miscarriages of justice and the convictions quashed </w:t>
      </w:r>
      <w:hyperlink r:id="rId23">
        <w:r>
          <w:rPr>
            <w:rFonts w:ascii="Arial" w:eastAsia="Arial" w:hAnsi="Arial" w:cs="Arial"/>
            <w:color w:val="000000"/>
            <w:sz w:val="24"/>
            <w:szCs w:val="24"/>
          </w:rPr>
          <w:t>(Hannah Quirk, 2007)</w:t>
        </w:r>
      </w:hyperlink>
      <w:r>
        <w:rPr>
          <w:rFonts w:ascii="Arial" w:eastAsia="Arial" w:hAnsi="Arial" w:cs="Arial"/>
          <w:color w:val="000000"/>
          <w:sz w:val="24"/>
          <w:szCs w:val="24"/>
        </w:rPr>
        <w:t>.</w:t>
      </w:r>
    </w:p>
    <w:p w14:paraId="6CFF8714" w14:textId="77777777" w:rsidR="00D2654F" w:rsidRDefault="00760116">
      <w:pPr>
        <w:spacing w:before="240" w:after="240" w:line="480" w:lineRule="auto"/>
        <w:rPr>
          <w:rFonts w:ascii="Arial" w:eastAsia="Arial" w:hAnsi="Arial" w:cs="Arial"/>
          <w:color w:val="000000"/>
          <w:sz w:val="24"/>
          <w:szCs w:val="24"/>
        </w:rPr>
      </w:pPr>
      <w:r>
        <w:rPr>
          <w:rFonts w:ascii="Arial" w:eastAsia="Arial" w:hAnsi="Arial" w:cs="Arial"/>
          <w:color w:val="000000"/>
          <w:sz w:val="24"/>
          <w:szCs w:val="24"/>
        </w:rPr>
        <w:t xml:space="preserve">In 1976 Stefan Kiszko was convicted of murdering 11-year-old Lesley </w:t>
      </w:r>
      <w:proofErr w:type="spellStart"/>
      <w:r>
        <w:rPr>
          <w:rFonts w:ascii="Arial" w:eastAsia="Arial" w:hAnsi="Arial" w:cs="Arial"/>
          <w:color w:val="000000"/>
          <w:sz w:val="24"/>
          <w:szCs w:val="24"/>
        </w:rPr>
        <w:t>Molseed</w:t>
      </w:r>
      <w:proofErr w:type="spellEnd"/>
      <w:r>
        <w:rPr>
          <w:rFonts w:ascii="Arial" w:eastAsia="Arial" w:hAnsi="Arial" w:cs="Arial"/>
          <w:color w:val="000000"/>
          <w:sz w:val="24"/>
          <w:szCs w:val="24"/>
        </w:rPr>
        <w:t xml:space="preserve"> and spent 16 years in jail. Kiszko was mentally handicapped and suffered immaturity. After being subjected to 2 days of interrogation without a solicitor, Kiszko confessed to the crime he did not commit. In 1990 the case was re-opened after new evidence come to </w:t>
      </w:r>
      <w:proofErr w:type="gramStart"/>
      <w:r>
        <w:rPr>
          <w:rFonts w:ascii="Arial" w:eastAsia="Arial" w:hAnsi="Arial" w:cs="Arial"/>
          <w:color w:val="000000"/>
          <w:sz w:val="24"/>
          <w:szCs w:val="24"/>
        </w:rPr>
        <w:t>light,</w:t>
      </w:r>
      <w:proofErr w:type="gramEnd"/>
      <w:r>
        <w:rPr>
          <w:rFonts w:ascii="Arial" w:eastAsia="Arial" w:hAnsi="Arial" w:cs="Arial"/>
          <w:color w:val="000000"/>
          <w:sz w:val="24"/>
          <w:szCs w:val="24"/>
        </w:rPr>
        <w:t xml:space="preserve"> the new evidence showed that Kiszko could not have physically left </w:t>
      </w:r>
      <w:proofErr w:type="spellStart"/>
      <w:r>
        <w:rPr>
          <w:rFonts w:ascii="Arial" w:eastAsia="Arial" w:hAnsi="Arial" w:cs="Arial"/>
          <w:color w:val="000000"/>
          <w:sz w:val="24"/>
          <w:szCs w:val="24"/>
        </w:rPr>
        <w:t>semenial</w:t>
      </w:r>
      <w:proofErr w:type="spellEnd"/>
      <w:r>
        <w:rPr>
          <w:rFonts w:ascii="Arial" w:eastAsia="Arial" w:hAnsi="Arial" w:cs="Arial"/>
          <w:color w:val="000000"/>
          <w:sz w:val="24"/>
          <w:szCs w:val="24"/>
        </w:rPr>
        <w:t xml:space="preserve"> fluid at the murder scene due to his physical immaturity thus proving he could not have committed the crime. The conviction was quashed in 1992, but sadly Kiszko died 18 months later. </w:t>
      </w:r>
      <w:hyperlink r:id="rId24">
        <w:r>
          <w:rPr>
            <w:rFonts w:ascii="Arial" w:eastAsia="Arial" w:hAnsi="Arial" w:cs="Arial"/>
            <w:color w:val="000000"/>
            <w:sz w:val="24"/>
            <w:szCs w:val="24"/>
          </w:rPr>
          <w:t xml:space="preserve">(Rose, Wilkinson and </w:t>
        </w:r>
        <w:proofErr w:type="spellStart"/>
        <w:r>
          <w:rPr>
            <w:rFonts w:ascii="Arial" w:eastAsia="Arial" w:hAnsi="Arial" w:cs="Arial"/>
            <w:color w:val="000000"/>
            <w:sz w:val="24"/>
            <w:szCs w:val="24"/>
          </w:rPr>
          <w:t>Panter</w:t>
        </w:r>
        <w:proofErr w:type="spellEnd"/>
        <w:r>
          <w:rPr>
            <w:rFonts w:ascii="Arial" w:eastAsia="Arial" w:hAnsi="Arial" w:cs="Arial"/>
            <w:color w:val="000000"/>
            <w:sz w:val="24"/>
            <w:szCs w:val="24"/>
          </w:rPr>
          <w:t>, 1997)</w:t>
        </w:r>
      </w:hyperlink>
      <w:r>
        <w:rPr>
          <w:rFonts w:ascii="Arial" w:eastAsia="Arial" w:hAnsi="Arial" w:cs="Arial"/>
          <w:color w:val="000000"/>
          <w:sz w:val="24"/>
          <w:szCs w:val="24"/>
        </w:rPr>
        <w:t>.</w:t>
      </w:r>
    </w:p>
    <w:p w14:paraId="21EDE9BA" w14:textId="77777777" w:rsidR="00D2654F" w:rsidRDefault="00760116">
      <w:pPr>
        <w:spacing w:before="240" w:after="240" w:line="480" w:lineRule="auto"/>
        <w:rPr>
          <w:rFonts w:ascii="Arial" w:eastAsia="Arial" w:hAnsi="Arial" w:cs="Arial"/>
          <w:color w:val="000000"/>
          <w:sz w:val="24"/>
          <w:szCs w:val="24"/>
        </w:rPr>
      </w:pPr>
      <w:r>
        <w:rPr>
          <w:rFonts w:ascii="Arial" w:eastAsia="Arial" w:hAnsi="Arial" w:cs="Arial"/>
          <w:color w:val="000000"/>
          <w:sz w:val="24"/>
          <w:szCs w:val="24"/>
        </w:rPr>
        <w:t xml:space="preserve">Every case has been a marker on the united kingdom's stability and proof of the imperfect English Legal System. The truth resulted in the public becoming hostile towards police, raising questions on procedure and accusations of the police using </w:t>
      </w:r>
      <w:r>
        <w:rPr>
          <w:rFonts w:ascii="Arial" w:eastAsia="Arial" w:hAnsi="Arial" w:cs="Arial"/>
          <w:color w:val="000000"/>
          <w:sz w:val="24"/>
          <w:szCs w:val="24"/>
        </w:rPr>
        <w:lastRenderedPageBreak/>
        <w:t>beatings, intimidation, coercion and threats to family to obtain false confessions from the accused.</w:t>
      </w:r>
    </w:p>
    <w:p w14:paraId="3F2C47EE" w14:textId="77777777" w:rsidR="00D2654F" w:rsidRDefault="00760116">
      <w:pPr>
        <w:spacing w:before="240" w:after="240" w:line="480" w:lineRule="auto"/>
        <w:rPr>
          <w:rFonts w:ascii="Arial" w:eastAsia="Arial" w:hAnsi="Arial" w:cs="Arial"/>
          <w:color w:val="000000"/>
          <w:sz w:val="24"/>
          <w:szCs w:val="24"/>
        </w:rPr>
      </w:pPr>
      <w:r>
        <w:rPr>
          <w:rFonts w:ascii="Arial" w:eastAsia="Arial" w:hAnsi="Arial" w:cs="Arial"/>
          <w:color w:val="000000"/>
          <w:sz w:val="24"/>
          <w:szCs w:val="24"/>
        </w:rPr>
        <w:t xml:space="preserve">A case known as the Cardiff three is one of the most infamous miscarriages of justice. Three men, Stephen Miller, Yusef Abdullahi and Tony Paris were convicted of murdering Lynette White, a prostitute, in 1988. They were jailed in 1990 and were released 2 years later following a campaign after it emerged the three men had been subjected to appalling treatment during investigations and interrogations by the officers involved. The three men were bullied and coerced into falsely confessing to the crime. In the court of appeal Lord Chief Justice Taylor said “Short of physical violence, it is hard to conceive of a more hostile and intimidating approach by officers to a suspect” </w:t>
      </w:r>
      <w:hyperlink r:id="rId25">
        <w:r>
          <w:rPr>
            <w:rFonts w:ascii="Arial" w:eastAsia="Arial" w:hAnsi="Arial" w:cs="Arial"/>
            <w:color w:val="000000"/>
            <w:sz w:val="24"/>
            <w:szCs w:val="24"/>
          </w:rPr>
          <w:t>(BBC News, 2011)</w:t>
        </w:r>
      </w:hyperlink>
      <w:r>
        <w:rPr>
          <w:rFonts w:ascii="Arial" w:eastAsia="Arial" w:hAnsi="Arial" w:cs="Arial"/>
          <w:color w:val="000000"/>
          <w:sz w:val="24"/>
          <w:szCs w:val="24"/>
        </w:rPr>
        <w:t xml:space="preserve">. In 2003 Jeffrey </w:t>
      </w:r>
      <w:proofErr w:type="spellStart"/>
      <w:r>
        <w:rPr>
          <w:rFonts w:ascii="Arial" w:eastAsia="Arial" w:hAnsi="Arial" w:cs="Arial"/>
          <w:color w:val="000000"/>
          <w:sz w:val="24"/>
          <w:szCs w:val="24"/>
        </w:rPr>
        <w:t>Gafoor</w:t>
      </w:r>
      <w:proofErr w:type="spellEnd"/>
      <w:r>
        <w:rPr>
          <w:rFonts w:ascii="Arial" w:eastAsia="Arial" w:hAnsi="Arial" w:cs="Arial"/>
          <w:color w:val="000000"/>
          <w:sz w:val="24"/>
          <w:szCs w:val="24"/>
        </w:rPr>
        <w:t xml:space="preserve"> was jailed for life for the murder of Lynette White 12 police officers, some retired, some still serving were arrested on suspicion of false imprisonment, conspiracy to pervert the course of justice and misconduct in the public office </w:t>
      </w:r>
      <w:hyperlink r:id="rId26">
        <w:r>
          <w:rPr>
            <w:rFonts w:ascii="Arial" w:eastAsia="Arial" w:hAnsi="Arial" w:cs="Arial"/>
            <w:color w:val="000000"/>
            <w:sz w:val="24"/>
            <w:szCs w:val="24"/>
          </w:rPr>
          <w:t>(</w:t>
        </w:r>
      </w:hyperlink>
      <w:hyperlink r:id="rId27">
        <w:r>
          <w:rPr>
            <w:rFonts w:ascii="Arial" w:eastAsia="Arial" w:hAnsi="Arial" w:cs="Arial"/>
            <w:i/>
            <w:color w:val="000000"/>
            <w:sz w:val="24"/>
            <w:szCs w:val="24"/>
          </w:rPr>
          <w:t>#CCRC20: When the police can do no wrong – The Justice Gap</w:t>
        </w:r>
      </w:hyperlink>
      <w:hyperlink r:id="rId28">
        <w:r>
          <w:rPr>
            <w:rFonts w:ascii="Arial" w:eastAsia="Arial" w:hAnsi="Arial" w:cs="Arial"/>
            <w:color w:val="000000"/>
            <w:sz w:val="24"/>
            <w:szCs w:val="24"/>
          </w:rPr>
          <w:t>, no date)</w:t>
        </w:r>
      </w:hyperlink>
      <w:r>
        <w:rPr>
          <w:rFonts w:ascii="Arial" w:eastAsia="Arial" w:hAnsi="Arial" w:cs="Arial"/>
          <w:color w:val="000000"/>
          <w:sz w:val="24"/>
          <w:szCs w:val="24"/>
        </w:rPr>
        <w:t xml:space="preserve">. In 2009 The Special Crime Division of the Crown Prosecution service charged three serving officers and ten retired officers who were involved in the investigation with perverting the course of justice and two witnesses involved in the original trial were charged with perjury. Eventually when the corruption trial began in 2011 key documents went missing and the defendants could no longer have confidence in the disclosure process resulting in the case being aborted. In 2017 Richard </w:t>
      </w:r>
      <w:proofErr w:type="spellStart"/>
      <w:r>
        <w:rPr>
          <w:rFonts w:ascii="Arial" w:eastAsia="Arial" w:hAnsi="Arial" w:cs="Arial"/>
          <w:color w:val="000000"/>
          <w:sz w:val="24"/>
          <w:szCs w:val="24"/>
        </w:rPr>
        <w:t>Horwell</w:t>
      </w:r>
      <w:proofErr w:type="spellEnd"/>
      <w:r>
        <w:rPr>
          <w:rFonts w:ascii="Arial" w:eastAsia="Arial" w:hAnsi="Arial" w:cs="Arial"/>
          <w:color w:val="000000"/>
          <w:sz w:val="24"/>
          <w:szCs w:val="24"/>
        </w:rPr>
        <w:t xml:space="preserve"> QC reviewed the collapse of the police officers trial and said the case fell apart “because of human errors by the police and Crown Prosecution Service rather than a deliberate attempt to cover up any crime” </w:t>
      </w:r>
      <w:hyperlink r:id="rId29">
        <w:r>
          <w:rPr>
            <w:rFonts w:ascii="Arial" w:eastAsia="Arial" w:hAnsi="Arial" w:cs="Arial"/>
            <w:color w:val="000000"/>
            <w:sz w:val="24"/>
            <w:szCs w:val="24"/>
          </w:rPr>
          <w:t>(</w:t>
        </w:r>
        <w:proofErr w:type="spellStart"/>
        <w:r>
          <w:rPr>
            <w:rFonts w:ascii="Arial" w:eastAsia="Arial" w:hAnsi="Arial" w:cs="Arial"/>
            <w:color w:val="000000"/>
            <w:sz w:val="24"/>
            <w:szCs w:val="24"/>
          </w:rPr>
          <w:t>Horwell</w:t>
        </w:r>
        <w:proofErr w:type="spellEnd"/>
        <w:r>
          <w:rPr>
            <w:rFonts w:ascii="Arial" w:eastAsia="Arial" w:hAnsi="Arial" w:cs="Arial"/>
            <w:color w:val="000000"/>
            <w:sz w:val="24"/>
            <w:szCs w:val="24"/>
          </w:rPr>
          <w:t xml:space="preserve"> and Great Britain. Home Office, 2017)</w:t>
        </w:r>
      </w:hyperlink>
      <w:r>
        <w:rPr>
          <w:rFonts w:ascii="Arial" w:eastAsia="Arial" w:hAnsi="Arial" w:cs="Arial"/>
          <w:color w:val="000000"/>
          <w:sz w:val="24"/>
          <w:szCs w:val="24"/>
        </w:rPr>
        <w:t>.</w:t>
      </w:r>
    </w:p>
    <w:p w14:paraId="20D05A9E" w14:textId="77777777" w:rsidR="00D2654F" w:rsidRDefault="00760116">
      <w:pPr>
        <w:spacing w:before="240" w:after="240" w:line="480" w:lineRule="auto"/>
        <w:rPr>
          <w:rFonts w:ascii="Arial" w:eastAsia="Arial" w:hAnsi="Arial" w:cs="Arial"/>
          <w:color w:val="000000"/>
          <w:sz w:val="24"/>
          <w:szCs w:val="24"/>
        </w:rPr>
      </w:pPr>
      <w:r>
        <w:rPr>
          <w:rFonts w:ascii="Arial" w:eastAsia="Arial" w:hAnsi="Arial" w:cs="Arial"/>
          <w:color w:val="000000"/>
          <w:sz w:val="24"/>
          <w:szCs w:val="24"/>
        </w:rPr>
        <w:lastRenderedPageBreak/>
        <w:t xml:space="preserve">For years miscarriages of justice have been a huge issue and one that has always been a talking point politically, legally and socially. Successive governments have attempted to put preventative measures in place, some measures include The Police and Criminal Evidence Act 1984 and its included codes of practice which has been the most influential. Others have been the independent prosecuting authority, namely The Crown Prosecution Service 1986, The Reform of the Royal Commission on Criminal Justice in 1993 and The Criminal Case Review Commission. The Criminal Procedure Investigations Act of 1996 has also assisted in the prevention of Miscarriages of justice. Nevertheless, regardless of these improvements, it is still noted how police tend to ignore what could be valuable leads when they have decided on a theory of what happened and the type of individual in which they believe to be responsible for the commission of the offence in question. It has also been shown whereby manipulation of evidence has taken place to make it support their theory, thus leaving the real culprit free to commit another crime potentially </w:t>
      </w:r>
      <w:hyperlink r:id="rId30">
        <w:r>
          <w:rPr>
            <w:rFonts w:ascii="Arial" w:eastAsia="Arial" w:hAnsi="Arial" w:cs="Arial"/>
            <w:color w:val="000000"/>
            <w:sz w:val="24"/>
            <w:szCs w:val="24"/>
          </w:rPr>
          <w:t>(</w:t>
        </w:r>
        <w:proofErr w:type="spellStart"/>
        <w:r>
          <w:rPr>
            <w:rFonts w:ascii="Arial" w:eastAsia="Arial" w:hAnsi="Arial" w:cs="Arial"/>
            <w:color w:val="000000"/>
            <w:sz w:val="24"/>
            <w:szCs w:val="24"/>
          </w:rPr>
          <w:t>Sangero</w:t>
        </w:r>
        <w:proofErr w:type="spellEnd"/>
        <w:r>
          <w:rPr>
            <w:rFonts w:ascii="Arial" w:eastAsia="Arial" w:hAnsi="Arial" w:cs="Arial"/>
            <w:color w:val="000000"/>
            <w:sz w:val="24"/>
            <w:szCs w:val="24"/>
          </w:rPr>
          <w:t xml:space="preserve"> and </w:t>
        </w:r>
        <w:proofErr w:type="spellStart"/>
        <w:r>
          <w:rPr>
            <w:rFonts w:ascii="Arial" w:eastAsia="Arial" w:hAnsi="Arial" w:cs="Arial"/>
            <w:color w:val="000000"/>
            <w:sz w:val="24"/>
            <w:szCs w:val="24"/>
          </w:rPr>
          <w:t>Halpert</w:t>
        </w:r>
        <w:proofErr w:type="spellEnd"/>
        <w:r>
          <w:rPr>
            <w:rFonts w:ascii="Arial" w:eastAsia="Arial" w:hAnsi="Arial" w:cs="Arial"/>
            <w:color w:val="000000"/>
            <w:sz w:val="24"/>
            <w:szCs w:val="24"/>
          </w:rPr>
          <w:t>, 2007)</w:t>
        </w:r>
      </w:hyperlink>
      <w:r>
        <w:rPr>
          <w:rFonts w:ascii="Arial" w:eastAsia="Arial" w:hAnsi="Arial" w:cs="Arial"/>
          <w:color w:val="000000"/>
          <w:sz w:val="24"/>
          <w:szCs w:val="24"/>
        </w:rPr>
        <w:t>.</w:t>
      </w:r>
    </w:p>
    <w:p w14:paraId="74311B1D" w14:textId="77777777" w:rsidR="00D2654F" w:rsidRDefault="00760116">
      <w:pPr>
        <w:spacing w:before="240" w:after="240" w:line="480" w:lineRule="auto"/>
        <w:rPr>
          <w:rFonts w:ascii="Arial" w:eastAsia="Arial" w:hAnsi="Arial" w:cs="Arial"/>
          <w:color w:val="000000"/>
          <w:sz w:val="24"/>
          <w:szCs w:val="24"/>
        </w:rPr>
      </w:pPr>
      <w:r>
        <w:rPr>
          <w:rFonts w:ascii="Arial" w:eastAsia="Arial" w:hAnsi="Arial" w:cs="Arial"/>
          <w:color w:val="000000"/>
          <w:sz w:val="24"/>
          <w:szCs w:val="24"/>
        </w:rPr>
        <w:t xml:space="preserve">An example of the above scenario would be the case of Colin Stagg. Stagg was convicted for the murder of Rachel Nickell who was brutally murdered on Wimbledon common in 1992. Rachel was sexually assaulted and killed in front of her 2-year-old son. Forensic psychologist, Paul Britton was brought in to assist with the case as the police drew a blank. Britton created an e fit of a man he thought the murderer looked like with a lifestyle he thought he would have. Stagg ticked a few of the boxes, and the police lunged. Then came the honey trap whereby a women officer posed as Lizzie James, a friend of someone Stagg new from a </w:t>
      </w:r>
      <w:proofErr w:type="gramStart"/>
      <w:r>
        <w:rPr>
          <w:rFonts w:ascii="Arial" w:eastAsia="Arial" w:hAnsi="Arial" w:cs="Arial"/>
          <w:color w:val="000000"/>
          <w:sz w:val="24"/>
          <w:szCs w:val="24"/>
        </w:rPr>
        <w:t>lonely hearts</w:t>
      </w:r>
      <w:proofErr w:type="gramEnd"/>
      <w:r>
        <w:rPr>
          <w:rFonts w:ascii="Arial" w:eastAsia="Arial" w:hAnsi="Arial" w:cs="Arial"/>
          <w:color w:val="000000"/>
          <w:sz w:val="24"/>
          <w:szCs w:val="24"/>
        </w:rPr>
        <w:t xml:space="preserve"> advert. For five months, Lizzie James spoke with Stagg on the phone, and they sent letters of sexual fantasies. </w:t>
      </w:r>
      <w:r>
        <w:rPr>
          <w:rFonts w:ascii="Arial" w:eastAsia="Arial" w:hAnsi="Arial" w:cs="Arial"/>
          <w:color w:val="000000"/>
          <w:sz w:val="24"/>
          <w:szCs w:val="24"/>
        </w:rPr>
        <w:lastRenderedPageBreak/>
        <w:t xml:space="preserve">When the Crown Prosecution Service believed they had enough evidence, they swooped for Stagg. When the case reached the old bailey, Justice </w:t>
      </w:r>
      <w:proofErr w:type="spellStart"/>
      <w:r>
        <w:rPr>
          <w:rFonts w:ascii="Arial" w:eastAsia="Arial" w:hAnsi="Arial" w:cs="Arial"/>
          <w:color w:val="000000"/>
          <w:sz w:val="24"/>
          <w:szCs w:val="24"/>
        </w:rPr>
        <w:t>Ognall</w:t>
      </w:r>
      <w:proofErr w:type="spellEnd"/>
      <w:r>
        <w:rPr>
          <w:rFonts w:ascii="Arial" w:eastAsia="Arial" w:hAnsi="Arial" w:cs="Arial"/>
          <w:color w:val="000000"/>
          <w:sz w:val="24"/>
          <w:szCs w:val="24"/>
        </w:rPr>
        <w:t xml:space="preserve"> said the police showed “excessive zeal” and had undermined a suspect by “deceptive conduct of the grossest kind” </w:t>
      </w:r>
      <w:hyperlink r:id="rId31">
        <w:r>
          <w:rPr>
            <w:rFonts w:ascii="Arial" w:eastAsia="Arial" w:hAnsi="Arial" w:cs="Arial"/>
            <w:color w:val="000000"/>
            <w:sz w:val="24"/>
            <w:szCs w:val="24"/>
          </w:rPr>
          <w:t>(</w:t>
        </w:r>
      </w:hyperlink>
      <w:hyperlink r:id="rId32">
        <w:r>
          <w:rPr>
            <w:rFonts w:ascii="Arial" w:eastAsia="Arial" w:hAnsi="Arial" w:cs="Arial"/>
            <w:i/>
            <w:color w:val="000000"/>
            <w:sz w:val="24"/>
            <w:szCs w:val="24"/>
          </w:rPr>
          <w:t>Timeline</w:t>
        </w:r>
      </w:hyperlink>
      <w:hyperlink r:id="rId33">
        <w:r>
          <w:rPr>
            <w:rFonts w:ascii="Arial" w:eastAsia="Arial" w:hAnsi="Arial" w:cs="Arial"/>
            <w:color w:val="000000"/>
            <w:sz w:val="24"/>
            <w:szCs w:val="24"/>
          </w:rPr>
          <w:t>, 2017)</w:t>
        </w:r>
      </w:hyperlink>
      <w:r>
        <w:rPr>
          <w:rFonts w:ascii="Arial" w:eastAsia="Arial" w:hAnsi="Arial" w:cs="Arial"/>
          <w:color w:val="000000"/>
          <w:sz w:val="24"/>
          <w:szCs w:val="24"/>
        </w:rPr>
        <w:t xml:space="preserve">. When the honey trap evidence emerged, the CPS had no choice but to withdraw its case. The Stagg case is an obvious example of a miscarriage of justice which begun at the offset of the investigation and shows how police officers ignorance can have such profound effects on an investigation, Robert </w:t>
      </w:r>
      <w:proofErr w:type="spellStart"/>
      <w:r>
        <w:rPr>
          <w:rFonts w:ascii="Arial" w:eastAsia="Arial" w:hAnsi="Arial" w:cs="Arial"/>
          <w:color w:val="000000"/>
          <w:sz w:val="24"/>
          <w:szCs w:val="24"/>
        </w:rPr>
        <w:t>Knapper</w:t>
      </w:r>
      <w:proofErr w:type="spellEnd"/>
      <w:r>
        <w:rPr>
          <w:rFonts w:ascii="Arial" w:eastAsia="Arial" w:hAnsi="Arial" w:cs="Arial"/>
          <w:color w:val="000000"/>
          <w:sz w:val="24"/>
          <w:szCs w:val="24"/>
        </w:rPr>
        <w:t xml:space="preserve"> was eventually convicted of Rachel </w:t>
      </w:r>
      <w:proofErr w:type="spellStart"/>
      <w:r>
        <w:rPr>
          <w:rFonts w:ascii="Arial" w:eastAsia="Arial" w:hAnsi="Arial" w:cs="Arial"/>
          <w:color w:val="000000"/>
          <w:sz w:val="24"/>
          <w:szCs w:val="24"/>
        </w:rPr>
        <w:t>Knickells</w:t>
      </w:r>
      <w:proofErr w:type="spellEnd"/>
      <w:r>
        <w:rPr>
          <w:rFonts w:ascii="Arial" w:eastAsia="Arial" w:hAnsi="Arial" w:cs="Arial"/>
          <w:color w:val="000000"/>
          <w:sz w:val="24"/>
          <w:szCs w:val="24"/>
        </w:rPr>
        <w:t xml:space="preserve"> murder but only after he was sadly able to commit another crime, the killing of Samantha Bisset and her 4-year-old daughter </w:t>
      </w:r>
      <w:hyperlink r:id="rId34">
        <w:r>
          <w:rPr>
            <w:rFonts w:ascii="Arial" w:eastAsia="Arial" w:hAnsi="Arial" w:cs="Arial"/>
            <w:color w:val="000000"/>
            <w:sz w:val="24"/>
            <w:szCs w:val="24"/>
          </w:rPr>
          <w:t>(By Richard Edwards, 2008)</w:t>
        </w:r>
      </w:hyperlink>
      <w:r>
        <w:rPr>
          <w:rFonts w:ascii="Arial" w:eastAsia="Arial" w:hAnsi="Arial" w:cs="Arial"/>
          <w:color w:val="000000"/>
          <w:sz w:val="24"/>
          <w:szCs w:val="24"/>
        </w:rPr>
        <w:t>.</w:t>
      </w:r>
    </w:p>
    <w:p w14:paraId="6B4C1047" w14:textId="1A3AB8E0" w:rsidR="00D2654F" w:rsidRDefault="00760116" w:rsidP="0085254A">
      <w:pPr>
        <w:spacing w:before="0" w:line="480" w:lineRule="auto"/>
        <w:rPr>
          <w:rFonts w:ascii="Arial" w:eastAsia="Arial" w:hAnsi="Arial" w:cs="Arial"/>
          <w:color w:val="000000"/>
          <w:sz w:val="24"/>
          <w:szCs w:val="24"/>
        </w:rPr>
      </w:pPr>
      <w:r>
        <w:rPr>
          <w:rFonts w:ascii="Arial" w:eastAsia="Arial" w:hAnsi="Arial" w:cs="Arial"/>
          <w:color w:val="000000"/>
          <w:sz w:val="24"/>
          <w:szCs w:val="24"/>
        </w:rPr>
        <w:t xml:space="preserve">To conclude the Police and Criminal Evidence Act 1984 has evidently played a significant role in reducing the number of miscarriages of justice through changes it has implemented in how police must conduct interviews and collect evidence. Its presence has also regained trust back in the majority of the public with it providing information on how suspects are to be treated, nonetheless, in evaluating the limitations, there is room for improvement and to do this there are still many miscarriages of justices that have taken place since the introduction of PACE 1984 which the English legal system could thoroughly examine and any that are still to be uncovered, by admitting to the mistakes made in these cases, valuable lessons could be learnt </w:t>
      </w:r>
      <w:hyperlink r:id="rId35">
        <w:r>
          <w:rPr>
            <w:rFonts w:ascii="Arial" w:eastAsia="Arial" w:hAnsi="Arial" w:cs="Arial"/>
            <w:color w:val="000000"/>
            <w:sz w:val="24"/>
            <w:szCs w:val="24"/>
          </w:rPr>
          <w:t>(Nobles and Schiff, 1995)</w:t>
        </w:r>
      </w:hyperlink>
      <w:r>
        <w:rPr>
          <w:rFonts w:ascii="Arial" w:eastAsia="Arial" w:hAnsi="Arial" w:cs="Arial"/>
          <w:color w:val="000000"/>
          <w:sz w:val="24"/>
          <w:szCs w:val="24"/>
        </w:rPr>
        <w:t xml:space="preserve">. </w:t>
      </w:r>
    </w:p>
    <w:p w14:paraId="60196229" w14:textId="77777777" w:rsidR="00D2654F" w:rsidRDefault="00760116">
      <w:pPr>
        <w:spacing w:before="0" w:line="480" w:lineRule="auto"/>
        <w:rPr>
          <w:rFonts w:ascii="Arial" w:eastAsia="Arial" w:hAnsi="Arial" w:cs="Arial"/>
          <w:color w:val="000000"/>
          <w:sz w:val="24"/>
          <w:szCs w:val="24"/>
        </w:rPr>
      </w:pPr>
      <w:r>
        <w:rPr>
          <w:rFonts w:ascii="Arial" w:eastAsia="Arial" w:hAnsi="Arial" w:cs="Arial"/>
          <w:color w:val="000000"/>
          <w:sz w:val="24"/>
          <w:szCs w:val="24"/>
        </w:rPr>
        <w:t xml:space="preserve"> </w:t>
      </w:r>
    </w:p>
    <w:p w14:paraId="154150FC" w14:textId="59D32FCE" w:rsidR="00D2654F" w:rsidRDefault="00D2654F">
      <w:pPr>
        <w:pBdr>
          <w:top w:val="nil"/>
          <w:left w:val="nil"/>
          <w:bottom w:val="nil"/>
          <w:right w:val="nil"/>
          <w:between w:val="nil"/>
        </w:pBdr>
        <w:spacing w:line="480" w:lineRule="auto"/>
        <w:ind w:left="720"/>
        <w:rPr>
          <w:rFonts w:ascii="Arial" w:eastAsia="Arial" w:hAnsi="Arial" w:cs="Arial"/>
          <w:color w:val="000000"/>
          <w:sz w:val="24"/>
          <w:szCs w:val="24"/>
        </w:rPr>
      </w:pPr>
    </w:p>
    <w:p w14:paraId="15DDE827" w14:textId="77777777" w:rsidR="0085254A" w:rsidRDefault="0085254A">
      <w:pPr>
        <w:pBdr>
          <w:top w:val="nil"/>
          <w:left w:val="nil"/>
          <w:bottom w:val="nil"/>
          <w:right w:val="nil"/>
          <w:between w:val="nil"/>
        </w:pBdr>
        <w:spacing w:line="480" w:lineRule="auto"/>
        <w:ind w:left="720"/>
        <w:rPr>
          <w:rFonts w:ascii="Arial" w:eastAsia="Arial" w:hAnsi="Arial" w:cs="Arial"/>
          <w:color w:val="000000"/>
          <w:sz w:val="24"/>
          <w:szCs w:val="24"/>
        </w:rPr>
      </w:pPr>
      <w:bookmarkStart w:id="1" w:name="_GoBack"/>
      <w:bookmarkEnd w:id="1"/>
    </w:p>
    <w:p w14:paraId="3BA52CD7" w14:textId="77777777" w:rsidR="00D2654F" w:rsidRDefault="00EB66F2">
      <w:pPr>
        <w:widowControl w:val="0"/>
        <w:pBdr>
          <w:top w:val="nil"/>
          <w:left w:val="nil"/>
          <w:bottom w:val="nil"/>
          <w:right w:val="nil"/>
          <w:between w:val="nil"/>
        </w:pBdr>
        <w:spacing w:before="240" w:after="240" w:line="240" w:lineRule="auto"/>
        <w:rPr>
          <w:rFonts w:ascii="Arial" w:eastAsia="Arial" w:hAnsi="Arial" w:cs="Arial"/>
          <w:color w:val="000000"/>
          <w:sz w:val="24"/>
          <w:szCs w:val="24"/>
        </w:rPr>
      </w:pPr>
      <w:hyperlink r:id="rId36">
        <w:r w:rsidR="00760116">
          <w:rPr>
            <w:rFonts w:ascii="Arial" w:eastAsia="Arial" w:hAnsi="Arial" w:cs="Arial"/>
            <w:color w:val="000000"/>
            <w:sz w:val="24"/>
            <w:szCs w:val="24"/>
          </w:rPr>
          <w:t xml:space="preserve">Barak, A. (2007) </w:t>
        </w:r>
      </w:hyperlink>
      <w:hyperlink r:id="rId37">
        <w:r w:rsidR="00760116">
          <w:rPr>
            <w:rFonts w:ascii="Arial" w:eastAsia="Arial" w:hAnsi="Arial" w:cs="Arial"/>
            <w:i/>
            <w:color w:val="000000"/>
            <w:sz w:val="24"/>
            <w:szCs w:val="24"/>
          </w:rPr>
          <w:t>Purposive Interpretation in Law</w:t>
        </w:r>
      </w:hyperlink>
      <w:hyperlink r:id="rId38">
        <w:r w:rsidR="00760116">
          <w:rPr>
            <w:rFonts w:ascii="Arial" w:eastAsia="Arial" w:hAnsi="Arial" w:cs="Arial"/>
            <w:color w:val="000000"/>
            <w:sz w:val="24"/>
            <w:szCs w:val="24"/>
          </w:rPr>
          <w:t>. Princeton University Press.</w:t>
        </w:r>
      </w:hyperlink>
    </w:p>
    <w:p w14:paraId="4AB5F871" w14:textId="32434A37" w:rsidR="00D2654F" w:rsidRDefault="00EB66F2">
      <w:pPr>
        <w:widowControl w:val="0"/>
        <w:pBdr>
          <w:top w:val="nil"/>
          <w:left w:val="nil"/>
          <w:bottom w:val="nil"/>
          <w:right w:val="nil"/>
          <w:between w:val="nil"/>
        </w:pBdr>
        <w:spacing w:before="0" w:after="240" w:line="240" w:lineRule="auto"/>
        <w:rPr>
          <w:rFonts w:ascii="Arial" w:eastAsia="Arial" w:hAnsi="Arial" w:cs="Arial"/>
          <w:color w:val="000000"/>
          <w:sz w:val="24"/>
          <w:szCs w:val="24"/>
        </w:rPr>
      </w:pPr>
      <w:hyperlink r:id="rId39">
        <w:r w:rsidR="00760116">
          <w:rPr>
            <w:rFonts w:ascii="Arial" w:eastAsia="Arial" w:hAnsi="Arial" w:cs="Arial"/>
            <w:i/>
            <w:color w:val="000000"/>
            <w:sz w:val="24"/>
            <w:szCs w:val="24"/>
          </w:rPr>
          <w:t>BBC</w:t>
        </w:r>
      </w:hyperlink>
      <w:hyperlink r:id="rId40" w:history="1">
        <w:r w:rsidR="00C958D5" w:rsidRPr="00835EAD">
          <w:rPr>
            <w:rStyle w:val="Hyperlink"/>
            <w:rFonts w:ascii="Arial" w:eastAsia="Arial" w:hAnsi="Arial" w:cs="Arial"/>
            <w:sz w:val="24"/>
            <w:szCs w:val="24"/>
          </w:rPr>
          <w:t xml:space="preserve"> (2019) ‘Enforcing law and order – WJEC - Revision 2 - GCSE History - BBC Bitesize’. Available at: </w:t>
        </w:r>
      </w:hyperlink>
      <w:hyperlink r:id="rId41">
        <w:r w:rsidR="00760116">
          <w:rPr>
            <w:rFonts w:ascii="Arial" w:eastAsia="Arial" w:hAnsi="Arial" w:cs="Arial"/>
            <w:color w:val="000000"/>
            <w:sz w:val="24"/>
            <w:szCs w:val="24"/>
          </w:rPr>
          <w:t>https://www.bbc.co.uk/bitesize/guides/z9f4srd/revision/2</w:t>
        </w:r>
      </w:hyperlink>
      <w:hyperlink r:id="rId42">
        <w:r w:rsidR="00760116">
          <w:rPr>
            <w:rFonts w:ascii="Arial" w:eastAsia="Arial" w:hAnsi="Arial" w:cs="Arial"/>
            <w:color w:val="000000"/>
            <w:sz w:val="24"/>
            <w:szCs w:val="24"/>
          </w:rPr>
          <w:t xml:space="preserve"> (Accessed: 20 October 2019).</w:t>
        </w:r>
      </w:hyperlink>
    </w:p>
    <w:p w14:paraId="4208D3B4" w14:textId="77777777" w:rsidR="00D2654F" w:rsidRDefault="00EB66F2">
      <w:pPr>
        <w:widowControl w:val="0"/>
        <w:pBdr>
          <w:top w:val="nil"/>
          <w:left w:val="nil"/>
          <w:bottom w:val="nil"/>
          <w:right w:val="nil"/>
          <w:between w:val="nil"/>
        </w:pBdr>
        <w:spacing w:before="0" w:after="240" w:line="240" w:lineRule="auto"/>
        <w:rPr>
          <w:rFonts w:ascii="Arial" w:eastAsia="Arial" w:hAnsi="Arial" w:cs="Arial"/>
          <w:color w:val="000000"/>
          <w:sz w:val="24"/>
          <w:szCs w:val="24"/>
        </w:rPr>
      </w:pPr>
      <w:hyperlink r:id="rId43">
        <w:r w:rsidR="00760116">
          <w:rPr>
            <w:rFonts w:ascii="Arial" w:eastAsia="Arial" w:hAnsi="Arial" w:cs="Arial"/>
            <w:color w:val="000000"/>
            <w:sz w:val="24"/>
            <w:szCs w:val="24"/>
          </w:rPr>
          <w:t xml:space="preserve">BBC News (2011) ‘Killer “lied over Lynette death”’, </w:t>
        </w:r>
      </w:hyperlink>
      <w:hyperlink r:id="rId44">
        <w:r w:rsidR="00760116">
          <w:rPr>
            <w:rFonts w:ascii="Arial" w:eastAsia="Arial" w:hAnsi="Arial" w:cs="Arial"/>
            <w:i/>
            <w:color w:val="000000"/>
            <w:sz w:val="24"/>
            <w:szCs w:val="24"/>
          </w:rPr>
          <w:t>BBC</w:t>
        </w:r>
      </w:hyperlink>
      <w:hyperlink r:id="rId45">
        <w:r w:rsidR="00760116">
          <w:rPr>
            <w:rFonts w:ascii="Arial" w:eastAsia="Arial" w:hAnsi="Arial" w:cs="Arial"/>
            <w:color w:val="000000"/>
            <w:sz w:val="24"/>
            <w:szCs w:val="24"/>
          </w:rPr>
          <w:t xml:space="preserve">, 14 July. Available at: </w:t>
        </w:r>
      </w:hyperlink>
      <w:hyperlink r:id="rId46">
        <w:r w:rsidR="00760116">
          <w:rPr>
            <w:rFonts w:ascii="Arial" w:eastAsia="Arial" w:hAnsi="Arial" w:cs="Arial"/>
            <w:color w:val="000000"/>
            <w:sz w:val="24"/>
            <w:szCs w:val="24"/>
          </w:rPr>
          <w:t>https://www.bbc.com/news/uk-wales-14155521</w:t>
        </w:r>
      </w:hyperlink>
      <w:hyperlink r:id="rId47">
        <w:r w:rsidR="00760116">
          <w:rPr>
            <w:rFonts w:ascii="Arial" w:eastAsia="Arial" w:hAnsi="Arial" w:cs="Arial"/>
            <w:color w:val="000000"/>
            <w:sz w:val="24"/>
            <w:szCs w:val="24"/>
          </w:rPr>
          <w:t xml:space="preserve"> (Accessed: 21 October 2019).</w:t>
        </w:r>
      </w:hyperlink>
    </w:p>
    <w:p w14:paraId="67AE7342" w14:textId="77777777" w:rsidR="00D2654F" w:rsidRDefault="00EB66F2">
      <w:pPr>
        <w:widowControl w:val="0"/>
        <w:pBdr>
          <w:top w:val="nil"/>
          <w:left w:val="nil"/>
          <w:bottom w:val="nil"/>
          <w:right w:val="nil"/>
          <w:between w:val="nil"/>
        </w:pBdr>
        <w:spacing w:before="0" w:after="240" w:line="240" w:lineRule="auto"/>
        <w:rPr>
          <w:rFonts w:ascii="Arial" w:eastAsia="Arial" w:hAnsi="Arial" w:cs="Arial"/>
          <w:color w:val="000000"/>
          <w:sz w:val="24"/>
          <w:szCs w:val="24"/>
        </w:rPr>
      </w:pPr>
      <w:hyperlink r:id="rId48">
        <w:r w:rsidR="00760116">
          <w:rPr>
            <w:rFonts w:ascii="Arial" w:eastAsia="Arial" w:hAnsi="Arial" w:cs="Arial"/>
            <w:color w:val="000000"/>
            <w:sz w:val="24"/>
            <w:szCs w:val="24"/>
          </w:rPr>
          <w:t xml:space="preserve">Bohm, R. M. (2005) ‘Miscarriages of Criminal Justice: An Introduction’, </w:t>
        </w:r>
      </w:hyperlink>
      <w:hyperlink r:id="rId49">
        <w:r w:rsidR="00760116">
          <w:rPr>
            <w:rFonts w:ascii="Arial" w:eastAsia="Arial" w:hAnsi="Arial" w:cs="Arial"/>
            <w:i/>
            <w:color w:val="000000"/>
            <w:sz w:val="24"/>
            <w:szCs w:val="24"/>
          </w:rPr>
          <w:t>Journal of contemporary criminal justice</w:t>
        </w:r>
      </w:hyperlink>
      <w:hyperlink r:id="rId50">
        <w:r w:rsidR="00760116">
          <w:rPr>
            <w:rFonts w:ascii="Arial" w:eastAsia="Arial" w:hAnsi="Arial" w:cs="Arial"/>
            <w:color w:val="000000"/>
            <w:sz w:val="24"/>
            <w:szCs w:val="24"/>
          </w:rPr>
          <w:t>. SAGE Publications Inc, 21(3), pp. 196–200.</w:t>
        </w:r>
      </w:hyperlink>
    </w:p>
    <w:p w14:paraId="2A88A722" w14:textId="77777777" w:rsidR="00D2654F" w:rsidRDefault="00EB66F2">
      <w:pPr>
        <w:widowControl w:val="0"/>
        <w:pBdr>
          <w:top w:val="nil"/>
          <w:left w:val="nil"/>
          <w:bottom w:val="nil"/>
          <w:right w:val="nil"/>
          <w:between w:val="nil"/>
        </w:pBdr>
        <w:spacing w:before="0" w:after="240" w:line="240" w:lineRule="auto"/>
        <w:rPr>
          <w:rFonts w:ascii="Arial" w:eastAsia="Arial" w:hAnsi="Arial" w:cs="Arial"/>
          <w:color w:val="000000"/>
          <w:sz w:val="24"/>
          <w:szCs w:val="24"/>
        </w:rPr>
      </w:pPr>
      <w:hyperlink r:id="rId51">
        <w:r w:rsidR="00760116">
          <w:rPr>
            <w:rFonts w:ascii="Arial" w:eastAsia="Arial" w:hAnsi="Arial" w:cs="Arial"/>
            <w:color w:val="000000"/>
            <w:sz w:val="24"/>
            <w:szCs w:val="24"/>
          </w:rPr>
          <w:t xml:space="preserve">Bowcott, O. (2018) ‘Failure to disclose vital evidence in criminal cases growing, says watchdog’, </w:t>
        </w:r>
      </w:hyperlink>
      <w:hyperlink r:id="rId52">
        <w:r w:rsidR="00760116">
          <w:rPr>
            <w:rFonts w:ascii="Arial" w:eastAsia="Arial" w:hAnsi="Arial" w:cs="Arial"/>
            <w:i/>
            <w:color w:val="000000"/>
            <w:sz w:val="24"/>
            <w:szCs w:val="24"/>
          </w:rPr>
          <w:t>The Guardian</w:t>
        </w:r>
      </w:hyperlink>
      <w:hyperlink r:id="rId53">
        <w:r w:rsidR="00760116">
          <w:rPr>
            <w:rFonts w:ascii="Arial" w:eastAsia="Arial" w:hAnsi="Arial" w:cs="Arial"/>
            <w:color w:val="000000"/>
            <w:sz w:val="24"/>
            <w:szCs w:val="24"/>
          </w:rPr>
          <w:t xml:space="preserve">, 11 October. Available at: </w:t>
        </w:r>
      </w:hyperlink>
      <w:hyperlink r:id="rId54">
        <w:r w:rsidR="00760116">
          <w:rPr>
            <w:rFonts w:ascii="Arial" w:eastAsia="Arial" w:hAnsi="Arial" w:cs="Arial"/>
            <w:color w:val="000000"/>
            <w:sz w:val="24"/>
            <w:szCs w:val="24"/>
          </w:rPr>
          <w:t>http://www.theguardian.com/law/2018/oct/11/failure-disclose-evidence-miscarriage-justice-warning-criminal-cases-review-commission</w:t>
        </w:r>
      </w:hyperlink>
      <w:hyperlink r:id="rId55">
        <w:r w:rsidR="00760116">
          <w:rPr>
            <w:rFonts w:ascii="Arial" w:eastAsia="Arial" w:hAnsi="Arial" w:cs="Arial"/>
            <w:color w:val="000000"/>
            <w:sz w:val="24"/>
            <w:szCs w:val="24"/>
          </w:rPr>
          <w:t xml:space="preserve"> (Accessed: 20 October 2019).</w:t>
        </w:r>
      </w:hyperlink>
    </w:p>
    <w:p w14:paraId="57809C5E" w14:textId="77777777" w:rsidR="00D2654F" w:rsidRDefault="00EB66F2">
      <w:pPr>
        <w:widowControl w:val="0"/>
        <w:pBdr>
          <w:top w:val="nil"/>
          <w:left w:val="nil"/>
          <w:bottom w:val="nil"/>
          <w:right w:val="nil"/>
          <w:between w:val="nil"/>
        </w:pBdr>
        <w:spacing w:before="0" w:after="240" w:line="240" w:lineRule="auto"/>
        <w:rPr>
          <w:rFonts w:ascii="Arial" w:eastAsia="Arial" w:hAnsi="Arial" w:cs="Arial"/>
          <w:color w:val="000000"/>
          <w:sz w:val="24"/>
          <w:szCs w:val="24"/>
        </w:rPr>
      </w:pPr>
      <w:hyperlink r:id="rId56">
        <w:r w:rsidR="00760116">
          <w:rPr>
            <w:rFonts w:ascii="Arial" w:eastAsia="Arial" w:hAnsi="Arial" w:cs="Arial"/>
            <w:color w:val="000000"/>
            <w:sz w:val="24"/>
            <w:szCs w:val="24"/>
          </w:rPr>
          <w:t xml:space="preserve">By Richard Edwards, C. C. (2008) ‘Rachel Nickell: Mistakes allowed Robert Napper to kill Samantha and Jazmine Bisset’, </w:t>
        </w:r>
      </w:hyperlink>
      <w:hyperlink r:id="rId57">
        <w:r w:rsidR="00760116">
          <w:rPr>
            <w:rFonts w:ascii="Arial" w:eastAsia="Arial" w:hAnsi="Arial" w:cs="Arial"/>
            <w:i/>
            <w:color w:val="000000"/>
            <w:sz w:val="24"/>
            <w:szCs w:val="24"/>
          </w:rPr>
          <w:t>The Daily Telegraph</w:t>
        </w:r>
      </w:hyperlink>
      <w:hyperlink r:id="rId58">
        <w:r w:rsidR="00760116">
          <w:rPr>
            <w:rFonts w:ascii="Arial" w:eastAsia="Arial" w:hAnsi="Arial" w:cs="Arial"/>
            <w:color w:val="000000"/>
            <w:sz w:val="24"/>
            <w:szCs w:val="24"/>
          </w:rPr>
          <w:t xml:space="preserve">, 18 December. Available at: </w:t>
        </w:r>
      </w:hyperlink>
      <w:hyperlink r:id="rId59">
        <w:r w:rsidR="00760116">
          <w:rPr>
            <w:rFonts w:ascii="Arial" w:eastAsia="Arial" w:hAnsi="Arial" w:cs="Arial"/>
            <w:color w:val="000000"/>
            <w:sz w:val="24"/>
            <w:szCs w:val="24"/>
          </w:rPr>
          <w:t>https://www.telegraph.co.uk/news/uknews/3832069/Rachel-Nickell-Mistakes-allowed-Robert-Napper-to-kill-Samantha-and-Jazmine-Bisset.html</w:t>
        </w:r>
      </w:hyperlink>
      <w:hyperlink r:id="rId60">
        <w:r w:rsidR="00760116">
          <w:rPr>
            <w:rFonts w:ascii="Arial" w:eastAsia="Arial" w:hAnsi="Arial" w:cs="Arial"/>
            <w:color w:val="000000"/>
            <w:sz w:val="24"/>
            <w:szCs w:val="24"/>
          </w:rPr>
          <w:t xml:space="preserve"> (Accessed: 21 October 2019).</w:t>
        </w:r>
      </w:hyperlink>
    </w:p>
    <w:p w14:paraId="7BFB93E4" w14:textId="77777777" w:rsidR="00D2654F" w:rsidRDefault="00EB66F2">
      <w:pPr>
        <w:widowControl w:val="0"/>
        <w:pBdr>
          <w:top w:val="nil"/>
          <w:left w:val="nil"/>
          <w:bottom w:val="nil"/>
          <w:right w:val="nil"/>
          <w:between w:val="nil"/>
        </w:pBdr>
        <w:spacing w:before="0" w:after="240" w:line="240" w:lineRule="auto"/>
        <w:rPr>
          <w:rFonts w:ascii="Arial" w:eastAsia="Arial" w:hAnsi="Arial" w:cs="Arial"/>
          <w:color w:val="000000"/>
          <w:sz w:val="24"/>
          <w:szCs w:val="24"/>
        </w:rPr>
      </w:pPr>
      <w:hyperlink r:id="rId61">
        <w:r w:rsidR="00760116">
          <w:rPr>
            <w:rFonts w:ascii="Arial" w:eastAsia="Arial" w:hAnsi="Arial" w:cs="Arial"/>
            <w:i/>
            <w:color w:val="000000"/>
            <w:sz w:val="24"/>
            <w:szCs w:val="24"/>
          </w:rPr>
          <w:t>#CCRC20: When the police can do no wrong – The Justice Gap</w:t>
        </w:r>
      </w:hyperlink>
      <w:hyperlink r:id="rId62">
        <w:r w:rsidR="00760116">
          <w:rPr>
            <w:rFonts w:ascii="Arial" w:eastAsia="Arial" w:hAnsi="Arial" w:cs="Arial"/>
            <w:color w:val="000000"/>
            <w:sz w:val="24"/>
            <w:szCs w:val="24"/>
          </w:rPr>
          <w:t xml:space="preserve"> (no date). Available at: </w:t>
        </w:r>
      </w:hyperlink>
      <w:hyperlink r:id="rId63">
        <w:r w:rsidR="00760116">
          <w:rPr>
            <w:rFonts w:ascii="Arial" w:eastAsia="Arial" w:hAnsi="Arial" w:cs="Arial"/>
            <w:color w:val="000000"/>
            <w:sz w:val="24"/>
            <w:szCs w:val="24"/>
          </w:rPr>
          <w:t>https://www.thejusticegap.com/ccrc20-police-can-no-wrong/</w:t>
        </w:r>
      </w:hyperlink>
      <w:hyperlink r:id="rId64">
        <w:r w:rsidR="00760116">
          <w:rPr>
            <w:rFonts w:ascii="Arial" w:eastAsia="Arial" w:hAnsi="Arial" w:cs="Arial"/>
            <w:color w:val="000000"/>
            <w:sz w:val="24"/>
            <w:szCs w:val="24"/>
          </w:rPr>
          <w:t xml:space="preserve"> (Accessed: 21 October 2019).</w:t>
        </w:r>
      </w:hyperlink>
    </w:p>
    <w:p w14:paraId="7D65988C" w14:textId="77777777" w:rsidR="00D2654F" w:rsidRDefault="00EB66F2">
      <w:pPr>
        <w:widowControl w:val="0"/>
        <w:pBdr>
          <w:top w:val="nil"/>
          <w:left w:val="nil"/>
          <w:bottom w:val="nil"/>
          <w:right w:val="nil"/>
          <w:between w:val="nil"/>
        </w:pBdr>
        <w:spacing w:before="0" w:after="240" w:line="240" w:lineRule="auto"/>
        <w:rPr>
          <w:rFonts w:ascii="Arial" w:eastAsia="Arial" w:hAnsi="Arial" w:cs="Arial"/>
          <w:color w:val="000000"/>
          <w:sz w:val="24"/>
          <w:szCs w:val="24"/>
        </w:rPr>
      </w:pPr>
      <w:hyperlink r:id="rId65">
        <w:r w:rsidR="00760116">
          <w:rPr>
            <w:rFonts w:ascii="Arial" w:eastAsia="Arial" w:hAnsi="Arial" w:cs="Arial"/>
            <w:color w:val="000000"/>
            <w:sz w:val="24"/>
            <w:szCs w:val="24"/>
          </w:rPr>
          <w:t xml:space="preserve">Churchill, D. (2013) </w:t>
        </w:r>
      </w:hyperlink>
      <w:hyperlink r:id="rId66">
        <w:r w:rsidR="00760116">
          <w:rPr>
            <w:rFonts w:ascii="Arial" w:eastAsia="Arial" w:hAnsi="Arial" w:cs="Arial"/>
            <w:i/>
            <w:color w:val="000000"/>
            <w:sz w:val="24"/>
            <w:szCs w:val="24"/>
          </w:rPr>
          <w:t>J.M. Beattie, The First English Detectives : The Bow Street Runners and the Policing of London, 1750-1840</w:t>
        </w:r>
      </w:hyperlink>
      <w:hyperlink r:id="rId67">
        <w:r w:rsidR="00760116">
          <w:rPr>
            <w:rFonts w:ascii="Arial" w:eastAsia="Arial" w:hAnsi="Arial" w:cs="Arial"/>
            <w:color w:val="000000"/>
            <w:sz w:val="24"/>
            <w:szCs w:val="24"/>
          </w:rPr>
          <w:t xml:space="preserve">. </w:t>
        </w:r>
        <w:proofErr w:type="spellStart"/>
        <w:r w:rsidR="00760116">
          <w:rPr>
            <w:rFonts w:ascii="Arial" w:eastAsia="Arial" w:hAnsi="Arial" w:cs="Arial"/>
            <w:color w:val="000000"/>
            <w:sz w:val="24"/>
            <w:szCs w:val="24"/>
          </w:rPr>
          <w:t>Droz</w:t>
        </w:r>
        <w:proofErr w:type="spellEnd"/>
        <w:r w:rsidR="00760116">
          <w:rPr>
            <w:rFonts w:ascii="Arial" w:eastAsia="Arial" w:hAnsi="Arial" w:cs="Arial"/>
            <w:color w:val="000000"/>
            <w:sz w:val="24"/>
            <w:szCs w:val="24"/>
          </w:rPr>
          <w:t>, pp. 145–147.</w:t>
        </w:r>
      </w:hyperlink>
    </w:p>
    <w:p w14:paraId="3D9A237A" w14:textId="77777777" w:rsidR="00D2654F" w:rsidRDefault="00EB66F2">
      <w:pPr>
        <w:widowControl w:val="0"/>
        <w:pBdr>
          <w:top w:val="nil"/>
          <w:left w:val="nil"/>
          <w:bottom w:val="nil"/>
          <w:right w:val="nil"/>
          <w:between w:val="nil"/>
        </w:pBdr>
        <w:spacing w:before="0" w:after="240" w:line="240" w:lineRule="auto"/>
        <w:rPr>
          <w:rFonts w:ascii="Arial" w:eastAsia="Arial" w:hAnsi="Arial" w:cs="Arial"/>
          <w:color w:val="000000"/>
          <w:sz w:val="24"/>
          <w:szCs w:val="24"/>
        </w:rPr>
      </w:pPr>
      <w:hyperlink r:id="rId68">
        <w:r w:rsidR="00760116">
          <w:rPr>
            <w:rFonts w:ascii="Arial" w:eastAsia="Arial" w:hAnsi="Arial" w:cs="Arial"/>
            <w:color w:val="000000"/>
            <w:sz w:val="24"/>
            <w:szCs w:val="24"/>
          </w:rPr>
          <w:t xml:space="preserve">Edmond, G. (2002) ‘Constructing Miscarriages of Justice: Misunderstanding Scientific Evidence in High Profile Criminal Appeals’, </w:t>
        </w:r>
      </w:hyperlink>
      <w:hyperlink r:id="rId69">
        <w:r w:rsidR="00760116">
          <w:rPr>
            <w:rFonts w:ascii="Arial" w:eastAsia="Arial" w:hAnsi="Arial" w:cs="Arial"/>
            <w:i/>
            <w:color w:val="000000"/>
            <w:sz w:val="24"/>
            <w:szCs w:val="24"/>
          </w:rPr>
          <w:t>Oxford journal of legal studies</w:t>
        </w:r>
      </w:hyperlink>
      <w:hyperlink r:id="rId70">
        <w:r w:rsidR="00760116">
          <w:rPr>
            <w:rFonts w:ascii="Arial" w:eastAsia="Arial" w:hAnsi="Arial" w:cs="Arial"/>
            <w:color w:val="000000"/>
            <w:sz w:val="24"/>
            <w:szCs w:val="24"/>
          </w:rPr>
          <w:t>. Oxford University Press, 22(1), pp. 53–89.</w:t>
        </w:r>
      </w:hyperlink>
    </w:p>
    <w:p w14:paraId="5D4FD975" w14:textId="77777777" w:rsidR="00D2654F" w:rsidRDefault="00EB66F2">
      <w:pPr>
        <w:widowControl w:val="0"/>
        <w:pBdr>
          <w:top w:val="nil"/>
          <w:left w:val="nil"/>
          <w:bottom w:val="nil"/>
          <w:right w:val="nil"/>
          <w:between w:val="nil"/>
        </w:pBdr>
        <w:spacing w:before="0" w:after="240" w:line="240" w:lineRule="auto"/>
        <w:rPr>
          <w:rFonts w:ascii="Arial" w:eastAsia="Arial" w:hAnsi="Arial" w:cs="Arial"/>
          <w:color w:val="000000"/>
          <w:sz w:val="24"/>
          <w:szCs w:val="24"/>
        </w:rPr>
      </w:pPr>
      <w:hyperlink r:id="rId71">
        <w:r w:rsidR="00760116">
          <w:rPr>
            <w:rFonts w:ascii="Arial" w:eastAsia="Arial" w:hAnsi="Arial" w:cs="Arial"/>
            <w:color w:val="000000"/>
            <w:sz w:val="24"/>
            <w:szCs w:val="24"/>
          </w:rPr>
          <w:t xml:space="preserve">Evans, S. and </w:t>
        </w:r>
        <w:proofErr w:type="spellStart"/>
        <w:r w:rsidR="00760116">
          <w:rPr>
            <w:rFonts w:ascii="Arial" w:eastAsia="Arial" w:hAnsi="Arial" w:cs="Arial"/>
            <w:color w:val="000000"/>
            <w:sz w:val="24"/>
            <w:szCs w:val="24"/>
          </w:rPr>
          <w:t>Rumbelow</w:t>
        </w:r>
        <w:proofErr w:type="spellEnd"/>
        <w:r w:rsidR="00760116">
          <w:rPr>
            <w:rFonts w:ascii="Arial" w:eastAsia="Arial" w:hAnsi="Arial" w:cs="Arial"/>
            <w:color w:val="000000"/>
            <w:sz w:val="24"/>
            <w:szCs w:val="24"/>
          </w:rPr>
          <w:t xml:space="preserve">, D. (2010) </w:t>
        </w:r>
      </w:hyperlink>
      <w:hyperlink r:id="rId72">
        <w:r w:rsidR="00760116">
          <w:rPr>
            <w:rFonts w:ascii="Arial" w:eastAsia="Arial" w:hAnsi="Arial" w:cs="Arial"/>
            <w:i/>
            <w:color w:val="000000"/>
            <w:sz w:val="24"/>
            <w:szCs w:val="24"/>
          </w:rPr>
          <w:t>Jack the Ripper: Scotland Yard Investigates</w:t>
        </w:r>
      </w:hyperlink>
      <w:hyperlink r:id="rId73">
        <w:r w:rsidR="00760116">
          <w:rPr>
            <w:rFonts w:ascii="Arial" w:eastAsia="Arial" w:hAnsi="Arial" w:cs="Arial"/>
            <w:color w:val="000000"/>
            <w:sz w:val="24"/>
            <w:szCs w:val="24"/>
          </w:rPr>
          <w:t>. The History Press.</w:t>
        </w:r>
      </w:hyperlink>
    </w:p>
    <w:p w14:paraId="5B564B0C" w14:textId="77777777" w:rsidR="00D2654F" w:rsidRDefault="00EB66F2">
      <w:pPr>
        <w:widowControl w:val="0"/>
        <w:pBdr>
          <w:top w:val="nil"/>
          <w:left w:val="nil"/>
          <w:bottom w:val="nil"/>
          <w:right w:val="nil"/>
          <w:between w:val="nil"/>
        </w:pBdr>
        <w:spacing w:before="0" w:after="240" w:line="240" w:lineRule="auto"/>
        <w:rPr>
          <w:rFonts w:ascii="Arial" w:eastAsia="Arial" w:hAnsi="Arial" w:cs="Arial"/>
          <w:color w:val="000000"/>
          <w:sz w:val="24"/>
          <w:szCs w:val="24"/>
        </w:rPr>
      </w:pPr>
      <w:hyperlink r:id="rId74">
        <w:r w:rsidR="00760116">
          <w:rPr>
            <w:rFonts w:ascii="Arial" w:eastAsia="Arial" w:hAnsi="Arial" w:cs="Arial"/>
            <w:color w:val="000000"/>
            <w:sz w:val="24"/>
            <w:szCs w:val="24"/>
          </w:rPr>
          <w:t xml:space="preserve">Hannah Quirk (2007) ‘Identifying Miscarriages of Justice: Why Innocence in the UK Is Not the Answer’, </w:t>
        </w:r>
      </w:hyperlink>
      <w:hyperlink r:id="rId75">
        <w:r w:rsidR="00760116">
          <w:rPr>
            <w:rFonts w:ascii="Arial" w:eastAsia="Arial" w:hAnsi="Arial" w:cs="Arial"/>
            <w:i/>
            <w:color w:val="000000"/>
            <w:sz w:val="24"/>
            <w:szCs w:val="24"/>
          </w:rPr>
          <w:t>The Modern law review</w:t>
        </w:r>
      </w:hyperlink>
      <w:hyperlink r:id="rId76">
        <w:r w:rsidR="00760116">
          <w:rPr>
            <w:rFonts w:ascii="Arial" w:eastAsia="Arial" w:hAnsi="Arial" w:cs="Arial"/>
            <w:color w:val="000000"/>
            <w:sz w:val="24"/>
            <w:szCs w:val="24"/>
          </w:rPr>
          <w:t>. [Modern Law Review, Wiley], 70(5), pp. 759–777.</w:t>
        </w:r>
      </w:hyperlink>
    </w:p>
    <w:p w14:paraId="1889FAA1" w14:textId="77777777" w:rsidR="00D2654F" w:rsidRDefault="00EB66F2">
      <w:pPr>
        <w:widowControl w:val="0"/>
        <w:pBdr>
          <w:top w:val="nil"/>
          <w:left w:val="nil"/>
          <w:bottom w:val="nil"/>
          <w:right w:val="nil"/>
          <w:between w:val="nil"/>
        </w:pBdr>
        <w:spacing w:before="0" w:after="240" w:line="240" w:lineRule="auto"/>
        <w:rPr>
          <w:rFonts w:ascii="Arial" w:eastAsia="Arial" w:hAnsi="Arial" w:cs="Arial"/>
          <w:color w:val="000000"/>
          <w:sz w:val="24"/>
          <w:szCs w:val="24"/>
        </w:rPr>
      </w:pPr>
      <w:hyperlink r:id="rId77">
        <w:r w:rsidR="00760116">
          <w:rPr>
            <w:rFonts w:ascii="Arial" w:eastAsia="Arial" w:hAnsi="Arial" w:cs="Arial"/>
            <w:color w:val="000000"/>
            <w:sz w:val="24"/>
            <w:szCs w:val="24"/>
          </w:rPr>
          <w:t xml:space="preserve">Home Office (2013) </w:t>
        </w:r>
      </w:hyperlink>
      <w:hyperlink r:id="rId78">
        <w:r w:rsidR="00760116">
          <w:rPr>
            <w:rFonts w:ascii="Arial" w:eastAsia="Arial" w:hAnsi="Arial" w:cs="Arial"/>
            <w:i/>
            <w:color w:val="000000"/>
            <w:sz w:val="24"/>
            <w:szCs w:val="24"/>
          </w:rPr>
          <w:t>Police and Criminal Evidence Act 1984 (PACE) codes of practice</w:t>
        </w:r>
      </w:hyperlink>
      <w:hyperlink r:id="rId79">
        <w:r w:rsidR="00760116">
          <w:rPr>
            <w:rFonts w:ascii="Arial" w:eastAsia="Arial" w:hAnsi="Arial" w:cs="Arial"/>
            <w:color w:val="000000"/>
            <w:sz w:val="24"/>
            <w:szCs w:val="24"/>
          </w:rPr>
          <w:t xml:space="preserve">, </w:t>
        </w:r>
      </w:hyperlink>
      <w:hyperlink r:id="rId80">
        <w:r w:rsidR="00760116">
          <w:rPr>
            <w:rFonts w:ascii="Arial" w:eastAsia="Arial" w:hAnsi="Arial" w:cs="Arial"/>
            <w:i/>
            <w:color w:val="000000"/>
            <w:sz w:val="24"/>
            <w:szCs w:val="24"/>
          </w:rPr>
          <w:t>GOV.UK</w:t>
        </w:r>
      </w:hyperlink>
      <w:hyperlink r:id="rId81">
        <w:r w:rsidR="00760116">
          <w:rPr>
            <w:rFonts w:ascii="Arial" w:eastAsia="Arial" w:hAnsi="Arial" w:cs="Arial"/>
            <w:color w:val="000000"/>
            <w:sz w:val="24"/>
            <w:szCs w:val="24"/>
          </w:rPr>
          <w:t xml:space="preserve">. GOV.UK. Available at: </w:t>
        </w:r>
      </w:hyperlink>
      <w:hyperlink r:id="rId82">
        <w:r w:rsidR="00760116">
          <w:rPr>
            <w:rFonts w:ascii="Arial" w:eastAsia="Arial" w:hAnsi="Arial" w:cs="Arial"/>
            <w:color w:val="000000"/>
            <w:sz w:val="24"/>
            <w:szCs w:val="24"/>
          </w:rPr>
          <w:t>https://www.gov.uk/guidance/police-and-criminal-evidence-act-1984-pace-codes-of-practice</w:t>
        </w:r>
      </w:hyperlink>
      <w:hyperlink r:id="rId83">
        <w:r w:rsidR="00760116">
          <w:rPr>
            <w:rFonts w:ascii="Arial" w:eastAsia="Arial" w:hAnsi="Arial" w:cs="Arial"/>
            <w:color w:val="000000"/>
            <w:sz w:val="24"/>
            <w:szCs w:val="24"/>
          </w:rPr>
          <w:t xml:space="preserve"> (Accessed: 20 October 2019).</w:t>
        </w:r>
      </w:hyperlink>
    </w:p>
    <w:p w14:paraId="0060C237" w14:textId="77777777" w:rsidR="00D2654F" w:rsidRDefault="00EB66F2">
      <w:pPr>
        <w:widowControl w:val="0"/>
        <w:pBdr>
          <w:top w:val="nil"/>
          <w:left w:val="nil"/>
          <w:bottom w:val="nil"/>
          <w:right w:val="nil"/>
          <w:between w:val="nil"/>
        </w:pBdr>
        <w:spacing w:before="0" w:after="240" w:line="240" w:lineRule="auto"/>
        <w:rPr>
          <w:rFonts w:ascii="Arial" w:eastAsia="Arial" w:hAnsi="Arial" w:cs="Arial"/>
          <w:color w:val="000000"/>
          <w:sz w:val="24"/>
          <w:szCs w:val="24"/>
        </w:rPr>
      </w:pPr>
      <w:hyperlink r:id="rId84">
        <w:proofErr w:type="spellStart"/>
        <w:r w:rsidR="00760116">
          <w:rPr>
            <w:rFonts w:ascii="Arial" w:eastAsia="Arial" w:hAnsi="Arial" w:cs="Arial"/>
            <w:color w:val="000000"/>
            <w:sz w:val="24"/>
            <w:szCs w:val="24"/>
          </w:rPr>
          <w:t>Horwell</w:t>
        </w:r>
        <w:proofErr w:type="spellEnd"/>
        <w:r w:rsidR="00760116">
          <w:rPr>
            <w:rFonts w:ascii="Arial" w:eastAsia="Arial" w:hAnsi="Arial" w:cs="Arial"/>
            <w:color w:val="000000"/>
            <w:sz w:val="24"/>
            <w:szCs w:val="24"/>
          </w:rPr>
          <w:t xml:space="preserve">, R. and Great Britain. Home Office (2017) </w:t>
        </w:r>
      </w:hyperlink>
      <w:hyperlink r:id="rId85">
        <w:proofErr w:type="spellStart"/>
        <w:r w:rsidR="00760116">
          <w:rPr>
            <w:rFonts w:ascii="Arial" w:eastAsia="Arial" w:hAnsi="Arial" w:cs="Arial"/>
            <w:i/>
            <w:color w:val="000000"/>
            <w:sz w:val="24"/>
            <w:szCs w:val="24"/>
          </w:rPr>
          <w:t>Mouncher</w:t>
        </w:r>
        <w:proofErr w:type="spellEnd"/>
        <w:r w:rsidR="00760116">
          <w:rPr>
            <w:rFonts w:ascii="Arial" w:eastAsia="Arial" w:hAnsi="Arial" w:cs="Arial"/>
            <w:i/>
            <w:color w:val="000000"/>
            <w:sz w:val="24"/>
            <w:szCs w:val="24"/>
          </w:rPr>
          <w:t xml:space="preserve"> Investigation Report</w:t>
        </w:r>
      </w:hyperlink>
      <w:hyperlink r:id="rId86">
        <w:r w:rsidR="00760116">
          <w:rPr>
            <w:rFonts w:ascii="Arial" w:eastAsia="Arial" w:hAnsi="Arial" w:cs="Arial"/>
            <w:color w:val="000000"/>
            <w:sz w:val="24"/>
            <w:szCs w:val="24"/>
          </w:rPr>
          <w:t>. H M Government.</w:t>
        </w:r>
      </w:hyperlink>
    </w:p>
    <w:p w14:paraId="1B0775A6" w14:textId="77777777" w:rsidR="00D2654F" w:rsidRDefault="00EB66F2">
      <w:pPr>
        <w:widowControl w:val="0"/>
        <w:pBdr>
          <w:top w:val="nil"/>
          <w:left w:val="nil"/>
          <w:bottom w:val="nil"/>
          <w:right w:val="nil"/>
          <w:between w:val="nil"/>
        </w:pBdr>
        <w:spacing w:before="0" w:after="240" w:line="240" w:lineRule="auto"/>
        <w:rPr>
          <w:rFonts w:ascii="Arial" w:eastAsia="Arial" w:hAnsi="Arial" w:cs="Arial"/>
          <w:color w:val="000000"/>
          <w:sz w:val="24"/>
          <w:szCs w:val="24"/>
        </w:rPr>
      </w:pPr>
      <w:hyperlink r:id="rId87">
        <w:r w:rsidR="00760116">
          <w:rPr>
            <w:rFonts w:ascii="Arial" w:eastAsia="Arial" w:hAnsi="Arial" w:cs="Arial"/>
            <w:i/>
            <w:color w:val="000000"/>
            <w:sz w:val="24"/>
            <w:szCs w:val="24"/>
          </w:rPr>
          <w:t>Miscarriage of Justice Definition</w:t>
        </w:r>
      </w:hyperlink>
      <w:hyperlink r:id="rId88">
        <w:r w:rsidR="00760116">
          <w:rPr>
            <w:rFonts w:ascii="Arial" w:eastAsia="Arial" w:hAnsi="Arial" w:cs="Arial"/>
            <w:color w:val="000000"/>
            <w:sz w:val="24"/>
            <w:szCs w:val="24"/>
          </w:rPr>
          <w:t xml:space="preserve"> (no date). Available at: </w:t>
        </w:r>
      </w:hyperlink>
      <w:hyperlink r:id="rId89">
        <w:r w:rsidR="00760116">
          <w:rPr>
            <w:rFonts w:ascii="Arial" w:eastAsia="Arial" w:hAnsi="Arial" w:cs="Arial"/>
            <w:color w:val="000000"/>
            <w:sz w:val="24"/>
            <w:szCs w:val="24"/>
          </w:rPr>
          <w:t>http://www.duhaime.org/LegalDictionary/M/MiscarriageofJustice.aspx</w:t>
        </w:r>
      </w:hyperlink>
      <w:hyperlink r:id="rId90">
        <w:r w:rsidR="00760116">
          <w:rPr>
            <w:rFonts w:ascii="Arial" w:eastAsia="Arial" w:hAnsi="Arial" w:cs="Arial"/>
            <w:color w:val="000000"/>
            <w:sz w:val="24"/>
            <w:szCs w:val="24"/>
          </w:rPr>
          <w:t xml:space="preserve"> (Accessed: 20 October 2019).</w:t>
        </w:r>
      </w:hyperlink>
    </w:p>
    <w:p w14:paraId="08392798" w14:textId="77777777" w:rsidR="00D2654F" w:rsidRDefault="00EB66F2">
      <w:pPr>
        <w:widowControl w:val="0"/>
        <w:pBdr>
          <w:top w:val="nil"/>
          <w:left w:val="nil"/>
          <w:bottom w:val="nil"/>
          <w:right w:val="nil"/>
          <w:between w:val="nil"/>
        </w:pBdr>
        <w:spacing w:before="0" w:after="240" w:line="240" w:lineRule="auto"/>
        <w:rPr>
          <w:rFonts w:ascii="Arial" w:eastAsia="Arial" w:hAnsi="Arial" w:cs="Arial"/>
          <w:color w:val="000000"/>
          <w:sz w:val="24"/>
          <w:szCs w:val="24"/>
        </w:rPr>
      </w:pPr>
      <w:hyperlink r:id="rId91">
        <w:r w:rsidR="00760116">
          <w:rPr>
            <w:rFonts w:ascii="Arial" w:eastAsia="Arial" w:hAnsi="Arial" w:cs="Arial"/>
            <w:color w:val="000000"/>
            <w:sz w:val="24"/>
            <w:szCs w:val="24"/>
          </w:rPr>
          <w:t xml:space="preserve">Nobles, R. and Schiff, D. (1995) ‘Miscarriages of Justice: A Systems Approach’, </w:t>
        </w:r>
      </w:hyperlink>
      <w:hyperlink r:id="rId92">
        <w:r w:rsidR="00760116">
          <w:rPr>
            <w:rFonts w:ascii="Arial" w:eastAsia="Arial" w:hAnsi="Arial" w:cs="Arial"/>
            <w:i/>
            <w:color w:val="000000"/>
            <w:sz w:val="24"/>
            <w:szCs w:val="24"/>
          </w:rPr>
          <w:t>The Modern law review</w:t>
        </w:r>
      </w:hyperlink>
      <w:hyperlink r:id="rId93">
        <w:r w:rsidR="00760116">
          <w:rPr>
            <w:rFonts w:ascii="Arial" w:eastAsia="Arial" w:hAnsi="Arial" w:cs="Arial"/>
            <w:color w:val="000000"/>
            <w:sz w:val="24"/>
            <w:szCs w:val="24"/>
          </w:rPr>
          <w:t>, 58(3), pp. 299–320.</w:t>
        </w:r>
      </w:hyperlink>
    </w:p>
    <w:p w14:paraId="13B09C42" w14:textId="77777777" w:rsidR="00D2654F" w:rsidRDefault="00EB66F2">
      <w:pPr>
        <w:widowControl w:val="0"/>
        <w:pBdr>
          <w:top w:val="nil"/>
          <w:left w:val="nil"/>
          <w:bottom w:val="nil"/>
          <w:right w:val="nil"/>
          <w:between w:val="nil"/>
        </w:pBdr>
        <w:spacing w:before="0" w:after="240" w:line="240" w:lineRule="auto"/>
        <w:rPr>
          <w:rFonts w:ascii="Arial" w:eastAsia="Arial" w:hAnsi="Arial" w:cs="Arial"/>
          <w:color w:val="000000"/>
          <w:sz w:val="24"/>
          <w:szCs w:val="24"/>
        </w:rPr>
      </w:pPr>
      <w:hyperlink r:id="rId94">
        <w:r w:rsidR="00760116">
          <w:rPr>
            <w:rFonts w:ascii="Arial" w:eastAsia="Arial" w:hAnsi="Arial" w:cs="Arial"/>
            <w:color w:val="000000"/>
            <w:sz w:val="24"/>
            <w:szCs w:val="24"/>
          </w:rPr>
          <w:t xml:space="preserve">Rose, J., Wilkinson, T. and </w:t>
        </w:r>
        <w:proofErr w:type="spellStart"/>
        <w:r w:rsidR="00760116">
          <w:rPr>
            <w:rFonts w:ascii="Arial" w:eastAsia="Arial" w:hAnsi="Arial" w:cs="Arial"/>
            <w:color w:val="000000"/>
            <w:sz w:val="24"/>
            <w:szCs w:val="24"/>
          </w:rPr>
          <w:t>Panter</w:t>
        </w:r>
        <w:proofErr w:type="spellEnd"/>
        <w:r w:rsidR="00760116">
          <w:rPr>
            <w:rFonts w:ascii="Arial" w:eastAsia="Arial" w:hAnsi="Arial" w:cs="Arial"/>
            <w:color w:val="000000"/>
            <w:sz w:val="24"/>
            <w:szCs w:val="24"/>
          </w:rPr>
          <w:t xml:space="preserve">, S. (1997) </w:t>
        </w:r>
      </w:hyperlink>
      <w:hyperlink r:id="rId95">
        <w:r w:rsidR="00760116">
          <w:rPr>
            <w:rFonts w:ascii="Arial" w:eastAsia="Arial" w:hAnsi="Arial" w:cs="Arial"/>
            <w:i/>
            <w:color w:val="000000"/>
            <w:sz w:val="24"/>
            <w:szCs w:val="24"/>
          </w:rPr>
          <w:t xml:space="preserve">Innocents: How Justice Failed Stefan Kiszko and Lesley </w:t>
        </w:r>
        <w:proofErr w:type="spellStart"/>
        <w:r w:rsidR="00760116">
          <w:rPr>
            <w:rFonts w:ascii="Arial" w:eastAsia="Arial" w:hAnsi="Arial" w:cs="Arial"/>
            <w:i/>
            <w:color w:val="000000"/>
            <w:sz w:val="24"/>
            <w:szCs w:val="24"/>
          </w:rPr>
          <w:t>Molseed</w:t>
        </w:r>
        <w:proofErr w:type="spellEnd"/>
      </w:hyperlink>
      <w:hyperlink r:id="rId96">
        <w:r w:rsidR="00760116">
          <w:rPr>
            <w:rFonts w:ascii="Arial" w:eastAsia="Arial" w:hAnsi="Arial" w:cs="Arial"/>
            <w:color w:val="000000"/>
            <w:sz w:val="24"/>
            <w:szCs w:val="24"/>
          </w:rPr>
          <w:t>. Fourth Estate.</w:t>
        </w:r>
      </w:hyperlink>
    </w:p>
    <w:p w14:paraId="79673FA1" w14:textId="77777777" w:rsidR="00D2654F" w:rsidRDefault="00EB66F2">
      <w:pPr>
        <w:widowControl w:val="0"/>
        <w:pBdr>
          <w:top w:val="nil"/>
          <w:left w:val="nil"/>
          <w:bottom w:val="nil"/>
          <w:right w:val="nil"/>
          <w:between w:val="nil"/>
        </w:pBdr>
        <w:spacing w:before="0" w:after="240" w:line="240" w:lineRule="auto"/>
        <w:rPr>
          <w:rFonts w:ascii="Arial" w:eastAsia="Arial" w:hAnsi="Arial" w:cs="Arial"/>
          <w:color w:val="000000"/>
          <w:sz w:val="24"/>
          <w:szCs w:val="24"/>
        </w:rPr>
      </w:pPr>
      <w:hyperlink r:id="rId97">
        <w:proofErr w:type="spellStart"/>
        <w:r w:rsidR="00760116">
          <w:rPr>
            <w:rFonts w:ascii="Arial" w:eastAsia="Arial" w:hAnsi="Arial" w:cs="Arial"/>
            <w:color w:val="000000"/>
            <w:sz w:val="24"/>
            <w:szCs w:val="24"/>
          </w:rPr>
          <w:t>Sangero</w:t>
        </w:r>
        <w:proofErr w:type="spellEnd"/>
        <w:r w:rsidR="00760116">
          <w:rPr>
            <w:rFonts w:ascii="Arial" w:eastAsia="Arial" w:hAnsi="Arial" w:cs="Arial"/>
            <w:color w:val="000000"/>
            <w:sz w:val="24"/>
            <w:szCs w:val="24"/>
          </w:rPr>
          <w:t xml:space="preserve">, B. and </w:t>
        </w:r>
        <w:proofErr w:type="spellStart"/>
        <w:r w:rsidR="00760116">
          <w:rPr>
            <w:rFonts w:ascii="Arial" w:eastAsia="Arial" w:hAnsi="Arial" w:cs="Arial"/>
            <w:color w:val="000000"/>
            <w:sz w:val="24"/>
            <w:szCs w:val="24"/>
          </w:rPr>
          <w:t>Halpert</w:t>
        </w:r>
        <w:proofErr w:type="spellEnd"/>
        <w:r w:rsidR="00760116">
          <w:rPr>
            <w:rFonts w:ascii="Arial" w:eastAsia="Arial" w:hAnsi="Arial" w:cs="Arial"/>
            <w:color w:val="000000"/>
            <w:sz w:val="24"/>
            <w:szCs w:val="24"/>
          </w:rPr>
          <w:t xml:space="preserve">, M. (2007) ‘WHY A CONVICTION SHOULD NOT BE BASED ON A SINGLE PIECE OF EVIDENCE: A PROPOSAL FOR REFORM’, </w:t>
        </w:r>
      </w:hyperlink>
      <w:hyperlink r:id="rId98">
        <w:r w:rsidR="00760116">
          <w:rPr>
            <w:rFonts w:ascii="Arial" w:eastAsia="Arial" w:hAnsi="Arial" w:cs="Arial"/>
            <w:i/>
            <w:color w:val="000000"/>
            <w:sz w:val="24"/>
            <w:szCs w:val="24"/>
          </w:rPr>
          <w:t>Jurimetrics</w:t>
        </w:r>
      </w:hyperlink>
      <w:hyperlink r:id="rId99">
        <w:r w:rsidR="00760116">
          <w:rPr>
            <w:rFonts w:ascii="Arial" w:eastAsia="Arial" w:hAnsi="Arial" w:cs="Arial"/>
            <w:color w:val="000000"/>
            <w:sz w:val="24"/>
            <w:szCs w:val="24"/>
          </w:rPr>
          <w:t>. American Bar Association, 48(1), pp. 43–94.</w:t>
        </w:r>
      </w:hyperlink>
    </w:p>
    <w:p w14:paraId="0900F169" w14:textId="77777777" w:rsidR="00D2654F" w:rsidRDefault="00EB66F2">
      <w:pPr>
        <w:widowControl w:val="0"/>
        <w:pBdr>
          <w:top w:val="nil"/>
          <w:left w:val="nil"/>
          <w:bottom w:val="nil"/>
          <w:right w:val="nil"/>
          <w:between w:val="nil"/>
        </w:pBdr>
        <w:spacing w:before="0" w:after="240" w:line="240" w:lineRule="auto"/>
        <w:rPr>
          <w:rFonts w:ascii="Arial" w:eastAsia="Arial" w:hAnsi="Arial" w:cs="Arial"/>
          <w:color w:val="000000"/>
          <w:sz w:val="24"/>
          <w:szCs w:val="24"/>
        </w:rPr>
      </w:pPr>
      <w:hyperlink r:id="rId100">
        <w:r w:rsidR="00760116">
          <w:rPr>
            <w:rFonts w:ascii="Arial" w:eastAsia="Arial" w:hAnsi="Arial" w:cs="Arial"/>
            <w:i/>
            <w:color w:val="000000"/>
            <w:sz w:val="24"/>
            <w:szCs w:val="24"/>
          </w:rPr>
          <w:t>Timeline</w:t>
        </w:r>
      </w:hyperlink>
      <w:hyperlink r:id="rId101">
        <w:r w:rsidR="00760116">
          <w:rPr>
            <w:rFonts w:ascii="Arial" w:eastAsia="Arial" w:hAnsi="Arial" w:cs="Arial"/>
            <w:color w:val="000000"/>
            <w:sz w:val="24"/>
            <w:szCs w:val="24"/>
          </w:rPr>
          <w:t xml:space="preserve"> (2017) </w:t>
        </w:r>
      </w:hyperlink>
      <w:hyperlink r:id="rId102">
        <w:r w:rsidR="00760116">
          <w:rPr>
            <w:rFonts w:ascii="Arial" w:eastAsia="Arial" w:hAnsi="Arial" w:cs="Arial"/>
            <w:i/>
            <w:color w:val="000000"/>
            <w:sz w:val="24"/>
            <w:szCs w:val="24"/>
          </w:rPr>
          <w:t>Crime + Investigation</w:t>
        </w:r>
      </w:hyperlink>
      <w:hyperlink r:id="rId103">
        <w:r w:rsidR="00760116">
          <w:rPr>
            <w:rFonts w:ascii="Arial" w:eastAsia="Arial" w:hAnsi="Arial" w:cs="Arial"/>
            <w:color w:val="000000"/>
            <w:sz w:val="24"/>
            <w:szCs w:val="24"/>
          </w:rPr>
          <w:t xml:space="preserve">. Available at: </w:t>
        </w:r>
      </w:hyperlink>
      <w:hyperlink r:id="rId104">
        <w:r w:rsidR="00760116">
          <w:rPr>
            <w:rFonts w:ascii="Arial" w:eastAsia="Arial" w:hAnsi="Arial" w:cs="Arial"/>
            <w:color w:val="000000"/>
            <w:sz w:val="24"/>
            <w:szCs w:val="24"/>
          </w:rPr>
          <w:t>https://www.crimeandinvestigation.co.uk/crime-files/rachel-nickell-case/timeline</w:t>
        </w:r>
      </w:hyperlink>
      <w:hyperlink r:id="rId105">
        <w:r w:rsidR="00760116">
          <w:rPr>
            <w:rFonts w:ascii="Arial" w:eastAsia="Arial" w:hAnsi="Arial" w:cs="Arial"/>
            <w:color w:val="000000"/>
            <w:sz w:val="24"/>
            <w:szCs w:val="24"/>
          </w:rPr>
          <w:t xml:space="preserve"> (Accessed: 21 October 2019).</w:t>
        </w:r>
      </w:hyperlink>
    </w:p>
    <w:p w14:paraId="043A0E9B" w14:textId="77777777" w:rsidR="00D2654F" w:rsidRDefault="00EB66F2">
      <w:pPr>
        <w:widowControl w:val="0"/>
        <w:pBdr>
          <w:top w:val="nil"/>
          <w:left w:val="nil"/>
          <w:bottom w:val="nil"/>
          <w:right w:val="nil"/>
          <w:between w:val="nil"/>
        </w:pBdr>
        <w:spacing w:before="0" w:after="240" w:line="240" w:lineRule="auto"/>
        <w:rPr>
          <w:rFonts w:ascii="Arial" w:eastAsia="Arial" w:hAnsi="Arial" w:cs="Arial"/>
          <w:color w:val="000000"/>
          <w:sz w:val="24"/>
          <w:szCs w:val="24"/>
        </w:rPr>
      </w:pPr>
      <w:hyperlink r:id="rId106">
        <w:r w:rsidR="00760116">
          <w:rPr>
            <w:rFonts w:ascii="Arial" w:eastAsia="Arial" w:hAnsi="Arial" w:cs="Arial"/>
            <w:color w:val="000000"/>
            <w:sz w:val="24"/>
            <w:szCs w:val="24"/>
          </w:rPr>
          <w:t xml:space="preserve">United Kingdom, Equality and Human Rights Commission (2010) </w:t>
        </w:r>
      </w:hyperlink>
      <w:hyperlink r:id="rId107">
        <w:r w:rsidR="00760116">
          <w:rPr>
            <w:rFonts w:ascii="Arial" w:eastAsia="Arial" w:hAnsi="Arial" w:cs="Arial"/>
            <w:i/>
            <w:color w:val="000000"/>
            <w:sz w:val="24"/>
            <w:szCs w:val="24"/>
          </w:rPr>
          <w:t>Stop and Think: A Critical Review of the Use of Stop and Search Powers in England and Wales</w:t>
        </w:r>
      </w:hyperlink>
      <w:hyperlink r:id="rId108">
        <w:r w:rsidR="00760116">
          <w:rPr>
            <w:rFonts w:ascii="Arial" w:eastAsia="Arial" w:hAnsi="Arial" w:cs="Arial"/>
            <w:color w:val="000000"/>
            <w:sz w:val="24"/>
            <w:szCs w:val="24"/>
          </w:rPr>
          <w:t>. Equal Opportunities Commission.</w:t>
        </w:r>
      </w:hyperlink>
    </w:p>
    <w:p w14:paraId="424F1265" w14:textId="77777777" w:rsidR="00D2654F" w:rsidRDefault="00D2654F">
      <w:pPr>
        <w:widowControl w:val="0"/>
        <w:pBdr>
          <w:top w:val="nil"/>
          <w:left w:val="nil"/>
          <w:bottom w:val="nil"/>
          <w:right w:val="nil"/>
          <w:between w:val="nil"/>
        </w:pBdr>
        <w:spacing w:before="0" w:line="276" w:lineRule="auto"/>
      </w:pPr>
    </w:p>
    <w:sectPr w:rsidR="00D2654F">
      <w:headerReference w:type="default" r:id="rId109"/>
      <w:footerReference w:type="default" r:id="rId110"/>
      <w:headerReference w:type="first" r:id="rId111"/>
      <w:footerReference w:type="first" r:id="rId112"/>
      <w:pgSz w:w="12240" w:h="15840"/>
      <w:pgMar w:top="1080" w:right="1440" w:bottom="1080" w:left="1440" w:header="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76E4B7" w14:textId="77777777" w:rsidR="00EB66F2" w:rsidRDefault="00EB66F2">
      <w:pPr>
        <w:spacing w:before="0" w:line="240" w:lineRule="auto"/>
      </w:pPr>
      <w:r>
        <w:separator/>
      </w:r>
    </w:p>
  </w:endnote>
  <w:endnote w:type="continuationSeparator" w:id="0">
    <w:p w14:paraId="2924D4F7" w14:textId="77777777" w:rsidR="00EB66F2" w:rsidRDefault="00EB66F2">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Open Sans">
    <w:panose1 w:val="020B0606030504020204"/>
    <w:charset w:val="00"/>
    <w:family w:val="swiss"/>
    <w:pitch w:val="variable"/>
    <w:sig w:usb0="E00002EF" w:usb1="4000205B" w:usb2="00000028" w:usb3="00000000" w:csb0="0000019F" w:csb1="00000000"/>
  </w:font>
  <w:font w:name="PT Sans Narrow">
    <w:altName w:val="Arial"/>
    <w:charset w:val="00"/>
    <w:family w:val="auto"/>
    <w:pitch w:val="default"/>
  </w:font>
  <w:font w:name="Trebuchet MS">
    <w:panose1 w:val="020B0603020202020204"/>
    <w:charset w:val="00"/>
    <w:family w:val="swiss"/>
    <w:pitch w:val="variable"/>
    <w:sig w:usb0="00000287" w:usb1="00000003" w:usb2="00000000" w:usb3="00000000" w:csb0="000000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1A8E20" w14:textId="77777777" w:rsidR="00D2654F" w:rsidRDefault="00D2654F"/>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EC18F1" w14:textId="77777777" w:rsidR="00D2654F" w:rsidRDefault="00D2654F">
    <w:pPr>
      <w:pBdr>
        <w:top w:val="nil"/>
        <w:left w:val="nil"/>
        <w:bottom w:val="nil"/>
        <w:right w:val="nil"/>
        <w:between w:val="nil"/>
      </w:pBd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61CBC0" w14:textId="77777777" w:rsidR="00EB66F2" w:rsidRDefault="00EB66F2">
      <w:pPr>
        <w:spacing w:before="0" w:line="240" w:lineRule="auto"/>
      </w:pPr>
      <w:r>
        <w:separator/>
      </w:r>
    </w:p>
  </w:footnote>
  <w:footnote w:type="continuationSeparator" w:id="0">
    <w:p w14:paraId="48E0C4F5" w14:textId="77777777" w:rsidR="00EB66F2" w:rsidRDefault="00EB66F2">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75D958" w14:textId="77777777" w:rsidR="00D2654F" w:rsidRDefault="00760116">
    <w:pPr>
      <w:pStyle w:val="Subtitle"/>
      <w:pBdr>
        <w:top w:val="nil"/>
        <w:left w:val="nil"/>
        <w:bottom w:val="nil"/>
        <w:right w:val="nil"/>
        <w:between w:val="nil"/>
      </w:pBdr>
      <w:spacing w:before="600"/>
      <w:jc w:val="right"/>
    </w:pPr>
    <w:bookmarkStart w:id="2" w:name="_9nvcibv3gama" w:colFirst="0" w:colLast="0"/>
    <w:bookmarkEnd w:id="2"/>
    <w:r>
      <w:rPr>
        <w:color w:val="000000"/>
      </w:rPr>
      <w:t xml:space="preserve">  </w:t>
    </w:r>
    <w:r>
      <w:rPr>
        <w:color w:val="000000"/>
      </w:rPr>
      <w:fldChar w:fldCharType="begin"/>
    </w:r>
    <w:r>
      <w:rPr>
        <w:color w:val="000000"/>
      </w:rPr>
      <w:instrText>PAGE</w:instrText>
    </w:r>
    <w:r>
      <w:rPr>
        <w:color w:val="000000"/>
      </w:rPr>
      <w:fldChar w:fldCharType="separate"/>
    </w:r>
    <w:r w:rsidR="008F0D40">
      <w:rPr>
        <w:noProof/>
        <w:color w:val="000000"/>
      </w:rPr>
      <w:t>1</w:t>
    </w:r>
    <w:r>
      <w:rPr>
        <w:color w:val="000000"/>
      </w:rPr>
      <w:fldChar w:fldCharType="end"/>
    </w:r>
  </w:p>
  <w:p w14:paraId="431FCE8C" w14:textId="77777777" w:rsidR="00D2654F" w:rsidRDefault="00760116">
    <w:pPr>
      <w:pBdr>
        <w:top w:val="nil"/>
        <w:left w:val="nil"/>
        <w:bottom w:val="nil"/>
        <w:right w:val="nil"/>
        <w:between w:val="nil"/>
      </w:pBdr>
      <w:spacing w:after="200"/>
    </w:pPr>
    <w:r>
      <w:rPr>
        <w:noProof/>
      </w:rPr>
      <w:drawing>
        <wp:inline distT="114300" distB="114300" distL="114300" distR="114300" wp14:anchorId="40D09475" wp14:editId="1CDC224D">
          <wp:extent cx="5916349" cy="104775"/>
          <wp:effectExtent l="0" t="0" r="0" b="0"/>
          <wp:docPr id="1" name="image2.png" descr="horizontal line"/>
          <wp:cNvGraphicFramePr/>
          <a:graphic xmlns:a="http://schemas.openxmlformats.org/drawingml/2006/main">
            <a:graphicData uri="http://schemas.openxmlformats.org/drawingml/2006/picture">
              <pic:pic xmlns:pic="http://schemas.openxmlformats.org/drawingml/2006/picture">
                <pic:nvPicPr>
                  <pic:cNvPr id="0" name="image2.png" descr="horizontal line"/>
                  <pic:cNvPicPr preferRelativeResize="0"/>
                </pic:nvPicPr>
                <pic:blipFill>
                  <a:blip r:embed="rId1"/>
                  <a:srcRect b="-32286"/>
                  <a:stretch>
                    <a:fillRect/>
                  </a:stretch>
                </pic:blipFill>
                <pic:spPr>
                  <a:xfrm>
                    <a:off x="0" y="0"/>
                    <a:ext cx="5916349" cy="104775"/>
                  </a:xfrm>
                  <a:prstGeom prst="rect">
                    <a:avLst/>
                  </a:prstGeom>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07EF9F" w14:textId="77777777" w:rsidR="00D2654F" w:rsidRDefault="00D2654F">
    <w:pPr>
      <w:pBdr>
        <w:top w:val="nil"/>
        <w:left w:val="nil"/>
        <w:bottom w:val="nil"/>
        <w:right w:val="nil"/>
        <w:between w:val="nil"/>
      </w:pBdr>
      <w:spacing w:before="600" w:line="240" w:lineRule="auto"/>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MysDA1srQ0MTExNzZX0lEKTi0uzszPAykwqgUAYRzUdiwAAAA="/>
  </w:docVars>
  <w:rsids>
    <w:rsidRoot w:val="00D2654F"/>
    <w:rsid w:val="000377CA"/>
    <w:rsid w:val="00760116"/>
    <w:rsid w:val="007A2BB8"/>
    <w:rsid w:val="0085254A"/>
    <w:rsid w:val="008F0D40"/>
    <w:rsid w:val="00C958D5"/>
    <w:rsid w:val="00D2654F"/>
    <w:rsid w:val="00EB66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B49E0"/>
  <w15:docId w15:val="{9E653A29-66E2-4C97-9A81-111DB773C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Open Sans" w:eastAsia="Open Sans" w:hAnsi="Open Sans" w:cs="Open Sans"/>
        <w:color w:val="695D46"/>
        <w:sz w:val="22"/>
        <w:szCs w:val="22"/>
        <w:lang w:val="en" w:eastAsia="en-GB" w:bidi="ar-SA"/>
      </w:rPr>
    </w:rPrDefault>
    <w:pPrDefault>
      <w:pPr>
        <w:spacing w:before="12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widowControl w:val="0"/>
      <w:spacing w:before="480" w:line="312" w:lineRule="auto"/>
      <w:outlineLvl w:val="0"/>
    </w:pPr>
    <w:rPr>
      <w:rFonts w:ascii="PT Sans Narrow" w:eastAsia="PT Sans Narrow" w:hAnsi="PT Sans Narrow" w:cs="PT Sans Narrow"/>
      <w:b/>
      <w:color w:val="FF5E0E"/>
      <w:sz w:val="36"/>
      <w:szCs w:val="36"/>
    </w:rPr>
  </w:style>
  <w:style w:type="paragraph" w:styleId="Heading2">
    <w:name w:val="heading 2"/>
    <w:basedOn w:val="Normal"/>
    <w:next w:val="Normal"/>
    <w:uiPriority w:val="9"/>
    <w:unhideWhenUsed/>
    <w:qFormat/>
    <w:pPr>
      <w:spacing w:before="320" w:line="240" w:lineRule="auto"/>
      <w:outlineLvl w:val="1"/>
    </w:pPr>
    <w:rPr>
      <w:rFonts w:ascii="PT Sans Narrow" w:eastAsia="PT Sans Narrow" w:hAnsi="PT Sans Narrow" w:cs="PT Sans Narrow"/>
      <w:color w:val="008575"/>
      <w:sz w:val="32"/>
      <w:szCs w:val="32"/>
    </w:rPr>
  </w:style>
  <w:style w:type="paragraph" w:styleId="Heading3">
    <w:name w:val="heading 3"/>
    <w:basedOn w:val="Normal"/>
    <w:next w:val="Normal"/>
    <w:uiPriority w:val="9"/>
    <w:semiHidden/>
    <w:unhideWhenUsed/>
    <w:qFormat/>
    <w:pPr>
      <w:spacing w:before="200" w:line="240" w:lineRule="auto"/>
      <w:outlineLvl w:val="2"/>
    </w:pPr>
    <w:rPr>
      <w:rFonts w:ascii="PT Sans Narrow" w:eastAsia="PT Sans Narrow" w:hAnsi="PT Sans Narrow" w:cs="PT Sans Narrow"/>
      <w:sz w:val="28"/>
      <w:szCs w:val="28"/>
    </w:rPr>
  </w:style>
  <w:style w:type="paragraph" w:styleId="Heading4">
    <w:name w:val="heading 4"/>
    <w:basedOn w:val="Normal"/>
    <w:next w:val="Normal"/>
    <w:uiPriority w:val="9"/>
    <w:semiHidden/>
    <w:unhideWhenUsed/>
    <w:qFormat/>
    <w:pPr>
      <w:keepNext/>
      <w:keepLines/>
      <w:spacing w:before="160"/>
      <w:outlineLvl w:val="3"/>
    </w:pPr>
    <w:rPr>
      <w:rFonts w:ascii="Trebuchet MS" w:eastAsia="Trebuchet MS" w:hAnsi="Trebuchet MS" w:cs="Trebuchet MS"/>
      <w:color w:val="666666"/>
      <w:u w:val="single"/>
    </w:rPr>
  </w:style>
  <w:style w:type="paragraph" w:styleId="Heading5">
    <w:name w:val="heading 5"/>
    <w:basedOn w:val="Normal"/>
    <w:next w:val="Normal"/>
    <w:uiPriority w:val="9"/>
    <w:semiHidden/>
    <w:unhideWhenUsed/>
    <w:qFormat/>
    <w:pPr>
      <w:keepNext/>
      <w:keepLines/>
      <w:spacing w:before="160"/>
      <w:outlineLvl w:val="4"/>
    </w:pPr>
    <w:rPr>
      <w:rFonts w:ascii="Trebuchet MS" w:eastAsia="Trebuchet MS" w:hAnsi="Trebuchet MS" w:cs="Trebuchet MS"/>
      <w:color w:val="666666"/>
    </w:rPr>
  </w:style>
  <w:style w:type="paragraph" w:styleId="Heading6">
    <w:name w:val="heading 6"/>
    <w:basedOn w:val="Normal"/>
    <w:next w:val="Normal"/>
    <w:uiPriority w:val="9"/>
    <w:semiHidden/>
    <w:unhideWhenUsed/>
    <w:qFormat/>
    <w:pPr>
      <w:keepNext/>
      <w:keepLines/>
      <w:spacing w:before="160"/>
      <w:outlineLvl w:val="5"/>
    </w:pPr>
    <w:rPr>
      <w:rFonts w:ascii="Trebuchet MS" w:eastAsia="Trebuchet MS" w:hAnsi="Trebuchet MS" w:cs="Trebuchet MS"/>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before="320" w:line="240" w:lineRule="auto"/>
    </w:pPr>
    <w:rPr>
      <w:rFonts w:ascii="PT Sans Narrow" w:eastAsia="PT Sans Narrow" w:hAnsi="PT Sans Narrow" w:cs="PT Sans Narrow"/>
      <w:b/>
      <w:sz w:val="84"/>
      <w:szCs w:val="84"/>
    </w:rPr>
  </w:style>
  <w:style w:type="paragraph" w:styleId="Subtitle">
    <w:name w:val="Subtitle"/>
    <w:basedOn w:val="Normal"/>
    <w:next w:val="Normal"/>
    <w:uiPriority w:val="11"/>
    <w:qFormat/>
    <w:pPr>
      <w:spacing w:before="200" w:line="240" w:lineRule="auto"/>
    </w:pPr>
    <w:rPr>
      <w:rFonts w:ascii="PT Sans Narrow" w:eastAsia="PT Sans Narrow" w:hAnsi="PT Sans Narrow" w:cs="PT Sans Narrow"/>
      <w:sz w:val="28"/>
      <w:szCs w:val="28"/>
    </w:rPr>
  </w:style>
  <w:style w:type="character" w:styleId="Hyperlink">
    <w:name w:val="Hyperlink"/>
    <w:basedOn w:val="DefaultParagraphFont"/>
    <w:uiPriority w:val="99"/>
    <w:unhideWhenUsed/>
    <w:rsid w:val="00C958D5"/>
    <w:rPr>
      <w:color w:val="0000FF" w:themeColor="hyperlink"/>
      <w:u w:val="single"/>
    </w:rPr>
  </w:style>
  <w:style w:type="character" w:styleId="UnresolvedMention">
    <w:name w:val="Unresolved Mention"/>
    <w:basedOn w:val="DefaultParagraphFont"/>
    <w:uiPriority w:val="99"/>
    <w:semiHidden/>
    <w:unhideWhenUsed/>
    <w:rsid w:val="00C958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26" Type="http://schemas.openxmlformats.org/officeDocument/2006/relationships/hyperlink" Target="https://paperpile.com/c/YUyPgU/JGmQ" TargetMode="External"/><Relationship Id="rId21" Type="http://schemas.openxmlformats.org/officeDocument/2006/relationships/hyperlink" Target="https://paperpile.com/c/YUyPgU/AIJs" TargetMode="External"/><Relationship Id="rId42" Type="http://schemas.openxmlformats.org/officeDocument/2006/relationships/hyperlink" Target="http://paperpile.com/b/YUyPgU/Xa2Y" TargetMode="External"/><Relationship Id="rId47" Type="http://schemas.openxmlformats.org/officeDocument/2006/relationships/hyperlink" Target="http://paperpile.com/b/YUyPgU/Wddg" TargetMode="External"/><Relationship Id="rId63" Type="http://schemas.openxmlformats.org/officeDocument/2006/relationships/hyperlink" Target="https://www.thejusticegap.com/ccrc20-police-can-no-wrong/" TargetMode="External"/><Relationship Id="rId68" Type="http://schemas.openxmlformats.org/officeDocument/2006/relationships/hyperlink" Target="http://paperpile.com/b/YUyPgU/Bd1u" TargetMode="External"/><Relationship Id="rId84" Type="http://schemas.openxmlformats.org/officeDocument/2006/relationships/hyperlink" Target="http://paperpile.com/b/YUyPgU/XzsS" TargetMode="External"/><Relationship Id="rId89" Type="http://schemas.openxmlformats.org/officeDocument/2006/relationships/hyperlink" Target="http://www.duhaime.org/LegalDictionary/M/MiscarriageofJustice.aspx" TargetMode="External"/><Relationship Id="rId112"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hyperlink" Target="https://paperpile.com/c/YUyPgU/TykN" TargetMode="External"/><Relationship Id="rId29" Type="http://schemas.openxmlformats.org/officeDocument/2006/relationships/hyperlink" Target="https://paperpile.com/c/YUyPgU/XzsS" TargetMode="External"/><Relationship Id="rId107" Type="http://schemas.openxmlformats.org/officeDocument/2006/relationships/hyperlink" Target="http://paperpile.com/b/YUyPgU/6Aj1" TargetMode="External"/><Relationship Id="rId11" Type="http://schemas.openxmlformats.org/officeDocument/2006/relationships/hyperlink" Target="https://paperpile.com/c/YUyPgU/Xa2Y" TargetMode="External"/><Relationship Id="rId24" Type="http://schemas.openxmlformats.org/officeDocument/2006/relationships/hyperlink" Target="https://paperpile.com/c/YUyPgU/IYty" TargetMode="External"/><Relationship Id="rId32" Type="http://schemas.openxmlformats.org/officeDocument/2006/relationships/hyperlink" Target="https://paperpile.com/c/YUyPgU/9zpL" TargetMode="External"/><Relationship Id="rId37" Type="http://schemas.openxmlformats.org/officeDocument/2006/relationships/hyperlink" Target="http://paperpile.com/b/YUyPgU/IfqM" TargetMode="External"/><Relationship Id="rId40" Type="http://schemas.openxmlformats.org/officeDocument/2006/relationships/hyperlink" Target="https://d.docs.live.net/3408d874c8a6dc41/Documents/%20(2019)%20&#8216;Enforcing%20law%20and%20order%20&#8211;%20WJEC%20-%20Revision%202%20-%20GCSE%20History%20-%20BBC%20Bitesize&#8217;.%20Available%20at:" TargetMode="External"/><Relationship Id="rId45" Type="http://schemas.openxmlformats.org/officeDocument/2006/relationships/hyperlink" Target="http://paperpile.com/b/YUyPgU/Wddg" TargetMode="External"/><Relationship Id="rId53" Type="http://schemas.openxmlformats.org/officeDocument/2006/relationships/hyperlink" Target="http://paperpile.com/b/YUyPgU/yD7R" TargetMode="External"/><Relationship Id="rId58" Type="http://schemas.openxmlformats.org/officeDocument/2006/relationships/hyperlink" Target="http://paperpile.com/b/YUyPgU/1RJO" TargetMode="External"/><Relationship Id="rId66" Type="http://schemas.openxmlformats.org/officeDocument/2006/relationships/hyperlink" Target="http://paperpile.com/b/YUyPgU/xIHD" TargetMode="External"/><Relationship Id="rId74" Type="http://schemas.openxmlformats.org/officeDocument/2006/relationships/hyperlink" Target="http://paperpile.com/b/YUyPgU/xz40" TargetMode="External"/><Relationship Id="rId79" Type="http://schemas.openxmlformats.org/officeDocument/2006/relationships/hyperlink" Target="http://paperpile.com/b/YUyPgU/D3Ix" TargetMode="External"/><Relationship Id="rId87" Type="http://schemas.openxmlformats.org/officeDocument/2006/relationships/hyperlink" Target="http://paperpile.com/b/YUyPgU/TykN" TargetMode="External"/><Relationship Id="rId102" Type="http://schemas.openxmlformats.org/officeDocument/2006/relationships/hyperlink" Target="http://paperpile.com/b/YUyPgU/9zpL" TargetMode="External"/><Relationship Id="rId110" Type="http://schemas.openxmlformats.org/officeDocument/2006/relationships/footer" Target="footer1.xml"/><Relationship Id="rId5" Type="http://schemas.openxmlformats.org/officeDocument/2006/relationships/endnotes" Target="endnotes.xml"/><Relationship Id="rId61" Type="http://schemas.openxmlformats.org/officeDocument/2006/relationships/hyperlink" Target="http://paperpile.com/b/YUyPgU/JGmQ" TargetMode="External"/><Relationship Id="rId82" Type="http://schemas.openxmlformats.org/officeDocument/2006/relationships/hyperlink" Target="https://www.gov.uk/guidance/police-and-criminal-evidence-act-1984-pace-codes-of-practice" TargetMode="External"/><Relationship Id="rId90" Type="http://schemas.openxmlformats.org/officeDocument/2006/relationships/hyperlink" Target="http://paperpile.com/b/YUyPgU/TykN" TargetMode="External"/><Relationship Id="rId95" Type="http://schemas.openxmlformats.org/officeDocument/2006/relationships/hyperlink" Target="http://paperpile.com/b/YUyPgU/IYty" TargetMode="External"/><Relationship Id="rId19" Type="http://schemas.openxmlformats.org/officeDocument/2006/relationships/hyperlink" Target="https://paperpile.com/c/YUyPgU/yD7R" TargetMode="External"/><Relationship Id="rId14" Type="http://schemas.openxmlformats.org/officeDocument/2006/relationships/hyperlink" Target="https://paperpile.com/c/YUyPgU/6Aj1" TargetMode="External"/><Relationship Id="rId22" Type="http://schemas.openxmlformats.org/officeDocument/2006/relationships/hyperlink" Target="https://paperpile.com/c/YUyPgU/IfqM" TargetMode="External"/><Relationship Id="rId27" Type="http://schemas.openxmlformats.org/officeDocument/2006/relationships/hyperlink" Target="https://paperpile.com/c/YUyPgU/JGmQ" TargetMode="External"/><Relationship Id="rId30" Type="http://schemas.openxmlformats.org/officeDocument/2006/relationships/hyperlink" Target="https://paperpile.com/c/YUyPgU/r241" TargetMode="External"/><Relationship Id="rId35" Type="http://schemas.openxmlformats.org/officeDocument/2006/relationships/hyperlink" Target="https://paperpile.com/c/YUyPgU/1SZ8" TargetMode="External"/><Relationship Id="rId43" Type="http://schemas.openxmlformats.org/officeDocument/2006/relationships/hyperlink" Target="http://paperpile.com/b/YUyPgU/Wddg" TargetMode="External"/><Relationship Id="rId48" Type="http://schemas.openxmlformats.org/officeDocument/2006/relationships/hyperlink" Target="http://paperpile.com/b/YUyPgU/AIJs" TargetMode="External"/><Relationship Id="rId56" Type="http://schemas.openxmlformats.org/officeDocument/2006/relationships/hyperlink" Target="http://paperpile.com/b/YUyPgU/1RJO" TargetMode="External"/><Relationship Id="rId64" Type="http://schemas.openxmlformats.org/officeDocument/2006/relationships/hyperlink" Target="http://paperpile.com/b/YUyPgU/JGmQ" TargetMode="External"/><Relationship Id="rId69" Type="http://schemas.openxmlformats.org/officeDocument/2006/relationships/hyperlink" Target="http://paperpile.com/b/YUyPgU/Bd1u" TargetMode="External"/><Relationship Id="rId77" Type="http://schemas.openxmlformats.org/officeDocument/2006/relationships/hyperlink" Target="http://paperpile.com/b/YUyPgU/D3Ix" TargetMode="External"/><Relationship Id="rId100" Type="http://schemas.openxmlformats.org/officeDocument/2006/relationships/hyperlink" Target="http://paperpile.com/b/YUyPgU/9zpL" TargetMode="External"/><Relationship Id="rId105" Type="http://schemas.openxmlformats.org/officeDocument/2006/relationships/hyperlink" Target="http://paperpile.com/b/YUyPgU/9zpL" TargetMode="External"/><Relationship Id="rId113" Type="http://schemas.openxmlformats.org/officeDocument/2006/relationships/fontTable" Target="fontTable.xml"/><Relationship Id="rId8" Type="http://schemas.openxmlformats.org/officeDocument/2006/relationships/hyperlink" Target="https://paperpile.com/c/YUyPgU/D3Ix" TargetMode="External"/><Relationship Id="rId51" Type="http://schemas.openxmlformats.org/officeDocument/2006/relationships/hyperlink" Target="http://paperpile.com/b/YUyPgU/yD7R" TargetMode="External"/><Relationship Id="rId72" Type="http://schemas.openxmlformats.org/officeDocument/2006/relationships/hyperlink" Target="http://paperpile.com/b/YUyPgU/oPlP" TargetMode="External"/><Relationship Id="rId80" Type="http://schemas.openxmlformats.org/officeDocument/2006/relationships/hyperlink" Target="http://paperpile.com/b/YUyPgU/D3Ix" TargetMode="External"/><Relationship Id="rId85" Type="http://schemas.openxmlformats.org/officeDocument/2006/relationships/hyperlink" Target="http://paperpile.com/b/YUyPgU/XzsS" TargetMode="External"/><Relationship Id="rId93" Type="http://schemas.openxmlformats.org/officeDocument/2006/relationships/hyperlink" Target="http://paperpile.com/b/YUyPgU/1SZ8" TargetMode="External"/><Relationship Id="rId98" Type="http://schemas.openxmlformats.org/officeDocument/2006/relationships/hyperlink" Target="http://paperpile.com/b/YUyPgU/r241" TargetMode="External"/><Relationship Id="rId3" Type="http://schemas.openxmlformats.org/officeDocument/2006/relationships/webSettings" Target="webSettings.xml"/><Relationship Id="rId12" Type="http://schemas.openxmlformats.org/officeDocument/2006/relationships/hyperlink" Target="https://paperpile.com/c/YUyPgU/xIHD" TargetMode="External"/><Relationship Id="rId17" Type="http://schemas.openxmlformats.org/officeDocument/2006/relationships/hyperlink" Target="https://paperpile.com/c/YUyPgU/TykN" TargetMode="External"/><Relationship Id="rId25" Type="http://schemas.openxmlformats.org/officeDocument/2006/relationships/hyperlink" Target="https://paperpile.com/c/YUyPgU/Wddg" TargetMode="External"/><Relationship Id="rId33" Type="http://schemas.openxmlformats.org/officeDocument/2006/relationships/hyperlink" Target="https://paperpile.com/c/YUyPgU/9zpL" TargetMode="External"/><Relationship Id="rId38" Type="http://schemas.openxmlformats.org/officeDocument/2006/relationships/hyperlink" Target="http://paperpile.com/b/YUyPgU/IfqM" TargetMode="External"/><Relationship Id="rId46" Type="http://schemas.openxmlformats.org/officeDocument/2006/relationships/hyperlink" Target="https://www.bbc.com/news/uk-wales-14155521" TargetMode="External"/><Relationship Id="rId59" Type="http://schemas.openxmlformats.org/officeDocument/2006/relationships/hyperlink" Target="https://www.telegraph.co.uk/news/uknews/3832069/Rachel-Nickell-Mistakes-allowed-Robert-Napper-to-kill-Samantha-and-Jazmine-Bisset.html" TargetMode="External"/><Relationship Id="rId67" Type="http://schemas.openxmlformats.org/officeDocument/2006/relationships/hyperlink" Target="http://paperpile.com/b/YUyPgU/xIHD" TargetMode="External"/><Relationship Id="rId103" Type="http://schemas.openxmlformats.org/officeDocument/2006/relationships/hyperlink" Target="http://paperpile.com/b/YUyPgU/9zpL" TargetMode="External"/><Relationship Id="rId108" Type="http://schemas.openxmlformats.org/officeDocument/2006/relationships/hyperlink" Target="http://paperpile.com/b/YUyPgU/6Aj1" TargetMode="External"/><Relationship Id="rId20" Type="http://schemas.openxmlformats.org/officeDocument/2006/relationships/hyperlink" Target="https://paperpile.com/c/YUyPgU/Bd1u" TargetMode="External"/><Relationship Id="rId41" Type="http://schemas.openxmlformats.org/officeDocument/2006/relationships/hyperlink" Target="https://www.bbc.co.uk/bitesize/guides/z9f4srd/revision/2" TargetMode="External"/><Relationship Id="rId54" Type="http://schemas.openxmlformats.org/officeDocument/2006/relationships/hyperlink" Target="http://www.theguardian.com/law/2018/oct/11/failure-disclose-evidence-miscarriage-justice-warning-criminal-cases-review-commission" TargetMode="External"/><Relationship Id="rId62" Type="http://schemas.openxmlformats.org/officeDocument/2006/relationships/hyperlink" Target="http://paperpile.com/b/YUyPgU/JGmQ" TargetMode="External"/><Relationship Id="rId70" Type="http://schemas.openxmlformats.org/officeDocument/2006/relationships/hyperlink" Target="http://paperpile.com/b/YUyPgU/Bd1u" TargetMode="External"/><Relationship Id="rId75" Type="http://schemas.openxmlformats.org/officeDocument/2006/relationships/hyperlink" Target="http://paperpile.com/b/YUyPgU/xz40" TargetMode="External"/><Relationship Id="rId83" Type="http://schemas.openxmlformats.org/officeDocument/2006/relationships/hyperlink" Target="http://paperpile.com/b/YUyPgU/D3Ix" TargetMode="External"/><Relationship Id="rId88" Type="http://schemas.openxmlformats.org/officeDocument/2006/relationships/hyperlink" Target="http://paperpile.com/b/YUyPgU/TykN" TargetMode="External"/><Relationship Id="rId91" Type="http://schemas.openxmlformats.org/officeDocument/2006/relationships/hyperlink" Target="http://paperpile.com/b/YUyPgU/1SZ8" TargetMode="External"/><Relationship Id="rId96" Type="http://schemas.openxmlformats.org/officeDocument/2006/relationships/hyperlink" Target="http://paperpile.com/b/YUyPgU/IYty" TargetMode="External"/><Relationship Id="rId111" Type="http://schemas.openxmlformats.org/officeDocument/2006/relationships/header" Target="header2.xml"/><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hyperlink" Target="https://paperpile.com/c/YUyPgU/TykN" TargetMode="External"/><Relationship Id="rId23" Type="http://schemas.openxmlformats.org/officeDocument/2006/relationships/hyperlink" Target="https://paperpile.com/c/YUyPgU/xz40" TargetMode="External"/><Relationship Id="rId28" Type="http://schemas.openxmlformats.org/officeDocument/2006/relationships/hyperlink" Target="https://paperpile.com/c/YUyPgU/JGmQ" TargetMode="External"/><Relationship Id="rId36" Type="http://schemas.openxmlformats.org/officeDocument/2006/relationships/hyperlink" Target="http://paperpile.com/b/YUyPgU/IfqM" TargetMode="External"/><Relationship Id="rId49" Type="http://schemas.openxmlformats.org/officeDocument/2006/relationships/hyperlink" Target="http://paperpile.com/b/YUyPgU/AIJs" TargetMode="External"/><Relationship Id="rId57" Type="http://schemas.openxmlformats.org/officeDocument/2006/relationships/hyperlink" Target="http://paperpile.com/b/YUyPgU/1RJO" TargetMode="External"/><Relationship Id="rId106" Type="http://schemas.openxmlformats.org/officeDocument/2006/relationships/hyperlink" Target="http://paperpile.com/b/YUyPgU/6Aj1" TargetMode="External"/><Relationship Id="rId114" Type="http://schemas.openxmlformats.org/officeDocument/2006/relationships/theme" Target="theme/theme1.xml"/><Relationship Id="rId10" Type="http://schemas.openxmlformats.org/officeDocument/2006/relationships/hyperlink" Target="https://paperpile.com/c/YUyPgU/Xa2Y" TargetMode="External"/><Relationship Id="rId31" Type="http://schemas.openxmlformats.org/officeDocument/2006/relationships/hyperlink" Target="https://paperpile.com/c/YUyPgU/9zpL" TargetMode="External"/><Relationship Id="rId44" Type="http://schemas.openxmlformats.org/officeDocument/2006/relationships/hyperlink" Target="http://paperpile.com/b/YUyPgU/Wddg" TargetMode="External"/><Relationship Id="rId52" Type="http://schemas.openxmlformats.org/officeDocument/2006/relationships/hyperlink" Target="http://paperpile.com/b/YUyPgU/yD7R" TargetMode="External"/><Relationship Id="rId60" Type="http://schemas.openxmlformats.org/officeDocument/2006/relationships/hyperlink" Target="http://paperpile.com/b/YUyPgU/1RJO" TargetMode="External"/><Relationship Id="rId65" Type="http://schemas.openxmlformats.org/officeDocument/2006/relationships/hyperlink" Target="http://paperpile.com/b/YUyPgU/xIHD" TargetMode="External"/><Relationship Id="rId73" Type="http://schemas.openxmlformats.org/officeDocument/2006/relationships/hyperlink" Target="http://paperpile.com/b/YUyPgU/oPlP" TargetMode="External"/><Relationship Id="rId78" Type="http://schemas.openxmlformats.org/officeDocument/2006/relationships/hyperlink" Target="http://paperpile.com/b/YUyPgU/D3Ix" TargetMode="External"/><Relationship Id="rId81" Type="http://schemas.openxmlformats.org/officeDocument/2006/relationships/hyperlink" Target="http://paperpile.com/b/YUyPgU/D3Ix" TargetMode="External"/><Relationship Id="rId86" Type="http://schemas.openxmlformats.org/officeDocument/2006/relationships/hyperlink" Target="http://paperpile.com/b/YUyPgU/XzsS" TargetMode="External"/><Relationship Id="rId94" Type="http://schemas.openxmlformats.org/officeDocument/2006/relationships/hyperlink" Target="http://paperpile.com/b/YUyPgU/IYty" TargetMode="External"/><Relationship Id="rId99" Type="http://schemas.openxmlformats.org/officeDocument/2006/relationships/hyperlink" Target="http://paperpile.com/b/YUyPgU/r241" TargetMode="External"/><Relationship Id="rId101" Type="http://schemas.openxmlformats.org/officeDocument/2006/relationships/hyperlink" Target="http://paperpile.com/b/YUyPgU/9zpL" TargetMode="External"/><Relationship Id="rId4" Type="http://schemas.openxmlformats.org/officeDocument/2006/relationships/footnotes" Target="footnotes.xml"/><Relationship Id="rId9" Type="http://schemas.openxmlformats.org/officeDocument/2006/relationships/hyperlink" Target="https://paperpile.com/c/YUyPgU/Xa2Y" TargetMode="External"/><Relationship Id="rId13" Type="http://schemas.openxmlformats.org/officeDocument/2006/relationships/hyperlink" Target="https://paperpile.com/c/YUyPgU/oPlP" TargetMode="External"/><Relationship Id="rId18" Type="http://schemas.openxmlformats.org/officeDocument/2006/relationships/hyperlink" Target="https://paperpile.com/c/YUyPgU/yD7R" TargetMode="External"/><Relationship Id="rId39" Type="http://schemas.openxmlformats.org/officeDocument/2006/relationships/hyperlink" Target="http://paperpile.com/b/YUyPgU/Xa2Y" TargetMode="External"/><Relationship Id="rId109" Type="http://schemas.openxmlformats.org/officeDocument/2006/relationships/header" Target="header1.xml"/><Relationship Id="rId34" Type="http://schemas.openxmlformats.org/officeDocument/2006/relationships/hyperlink" Target="https://paperpile.com/c/YUyPgU/1RJO" TargetMode="External"/><Relationship Id="rId50" Type="http://schemas.openxmlformats.org/officeDocument/2006/relationships/hyperlink" Target="http://paperpile.com/b/YUyPgU/AIJs" TargetMode="External"/><Relationship Id="rId55" Type="http://schemas.openxmlformats.org/officeDocument/2006/relationships/hyperlink" Target="http://paperpile.com/b/YUyPgU/yD7R" TargetMode="External"/><Relationship Id="rId76" Type="http://schemas.openxmlformats.org/officeDocument/2006/relationships/hyperlink" Target="http://paperpile.com/b/YUyPgU/xz40" TargetMode="External"/><Relationship Id="rId97" Type="http://schemas.openxmlformats.org/officeDocument/2006/relationships/hyperlink" Target="http://paperpile.com/b/YUyPgU/r241" TargetMode="External"/><Relationship Id="rId104" Type="http://schemas.openxmlformats.org/officeDocument/2006/relationships/hyperlink" Target="https://www.crimeandinvestigation.co.uk/crime-files/rachel-nickell-case/timeline" TargetMode="External"/><Relationship Id="rId7" Type="http://schemas.openxmlformats.org/officeDocument/2006/relationships/image" Target="media/image2.jpg"/><Relationship Id="rId71" Type="http://schemas.openxmlformats.org/officeDocument/2006/relationships/hyperlink" Target="http://paperpile.com/b/YUyPgU/oPlP" TargetMode="External"/><Relationship Id="rId92" Type="http://schemas.openxmlformats.org/officeDocument/2006/relationships/hyperlink" Target="http://paperpile.com/b/YUyPgU/1SZ8"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3634</Words>
  <Characters>20715</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andrew hammond</cp:lastModifiedBy>
  <cp:revision>3</cp:revision>
  <dcterms:created xsi:type="dcterms:W3CDTF">2019-10-22T09:08:00Z</dcterms:created>
  <dcterms:modified xsi:type="dcterms:W3CDTF">2019-11-08T22:12:00Z</dcterms:modified>
</cp:coreProperties>
</file>