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77777777" w:rsidR="00322D18" w:rsidRDefault="00322D18"/>
    <w:p w14:paraId="11EC67B1" w14:textId="270EBD0C" w:rsidR="3AB1E8CF" w:rsidRDefault="3AB1E8CF"/>
    <w:p w14:paraId="3B647BD5" w14:textId="085135E9" w:rsidR="3AB1E8CF" w:rsidRDefault="3AB1E8CF"/>
    <w:p w14:paraId="21EF3C52" w14:textId="5317C272" w:rsidR="14F82646" w:rsidRDefault="14F82646" w:rsidP="3AB1E8CF">
      <w:pPr>
        <w:jc w:val="center"/>
        <w:rPr>
          <w:sz w:val="72"/>
          <w:szCs w:val="72"/>
        </w:rPr>
      </w:pPr>
      <w:r w:rsidRPr="3AB1E8CF">
        <w:rPr>
          <w:sz w:val="56"/>
          <w:szCs w:val="56"/>
        </w:rPr>
        <w:t>Parveen Akhtar</w:t>
      </w:r>
    </w:p>
    <w:p w14:paraId="6F9ABB89" w14:textId="0844D626" w:rsidR="14F82646" w:rsidRDefault="14F82646" w:rsidP="3AB1E8CF">
      <w:pPr>
        <w:jc w:val="center"/>
        <w:rPr>
          <w:sz w:val="56"/>
          <w:szCs w:val="56"/>
        </w:rPr>
      </w:pPr>
      <w:r w:rsidRPr="3AB1E8CF">
        <w:rPr>
          <w:sz w:val="56"/>
          <w:szCs w:val="56"/>
        </w:rPr>
        <w:t>Student ID: 2309185</w:t>
      </w:r>
    </w:p>
    <w:p w14:paraId="0446CF21" w14:textId="01E37846" w:rsidR="00846887" w:rsidRDefault="00846887" w:rsidP="3AB1E8CF">
      <w:pPr>
        <w:jc w:val="center"/>
        <w:rPr>
          <w:sz w:val="72"/>
          <w:szCs w:val="72"/>
        </w:rPr>
      </w:pPr>
      <w:r>
        <w:rPr>
          <w:sz w:val="56"/>
          <w:szCs w:val="56"/>
        </w:rPr>
        <w:t>Health, Wellbeing and Sustainable Development</w:t>
      </w:r>
    </w:p>
    <w:p w14:paraId="00199883" w14:textId="77777777" w:rsidR="00846887" w:rsidRDefault="14F82646" w:rsidP="3AB1E8CF">
      <w:pPr>
        <w:jc w:val="center"/>
        <w:rPr>
          <w:sz w:val="56"/>
          <w:szCs w:val="56"/>
        </w:rPr>
      </w:pPr>
      <w:r w:rsidRPr="3AB1E8CF">
        <w:rPr>
          <w:sz w:val="56"/>
          <w:szCs w:val="56"/>
        </w:rPr>
        <w:t xml:space="preserve">BMHP3060 </w:t>
      </w:r>
    </w:p>
    <w:p w14:paraId="09D0D27A" w14:textId="5FB3643E" w:rsidR="14F82646" w:rsidRDefault="14F82646" w:rsidP="3AB1E8CF">
      <w:pPr>
        <w:jc w:val="center"/>
        <w:rPr>
          <w:sz w:val="72"/>
          <w:szCs w:val="72"/>
        </w:rPr>
      </w:pPr>
      <w:r w:rsidRPr="3AB1E8CF">
        <w:rPr>
          <w:sz w:val="56"/>
          <w:szCs w:val="56"/>
        </w:rPr>
        <w:t>Assignment 2 Report</w:t>
      </w:r>
    </w:p>
    <w:p w14:paraId="642564F2" w14:textId="377E04BA" w:rsidR="14F82646" w:rsidRDefault="14F82646" w:rsidP="3AB1E8CF">
      <w:pPr>
        <w:jc w:val="center"/>
        <w:rPr>
          <w:sz w:val="72"/>
          <w:szCs w:val="72"/>
        </w:rPr>
      </w:pPr>
      <w:r w:rsidRPr="3AB1E8CF">
        <w:rPr>
          <w:sz w:val="56"/>
          <w:szCs w:val="56"/>
        </w:rPr>
        <w:t xml:space="preserve">Lecturer: </w:t>
      </w:r>
      <w:r w:rsidR="009F1343">
        <w:rPr>
          <w:sz w:val="56"/>
          <w:szCs w:val="56"/>
        </w:rPr>
        <w:t xml:space="preserve">Hamdi </w:t>
      </w:r>
      <w:r w:rsidR="00A91A38">
        <w:rPr>
          <w:sz w:val="56"/>
          <w:szCs w:val="56"/>
        </w:rPr>
        <w:t>Hussain</w:t>
      </w:r>
    </w:p>
    <w:p w14:paraId="7C1C53DF" w14:textId="0A4BA7CA" w:rsidR="3AB1E8CF" w:rsidRDefault="3AB1E8CF"/>
    <w:p w14:paraId="254A58AB" w14:textId="1927AC86" w:rsidR="3AB1E8CF" w:rsidRDefault="3AB1E8CF"/>
    <w:p w14:paraId="24D210ED" w14:textId="11427DE7" w:rsidR="3AB1E8CF" w:rsidRDefault="3AB1E8CF"/>
    <w:p w14:paraId="0078DAF4" w14:textId="2A36756B" w:rsidR="3AB1E8CF" w:rsidRDefault="3AB1E8CF"/>
    <w:p w14:paraId="7CA3FA44" w14:textId="59CC7E20" w:rsidR="3AB1E8CF" w:rsidRDefault="3AB1E8CF"/>
    <w:p w14:paraId="69AC0A5D" w14:textId="200CEC38" w:rsidR="3AB1E8CF" w:rsidRDefault="3AB1E8CF"/>
    <w:p w14:paraId="50E7B7CE" w14:textId="42EB49F8" w:rsidR="3AB1E8CF" w:rsidRDefault="3AB1E8CF"/>
    <w:p w14:paraId="56BDC5C2" w14:textId="4D30AB70" w:rsidR="3AB1E8CF" w:rsidRDefault="3AB1E8CF"/>
    <w:p w14:paraId="234C7E62" w14:textId="62E8B032" w:rsidR="3AB1E8CF" w:rsidRDefault="3AB1E8CF"/>
    <w:p w14:paraId="5996D688" w14:textId="17712935" w:rsidR="3AB1E8CF" w:rsidRDefault="3AB1E8CF"/>
    <w:p w14:paraId="3093AB91" w14:textId="007807DC" w:rsidR="3AB1E8CF" w:rsidRDefault="3AB1E8CF"/>
    <w:p w14:paraId="6B048DE0" w14:textId="2C64DD73" w:rsidR="3AB1E8CF" w:rsidRDefault="3AB1E8CF"/>
    <w:p w14:paraId="5A05FE42" w14:textId="7422E6EA" w:rsidR="3AB1E8CF" w:rsidRDefault="3AB1E8CF"/>
    <w:p w14:paraId="25F8A6FA" w14:textId="3355E68F" w:rsidR="3AB1E8CF" w:rsidRDefault="3AB1E8CF"/>
    <w:p w14:paraId="2464CBDE" w14:textId="75383C0D" w:rsidR="3AB1E8CF" w:rsidRDefault="3AB1E8CF"/>
    <w:p w14:paraId="512FA917" w14:textId="5D67FF0C" w:rsidR="3AB1E8CF" w:rsidRDefault="3AB1E8CF"/>
    <w:p w14:paraId="652AE895" w14:textId="074335F0" w:rsidR="3AB1E8CF" w:rsidRDefault="3AB1E8CF"/>
    <w:p w14:paraId="681E6D64" w14:textId="40D4AE47" w:rsidR="007C40ED" w:rsidRDefault="007C40ED">
      <w:pPr>
        <w:pStyle w:val="TOC1"/>
        <w:tabs>
          <w:tab w:val="right" w:pos="9016"/>
        </w:tabs>
        <w:rPr>
          <w:b w:val="0"/>
          <w:bCs w:val="0"/>
          <w:caps w:val="0"/>
          <w:noProof/>
          <w:kern w:val="2"/>
          <w:sz w:val="24"/>
          <w:szCs w:val="24"/>
          <w:u w:val="none"/>
          <w:lang w:eastAsia="en-GB"/>
          <w14:ligatures w14:val="standardContextual"/>
        </w:rPr>
      </w:pPr>
      <w:r>
        <w:rPr>
          <w:b w:val="0"/>
          <w:bCs w:val="0"/>
          <w:caps w:val="0"/>
        </w:rPr>
        <w:fldChar w:fldCharType="begin"/>
      </w:r>
      <w:r>
        <w:rPr>
          <w:b w:val="0"/>
          <w:bCs w:val="0"/>
          <w:caps w:val="0"/>
        </w:rPr>
        <w:instrText xml:space="preserve"> TOC \o \h \z \u </w:instrText>
      </w:r>
      <w:r>
        <w:rPr>
          <w:b w:val="0"/>
          <w:bCs w:val="0"/>
          <w:caps w:val="0"/>
        </w:rPr>
        <w:fldChar w:fldCharType="separate"/>
      </w:r>
      <w:hyperlink w:anchor="_Toc235226034" w:history="1">
        <w:r w:rsidRPr="00B86916">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_Toc235226034 \h </w:instrText>
        </w:r>
        <w:r>
          <w:rPr>
            <w:noProof/>
            <w:webHidden/>
          </w:rPr>
        </w:r>
        <w:r>
          <w:rPr>
            <w:noProof/>
            <w:webHidden/>
          </w:rPr>
          <w:fldChar w:fldCharType="separate"/>
        </w:r>
        <w:r>
          <w:rPr>
            <w:noProof/>
            <w:webHidden/>
          </w:rPr>
          <w:t>3</w:t>
        </w:r>
        <w:r>
          <w:rPr>
            <w:noProof/>
            <w:webHidden/>
          </w:rPr>
          <w:fldChar w:fldCharType="end"/>
        </w:r>
      </w:hyperlink>
    </w:p>
    <w:p w14:paraId="725790F5" w14:textId="152A9648" w:rsidR="007C40ED" w:rsidRDefault="007C40ED">
      <w:pPr>
        <w:pStyle w:val="TOC2"/>
        <w:tabs>
          <w:tab w:val="right" w:pos="9016"/>
        </w:tabs>
        <w:rPr>
          <w:b w:val="0"/>
          <w:bCs w:val="0"/>
          <w:smallCaps w:val="0"/>
          <w:noProof/>
          <w:kern w:val="2"/>
          <w:sz w:val="24"/>
          <w:szCs w:val="24"/>
          <w:lang w:eastAsia="en-GB"/>
          <w14:ligatures w14:val="standardContextual"/>
        </w:rPr>
      </w:pPr>
      <w:hyperlink w:anchor="_Toc235226035" w:history="1">
        <w:r w:rsidRPr="00B86916">
          <w:rPr>
            <w:rStyle w:val="Hyperlink"/>
            <w:rFonts w:ascii="Arial" w:hAnsi="Arial" w:cs="Arial"/>
            <w:noProof/>
          </w:rPr>
          <w:t>Overview of SDG 3:</w:t>
        </w:r>
        <w:r>
          <w:rPr>
            <w:noProof/>
            <w:webHidden/>
          </w:rPr>
          <w:tab/>
        </w:r>
        <w:r>
          <w:rPr>
            <w:noProof/>
            <w:webHidden/>
          </w:rPr>
          <w:fldChar w:fldCharType="begin"/>
        </w:r>
        <w:r>
          <w:rPr>
            <w:noProof/>
            <w:webHidden/>
          </w:rPr>
          <w:instrText xml:space="preserve"> PAGEREF _Toc235226035 \h </w:instrText>
        </w:r>
        <w:r>
          <w:rPr>
            <w:noProof/>
            <w:webHidden/>
          </w:rPr>
        </w:r>
        <w:r>
          <w:rPr>
            <w:noProof/>
            <w:webHidden/>
          </w:rPr>
          <w:fldChar w:fldCharType="separate"/>
        </w:r>
        <w:r>
          <w:rPr>
            <w:noProof/>
            <w:webHidden/>
          </w:rPr>
          <w:t>3</w:t>
        </w:r>
        <w:r>
          <w:rPr>
            <w:noProof/>
            <w:webHidden/>
          </w:rPr>
          <w:fldChar w:fldCharType="end"/>
        </w:r>
      </w:hyperlink>
    </w:p>
    <w:p w14:paraId="2460FBF8" w14:textId="575BCE09" w:rsidR="007C40ED" w:rsidRDefault="007C40ED">
      <w:pPr>
        <w:pStyle w:val="TOC3"/>
        <w:tabs>
          <w:tab w:val="right" w:pos="9016"/>
        </w:tabs>
        <w:rPr>
          <w:smallCaps w:val="0"/>
          <w:noProof/>
          <w:kern w:val="2"/>
          <w:sz w:val="24"/>
          <w:szCs w:val="24"/>
          <w:lang w:eastAsia="en-GB"/>
          <w14:ligatures w14:val="standardContextual"/>
        </w:rPr>
      </w:pPr>
      <w:hyperlink w:anchor="_Toc235226036" w:history="1">
        <w:r w:rsidRPr="00B86916">
          <w:rPr>
            <w:rStyle w:val="Hyperlink"/>
            <w:rFonts w:ascii="Arial" w:hAnsi="Arial" w:cs="Arial"/>
            <w:b/>
            <w:bCs/>
            <w:noProof/>
          </w:rPr>
          <w:t>Critical Evaluation of Global Policies and Initiatives:</w:t>
        </w:r>
        <w:r>
          <w:rPr>
            <w:noProof/>
            <w:webHidden/>
          </w:rPr>
          <w:tab/>
        </w:r>
        <w:r>
          <w:rPr>
            <w:noProof/>
            <w:webHidden/>
          </w:rPr>
          <w:fldChar w:fldCharType="begin"/>
        </w:r>
        <w:r>
          <w:rPr>
            <w:noProof/>
            <w:webHidden/>
          </w:rPr>
          <w:instrText xml:space="preserve"> PAGEREF _Toc235226036 \h </w:instrText>
        </w:r>
        <w:r>
          <w:rPr>
            <w:noProof/>
            <w:webHidden/>
          </w:rPr>
        </w:r>
        <w:r>
          <w:rPr>
            <w:noProof/>
            <w:webHidden/>
          </w:rPr>
          <w:fldChar w:fldCharType="separate"/>
        </w:r>
        <w:r>
          <w:rPr>
            <w:noProof/>
            <w:webHidden/>
          </w:rPr>
          <w:t>4</w:t>
        </w:r>
        <w:r>
          <w:rPr>
            <w:noProof/>
            <w:webHidden/>
          </w:rPr>
          <w:fldChar w:fldCharType="end"/>
        </w:r>
      </w:hyperlink>
    </w:p>
    <w:p w14:paraId="37AF2166" w14:textId="20C173BB" w:rsidR="007C40ED" w:rsidRDefault="007C40ED">
      <w:pPr>
        <w:pStyle w:val="TOC4"/>
        <w:tabs>
          <w:tab w:val="right" w:pos="9016"/>
        </w:tabs>
        <w:rPr>
          <w:noProof/>
          <w:kern w:val="2"/>
          <w:sz w:val="24"/>
          <w:szCs w:val="24"/>
          <w:lang w:eastAsia="en-GB"/>
          <w14:ligatures w14:val="standardContextual"/>
        </w:rPr>
      </w:pPr>
      <w:hyperlink w:anchor="_Toc235226037" w:history="1">
        <w:r w:rsidRPr="00B86916">
          <w:rPr>
            <w:rStyle w:val="Hyperlink"/>
            <w:rFonts w:ascii="Arial" w:hAnsi="Arial" w:cs="Arial"/>
            <w:b/>
            <w:bCs/>
            <w:noProof/>
          </w:rPr>
          <w:t>Critical Evaluation of National and Local Examples:</w:t>
        </w:r>
        <w:r>
          <w:rPr>
            <w:noProof/>
            <w:webHidden/>
          </w:rPr>
          <w:tab/>
        </w:r>
        <w:r>
          <w:rPr>
            <w:noProof/>
            <w:webHidden/>
          </w:rPr>
          <w:fldChar w:fldCharType="begin"/>
        </w:r>
        <w:r>
          <w:rPr>
            <w:noProof/>
            <w:webHidden/>
          </w:rPr>
          <w:instrText xml:space="preserve"> PAGEREF _Toc235226037 \h </w:instrText>
        </w:r>
        <w:r>
          <w:rPr>
            <w:noProof/>
            <w:webHidden/>
          </w:rPr>
        </w:r>
        <w:r>
          <w:rPr>
            <w:noProof/>
            <w:webHidden/>
          </w:rPr>
          <w:fldChar w:fldCharType="separate"/>
        </w:r>
        <w:r>
          <w:rPr>
            <w:noProof/>
            <w:webHidden/>
          </w:rPr>
          <w:t>4</w:t>
        </w:r>
        <w:r>
          <w:rPr>
            <w:noProof/>
            <w:webHidden/>
          </w:rPr>
          <w:fldChar w:fldCharType="end"/>
        </w:r>
      </w:hyperlink>
    </w:p>
    <w:p w14:paraId="54A12AC2" w14:textId="5B896A16" w:rsidR="007C40ED" w:rsidRDefault="007C40ED">
      <w:pPr>
        <w:pStyle w:val="TOC4"/>
        <w:tabs>
          <w:tab w:val="right" w:pos="9016"/>
        </w:tabs>
        <w:rPr>
          <w:noProof/>
          <w:kern w:val="2"/>
          <w:sz w:val="24"/>
          <w:szCs w:val="24"/>
          <w:lang w:eastAsia="en-GB"/>
          <w14:ligatures w14:val="standardContextual"/>
        </w:rPr>
      </w:pPr>
      <w:hyperlink w:anchor="_Toc235226038" w:history="1">
        <w:r w:rsidRPr="00B86916">
          <w:rPr>
            <w:rStyle w:val="Hyperlink"/>
            <w:rFonts w:ascii="Arial" w:hAnsi="Arial" w:cs="Arial"/>
            <w:b/>
            <w:bCs/>
            <w:noProof/>
          </w:rPr>
          <w:t>Application of Health Theories and Models:</w:t>
        </w:r>
        <w:r>
          <w:rPr>
            <w:noProof/>
            <w:webHidden/>
          </w:rPr>
          <w:tab/>
        </w:r>
        <w:r>
          <w:rPr>
            <w:noProof/>
            <w:webHidden/>
          </w:rPr>
          <w:fldChar w:fldCharType="begin"/>
        </w:r>
        <w:r>
          <w:rPr>
            <w:noProof/>
            <w:webHidden/>
          </w:rPr>
          <w:instrText xml:space="preserve"> PAGEREF _Toc235226038 \h </w:instrText>
        </w:r>
        <w:r>
          <w:rPr>
            <w:noProof/>
            <w:webHidden/>
          </w:rPr>
        </w:r>
        <w:r>
          <w:rPr>
            <w:noProof/>
            <w:webHidden/>
          </w:rPr>
          <w:fldChar w:fldCharType="separate"/>
        </w:r>
        <w:r>
          <w:rPr>
            <w:noProof/>
            <w:webHidden/>
          </w:rPr>
          <w:t>5</w:t>
        </w:r>
        <w:r>
          <w:rPr>
            <w:noProof/>
            <w:webHidden/>
          </w:rPr>
          <w:fldChar w:fldCharType="end"/>
        </w:r>
      </w:hyperlink>
    </w:p>
    <w:p w14:paraId="45F2331C" w14:textId="09D14BE8" w:rsidR="007C40ED" w:rsidRDefault="007C40ED">
      <w:pPr>
        <w:pStyle w:val="TOC5"/>
        <w:tabs>
          <w:tab w:val="right" w:pos="9016"/>
        </w:tabs>
        <w:rPr>
          <w:noProof/>
          <w:kern w:val="2"/>
          <w:sz w:val="24"/>
          <w:szCs w:val="24"/>
          <w:lang w:eastAsia="en-GB"/>
          <w14:ligatures w14:val="standardContextual"/>
        </w:rPr>
      </w:pPr>
      <w:hyperlink w:anchor="_Toc235226039" w:history="1">
        <w:r w:rsidRPr="00B86916">
          <w:rPr>
            <w:rStyle w:val="Hyperlink"/>
            <w:rFonts w:ascii="Arial" w:hAnsi="Arial" w:cs="Arial"/>
            <w:b/>
            <w:bCs/>
            <w:noProof/>
          </w:rPr>
          <w:t>Evidence-Informed Recommendations:</w:t>
        </w:r>
        <w:r>
          <w:rPr>
            <w:noProof/>
            <w:webHidden/>
          </w:rPr>
          <w:tab/>
        </w:r>
        <w:r>
          <w:rPr>
            <w:noProof/>
            <w:webHidden/>
          </w:rPr>
          <w:fldChar w:fldCharType="begin"/>
        </w:r>
        <w:r>
          <w:rPr>
            <w:noProof/>
            <w:webHidden/>
          </w:rPr>
          <w:instrText xml:space="preserve"> PAGEREF _Toc235226039 \h </w:instrText>
        </w:r>
        <w:r>
          <w:rPr>
            <w:noProof/>
            <w:webHidden/>
          </w:rPr>
        </w:r>
        <w:r>
          <w:rPr>
            <w:noProof/>
            <w:webHidden/>
          </w:rPr>
          <w:fldChar w:fldCharType="separate"/>
        </w:r>
        <w:r>
          <w:rPr>
            <w:noProof/>
            <w:webHidden/>
          </w:rPr>
          <w:t>6</w:t>
        </w:r>
        <w:r>
          <w:rPr>
            <w:noProof/>
            <w:webHidden/>
          </w:rPr>
          <w:fldChar w:fldCharType="end"/>
        </w:r>
      </w:hyperlink>
    </w:p>
    <w:p w14:paraId="779FA2D1" w14:textId="32782F0F" w:rsidR="007C40ED" w:rsidRDefault="007C40ED">
      <w:pPr>
        <w:pStyle w:val="TOC6"/>
        <w:tabs>
          <w:tab w:val="right" w:pos="9016"/>
        </w:tabs>
        <w:rPr>
          <w:noProof/>
          <w:kern w:val="2"/>
          <w:sz w:val="24"/>
          <w:szCs w:val="24"/>
          <w:lang w:eastAsia="en-GB"/>
          <w14:ligatures w14:val="standardContextual"/>
        </w:rPr>
      </w:pPr>
      <w:hyperlink w:anchor="_Toc235226040" w:history="1">
        <w:r w:rsidRPr="00B86916">
          <w:rPr>
            <w:rStyle w:val="Hyperlink"/>
            <w:rFonts w:ascii="Arial" w:hAnsi="Arial" w:cs="Arial"/>
            <w:b/>
            <w:bCs/>
            <w:noProof/>
          </w:rPr>
          <w:t>Section 2: Sustainable Development Goal (SDG) 13 (Climate Action)</w:t>
        </w:r>
        <w:r>
          <w:rPr>
            <w:noProof/>
            <w:webHidden/>
          </w:rPr>
          <w:tab/>
        </w:r>
        <w:r>
          <w:rPr>
            <w:noProof/>
            <w:webHidden/>
          </w:rPr>
          <w:fldChar w:fldCharType="begin"/>
        </w:r>
        <w:r>
          <w:rPr>
            <w:noProof/>
            <w:webHidden/>
          </w:rPr>
          <w:instrText xml:space="preserve"> PAGEREF _Toc235226040 \h </w:instrText>
        </w:r>
        <w:r>
          <w:rPr>
            <w:noProof/>
            <w:webHidden/>
          </w:rPr>
        </w:r>
        <w:r>
          <w:rPr>
            <w:noProof/>
            <w:webHidden/>
          </w:rPr>
          <w:fldChar w:fldCharType="separate"/>
        </w:r>
        <w:r>
          <w:rPr>
            <w:noProof/>
            <w:webHidden/>
          </w:rPr>
          <w:t>6</w:t>
        </w:r>
        <w:r>
          <w:rPr>
            <w:noProof/>
            <w:webHidden/>
          </w:rPr>
          <w:fldChar w:fldCharType="end"/>
        </w:r>
      </w:hyperlink>
    </w:p>
    <w:p w14:paraId="42363079" w14:textId="69D3A138" w:rsidR="007C40ED" w:rsidRDefault="007C40ED">
      <w:pPr>
        <w:pStyle w:val="TOC6"/>
        <w:tabs>
          <w:tab w:val="right" w:pos="9016"/>
        </w:tabs>
        <w:rPr>
          <w:noProof/>
          <w:kern w:val="2"/>
          <w:sz w:val="24"/>
          <w:szCs w:val="24"/>
          <w:lang w:eastAsia="en-GB"/>
          <w14:ligatures w14:val="standardContextual"/>
        </w:rPr>
      </w:pPr>
      <w:hyperlink w:anchor="_Toc235226041" w:history="1">
        <w:r w:rsidRPr="00B86916">
          <w:rPr>
            <w:rStyle w:val="Hyperlink"/>
            <w:rFonts w:ascii="Arial" w:hAnsi="Arial" w:cs="Arial"/>
            <w:b/>
            <w:bCs/>
            <w:noProof/>
          </w:rPr>
          <w:t>Overview of SDG 13:</w:t>
        </w:r>
        <w:r>
          <w:rPr>
            <w:noProof/>
            <w:webHidden/>
          </w:rPr>
          <w:tab/>
        </w:r>
        <w:r>
          <w:rPr>
            <w:noProof/>
            <w:webHidden/>
          </w:rPr>
          <w:fldChar w:fldCharType="begin"/>
        </w:r>
        <w:r>
          <w:rPr>
            <w:noProof/>
            <w:webHidden/>
          </w:rPr>
          <w:instrText xml:space="preserve"> PAGEREF _Toc235226041 \h </w:instrText>
        </w:r>
        <w:r>
          <w:rPr>
            <w:noProof/>
            <w:webHidden/>
          </w:rPr>
        </w:r>
        <w:r>
          <w:rPr>
            <w:noProof/>
            <w:webHidden/>
          </w:rPr>
          <w:fldChar w:fldCharType="separate"/>
        </w:r>
        <w:r>
          <w:rPr>
            <w:noProof/>
            <w:webHidden/>
          </w:rPr>
          <w:t>6</w:t>
        </w:r>
        <w:r>
          <w:rPr>
            <w:noProof/>
            <w:webHidden/>
          </w:rPr>
          <w:fldChar w:fldCharType="end"/>
        </w:r>
      </w:hyperlink>
    </w:p>
    <w:p w14:paraId="33EE783C" w14:textId="4D640811" w:rsidR="007C40ED" w:rsidRDefault="007C40ED">
      <w:pPr>
        <w:pStyle w:val="TOC7"/>
        <w:tabs>
          <w:tab w:val="right" w:pos="9016"/>
        </w:tabs>
        <w:rPr>
          <w:noProof/>
          <w:kern w:val="2"/>
          <w:sz w:val="24"/>
          <w:szCs w:val="24"/>
          <w:lang w:eastAsia="en-GB"/>
          <w14:ligatures w14:val="standardContextual"/>
        </w:rPr>
      </w:pPr>
      <w:hyperlink w:anchor="_Toc235226042" w:history="1">
        <w:r w:rsidRPr="00B86916">
          <w:rPr>
            <w:rStyle w:val="Hyperlink"/>
            <w:rFonts w:ascii="Arial" w:hAnsi="Arial" w:cs="Arial"/>
            <w:b/>
            <w:bCs/>
            <w:noProof/>
          </w:rPr>
          <w:t>Critical Evaluation of Global Policies and Initiatives:</w:t>
        </w:r>
        <w:r>
          <w:rPr>
            <w:noProof/>
            <w:webHidden/>
          </w:rPr>
          <w:tab/>
        </w:r>
        <w:r>
          <w:rPr>
            <w:noProof/>
            <w:webHidden/>
          </w:rPr>
          <w:fldChar w:fldCharType="begin"/>
        </w:r>
        <w:r>
          <w:rPr>
            <w:noProof/>
            <w:webHidden/>
          </w:rPr>
          <w:instrText xml:space="preserve"> PAGEREF _Toc235226042 \h </w:instrText>
        </w:r>
        <w:r>
          <w:rPr>
            <w:noProof/>
            <w:webHidden/>
          </w:rPr>
        </w:r>
        <w:r>
          <w:rPr>
            <w:noProof/>
            <w:webHidden/>
          </w:rPr>
          <w:fldChar w:fldCharType="separate"/>
        </w:r>
        <w:r>
          <w:rPr>
            <w:noProof/>
            <w:webHidden/>
          </w:rPr>
          <w:t>6</w:t>
        </w:r>
        <w:r>
          <w:rPr>
            <w:noProof/>
            <w:webHidden/>
          </w:rPr>
          <w:fldChar w:fldCharType="end"/>
        </w:r>
      </w:hyperlink>
    </w:p>
    <w:p w14:paraId="5E876D50" w14:textId="10D8D5D0" w:rsidR="007C40ED" w:rsidRDefault="007C40ED">
      <w:pPr>
        <w:pStyle w:val="TOC8"/>
        <w:tabs>
          <w:tab w:val="right" w:pos="9016"/>
        </w:tabs>
        <w:rPr>
          <w:noProof/>
          <w:kern w:val="2"/>
          <w:sz w:val="24"/>
          <w:szCs w:val="24"/>
          <w:lang w:eastAsia="en-GB"/>
          <w14:ligatures w14:val="standardContextual"/>
        </w:rPr>
      </w:pPr>
      <w:hyperlink w:anchor="_Toc235226043" w:history="1">
        <w:r w:rsidRPr="00B86916">
          <w:rPr>
            <w:rStyle w:val="Hyperlink"/>
            <w:rFonts w:ascii="Arial" w:hAnsi="Arial" w:cs="Arial"/>
            <w:b/>
            <w:bCs/>
            <w:noProof/>
          </w:rPr>
          <w:t>Critical Evaluation of National and Local Examples:</w:t>
        </w:r>
        <w:r>
          <w:rPr>
            <w:noProof/>
            <w:webHidden/>
          </w:rPr>
          <w:tab/>
        </w:r>
        <w:r>
          <w:rPr>
            <w:noProof/>
            <w:webHidden/>
          </w:rPr>
          <w:fldChar w:fldCharType="begin"/>
        </w:r>
        <w:r>
          <w:rPr>
            <w:noProof/>
            <w:webHidden/>
          </w:rPr>
          <w:instrText xml:space="preserve"> PAGEREF _Toc235226043 \h </w:instrText>
        </w:r>
        <w:r>
          <w:rPr>
            <w:noProof/>
            <w:webHidden/>
          </w:rPr>
        </w:r>
        <w:r>
          <w:rPr>
            <w:noProof/>
            <w:webHidden/>
          </w:rPr>
          <w:fldChar w:fldCharType="separate"/>
        </w:r>
        <w:r>
          <w:rPr>
            <w:noProof/>
            <w:webHidden/>
          </w:rPr>
          <w:t>7</w:t>
        </w:r>
        <w:r>
          <w:rPr>
            <w:noProof/>
            <w:webHidden/>
          </w:rPr>
          <w:fldChar w:fldCharType="end"/>
        </w:r>
      </w:hyperlink>
    </w:p>
    <w:p w14:paraId="0C7975E6" w14:textId="145944AB" w:rsidR="007C40ED" w:rsidRDefault="007C40ED">
      <w:pPr>
        <w:pStyle w:val="TOC9"/>
        <w:tabs>
          <w:tab w:val="right" w:pos="9016"/>
        </w:tabs>
        <w:rPr>
          <w:noProof/>
          <w:kern w:val="2"/>
          <w:sz w:val="24"/>
          <w:szCs w:val="24"/>
          <w:lang w:eastAsia="en-GB"/>
          <w14:ligatures w14:val="standardContextual"/>
        </w:rPr>
      </w:pPr>
      <w:hyperlink w:anchor="_Toc235226044" w:history="1">
        <w:r w:rsidRPr="00B86916">
          <w:rPr>
            <w:rStyle w:val="Hyperlink"/>
            <w:rFonts w:ascii="Arial" w:hAnsi="Arial" w:cs="Arial"/>
            <w:b/>
            <w:bCs/>
            <w:noProof/>
          </w:rPr>
          <w:t>Application of Theories and Models:</w:t>
        </w:r>
        <w:r>
          <w:rPr>
            <w:noProof/>
            <w:webHidden/>
          </w:rPr>
          <w:tab/>
        </w:r>
        <w:r>
          <w:rPr>
            <w:noProof/>
            <w:webHidden/>
          </w:rPr>
          <w:fldChar w:fldCharType="begin"/>
        </w:r>
        <w:r>
          <w:rPr>
            <w:noProof/>
            <w:webHidden/>
          </w:rPr>
          <w:instrText xml:space="preserve"> PAGEREF _Toc235226044 \h </w:instrText>
        </w:r>
        <w:r>
          <w:rPr>
            <w:noProof/>
            <w:webHidden/>
          </w:rPr>
        </w:r>
        <w:r>
          <w:rPr>
            <w:noProof/>
            <w:webHidden/>
          </w:rPr>
          <w:fldChar w:fldCharType="separate"/>
        </w:r>
        <w:r>
          <w:rPr>
            <w:noProof/>
            <w:webHidden/>
          </w:rPr>
          <w:t>8</w:t>
        </w:r>
        <w:r>
          <w:rPr>
            <w:noProof/>
            <w:webHidden/>
          </w:rPr>
          <w:fldChar w:fldCharType="end"/>
        </w:r>
      </w:hyperlink>
    </w:p>
    <w:p w14:paraId="2AACB83F" w14:textId="5F8DA1A7" w:rsidR="007C40ED" w:rsidRDefault="007C40ED">
      <w:pPr>
        <w:pStyle w:val="TOC9"/>
        <w:tabs>
          <w:tab w:val="right" w:pos="9016"/>
        </w:tabs>
        <w:rPr>
          <w:noProof/>
          <w:kern w:val="2"/>
          <w:sz w:val="24"/>
          <w:szCs w:val="24"/>
          <w:lang w:eastAsia="en-GB"/>
          <w14:ligatures w14:val="standardContextual"/>
        </w:rPr>
      </w:pPr>
      <w:hyperlink w:anchor="_Toc235226045" w:history="1">
        <w:r w:rsidRPr="00B86916">
          <w:rPr>
            <w:rStyle w:val="Hyperlink"/>
            <w:rFonts w:ascii="Arial" w:hAnsi="Arial" w:cs="Arial"/>
            <w:b/>
            <w:bCs/>
            <w:noProof/>
          </w:rPr>
          <w:t>Evidence-Informed Recommendations:</w:t>
        </w:r>
        <w:r>
          <w:rPr>
            <w:noProof/>
            <w:webHidden/>
          </w:rPr>
          <w:tab/>
        </w:r>
        <w:r>
          <w:rPr>
            <w:noProof/>
            <w:webHidden/>
          </w:rPr>
          <w:fldChar w:fldCharType="begin"/>
        </w:r>
        <w:r>
          <w:rPr>
            <w:noProof/>
            <w:webHidden/>
          </w:rPr>
          <w:instrText xml:space="preserve"> PAGEREF _Toc235226045 \h </w:instrText>
        </w:r>
        <w:r>
          <w:rPr>
            <w:noProof/>
            <w:webHidden/>
          </w:rPr>
        </w:r>
        <w:r>
          <w:rPr>
            <w:noProof/>
            <w:webHidden/>
          </w:rPr>
          <w:fldChar w:fldCharType="separate"/>
        </w:r>
        <w:r>
          <w:rPr>
            <w:noProof/>
            <w:webHidden/>
          </w:rPr>
          <w:t>8</w:t>
        </w:r>
        <w:r>
          <w:rPr>
            <w:noProof/>
            <w:webHidden/>
          </w:rPr>
          <w:fldChar w:fldCharType="end"/>
        </w:r>
      </w:hyperlink>
    </w:p>
    <w:p w14:paraId="3F250B80" w14:textId="6A07101D" w:rsidR="007C40ED" w:rsidRDefault="007C40ED">
      <w:pPr>
        <w:pStyle w:val="TOC9"/>
        <w:tabs>
          <w:tab w:val="right" w:pos="9016"/>
        </w:tabs>
        <w:rPr>
          <w:noProof/>
          <w:kern w:val="2"/>
          <w:sz w:val="24"/>
          <w:szCs w:val="24"/>
          <w:lang w:eastAsia="en-GB"/>
          <w14:ligatures w14:val="standardContextual"/>
        </w:rPr>
      </w:pPr>
      <w:hyperlink w:anchor="_Toc235226046" w:history="1">
        <w:r w:rsidRPr="00B86916">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_Toc235226046 \h </w:instrText>
        </w:r>
        <w:r>
          <w:rPr>
            <w:noProof/>
            <w:webHidden/>
          </w:rPr>
        </w:r>
        <w:r>
          <w:rPr>
            <w:noProof/>
            <w:webHidden/>
          </w:rPr>
          <w:fldChar w:fldCharType="separate"/>
        </w:r>
        <w:r>
          <w:rPr>
            <w:noProof/>
            <w:webHidden/>
          </w:rPr>
          <w:t>9</w:t>
        </w:r>
        <w:r>
          <w:rPr>
            <w:noProof/>
            <w:webHidden/>
          </w:rPr>
          <w:fldChar w:fldCharType="end"/>
        </w:r>
      </w:hyperlink>
    </w:p>
    <w:p w14:paraId="0B36F356" w14:textId="51836BFC" w:rsidR="007C40ED" w:rsidRDefault="007C40ED">
      <w:pPr>
        <w:pStyle w:val="TOC9"/>
        <w:tabs>
          <w:tab w:val="right" w:pos="9016"/>
        </w:tabs>
        <w:rPr>
          <w:noProof/>
          <w:kern w:val="2"/>
          <w:sz w:val="24"/>
          <w:szCs w:val="24"/>
          <w:lang w:eastAsia="en-GB"/>
          <w14:ligatures w14:val="standardContextual"/>
        </w:rPr>
      </w:pPr>
      <w:hyperlink w:anchor="_Toc235226047" w:history="1">
        <w:r w:rsidRPr="00B86916">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_Toc235226047 \h </w:instrText>
        </w:r>
        <w:r>
          <w:rPr>
            <w:noProof/>
            <w:webHidden/>
          </w:rPr>
        </w:r>
        <w:r>
          <w:rPr>
            <w:noProof/>
            <w:webHidden/>
          </w:rPr>
          <w:fldChar w:fldCharType="separate"/>
        </w:r>
        <w:r>
          <w:rPr>
            <w:noProof/>
            <w:webHidden/>
          </w:rPr>
          <w:t>10</w:t>
        </w:r>
        <w:r>
          <w:rPr>
            <w:noProof/>
            <w:webHidden/>
          </w:rPr>
          <w:fldChar w:fldCharType="end"/>
        </w:r>
      </w:hyperlink>
    </w:p>
    <w:p w14:paraId="0915E9AB" w14:textId="5621E8CE" w:rsidR="3AB1E8CF" w:rsidRDefault="007C40ED" w:rsidP="007C40ED">
      <w:r>
        <w:rPr>
          <w:b/>
          <w:bCs/>
          <w:caps/>
          <w:sz w:val="22"/>
          <w:szCs w:val="22"/>
          <w:u w:val="single"/>
        </w:rPr>
        <w:fldChar w:fldCharType="end"/>
      </w:r>
    </w:p>
    <w:p w14:paraId="3C3A2B1C" w14:textId="19D98E35" w:rsidR="3AB1E8CF" w:rsidRDefault="3AB1E8CF"/>
    <w:p w14:paraId="59F820B6" w14:textId="7F41DC71" w:rsidR="3AB1E8CF" w:rsidRDefault="3AB1E8CF"/>
    <w:p w14:paraId="6EC43FA1" w14:textId="4FEDED2F" w:rsidR="3AB1E8CF" w:rsidRDefault="3AB1E8CF"/>
    <w:p w14:paraId="2EDB55B1" w14:textId="390C36C7" w:rsidR="3AB1E8CF" w:rsidRDefault="3AB1E8CF"/>
    <w:p w14:paraId="53B98C87" w14:textId="0FC77EE5" w:rsidR="3AB1E8CF" w:rsidRDefault="3AB1E8CF" w:rsidP="3AB1E8CF"/>
    <w:p w14:paraId="1866DC78" w14:textId="0AFBB14F" w:rsidR="3AB1E8CF" w:rsidRDefault="3AB1E8CF" w:rsidP="3AB1E8CF"/>
    <w:p w14:paraId="728D73C5" w14:textId="2D6AB851" w:rsidR="3AB1E8CF" w:rsidRDefault="3AB1E8CF"/>
    <w:p w14:paraId="23D2C58D" w14:textId="0959E6DF" w:rsidR="3AB1E8CF" w:rsidRDefault="3AB1E8CF"/>
    <w:p w14:paraId="76D644E9" w14:textId="77777777" w:rsidR="00CA15FC" w:rsidRDefault="00CA15FC" w:rsidP="3AB1E8CF"/>
    <w:p w14:paraId="19DF35ED" w14:textId="77777777" w:rsidR="00CA15FC" w:rsidRDefault="00CA15FC" w:rsidP="3AB1E8CF"/>
    <w:p w14:paraId="5CC0DFFF" w14:textId="0372BE46" w:rsidR="3AB1E8CF" w:rsidRDefault="3AB1E8CF" w:rsidP="3AB1E8CF"/>
    <w:p w14:paraId="7280AAC0" w14:textId="5ADAF1B3" w:rsidR="5EE4E634" w:rsidRPr="00CA15FC" w:rsidRDefault="5EE4E634" w:rsidP="3AB1E8CF">
      <w:pPr>
        <w:jc w:val="center"/>
        <w:rPr>
          <w:rFonts w:ascii="Arial" w:eastAsia="Arial" w:hAnsi="Arial" w:cs="Arial"/>
          <w:u w:val="single"/>
        </w:rPr>
      </w:pPr>
      <w:r w:rsidRPr="00CA15FC">
        <w:rPr>
          <w:rFonts w:ascii="Arial" w:eastAsia="Arial" w:hAnsi="Arial" w:cs="Arial"/>
          <w:u w:val="single"/>
        </w:rPr>
        <w:t>Achieving Sustainable Health: Evaluating the effectiveness of SDG 3 and SDG 13 Initiatives</w:t>
      </w:r>
    </w:p>
    <w:p w14:paraId="4D9A956A" w14:textId="10266D84" w:rsidR="3AB1E8CF" w:rsidRDefault="3AB1E8CF" w:rsidP="3AB1E8CF">
      <w:pPr>
        <w:rPr>
          <w:rFonts w:ascii="Arial" w:eastAsia="Arial" w:hAnsi="Arial" w:cs="Arial"/>
          <w:sz w:val="22"/>
          <w:szCs w:val="22"/>
        </w:rPr>
      </w:pPr>
    </w:p>
    <w:p w14:paraId="2EA9C4D7" w14:textId="26F17DD8" w:rsidR="3AB1E8CF" w:rsidRDefault="3AB1E8CF" w:rsidP="3AB1E8CF">
      <w:pPr>
        <w:rPr>
          <w:rFonts w:ascii="Arial" w:eastAsia="Arial" w:hAnsi="Arial" w:cs="Arial"/>
          <w:sz w:val="22"/>
          <w:szCs w:val="22"/>
        </w:rPr>
      </w:pPr>
    </w:p>
    <w:p w14:paraId="01839C11" w14:textId="0C023B61" w:rsidR="0599B027" w:rsidRPr="00F91151" w:rsidRDefault="0599B027" w:rsidP="3AB1E8CF">
      <w:pPr>
        <w:pStyle w:val="Heading1"/>
        <w:rPr>
          <w:rFonts w:ascii="Arial" w:eastAsia="Arial" w:hAnsi="Arial" w:cs="Arial"/>
          <w:b/>
          <w:bCs/>
          <w:color w:val="000000" w:themeColor="text1"/>
          <w:sz w:val="22"/>
          <w:szCs w:val="22"/>
        </w:rPr>
      </w:pPr>
      <w:bookmarkStart w:id="0" w:name="_Toc235226034"/>
      <w:r w:rsidRPr="00F91151">
        <w:rPr>
          <w:rFonts w:ascii="Arial" w:hAnsi="Arial" w:cs="Arial"/>
          <w:b/>
          <w:bCs/>
          <w:color w:val="000000" w:themeColor="text1"/>
          <w:sz w:val="22"/>
          <w:szCs w:val="22"/>
        </w:rPr>
        <w:t>Introduction</w:t>
      </w:r>
      <w:r w:rsidR="7DEF3661" w:rsidRPr="00F91151">
        <w:rPr>
          <w:rFonts w:ascii="Arial" w:hAnsi="Arial" w:cs="Arial"/>
          <w:b/>
          <w:bCs/>
          <w:color w:val="000000" w:themeColor="text1"/>
          <w:sz w:val="22"/>
          <w:szCs w:val="22"/>
        </w:rPr>
        <w:t>:</w:t>
      </w:r>
      <w:bookmarkEnd w:id="0"/>
    </w:p>
    <w:p w14:paraId="600D1604" w14:textId="6420F21B" w:rsidR="3AB1E8CF" w:rsidRDefault="3AB1E8CF" w:rsidP="3AB1E8CF">
      <w:pPr>
        <w:spacing w:line="360" w:lineRule="auto"/>
        <w:rPr>
          <w:rFonts w:ascii="Arial" w:eastAsia="Arial" w:hAnsi="Arial" w:cs="Arial"/>
          <w:sz w:val="22"/>
          <w:szCs w:val="22"/>
        </w:rPr>
      </w:pPr>
    </w:p>
    <w:p w14:paraId="300B74E1" w14:textId="2A30176E" w:rsidR="7DEF3661" w:rsidRDefault="7DEF3661" w:rsidP="3AB1E8CF">
      <w:pPr>
        <w:spacing w:line="360" w:lineRule="auto"/>
        <w:rPr>
          <w:rFonts w:ascii="Arial" w:eastAsia="Arial" w:hAnsi="Arial" w:cs="Arial"/>
          <w:sz w:val="22"/>
          <w:szCs w:val="22"/>
        </w:rPr>
      </w:pPr>
      <w:r w:rsidRPr="3AB1E8CF">
        <w:rPr>
          <w:rFonts w:ascii="Arial" w:eastAsia="Arial" w:hAnsi="Arial" w:cs="Arial"/>
          <w:sz w:val="22"/>
          <w:szCs w:val="22"/>
        </w:rPr>
        <w:t xml:space="preserve">Health, </w:t>
      </w:r>
      <w:r w:rsidR="00F91151" w:rsidRPr="3AB1E8CF">
        <w:rPr>
          <w:rFonts w:ascii="Arial" w:eastAsia="Arial" w:hAnsi="Arial" w:cs="Arial"/>
          <w:sz w:val="22"/>
          <w:szCs w:val="22"/>
        </w:rPr>
        <w:t>wellbeing,</w:t>
      </w:r>
      <w:r w:rsidRPr="3AB1E8CF">
        <w:rPr>
          <w:rFonts w:ascii="Arial" w:eastAsia="Arial" w:hAnsi="Arial" w:cs="Arial"/>
          <w:sz w:val="22"/>
          <w:szCs w:val="22"/>
        </w:rPr>
        <w:t xml:space="preserve"> and sustainable development are closely interconnected and play a significant role in enhancing quality of life for individuals and communities around the world. The United Nations’ Sustainable</w:t>
      </w:r>
      <w:r w:rsidR="410091A2" w:rsidRPr="3AB1E8CF">
        <w:rPr>
          <w:rFonts w:ascii="Arial" w:eastAsia="Arial" w:hAnsi="Arial" w:cs="Arial"/>
          <w:sz w:val="22"/>
          <w:szCs w:val="22"/>
        </w:rPr>
        <w:t xml:space="preserve"> Development Goals (SDGs), which was introduced in 2015 as part of the 2030 Agenda for Sustainable Development, offers a global framework</w:t>
      </w:r>
      <w:r w:rsidR="693FB478" w:rsidRPr="3AB1E8CF">
        <w:rPr>
          <w:rFonts w:ascii="Arial" w:eastAsia="Arial" w:hAnsi="Arial" w:cs="Arial"/>
          <w:sz w:val="22"/>
          <w:szCs w:val="22"/>
        </w:rPr>
        <w:t xml:space="preserve"> for addressing social, </w:t>
      </w:r>
      <w:r w:rsidR="00F91151" w:rsidRPr="3AB1E8CF">
        <w:rPr>
          <w:rFonts w:ascii="Arial" w:eastAsia="Arial" w:hAnsi="Arial" w:cs="Arial"/>
          <w:sz w:val="22"/>
          <w:szCs w:val="22"/>
        </w:rPr>
        <w:t>economic,</w:t>
      </w:r>
      <w:r w:rsidR="693FB478" w:rsidRPr="3AB1E8CF">
        <w:rPr>
          <w:rFonts w:ascii="Arial" w:eastAsia="Arial" w:hAnsi="Arial" w:cs="Arial"/>
          <w:sz w:val="22"/>
          <w:szCs w:val="22"/>
        </w:rPr>
        <w:t xml:space="preserve"> and environmental challenges through </w:t>
      </w:r>
      <w:r w:rsidR="4F284828" w:rsidRPr="3AB1E8CF">
        <w:rPr>
          <w:rFonts w:ascii="Arial" w:eastAsia="Arial" w:hAnsi="Arial" w:cs="Arial"/>
          <w:sz w:val="22"/>
          <w:szCs w:val="22"/>
        </w:rPr>
        <w:t>collaborative</w:t>
      </w:r>
      <w:r w:rsidR="693FB478" w:rsidRPr="3AB1E8CF">
        <w:rPr>
          <w:rFonts w:ascii="Arial" w:eastAsia="Arial" w:hAnsi="Arial" w:cs="Arial"/>
          <w:sz w:val="22"/>
          <w:szCs w:val="22"/>
        </w:rPr>
        <w:t xml:space="preserve"> actions (United</w:t>
      </w:r>
      <w:r w:rsidR="03E93E3C" w:rsidRPr="3AB1E8CF">
        <w:rPr>
          <w:rFonts w:ascii="Arial" w:eastAsia="Arial" w:hAnsi="Arial" w:cs="Arial"/>
          <w:sz w:val="22"/>
          <w:szCs w:val="22"/>
        </w:rPr>
        <w:t xml:space="preserve"> Nations, 2015).</w:t>
      </w:r>
      <w:r w:rsidR="0E97B932" w:rsidRPr="3AB1E8CF">
        <w:rPr>
          <w:rFonts w:ascii="Arial" w:eastAsia="Arial" w:hAnsi="Arial" w:cs="Arial"/>
          <w:sz w:val="22"/>
          <w:szCs w:val="22"/>
        </w:rPr>
        <w:t xml:space="preserve"> Among these, SDG 3, ‘Good Health and Wellbeing’, aims to ensure healthy l</w:t>
      </w:r>
      <w:r w:rsidR="75382661" w:rsidRPr="3AB1E8CF">
        <w:rPr>
          <w:rFonts w:ascii="Arial" w:eastAsia="Arial" w:hAnsi="Arial" w:cs="Arial"/>
          <w:sz w:val="22"/>
          <w:szCs w:val="22"/>
        </w:rPr>
        <w:t>ives and promote wellbeing for everyone at all ages. However, the success of SDG 3 is dependent on progress across other SDGs due to the wider determinants of health such as education, poverty,</w:t>
      </w:r>
      <w:r w:rsidR="7EAB5C2A" w:rsidRPr="3AB1E8CF">
        <w:rPr>
          <w:rFonts w:ascii="Arial" w:eastAsia="Arial" w:hAnsi="Arial" w:cs="Arial"/>
          <w:sz w:val="22"/>
          <w:szCs w:val="22"/>
        </w:rPr>
        <w:t xml:space="preserve"> </w:t>
      </w:r>
      <w:r w:rsidR="00F91151" w:rsidRPr="3AB1E8CF">
        <w:rPr>
          <w:rFonts w:ascii="Arial" w:eastAsia="Arial" w:hAnsi="Arial" w:cs="Arial"/>
          <w:sz w:val="22"/>
          <w:szCs w:val="22"/>
        </w:rPr>
        <w:t>housing,</w:t>
      </w:r>
      <w:r w:rsidR="7EAB5C2A" w:rsidRPr="3AB1E8CF">
        <w:rPr>
          <w:rFonts w:ascii="Arial" w:eastAsia="Arial" w:hAnsi="Arial" w:cs="Arial"/>
          <w:sz w:val="22"/>
          <w:szCs w:val="22"/>
        </w:rPr>
        <w:t xml:space="preserve"> and environmental factors which significantly influence health outcomes.</w:t>
      </w:r>
    </w:p>
    <w:p w14:paraId="016334BE" w14:textId="08F76D33" w:rsidR="42784BB4" w:rsidRDefault="42784BB4" w:rsidP="3AB1E8CF">
      <w:pPr>
        <w:spacing w:line="360" w:lineRule="auto"/>
        <w:rPr>
          <w:rFonts w:ascii="Arial" w:eastAsia="Arial" w:hAnsi="Arial" w:cs="Arial"/>
          <w:sz w:val="22"/>
          <w:szCs w:val="22"/>
        </w:rPr>
      </w:pPr>
      <w:r w:rsidRPr="3AB1E8CF">
        <w:rPr>
          <w:rFonts w:ascii="Arial" w:eastAsia="Arial" w:hAnsi="Arial" w:cs="Arial"/>
          <w:sz w:val="22"/>
          <w:szCs w:val="22"/>
        </w:rPr>
        <w:t xml:space="preserve">This report critically examines health, </w:t>
      </w:r>
      <w:r w:rsidR="00F91151" w:rsidRPr="3AB1E8CF">
        <w:rPr>
          <w:rFonts w:ascii="Arial" w:eastAsia="Arial" w:hAnsi="Arial" w:cs="Arial"/>
          <w:sz w:val="22"/>
          <w:szCs w:val="22"/>
        </w:rPr>
        <w:t>wellbeing,</w:t>
      </w:r>
      <w:r w:rsidRPr="3AB1E8CF">
        <w:rPr>
          <w:rFonts w:ascii="Arial" w:eastAsia="Arial" w:hAnsi="Arial" w:cs="Arial"/>
          <w:sz w:val="22"/>
          <w:szCs w:val="22"/>
        </w:rPr>
        <w:t xml:space="preserve"> and sustainability policies at global, </w:t>
      </w:r>
      <w:r w:rsidR="00F91151" w:rsidRPr="3AB1E8CF">
        <w:rPr>
          <w:rFonts w:ascii="Arial" w:eastAsia="Arial" w:hAnsi="Arial" w:cs="Arial"/>
          <w:sz w:val="22"/>
          <w:szCs w:val="22"/>
        </w:rPr>
        <w:t>national,</w:t>
      </w:r>
      <w:r w:rsidRPr="3AB1E8CF">
        <w:rPr>
          <w:rFonts w:ascii="Arial" w:eastAsia="Arial" w:hAnsi="Arial" w:cs="Arial"/>
          <w:sz w:val="22"/>
          <w:szCs w:val="22"/>
        </w:rPr>
        <w:t xml:space="preserve"> and local levels, focusing on SDG 3 and SDG 13 (Climate Action). It explores their contribution to improving population health and the relationship between environmental sustainability and wellbeing. Using public health theories, academic literature and policy evaluations, the report evaluates the strengths and limitations of current initiatives before providing evidence-informed recommendations. Finally, it considers the wider implications of interconnected SDGs for reducing health inequalities and creating sustainable communities.</w:t>
      </w:r>
    </w:p>
    <w:p w14:paraId="1D092B02" w14:textId="63F84645" w:rsidR="3AB1E8CF" w:rsidRDefault="3AB1E8CF" w:rsidP="3AB1E8CF">
      <w:pPr>
        <w:spacing w:line="360" w:lineRule="auto"/>
        <w:rPr>
          <w:rFonts w:ascii="Arial" w:eastAsia="Arial" w:hAnsi="Arial" w:cs="Arial"/>
          <w:sz w:val="22"/>
          <w:szCs w:val="22"/>
        </w:rPr>
      </w:pPr>
    </w:p>
    <w:p w14:paraId="075E26C9" w14:textId="1C5E969F" w:rsidR="1C115768" w:rsidRPr="00F91151" w:rsidRDefault="1C115768" w:rsidP="3AB1E8CF">
      <w:pPr>
        <w:spacing w:line="360" w:lineRule="auto"/>
        <w:rPr>
          <w:rFonts w:ascii="Arial" w:eastAsia="Arial" w:hAnsi="Arial" w:cs="Arial"/>
          <w:b/>
          <w:bCs/>
          <w:color w:val="000000" w:themeColor="text1"/>
          <w:sz w:val="22"/>
          <w:szCs w:val="22"/>
        </w:rPr>
      </w:pPr>
      <w:r w:rsidRPr="00F91151">
        <w:rPr>
          <w:rFonts w:ascii="Arial" w:eastAsia="Arial" w:hAnsi="Arial" w:cs="Arial"/>
          <w:b/>
          <w:bCs/>
          <w:color w:val="000000" w:themeColor="text1"/>
          <w:sz w:val="22"/>
          <w:szCs w:val="22"/>
        </w:rPr>
        <w:t>Section 1: Sustainable Development Goal 3 (Good Health and Wellbeing)</w:t>
      </w:r>
    </w:p>
    <w:p w14:paraId="0D13719B" w14:textId="5E523C3C" w:rsidR="272DD8FE" w:rsidRDefault="272DD8FE" w:rsidP="3AB1E8CF">
      <w:pPr>
        <w:pStyle w:val="Heading2"/>
        <w:rPr>
          <w:rFonts w:ascii="Arial" w:hAnsi="Arial" w:cs="Arial"/>
          <w:b/>
          <w:bCs/>
          <w:color w:val="000000" w:themeColor="text1"/>
          <w:sz w:val="22"/>
          <w:szCs w:val="22"/>
        </w:rPr>
      </w:pPr>
      <w:bookmarkStart w:id="1" w:name="_Toc235226035"/>
      <w:r w:rsidRPr="00F91151">
        <w:rPr>
          <w:rFonts w:ascii="Arial" w:hAnsi="Arial" w:cs="Arial"/>
          <w:b/>
          <w:bCs/>
          <w:color w:val="000000" w:themeColor="text1"/>
          <w:sz w:val="22"/>
          <w:szCs w:val="22"/>
        </w:rPr>
        <w:t>Overview of SDG 3:</w:t>
      </w:r>
      <w:bookmarkEnd w:id="1"/>
      <w:r w:rsidRPr="00F91151">
        <w:rPr>
          <w:rFonts w:ascii="Arial" w:hAnsi="Arial" w:cs="Arial"/>
          <w:b/>
          <w:bCs/>
          <w:color w:val="000000" w:themeColor="text1"/>
          <w:sz w:val="22"/>
          <w:szCs w:val="22"/>
        </w:rPr>
        <w:t xml:space="preserve"> </w:t>
      </w:r>
    </w:p>
    <w:p w14:paraId="4765E2C9" w14:textId="77777777" w:rsidR="00F91151" w:rsidRPr="00F91151" w:rsidRDefault="00F91151" w:rsidP="00F91151"/>
    <w:p w14:paraId="1BFB6293" w14:textId="1EB37F74" w:rsidR="272DD8FE" w:rsidRDefault="272DD8FE" w:rsidP="3AB1E8CF">
      <w:pPr>
        <w:spacing w:line="360" w:lineRule="auto"/>
        <w:rPr>
          <w:rFonts w:ascii="Arial" w:eastAsia="Arial" w:hAnsi="Arial" w:cs="Arial"/>
          <w:sz w:val="22"/>
          <w:szCs w:val="22"/>
        </w:rPr>
      </w:pPr>
      <w:r w:rsidRPr="3AB1E8CF">
        <w:rPr>
          <w:rFonts w:ascii="Arial" w:eastAsia="Arial" w:hAnsi="Arial" w:cs="Arial"/>
          <w:sz w:val="22"/>
          <w:szCs w:val="22"/>
        </w:rPr>
        <w:t>The United Nations SDG 3 aims to “ensure healthy lives and promote wellbeing for all at all ages” (United Nations, 2015). SDG 3 presents</w:t>
      </w:r>
      <w:r w:rsidR="1CBF1417" w:rsidRPr="3AB1E8CF">
        <w:rPr>
          <w:rFonts w:ascii="Arial" w:eastAsia="Arial" w:hAnsi="Arial" w:cs="Arial"/>
          <w:sz w:val="22"/>
          <w:szCs w:val="22"/>
        </w:rPr>
        <w:t xml:space="preserve"> health as both a fundamental human right and a prerequisite for sustainable economic and social development. The goal consists of 13 targets which address maternal and child mortality, communicable and non-communicable diseases (NCDs), mental health, substa</w:t>
      </w:r>
      <w:r w:rsidR="08D3B393" w:rsidRPr="3AB1E8CF">
        <w:rPr>
          <w:rFonts w:ascii="Arial" w:eastAsia="Arial" w:hAnsi="Arial" w:cs="Arial"/>
          <w:sz w:val="22"/>
          <w:szCs w:val="22"/>
        </w:rPr>
        <w:t>nce misuse, road safety, universal health coverage (UHC), access to medicines and vaccines, and strengthening health systems.</w:t>
      </w:r>
    </w:p>
    <w:p w14:paraId="5857FED4" w14:textId="5E0E9432" w:rsidR="3D9D2940" w:rsidRDefault="3D9D2940" w:rsidP="3AB1E8CF">
      <w:pPr>
        <w:spacing w:line="360" w:lineRule="auto"/>
        <w:rPr>
          <w:rFonts w:ascii="Arial" w:eastAsia="Arial" w:hAnsi="Arial" w:cs="Arial"/>
          <w:sz w:val="22"/>
          <w:szCs w:val="22"/>
        </w:rPr>
      </w:pPr>
      <w:r w:rsidRPr="3AB1E8CF">
        <w:rPr>
          <w:rFonts w:ascii="Arial" w:eastAsia="Arial" w:hAnsi="Arial" w:cs="Arial"/>
          <w:sz w:val="22"/>
          <w:szCs w:val="22"/>
        </w:rPr>
        <w:t xml:space="preserve">The importance of SDG 3 extends beyond healthcare delivery, stating that health outcomes are influenced by wider social, </w:t>
      </w:r>
      <w:r w:rsidR="00F91151" w:rsidRPr="3AB1E8CF">
        <w:rPr>
          <w:rFonts w:ascii="Arial" w:eastAsia="Arial" w:hAnsi="Arial" w:cs="Arial"/>
          <w:sz w:val="22"/>
          <w:szCs w:val="22"/>
        </w:rPr>
        <w:t>economic,</w:t>
      </w:r>
      <w:r w:rsidRPr="3AB1E8CF">
        <w:rPr>
          <w:rFonts w:ascii="Arial" w:eastAsia="Arial" w:hAnsi="Arial" w:cs="Arial"/>
          <w:sz w:val="22"/>
          <w:szCs w:val="22"/>
        </w:rPr>
        <w:t xml:space="preserve"> and environmental factors. The World Health Organization </w:t>
      </w:r>
      <w:r w:rsidR="718EE263" w:rsidRPr="3AB1E8CF">
        <w:rPr>
          <w:rFonts w:ascii="Arial" w:eastAsia="Arial" w:hAnsi="Arial" w:cs="Arial"/>
          <w:sz w:val="22"/>
          <w:szCs w:val="22"/>
        </w:rPr>
        <w:t>(WHO, 202</w:t>
      </w:r>
      <w:r w:rsidR="0D304BF0" w:rsidRPr="3AB1E8CF">
        <w:rPr>
          <w:rFonts w:ascii="Arial" w:eastAsia="Arial" w:hAnsi="Arial" w:cs="Arial"/>
          <w:sz w:val="22"/>
          <w:szCs w:val="22"/>
        </w:rPr>
        <w:t>5</w:t>
      </w:r>
      <w:r w:rsidR="718EE263" w:rsidRPr="3AB1E8CF">
        <w:rPr>
          <w:rFonts w:ascii="Arial" w:eastAsia="Arial" w:hAnsi="Arial" w:cs="Arial"/>
          <w:sz w:val="22"/>
          <w:szCs w:val="22"/>
        </w:rPr>
        <w:t xml:space="preserve">) argues that inequalities in education, housing, </w:t>
      </w:r>
      <w:r w:rsidR="00F91151" w:rsidRPr="3AB1E8CF">
        <w:rPr>
          <w:rFonts w:ascii="Arial" w:eastAsia="Arial" w:hAnsi="Arial" w:cs="Arial"/>
          <w:sz w:val="22"/>
          <w:szCs w:val="22"/>
        </w:rPr>
        <w:t>employment,</w:t>
      </w:r>
      <w:r w:rsidR="718EE263" w:rsidRPr="3AB1E8CF">
        <w:rPr>
          <w:rFonts w:ascii="Arial" w:eastAsia="Arial" w:hAnsi="Arial" w:cs="Arial"/>
          <w:sz w:val="22"/>
          <w:szCs w:val="22"/>
        </w:rPr>
        <w:t xml:space="preserve"> and income create substantial disparities in health outcomes globally. </w:t>
      </w:r>
      <w:r w:rsidR="3D8C96B1" w:rsidRPr="3AB1E8CF">
        <w:rPr>
          <w:rFonts w:ascii="Arial" w:eastAsia="Arial" w:hAnsi="Arial" w:cs="Arial"/>
          <w:sz w:val="22"/>
          <w:szCs w:val="22"/>
        </w:rPr>
        <w:t>Furthermore</w:t>
      </w:r>
      <w:r w:rsidR="718EE263" w:rsidRPr="3AB1E8CF">
        <w:rPr>
          <w:rFonts w:ascii="Arial" w:eastAsia="Arial" w:hAnsi="Arial" w:cs="Arial"/>
          <w:sz w:val="22"/>
          <w:szCs w:val="22"/>
        </w:rPr>
        <w:t xml:space="preserve">, </w:t>
      </w:r>
      <w:r w:rsidR="4723704D" w:rsidRPr="3AB1E8CF">
        <w:rPr>
          <w:rFonts w:ascii="Arial" w:eastAsia="Arial" w:hAnsi="Arial" w:cs="Arial"/>
          <w:sz w:val="22"/>
          <w:szCs w:val="22"/>
        </w:rPr>
        <w:t>achieving SDG 3 requires collaborative action across multiple sectors</w:t>
      </w:r>
      <w:r w:rsidR="221941FE" w:rsidRPr="3AB1E8CF">
        <w:rPr>
          <w:rFonts w:ascii="Arial" w:eastAsia="Arial" w:hAnsi="Arial" w:cs="Arial"/>
          <w:sz w:val="22"/>
          <w:szCs w:val="22"/>
        </w:rPr>
        <w:t>.</w:t>
      </w:r>
    </w:p>
    <w:p w14:paraId="4182DAC1" w14:textId="6C396091" w:rsidR="00F91151" w:rsidRDefault="4605C09E" w:rsidP="00F91151">
      <w:pPr>
        <w:pStyle w:val="Heading3"/>
        <w:rPr>
          <w:rFonts w:ascii="Arial" w:hAnsi="Arial" w:cs="Arial"/>
          <w:b/>
          <w:bCs/>
          <w:color w:val="000000" w:themeColor="text1"/>
          <w:sz w:val="22"/>
          <w:szCs w:val="22"/>
        </w:rPr>
      </w:pPr>
      <w:bookmarkStart w:id="2" w:name="_Toc235226036"/>
      <w:r w:rsidRPr="00F91151">
        <w:rPr>
          <w:rFonts w:ascii="Arial" w:hAnsi="Arial" w:cs="Arial"/>
          <w:b/>
          <w:bCs/>
          <w:color w:val="000000" w:themeColor="text1"/>
          <w:sz w:val="22"/>
          <w:szCs w:val="22"/>
        </w:rPr>
        <w:t>Critical Evaluation of Global Policies and Initiatives:</w:t>
      </w:r>
      <w:bookmarkEnd w:id="2"/>
    </w:p>
    <w:p w14:paraId="10D09875" w14:textId="77777777" w:rsidR="00F91151" w:rsidRPr="00F91151" w:rsidRDefault="00F91151" w:rsidP="00F91151"/>
    <w:p w14:paraId="2C32580F" w14:textId="757C7F02" w:rsidR="599E3C84" w:rsidRDefault="599E3C84" w:rsidP="3AB1E8CF">
      <w:pPr>
        <w:spacing w:line="360" w:lineRule="auto"/>
        <w:rPr>
          <w:rFonts w:ascii="Arial" w:eastAsia="Arial" w:hAnsi="Arial" w:cs="Arial"/>
          <w:sz w:val="22"/>
          <w:szCs w:val="22"/>
        </w:rPr>
      </w:pPr>
      <w:r w:rsidRPr="3AB1E8CF">
        <w:rPr>
          <w:rFonts w:ascii="Arial" w:eastAsia="Arial" w:hAnsi="Arial" w:cs="Arial"/>
          <w:sz w:val="22"/>
          <w:szCs w:val="22"/>
        </w:rPr>
        <w:t>One of the most influential global initiatives that support SDG 3 is the World Health Organization’s Universal Health Coverage (UHC) agenda. UHC aims to ensure individuals receive essential healt</w:t>
      </w:r>
      <w:r w:rsidR="7BB4C6B0" w:rsidRPr="3AB1E8CF">
        <w:rPr>
          <w:rFonts w:ascii="Arial" w:eastAsia="Arial" w:hAnsi="Arial" w:cs="Arial"/>
          <w:sz w:val="22"/>
          <w:szCs w:val="22"/>
        </w:rPr>
        <w:t>hcare without suffering financial difficulties (WHO, 202</w:t>
      </w:r>
      <w:r w:rsidR="62CEBCE4" w:rsidRPr="3AB1E8CF">
        <w:rPr>
          <w:rFonts w:ascii="Arial" w:eastAsia="Arial" w:hAnsi="Arial" w:cs="Arial"/>
          <w:sz w:val="22"/>
          <w:szCs w:val="22"/>
        </w:rPr>
        <w:t>5</w:t>
      </w:r>
      <w:r w:rsidR="7BB4C6B0" w:rsidRPr="3AB1E8CF">
        <w:rPr>
          <w:rFonts w:ascii="Arial" w:eastAsia="Arial" w:hAnsi="Arial" w:cs="Arial"/>
          <w:sz w:val="22"/>
          <w:szCs w:val="22"/>
        </w:rPr>
        <w:t>). Research suggests that countries implementing UHC generally experience improved life expectancy, reduced infant mortality and better acce</w:t>
      </w:r>
      <w:r w:rsidR="618BA64C" w:rsidRPr="3AB1E8CF">
        <w:rPr>
          <w:rFonts w:ascii="Arial" w:eastAsia="Arial" w:hAnsi="Arial" w:cs="Arial"/>
          <w:sz w:val="22"/>
          <w:szCs w:val="22"/>
        </w:rPr>
        <w:t>ss to preventative healthcare</w:t>
      </w:r>
      <w:r w:rsidR="5CABBF3A" w:rsidRPr="3AB1E8CF">
        <w:rPr>
          <w:rFonts w:ascii="Arial" w:eastAsia="Arial" w:hAnsi="Arial" w:cs="Arial"/>
          <w:sz w:val="22"/>
          <w:szCs w:val="22"/>
        </w:rPr>
        <w:t xml:space="preserve"> (Ranabhat et al., 2018). </w:t>
      </w:r>
    </w:p>
    <w:p w14:paraId="10C1373C" w14:textId="7C0A76C2" w:rsidR="5CABBF3A" w:rsidRDefault="5CABBF3A" w:rsidP="3AB1E8CF">
      <w:pPr>
        <w:spacing w:line="360" w:lineRule="auto"/>
        <w:rPr>
          <w:rFonts w:ascii="Arial" w:eastAsia="Arial" w:hAnsi="Arial" w:cs="Arial"/>
          <w:sz w:val="22"/>
          <w:szCs w:val="22"/>
        </w:rPr>
      </w:pPr>
      <w:r w:rsidRPr="3AB1E8CF">
        <w:rPr>
          <w:rFonts w:ascii="Arial" w:eastAsia="Arial" w:hAnsi="Arial" w:cs="Arial"/>
          <w:sz w:val="22"/>
          <w:szCs w:val="22"/>
        </w:rPr>
        <w:t xml:space="preserve">However, the effectiveness of UHC varies between countries. </w:t>
      </w:r>
      <w:r w:rsidR="39EB060D" w:rsidRPr="3AB1E8CF">
        <w:rPr>
          <w:rFonts w:ascii="Arial" w:eastAsia="Arial" w:hAnsi="Arial" w:cs="Arial"/>
          <w:sz w:val="22"/>
          <w:szCs w:val="22"/>
        </w:rPr>
        <w:t>While h</w:t>
      </w:r>
      <w:r w:rsidRPr="3AB1E8CF">
        <w:rPr>
          <w:rFonts w:ascii="Arial" w:eastAsia="Arial" w:hAnsi="Arial" w:cs="Arial"/>
          <w:sz w:val="22"/>
          <w:szCs w:val="22"/>
        </w:rPr>
        <w:t>igh-income nations</w:t>
      </w:r>
      <w:r w:rsidR="24E2C829" w:rsidRPr="3AB1E8CF">
        <w:rPr>
          <w:rFonts w:ascii="Arial" w:eastAsia="Arial" w:hAnsi="Arial" w:cs="Arial"/>
          <w:sz w:val="22"/>
          <w:szCs w:val="22"/>
        </w:rPr>
        <w:t xml:space="preserve"> </w:t>
      </w:r>
      <w:r w:rsidRPr="3AB1E8CF">
        <w:rPr>
          <w:rFonts w:ascii="Arial" w:eastAsia="Arial" w:hAnsi="Arial" w:cs="Arial"/>
          <w:sz w:val="22"/>
          <w:szCs w:val="22"/>
        </w:rPr>
        <w:t>have achieved significant progress,</w:t>
      </w:r>
      <w:r w:rsidR="604F85AA" w:rsidRPr="3AB1E8CF">
        <w:rPr>
          <w:rFonts w:ascii="Arial" w:eastAsia="Arial" w:hAnsi="Arial" w:cs="Arial"/>
          <w:sz w:val="22"/>
          <w:szCs w:val="22"/>
        </w:rPr>
        <w:t xml:space="preserve"> </w:t>
      </w:r>
      <w:r w:rsidRPr="3AB1E8CF">
        <w:rPr>
          <w:rFonts w:ascii="Arial" w:eastAsia="Arial" w:hAnsi="Arial" w:cs="Arial"/>
          <w:sz w:val="22"/>
          <w:szCs w:val="22"/>
        </w:rPr>
        <w:t xml:space="preserve">many low-income countries continue to experience shortages of healthcare professionals, </w:t>
      </w:r>
      <w:r w:rsidR="00F91151" w:rsidRPr="3AB1E8CF">
        <w:rPr>
          <w:rFonts w:ascii="Arial" w:eastAsia="Arial" w:hAnsi="Arial" w:cs="Arial"/>
          <w:sz w:val="22"/>
          <w:szCs w:val="22"/>
        </w:rPr>
        <w:t>medicines,</w:t>
      </w:r>
      <w:r w:rsidR="064D6867" w:rsidRPr="3AB1E8CF">
        <w:rPr>
          <w:rFonts w:ascii="Arial" w:eastAsia="Arial" w:hAnsi="Arial" w:cs="Arial"/>
          <w:sz w:val="22"/>
          <w:szCs w:val="22"/>
        </w:rPr>
        <w:t xml:space="preserve"> and f</w:t>
      </w:r>
      <w:r w:rsidR="6EA44FD3" w:rsidRPr="3AB1E8CF">
        <w:rPr>
          <w:rFonts w:ascii="Arial" w:eastAsia="Arial" w:hAnsi="Arial" w:cs="Arial"/>
          <w:sz w:val="22"/>
          <w:szCs w:val="22"/>
        </w:rPr>
        <w:t xml:space="preserve">unding </w:t>
      </w:r>
      <w:r w:rsidR="55009A78" w:rsidRPr="3AB1E8CF">
        <w:rPr>
          <w:rFonts w:ascii="Arial" w:eastAsia="Arial" w:hAnsi="Arial" w:cs="Arial"/>
          <w:sz w:val="22"/>
          <w:szCs w:val="22"/>
        </w:rPr>
        <w:t xml:space="preserve">(Abdi et al., 2025). </w:t>
      </w:r>
      <w:r w:rsidR="064D6867" w:rsidRPr="3AB1E8CF">
        <w:rPr>
          <w:rFonts w:ascii="Arial" w:eastAsia="Arial" w:hAnsi="Arial" w:cs="Arial"/>
          <w:sz w:val="22"/>
          <w:szCs w:val="22"/>
        </w:rPr>
        <w:t xml:space="preserve"> Consequently, UHC remains </w:t>
      </w:r>
      <w:r w:rsidR="6215E896" w:rsidRPr="3AB1E8CF">
        <w:rPr>
          <w:rFonts w:ascii="Arial" w:eastAsia="Arial" w:hAnsi="Arial" w:cs="Arial"/>
          <w:sz w:val="22"/>
          <w:szCs w:val="22"/>
        </w:rPr>
        <w:t>difficult to achieve for many populations.</w:t>
      </w:r>
      <w:r w:rsidR="064D6867" w:rsidRPr="3AB1E8CF">
        <w:rPr>
          <w:rFonts w:ascii="Arial" w:eastAsia="Arial" w:hAnsi="Arial" w:cs="Arial"/>
          <w:sz w:val="22"/>
          <w:szCs w:val="22"/>
        </w:rPr>
        <w:t xml:space="preserve"> Critics argue that global health funding </w:t>
      </w:r>
      <w:r w:rsidR="1245DD0A" w:rsidRPr="3AB1E8CF">
        <w:rPr>
          <w:rFonts w:ascii="Arial" w:eastAsia="Arial" w:hAnsi="Arial" w:cs="Arial"/>
          <w:sz w:val="22"/>
          <w:szCs w:val="22"/>
        </w:rPr>
        <w:t>prioritises</w:t>
      </w:r>
      <w:r w:rsidR="1F82C9D2" w:rsidRPr="3AB1E8CF">
        <w:rPr>
          <w:rFonts w:ascii="Arial" w:eastAsia="Arial" w:hAnsi="Arial" w:cs="Arial"/>
          <w:sz w:val="22"/>
          <w:szCs w:val="22"/>
        </w:rPr>
        <w:t xml:space="preserve"> disease-specific interventions </w:t>
      </w:r>
      <w:r w:rsidR="0F20EAEF" w:rsidRPr="3AB1E8CF">
        <w:rPr>
          <w:rFonts w:ascii="Arial" w:eastAsia="Arial" w:hAnsi="Arial" w:cs="Arial"/>
          <w:sz w:val="22"/>
          <w:szCs w:val="22"/>
        </w:rPr>
        <w:t>over</w:t>
      </w:r>
      <w:r w:rsidR="1F82C9D2" w:rsidRPr="3AB1E8CF">
        <w:rPr>
          <w:rFonts w:ascii="Arial" w:eastAsia="Arial" w:hAnsi="Arial" w:cs="Arial"/>
          <w:sz w:val="22"/>
          <w:szCs w:val="22"/>
        </w:rPr>
        <w:t xml:space="preserve"> strengthening healthcare systems, limiting long-term sustainability (Fren</w:t>
      </w:r>
      <w:r w:rsidR="62CD97FF" w:rsidRPr="3AB1E8CF">
        <w:rPr>
          <w:rFonts w:ascii="Arial" w:eastAsia="Arial" w:hAnsi="Arial" w:cs="Arial"/>
          <w:sz w:val="22"/>
          <w:szCs w:val="22"/>
        </w:rPr>
        <w:t>k</w:t>
      </w:r>
      <w:r w:rsidR="1F82C9D2" w:rsidRPr="3AB1E8CF">
        <w:rPr>
          <w:rFonts w:ascii="Arial" w:eastAsia="Arial" w:hAnsi="Arial" w:cs="Arial"/>
          <w:sz w:val="22"/>
          <w:szCs w:val="22"/>
        </w:rPr>
        <w:t xml:space="preserve"> &amp; Moon, 2013).</w:t>
      </w:r>
    </w:p>
    <w:p w14:paraId="5AE525A0" w14:textId="50C9809F" w:rsidR="4B3C5E2B" w:rsidRDefault="4B3C5E2B" w:rsidP="3AB1E8CF">
      <w:pPr>
        <w:spacing w:line="360" w:lineRule="auto"/>
        <w:rPr>
          <w:rFonts w:ascii="Arial" w:eastAsia="Arial" w:hAnsi="Arial" w:cs="Arial"/>
          <w:sz w:val="22"/>
          <w:szCs w:val="22"/>
        </w:rPr>
      </w:pPr>
      <w:r w:rsidRPr="3AB1E8CF">
        <w:rPr>
          <w:rFonts w:ascii="Arial" w:eastAsia="Arial" w:hAnsi="Arial" w:cs="Arial"/>
          <w:sz w:val="22"/>
          <w:szCs w:val="22"/>
        </w:rPr>
        <w:t xml:space="preserve">Another significant global initiative is the WHO </w:t>
      </w:r>
      <w:r w:rsidR="37C0F083" w:rsidRPr="3AB1E8CF">
        <w:rPr>
          <w:rFonts w:ascii="Arial" w:eastAsia="Arial" w:hAnsi="Arial" w:cs="Arial"/>
          <w:sz w:val="22"/>
          <w:szCs w:val="22"/>
        </w:rPr>
        <w:t xml:space="preserve">Global Action Plan for the Prevention and Control of Non-Communicable Diseases (2013-2030). </w:t>
      </w:r>
      <w:r w:rsidR="7649AD61" w:rsidRPr="3AB1E8CF">
        <w:rPr>
          <w:rFonts w:ascii="Arial" w:eastAsia="Arial" w:hAnsi="Arial" w:cs="Arial"/>
          <w:sz w:val="22"/>
          <w:szCs w:val="22"/>
        </w:rPr>
        <w:t>As n</w:t>
      </w:r>
      <w:r w:rsidR="37C0F083" w:rsidRPr="3AB1E8CF">
        <w:rPr>
          <w:rFonts w:ascii="Arial" w:eastAsia="Arial" w:hAnsi="Arial" w:cs="Arial"/>
          <w:sz w:val="22"/>
          <w:szCs w:val="22"/>
        </w:rPr>
        <w:t xml:space="preserve">on-communicable diseases account for approximately </w:t>
      </w:r>
      <w:r w:rsidR="24CD7C8F" w:rsidRPr="3AB1E8CF">
        <w:rPr>
          <w:rFonts w:ascii="Arial" w:eastAsia="Arial" w:hAnsi="Arial" w:cs="Arial"/>
          <w:sz w:val="22"/>
          <w:szCs w:val="22"/>
        </w:rPr>
        <w:t xml:space="preserve">74% of global deaths, </w:t>
      </w:r>
      <w:r w:rsidR="726BE8D6" w:rsidRPr="3AB1E8CF">
        <w:rPr>
          <w:rFonts w:ascii="Arial" w:eastAsia="Arial" w:hAnsi="Arial" w:cs="Arial"/>
          <w:sz w:val="22"/>
          <w:szCs w:val="22"/>
        </w:rPr>
        <w:t xml:space="preserve">prevention </w:t>
      </w:r>
      <w:r w:rsidR="45D1A9E6" w:rsidRPr="3AB1E8CF">
        <w:rPr>
          <w:rFonts w:ascii="Arial" w:eastAsia="Arial" w:hAnsi="Arial" w:cs="Arial"/>
          <w:sz w:val="22"/>
          <w:szCs w:val="22"/>
        </w:rPr>
        <w:t xml:space="preserve">is </w:t>
      </w:r>
      <w:r w:rsidR="726BE8D6" w:rsidRPr="3AB1E8CF">
        <w:rPr>
          <w:rFonts w:ascii="Arial" w:eastAsia="Arial" w:hAnsi="Arial" w:cs="Arial"/>
          <w:sz w:val="22"/>
          <w:szCs w:val="22"/>
        </w:rPr>
        <w:t xml:space="preserve">central </w:t>
      </w:r>
      <w:r w:rsidR="7F9E0671" w:rsidRPr="3AB1E8CF">
        <w:rPr>
          <w:rFonts w:ascii="Arial" w:eastAsia="Arial" w:hAnsi="Arial" w:cs="Arial"/>
          <w:sz w:val="22"/>
          <w:szCs w:val="22"/>
        </w:rPr>
        <w:t xml:space="preserve">to achieiving </w:t>
      </w:r>
      <w:r w:rsidR="726BE8D6" w:rsidRPr="3AB1E8CF">
        <w:rPr>
          <w:rFonts w:ascii="Arial" w:eastAsia="Arial" w:hAnsi="Arial" w:cs="Arial"/>
          <w:sz w:val="22"/>
          <w:szCs w:val="22"/>
        </w:rPr>
        <w:t>SDG 3</w:t>
      </w:r>
      <w:r w:rsidR="7992F885" w:rsidRPr="3AB1E8CF">
        <w:rPr>
          <w:rFonts w:ascii="Arial" w:eastAsia="Arial" w:hAnsi="Arial" w:cs="Arial"/>
          <w:sz w:val="22"/>
          <w:szCs w:val="22"/>
        </w:rPr>
        <w:t xml:space="preserve"> (WHO, 2025)</w:t>
      </w:r>
      <w:r w:rsidR="200F68AF" w:rsidRPr="3AB1E8CF">
        <w:rPr>
          <w:rFonts w:ascii="Arial" w:eastAsia="Arial" w:hAnsi="Arial" w:cs="Arial"/>
          <w:sz w:val="22"/>
          <w:szCs w:val="22"/>
        </w:rPr>
        <w:t xml:space="preserve">. </w:t>
      </w:r>
      <w:r w:rsidR="3BC01043" w:rsidRPr="3AB1E8CF">
        <w:rPr>
          <w:rFonts w:ascii="Arial" w:eastAsia="Arial" w:hAnsi="Arial" w:cs="Arial"/>
          <w:sz w:val="22"/>
          <w:szCs w:val="22"/>
        </w:rPr>
        <w:t>Measures such as</w:t>
      </w:r>
      <w:r w:rsidR="200F68AF" w:rsidRPr="3AB1E8CF">
        <w:rPr>
          <w:rFonts w:ascii="Arial" w:eastAsia="Arial" w:hAnsi="Arial" w:cs="Arial"/>
          <w:sz w:val="22"/>
          <w:szCs w:val="22"/>
        </w:rPr>
        <w:t xml:space="preserve"> tobacco control</w:t>
      </w:r>
      <w:r w:rsidR="51C20E12" w:rsidRPr="3AB1E8CF">
        <w:rPr>
          <w:rFonts w:ascii="Arial" w:eastAsia="Arial" w:hAnsi="Arial" w:cs="Arial"/>
          <w:sz w:val="22"/>
          <w:szCs w:val="22"/>
        </w:rPr>
        <w:t>, healthier diets, and increased physical activity have reported positive outcomes in many countries.</w:t>
      </w:r>
      <w:r w:rsidR="500E70D1" w:rsidRPr="3AB1E8CF">
        <w:rPr>
          <w:rFonts w:ascii="Arial" w:eastAsia="Arial" w:hAnsi="Arial" w:cs="Arial"/>
          <w:sz w:val="22"/>
          <w:szCs w:val="22"/>
        </w:rPr>
        <w:t xml:space="preserve"> (WHO, 2025)</w:t>
      </w:r>
      <w:r w:rsidR="02FFB9D0" w:rsidRPr="3AB1E8CF">
        <w:rPr>
          <w:rFonts w:ascii="Arial" w:eastAsia="Arial" w:hAnsi="Arial" w:cs="Arial"/>
          <w:sz w:val="22"/>
          <w:szCs w:val="22"/>
        </w:rPr>
        <w:t xml:space="preserve">. </w:t>
      </w:r>
      <w:r w:rsidR="500E70D1" w:rsidRPr="3AB1E8CF">
        <w:rPr>
          <w:rFonts w:ascii="Arial" w:eastAsia="Arial" w:hAnsi="Arial" w:cs="Arial"/>
          <w:sz w:val="22"/>
          <w:szCs w:val="22"/>
        </w:rPr>
        <w:t xml:space="preserve">However, implementation </w:t>
      </w:r>
      <w:r w:rsidR="0CB6F821" w:rsidRPr="3AB1E8CF">
        <w:rPr>
          <w:rFonts w:ascii="Arial" w:eastAsia="Arial" w:hAnsi="Arial" w:cs="Arial"/>
          <w:sz w:val="22"/>
          <w:szCs w:val="22"/>
        </w:rPr>
        <w:t>r</w:t>
      </w:r>
      <w:r w:rsidR="500E70D1" w:rsidRPr="3AB1E8CF">
        <w:rPr>
          <w:rFonts w:ascii="Arial" w:eastAsia="Arial" w:hAnsi="Arial" w:cs="Arial"/>
          <w:sz w:val="22"/>
          <w:szCs w:val="22"/>
        </w:rPr>
        <w:t>emains inconsistent</w:t>
      </w:r>
      <w:r w:rsidR="11435051" w:rsidRPr="3AB1E8CF">
        <w:rPr>
          <w:rFonts w:ascii="Arial" w:eastAsia="Arial" w:hAnsi="Arial" w:cs="Arial"/>
          <w:sz w:val="22"/>
          <w:szCs w:val="22"/>
        </w:rPr>
        <w:t xml:space="preserve">, with commercial interests often conflicting with public health objectives, reducing the effectiveness of these policies </w:t>
      </w:r>
      <w:r w:rsidR="6B567014" w:rsidRPr="3AB1E8CF">
        <w:rPr>
          <w:rFonts w:ascii="Arial" w:eastAsia="Arial" w:hAnsi="Arial" w:cs="Arial"/>
          <w:sz w:val="22"/>
          <w:szCs w:val="22"/>
        </w:rPr>
        <w:t>(Hunter, 2016).</w:t>
      </w:r>
    </w:p>
    <w:p w14:paraId="2759CADE" w14:textId="3AD4DF15" w:rsidR="072A4074" w:rsidRDefault="072A4074" w:rsidP="3AB1E8CF">
      <w:pPr>
        <w:spacing w:line="360" w:lineRule="auto"/>
        <w:rPr>
          <w:rFonts w:ascii="Arial" w:eastAsia="Arial" w:hAnsi="Arial" w:cs="Arial"/>
          <w:sz w:val="22"/>
          <w:szCs w:val="22"/>
        </w:rPr>
      </w:pPr>
      <w:r w:rsidRPr="3AB1E8CF">
        <w:rPr>
          <w:rFonts w:ascii="Arial" w:eastAsia="Arial" w:hAnsi="Arial" w:cs="Arial"/>
          <w:sz w:val="22"/>
          <w:szCs w:val="22"/>
        </w:rPr>
        <w:t>Additionally</w:t>
      </w:r>
      <w:r w:rsidR="739ED7D5" w:rsidRPr="3AB1E8CF">
        <w:rPr>
          <w:rFonts w:ascii="Arial" w:eastAsia="Arial" w:hAnsi="Arial" w:cs="Arial"/>
          <w:sz w:val="22"/>
          <w:szCs w:val="22"/>
        </w:rPr>
        <w:t xml:space="preserve">, the COVID-19 pandemic </w:t>
      </w:r>
      <w:r w:rsidR="6C763998" w:rsidRPr="3AB1E8CF">
        <w:rPr>
          <w:rFonts w:ascii="Arial" w:eastAsia="Arial" w:hAnsi="Arial" w:cs="Arial"/>
          <w:sz w:val="22"/>
          <w:szCs w:val="22"/>
        </w:rPr>
        <w:t xml:space="preserve">exposed </w:t>
      </w:r>
      <w:r w:rsidR="739ED7D5" w:rsidRPr="3AB1E8CF">
        <w:rPr>
          <w:rFonts w:ascii="Arial" w:eastAsia="Arial" w:hAnsi="Arial" w:cs="Arial"/>
          <w:sz w:val="22"/>
          <w:szCs w:val="22"/>
        </w:rPr>
        <w:t>weaknesses within global health governance</w:t>
      </w:r>
      <w:r w:rsidR="644A531D" w:rsidRPr="3AB1E8CF">
        <w:rPr>
          <w:rFonts w:ascii="Arial" w:eastAsia="Arial" w:hAnsi="Arial" w:cs="Arial"/>
          <w:sz w:val="22"/>
          <w:szCs w:val="22"/>
        </w:rPr>
        <w:t xml:space="preserve">. </w:t>
      </w:r>
      <w:r w:rsidR="696900C4" w:rsidRPr="3AB1E8CF">
        <w:rPr>
          <w:rFonts w:ascii="Arial" w:eastAsia="Arial" w:hAnsi="Arial" w:cs="Arial"/>
          <w:sz w:val="22"/>
          <w:szCs w:val="22"/>
        </w:rPr>
        <w:t xml:space="preserve">Although international collaboration enabled rapid vaccine development, </w:t>
      </w:r>
      <w:r w:rsidR="430FAF3A" w:rsidRPr="3AB1E8CF">
        <w:rPr>
          <w:rFonts w:ascii="Arial" w:eastAsia="Arial" w:hAnsi="Arial" w:cs="Arial"/>
          <w:sz w:val="22"/>
          <w:szCs w:val="22"/>
        </w:rPr>
        <w:t>distribution</w:t>
      </w:r>
      <w:r w:rsidR="696900C4" w:rsidRPr="3AB1E8CF">
        <w:rPr>
          <w:rFonts w:ascii="Arial" w:eastAsia="Arial" w:hAnsi="Arial" w:cs="Arial"/>
          <w:sz w:val="22"/>
          <w:szCs w:val="22"/>
        </w:rPr>
        <w:t xml:space="preserve"> remained highly unequal, with wealthier nations securing vaccines far earlier than lower-income countries, highlighting </w:t>
      </w:r>
      <w:r w:rsidR="0CC3E47E" w:rsidRPr="3AB1E8CF">
        <w:rPr>
          <w:rFonts w:ascii="Arial" w:eastAsia="Arial" w:hAnsi="Arial" w:cs="Arial"/>
          <w:sz w:val="22"/>
          <w:szCs w:val="22"/>
        </w:rPr>
        <w:t>persistent</w:t>
      </w:r>
      <w:r w:rsidR="4AABAC15" w:rsidRPr="3AB1E8CF">
        <w:rPr>
          <w:rFonts w:ascii="Arial" w:eastAsia="Arial" w:hAnsi="Arial" w:cs="Arial"/>
          <w:sz w:val="22"/>
          <w:szCs w:val="22"/>
        </w:rPr>
        <w:t xml:space="preserve"> inequities in achieving SDG 3 objectives</w:t>
      </w:r>
      <w:r w:rsidR="585F071F" w:rsidRPr="3AB1E8CF">
        <w:rPr>
          <w:rFonts w:ascii="Arial" w:eastAsia="Arial" w:hAnsi="Arial" w:cs="Arial"/>
          <w:sz w:val="22"/>
          <w:szCs w:val="22"/>
        </w:rPr>
        <w:t xml:space="preserve"> (Brown and Rosier, 2023).</w:t>
      </w:r>
    </w:p>
    <w:p w14:paraId="4C0F9968" w14:textId="4982CE95" w:rsidR="2FF8BE14" w:rsidRDefault="2FF8BE14" w:rsidP="3AB1E8CF">
      <w:pPr>
        <w:pStyle w:val="Heading4"/>
        <w:rPr>
          <w:rFonts w:ascii="Arial" w:hAnsi="Arial" w:cs="Arial"/>
          <w:b/>
          <w:bCs/>
          <w:i w:val="0"/>
          <w:iCs w:val="0"/>
          <w:color w:val="000000" w:themeColor="text1"/>
          <w:sz w:val="22"/>
          <w:szCs w:val="22"/>
        </w:rPr>
      </w:pPr>
      <w:bookmarkStart w:id="3" w:name="_Toc235226037"/>
      <w:r w:rsidRPr="00F91151">
        <w:rPr>
          <w:rFonts w:ascii="Arial" w:hAnsi="Arial" w:cs="Arial"/>
          <w:b/>
          <w:bCs/>
          <w:i w:val="0"/>
          <w:iCs w:val="0"/>
          <w:color w:val="000000" w:themeColor="text1"/>
          <w:sz w:val="22"/>
          <w:szCs w:val="22"/>
        </w:rPr>
        <w:t>Critical Evaluation of National and Local Examples:</w:t>
      </w:r>
      <w:bookmarkEnd w:id="3"/>
    </w:p>
    <w:p w14:paraId="1D73F67C" w14:textId="77777777" w:rsidR="00F91151" w:rsidRPr="00F91151" w:rsidRDefault="00F91151" w:rsidP="00F91151"/>
    <w:p w14:paraId="35AF556E" w14:textId="18AE9E7F" w:rsidR="6ABB3B99" w:rsidRDefault="6ABB3B99" w:rsidP="3AB1E8CF">
      <w:pPr>
        <w:spacing w:line="360" w:lineRule="auto"/>
        <w:rPr>
          <w:rFonts w:ascii="Arial" w:eastAsia="Arial" w:hAnsi="Arial" w:cs="Arial"/>
          <w:sz w:val="22"/>
          <w:szCs w:val="22"/>
        </w:rPr>
      </w:pPr>
      <w:r w:rsidRPr="3AB1E8CF">
        <w:rPr>
          <w:rFonts w:ascii="Arial" w:eastAsia="Arial" w:hAnsi="Arial" w:cs="Arial"/>
          <w:sz w:val="22"/>
          <w:szCs w:val="22"/>
        </w:rPr>
        <w:t xml:space="preserve">Within England, The NHS Long Term Plan </w:t>
      </w:r>
      <w:r w:rsidR="3CA64792" w:rsidRPr="3AB1E8CF">
        <w:rPr>
          <w:rFonts w:ascii="Arial" w:eastAsia="Arial" w:hAnsi="Arial" w:cs="Arial"/>
          <w:sz w:val="22"/>
          <w:szCs w:val="22"/>
        </w:rPr>
        <w:t xml:space="preserve">(NHS England, 2019) </w:t>
      </w:r>
      <w:r w:rsidRPr="3AB1E8CF">
        <w:rPr>
          <w:rFonts w:ascii="Arial" w:eastAsia="Arial" w:hAnsi="Arial" w:cs="Arial"/>
          <w:sz w:val="22"/>
          <w:szCs w:val="22"/>
        </w:rPr>
        <w:t xml:space="preserve">is one of the most significant national strategies </w:t>
      </w:r>
      <w:r w:rsidR="463187C4" w:rsidRPr="3AB1E8CF">
        <w:rPr>
          <w:rFonts w:ascii="Arial" w:eastAsia="Arial" w:hAnsi="Arial" w:cs="Arial"/>
          <w:sz w:val="22"/>
          <w:szCs w:val="22"/>
        </w:rPr>
        <w:t xml:space="preserve">contributing to SDG 3. The plan addresses prevention, integrated care, mental health services and </w:t>
      </w:r>
      <w:r w:rsidR="01DD75D7" w:rsidRPr="3AB1E8CF">
        <w:rPr>
          <w:rFonts w:ascii="Arial" w:eastAsia="Arial" w:hAnsi="Arial" w:cs="Arial"/>
          <w:sz w:val="22"/>
          <w:szCs w:val="22"/>
        </w:rPr>
        <w:t xml:space="preserve">reducing health inequalities. Increased investment in community health care and digital services reflects a shift from reactive treatment to preventative </w:t>
      </w:r>
      <w:r w:rsidR="53B768B2" w:rsidRPr="3AB1E8CF">
        <w:rPr>
          <w:rFonts w:ascii="Arial" w:eastAsia="Arial" w:hAnsi="Arial" w:cs="Arial"/>
          <w:sz w:val="22"/>
          <w:szCs w:val="22"/>
        </w:rPr>
        <w:t>healthcare</w:t>
      </w:r>
      <w:r w:rsidR="3C946FAB" w:rsidRPr="3AB1E8CF">
        <w:rPr>
          <w:rFonts w:ascii="Arial" w:eastAsia="Arial" w:hAnsi="Arial" w:cs="Arial"/>
          <w:sz w:val="22"/>
          <w:szCs w:val="22"/>
        </w:rPr>
        <w:t xml:space="preserve"> (Charles et al., 2019).</w:t>
      </w:r>
    </w:p>
    <w:p w14:paraId="05686847" w14:textId="52C55F3F" w:rsidR="53067404" w:rsidRDefault="53067404" w:rsidP="3AB1E8CF">
      <w:pPr>
        <w:spacing w:line="360" w:lineRule="auto"/>
        <w:rPr>
          <w:rFonts w:ascii="Arial" w:eastAsia="Arial" w:hAnsi="Arial" w:cs="Arial"/>
          <w:sz w:val="22"/>
          <w:szCs w:val="22"/>
        </w:rPr>
      </w:pPr>
      <w:r w:rsidRPr="3AB1E8CF">
        <w:rPr>
          <w:rFonts w:ascii="Arial" w:eastAsia="Arial" w:hAnsi="Arial" w:cs="Arial"/>
          <w:sz w:val="22"/>
          <w:szCs w:val="22"/>
        </w:rPr>
        <w:t>One key strength of the NHS Long Term Plan is its</w:t>
      </w:r>
      <w:r w:rsidR="10CBE56E" w:rsidRPr="3AB1E8CF">
        <w:rPr>
          <w:rFonts w:ascii="Arial" w:eastAsia="Arial" w:hAnsi="Arial" w:cs="Arial"/>
          <w:sz w:val="22"/>
          <w:szCs w:val="22"/>
        </w:rPr>
        <w:t xml:space="preserve"> focus on early intervention the p</w:t>
      </w:r>
      <w:r w:rsidRPr="3AB1E8CF">
        <w:rPr>
          <w:rFonts w:ascii="Arial" w:eastAsia="Arial" w:hAnsi="Arial" w:cs="Arial"/>
          <w:sz w:val="22"/>
          <w:szCs w:val="22"/>
        </w:rPr>
        <w:t>reventative</w:t>
      </w:r>
      <w:r w:rsidR="0DE4AA5A" w:rsidRPr="3AB1E8CF">
        <w:rPr>
          <w:rFonts w:ascii="Arial" w:eastAsia="Arial" w:hAnsi="Arial" w:cs="Arial"/>
          <w:sz w:val="22"/>
          <w:szCs w:val="22"/>
        </w:rPr>
        <w:t xml:space="preserve"> programmes targeting obesity, smoking </w:t>
      </w:r>
      <w:r w:rsidR="00F91151" w:rsidRPr="3AB1E8CF">
        <w:rPr>
          <w:rFonts w:ascii="Arial" w:eastAsia="Arial" w:hAnsi="Arial" w:cs="Arial"/>
          <w:sz w:val="22"/>
          <w:szCs w:val="22"/>
        </w:rPr>
        <w:t>cessation,</w:t>
      </w:r>
      <w:r w:rsidR="0DE4AA5A" w:rsidRPr="3AB1E8CF">
        <w:rPr>
          <w:rFonts w:ascii="Arial" w:eastAsia="Arial" w:hAnsi="Arial" w:cs="Arial"/>
          <w:sz w:val="22"/>
          <w:szCs w:val="22"/>
        </w:rPr>
        <w:t xml:space="preserve"> and diabetes</w:t>
      </w:r>
      <w:r w:rsidR="2A1484D4" w:rsidRPr="3AB1E8CF">
        <w:rPr>
          <w:rFonts w:ascii="Arial" w:eastAsia="Arial" w:hAnsi="Arial" w:cs="Arial"/>
          <w:sz w:val="22"/>
          <w:szCs w:val="22"/>
        </w:rPr>
        <w:t xml:space="preserve">, which can improve population health and reduce long-term healthcare costs </w:t>
      </w:r>
      <w:r w:rsidR="6AA060D6" w:rsidRPr="3AB1E8CF">
        <w:rPr>
          <w:rFonts w:ascii="Arial" w:eastAsia="Arial" w:hAnsi="Arial" w:cs="Arial"/>
          <w:sz w:val="22"/>
          <w:szCs w:val="22"/>
        </w:rPr>
        <w:t>(NHS England, 2019).</w:t>
      </w:r>
      <w:r w:rsidR="0DE4AA5A" w:rsidRPr="3AB1E8CF">
        <w:rPr>
          <w:rFonts w:ascii="Arial" w:eastAsia="Arial" w:hAnsi="Arial" w:cs="Arial"/>
          <w:sz w:val="22"/>
          <w:szCs w:val="22"/>
        </w:rPr>
        <w:t xml:space="preserve"> </w:t>
      </w:r>
      <w:r w:rsidR="2DF78C5D" w:rsidRPr="3AB1E8CF">
        <w:rPr>
          <w:rFonts w:ascii="Arial" w:eastAsia="Arial" w:hAnsi="Arial" w:cs="Arial"/>
          <w:sz w:val="22"/>
          <w:szCs w:val="22"/>
        </w:rPr>
        <w:t xml:space="preserve">However, </w:t>
      </w:r>
      <w:r w:rsidR="200710F0" w:rsidRPr="3AB1E8CF">
        <w:rPr>
          <w:rFonts w:ascii="Arial" w:eastAsia="Arial" w:hAnsi="Arial" w:cs="Arial"/>
          <w:sz w:val="22"/>
          <w:szCs w:val="22"/>
        </w:rPr>
        <w:t>its</w:t>
      </w:r>
      <w:r w:rsidR="2DF78C5D" w:rsidRPr="3AB1E8CF">
        <w:rPr>
          <w:rFonts w:ascii="Arial" w:eastAsia="Arial" w:hAnsi="Arial" w:cs="Arial"/>
          <w:sz w:val="22"/>
          <w:szCs w:val="22"/>
        </w:rPr>
        <w:t xml:space="preserve"> effectiveness</w:t>
      </w:r>
      <w:r w:rsidR="6E06E164" w:rsidRPr="3AB1E8CF">
        <w:rPr>
          <w:rFonts w:ascii="Arial" w:eastAsia="Arial" w:hAnsi="Arial" w:cs="Arial"/>
          <w:sz w:val="22"/>
          <w:szCs w:val="22"/>
        </w:rPr>
        <w:t xml:space="preserve"> has been limited</w:t>
      </w:r>
      <w:r w:rsidR="2DF78C5D" w:rsidRPr="3AB1E8CF">
        <w:rPr>
          <w:rFonts w:ascii="Arial" w:eastAsia="Arial" w:hAnsi="Arial" w:cs="Arial"/>
          <w:sz w:val="22"/>
          <w:szCs w:val="22"/>
        </w:rPr>
        <w:t xml:space="preserve"> by workforce shortages, financial </w:t>
      </w:r>
      <w:r w:rsidR="00F91151" w:rsidRPr="3AB1E8CF">
        <w:rPr>
          <w:rFonts w:ascii="Arial" w:eastAsia="Arial" w:hAnsi="Arial" w:cs="Arial"/>
          <w:sz w:val="22"/>
          <w:szCs w:val="22"/>
        </w:rPr>
        <w:t>pressures,</w:t>
      </w:r>
      <w:r w:rsidR="2DF78C5D" w:rsidRPr="3AB1E8CF">
        <w:rPr>
          <w:rFonts w:ascii="Arial" w:eastAsia="Arial" w:hAnsi="Arial" w:cs="Arial"/>
          <w:sz w:val="22"/>
          <w:szCs w:val="22"/>
        </w:rPr>
        <w:t xml:space="preserve"> and </w:t>
      </w:r>
      <w:r w:rsidR="72144361" w:rsidRPr="3AB1E8CF">
        <w:rPr>
          <w:rFonts w:ascii="Arial" w:eastAsia="Arial" w:hAnsi="Arial" w:cs="Arial"/>
          <w:sz w:val="22"/>
          <w:szCs w:val="22"/>
        </w:rPr>
        <w:t xml:space="preserve">rising demand. </w:t>
      </w:r>
      <w:r w:rsidR="2DF78C5D" w:rsidRPr="3AB1E8CF">
        <w:rPr>
          <w:rFonts w:ascii="Arial" w:eastAsia="Arial" w:hAnsi="Arial" w:cs="Arial"/>
          <w:sz w:val="22"/>
          <w:szCs w:val="22"/>
        </w:rPr>
        <w:t>The COVID-19 pandemic</w:t>
      </w:r>
      <w:r w:rsidR="380C38B5" w:rsidRPr="3AB1E8CF">
        <w:rPr>
          <w:rFonts w:ascii="Arial" w:eastAsia="Arial" w:hAnsi="Arial" w:cs="Arial"/>
          <w:sz w:val="22"/>
          <w:szCs w:val="22"/>
        </w:rPr>
        <w:t xml:space="preserve"> further increased NHS waiting lists, reducing timely access to care</w:t>
      </w:r>
      <w:r w:rsidR="6B14E2CE" w:rsidRPr="3AB1E8CF">
        <w:rPr>
          <w:rFonts w:ascii="Arial" w:eastAsia="Arial" w:hAnsi="Arial" w:cs="Arial"/>
          <w:sz w:val="22"/>
          <w:szCs w:val="22"/>
        </w:rPr>
        <w:t xml:space="preserve"> (Khan, 2023). </w:t>
      </w:r>
      <w:r w:rsidR="002D7653" w:rsidRPr="3AB1E8CF">
        <w:rPr>
          <w:rFonts w:ascii="Arial" w:eastAsia="Arial" w:hAnsi="Arial" w:cs="Arial"/>
          <w:sz w:val="22"/>
          <w:szCs w:val="22"/>
        </w:rPr>
        <w:t xml:space="preserve">Marmot (2020) argues that </w:t>
      </w:r>
      <w:r w:rsidR="7C4896C6" w:rsidRPr="3AB1E8CF">
        <w:rPr>
          <w:rFonts w:ascii="Arial" w:eastAsia="Arial" w:hAnsi="Arial" w:cs="Arial"/>
          <w:sz w:val="22"/>
          <w:szCs w:val="22"/>
        </w:rPr>
        <w:t xml:space="preserve">widening </w:t>
      </w:r>
      <w:r w:rsidR="002D7653" w:rsidRPr="3AB1E8CF">
        <w:rPr>
          <w:rFonts w:ascii="Arial" w:eastAsia="Arial" w:hAnsi="Arial" w:cs="Arial"/>
          <w:sz w:val="22"/>
          <w:szCs w:val="22"/>
        </w:rPr>
        <w:t>health inequalities</w:t>
      </w:r>
      <w:r w:rsidR="0E5E22EB" w:rsidRPr="3AB1E8CF">
        <w:rPr>
          <w:rFonts w:ascii="Arial" w:eastAsia="Arial" w:hAnsi="Arial" w:cs="Arial"/>
          <w:sz w:val="22"/>
          <w:szCs w:val="22"/>
        </w:rPr>
        <w:t xml:space="preserve">, driven by </w:t>
      </w:r>
      <w:r w:rsidR="00F91151" w:rsidRPr="3AB1E8CF">
        <w:rPr>
          <w:rFonts w:ascii="Arial" w:eastAsia="Arial" w:hAnsi="Arial" w:cs="Arial"/>
          <w:sz w:val="22"/>
          <w:szCs w:val="22"/>
        </w:rPr>
        <w:t>austerity,</w:t>
      </w:r>
      <w:r w:rsidR="0E5E22EB" w:rsidRPr="3AB1E8CF">
        <w:rPr>
          <w:rFonts w:ascii="Arial" w:eastAsia="Arial" w:hAnsi="Arial" w:cs="Arial"/>
          <w:sz w:val="22"/>
          <w:szCs w:val="22"/>
        </w:rPr>
        <w:t xml:space="preserve"> and reduced public health funding, demonstrate that healthcare reform alone cannot a</w:t>
      </w:r>
      <w:r w:rsidR="002D7653" w:rsidRPr="3AB1E8CF">
        <w:rPr>
          <w:rFonts w:ascii="Arial" w:eastAsia="Arial" w:hAnsi="Arial" w:cs="Arial"/>
          <w:sz w:val="22"/>
          <w:szCs w:val="22"/>
        </w:rPr>
        <w:t>ddress broader social</w:t>
      </w:r>
      <w:r w:rsidR="264585E8" w:rsidRPr="3AB1E8CF">
        <w:rPr>
          <w:rFonts w:ascii="Arial" w:eastAsia="Arial" w:hAnsi="Arial" w:cs="Arial"/>
          <w:sz w:val="22"/>
          <w:szCs w:val="22"/>
        </w:rPr>
        <w:t xml:space="preserve"> factors of health.</w:t>
      </w:r>
    </w:p>
    <w:p w14:paraId="105E6810" w14:textId="264A7BD8" w:rsidR="1D18545A" w:rsidRDefault="1D18545A" w:rsidP="3AB1E8CF">
      <w:pPr>
        <w:spacing w:line="360" w:lineRule="auto"/>
        <w:rPr>
          <w:rFonts w:ascii="Arial" w:eastAsia="Arial" w:hAnsi="Arial" w:cs="Arial"/>
          <w:sz w:val="22"/>
          <w:szCs w:val="22"/>
        </w:rPr>
      </w:pPr>
      <w:r w:rsidRPr="3AB1E8CF">
        <w:rPr>
          <w:rFonts w:ascii="Arial" w:eastAsia="Arial" w:hAnsi="Arial" w:cs="Arial"/>
          <w:sz w:val="22"/>
          <w:szCs w:val="22"/>
        </w:rPr>
        <w:t xml:space="preserve">At a local level, Birmingham City Council’s Public Health Strategy </w:t>
      </w:r>
      <w:r w:rsidR="382FE2E7" w:rsidRPr="3AB1E8CF">
        <w:rPr>
          <w:rFonts w:ascii="Arial" w:eastAsia="Arial" w:hAnsi="Arial" w:cs="Arial"/>
          <w:sz w:val="22"/>
          <w:szCs w:val="22"/>
        </w:rPr>
        <w:t>demonstrates</w:t>
      </w:r>
      <w:r w:rsidRPr="3AB1E8CF">
        <w:rPr>
          <w:rFonts w:ascii="Arial" w:eastAsia="Arial" w:hAnsi="Arial" w:cs="Arial"/>
          <w:sz w:val="22"/>
          <w:szCs w:val="22"/>
        </w:rPr>
        <w:t xml:space="preserve"> SDG 3 implementation</w:t>
      </w:r>
      <w:r w:rsidR="4C284E1B" w:rsidRPr="3AB1E8CF">
        <w:rPr>
          <w:rFonts w:ascii="Arial" w:eastAsia="Arial" w:hAnsi="Arial" w:cs="Arial"/>
          <w:sz w:val="22"/>
          <w:szCs w:val="22"/>
        </w:rPr>
        <w:t xml:space="preserve"> by addressing health </w:t>
      </w:r>
      <w:r w:rsidRPr="3AB1E8CF">
        <w:rPr>
          <w:rFonts w:ascii="Arial" w:eastAsia="Arial" w:hAnsi="Arial" w:cs="Arial"/>
          <w:sz w:val="22"/>
          <w:szCs w:val="22"/>
        </w:rPr>
        <w:t>i</w:t>
      </w:r>
      <w:r w:rsidR="5FCD2981" w:rsidRPr="3AB1E8CF">
        <w:rPr>
          <w:rFonts w:ascii="Arial" w:eastAsia="Arial" w:hAnsi="Arial" w:cs="Arial"/>
          <w:sz w:val="22"/>
          <w:szCs w:val="22"/>
        </w:rPr>
        <w:t xml:space="preserve">nequalities </w:t>
      </w:r>
      <w:r w:rsidR="11F69D14" w:rsidRPr="3AB1E8CF">
        <w:rPr>
          <w:rFonts w:ascii="Arial" w:eastAsia="Arial" w:hAnsi="Arial" w:cs="Arial"/>
          <w:sz w:val="22"/>
          <w:szCs w:val="22"/>
        </w:rPr>
        <w:t xml:space="preserve">linked </w:t>
      </w:r>
      <w:r w:rsidR="3832424F" w:rsidRPr="3AB1E8CF">
        <w:rPr>
          <w:rFonts w:ascii="Arial" w:eastAsia="Arial" w:hAnsi="Arial" w:cs="Arial"/>
          <w:sz w:val="22"/>
          <w:szCs w:val="22"/>
        </w:rPr>
        <w:t xml:space="preserve">to </w:t>
      </w:r>
      <w:r w:rsidR="11F69D14" w:rsidRPr="3AB1E8CF">
        <w:rPr>
          <w:rFonts w:ascii="Arial" w:eastAsia="Arial" w:hAnsi="Arial" w:cs="Arial"/>
          <w:sz w:val="22"/>
          <w:szCs w:val="22"/>
        </w:rPr>
        <w:t>deprivation and socioeconomic status</w:t>
      </w:r>
      <w:r w:rsidR="48E3982B" w:rsidRPr="3AB1E8CF">
        <w:rPr>
          <w:rFonts w:ascii="Arial" w:eastAsia="Arial" w:hAnsi="Arial" w:cs="Arial"/>
          <w:sz w:val="22"/>
          <w:szCs w:val="22"/>
        </w:rPr>
        <w:t xml:space="preserve"> (Au-Yeung et al., 2024).</w:t>
      </w:r>
      <w:r w:rsidR="486E2A96" w:rsidRPr="3AB1E8CF">
        <w:rPr>
          <w:rFonts w:ascii="Arial" w:eastAsia="Arial" w:hAnsi="Arial" w:cs="Arial"/>
          <w:sz w:val="22"/>
          <w:szCs w:val="22"/>
        </w:rPr>
        <w:t xml:space="preserve"> I</w:t>
      </w:r>
      <w:r w:rsidR="11F69D14" w:rsidRPr="3AB1E8CF">
        <w:rPr>
          <w:rFonts w:ascii="Arial" w:eastAsia="Arial" w:hAnsi="Arial" w:cs="Arial"/>
          <w:sz w:val="22"/>
          <w:szCs w:val="22"/>
        </w:rPr>
        <w:t>nitiatives include smoking cessation</w:t>
      </w:r>
      <w:r w:rsidR="19DAAA5E" w:rsidRPr="3AB1E8CF">
        <w:rPr>
          <w:rFonts w:ascii="Arial" w:eastAsia="Arial" w:hAnsi="Arial" w:cs="Arial"/>
          <w:sz w:val="22"/>
          <w:szCs w:val="22"/>
        </w:rPr>
        <w:t>,</w:t>
      </w:r>
      <w:r w:rsidR="11F69D14" w:rsidRPr="3AB1E8CF">
        <w:rPr>
          <w:rFonts w:ascii="Arial" w:eastAsia="Arial" w:hAnsi="Arial" w:cs="Arial"/>
          <w:sz w:val="22"/>
          <w:szCs w:val="22"/>
        </w:rPr>
        <w:t xml:space="preserve"> healthy weight interventions, physical activity campaigns and mental health support. </w:t>
      </w:r>
      <w:r w:rsidR="2AD14E72" w:rsidRPr="3AB1E8CF">
        <w:rPr>
          <w:rFonts w:ascii="Arial" w:eastAsia="Arial" w:hAnsi="Arial" w:cs="Arial"/>
          <w:sz w:val="22"/>
          <w:szCs w:val="22"/>
        </w:rPr>
        <w:t>These c</w:t>
      </w:r>
      <w:r w:rsidR="543321D7" w:rsidRPr="3AB1E8CF">
        <w:rPr>
          <w:rFonts w:ascii="Arial" w:eastAsia="Arial" w:hAnsi="Arial" w:cs="Arial"/>
          <w:sz w:val="22"/>
          <w:szCs w:val="22"/>
        </w:rPr>
        <w:t xml:space="preserve">ommunity-based </w:t>
      </w:r>
      <w:r w:rsidR="5697EAD8" w:rsidRPr="3AB1E8CF">
        <w:rPr>
          <w:rFonts w:ascii="Arial" w:eastAsia="Arial" w:hAnsi="Arial" w:cs="Arial"/>
          <w:sz w:val="22"/>
          <w:szCs w:val="22"/>
        </w:rPr>
        <w:t>approaches allow services to be tailored to local needs and reflect Marmot’s (2010), where services are universally available but delivered according to levels of disadvantage.</w:t>
      </w:r>
    </w:p>
    <w:p w14:paraId="76E379D6" w14:textId="7C79AB90" w:rsidR="2417FE0C" w:rsidRDefault="2417FE0C" w:rsidP="3AB1E8CF">
      <w:pPr>
        <w:spacing w:line="360" w:lineRule="auto"/>
        <w:rPr>
          <w:rFonts w:ascii="Arial" w:eastAsia="Arial" w:hAnsi="Arial" w:cs="Arial"/>
          <w:sz w:val="22"/>
          <w:szCs w:val="22"/>
        </w:rPr>
      </w:pPr>
      <w:r w:rsidRPr="3AB1E8CF">
        <w:rPr>
          <w:rFonts w:ascii="Arial" w:eastAsia="Arial" w:hAnsi="Arial" w:cs="Arial"/>
          <w:sz w:val="22"/>
          <w:szCs w:val="22"/>
        </w:rPr>
        <w:t>Despite these strengths, local authorities continue to experience financial challenges. Reduced public health budgets have limited the scale of preventative services despite increasing demand</w:t>
      </w:r>
      <w:r w:rsidR="614D8FCE" w:rsidRPr="3AB1E8CF">
        <w:rPr>
          <w:rFonts w:ascii="Arial" w:eastAsia="Arial" w:hAnsi="Arial" w:cs="Arial"/>
          <w:sz w:val="22"/>
          <w:szCs w:val="22"/>
        </w:rPr>
        <w:t xml:space="preserve"> (The King’s Fund, 2026). </w:t>
      </w:r>
      <w:r w:rsidR="54DDE611" w:rsidRPr="3AB1E8CF">
        <w:rPr>
          <w:rFonts w:ascii="Arial" w:eastAsia="Arial" w:hAnsi="Arial" w:cs="Arial"/>
          <w:sz w:val="22"/>
          <w:szCs w:val="22"/>
        </w:rPr>
        <w:t>Consequently, many interventions remain short-term rather than producing sustainable improvements.</w:t>
      </w:r>
    </w:p>
    <w:p w14:paraId="0E886496" w14:textId="5A785776" w:rsidR="57338E17" w:rsidRDefault="57338E17" w:rsidP="3AB1E8CF">
      <w:pPr>
        <w:pStyle w:val="Heading4"/>
        <w:rPr>
          <w:rFonts w:ascii="Arial" w:hAnsi="Arial" w:cs="Arial"/>
          <w:b/>
          <w:bCs/>
          <w:i w:val="0"/>
          <w:iCs w:val="0"/>
          <w:color w:val="000000" w:themeColor="text1"/>
          <w:sz w:val="22"/>
          <w:szCs w:val="22"/>
        </w:rPr>
      </w:pPr>
      <w:bookmarkStart w:id="4" w:name="_Toc235226038"/>
      <w:r w:rsidRPr="00F91151">
        <w:rPr>
          <w:rFonts w:ascii="Arial" w:hAnsi="Arial" w:cs="Arial"/>
          <w:b/>
          <w:bCs/>
          <w:i w:val="0"/>
          <w:iCs w:val="0"/>
          <w:color w:val="000000" w:themeColor="text1"/>
          <w:sz w:val="22"/>
          <w:szCs w:val="22"/>
        </w:rPr>
        <w:t>Application of Health Theories and Models:</w:t>
      </w:r>
      <w:bookmarkEnd w:id="4"/>
    </w:p>
    <w:p w14:paraId="66DEAEFC" w14:textId="77777777" w:rsidR="00F91151" w:rsidRPr="00F91151" w:rsidRDefault="00F91151" w:rsidP="00F91151"/>
    <w:p w14:paraId="4415D421" w14:textId="6C450C86" w:rsidR="56964C7E" w:rsidRDefault="56964C7E" w:rsidP="3AB1E8CF">
      <w:pPr>
        <w:spacing w:line="360" w:lineRule="auto"/>
        <w:rPr>
          <w:rFonts w:ascii="Arial" w:eastAsia="Arial" w:hAnsi="Arial" w:cs="Arial"/>
          <w:sz w:val="22"/>
          <w:szCs w:val="22"/>
        </w:rPr>
      </w:pPr>
      <w:r w:rsidRPr="3AB1E8CF">
        <w:rPr>
          <w:rFonts w:ascii="Arial" w:eastAsia="Arial" w:hAnsi="Arial" w:cs="Arial"/>
          <w:sz w:val="22"/>
          <w:szCs w:val="22"/>
        </w:rPr>
        <w:t xml:space="preserve">The Social Determinants of Health Model developed by Dahlgren and Whitehead (1991) presents a useful framework for evaluating SDG 3. The model shows that health is influenced </w:t>
      </w:r>
      <w:r w:rsidR="07EAFF59" w:rsidRPr="3AB1E8CF">
        <w:rPr>
          <w:rFonts w:ascii="Arial" w:eastAsia="Arial" w:hAnsi="Arial" w:cs="Arial"/>
          <w:sz w:val="22"/>
          <w:szCs w:val="22"/>
        </w:rPr>
        <w:t>by multiple interconnected factors including income, education, housing</w:t>
      </w:r>
      <w:r w:rsidR="35FB103B" w:rsidRPr="3AB1E8CF">
        <w:rPr>
          <w:rFonts w:ascii="Arial" w:eastAsia="Arial" w:hAnsi="Arial" w:cs="Arial"/>
          <w:sz w:val="22"/>
          <w:szCs w:val="22"/>
        </w:rPr>
        <w:t>.</w:t>
      </w:r>
      <w:r w:rsidR="07EAFF59" w:rsidRPr="3AB1E8CF">
        <w:rPr>
          <w:rFonts w:ascii="Arial" w:eastAsia="Arial" w:hAnsi="Arial" w:cs="Arial"/>
          <w:sz w:val="22"/>
          <w:szCs w:val="22"/>
        </w:rPr>
        <w:t xml:space="preserve"> </w:t>
      </w:r>
      <w:r w:rsidR="18EDA51C" w:rsidRPr="3AB1E8CF">
        <w:rPr>
          <w:rFonts w:ascii="Arial" w:eastAsia="Arial" w:hAnsi="Arial" w:cs="Arial"/>
          <w:sz w:val="22"/>
          <w:szCs w:val="22"/>
        </w:rPr>
        <w:t xml:space="preserve">This model demonstrates why healthcare services alone cannot achieve SDG 3. For example, obesity cannot simply be addressed through clinical </w:t>
      </w:r>
      <w:r w:rsidR="01976B82" w:rsidRPr="3AB1E8CF">
        <w:rPr>
          <w:rFonts w:ascii="Arial" w:eastAsia="Arial" w:hAnsi="Arial" w:cs="Arial"/>
          <w:sz w:val="22"/>
          <w:szCs w:val="22"/>
        </w:rPr>
        <w:t>interventions if individual lack access to affordable healthy good or safe environments for physical activity</w:t>
      </w:r>
      <w:r w:rsidR="7EF1D19B" w:rsidRPr="3AB1E8CF">
        <w:rPr>
          <w:rFonts w:ascii="Arial" w:eastAsia="Arial" w:hAnsi="Arial" w:cs="Arial"/>
          <w:sz w:val="22"/>
          <w:szCs w:val="22"/>
        </w:rPr>
        <w:t xml:space="preserve"> (Chotchoungchatchai et al., 2020).</w:t>
      </w:r>
      <w:r w:rsidR="01976B82" w:rsidRPr="3AB1E8CF">
        <w:rPr>
          <w:rFonts w:ascii="Arial" w:eastAsia="Arial" w:hAnsi="Arial" w:cs="Arial"/>
          <w:sz w:val="22"/>
          <w:szCs w:val="22"/>
        </w:rPr>
        <w:t xml:space="preserve"> </w:t>
      </w:r>
    </w:p>
    <w:p w14:paraId="7D9019C1" w14:textId="52049525" w:rsidR="1D70EEDB" w:rsidRDefault="1D70EEDB" w:rsidP="3AB1E8CF">
      <w:pPr>
        <w:spacing w:line="360" w:lineRule="auto"/>
        <w:rPr>
          <w:rFonts w:ascii="Arial" w:eastAsia="Arial" w:hAnsi="Arial" w:cs="Arial"/>
          <w:sz w:val="22"/>
          <w:szCs w:val="22"/>
        </w:rPr>
      </w:pPr>
      <w:r w:rsidRPr="3AB1E8CF">
        <w:rPr>
          <w:rFonts w:ascii="Arial" w:eastAsia="Arial" w:hAnsi="Arial" w:cs="Arial"/>
          <w:sz w:val="22"/>
          <w:szCs w:val="22"/>
        </w:rPr>
        <w:t>The Health Belief Model (HBM) also explains individual engagement with preventative healthcare. It suggests health behaviours rely on perceived susceptibilit</w:t>
      </w:r>
      <w:r w:rsidR="5D1A772F" w:rsidRPr="3AB1E8CF">
        <w:rPr>
          <w:rFonts w:ascii="Arial" w:eastAsia="Arial" w:hAnsi="Arial" w:cs="Arial"/>
          <w:sz w:val="22"/>
          <w:szCs w:val="22"/>
        </w:rPr>
        <w:t>y</w:t>
      </w:r>
      <w:r w:rsidR="45F19A1E" w:rsidRPr="3AB1E8CF">
        <w:rPr>
          <w:rFonts w:ascii="Arial" w:eastAsia="Arial" w:hAnsi="Arial" w:cs="Arial"/>
          <w:sz w:val="22"/>
          <w:szCs w:val="22"/>
        </w:rPr>
        <w:t>, benefits, and barriers (</w:t>
      </w:r>
      <w:r w:rsidR="27BEF90C" w:rsidRPr="3AB1E8CF">
        <w:rPr>
          <w:rFonts w:ascii="Arial" w:eastAsia="Arial" w:hAnsi="Arial" w:cs="Arial"/>
          <w:sz w:val="22"/>
          <w:szCs w:val="22"/>
        </w:rPr>
        <w:t>Alyafei and Carr, 2024)</w:t>
      </w:r>
      <w:r w:rsidR="728484E7" w:rsidRPr="3AB1E8CF">
        <w:rPr>
          <w:rFonts w:ascii="Arial" w:eastAsia="Arial" w:hAnsi="Arial" w:cs="Arial"/>
          <w:sz w:val="22"/>
          <w:szCs w:val="22"/>
        </w:rPr>
        <w:t>. Public health campaigns encouraging vaccination</w:t>
      </w:r>
      <w:r w:rsidR="07E1ED60" w:rsidRPr="3AB1E8CF">
        <w:rPr>
          <w:rFonts w:ascii="Arial" w:eastAsia="Arial" w:hAnsi="Arial" w:cs="Arial"/>
          <w:sz w:val="22"/>
          <w:szCs w:val="22"/>
        </w:rPr>
        <w:t xml:space="preserve">, cancer screening or smoking cessation often rely on these behavioural principles. </w:t>
      </w:r>
      <w:r w:rsidR="2D2EABC0" w:rsidRPr="3AB1E8CF">
        <w:rPr>
          <w:rFonts w:ascii="Arial" w:eastAsia="Arial" w:hAnsi="Arial" w:cs="Arial"/>
          <w:sz w:val="22"/>
          <w:szCs w:val="22"/>
        </w:rPr>
        <w:t xml:space="preserve">However, behavioural models are criticised because they focus primarily on individual choice while underestimating structural inequalities. Research argues that expecting individuals to change behaviour without </w:t>
      </w:r>
      <w:r w:rsidR="2CE1DC78" w:rsidRPr="3AB1E8CF">
        <w:rPr>
          <w:rFonts w:ascii="Arial" w:eastAsia="Arial" w:hAnsi="Arial" w:cs="Arial"/>
          <w:sz w:val="22"/>
          <w:szCs w:val="22"/>
        </w:rPr>
        <w:t>addressing wider socioeconomic barriers may unintentionally reinforce health inequalities</w:t>
      </w:r>
      <w:r w:rsidR="047E268D" w:rsidRPr="3AB1E8CF">
        <w:rPr>
          <w:rFonts w:ascii="Arial" w:eastAsia="Arial" w:hAnsi="Arial" w:cs="Arial"/>
          <w:sz w:val="22"/>
          <w:szCs w:val="22"/>
        </w:rPr>
        <w:t xml:space="preserve"> (Baum and Fisher, 2014).</w:t>
      </w:r>
    </w:p>
    <w:p w14:paraId="55925C83" w14:textId="4AD6AB92" w:rsidR="047E268D" w:rsidRPr="00F91151" w:rsidRDefault="047E268D" w:rsidP="3AB1E8CF">
      <w:pPr>
        <w:pStyle w:val="Heading5"/>
        <w:rPr>
          <w:rFonts w:ascii="Arial" w:eastAsia="Arial" w:hAnsi="Arial" w:cs="Arial"/>
          <w:b/>
          <w:bCs/>
          <w:color w:val="000000" w:themeColor="text1"/>
          <w:sz w:val="22"/>
          <w:szCs w:val="22"/>
        </w:rPr>
      </w:pPr>
      <w:bookmarkStart w:id="5" w:name="_Toc235226039"/>
      <w:r w:rsidRPr="00F91151">
        <w:rPr>
          <w:rFonts w:ascii="Arial" w:hAnsi="Arial" w:cs="Arial"/>
          <w:b/>
          <w:bCs/>
          <w:color w:val="000000" w:themeColor="text1"/>
          <w:sz w:val="22"/>
          <w:szCs w:val="22"/>
        </w:rPr>
        <w:t>Evidence-Informed Recommendations:</w:t>
      </w:r>
      <w:bookmarkEnd w:id="5"/>
      <w:r w:rsidRPr="00F91151">
        <w:rPr>
          <w:rFonts w:ascii="Arial" w:hAnsi="Arial" w:cs="Arial"/>
          <w:b/>
          <w:bCs/>
          <w:color w:val="000000" w:themeColor="text1"/>
          <w:sz w:val="22"/>
          <w:szCs w:val="22"/>
        </w:rPr>
        <w:t xml:space="preserve"> </w:t>
      </w:r>
    </w:p>
    <w:p w14:paraId="341D0F06" w14:textId="1A89C447" w:rsidR="07D27C9D" w:rsidRDefault="07D27C9D" w:rsidP="3AB1E8CF">
      <w:pPr>
        <w:spacing w:before="240" w:after="240" w:line="360" w:lineRule="auto"/>
        <w:rPr>
          <w:rFonts w:ascii="Arial" w:eastAsia="Arial" w:hAnsi="Arial" w:cs="Arial"/>
          <w:sz w:val="22"/>
          <w:szCs w:val="22"/>
        </w:rPr>
      </w:pPr>
      <w:r w:rsidRPr="3AB1E8CF">
        <w:rPr>
          <w:rFonts w:ascii="Arial" w:eastAsia="Arial" w:hAnsi="Arial" w:cs="Arial"/>
          <w:sz w:val="22"/>
          <w:szCs w:val="22"/>
        </w:rPr>
        <w:t xml:space="preserve">Although progress has been made towards SDG 3, further action is needed to reduce inequalities. Governments should prioritise preventative healthcare to improve long-term outcomes and reduce costs (Craig &amp; Robinson, 2019). A Health in All Policies (HiAP) approach can strengthen cross-sector collaboration by integrating health considerations into housing, </w:t>
      </w:r>
      <w:r w:rsidR="00F91151" w:rsidRPr="3AB1E8CF">
        <w:rPr>
          <w:rFonts w:ascii="Arial" w:eastAsia="Arial" w:hAnsi="Arial" w:cs="Arial"/>
          <w:sz w:val="22"/>
          <w:szCs w:val="22"/>
        </w:rPr>
        <w:t>employment,</w:t>
      </w:r>
      <w:r w:rsidRPr="3AB1E8CF">
        <w:rPr>
          <w:rFonts w:ascii="Arial" w:eastAsia="Arial" w:hAnsi="Arial" w:cs="Arial"/>
          <w:sz w:val="22"/>
          <w:szCs w:val="22"/>
        </w:rPr>
        <w:t xml:space="preserve"> and other policies (Cain et al., 2022). Investment should target disadvantaged communities in line with Marmot’s (2010) principle of proportionate universalism, while digital health expansion should address exclusion among vulnerable groups.</w:t>
      </w:r>
    </w:p>
    <w:p w14:paraId="14C7DF2E" w14:textId="6A832D7F" w:rsidR="3AB1E8CF" w:rsidRDefault="218F36C4" w:rsidP="00F91151">
      <w:pPr>
        <w:spacing w:before="240" w:after="240" w:line="360" w:lineRule="auto"/>
        <w:rPr>
          <w:rFonts w:ascii="Arial" w:eastAsia="Arial" w:hAnsi="Arial" w:cs="Arial"/>
          <w:sz w:val="22"/>
          <w:szCs w:val="22"/>
        </w:rPr>
      </w:pPr>
      <w:r w:rsidRPr="3AB1E8CF">
        <w:rPr>
          <w:rFonts w:ascii="Arial" w:eastAsia="Arial" w:hAnsi="Arial" w:cs="Arial"/>
          <w:sz w:val="22"/>
          <w:szCs w:val="22"/>
        </w:rPr>
        <w:t>Overall, SDG 3 has established an ambitious framework for improving global health and wellbeing. While initiatives like UHC and the NHS Long Term Plan have contributed to positive outcomes, persistent ine</w:t>
      </w:r>
      <w:r w:rsidR="3B27ED79" w:rsidRPr="3AB1E8CF">
        <w:rPr>
          <w:rFonts w:ascii="Arial" w:eastAsia="Arial" w:hAnsi="Arial" w:cs="Arial"/>
          <w:sz w:val="22"/>
          <w:szCs w:val="22"/>
        </w:rPr>
        <w:t>qualities show that healthcare reform alone is not enough. Sustainable improvements require integrated policies addressing both healthcare provision and the wider social determinants of health</w:t>
      </w:r>
      <w:r w:rsidR="75B15FCD" w:rsidRPr="3AB1E8CF">
        <w:rPr>
          <w:rFonts w:ascii="Arial" w:eastAsia="Arial" w:hAnsi="Arial" w:cs="Arial"/>
          <w:sz w:val="22"/>
          <w:szCs w:val="22"/>
        </w:rPr>
        <w:t>.</w:t>
      </w:r>
    </w:p>
    <w:p w14:paraId="52258B1C" w14:textId="7086F99C" w:rsidR="02BA40DA" w:rsidRPr="00F91151" w:rsidRDefault="02BA40DA" w:rsidP="3AB1E8CF">
      <w:pPr>
        <w:pStyle w:val="Heading6"/>
        <w:rPr>
          <w:rFonts w:ascii="Arial" w:eastAsia="Arial" w:hAnsi="Arial" w:cs="Arial"/>
          <w:b/>
          <w:bCs/>
          <w:i w:val="0"/>
          <w:iCs w:val="0"/>
          <w:color w:val="000000" w:themeColor="text1"/>
          <w:sz w:val="22"/>
          <w:szCs w:val="22"/>
        </w:rPr>
      </w:pPr>
      <w:bookmarkStart w:id="6" w:name="_Toc235226040"/>
      <w:r w:rsidRPr="00F91151">
        <w:rPr>
          <w:rFonts w:ascii="Arial" w:hAnsi="Arial" w:cs="Arial"/>
          <w:b/>
          <w:bCs/>
          <w:i w:val="0"/>
          <w:iCs w:val="0"/>
          <w:color w:val="000000" w:themeColor="text1"/>
          <w:sz w:val="22"/>
          <w:szCs w:val="22"/>
        </w:rPr>
        <w:t>Section 2: Sustainable</w:t>
      </w:r>
      <w:r w:rsidR="6CC0A665" w:rsidRPr="00F91151">
        <w:rPr>
          <w:rFonts w:ascii="Arial" w:hAnsi="Arial" w:cs="Arial"/>
          <w:b/>
          <w:bCs/>
          <w:i w:val="0"/>
          <w:iCs w:val="0"/>
          <w:color w:val="000000" w:themeColor="text1"/>
          <w:sz w:val="22"/>
          <w:szCs w:val="22"/>
        </w:rPr>
        <w:t xml:space="preserve"> Development Goal (</w:t>
      </w:r>
      <w:r w:rsidR="44699132" w:rsidRPr="00F91151">
        <w:rPr>
          <w:rFonts w:ascii="Arial" w:hAnsi="Arial" w:cs="Arial"/>
          <w:b/>
          <w:bCs/>
          <w:i w:val="0"/>
          <w:iCs w:val="0"/>
          <w:color w:val="000000" w:themeColor="text1"/>
          <w:sz w:val="22"/>
          <w:szCs w:val="22"/>
        </w:rPr>
        <w:t xml:space="preserve">SDG) </w:t>
      </w:r>
      <w:r w:rsidR="6CC0A665" w:rsidRPr="00F91151">
        <w:rPr>
          <w:rFonts w:ascii="Arial" w:hAnsi="Arial" w:cs="Arial"/>
          <w:b/>
          <w:bCs/>
          <w:i w:val="0"/>
          <w:iCs w:val="0"/>
          <w:color w:val="000000" w:themeColor="text1"/>
          <w:sz w:val="22"/>
          <w:szCs w:val="22"/>
        </w:rPr>
        <w:t>13 (Climate Action)</w:t>
      </w:r>
      <w:bookmarkEnd w:id="6"/>
    </w:p>
    <w:p w14:paraId="222DBE36" w14:textId="2219AF29" w:rsidR="7CE4EC25" w:rsidRPr="00F91151" w:rsidRDefault="7CE4EC25" w:rsidP="3AB1E8CF">
      <w:pPr>
        <w:pStyle w:val="Heading6"/>
        <w:rPr>
          <w:rFonts w:ascii="Arial" w:hAnsi="Arial" w:cs="Arial"/>
          <w:b/>
          <w:bCs/>
          <w:i w:val="0"/>
          <w:iCs w:val="0"/>
          <w:color w:val="000000" w:themeColor="text1"/>
          <w:sz w:val="22"/>
          <w:szCs w:val="22"/>
        </w:rPr>
      </w:pPr>
      <w:bookmarkStart w:id="7" w:name="_Toc235226041"/>
      <w:r w:rsidRPr="00F91151">
        <w:rPr>
          <w:rFonts w:ascii="Arial" w:hAnsi="Arial" w:cs="Arial"/>
          <w:b/>
          <w:bCs/>
          <w:i w:val="0"/>
          <w:iCs w:val="0"/>
          <w:color w:val="000000" w:themeColor="text1"/>
          <w:sz w:val="22"/>
          <w:szCs w:val="22"/>
        </w:rPr>
        <w:t>Overview of SDG 13:</w:t>
      </w:r>
      <w:bookmarkEnd w:id="7"/>
    </w:p>
    <w:p w14:paraId="4163AC74" w14:textId="77777777" w:rsidR="00F91151" w:rsidRPr="00F91151" w:rsidRDefault="00F91151" w:rsidP="00F91151"/>
    <w:p w14:paraId="0FD31B12" w14:textId="387BADAC" w:rsidR="4CD0DB3C" w:rsidRDefault="4CD0DB3C" w:rsidP="3AB1E8CF">
      <w:pPr>
        <w:spacing w:line="360" w:lineRule="auto"/>
        <w:rPr>
          <w:rFonts w:ascii="Arial" w:eastAsia="Arial" w:hAnsi="Arial" w:cs="Arial"/>
          <w:sz w:val="22"/>
          <w:szCs w:val="22"/>
        </w:rPr>
      </w:pPr>
      <w:r w:rsidRPr="3AB1E8CF">
        <w:rPr>
          <w:rFonts w:ascii="Arial" w:eastAsia="Arial" w:hAnsi="Arial" w:cs="Arial"/>
          <w:sz w:val="22"/>
          <w:szCs w:val="22"/>
        </w:rPr>
        <w:t>SDG 13 seeks to “take urgent action to combat climate change and its impacts” (United Nations, 2015). Climate change is recognised as one of the greatest threats to sustainable development, wi</w:t>
      </w:r>
      <w:r w:rsidR="4969DCAE" w:rsidRPr="3AB1E8CF">
        <w:rPr>
          <w:rFonts w:ascii="Arial" w:eastAsia="Arial" w:hAnsi="Arial" w:cs="Arial"/>
          <w:sz w:val="22"/>
          <w:szCs w:val="22"/>
        </w:rPr>
        <w:t>th rising global temperatures, contributing to more frequent extreme weather events</w:t>
      </w:r>
      <w:r w:rsidR="35E90A58" w:rsidRPr="3AB1E8CF">
        <w:rPr>
          <w:rFonts w:ascii="Arial" w:eastAsia="Arial" w:hAnsi="Arial" w:cs="Arial"/>
          <w:sz w:val="22"/>
          <w:szCs w:val="22"/>
        </w:rPr>
        <w:t xml:space="preserve"> </w:t>
      </w:r>
      <w:r w:rsidR="4969DCAE" w:rsidRPr="3AB1E8CF">
        <w:rPr>
          <w:rFonts w:ascii="Arial" w:eastAsia="Arial" w:hAnsi="Arial" w:cs="Arial"/>
          <w:sz w:val="22"/>
          <w:szCs w:val="22"/>
        </w:rPr>
        <w:t>and significant health inequalities. Unlike other SDGs, SDG 13 underpins the achievem</w:t>
      </w:r>
      <w:r w:rsidR="56C14C09" w:rsidRPr="3AB1E8CF">
        <w:rPr>
          <w:rFonts w:ascii="Arial" w:eastAsia="Arial" w:hAnsi="Arial" w:cs="Arial"/>
          <w:sz w:val="22"/>
          <w:szCs w:val="22"/>
        </w:rPr>
        <w:t xml:space="preserve">ent of several interconnected goals, particularly SDG 3, as climate change directly affects physical health, mental </w:t>
      </w:r>
      <w:r w:rsidR="00F91151" w:rsidRPr="3AB1E8CF">
        <w:rPr>
          <w:rFonts w:ascii="Arial" w:eastAsia="Arial" w:hAnsi="Arial" w:cs="Arial"/>
          <w:sz w:val="22"/>
          <w:szCs w:val="22"/>
        </w:rPr>
        <w:t>wellbeing,</w:t>
      </w:r>
      <w:r w:rsidR="56C14C09" w:rsidRPr="3AB1E8CF">
        <w:rPr>
          <w:rFonts w:ascii="Arial" w:eastAsia="Arial" w:hAnsi="Arial" w:cs="Arial"/>
          <w:sz w:val="22"/>
          <w:szCs w:val="22"/>
        </w:rPr>
        <w:t xml:space="preserve"> and healthcare systems.</w:t>
      </w:r>
    </w:p>
    <w:p w14:paraId="7DA18C60" w14:textId="7D82CA8E" w:rsidR="17502731" w:rsidRDefault="17502731" w:rsidP="3AB1E8CF">
      <w:pPr>
        <w:spacing w:line="360" w:lineRule="auto"/>
      </w:pPr>
      <w:r w:rsidRPr="3AB1E8CF">
        <w:rPr>
          <w:rFonts w:ascii="Arial" w:eastAsia="Arial" w:hAnsi="Arial" w:cs="Arial"/>
          <w:sz w:val="22"/>
          <w:szCs w:val="22"/>
        </w:rPr>
        <w:t>The IPCC (2023) reports that human activity has driven global warming, increasing heatwaves and sea levels. These changes threaten population health through air pollution, reduced food and water security, and climate-related mental health impacts (Sundas et al., 2024). Achieving SDG 13 requires coordinated action on climate mitigation and adaptation (United Nations, 2015). However, progress remains uneven as many countries continue to prioritise short-term economic growth over environmental sustainability, limiting progress towards global climate targets (United Nations, 2025).</w:t>
      </w:r>
    </w:p>
    <w:p w14:paraId="58BE060B" w14:textId="58F73554" w:rsidR="3AB1E8CF" w:rsidRDefault="3AB1E8CF" w:rsidP="3AB1E8CF">
      <w:pPr>
        <w:spacing w:line="360" w:lineRule="auto"/>
        <w:rPr>
          <w:rFonts w:ascii="Arial" w:eastAsia="Arial" w:hAnsi="Arial" w:cs="Arial"/>
          <w:sz w:val="22"/>
          <w:szCs w:val="22"/>
        </w:rPr>
      </w:pPr>
    </w:p>
    <w:p w14:paraId="5F6AF1A8" w14:textId="551C476E" w:rsidR="5F6167CD" w:rsidRDefault="5F6167CD" w:rsidP="3AB1E8CF">
      <w:pPr>
        <w:pStyle w:val="Heading7"/>
        <w:rPr>
          <w:rFonts w:ascii="Arial" w:hAnsi="Arial" w:cs="Arial"/>
          <w:b/>
          <w:bCs/>
          <w:color w:val="000000" w:themeColor="text1"/>
          <w:sz w:val="22"/>
          <w:szCs w:val="22"/>
        </w:rPr>
      </w:pPr>
      <w:bookmarkStart w:id="8" w:name="_Toc235226042"/>
      <w:r w:rsidRPr="00F91151">
        <w:rPr>
          <w:rFonts w:ascii="Arial" w:hAnsi="Arial" w:cs="Arial"/>
          <w:b/>
          <w:bCs/>
          <w:color w:val="000000" w:themeColor="text1"/>
          <w:sz w:val="22"/>
          <w:szCs w:val="22"/>
        </w:rPr>
        <w:t>Critical Evaluation of Global Policies and Initiatives:</w:t>
      </w:r>
      <w:bookmarkEnd w:id="8"/>
    </w:p>
    <w:p w14:paraId="535F4ADD" w14:textId="77777777" w:rsidR="00F91151" w:rsidRPr="00F91151" w:rsidRDefault="00F91151" w:rsidP="00F91151"/>
    <w:p w14:paraId="1EFB7F93" w14:textId="78E28540" w:rsidR="237A37F0" w:rsidRDefault="237A37F0" w:rsidP="3AB1E8CF">
      <w:pPr>
        <w:spacing w:line="360" w:lineRule="auto"/>
        <w:rPr>
          <w:rFonts w:ascii="Arial" w:eastAsia="Arial" w:hAnsi="Arial" w:cs="Arial"/>
          <w:sz w:val="22"/>
          <w:szCs w:val="22"/>
        </w:rPr>
      </w:pPr>
      <w:r w:rsidRPr="3AB1E8CF">
        <w:rPr>
          <w:rFonts w:ascii="Arial" w:eastAsia="Arial" w:hAnsi="Arial" w:cs="Arial"/>
          <w:sz w:val="22"/>
          <w:szCs w:val="22"/>
        </w:rPr>
        <w:t xml:space="preserve">The Paris Agreement (2015) is the most significant international policy supporting SDG 13. It is signed by almost every </w:t>
      </w:r>
      <w:r w:rsidR="4600E245" w:rsidRPr="3AB1E8CF">
        <w:rPr>
          <w:rFonts w:ascii="Arial" w:eastAsia="Arial" w:hAnsi="Arial" w:cs="Arial"/>
          <w:sz w:val="22"/>
          <w:szCs w:val="22"/>
        </w:rPr>
        <w:t>nation,</w:t>
      </w:r>
      <w:r w:rsidR="2E5497F6" w:rsidRPr="3AB1E8CF">
        <w:rPr>
          <w:rFonts w:ascii="Arial" w:eastAsia="Arial" w:hAnsi="Arial" w:cs="Arial"/>
          <w:sz w:val="22"/>
          <w:szCs w:val="22"/>
        </w:rPr>
        <w:t xml:space="preserve"> and </w:t>
      </w:r>
      <w:r w:rsidR="02B378D2" w:rsidRPr="3AB1E8CF">
        <w:rPr>
          <w:rFonts w:ascii="Arial" w:eastAsia="Arial" w:hAnsi="Arial" w:cs="Arial"/>
          <w:sz w:val="22"/>
          <w:szCs w:val="22"/>
        </w:rPr>
        <w:t>it</w:t>
      </w:r>
      <w:r w:rsidRPr="3AB1E8CF">
        <w:rPr>
          <w:rFonts w:ascii="Arial" w:eastAsia="Arial" w:hAnsi="Arial" w:cs="Arial"/>
          <w:sz w:val="22"/>
          <w:szCs w:val="22"/>
        </w:rPr>
        <w:t xml:space="preserve"> aims </w:t>
      </w:r>
      <w:r w:rsidR="158B1F9D" w:rsidRPr="3AB1E8CF">
        <w:rPr>
          <w:rFonts w:ascii="Arial" w:eastAsia="Arial" w:hAnsi="Arial" w:cs="Arial"/>
          <w:sz w:val="22"/>
          <w:szCs w:val="22"/>
        </w:rPr>
        <w:t xml:space="preserve">to limit global temperature increased to well below 2 degrees </w:t>
      </w:r>
      <w:r w:rsidR="07A08A83" w:rsidRPr="3AB1E8CF">
        <w:rPr>
          <w:rFonts w:ascii="Arial" w:eastAsia="Arial" w:hAnsi="Arial" w:cs="Arial"/>
          <w:sz w:val="22"/>
          <w:szCs w:val="22"/>
        </w:rPr>
        <w:t>Celsius</w:t>
      </w:r>
      <w:r w:rsidR="158B1F9D" w:rsidRPr="3AB1E8CF">
        <w:rPr>
          <w:rFonts w:ascii="Arial" w:eastAsia="Arial" w:hAnsi="Arial" w:cs="Arial"/>
          <w:sz w:val="22"/>
          <w:szCs w:val="22"/>
        </w:rPr>
        <w:t xml:space="preserve"> above pre-industrial levels while pursuing efforts to restrict warming to 1.5 degrees </w:t>
      </w:r>
      <w:r w:rsidR="56667E43" w:rsidRPr="3AB1E8CF">
        <w:rPr>
          <w:rFonts w:ascii="Arial" w:eastAsia="Arial" w:hAnsi="Arial" w:cs="Arial"/>
          <w:sz w:val="22"/>
          <w:szCs w:val="22"/>
        </w:rPr>
        <w:t>Celsius (UNFCCC, 20</w:t>
      </w:r>
      <w:r w:rsidR="58309EC4" w:rsidRPr="3AB1E8CF">
        <w:rPr>
          <w:rFonts w:ascii="Arial" w:eastAsia="Arial" w:hAnsi="Arial" w:cs="Arial"/>
          <w:sz w:val="22"/>
          <w:szCs w:val="22"/>
        </w:rPr>
        <w:t>22)</w:t>
      </w:r>
      <w:r w:rsidR="56667E43" w:rsidRPr="3AB1E8CF">
        <w:rPr>
          <w:rFonts w:ascii="Arial" w:eastAsia="Arial" w:hAnsi="Arial" w:cs="Arial"/>
          <w:sz w:val="22"/>
          <w:szCs w:val="22"/>
        </w:rPr>
        <w:t>. Countries submit Nationally Determined Contributions (NDCs)</w:t>
      </w:r>
      <w:r w:rsidR="736EA4D2" w:rsidRPr="3AB1E8CF">
        <w:rPr>
          <w:rFonts w:ascii="Arial" w:eastAsia="Arial" w:hAnsi="Arial" w:cs="Arial"/>
          <w:sz w:val="22"/>
          <w:szCs w:val="22"/>
        </w:rPr>
        <w:t>, addressing emission reduction targets that are reviewed every five years</w:t>
      </w:r>
      <w:r w:rsidR="6D655563" w:rsidRPr="3AB1E8CF">
        <w:rPr>
          <w:rFonts w:ascii="Arial" w:eastAsia="Arial" w:hAnsi="Arial" w:cs="Arial"/>
          <w:sz w:val="22"/>
          <w:szCs w:val="22"/>
        </w:rPr>
        <w:t xml:space="preserve"> (United Nations, 2015).</w:t>
      </w:r>
    </w:p>
    <w:p w14:paraId="769209D2" w14:textId="3A1A37C3" w:rsidR="2B738F2E" w:rsidRDefault="2B738F2E" w:rsidP="3AB1E8CF">
      <w:pPr>
        <w:spacing w:line="360" w:lineRule="auto"/>
        <w:rPr>
          <w:rFonts w:ascii="Arial" w:eastAsia="Arial" w:hAnsi="Arial" w:cs="Arial"/>
          <w:sz w:val="22"/>
          <w:szCs w:val="22"/>
        </w:rPr>
      </w:pPr>
      <w:r w:rsidRPr="3AB1E8CF">
        <w:rPr>
          <w:rFonts w:ascii="Arial" w:eastAsia="Arial" w:hAnsi="Arial" w:cs="Arial"/>
          <w:sz w:val="22"/>
          <w:szCs w:val="22"/>
        </w:rPr>
        <w:t>The Agreement’s strengths include promoting shared global responsibility while recognising different national capabilities through the principle of “common but differentiated responsibilities” (UNFCCC, 2021). It has encouraged renewable energy investment, climate adaptation and sustainability policies. However, its effectiveness is limited by the lack of legally enforceable penalties, with current Nationally Determined Contributions (NDCs) remaining insufficient to achieve the 1.5°C target (UNEP, 2023).</w:t>
      </w:r>
    </w:p>
    <w:p w14:paraId="03530C51" w14:textId="13B49081" w:rsidR="0C4D1548" w:rsidRDefault="0C4D1548" w:rsidP="3AB1E8CF">
      <w:pPr>
        <w:spacing w:line="360" w:lineRule="auto"/>
        <w:rPr>
          <w:rFonts w:ascii="Arial" w:eastAsia="Arial" w:hAnsi="Arial" w:cs="Arial"/>
          <w:sz w:val="22"/>
          <w:szCs w:val="22"/>
        </w:rPr>
      </w:pPr>
      <w:r w:rsidRPr="3AB1E8CF">
        <w:rPr>
          <w:rFonts w:ascii="Arial" w:eastAsia="Arial" w:hAnsi="Arial" w:cs="Arial"/>
          <w:sz w:val="22"/>
          <w:szCs w:val="22"/>
        </w:rPr>
        <w:t xml:space="preserve">Another key initiative is the UN Sustainable Development Agenda 2030, which integrates climate action with priorities such as poverty reduction, </w:t>
      </w:r>
      <w:r w:rsidR="00F91151" w:rsidRPr="3AB1E8CF">
        <w:rPr>
          <w:rFonts w:ascii="Arial" w:eastAsia="Arial" w:hAnsi="Arial" w:cs="Arial"/>
          <w:sz w:val="22"/>
          <w:szCs w:val="22"/>
        </w:rPr>
        <w:t>health,</w:t>
      </w:r>
      <w:r w:rsidRPr="3AB1E8CF">
        <w:rPr>
          <w:rFonts w:ascii="Arial" w:eastAsia="Arial" w:hAnsi="Arial" w:cs="Arial"/>
          <w:sz w:val="22"/>
          <w:szCs w:val="22"/>
        </w:rPr>
        <w:t xml:space="preserve"> and education (United Nations, 2015). This reflects the need for cross-sector governance to achieve environmental sustainability. However, global climate governance remains fragmented, with insufficient financial support from high-income countries limiting climate adaptation efforts in vulnerable nations (D’Orazio, 2025).</w:t>
      </w:r>
    </w:p>
    <w:p w14:paraId="2950545B" w14:textId="44AFA512" w:rsidR="2C0991BF" w:rsidRPr="00F91151" w:rsidRDefault="2C0991BF" w:rsidP="3AB1E8CF">
      <w:pPr>
        <w:pStyle w:val="Heading8"/>
        <w:rPr>
          <w:rFonts w:ascii="Arial" w:hAnsi="Arial" w:cs="Arial"/>
          <w:b/>
          <w:bCs/>
          <w:i w:val="0"/>
          <w:iCs w:val="0"/>
          <w:sz w:val="22"/>
          <w:szCs w:val="22"/>
        </w:rPr>
      </w:pPr>
      <w:bookmarkStart w:id="9" w:name="_Toc235226043"/>
      <w:r w:rsidRPr="00F91151">
        <w:rPr>
          <w:rFonts w:ascii="Arial" w:hAnsi="Arial" w:cs="Arial"/>
          <w:b/>
          <w:bCs/>
          <w:i w:val="0"/>
          <w:iCs w:val="0"/>
          <w:sz w:val="22"/>
          <w:szCs w:val="22"/>
        </w:rPr>
        <w:t>Critical Evaluation of National and Local Examples:</w:t>
      </w:r>
      <w:bookmarkEnd w:id="9"/>
    </w:p>
    <w:p w14:paraId="52E5BAF4" w14:textId="77777777" w:rsidR="00F91151" w:rsidRPr="00F91151" w:rsidRDefault="00F91151" w:rsidP="00F91151"/>
    <w:p w14:paraId="136A22A0" w14:textId="362CF912" w:rsidR="2C0991BF" w:rsidRDefault="2C0991BF" w:rsidP="3AB1E8CF">
      <w:pPr>
        <w:spacing w:line="360" w:lineRule="auto"/>
        <w:rPr>
          <w:rFonts w:ascii="Arial" w:eastAsia="Arial" w:hAnsi="Arial" w:cs="Arial"/>
          <w:sz w:val="22"/>
          <w:szCs w:val="22"/>
        </w:rPr>
      </w:pPr>
      <w:r w:rsidRPr="3AB1E8CF">
        <w:rPr>
          <w:rFonts w:ascii="Arial" w:eastAsia="Arial" w:hAnsi="Arial" w:cs="Arial"/>
          <w:sz w:val="22"/>
          <w:szCs w:val="22"/>
        </w:rPr>
        <w:t>The Climate Change Act (2008) in the UK provides the legislative foundation for national climate policy. It was the first law globally to establish legally binding carbon reduc</w:t>
      </w:r>
      <w:r w:rsidR="38CF50CB" w:rsidRPr="3AB1E8CF">
        <w:rPr>
          <w:rFonts w:ascii="Arial" w:eastAsia="Arial" w:hAnsi="Arial" w:cs="Arial"/>
          <w:sz w:val="22"/>
          <w:szCs w:val="22"/>
        </w:rPr>
        <w:t>tion targets and has since been amended to include a commitment to achieve net-zero greenhouse gas em</w:t>
      </w:r>
      <w:r w:rsidR="338B023B" w:rsidRPr="3AB1E8CF">
        <w:rPr>
          <w:rFonts w:ascii="Arial" w:eastAsia="Arial" w:hAnsi="Arial" w:cs="Arial"/>
          <w:sz w:val="22"/>
          <w:szCs w:val="22"/>
        </w:rPr>
        <w:t xml:space="preserve">issions by 2050. Recently, the UK Government’s Net Zero </w:t>
      </w:r>
      <w:r w:rsidR="22B74FDB" w:rsidRPr="3AB1E8CF">
        <w:rPr>
          <w:rFonts w:ascii="Arial" w:eastAsia="Arial" w:hAnsi="Arial" w:cs="Arial"/>
          <w:sz w:val="22"/>
          <w:szCs w:val="22"/>
        </w:rPr>
        <w:t xml:space="preserve">Strategy (2021) describes policies promoting </w:t>
      </w:r>
      <w:r w:rsidR="14D9D1C5" w:rsidRPr="3AB1E8CF">
        <w:rPr>
          <w:rFonts w:ascii="Arial" w:eastAsia="Arial" w:hAnsi="Arial" w:cs="Arial"/>
          <w:sz w:val="22"/>
          <w:szCs w:val="22"/>
        </w:rPr>
        <w:t xml:space="preserve">renewable energy, electric </w:t>
      </w:r>
      <w:r w:rsidR="00F91151" w:rsidRPr="3AB1E8CF">
        <w:rPr>
          <w:rFonts w:ascii="Arial" w:eastAsia="Arial" w:hAnsi="Arial" w:cs="Arial"/>
          <w:sz w:val="22"/>
          <w:szCs w:val="22"/>
        </w:rPr>
        <w:t>vehicles,</w:t>
      </w:r>
      <w:r w:rsidR="14D9D1C5" w:rsidRPr="3AB1E8CF">
        <w:rPr>
          <w:rFonts w:ascii="Arial" w:eastAsia="Arial" w:hAnsi="Arial" w:cs="Arial"/>
          <w:sz w:val="22"/>
          <w:szCs w:val="22"/>
        </w:rPr>
        <w:t xml:space="preserve"> and energy-efficient housing.</w:t>
      </w:r>
      <w:r w:rsidR="5273A1D1" w:rsidRPr="3AB1E8CF">
        <w:rPr>
          <w:rFonts w:ascii="Arial" w:eastAsia="Arial" w:hAnsi="Arial" w:cs="Arial"/>
          <w:sz w:val="22"/>
          <w:szCs w:val="22"/>
        </w:rPr>
        <w:t xml:space="preserve"> </w:t>
      </w:r>
    </w:p>
    <w:p w14:paraId="3D58AE4B" w14:textId="5EB03BBC" w:rsidR="4591ED18" w:rsidRDefault="4591ED18" w:rsidP="3AB1E8CF">
      <w:pPr>
        <w:spacing w:line="360" w:lineRule="auto"/>
        <w:rPr>
          <w:rFonts w:ascii="Arial" w:eastAsia="Arial" w:hAnsi="Arial" w:cs="Arial"/>
          <w:sz w:val="22"/>
          <w:szCs w:val="22"/>
        </w:rPr>
      </w:pPr>
      <w:r w:rsidRPr="3AB1E8CF">
        <w:rPr>
          <w:rFonts w:ascii="Arial" w:eastAsia="Arial" w:hAnsi="Arial" w:cs="Arial"/>
          <w:sz w:val="22"/>
          <w:szCs w:val="22"/>
        </w:rPr>
        <w:t>A key strength of the policy is its legally binding emission targets, providing greater accountability than many international agreements. The UK has reduced coal use and expanded renewable energy capacity, particularly offshore wind (Vahid Ghorbani Pashakolaie, Cotton &amp; Jansen, 2024). However, challenges remain, including delays in housing insulation and agricultural decarbonisation. Additionally, climate policies may disproportionately impact lower-income households through increased energy costs unless supported by appropriate social measures (Jessel, Sawyer &amp; Hernandez, 2019).</w:t>
      </w:r>
    </w:p>
    <w:p w14:paraId="6532D073" w14:textId="728CC91E" w:rsidR="3AB1E8CF" w:rsidRDefault="3AB1E8CF" w:rsidP="3AB1E8CF">
      <w:pPr>
        <w:spacing w:line="360" w:lineRule="auto"/>
        <w:rPr>
          <w:rFonts w:ascii="Arial" w:eastAsia="Arial" w:hAnsi="Arial" w:cs="Arial"/>
          <w:sz w:val="22"/>
          <w:szCs w:val="22"/>
        </w:rPr>
      </w:pPr>
    </w:p>
    <w:p w14:paraId="491456FC" w14:textId="7044277A" w:rsidR="5E06E281" w:rsidRDefault="5E06E281" w:rsidP="3AB1E8CF">
      <w:pPr>
        <w:pStyle w:val="Heading9"/>
        <w:rPr>
          <w:rFonts w:ascii="Arial" w:hAnsi="Arial" w:cs="Arial"/>
          <w:b/>
          <w:bCs/>
          <w:sz w:val="22"/>
          <w:szCs w:val="22"/>
        </w:rPr>
      </w:pPr>
      <w:bookmarkStart w:id="10" w:name="_Toc235226044"/>
      <w:r w:rsidRPr="0043171D">
        <w:rPr>
          <w:rFonts w:ascii="Arial" w:hAnsi="Arial" w:cs="Arial"/>
          <w:b/>
          <w:bCs/>
          <w:sz w:val="22"/>
          <w:szCs w:val="22"/>
        </w:rPr>
        <w:t>Application of Theories and Models:</w:t>
      </w:r>
      <w:bookmarkEnd w:id="10"/>
    </w:p>
    <w:p w14:paraId="058DF3D7" w14:textId="77777777" w:rsidR="0043171D" w:rsidRPr="0043171D" w:rsidRDefault="0043171D" w:rsidP="0043171D"/>
    <w:p w14:paraId="4958D4D7" w14:textId="492C6DE3" w:rsidR="5E06E281" w:rsidRDefault="5E06E281" w:rsidP="3AB1E8CF">
      <w:pPr>
        <w:spacing w:line="360" w:lineRule="auto"/>
        <w:rPr>
          <w:rFonts w:ascii="Arial" w:eastAsia="Arial" w:hAnsi="Arial" w:cs="Arial"/>
          <w:color w:val="040102"/>
          <w:sz w:val="22"/>
          <w:szCs w:val="22"/>
        </w:rPr>
      </w:pPr>
      <w:r w:rsidRPr="3AB1E8CF">
        <w:rPr>
          <w:rFonts w:ascii="Arial" w:eastAsia="Arial" w:hAnsi="Arial" w:cs="Arial"/>
          <w:color w:val="040102"/>
          <w:sz w:val="22"/>
          <w:szCs w:val="22"/>
        </w:rPr>
        <w:t>The Social Ecological Model (McLeroy et al., 1998) offers a useful framework for evaluating climate action. It recognises that behaviour is influenced by interactions between individual, interpersonal, organisational, community and p</w:t>
      </w:r>
      <w:r w:rsidR="7AB7A22F" w:rsidRPr="3AB1E8CF">
        <w:rPr>
          <w:rFonts w:ascii="Arial" w:eastAsia="Arial" w:hAnsi="Arial" w:cs="Arial"/>
          <w:color w:val="040102"/>
          <w:sz w:val="22"/>
          <w:szCs w:val="22"/>
        </w:rPr>
        <w:t xml:space="preserve">olicy-level factors. </w:t>
      </w:r>
      <w:r w:rsidR="30AE7442" w:rsidRPr="3AB1E8CF">
        <w:rPr>
          <w:rFonts w:ascii="Arial" w:eastAsia="Arial" w:hAnsi="Arial" w:cs="Arial"/>
          <w:color w:val="040102"/>
          <w:sz w:val="22"/>
          <w:szCs w:val="22"/>
        </w:rPr>
        <w:t xml:space="preserve">For example, </w:t>
      </w:r>
      <w:r w:rsidR="25862342" w:rsidRPr="3AB1E8CF">
        <w:rPr>
          <w:rFonts w:ascii="Arial" w:eastAsia="Arial" w:hAnsi="Arial" w:cs="Arial"/>
          <w:color w:val="040102"/>
          <w:sz w:val="22"/>
          <w:szCs w:val="22"/>
        </w:rPr>
        <w:t xml:space="preserve">Bissel et al. (2025) </w:t>
      </w:r>
      <w:r w:rsidR="66412ECF" w:rsidRPr="3AB1E8CF">
        <w:rPr>
          <w:rFonts w:ascii="Arial" w:eastAsia="Arial" w:hAnsi="Arial" w:cs="Arial"/>
          <w:color w:val="040102"/>
          <w:sz w:val="22"/>
          <w:szCs w:val="22"/>
        </w:rPr>
        <w:t>encoura</w:t>
      </w:r>
      <w:r w:rsidR="1139A5D3" w:rsidRPr="3AB1E8CF">
        <w:rPr>
          <w:rFonts w:ascii="Arial" w:eastAsia="Arial" w:hAnsi="Arial" w:cs="Arial"/>
          <w:color w:val="040102"/>
          <w:sz w:val="22"/>
          <w:szCs w:val="22"/>
        </w:rPr>
        <w:t>ging</w:t>
      </w:r>
      <w:r w:rsidR="30AE7442" w:rsidRPr="3AB1E8CF">
        <w:rPr>
          <w:rFonts w:ascii="Arial" w:eastAsia="Arial" w:hAnsi="Arial" w:cs="Arial"/>
          <w:color w:val="040102"/>
          <w:sz w:val="22"/>
          <w:szCs w:val="22"/>
        </w:rPr>
        <w:t xml:space="preserve"> people to use public transport is unlikely </w:t>
      </w:r>
      <w:r w:rsidR="14350A12" w:rsidRPr="3AB1E8CF">
        <w:rPr>
          <w:rFonts w:ascii="Arial" w:eastAsia="Arial" w:hAnsi="Arial" w:cs="Arial"/>
          <w:color w:val="040102"/>
          <w:sz w:val="22"/>
          <w:szCs w:val="22"/>
        </w:rPr>
        <w:t>to succeed if reliable transport is unavailable.</w:t>
      </w:r>
      <w:r w:rsidR="28BAB109" w:rsidRPr="3AB1E8CF">
        <w:rPr>
          <w:rFonts w:ascii="Arial" w:eastAsia="Arial" w:hAnsi="Arial" w:cs="Arial"/>
          <w:color w:val="040102"/>
          <w:sz w:val="22"/>
          <w:szCs w:val="22"/>
        </w:rPr>
        <w:t xml:space="preserve"> The model suggests that meaningful climate action requires systemic change with behavioural interventions.</w:t>
      </w:r>
    </w:p>
    <w:p w14:paraId="73ED4593" w14:textId="3E363035" w:rsidR="2C3044CB" w:rsidRDefault="2C3044CB" w:rsidP="3AB1E8CF">
      <w:pPr>
        <w:spacing w:line="360" w:lineRule="auto"/>
        <w:rPr>
          <w:rFonts w:ascii="Arial" w:eastAsia="Arial" w:hAnsi="Arial" w:cs="Arial"/>
          <w:color w:val="040102"/>
          <w:sz w:val="22"/>
          <w:szCs w:val="22"/>
        </w:rPr>
      </w:pPr>
      <w:r w:rsidRPr="3AB1E8CF">
        <w:rPr>
          <w:rFonts w:ascii="Arial" w:eastAsia="Arial" w:hAnsi="Arial" w:cs="Arial"/>
          <w:color w:val="040102"/>
          <w:sz w:val="22"/>
          <w:szCs w:val="22"/>
        </w:rPr>
        <w:t>The Planetary Health Framew</w:t>
      </w:r>
      <w:r w:rsidR="24687380" w:rsidRPr="3AB1E8CF">
        <w:rPr>
          <w:rFonts w:ascii="Arial" w:eastAsia="Arial" w:hAnsi="Arial" w:cs="Arial"/>
          <w:color w:val="040102"/>
          <w:sz w:val="22"/>
          <w:szCs w:val="22"/>
        </w:rPr>
        <w:t xml:space="preserve">ork also supports the evaluation by emphasising the interdependence between human health and </w:t>
      </w:r>
      <w:r w:rsidR="2F405BC7" w:rsidRPr="3AB1E8CF">
        <w:rPr>
          <w:rFonts w:ascii="Arial" w:eastAsia="Arial" w:hAnsi="Arial" w:cs="Arial"/>
          <w:color w:val="040102"/>
          <w:sz w:val="22"/>
          <w:szCs w:val="22"/>
        </w:rPr>
        <w:t>environmental</w:t>
      </w:r>
      <w:r w:rsidR="24687380" w:rsidRPr="3AB1E8CF">
        <w:rPr>
          <w:rFonts w:ascii="Arial" w:eastAsia="Arial" w:hAnsi="Arial" w:cs="Arial"/>
          <w:color w:val="040102"/>
          <w:sz w:val="22"/>
          <w:szCs w:val="22"/>
        </w:rPr>
        <w:t xml:space="preserve"> systems (Whitmee et al., 2015). It</w:t>
      </w:r>
      <w:r w:rsidR="40CA1216" w:rsidRPr="3AB1E8CF">
        <w:rPr>
          <w:rFonts w:ascii="Arial" w:eastAsia="Arial" w:hAnsi="Arial" w:cs="Arial"/>
          <w:color w:val="040102"/>
          <w:sz w:val="22"/>
          <w:szCs w:val="22"/>
        </w:rPr>
        <w:t xml:space="preserve"> argues that protecting ecosystems is vital for maintaining long-term population health. It supports integrated policymaking by addressing that environmental degradation increases healthcare demand through worsening physical and menta</w:t>
      </w:r>
      <w:r w:rsidR="4C3A029E" w:rsidRPr="3AB1E8CF">
        <w:rPr>
          <w:rFonts w:ascii="Arial" w:eastAsia="Arial" w:hAnsi="Arial" w:cs="Arial"/>
          <w:color w:val="040102"/>
          <w:sz w:val="22"/>
          <w:szCs w:val="22"/>
        </w:rPr>
        <w:t>l health outcomes.</w:t>
      </w:r>
    </w:p>
    <w:p w14:paraId="3B9BC3B1" w14:textId="3FF31366" w:rsidR="5E8F79F3" w:rsidRDefault="5E8F79F3" w:rsidP="3AB1E8CF">
      <w:pPr>
        <w:spacing w:line="360" w:lineRule="auto"/>
        <w:rPr>
          <w:rFonts w:ascii="Arial" w:eastAsia="Arial" w:hAnsi="Arial" w:cs="Arial"/>
          <w:color w:val="040102"/>
          <w:sz w:val="22"/>
          <w:szCs w:val="22"/>
        </w:rPr>
      </w:pPr>
      <w:r w:rsidRPr="3AB1E8CF">
        <w:rPr>
          <w:rFonts w:ascii="Arial" w:eastAsia="Arial" w:hAnsi="Arial" w:cs="Arial"/>
          <w:color w:val="040102"/>
          <w:sz w:val="22"/>
          <w:szCs w:val="22"/>
        </w:rPr>
        <w:t xml:space="preserve">These models also suggest challenges within current climate policy. </w:t>
      </w:r>
      <w:r w:rsidR="16F6BF41" w:rsidRPr="3AB1E8CF">
        <w:rPr>
          <w:rFonts w:ascii="Arial" w:eastAsia="Arial" w:hAnsi="Arial" w:cs="Arial"/>
          <w:color w:val="040102"/>
          <w:sz w:val="22"/>
          <w:szCs w:val="22"/>
        </w:rPr>
        <w:t>Although governments encourage individual responsibility for reducing carbon emissions, structural factors like transport systems, housing quality and industrial practices</w:t>
      </w:r>
      <w:r w:rsidR="75CEE613" w:rsidRPr="3AB1E8CF">
        <w:rPr>
          <w:rFonts w:ascii="Arial" w:eastAsia="Arial" w:hAnsi="Arial" w:cs="Arial"/>
          <w:color w:val="040102"/>
          <w:sz w:val="22"/>
          <w:szCs w:val="22"/>
        </w:rPr>
        <w:t>, often produce greater influence over environmental effects</w:t>
      </w:r>
      <w:r w:rsidR="670E623C" w:rsidRPr="3AB1E8CF">
        <w:rPr>
          <w:rFonts w:ascii="Arial" w:eastAsia="Arial" w:hAnsi="Arial" w:cs="Arial"/>
          <w:color w:val="040102"/>
          <w:sz w:val="22"/>
          <w:szCs w:val="22"/>
        </w:rPr>
        <w:t xml:space="preserve"> (Hampton and Whitmarsh, 2023). </w:t>
      </w:r>
      <w:r w:rsidR="75CEE613" w:rsidRPr="3AB1E8CF">
        <w:rPr>
          <w:rFonts w:ascii="Arial" w:eastAsia="Arial" w:hAnsi="Arial" w:cs="Arial"/>
          <w:color w:val="040102"/>
          <w:sz w:val="22"/>
          <w:szCs w:val="22"/>
        </w:rPr>
        <w:t xml:space="preserve">Policies focusing </w:t>
      </w:r>
      <w:r w:rsidR="65CA916C" w:rsidRPr="3AB1E8CF">
        <w:rPr>
          <w:rFonts w:ascii="Arial" w:eastAsia="Arial" w:hAnsi="Arial" w:cs="Arial"/>
          <w:color w:val="040102"/>
          <w:sz w:val="22"/>
          <w:szCs w:val="22"/>
        </w:rPr>
        <w:t>on individual behaviour risk overlooking broader systemic barriers.</w:t>
      </w:r>
    </w:p>
    <w:p w14:paraId="3DC8B185" w14:textId="77777777" w:rsidR="0043171D" w:rsidRPr="0043171D" w:rsidRDefault="0043171D" w:rsidP="3AB1E8CF">
      <w:pPr>
        <w:spacing w:line="360" w:lineRule="auto"/>
        <w:rPr>
          <w:rFonts w:ascii="Arial" w:eastAsia="Arial" w:hAnsi="Arial" w:cs="Arial"/>
          <w:b/>
          <w:bCs/>
          <w:color w:val="040102"/>
          <w:sz w:val="22"/>
          <w:szCs w:val="22"/>
        </w:rPr>
      </w:pPr>
    </w:p>
    <w:p w14:paraId="6B4E8889" w14:textId="24ABDDBA" w:rsidR="3AB1E8CF" w:rsidRPr="0043171D" w:rsidRDefault="300B849E" w:rsidP="0043171D">
      <w:pPr>
        <w:pStyle w:val="Heading9"/>
        <w:rPr>
          <w:rFonts w:ascii="Arial" w:hAnsi="Arial" w:cs="Arial"/>
          <w:b/>
          <w:bCs/>
          <w:sz w:val="22"/>
          <w:szCs w:val="22"/>
        </w:rPr>
      </w:pPr>
      <w:bookmarkStart w:id="11" w:name="_Toc235226045"/>
      <w:r w:rsidRPr="0043171D">
        <w:rPr>
          <w:rFonts w:ascii="Arial" w:hAnsi="Arial" w:cs="Arial"/>
          <w:b/>
          <w:bCs/>
          <w:sz w:val="22"/>
          <w:szCs w:val="22"/>
        </w:rPr>
        <w:t>Evidence-Informed Recommendations:</w:t>
      </w:r>
      <w:bookmarkEnd w:id="11"/>
    </w:p>
    <w:p w14:paraId="0A6FC6F4" w14:textId="77777777" w:rsidR="0043171D" w:rsidRPr="0043171D" w:rsidRDefault="0043171D" w:rsidP="0043171D"/>
    <w:p w14:paraId="4236C5F7" w14:textId="48276B94" w:rsidR="321B4BDB" w:rsidRDefault="321B4BDB" w:rsidP="3AB1E8CF">
      <w:pPr>
        <w:spacing w:line="360" w:lineRule="auto"/>
        <w:rPr>
          <w:rFonts w:ascii="Arial" w:eastAsia="Arial" w:hAnsi="Arial" w:cs="Arial"/>
          <w:sz w:val="22"/>
          <w:szCs w:val="22"/>
        </w:rPr>
      </w:pPr>
      <w:r w:rsidRPr="3AB1E8CF">
        <w:rPr>
          <w:rFonts w:ascii="Arial" w:eastAsia="Arial" w:hAnsi="Arial" w:cs="Arial"/>
          <w:sz w:val="22"/>
          <w:szCs w:val="22"/>
        </w:rPr>
        <w:t>To improve progress towards SDG 13, governments should implement stronger emission reduction policies with transparent monitoring and accountability (Filho et al., 2023). Increased investment in climate adaptation, including resilient infrastructure and sustainable urban planning, is essential for vulnerable communities (Singer et al., 2025). Climate policies should also address health inequalities through a Health in All Policies (HiAP) approach, promoting benefits such as cleaner air and improved housing (Cain et al., 2022). Finally, expanding community engagement through education and local partnerships can strengthen trust and support long-term behavioural change (Rong, Ristevski &amp; Carroll, 2023).</w:t>
      </w:r>
    </w:p>
    <w:p w14:paraId="140981AD" w14:textId="53B2F0EF" w:rsidR="4584161B" w:rsidRDefault="4584161B" w:rsidP="3AB1E8CF">
      <w:pPr>
        <w:spacing w:line="360" w:lineRule="auto"/>
        <w:rPr>
          <w:rFonts w:ascii="Arial" w:eastAsia="Arial" w:hAnsi="Arial" w:cs="Arial"/>
          <w:color w:val="040102"/>
          <w:sz w:val="22"/>
          <w:szCs w:val="22"/>
        </w:rPr>
      </w:pPr>
      <w:r w:rsidRPr="3AB1E8CF">
        <w:rPr>
          <w:rFonts w:ascii="Arial" w:eastAsia="Arial" w:hAnsi="Arial" w:cs="Arial"/>
          <w:color w:val="040102"/>
          <w:sz w:val="22"/>
          <w:szCs w:val="22"/>
        </w:rPr>
        <w:t>In conclusion, SDG 13 plays an important role in protecting both environmental sustainability and population health. While international agreements</w:t>
      </w:r>
      <w:r w:rsidR="111589D6" w:rsidRPr="3AB1E8CF">
        <w:rPr>
          <w:rFonts w:ascii="Arial" w:eastAsia="Arial" w:hAnsi="Arial" w:cs="Arial"/>
          <w:color w:val="040102"/>
          <w:sz w:val="22"/>
          <w:szCs w:val="22"/>
        </w:rPr>
        <w:t xml:space="preserve"> have achieved measurable progress, gaps continue to hinder meaningful climate action. Achieving SDG 13 needs stronger governance, more funding</w:t>
      </w:r>
      <w:r w:rsidR="1D4074C0" w:rsidRPr="3AB1E8CF">
        <w:rPr>
          <w:rFonts w:ascii="Arial" w:eastAsia="Arial" w:hAnsi="Arial" w:cs="Arial"/>
          <w:color w:val="040102"/>
          <w:sz w:val="22"/>
          <w:szCs w:val="22"/>
        </w:rPr>
        <w:t xml:space="preserve">, and greater attention to social inequalities. Combining environmental sustainability with public health policy will be significant for creating healthier and resilient communities. </w:t>
      </w:r>
    </w:p>
    <w:p w14:paraId="65224263" w14:textId="6AF3DB8D" w:rsidR="40A2B6D9" w:rsidRDefault="40A2B6D9" w:rsidP="3AB1E8CF">
      <w:pPr>
        <w:pStyle w:val="Heading9"/>
        <w:rPr>
          <w:rFonts w:ascii="Arial" w:hAnsi="Arial" w:cs="Arial"/>
          <w:b/>
          <w:bCs/>
          <w:sz w:val="22"/>
          <w:szCs w:val="22"/>
        </w:rPr>
      </w:pPr>
      <w:bookmarkStart w:id="12" w:name="_Toc235226046"/>
      <w:r w:rsidRPr="0043171D">
        <w:rPr>
          <w:rFonts w:ascii="Arial" w:hAnsi="Arial" w:cs="Arial"/>
          <w:b/>
          <w:bCs/>
          <w:sz w:val="22"/>
          <w:szCs w:val="22"/>
        </w:rPr>
        <w:t>Conclusion:</w:t>
      </w:r>
      <w:bookmarkEnd w:id="12"/>
    </w:p>
    <w:p w14:paraId="154A31FA" w14:textId="77777777" w:rsidR="0043171D" w:rsidRPr="0043171D" w:rsidRDefault="0043171D" w:rsidP="0043171D"/>
    <w:p w14:paraId="0F97AF6B" w14:textId="2A8F0B88" w:rsidR="40A2B6D9" w:rsidRDefault="40A2B6D9" w:rsidP="3AB1E8CF">
      <w:pPr>
        <w:spacing w:line="360" w:lineRule="auto"/>
        <w:rPr>
          <w:rFonts w:ascii="Arial" w:eastAsia="Arial" w:hAnsi="Arial" w:cs="Arial"/>
          <w:color w:val="040102"/>
          <w:sz w:val="22"/>
          <w:szCs w:val="22"/>
        </w:rPr>
      </w:pPr>
      <w:r w:rsidRPr="3AB1E8CF">
        <w:rPr>
          <w:rFonts w:ascii="Arial" w:eastAsia="Arial" w:hAnsi="Arial" w:cs="Arial"/>
          <w:color w:val="040102"/>
          <w:sz w:val="22"/>
          <w:szCs w:val="22"/>
        </w:rPr>
        <w:t xml:space="preserve">This report has revealed that SDG 3 and SDG 13 are closely interconnected, with progress in one goal directly influencing the </w:t>
      </w:r>
      <w:r w:rsidR="23FEA64D" w:rsidRPr="3AB1E8CF">
        <w:rPr>
          <w:rFonts w:ascii="Arial" w:eastAsia="Arial" w:hAnsi="Arial" w:cs="Arial"/>
          <w:color w:val="040102"/>
          <w:sz w:val="22"/>
          <w:szCs w:val="22"/>
        </w:rPr>
        <w:t>achievement</w:t>
      </w:r>
      <w:r w:rsidRPr="3AB1E8CF">
        <w:rPr>
          <w:rFonts w:ascii="Arial" w:eastAsia="Arial" w:hAnsi="Arial" w:cs="Arial"/>
          <w:color w:val="040102"/>
          <w:sz w:val="22"/>
          <w:szCs w:val="22"/>
        </w:rPr>
        <w:t xml:space="preserve"> of the other. The report showed that global initiatives, including UHC and the </w:t>
      </w:r>
      <w:r w:rsidR="58F4F42A" w:rsidRPr="3AB1E8CF">
        <w:rPr>
          <w:rFonts w:ascii="Arial" w:eastAsia="Arial" w:hAnsi="Arial" w:cs="Arial"/>
          <w:color w:val="040102"/>
          <w:sz w:val="22"/>
          <w:szCs w:val="22"/>
        </w:rPr>
        <w:t>Paris Agreement, have established essential frameworks for enhancing population health and addressing climate change. However, their effectiveness has been criticised by inconsistent implementation</w:t>
      </w:r>
      <w:r w:rsidR="0ED27656" w:rsidRPr="3AB1E8CF">
        <w:rPr>
          <w:rFonts w:ascii="Arial" w:eastAsia="Arial" w:hAnsi="Arial" w:cs="Arial"/>
          <w:color w:val="040102"/>
          <w:sz w:val="22"/>
          <w:szCs w:val="22"/>
        </w:rPr>
        <w:t xml:space="preserve">, less funding and </w:t>
      </w:r>
      <w:r w:rsidR="08BE1D23" w:rsidRPr="3AB1E8CF">
        <w:rPr>
          <w:rFonts w:ascii="Arial" w:eastAsia="Arial" w:hAnsi="Arial" w:cs="Arial"/>
          <w:color w:val="040102"/>
          <w:sz w:val="22"/>
          <w:szCs w:val="22"/>
        </w:rPr>
        <w:t>persistent</w:t>
      </w:r>
      <w:r w:rsidR="0ED27656" w:rsidRPr="3AB1E8CF">
        <w:rPr>
          <w:rFonts w:ascii="Arial" w:eastAsia="Arial" w:hAnsi="Arial" w:cs="Arial"/>
          <w:color w:val="040102"/>
          <w:sz w:val="22"/>
          <w:szCs w:val="22"/>
        </w:rPr>
        <w:t xml:space="preserve"> inequalities (WHO, 2023).</w:t>
      </w:r>
      <w:r w:rsidR="406BCC70" w:rsidRPr="3AB1E8CF">
        <w:rPr>
          <w:rFonts w:ascii="Arial" w:eastAsia="Arial" w:hAnsi="Arial" w:cs="Arial"/>
          <w:color w:val="040102"/>
          <w:sz w:val="22"/>
          <w:szCs w:val="22"/>
        </w:rPr>
        <w:t xml:space="preserve"> Similarly, national strategies like the NHS Long Term Plan have positively contributed towards prevention, healthcare improvement, with local initiatives demonstrating </w:t>
      </w:r>
      <w:r w:rsidR="2A2D59BD" w:rsidRPr="3AB1E8CF">
        <w:rPr>
          <w:rFonts w:ascii="Arial" w:eastAsia="Arial" w:hAnsi="Arial" w:cs="Arial"/>
          <w:color w:val="040102"/>
          <w:sz w:val="22"/>
          <w:szCs w:val="22"/>
        </w:rPr>
        <w:t>the value of community-based approaches. Nonetheless, workforce shortages and financial challenges continue to limit long-term progress (Marmot, 2020).</w:t>
      </w:r>
    </w:p>
    <w:p w14:paraId="1846F912" w14:textId="62A1FA64" w:rsidR="3054788B" w:rsidRDefault="3054788B" w:rsidP="3AB1E8CF">
      <w:pPr>
        <w:spacing w:line="360" w:lineRule="auto"/>
        <w:rPr>
          <w:rFonts w:ascii="Arial" w:eastAsia="Arial" w:hAnsi="Arial" w:cs="Arial"/>
          <w:color w:val="040102"/>
          <w:sz w:val="22"/>
          <w:szCs w:val="22"/>
        </w:rPr>
      </w:pPr>
      <w:r w:rsidRPr="3AB1E8CF">
        <w:rPr>
          <w:rFonts w:ascii="Arial" w:eastAsia="Arial" w:hAnsi="Arial" w:cs="Arial"/>
          <w:color w:val="040102"/>
          <w:sz w:val="22"/>
          <w:szCs w:val="22"/>
        </w:rPr>
        <w:t xml:space="preserve">The report also outlined the importance of applying theoretical frameworks to understand that health and environmental outcomes are influenced by complex interactions between individual behaviours, social </w:t>
      </w:r>
      <w:r w:rsidR="0043171D" w:rsidRPr="3AB1E8CF">
        <w:rPr>
          <w:rFonts w:ascii="Arial" w:eastAsia="Arial" w:hAnsi="Arial" w:cs="Arial"/>
          <w:color w:val="040102"/>
          <w:sz w:val="22"/>
          <w:szCs w:val="22"/>
        </w:rPr>
        <w:t>factors,</w:t>
      </w:r>
      <w:r w:rsidRPr="3AB1E8CF">
        <w:rPr>
          <w:rFonts w:ascii="Arial" w:eastAsia="Arial" w:hAnsi="Arial" w:cs="Arial"/>
          <w:color w:val="040102"/>
          <w:sz w:val="22"/>
          <w:szCs w:val="22"/>
        </w:rPr>
        <w:t xml:space="preserve"> and wider policy environments.</w:t>
      </w:r>
      <w:r w:rsidR="1ACBF5D2" w:rsidRPr="3AB1E8CF">
        <w:rPr>
          <w:rFonts w:ascii="Arial" w:eastAsia="Arial" w:hAnsi="Arial" w:cs="Arial"/>
          <w:color w:val="040102"/>
          <w:sz w:val="22"/>
          <w:szCs w:val="22"/>
        </w:rPr>
        <w:t xml:space="preserve"> These models reinforce the need for integrated approaches rather than isolated interventions.</w:t>
      </w:r>
    </w:p>
    <w:p w14:paraId="37D0A30A" w14:textId="50E8730B" w:rsidR="2B062630" w:rsidRDefault="2B062630" w:rsidP="3AB1E8CF">
      <w:pPr>
        <w:spacing w:line="360" w:lineRule="auto"/>
        <w:rPr>
          <w:rFonts w:ascii="Arial" w:eastAsia="Arial" w:hAnsi="Arial" w:cs="Arial"/>
          <w:color w:val="040102"/>
          <w:sz w:val="22"/>
          <w:szCs w:val="22"/>
        </w:rPr>
      </w:pPr>
      <w:r w:rsidRPr="3AB1E8CF">
        <w:rPr>
          <w:rFonts w:ascii="Arial" w:eastAsia="Arial" w:hAnsi="Arial" w:cs="Arial"/>
          <w:color w:val="040102"/>
          <w:sz w:val="22"/>
          <w:szCs w:val="22"/>
        </w:rPr>
        <w:t xml:space="preserve">Overall, achieving the SDG requires partnership between governments, healthcare systems, local authorities, </w:t>
      </w:r>
      <w:r w:rsidR="0043171D" w:rsidRPr="3AB1E8CF">
        <w:rPr>
          <w:rFonts w:ascii="Arial" w:eastAsia="Arial" w:hAnsi="Arial" w:cs="Arial"/>
          <w:color w:val="040102"/>
          <w:sz w:val="22"/>
          <w:szCs w:val="22"/>
        </w:rPr>
        <w:t>communities,</w:t>
      </w:r>
      <w:r w:rsidRPr="3AB1E8CF">
        <w:rPr>
          <w:rFonts w:ascii="Arial" w:eastAsia="Arial" w:hAnsi="Arial" w:cs="Arial"/>
          <w:color w:val="040102"/>
          <w:sz w:val="22"/>
          <w:szCs w:val="22"/>
        </w:rPr>
        <w:t xml:space="preserve"> and international organisations. </w:t>
      </w:r>
      <w:r w:rsidR="6309BA53" w:rsidRPr="3AB1E8CF">
        <w:rPr>
          <w:rFonts w:ascii="Arial" w:eastAsia="Arial" w:hAnsi="Arial" w:cs="Arial"/>
          <w:color w:val="040102"/>
          <w:sz w:val="22"/>
          <w:szCs w:val="22"/>
        </w:rPr>
        <w:t>Strengthening</w:t>
      </w:r>
      <w:r w:rsidR="5640869D" w:rsidRPr="3AB1E8CF">
        <w:rPr>
          <w:rFonts w:ascii="Arial" w:eastAsia="Arial" w:hAnsi="Arial" w:cs="Arial"/>
          <w:color w:val="040102"/>
          <w:sz w:val="22"/>
          <w:szCs w:val="22"/>
        </w:rPr>
        <w:t xml:space="preserve"> preventative health measures, reducing health </w:t>
      </w:r>
      <w:r w:rsidR="0043171D" w:rsidRPr="3AB1E8CF">
        <w:rPr>
          <w:rFonts w:ascii="Arial" w:eastAsia="Arial" w:hAnsi="Arial" w:cs="Arial"/>
          <w:color w:val="040102"/>
          <w:sz w:val="22"/>
          <w:szCs w:val="22"/>
        </w:rPr>
        <w:t>inequalities,</w:t>
      </w:r>
      <w:r w:rsidR="5640869D" w:rsidRPr="3AB1E8CF">
        <w:rPr>
          <w:rFonts w:ascii="Arial" w:eastAsia="Arial" w:hAnsi="Arial" w:cs="Arial"/>
          <w:color w:val="040102"/>
          <w:sz w:val="22"/>
          <w:szCs w:val="22"/>
        </w:rPr>
        <w:t xml:space="preserve"> and embedding </w:t>
      </w:r>
      <w:r w:rsidR="37C8A7E2" w:rsidRPr="3AB1E8CF">
        <w:rPr>
          <w:rFonts w:ascii="Arial" w:eastAsia="Arial" w:hAnsi="Arial" w:cs="Arial"/>
          <w:color w:val="040102"/>
          <w:sz w:val="22"/>
          <w:szCs w:val="22"/>
        </w:rPr>
        <w:t>sustainability</w:t>
      </w:r>
      <w:r w:rsidR="5640869D" w:rsidRPr="3AB1E8CF">
        <w:rPr>
          <w:rFonts w:ascii="Arial" w:eastAsia="Arial" w:hAnsi="Arial" w:cs="Arial"/>
          <w:color w:val="040102"/>
          <w:sz w:val="22"/>
          <w:szCs w:val="22"/>
        </w:rPr>
        <w:t xml:space="preserve"> across all policy areas will improve population health and wellbeing as well as broader social, </w:t>
      </w:r>
      <w:proofErr w:type="gramStart"/>
      <w:r w:rsidR="5640869D" w:rsidRPr="3AB1E8CF">
        <w:rPr>
          <w:rFonts w:ascii="Arial" w:eastAsia="Arial" w:hAnsi="Arial" w:cs="Arial"/>
          <w:color w:val="040102"/>
          <w:sz w:val="22"/>
          <w:szCs w:val="22"/>
        </w:rPr>
        <w:t>economic</w:t>
      </w:r>
      <w:proofErr w:type="gramEnd"/>
      <w:r w:rsidR="5640869D" w:rsidRPr="3AB1E8CF">
        <w:rPr>
          <w:rFonts w:ascii="Arial" w:eastAsia="Arial" w:hAnsi="Arial" w:cs="Arial"/>
          <w:color w:val="040102"/>
          <w:sz w:val="22"/>
          <w:szCs w:val="22"/>
        </w:rPr>
        <w:t xml:space="preserve"> and environmental su</w:t>
      </w:r>
      <w:r w:rsidR="28F014C2" w:rsidRPr="3AB1E8CF">
        <w:rPr>
          <w:rFonts w:ascii="Arial" w:eastAsia="Arial" w:hAnsi="Arial" w:cs="Arial"/>
          <w:color w:val="040102"/>
          <w:sz w:val="22"/>
          <w:szCs w:val="22"/>
        </w:rPr>
        <w:t>stainability.</w:t>
      </w:r>
      <w:r w:rsidR="1A2AACF2" w:rsidRPr="3AB1E8CF">
        <w:rPr>
          <w:rFonts w:ascii="Arial" w:eastAsia="Arial" w:hAnsi="Arial" w:cs="Arial"/>
          <w:color w:val="040102"/>
          <w:sz w:val="22"/>
          <w:szCs w:val="22"/>
        </w:rPr>
        <w:t xml:space="preserve"> </w:t>
      </w:r>
      <w:r w:rsidRPr="3AB1E8CF">
        <w:rPr>
          <w:rFonts w:ascii="Arial" w:eastAsia="Arial" w:hAnsi="Arial" w:cs="Arial"/>
          <w:color w:val="040102"/>
          <w:sz w:val="22"/>
          <w:szCs w:val="22"/>
        </w:rPr>
        <w:t xml:space="preserve">Continued commitment to these </w:t>
      </w:r>
      <w:r w:rsidR="5CBCA9F2" w:rsidRPr="3AB1E8CF">
        <w:rPr>
          <w:rFonts w:ascii="Arial" w:eastAsia="Arial" w:hAnsi="Arial" w:cs="Arial"/>
          <w:color w:val="040102"/>
          <w:sz w:val="22"/>
          <w:szCs w:val="22"/>
        </w:rPr>
        <w:t>interconnected goals if the ambitions of the 2030 Agenda are to be achieved.</w:t>
      </w:r>
    </w:p>
    <w:p w14:paraId="41EBA1D9" w14:textId="78E92D28" w:rsidR="3AB1E8CF" w:rsidRDefault="3AB1E8CF" w:rsidP="3AB1E8CF">
      <w:pPr>
        <w:rPr>
          <w:rFonts w:ascii="Arial" w:eastAsia="Arial" w:hAnsi="Arial" w:cs="Arial"/>
          <w:color w:val="040102"/>
          <w:sz w:val="22"/>
          <w:szCs w:val="22"/>
        </w:rPr>
      </w:pPr>
    </w:p>
    <w:p w14:paraId="22D7DB09" w14:textId="47D89ACF" w:rsidR="3AB1E8CF" w:rsidRDefault="3AB1E8CF" w:rsidP="3AB1E8CF">
      <w:pPr>
        <w:rPr>
          <w:rFonts w:ascii="Arial" w:eastAsia="Arial" w:hAnsi="Arial" w:cs="Arial"/>
          <w:sz w:val="22"/>
          <w:szCs w:val="22"/>
        </w:rPr>
      </w:pPr>
    </w:p>
    <w:p w14:paraId="73B5BA7F" w14:textId="1C13ED5C" w:rsidR="3AB1E8CF" w:rsidRDefault="3AB1E8CF" w:rsidP="3AB1E8CF">
      <w:pPr>
        <w:rPr>
          <w:rFonts w:ascii="Arial" w:eastAsia="Arial" w:hAnsi="Arial" w:cs="Arial"/>
          <w:sz w:val="22"/>
          <w:szCs w:val="22"/>
        </w:rPr>
      </w:pPr>
    </w:p>
    <w:p w14:paraId="29B1D2C7" w14:textId="52C5E219" w:rsidR="3AB1E8CF" w:rsidRDefault="3AB1E8CF" w:rsidP="3AB1E8CF">
      <w:pPr>
        <w:rPr>
          <w:rFonts w:ascii="Arial" w:eastAsia="Arial" w:hAnsi="Arial" w:cs="Arial"/>
          <w:sz w:val="22"/>
          <w:szCs w:val="22"/>
        </w:rPr>
      </w:pPr>
    </w:p>
    <w:p w14:paraId="73E21E96" w14:textId="77777777" w:rsidR="00CA15FC" w:rsidRDefault="00CA15FC" w:rsidP="3AB1E8CF">
      <w:pPr>
        <w:rPr>
          <w:rFonts w:ascii="Arial" w:eastAsia="Arial" w:hAnsi="Arial" w:cs="Arial"/>
          <w:sz w:val="22"/>
          <w:szCs w:val="22"/>
        </w:rPr>
      </w:pPr>
    </w:p>
    <w:p w14:paraId="7ED4E4DE" w14:textId="1E9D4D4F" w:rsidR="3AB1E8CF" w:rsidRDefault="3AB1E8CF" w:rsidP="3AB1E8CF">
      <w:pPr>
        <w:rPr>
          <w:rFonts w:ascii="Arial" w:eastAsia="Arial" w:hAnsi="Arial" w:cs="Arial"/>
          <w:sz w:val="22"/>
          <w:szCs w:val="22"/>
        </w:rPr>
      </w:pPr>
    </w:p>
    <w:p w14:paraId="5433D28F" w14:textId="29C65844" w:rsidR="57A5E8D4" w:rsidRPr="0043171D" w:rsidRDefault="57A5E8D4" w:rsidP="3AB1E8CF">
      <w:pPr>
        <w:pStyle w:val="Heading9"/>
        <w:rPr>
          <w:rFonts w:ascii="Arial" w:hAnsi="Arial" w:cs="Arial"/>
          <w:b/>
          <w:bCs/>
          <w:sz w:val="22"/>
          <w:szCs w:val="22"/>
        </w:rPr>
      </w:pPr>
      <w:bookmarkStart w:id="13" w:name="_Toc235226047"/>
      <w:r w:rsidRPr="0043171D">
        <w:rPr>
          <w:rFonts w:ascii="Arial" w:hAnsi="Arial" w:cs="Arial"/>
          <w:b/>
          <w:bCs/>
          <w:sz w:val="22"/>
          <w:szCs w:val="22"/>
        </w:rPr>
        <w:t>References:</w:t>
      </w:r>
      <w:bookmarkEnd w:id="13"/>
    </w:p>
    <w:p w14:paraId="64A4D178" w14:textId="77777777" w:rsidR="0043171D" w:rsidRPr="0043171D" w:rsidRDefault="0043171D" w:rsidP="0043171D"/>
    <w:p w14:paraId="705D49FB" w14:textId="1A083FA1" w:rsidR="21D2FD12" w:rsidRDefault="21D2FD12" w:rsidP="3AB1E8CF">
      <w:pPr>
        <w:spacing w:line="360" w:lineRule="auto"/>
        <w:rPr>
          <w:rFonts w:ascii="Arial" w:eastAsia="Arial" w:hAnsi="Arial" w:cs="Arial"/>
          <w:sz w:val="22"/>
          <w:szCs w:val="22"/>
        </w:rPr>
      </w:pPr>
      <w:r w:rsidRPr="3AB1E8CF">
        <w:rPr>
          <w:rFonts w:ascii="Arial" w:eastAsia="Arial" w:hAnsi="Arial" w:cs="Arial"/>
          <w:sz w:val="22"/>
          <w:szCs w:val="22"/>
        </w:rPr>
        <w:t xml:space="preserve">Abdi, Y.H., Abdi, M.S., Bashir, S.G., Ahmed, N.I. and Abdullahi, Y.B. (2025). Understanding Global Health Inequality and Inequity: Causes, Consequences, and the Path Toward Justice in Healthcare. Public Health Challenges, 4(4). doi:10.1002/puh2.70156. Accessed 11 July 2026. </w:t>
      </w:r>
    </w:p>
    <w:p w14:paraId="1C7CF417" w14:textId="7D7F87C0" w:rsidR="1EB9D7CD" w:rsidRDefault="1EB9D7CD" w:rsidP="3AB1E8CF">
      <w:pPr>
        <w:spacing w:line="360" w:lineRule="auto"/>
        <w:rPr>
          <w:rFonts w:ascii="Arial" w:eastAsia="Arial" w:hAnsi="Arial" w:cs="Arial"/>
          <w:sz w:val="22"/>
          <w:szCs w:val="22"/>
        </w:rPr>
      </w:pPr>
      <w:r w:rsidRPr="3AB1E8CF">
        <w:rPr>
          <w:rFonts w:ascii="Arial" w:eastAsia="Arial" w:hAnsi="Arial" w:cs="Arial"/>
          <w:sz w:val="22"/>
          <w:szCs w:val="22"/>
        </w:rPr>
        <w:t xml:space="preserve">Alyafei, A. and Carr, R.E. (2024). The Health Belief Model of Behavior Change. National Library of Medicine. Available at: </w:t>
      </w:r>
      <w:hyperlink r:id="rId7">
        <w:r w:rsidRPr="3AB1E8CF">
          <w:rPr>
            <w:rStyle w:val="Hyperlink"/>
            <w:rFonts w:ascii="Arial" w:eastAsia="Arial" w:hAnsi="Arial" w:cs="Arial"/>
            <w:color w:val="auto"/>
            <w:sz w:val="22"/>
            <w:szCs w:val="22"/>
          </w:rPr>
          <w:t>https://www.ncbi.nlm.nih.gov/books/NBK606120/</w:t>
        </w:r>
      </w:hyperlink>
      <w:r w:rsidRPr="3AB1E8CF">
        <w:rPr>
          <w:rFonts w:ascii="Arial" w:eastAsia="Arial" w:hAnsi="Arial" w:cs="Arial"/>
          <w:sz w:val="22"/>
          <w:szCs w:val="22"/>
        </w:rPr>
        <w:t>. Accessed 12 July 2026.</w:t>
      </w:r>
    </w:p>
    <w:p w14:paraId="487F4B85" w14:textId="38985A91" w:rsidR="030D7A8C" w:rsidRDefault="030D7A8C" w:rsidP="3AB1E8CF">
      <w:pPr>
        <w:spacing w:line="360" w:lineRule="auto"/>
        <w:rPr>
          <w:rFonts w:ascii="Arial" w:eastAsia="Arial" w:hAnsi="Arial" w:cs="Arial"/>
          <w:sz w:val="22"/>
          <w:szCs w:val="22"/>
        </w:rPr>
      </w:pPr>
      <w:r w:rsidRPr="3AB1E8CF">
        <w:rPr>
          <w:rFonts w:ascii="Arial" w:eastAsia="Arial" w:hAnsi="Arial" w:cs="Arial"/>
          <w:sz w:val="22"/>
          <w:szCs w:val="22"/>
        </w:rPr>
        <w:t>Au-Yeung, C.H., Ellis, D., Dallaway, A., Riley, J., Varney, J. and Howell-Jones, R. (2024). Socioeconomic and ethnic inequalities increase the risk of type 2 diabetes: an analysis of NHS health check attendees in Birmingham. Frontiers in Public Health, 12. doi:10.3389/fpubh.2024.1477418. Accessed 12 July 2026.</w:t>
      </w:r>
    </w:p>
    <w:p w14:paraId="5BB933EC" w14:textId="1F5F69EA" w:rsidR="7176882C" w:rsidRDefault="7176882C" w:rsidP="3AB1E8CF">
      <w:pPr>
        <w:spacing w:line="360" w:lineRule="auto"/>
        <w:rPr>
          <w:rFonts w:ascii="Arial" w:eastAsia="Arial" w:hAnsi="Arial" w:cs="Arial"/>
          <w:sz w:val="22"/>
          <w:szCs w:val="22"/>
        </w:rPr>
      </w:pPr>
      <w:r w:rsidRPr="3AB1E8CF">
        <w:rPr>
          <w:rFonts w:ascii="Arial" w:eastAsia="Arial" w:hAnsi="Arial" w:cs="Arial"/>
          <w:sz w:val="22"/>
          <w:szCs w:val="22"/>
        </w:rPr>
        <w:t xml:space="preserve">Baum, F. and Fisher, M. (2014). Why behavioural health promotion endures despite its failure to reduce health inequities. Sociology of Health &amp; Illness, 36(2), pp.213–225. doi:10.1111/1467-9566.12112. Accessed 12 July 2026. </w:t>
      </w:r>
    </w:p>
    <w:p w14:paraId="7578C777" w14:textId="12C1BC8A" w:rsidR="6766EDC6" w:rsidRDefault="6766EDC6" w:rsidP="3AB1E8CF">
      <w:pPr>
        <w:spacing w:line="360" w:lineRule="auto"/>
        <w:rPr>
          <w:rFonts w:ascii="Arial" w:eastAsia="Arial" w:hAnsi="Arial" w:cs="Arial"/>
          <w:sz w:val="22"/>
          <w:szCs w:val="22"/>
        </w:rPr>
      </w:pPr>
      <w:r w:rsidRPr="3AB1E8CF">
        <w:rPr>
          <w:rFonts w:ascii="Arial" w:eastAsia="Arial" w:hAnsi="Arial" w:cs="Arial"/>
          <w:sz w:val="22"/>
          <w:szCs w:val="22"/>
        </w:rPr>
        <w:t xml:space="preserve">Bissel, M., Gossen, M., Reisch, L.A. and Sunstein, C.R. (2025). Driving sustainable change: A systematic map of behaviorally informed interventions to promote sustainable mobility behavior. PNAS Nexus, 4(6). doi:10.1093/pnasnexus/pgaf162. Accessed 13 July 2026. </w:t>
      </w:r>
    </w:p>
    <w:p w14:paraId="0AFCA782" w14:textId="5F42265D" w:rsidR="68B577A5" w:rsidRDefault="68B577A5" w:rsidP="3AB1E8CF">
      <w:pPr>
        <w:spacing w:line="360" w:lineRule="auto"/>
        <w:rPr>
          <w:rFonts w:ascii="Arial" w:eastAsia="Arial" w:hAnsi="Arial" w:cs="Arial"/>
          <w:sz w:val="22"/>
          <w:szCs w:val="22"/>
        </w:rPr>
      </w:pPr>
      <w:r w:rsidRPr="3AB1E8CF">
        <w:rPr>
          <w:rFonts w:ascii="Arial" w:eastAsia="Arial" w:hAnsi="Arial" w:cs="Arial"/>
          <w:sz w:val="22"/>
          <w:szCs w:val="22"/>
        </w:rPr>
        <w:t xml:space="preserve">Brown, S. and Rosier, M. (2023). COVID-19 vaccine apartheid and the failure of global cooperation. The British Journal of Politics and International Relations, 25(3), pp.535–554. Accessed 12 July 2026. </w:t>
      </w:r>
    </w:p>
    <w:p w14:paraId="140982C7" w14:textId="6DA55B86" w:rsidR="291B6093" w:rsidRDefault="291B6093" w:rsidP="3AB1E8CF">
      <w:pPr>
        <w:spacing w:line="360" w:lineRule="auto"/>
        <w:rPr>
          <w:rFonts w:ascii="Arial" w:eastAsia="Arial" w:hAnsi="Arial" w:cs="Arial"/>
          <w:sz w:val="22"/>
          <w:szCs w:val="22"/>
        </w:rPr>
      </w:pPr>
      <w:r w:rsidRPr="3AB1E8CF">
        <w:rPr>
          <w:rFonts w:ascii="Arial" w:eastAsia="Arial" w:hAnsi="Arial" w:cs="Arial"/>
          <w:sz w:val="22"/>
          <w:szCs w:val="22"/>
        </w:rPr>
        <w:t xml:space="preserve">Cain, R., Greece, J.A., Galea, S., Knight, E.K., Manco, A., Parikh, </w:t>
      </w:r>
      <w:proofErr w:type="gramStart"/>
      <w:r w:rsidRPr="3AB1E8CF">
        <w:rPr>
          <w:rFonts w:ascii="Arial" w:eastAsia="Arial" w:hAnsi="Arial" w:cs="Arial"/>
          <w:sz w:val="22"/>
          <w:szCs w:val="22"/>
        </w:rPr>
        <w:t>A.</w:t>
      </w:r>
      <w:proofErr w:type="gramEnd"/>
      <w:r w:rsidRPr="3AB1E8CF">
        <w:rPr>
          <w:rFonts w:ascii="Arial" w:eastAsia="Arial" w:hAnsi="Arial" w:cs="Arial"/>
          <w:sz w:val="22"/>
          <w:szCs w:val="22"/>
        </w:rPr>
        <w:t xml:space="preserve"> and Jones, D.K. (2022). Improving health across sectors: Best practices for the implementation of health in all policies approaches. Preventive Medicine Reports, 29, p.101961. doi:10.1016/j.pmedr.2022.101961. Accessed 12 July 2026. </w:t>
      </w:r>
    </w:p>
    <w:p w14:paraId="0E3DAC77" w14:textId="6BC86727" w:rsidR="4442D792" w:rsidRDefault="4442D792" w:rsidP="3AB1E8CF">
      <w:pPr>
        <w:spacing w:line="360" w:lineRule="auto"/>
        <w:rPr>
          <w:rFonts w:ascii="Arial" w:eastAsia="Arial" w:hAnsi="Arial" w:cs="Arial"/>
          <w:sz w:val="22"/>
          <w:szCs w:val="22"/>
        </w:rPr>
      </w:pPr>
      <w:r w:rsidRPr="3AB1E8CF">
        <w:rPr>
          <w:rFonts w:ascii="Arial" w:eastAsia="Arial" w:hAnsi="Arial" w:cs="Arial"/>
          <w:sz w:val="22"/>
          <w:szCs w:val="22"/>
        </w:rPr>
        <w:t xml:space="preserve">Charles, A., Ewbank, L., McKenna, H. and Wenzel, L. (2019). The NHS Long-term Plan Explained. The King’s Fund. Available at: </w:t>
      </w:r>
      <w:hyperlink r:id="rId8">
        <w:r w:rsidRPr="3AB1E8CF">
          <w:rPr>
            <w:rStyle w:val="Hyperlink"/>
            <w:rFonts w:ascii="Arial" w:eastAsia="Arial" w:hAnsi="Arial" w:cs="Arial"/>
            <w:color w:val="auto"/>
            <w:sz w:val="22"/>
            <w:szCs w:val="22"/>
          </w:rPr>
          <w:t>https://www.kingsfund.org.uk/insight-and-analysis/long-reads/nhs-long-term-plan-explained</w:t>
        </w:r>
      </w:hyperlink>
      <w:r w:rsidRPr="3AB1E8CF">
        <w:rPr>
          <w:rFonts w:ascii="Arial" w:eastAsia="Arial" w:hAnsi="Arial" w:cs="Arial"/>
          <w:sz w:val="22"/>
          <w:szCs w:val="22"/>
        </w:rPr>
        <w:t>. Accessed 12 July 2026.</w:t>
      </w:r>
    </w:p>
    <w:p w14:paraId="6BA73BAF" w14:textId="35FE8408" w:rsidR="474E92C2" w:rsidRDefault="474E92C2" w:rsidP="3AB1E8CF">
      <w:pPr>
        <w:spacing w:line="360" w:lineRule="auto"/>
        <w:rPr>
          <w:rFonts w:ascii="Arial" w:eastAsia="Arial" w:hAnsi="Arial" w:cs="Arial"/>
          <w:sz w:val="22"/>
          <w:szCs w:val="22"/>
        </w:rPr>
      </w:pPr>
      <w:r w:rsidRPr="3AB1E8CF">
        <w:rPr>
          <w:rFonts w:ascii="Arial" w:eastAsia="Arial" w:hAnsi="Arial" w:cs="Arial"/>
          <w:sz w:val="22"/>
          <w:szCs w:val="22"/>
        </w:rPr>
        <w:t>Chotchoungchatchai, S., Marshall, A.I., Witthayapipopsakul, W., Panichkriangkrai, W., Patcharanarumol, W. and Tangcharoensathien, V. (2020). Primary health care and sustainable development goals. Bulletin of the World Health Organization, 98(11), pp.792–800. doi:10.2471/blt.19.245613. Accessed 12 July 2026.</w:t>
      </w:r>
    </w:p>
    <w:p w14:paraId="64A4BBC8" w14:textId="762881E6" w:rsidR="76FD057B" w:rsidRDefault="76FD057B" w:rsidP="3AB1E8CF">
      <w:pPr>
        <w:spacing w:line="360" w:lineRule="auto"/>
        <w:rPr>
          <w:rFonts w:ascii="Arial" w:eastAsia="Arial" w:hAnsi="Arial" w:cs="Arial"/>
          <w:sz w:val="22"/>
          <w:szCs w:val="22"/>
        </w:rPr>
      </w:pPr>
      <w:r w:rsidRPr="3AB1E8CF">
        <w:rPr>
          <w:rFonts w:ascii="Arial" w:eastAsia="Arial" w:hAnsi="Arial" w:cs="Arial"/>
          <w:sz w:val="22"/>
          <w:szCs w:val="22"/>
        </w:rPr>
        <w:t xml:space="preserve">Climate Change Committee. (2026). Progress in reducing emissions 2026 report to Parliament - Climate Change Committee. Available at: </w:t>
      </w:r>
      <w:hyperlink r:id="rId9" w:anchor="publication-downloads">
        <w:r w:rsidRPr="3AB1E8CF">
          <w:rPr>
            <w:rStyle w:val="Hyperlink"/>
            <w:rFonts w:ascii="Arial" w:eastAsia="Arial" w:hAnsi="Arial" w:cs="Arial"/>
            <w:color w:val="auto"/>
            <w:sz w:val="22"/>
            <w:szCs w:val="22"/>
          </w:rPr>
          <w:t>https://www.theccc.org.uk/publication/progress-in-reducing-emissions-2026-report-to-parliament/#publication-downloads</w:t>
        </w:r>
      </w:hyperlink>
      <w:r w:rsidRPr="3AB1E8CF">
        <w:rPr>
          <w:rFonts w:ascii="Arial" w:eastAsia="Arial" w:hAnsi="Arial" w:cs="Arial"/>
          <w:sz w:val="22"/>
          <w:szCs w:val="22"/>
        </w:rPr>
        <w:t>. Accessed 13 July 2026.</w:t>
      </w:r>
    </w:p>
    <w:p w14:paraId="39B031A1" w14:textId="5C59AC6F" w:rsidR="4A4D738B" w:rsidRDefault="4A4D738B" w:rsidP="3AB1E8CF">
      <w:pPr>
        <w:spacing w:line="360" w:lineRule="auto"/>
        <w:rPr>
          <w:rFonts w:ascii="Arial" w:eastAsia="Arial" w:hAnsi="Arial" w:cs="Arial"/>
          <w:sz w:val="22"/>
          <w:szCs w:val="22"/>
        </w:rPr>
      </w:pPr>
      <w:r w:rsidRPr="3AB1E8CF">
        <w:rPr>
          <w:rFonts w:ascii="Arial" w:eastAsia="Arial" w:hAnsi="Arial" w:cs="Arial"/>
          <w:sz w:val="22"/>
          <w:szCs w:val="22"/>
        </w:rPr>
        <w:t>Craig, N. and Robinson, M. (2019). Towards a preventative approach to improving health and reducing health inequalities: a view from Scotland. Public Health, 169, pp.195–200. doi:10.1016/j.puhe.2019.02.013. Accessed 12 July 2026.</w:t>
      </w:r>
    </w:p>
    <w:p w14:paraId="42208C6A" w14:textId="6CBB8848" w:rsidR="7DF13634" w:rsidRDefault="7DF13634" w:rsidP="3AB1E8CF">
      <w:pPr>
        <w:spacing w:line="360" w:lineRule="auto"/>
        <w:rPr>
          <w:rFonts w:ascii="Arial" w:eastAsia="Arial" w:hAnsi="Arial" w:cs="Arial"/>
          <w:sz w:val="22"/>
          <w:szCs w:val="22"/>
        </w:rPr>
      </w:pPr>
      <w:r w:rsidRPr="3AB1E8CF">
        <w:rPr>
          <w:rFonts w:ascii="Arial" w:eastAsia="Arial" w:hAnsi="Arial" w:cs="Arial"/>
          <w:sz w:val="22"/>
          <w:szCs w:val="22"/>
        </w:rPr>
        <w:t xml:space="preserve">Dahlgren, G. and Whitehead, M. (1991). Policies and Strategies to Promote Social Equity in health. Background Document to WHO - Strategy Paper for Europe. ResearchGate. Available at: </w:t>
      </w:r>
      <w:hyperlink r:id="rId10">
        <w:r w:rsidRPr="3AB1E8CF">
          <w:rPr>
            <w:rStyle w:val="Hyperlink"/>
            <w:rFonts w:ascii="Arial" w:eastAsia="Arial" w:hAnsi="Arial" w:cs="Arial"/>
            <w:color w:val="auto"/>
            <w:sz w:val="22"/>
            <w:szCs w:val="22"/>
          </w:rPr>
          <w:t>https://www.researchgate.net/publication/5095964_Policies_and_strategies_to_promote_social_equity_in_health_Background_document_to_WHO_-_Strategy_paper_for_Europe</w:t>
        </w:r>
      </w:hyperlink>
      <w:r w:rsidRPr="3AB1E8CF">
        <w:rPr>
          <w:rFonts w:ascii="Arial" w:eastAsia="Arial" w:hAnsi="Arial" w:cs="Arial"/>
          <w:sz w:val="22"/>
          <w:szCs w:val="22"/>
        </w:rPr>
        <w:t>. Accessed 12 July 2026.</w:t>
      </w:r>
    </w:p>
    <w:p w14:paraId="03738785" w14:textId="689FA96E" w:rsidR="4D68E0DE" w:rsidRDefault="4D68E0DE" w:rsidP="3AB1E8CF">
      <w:pPr>
        <w:spacing w:line="360" w:lineRule="auto"/>
        <w:rPr>
          <w:rFonts w:ascii="Arial" w:eastAsia="Arial" w:hAnsi="Arial" w:cs="Arial"/>
          <w:sz w:val="22"/>
          <w:szCs w:val="22"/>
        </w:rPr>
      </w:pPr>
      <w:r w:rsidRPr="3AB1E8CF">
        <w:rPr>
          <w:rFonts w:ascii="Arial" w:eastAsia="Arial" w:hAnsi="Arial" w:cs="Arial"/>
          <w:sz w:val="22"/>
          <w:szCs w:val="22"/>
        </w:rPr>
        <w:t>D’Orazio, P. (202</w:t>
      </w:r>
      <w:r w:rsidR="024AFA53" w:rsidRPr="3AB1E8CF">
        <w:rPr>
          <w:rFonts w:ascii="Arial" w:eastAsia="Arial" w:hAnsi="Arial" w:cs="Arial"/>
          <w:sz w:val="22"/>
          <w:szCs w:val="22"/>
        </w:rPr>
        <w:t>5</w:t>
      </w:r>
      <w:r w:rsidRPr="3AB1E8CF">
        <w:rPr>
          <w:rFonts w:ascii="Arial" w:eastAsia="Arial" w:hAnsi="Arial" w:cs="Arial"/>
          <w:sz w:val="22"/>
          <w:szCs w:val="22"/>
        </w:rPr>
        <w:t xml:space="preserve">). Addressing climate risks through fiscal policy in emerging and developing economies: What do we know and what lies ahead? Energy Research &amp; Social Science, 119, p.103852. doi:10.1016/j.erss.2024.103852. Accessed 13 July 2026. </w:t>
      </w:r>
    </w:p>
    <w:p w14:paraId="440EAB3E" w14:textId="4861AAEF" w:rsidR="5121CF2C" w:rsidRDefault="5121CF2C" w:rsidP="3AB1E8CF">
      <w:pPr>
        <w:spacing w:line="360" w:lineRule="auto"/>
        <w:rPr>
          <w:rFonts w:ascii="Arial" w:eastAsia="Arial" w:hAnsi="Arial" w:cs="Arial"/>
          <w:sz w:val="22"/>
          <w:szCs w:val="22"/>
        </w:rPr>
      </w:pPr>
      <w:r w:rsidRPr="3AB1E8CF">
        <w:rPr>
          <w:rFonts w:ascii="Arial" w:eastAsia="Arial" w:hAnsi="Arial" w:cs="Arial"/>
          <w:sz w:val="22"/>
          <w:szCs w:val="22"/>
        </w:rPr>
        <w:t xml:space="preserve">Filho, W.L., Wall, T., Salvia, A.L., Dinis, M.A.P. and Mifsud, M. (2023). The central role of climate action in achieving the United Nations” Sustainable Development Goals. Scientific Reports, 13(1). Available at: </w:t>
      </w:r>
      <w:hyperlink r:id="rId11">
        <w:r w:rsidRPr="3AB1E8CF">
          <w:rPr>
            <w:rStyle w:val="Hyperlink"/>
            <w:rFonts w:ascii="Arial" w:eastAsia="Arial" w:hAnsi="Arial" w:cs="Arial"/>
            <w:color w:val="auto"/>
            <w:sz w:val="22"/>
            <w:szCs w:val="22"/>
          </w:rPr>
          <w:t>https://www.nature.com/articles/s41598-023-47746-w</w:t>
        </w:r>
      </w:hyperlink>
      <w:r w:rsidRPr="3AB1E8CF">
        <w:rPr>
          <w:rFonts w:ascii="Arial" w:eastAsia="Arial" w:hAnsi="Arial" w:cs="Arial"/>
          <w:sz w:val="22"/>
          <w:szCs w:val="22"/>
        </w:rPr>
        <w:t xml:space="preserve">. Accessed 13 July 2026. </w:t>
      </w:r>
    </w:p>
    <w:p w14:paraId="344D5A79" w14:textId="6721EDDC" w:rsidR="060E464C" w:rsidRDefault="060E464C" w:rsidP="3AB1E8CF">
      <w:pPr>
        <w:spacing w:line="360" w:lineRule="auto"/>
        <w:rPr>
          <w:rFonts w:ascii="Arial" w:eastAsia="Arial" w:hAnsi="Arial" w:cs="Arial"/>
          <w:sz w:val="22"/>
          <w:szCs w:val="22"/>
        </w:rPr>
      </w:pPr>
      <w:r w:rsidRPr="3AB1E8CF">
        <w:rPr>
          <w:rFonts w:ascii="Arial" w:eastAsia="Arial" w:hAnsi="Arial" w:cs="Arial"/>
          <w:sz w:val="22"/>
          <w:szCs w:val="22"/>
        </w:rPr>
        <w:t xml:space="preserve">Frenk, J. and Moon, S. (2013). Governance Challenges in Global Health. New England Journal of Medicine, 368(10), pp.936–942. doi:10.1056/nejmra1109339. Accessed 11July 2026. </w:t>
      </w:r>
    </w:p>
    <w:p w14:paraId="1E7A24E5" w14:textId="3176D661" w:rsidR="06BEE5EB" w:rsidRDefault="06BEE5EB" w:rsidP="3AB1E8CF">
      <w:pPr>
        <w:spacing w:line="360" w:lineRule="auto"/>
        <w:rPr>
          <w:rFonts w:ascii="Arial" w:eastAsia="Arial" w:hAnsi="Arial" w:cs="Arial"/>
          <w:sz w:val="22"/>
          <w:szCs w:val="22"/>
        </w:rPr>
      </w:pPr>
      <w:r w:rsidRPr="3AB1E8CF">
        <w:rPr>
          <w:rFonts w:ascii="Arial" w:eastAsia="Arial" w:hAnsi="Arial" w:cs="Arial"/>
          <w:sz w:val="22"/>
          <w:szCs w:val="22"/>
        </w:rPr>
        <w:t xml:space="preserve">Hampton, S. and Whitmarsh, L. (2023). Choices for climate action: A review of the multiple </w:t>
      </w:r>
      <w:proofErr w:type="gramStart"/>
      <w:r w:rsidRPr="3AB1E8CF">
        <w:rPr>
          <w:rFonts w:ascii="Arial" w:eastAsia="Arial" w:hAnsi="Arial" w:cs="Arial"/>
          <w:sz w:val="22"/>
          <w:szCs w:val="22"/>
        </w:rPr>
        <w:t>roles</w:t>
      </w:r>
      <w:proofErr w:type="gramEnd"/>
      <w:r w:rsidRPr="3AB1E8CF">
        <w:rPr>
          <w:rFonts w:ascii="Arial" w:eastAsia="Arial" w:hAnsi="Arial" w:cs="Arial"/>
          <w:sz w:val="22"/>
          <w:szCs w:val="22"/>
        </w:rPr>
        <w:t xml:space="preserve"> individuals play. One Earth, 6(9), pp.1157–1172. doi:10.1016/j.oneear.2023.08.006. Accessed 13 July 2026. </w:t>
      </w:r>
    </w:p>
    <w:p w14:paraId="038FA7F2" w14:textId="381FC12B" w:rsidR="57111200" w:rsidRDefault="57111200" w:rsidP="3AB1E8CF">
      <w:pPr>
        <w:spacing w:line="360" w:lineRule="auto"/>
        <w:rPr>
          <w:rFonts w:ascii="Arial" w:eastAsia="Arial" w:hAnsi="Arial" w:cs="Arial"/>
          <w:sz w:val="22"/>
          <w:szCs w:val="22"/>
        </w:rPr>
      </w:pPr>
      <w:r w:rsidRPr="3AB1E8CF">
        <w:rPr>
          <w:rFonts w:ascii="Arial" w:eastAsia="Arial" w:hAnsi="Arial" w:cs="Arial"/>
          <w:sz w:val="22"/>
          <w:szCs w:val="22"/>
        </w:rPr>
        <w:t xml:space="preserve">Hunter, E.L. (2016). Politics and Public Health—Engaging the Third Rail. Journal of Public Health Management and Practice, 22(5), pp.436–441. doi:10.1097/phh.0000000000000446. Accessed 12 July 2026. </w:t>
      </w:r>
    </w:p>
    <w:p w14:paraId="07D31808" w14:textId="31751367" w:rsidR="7DC586AD" w:rsidRDefault="7DC586AD" w:rsidP="3AB1E8CF">
      <w:pPr>
        <w:spacing w:line="360" w:lineRule="auto"/>
        <w:rPr>
          <w:rFonts w:ascii="Arial" w:eastAsia="Arial" w:hAnsi="Arial" w:cs="Arial"/>
          <w:sz w:val="22"/>
          <w:szCs w:val="22"/>
        </w:rPr>
      </w:pPr>
      <w:r w:rsidRPr="3AB1E8CF">
        <w:rPr>
          <w:rFonts w:ascii="Arial" w:eastAsia="Arial" w:hAnsi="Arial" w:cs="Arial"/>
          <w:sz w:val="22"/>
          <w:szCs w:val="22"/>
        </w:rPr>
        <w:t xml:space="preserve">IPCC (2023). Climate Change 2023 Synthesis Report. IPCC. Available at: </w:t>
      </w:r>
      <w:hyperlink r:id="rId12">
        <w:r w:rsidRPr="3AB1E8CF">
          <w:rPr>
            <w:rStyle w:val="Hyperlink"/>
            <w:rFonts w:ascii="Arial" w:eastAsia="Arial" w:hAnsi="Arial" w:cs="Arial"/>
            <w:color w:val="auto"/>
            <w:sz w:val="22"/>
            <w:szCs w:val="22"/>
          </w:rPr>
          <w:t>https://www.ipcc.ch/report/ar6/syr/downloads/report/IPCC_AR6_SYR_LongerReport.pdf</w:t>
        </w:r>
      </w:hyperlink>
      <w:r w:rsidRPr="3AB1E8CF">
        <w:rPr>
          <w:rFonts w:ascii="Arial" w:eastAsia="Arial" w:hAnsi="Arial" w:cs="Arial"/>
          <w:sz w:val="22"/>
          <w:szCs w:val="22"/>
        </w:rPr>
        <w:t>. Accessed 12 July 2026.</w:t>
      </w:r>
    </w:p>
    <w:p w14:paraId="611A5560" w14:textId="7E04A592" w:rsidR="7FA53ED7" w:rsidRDefault="7FA53ED7" w:rsidP="3AB1E8CF">
      <w:pPr>
        <w:spacing w:line="360" w:lineRule="auto"/>
        <w:rPr>
          <w:rFonts w:ascii="Arial" w:eastAsia="Arial" w:hAnsi="Arial" w:cs="Arial"/>
          <w:sz w:val="22"/>
          <w:szCs w:val="22"/>
        </w:rPr>
      </w:pPr>
      <w:r w:rsidRPr="3AB1E8CF">
        <w:rPr>
          <w:rFonts w:ascii="Arial" w:eastAsia="Arial" w:hAnsi="Arial" w:cs="Arial"/>
          <w:sz w:val="22"/>
          <w:szCs w:val="22"/>
        </w:rPr>
        <w:t xml:space="preserve">Jessel, S., Sawyer, S. and Hernández, D. (2019). Energy, Poverty, and Health in Climate Change: A Comprehensive Review of an Emerging Literature. Frontiers in Public Health, 7. doi:10.3389/fpubh.2019.00357. Accessed 13 July 2026. </w:t>
      </w:r>
    </w:p>
    <w:p w14:paraId="4C98CB42" w14:textId="6D66871E" w:rsidR="059AD9A5" w:rsidRDefault="059AD9A5" w:rsidP="3AB1E8CF">
      <w:pPr>
        <w:spacing w:line="360" w:lineRule="auto"/>
        <w:rPr>
          <w:rFonts w:ascii="Arial" w:eastAsia="Arial" w:hAnsi="Arial" w:cs="Arial"/>
          <w:sz w:val="22"/>
          <w:szCs w:val="22"/>
        </w:rPr>
      </w:pPr>
      <w:r w:rsidRPr="3AB1E8CF">
        <w:rPr>
          <w:rFonts w:ascii="Arial" w:eastAsia="Arial" w:hAnsi="Arial" w:cs="Arial"/>
          <w:sz w:val="22"/>
          <w:szCs w:val="22"/>
        </w:rPr>
        <w:t xml:space="preserve">Khan, Z. (2023). The Emerging Challenges and Strengths of the National Health Services: A Physician Perspective. Cureus, 15(5). Available at: </w:t>
      </w:r>
      <w:hyperlink r:id="rId13">
        <w:r w:rsidRPr="3AB1E8CF">
          <w:rPr>
            <w:rStyle w:val="Hyperlink"/>
            <w:rFonts w:ascii="Arial" w:eastAsia="Arial" w:hAnsi="Arial" w:cs="Arial"/>
            <w:color w:val="auto"/>
            <w:sz w:val="22"/>
            <w:szCs w:val="22"/>
          </w:rPr>
          <w:t>https://pmc.ncbi.nlm.nih.gov/articles/PMC10240167/</w:t>
        </w:r>
      </w:hyperlink>
      <w:r w:rsidRPr="3AB1E8CF">
        <w:rPr>
          <w:rFonts w:ascii="Arial" w:eastAsia="Arial" w:hAnsi="Arial" w:cs="Arial"/>
          <w:sz w:val="22"/>
          <w:szCs w:val="22"/>
        </w:rPr>
        <w:t>. Accessed 12 July 2026.</w:t>
      </w:r>
    </w:p>
    <w:p w14:paraId="5EC43B11" w14:textId="67AC92DD" w:rsidR="461F4659" w:rsidRDefault="461F4659" w:rsidP="3AB1E8CF">
      <w:pPr>
        <w:spacing w:line="360" w:lineRule="auto"/>
        <w:rPr>
          <w:rFonts w:ascii="Arial" w:eastAsia="Arial" w:hAnsi="Arial" w:cs="Arial"/>
          <w:sz w:val="22"/>
          <w:szCs w:val="22"/>
        </w:rPr>
      </w:pPr>
      <w:r w:rsidRPr="3AB1E8CF">
        <w:rPr>
          <w:rFonts w:ascii="Arial" w:eastAsia="Arial" w:hAnsi="Arial" w:cs="Arial"/>
          <w:sz w:val="22"/>
          <w:szCs w:val="22"/>
        </w:rPr>
        <w:t xml:space="preserve">Marmot, M. (2010). Fair Society Healthy Lives (The Marmot Review). Institute of Health Equity. Available at: </w:t>
      </w:r>
      <w:hyperlink r:id="rId14">
        <w:r w:rsidRPr="3AB1E8CF">
          <w:rPr>
            <w:rStyle w:val="Hyperlink"/>
            <w:rFonts w:ascii="Arial" w:eastAsia="Arial" w:hAnsi="Arial" w:cs="Arial"/>
            <w:color w:val="auto"/>
            <w:sz w:val="22"/>
            <w:szCs w:val="22"/>
          </w:rPr>
          <w:t>https://www.instituteofhealthequity.org/resources-reports/fair-society-healthy-lives-the-marmot-review</w:t>
        </w:r>
      </w:hyperlink>
      <w:r w:rsidRPr="3AB1E8CF">
        <w:rPr>
          <w:rFonts w:ascii="Arial" w:eastAsia="Arial" w:hAnsi="Arial" w:cs="Arial"/>
          <w:sz w:val="22"/>
          <w:szCs w:val="22"/>
        </w:rPr>
        <w:t xml:space="preserve">. Accessed 12 July 2026. </w:t>
      </w:r>
    </w:p>
    <w:p w14:paraId="502F2023" w14:textId="2C99ABB1" w:rsidR="0D6F1315" w:rsidRDefault="0D6F1315" w:rsidP="3AB1E8CF">
      <w:pPr>
        <w:spacing w:line="360" w:lineRule="auto"/>
        <w:rPr>
          <w:rFonts w:ascii="Arial" w:eastAsia="Arial" w:hAnsi="Arial" w:cs="Arial"/>
          <w:sz w:val="22"/>
          <w:szCs w:val="22"/>
        </w:rPr>
      </w:pPr>
      <w:r w:rsidRPr="3AB1E8CF">
        <w:rPr>
          <w:rFonts w:ascii="Arial" w:eastAsia="Arial" w:hAnsi="Arial" w:cs="Arial"/>
          <w:sz w:val="22"/>
          <w:szCs w:val="22"/>
        </w:rPr>
        <w:t>Marmot, M. (2020). Health Equity in England: the Marmot Review 10 Years on. British Medical Journal, 368(1). doi:https://doi.org/10.1136/bmj.m693. Accessed 12 July 2026.</w:t>
      </w:r>
    </w:p>
    <w:p w14:paraId="64C0C93D" w14:textId="01A0C483" w:rsidR="47880657" w:rsidRDefault="47880657" w:rsidP="3AB1E8CF">
      <w:pPr>
        <w:spacing w:line="360" w:lineRule="auto"/>
        <w:rPr>
          <w:rFonts w:ascii="Arial" w:eastAsia="Arial" w:hAnsi="Arial" w:cs="Arial"/>
          <w:sz w:val="22"/>
          <w:szCs w:val="22"/>
        </w:rPr>
      </w:pPr>
      <w:r w:rsidRPr="3AB1E8CF">
        <w:rPr>
          <w:rFonts w:ascii="Arial" w:eastAsia="Arial" w:hAnsi="Arial" w:cs="Arial"/>
          <w:sz w:val="22"/>
          <w:szCs w:val="22"/>
        </w:rPr>
        <w:t>McLeroy, K.R., Bibeau, D., Steckler, A. and Glanz, K. (1988). An Ecological Perspective on Health Promotion Programs. Health Education Quarterly, 15(4), pp.351–377. doi:https://doi.org/10.1177/109019818801500401. Accessed 13 July 2026.</w:t>
      </w:r>
    </w:p>
    <w:p w14:paraId="69C62859" w14:textId="0D2DF7E5" w:rsidR="32523620" w:rsidRDefault="32523620" w:rsidP="3AB1E8CF">
      <w:pPr>
        <w:spacing w:line="360" w:lineRule="auto"/>
        <w:rPr>
          <w:rFonts w:ascii="Arial" w:eastAsia="Arial" w:hAnsi="Arial" w:cs="Arial"/>
          <w:sz w:val="22"/>
          <w:szCs w:val="22"/>
        </w:rPr>
      </w:pPr>
      <w:r w:rsidRPr="3AB1E8CF">
        <w:rPr>
          <w:rFonts w:ascii="Arial" w:eastAsia="Arial" w:hAnsi="Arial" w:cs="Arial"/>
          <w:sz w:val="22"/>
          <w:szCs w:val="22"/>
        </w:rPr>
        <w:t xml:space="preserve">NHS England (2019). NHS Long Term Plan. NHS England. Available at: </w:t>
      </w:r>
      <w:hyperlink r:id="rId15">
        <w:r w:rsidRPr="3AB1E8CF">
          <w:rPr>
            <w:rStyle w:val="Hyperlink"/>
            <w:rFonts w:ascii="Arial" w:eastAsia="Arial" w:hAnsi="Arial" w:cs="Arial"/>
            <w:color w:val="auto"/>
            <w:sz w:val="22"/>
            <w:szCs w:val="22"/>
          </w:rPr>
          <w:t>https://www.longtermplan.nhs.uk/</w:t>
        </w:r>
      </w:hyperlink>
      <w:r w:rsidRPr="3AB1E8CF">
        <w:rPr>
          <w:rFonts w:ascii="Arial" w:eastAsia="Arial" w:hAnsi="Arial" w:cs="Arial"/>
          <w:sz w:val="22"/>
          <w:szCs w:val="22"/>
        </w:rPr>
        <w:t>. Accessed 12 July 2026.</w:t>
      </w:r>
    </w:p>
    <w:p w14:paraId="413B8F25" w14:textId="3F84BE74" w:rsidR="16494A25" w:rsidRDefault="16494A25" w:rsidP="3AB1E8CF">
      <w:pPr>
        <w:spacing w:line="360" w:lineRule="auto"/>
        <w:rPr>
          <w:rFonts w:ascii="Arial" w:eastAsia="Arial" w:hAnsi="Arial" w:cs="Arial"/>
          <w:sz w:val="22"/>
          <w:szCs w:val="22"/>
        </w:rPr>
      </w:pPr>
      <w:r w:rsidRPr="3AB1E8CF">
        <w:rPr>
          <w:rFonts w:ascii="Arial" w:eastAsia="Arial" w:hAnsi="Arial" w:cs="Arial"/>
          <w:sz w:val="22"/>
          <w:szCs w:val="22"/>
        </w:rPr>
        <w:t xml:space="preserve">Ranabhat, C.L., Atkinson, J., Park, M.-B., Kim, C.-B. and Jakovljevic, M. (2018). The Influence of Universal Health Coverage on Life Expectancy at Birth (LEAB) and Healthy Life Expectancy (HALE): A Multi-Country Cross-Sectional Study. Frontiers in Pharmacology, 9(9). doi:10.3389/fphar.2018.00960. Accessed 11 July 2026. </w:t>
      </w:r>
    </w:p>
    <w:p w14:paraId="2E0EABB8" w14:textId="310A4716" w:rsidR="7C2C2900" w:rsidRDefault="7C2C2900" w:rsidP="3AB1E8CF">
      <w:pPr>
        <w:spacing w:line="360" w:lineRule="auto"/>
        <w:rPr>
          <w:rFonts w:ascii="Arial" w:eastAsia="Arial" w:hAnsi="Arial" w:cs="Arial"/>
          <w:sz w:val="22"/>
          <w:szCs w:val="22"/>
        </w:rPr>
      </w:pPr>
      <w:r w:rsidRPr="3AB1E8CF">
        <w:rPr>
          <w:rFonts w:ascii="Arial" w:eastAsia="Arial" w:hAnsi="Arial" w:cs="Arial"/>
          <w:sz w:val="22"/>
          <w:szCs w:val="22"/>
        </w:rPr>
        <w:t xml:space="preserve">Rong, T., Ristevski, E. and Carroll, M. (2023). Exploring community engagement in place-based approaches in areas of poor health and disadvantage: A scoping review. Health &amp; Place, 81(81), p.103026. doi:10.1016/j.healthplace.2023.103026. Accessed 13 July 2026. </w:t>
      </w:r>
    </w:p>
    <w:p w14:paraId="259135A0" w14:textId="5E611247" w:rsidR="7F9A17D2" w:rsidRDefault="7F9A17D2" w:rsidP="3AB1E8CF">
      <w:pPr>
        <w:spacing w:line="360" w:lineRule="auto"/>
        <w:rPr>
          <w:rFonts w:ascii="Arial" w:eastAsia="Arial" w:hAnsi="Arial" w:cs="Arial"/>
          <w:sz w:val="22"/>
          <w:szCs w:val="22"/>
        </w:rPr>
      </w:pPr>
      <w:r w:rsidRPr="3AB1E8CF">
        <w:rPr>
          <w:rFonts w:ascii="Arial" w:eastAsia="Arial" w:hAnsi="Arial" w:cs="Arial"/>
          <w:sz w:val="22"/>
          <w:szCs w:val="22"/>
        </w:rPr>
        <w:t xml:space="preserve">Singer, M.E., Rosenthal, A., Shapira, S., Natour, S., Porat, I. and M. Negev (2025). Exploring the climate change, infrastructure, health nexus and everyday adaptation among vulnerable populations. Habitat International, 164, pp.103535–103535. doi:10.1016/j.habitatint.2025.103535. Accessed 13 July 2026. </w:t>
      </w:r>
    </w:p>
    <w:p w14:paraId="304649B9" w14:textId="6C3B2F27" w:rsidR="49325406" w:rsidRDefault="49325406" w:rsidP="3AB1E8CF">
      <w:pPr>
        <w:spacing w:line="360" w:lineRule="auto"/>
        <w:rPr>
          <w:rFonts w:ascii="Arial" w:eastAsia="Arial" w:hAnsi="Arial" w:cs="Arial"/>
          <w:sz w:val="22"/>
          <w:szCs w:val="22"/>
        </w:rPr>
      </w:pPr>
      <w:r w:rsidRPr="3AB1E8CF">
        <w:rPr>
          <w:rFonts w:ascii="Arial" w:eastAsia="Arial" w:hAnsi="Arial" w:cs="Arial"/>
          <w:sz w:val="22"/>
          <w:szCs w:val="22"/>
        </w:rPr>
        <w:t>Sundas, A., Contreras, I., Mujahid, O., Beneyto, A. and Vehi, J. (2024). The Effects of Environmental Factors on General Human Health: A Scoping Review. Healthcare,  12(21), p.2123. doi:10.3390/healthcare12212123. Accessed 12 July 2026.</w:t>
      </w:r>
    </w:p>
    <w:p w14:paraId="2D1A1F5F" w14:textId="7FD6271F" w:rsidR="76447C99" w:rsidRDefault="76447C99" w:rsidP="3AB1E8CF">
      <w:pPr>
        <w:spacing w:line="360" w:lineRule="auto"/>
        <w:rPr>
          <w:rFonts w:ascii="Arial" w:eastAsia="Arial" w:hAnsi="Arial" w:cs="Arial"/>
          <w:sz w:val="22"/>
          <w:szCs w:val="22"/>
        </w:rPr>
      </w:pPr>
      <w:r w:rsidRPr="3AB1E8CF">
        <w:rPr>
          <w:rFonts w:ascii="Arial" w:eastAsia="Arial" w:hAnsi="Arial" w:cs="Arial"/>
          <w:sz w:val="22"/>
          <w:szCs w:val="22"/>
        </w:rPr>
        <w:t xml:space="preserve">The King’s Fund. (2026). Measuring a moving target: the complex story of public health and prevention spending in local government. Available at: </w:t>
      </w:r>
      <w:hyperlink r:id="rId16">
        <w:r w:rsidRPr="3AB1E8CF">
          <w:rPr>
            <w:rStyle w:val="Hyperlink"/>
            <w:rFonts w:ascii="Arial" w:eastAsia="Arial" w:hAnsi="Arial" w:cs="Arial"/>
            <w:color w:val="auto"/>
            <w:sz w:val="22"/>
            <w:szCs w:val="22"/>
          </w:rPr>
          <w:t>https://www.kingsfund.org.uk/insight-and-analysis/blogs/public-health-prevention-spending-local-government</w:t>
        </w:r>
      </w:hyperlink>
      <w:r w:rsidRPr="3AB1E8CF">
        <w:rPr>
          <w:rFonts w:ascii="Arial" w:eastAsia="Arial" w:hAnsi="Arial" w:cs="Arial"/>
          <w:sz w:val="22"/>
          <w:szCs w:val="22"/>
        </w:rPr>
        <w:t>. Accessed 12 July 2026.</w:t>
      </w:r>
    </w:p>
    <w:p w14:paraId="3106CF68" w14:textId="54B83F9D" w:rsidR="064F46A4" w:rsidRDefault="064F46A4" w:rsidP="3AB1E8CF">
      <w:pPr>
        <w:spacing w:line="360" w:lineRule="auto"/>
        <w:rPr>
          <w:rFonts w:ascii="Arial" w:eastAsia="Arial" w:hAnsi="Arial" w:cs="Arial"/>
          <w:sz w:val="22"/>
          <w:szCs w:val="22"/>
        </w:rPr>
      </w:pPr>
      <w:r w:rsidRPr="3AB1E8CF">
        <w:rPr>
          <w:rFonts w:ascii="Arial" w:eastAsia="Arial" w:hAnsi="Arial" w:cs="Arial"/>
          <w:sz w:val="22"/>
          <w:szCs w:val="22"/>
        </w:rPr>
        <w:t xml:space="preserve">UK Government (2008). Climate Change Act 2008. Legislation.gov.uk. Available at: </w:t>
      </w:r>
      <w:hyperlink r:id="rId17">
        <w:r w:rsidRPr="3AB1E8CF">
          <w:rPr>
            <w:rStyle w:val="Hyperlink"/>
            <w:rFonts w:ascii="Arial" w:eastAsia="Arial" w:hAnsi="Arial" w:cs="Arial"/>
            <w:color w:val="auto"/>
            <w:sz w:val="22"/>
            <w:szCs w:val="22"/>
          </w:rPr>
          <w:t>https://www.legislation.gov.uk/ukpga/2008/27/contents</w:t>
        </w:r>
      </w:hyperlink>
      <w:r w:rsidRPr="3AB1E8CF">
        <w:rPr>
          <w:rFonts w:ascii="Arial" w:eastAsia="Arial" w:hAnsi="Arial" w:cs="Arial"/>
          <w:sz w:val="22"/>
          <w:szCs w:val="22"/>
        </w:rPr>
        <w:t>. Accessed 13 July 2026.</w:t>
      </w:r>
    </w:p>
    <w:p w14:paraId="28D342BF" w14:textId="5604562C" w:rsidR="5161F53A" w:rsidRDefault="5161F53A" w:rsidP="3AB1E8CF">
      <w:pPr>
        <w:spacing w:line="360" w:lineRule="auto"/>
        <w:rPr>
          <w:rFonts w:ascii="Arial" w:eastAsia="Arial" w:hAnsi="Arial" w:cs="Arial"/>
          <w:sz w:val="22"/>
          <w:szCs w:val="22"/>
        </w:rPr>
      </w:pPr>
      <w:r w:rsidRPr="3AB1E8CF">
        <w:rPr>
          <w:rFonts w:ascii="Arial" w:eastAsia="Arial" w:hAnsi="Arial" w:cs="Arial"/>
          <w:sz w:val="22"/>
          <w:szCs w:val="22"/>
        </w:rPr>
        <w:t xml:space="preserve">UK Government (2021). Net Zero Strategy: Build Back Greener. GOV.UK. Available at: </w:t>
      </w:r>
      <w:hyperlink r:id="rId18">
        <w:r w:rsidRPr="3AB1E8CF">
          <w:rPr>
            <w:rStyle w:val="Hyperlink"/>
            <w:rFonts w:ascii="Arial" w:eastAsia="Arial" w:hAnsi="Arial" w:cs="Arial"/>
            <w:color w:val="auto"/>
            <w:sz w:val="22"/>
            <w:szCs w:val="22"/>
          </w:rPr>
          <w:t>https://www.gov.uk/government/publications/net-zero-strategy</w:t>
        </w:r>
      </w:hyperlink>
      <w:r w:rsidRPr="3AB1E8CF">
        <w:rPr>
          <w:rFonts w:ascii="Arial" w:eastAsia="Arial" w:hAnsi="Arial" w:cs="Arial"/>
          <w:sz w:val="22"/>
          <w:szCs w:val="22"/>
        </w:rPr>
        <w:t>. Accessed 13 July 2026.</w:t>
      </w:r>
    </w:p>
    <w:p w14:paraId="132FF7B4" w14:textId="04DAB6E8" w:rsidR="53B47A3C" w:rsidRDefault="53B47A3C" w:rsidP="3AB1E8CF">
      <w:pPr>
        <w:spacing w:line="360" w:lineRule="auto"/>
        <w:rPr>
          <w:rFonts w:ascii="Arial" w:eastAsia="Arial" w:hAnsi="Arial" w:cs="Arial"/>
          <w:sz w:val="22"/>
          <w:szCs w:val="22"/>
        </w:rPr>
      </w:pPr>
      <w:r w:rsidRPr="3AB1E8CF">
        <w:rPr>
          <w:rFonts w:ascii="Arial" w:eastAsia="Arial" w:hAnsi="Arial" w:cs="Arial"/>
          <w:sz w:val="22"/>
          <w:szCs w:val="22"/>
        </w:rPr>
        <w:t xml:space="preserve">UNEP (2023). Emissions Gap Report 2023. Emissions Gap Report 2023. Available at: </w:t>
      </w:r>
      <w:hyperlink r:id="rId19">
        <w:r w:rsidRPr="3AB1E8CF">
          <w:rPr>
            <w:rStyle w:val="Hyperlink"/>
            <w:rFonts w:ascii="Arial" w:eastAsia="Arial" w:hAnsi="Arial" w:cs="Arial"/>
            <w:color w:val="auto"/>
            <w:sz w:val="22"/>
            <w:szCs w:val="22"/>
          </w:rPr>
          <w:t>https://www.unep.org/interactives/emissions-gap-report/2023/</w:t>
        </w:r>
      </w:hyperlink>
      <w:r w:rsidRPr="3AB1E8CF">
        <w:rPr>
          <w:rFonts w:ascii="Arial" w:eastAsia="Arial" w:hAnsi="Arial" w:cs="Arial"/>
          <w:sz w:val="22"/>
          <w:szCs w:val="22"/>
        </w:rPr>
        <w:t>. Accessed 13 July 2026.</w:t>
      </w:r>
    </w:p>
    <w:p w14:paraId="60DA4664" w14:textId="4174473D" w:rsidR="67A5C0A4" w:rsidRDefault="67A5C0A4" w:rsidP="3AB1E8CF">
      <w:pPr>
        <w:spacing w:line="360" w:lineRule="auto"/>
        <w:rPr>
          <w:rFonts w:ascii="Arial" w:eastAsia="Arial" w:hAnsi="Arial" w:cs="Arial"/>
          <w:sz w:val="22"/>
          <w:szCs w:val="22"/>
        </w:rPr>
      </w:pPr>
      <w:r w:rsidRPr="3AB1E8CF">
        <w:rPr>
          <w:rFonts w:ascii="Arial" w:eastAsia="Arial" w:hAnsi="Arial" w:cs="Arial"/>
          <w:sz w:val="22"/>
          <w:szCs w:val="22"/>
        </w:rPr>
        <w:t>UNFCCC (</w:t>
      </w:r>
      <w:r w:rsidR="42BFE177" w:rsidRPr="3AB1E8CF">
        <w:rPr>
          <w:rFonts w:ascii="Arial" w:eastAsia="Arial" w:hAnsi="Arial" w:cs="Arial"/>
          <w:sz w:val="22"/>
          <w:szCs w:val="22"/>
        </w:rPr>
        <w:t xml:space="preserve">2022). Available at: </w:t>
      </w:r>
      <w:hyperlink r:id="rId20">
        <w:r w:rsidR="42BFE177" w:rsidRPr="3AB1E8CF">
          <w:rPr>
            <w:rStyle w:val="Hyperlink"/>
            <w:rFonts w:ascii="Arial" w:eastAsia="Arial" w:hAnsi="Arial" w:cs="Arial"/>
            <w:color w:val="auto"/>
            <w:sz w:val="22"/>
            <w:szCs w:val="22"/>
          </w:rPr>
          <w:t>https://unfccc.int/about-us/unfccc-archives/the-unfccc-archival-exhibition/the-paris-agreement-exhibit</w:t>
        </w:r>
      </w:hyperlink>
      <w:r w:rsidR="42BFE177" w:rsidRPr="3AB1E8CF">
        <w:rPr>
          <w:rFonts w:ascii="Arial" w:eastAsia="Arial" w:hAnsi="Arial" w:cs="Arial"/>
          <w:sz w:val="22"/>
          <w:szCs w:val="22"/>
        </w:rPr>
        <w:t>. Accessed 13 July 2026.</w:t>
      </w:r>
    </w:p>
    <w:p w14:paraId="21C369FC" w14:textId="73AC1CA0" w:rsidR="29B380BB" w:rsidRDefault="29B380BB" w:rsidP="3AB1E8CF">
      <w:pPr>
        <w:spacing w:line="360" w:lineRule="auto"/>
        <w:rPr>
          <w:rFonts w:ascii="Arial" w:eastAsia="Arial" w:hAnsi="Arial" w:cs="Arial"/>
          <w:sz w:val="22"/>
          <w:szCs w:val="22"/>
        </w:rPr>
      </w:pPr>
      <w:r w:rsidRPr="3AB1E8CF">
        <w:rPr>
          <w:rFonts w:ascii="Arial" w:eastAsia="Arial" w:hAnsi="Arial" w:cs="Arial"/>
          <w:sz w:val="22"/>
          <w:szCs w:val="22"/>
        </w:rPr>
        <w:t xml:space="preserve">UNFCCC (2021). The Explainer: The Paris Agreement.Unfccc.int. Available at: </w:t>
      </w:r>
      <w:hyperlink r:id="rId21">
        <w:r w:rsidRPr="3AB1E8CF">
          <w:rPr>
            <w:rStyle w:val="Hyperlink"/>
            <w:rFonts w:ascii="Arial" w:eastAsia="Arial" w:hAnsi="Arial" w:cs="Arial"/>
            <w:color w:val="auto"/>
            <w:sz w:val="22"/>
            <w:szCs w:val="22"/>
          </w:rPr>
          <w:t>https://unfccc.int/news/the-explainer-the-paris-agreement</w:t>
        </w:r>
      </w:hyperlink>
      <w:r w:rsidRPr="3AB1E8CF">
        <w:rPr>
          <w:rFonts w:ascii="Arial" w:eastAsia="Arial" w:hAnsi="Arial" w:cs="Arial"/>
          <w:sz w:val="22"/>
          <w:szCs w:val="22"/>
        </w:rPr>
        <w:t>. Accessed 13 July 2026.</w:t>
      </w:r>
    </w:p>
    <w:p w14:paraId="39CBC6AC" w14:textId="46F4655E" w:rsidR="3C635407" w:rsidRDefault="3C635407" w:rsidP="3AB1E8CF">
      <w:pPr>
        <w:spacing w:line="360" w:lineRule="auto"/>
        <w:rPr>
          <w:rFonts w:ascii="Arial" w:eastAsia="Arial" w:hAnsi="Arial" w:cs="Arial"/>
          <w:sz w:val="22"/>
          <w:szCs w:val="22"/>
        </w:rPr>
      </w:pPr>
      <w:r w:rsidRPr="3AB1E8CF">
        <w:rPr>
          <w:rFonts w:ascii="Arial" w:eastAsia="Arial" w:hAnsi="Arial" w:cs="Arial"/>
          <w:sz w:val="22"/>
          <w:szCs w:val="22"/>
        </w:rPr>
        <w:t xml:space="preserve">United Nations (2015). The Paris Agreement. United Nations. Available at: </w:t>
      </w:r>
      <w:hyperlink r:id="rId22">
        <w:r w:rsidRPr="3AB1E8CF">
          <w:rPr>
            <w:rStyle w:val="Hyperlink"/>
            <w:rFonts w:ascii="Arial" w:eastAsia="Arial" w:hAnsi="Arial" w:cs="Arial"/>
            <w:color w:val="auto"/>
            <w:sz w:val="22"/>
            <w:szCs w:val="22"/>
          </w:rPr>
          <w:t>https://www.un.org/en/climatechange/paris-agreement</w:t>
        </w:r>
      </w:hyperlink>
      <w:r w:rsidRPr="3AB1E8CF">
        <w:rPr>
          <w:rFonts w:ascii="Arial" w:eastAsia="Arial" w:hAnsi="Arial" w:cs="Arial"/>
          <w:sz w:val="22"/>
          <w:szCs w:val="22"/>
        </w:rPr>
        <w:t>. Accessed 13 July 2026.</w:t>
      </w:r>
    </w:p>
    <w:p w14:paraId="33D6BC63" w14:textId="3D2CFE19" w:rsidR="52BCF866" w:rsidRDefault="52BCF866" w:rsidP="3AB1E8CF">
      <w:pPr>
        <w:spacing w:line="360" w:lineRule="auto"/>
        <w:rPr>
          <w:rFonts w:ascii="Arial" w:eastAsia="Arial" w:hAnsi="Arial" w:cs="Arial"/>
          <w:sz w:val="22"/>
          <w:szCs w:val="22"/>
        </w:rPr>
      </w:pPr>
      <w:r w:rsidRPr="3AB1E8CF">
        <w:rPr>
          <w:rFonts w:ascii="Arial" w:eastAsia="Arial" w:hAnsi="Arial" w:cs="Arial"/>
          <w:sz w:val="22"/>
          <w:szCs w:val="22"/>
        </w:rPr>
        <w:t xml:space="preserve">United Nations (2025). The Sustainable Development Goals Report 2025. Available at: </w:t>
      </w:r>
      <w:hyperlink r:id="rId23">
        <w:r w:rsidRPr="3AB1E8CF">
          <w:rPr>
            <w:rStyle w:val="Hyperlink"/>
            <w:rFonts w:ascii="Arial" w:eastAsia="Arial" w:hAnsi="Arial" w:cs="Arial"/>
            <w:color w:val="auto"/>
            <w:sz w:val="22"/>
            <w:szCs w:val="22"/>
          </w:rPr>
          <w:t>https://unstats.un.org/sdgs/report/2025/The-Sustainable-Development-Goals-Report-2025.pdf</w:t>
        </w:r>
      </w:hyperlink>
      <w:r w:rsidRPr="3AB1E8CF">
        <w:rPr>
          <w:rFonts w:ascii="Arial" w:eastAsia="Arial" w:hAnsi="Arial" w:cs="Arial"/>
          <w:sz w:val="22"/>
          <w:szCs w:val="22"/>
        </w:rPr>
        <w:t>. Accessed 12 July 2026.</w:t>
      </w:r>
    </w:p>
    <w:p w14:paraId="423F68C3" w14:textId="3B60B735" w:rsidR="57A5E8D4" w:rsidRDefault="57A5E8D4" w:rsidP="3AB1E8CF">
      <w:pPr>
        <w:spacing w:line="360" w:lineRule="auto"/>
        <w:rPr>
          <w:rFonts w:ascii="Arial" w:eastAsia="Arial" w:hAnsi="Arial" w:cs="Arial"/>
          <w:sz w:val="22"/>
          <w:szCs w:val="22"/>
        </w:rPr>
      </w:pPr>
      <w:r w:rsidRPr="3AB1E8CF">
        <w:rPr>
          <w:rFonts w:ascii="Arial" w:eastAsia="Arial" w:hAnsi="Arial" w:cs="Arial"/>
          <w:sz w:val="22"/>
          <w:szCs w:val="22"/>
        </w:rPr>
        <w:t xml:space="preserve">United Nations (2015). Transforming our world: The 2030 Agenda for Sustainable Development. United Nations. Available at: </w:t>
      </w:r>
      <w:hyperlink r:id="rId24">
        <w:r w:rsidRPr="3AB1E8CF">
          <w:rPr>
            <w:rStyle w:val="Hyperlink"/>
            <w:rFonts w:ascii="Arial" w:eastAsia="Arial" w:hAnsi="Arial" w:cs="Arial"/>
            <w:color w:val="auto"/>
            <w:sz w:val="22"/>
            <w:szCs w:val="22"/>
          </w:rPr>
          <w:t>https://sdgs.un.org/2030agenda</w:t>
        </w:r>
      </w:hyperlink>
      <w:r w:rsidRPr="3AB1E8CF">
        <w:rPr>
          <w:rFonts w:ascii="Arial" w:eastAsia="Arial" w:hAnsi="Arial" w:cs="Arial"/>
          <w:sz w:val="22"/>
          <w:szCs w:val="22"/>
        </w:rPr>
        <w:t xml:space="preserve">. Accessed 11 July 2026. </w:t>
      </w:r>
    </w:p>
    <w:p w14:paraId="719FD1B9" w14:textId="0F50AA51" w:rsidR="64ECD89D" w:rsidRDefault="64ECD89D" w:rsidP="3AB1E8CF">
      <w:pPr>
        <w:spacing w:line="360" w:lineRule="auto"/>
        <w:rPr>
          <w:rFonts w:ascii="Arial" w:eastAsia="Arial" w:hAnsi="Arial" w:cs="Arial"/>
          <w:sz w:val="22"/>
          <w:szCs w:val="22"/>
        </w:rPr>
      </w:pPr>
      <w:r w:rsidRPr="3AB1E8CF">
        <w:rPr>
          <w:rFonts w:ascii="Arial" w:eastAsia="Arial" w:hAnsi="Arial" w:cs="Arial"/>
          <w:sz w:val="22"/>
          <w:szCs w:val="22"/>
        </w:rPr>
        <w:t xml:space="preserve">Vahid Ghorbani Pashakolaie, Cotton, M. and Jansen, M. (2024). The co-benefits of offshore wind under the UK Renewable Obligation scheme: Integrating sustainability in energy policy evaluation. Energy policy, 192, pp.114259–114259. doi:10.1016/j.enpol.2024.114259. </w:t>
      </w:r>
      <w:r>
        <w:tab/>
      </w:r>
      <w:r w:rsidRPr="3AB1E8CF">
        <w:rPr>
          <w:rFonts w:ascii="Arial" w:eastAsia="Arial" w:hAnsi="Arial" w:cs="Arial"/>
          <w:sz w:val="22"/>
          <w:szCs w:val="22"/>
        </w:rPr>
        <w:t xml:space="preserve">Accessed 13 July 2026. </w:t>
      </w:r>
    </w:p>
    <w:p w14:paraId="22884DA8" w14:textId="1021F3D3" w:rsidR="79F40C2F" w:rsidRDefault="79F40C2F" w:rsidP="3AB1E8CF">
      <w:pPr>
        <w:spacing w:line="360" w:lineRule="auto"/>
        <w:rPr>
          <w:rFonts w:ascii="Arial" w:eastAsia="Arial" w:hAnsi="Arial" w:cs="Arial"/>
          <w:sz w:val="22"/>
          <w:szCs w:val="22"/>
        </w:rPr>
      </w:pPr>
      <w:r w:rsidRPr="3AB1E8CF">
        <w:rPr>
          <w:rFonts w:ascii="Arial" w:eastAsia="Arial" w:hAnsi="Arial" w:cs="Arial"/>
          <w:sz w:val="22"/>
          <w:szCs w:val="22"/>
        </w:rPr>
        <w:t xml:space="preserve">Whitmee, S., Haines, A., Beyrer, C., Boltz, F., Capon, A.G., de Souza Dias, B.F., Ezeh, A., Frumkin, H., Gong, P., Head, P., Horton, R., Mace, G.M., Marten, R., Myers, S.S., Nishtar, S., Osofsky, S.A., Pattanayak, S.K., Pongsiri, M.J., Romanelli, C., Soucat, A., Vega, J. and Yach, D. (2015). Safeguarding human health in the Anthropocene epoch: report of The Rockefeller Foundation–Lancet Commission on planetary health. The Lancet, 386(10007), pp.1973–2028. doi:10.1016/s0140-6736(15)60901-1. Accessed 13 July 2026. </w:t>
      </w:r>
    </w:p>
    <w:p w14:paraId="7873D3E1" w14:textId="294A2C64" w:rsidR="6949C7AD" w:rsidRDefault="6949C7AD" w:rsidP="3AB1E8CF">
      <w:pPr>
        <w:spacing w:line="360" w:lineRule="auto"/>
        <w:rPr>
          <w:rFonts w:ascii="Arial" w:eastAsia="Arial" w:hAnsi="Arial" w:cs="Arial"/>
          <w:sz w:val="22"/>
          <w:szCs w:val="22"/>
        </w:rPr>
      </w:pPr>
      <w:r w:rsidRPr="3AB1E8CF">
        <w:rPr>
          <w:rFonts w:ascii="Arial" w:eastAsia="Arial" w:hAnsi="Arial" w:cs="Arial"/>
          <w:sz w:val="22"/>
          <w:szCs w:val="22"/>
        </w:rPr>
        <w:t>World Health Organization (202</w:t>
      </w:r>
      <w:r w:rsidR="7F7A8267" w:rsidRPr="3AB1E8CF">
        <w:rPr>
          <w:rFonts w:ascii="Arial" w:eastAsia="Arial" w:hAnsi="Arial" w:cs="Arial"/>
          <w:sz w:val="22"/>
          <w:szCs w:val="22"/>
        </w:rPr>
        <w:t>5</w:t>
      </w:r>
      <w:r w:rsidRPr="3AB1E8CF">
        <w:rPr>
          <w:rFonts w:ascii="Arial" w:eastAsia="Arial" w:hAnsi="Arial" w:cs="Arial"/>
          <w:sz w:val="22"/>
          <w:szCs w:val="22"/>
        </w:rPr>
        <w:t xml:space="preserve">). </w:t>
      </w:r>
      <w:r w:rsidRPr="009B2F85">
        <w:rPr>
          <w:rFonts w:ascii="Arial" w:eastAsia="Arial" w:hAnsi="Arial" w:cs="Arial"/>
          <w:color w:val="000000" w:themeColor="text1"/>
          <w:sz w:val="22"/>
          <w:szCs w:val="22"/>
        </w:rPr>
        <w:t xml:space="preserve">Noncommunicable diseases. World Health Organization. Available at: </w:t>
      </w:r>
      <w:hyperlink r:id="rId25">
        <w:r w:rsidRPr="009B2F85">
          <w:rPr>
            <w:rStyle w:val="Hyperlink"/>
            <w:rFonts w:ascii="Arial" w:eastAsia="Arial" w:hAnsi="Arial" w:cs="Arial"/>
            <w:color w:val="000000" w:themeColor="text1"/>
            <w:sz w:val="22"/>
            <w:szCs w:val="22"/>
          </w:rPr>
          <w:t>https://www.who.int/news-room/fact-sheets/detail/noncommunicable-diseases</w:t>
        </w:r>
      </w:hyperlink>
      <w:r w:rsidRPr="009B2F85">
        <w:rPr>
          <w:rFonts w:ascii="Arial" w:eastAsia="Arial" w:hAnsi="Arial" w:cs="Arial"/>
          <w:color w:val="000000" w:themeColor="text1"/>
          <w:sz w:val="22"/>
          <w:szCs w:val="22"/>
        </w:rPr>
        <w:t xml:space="preserve">. Accessed 12 July 2026. </w:t>
      </w:r>
    </w:p>
    <w:p w14:paraId="760B86BF" w14:textId="0F00CD79" w:rsidR="4FCF9367" w:rsidRDefault="4FCF9367" w:rsidP="3AB1E8CF">
      <w:pPr>
        <w:spacing w:line="360" w:lineRule="auto"/>
        <w:rPr>
          <w:rFonts w:ascii="Arial" w:eastAsia="Arial" w:hAnsi="Arial" w:cs="Arial"/>
          <w:sz w:val="22"/>
          <w:szCs w:val="22"/>
        </w:rPr>
      </w:pPr>
      <w:r w:rsidRPr="3AB1E8CF">
        <w:rPr>
          <w:rFonts w:ascii="Arial" w:eastAsia="Arial" w:hAnsi="Arial" w:cs="Arial"/>
          <w:sz w:val="22"/>
          <w:szCs w:val="22"/>
        </w:rPr>
        <w:t xml:space="preserve">World Health Organization (2025). Universal Health Coverage. World Health Organization. Available at: </w:t>
      </w:r>
      <w:hyperlink r:id="rId26" w:anchor="tab=tab_1">
        <w:r w:rsidRPr="3AB1E8CF">
          <w:rPr>
            <w:rStyle w:val="Hyperlink"/>
            <w:rFonts w:ascii="Arial" w:eastAsia="Arial" w:hAnsi="Arial" w:cs="Arial"/>
            <w:color w:val="auto"/>
            <w:sz w:val="22"/>
            <w:szCs w:val="22"/>
          </w:rPr>
          <w:t>https://www.who.int/health-topics/universal-health-coverage#tab=tab_1</w:t>
        </w:r>
      </w:hyperlink>
      <w:r w:rsidRPr="3AB1E8CF">
        <w:rPr>
          <w:rFonts w:ascii="Arial" w:eastAsia="Arial" w:hAnsi="Arial" w:cs="Arial"/>
          <w:sz w:val="22"/>
          <w:szCs w:val="22"/>
        </w:rPr>
        <w:t xml:space="preserve">. Accessed 11 July 2026. </w:t>
      </w:r>
    </w:p>
    <w:p w14:paraId="6A2E0CA1" w14:textId="30F52479" w:rsidR="338AC0BF" w:rsidRDefault="338AC0BF" w:rsidP="3AB1E8CF">
      <w:pPr>
        <w:spacing w:line="360" w:lineRule="auto"/>
        <w:rPr>
          <w:rFonts w:ascii="Arial" w:eastAsia="Arial" w:hAnsi="Arial" w:cs="Arial"/>
          <w:sz w:val="22"/>
          <w:szCs w:val="22"/>
        </w:rPr>
      </w:pPr>
      <w:r w:rsidRPr="3AB1E8CF">
        <w:rPr>
          <w:rFonts w:ascii="Arial" w:eastAsia="Arial" w:hAnsi="Arial" w:cs="Arial"/>
          <w:sz w:val="22"/>
          <w:szCs w:val="22"/>
        </w:rPr>
        <w:t xml:space="preserve">World Health Organisation (2025). World Report on Social Determinants of Health Equity. Who.int. Available at: </w:t>
      </w:r>
      <w:hyperlink r:id="rId27">
        <w:r w:rsidRPr="3AB1E8CF">
          <w:rPr>
            <w:rStyle w:val="Hyperlink"/>
            <w:rFonts w:ascii="Arial" w:eastAsia="Arial" w:hAnsi="Arial" w:cs="Arial"/>
            <w:color w:val="auto"/>
            <w:sz w:val="22"/>
            <w:szCs w:val="22"/>
          </w:rPr>
          <w:t>https://www.who.int/teams/social-determinants-of-health/equity-and-health/world-report-on-social-determinants-of-health-equity</w:t>
        </w:r>
      </w:hyperlink>
      <w:r w:rsidRPr="3AB1E8CF">
        <w:rPr>
          <w:rFonts w:ascii="Arial" w:eastAsia="Arial" w:hAnsi="Arial" w:cs="Arial"/>
          <w:sz w:val="22"/>
          <w:szCs w:val="22"/>
        </w:rPr>
        <w:t>. Accessed 11 July 2026.</w:t>
      </w:r>
    </w:p>
    <w:p w14:paraId="69E7EDA7" w14:textId="14895633" w:rsidR="3AB1E8CF" w:rsidRDefault="3AB1E8CF" w:rsidP="3AB1E8CF">
      <w:pPr>
        <w:spacing w:line="360" w:lineRule="auto"/>
      </w:pPr>
    </w:p>
    <w:sectPr w:rsidR="3AB1E8CF">
      <w:footerReference w:type="even" r:id="rId28"/>
      <w:footerReference w:type="default" r:id="rId2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2D27F9" w14:textId="77777777" w:rsidR="00B65952" w:rsidRDefault="00B65952" w:rsidP="009B2F85">
      <w:pPr>
        <w:spacing w:after="0" w:line="240" w:lineRule="auto"/>
      </w:pPr>
      <w:r>
        <w:separator/>
      </w:r>
    </w:p>
  </w:endnote>
  <w:endnote w:type="continuationSeparator" w:id="0">
    <w:p w14:paraId="6471C9CB" w14:textId="77777777" w:rsidR="00B65952" w:rsidRDefault="00B65952" w:rsidP="009B2F8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21553699"/>
      <w:docPartObj>
        <w:docPartGallery w:val="Page Numbers (Bottom of Page)"/>
        <w:docPartUnique/>
      </w:docPartObj>
    </w:sdtPr>
    <w:sdtContent>
      <w:p w14:paraId="2DFD0306" w14:textId="1890E45C" w:rsidR="009B2F85" w:rsidRDefault="009B2F85" w:rsidP="00E976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C8FF76" w14:textId="77777777" w:rsidR="009B2F85" w:rsidRDefault="009B2F85" w:rsidP="009B2F8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10037133"/>
      <w:docPartObj>
        <w:docPartGallery w:val="Page Numbers (Bottom of Page)"/>
        <w:docPartUnique/>
      </w:docPartObj>
    </w:sdtPr>
    <w:sdtContent>
      <w:p w14:paraId="6171D528" w14:textId="5DE986B8" w:rsidR="009B2F85" w:rsidRDefault="009B2F85" w:rsidP="00E9765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D14C90D" w14:textId="77777777" w:rsidR="009B2F85" w:rsidRDefault="009B2F85" w:rsidP="009B2F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8B7A6" w14:textId="77777777" w:rsidR="00B65952" w:rsidRDefault="00B65952" w:rsidP="009B2F85">
      <w:pPr>
        <w:spacing w:after="0" w:line="240" w:lineRule="auto"/>
      </w:pPr>
      <w:r>
        <w:separator/>
      </w:r>
    </w:p>
  </w:footnote>
  <w:footnote w:type="continuationSeparator" w:id="0">
    <w:p w14:paraId="59E422D3" w14:textId="77777777" w:rsidR="00B65952" w:rsidRDefault="00B65952" w:rsidP="009B2F85">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WH/v3e585cOhYi" int2:id="pBpgdLEz">
      <int2:state int2:value="Rejected" int2:type="spell"/>
    </int2:textHash>
    <int2:textHash int2:hashCode="fSsLN9R0fT+HJ1" int2:id="Id32IT6B">
      <int2:state int2:value="Rejected" int2:type="spell"/>
    </int2:textHash>
    <int2:textHash int2:hashCode="vLFqqbHffw1gV/" int2:id="UQr8scwy">
      <int2:state int2:value="Rejected" int2:type="spell"/>
    </int2:textHash>
    <int2:textHash int2:hashCode="2Njv7CCK+A0vKK" int2:id="6aG0oNFT">
      <int2:state int2:value="Rejected" int2:type="spell"/>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37B4A0"/>
    <w:rsid w:val="002D7653"/>
    <w:rsid w:val="00322D18"/>
    <w:rsid w:val="0043171D"/>
    <w:rsid w:val="005583C2"/>
    <w:rsid w:val="006143C0"/>
    <w:rsid w:val="00618A60"/>
    <w:rsid w:val="007C40ED"/>
    <w:rsid w:val="00846887"/>
    <w:rsid w:val="009B2F85"/>
    <w:rsid w:val="009F1343"/>
    <w:rsid w:val="00A91A38"/>
    <w:rsid w:val="00B65952"/>
    <w:rsid w:val="00C55678"/>
    <w:rsid w:val="00CA15FC"/>
    <w:rsid w:val="00E63AEA"/>
    <w:rsid w:val="00F91151"/>
    <w:rsid w:val="0152BF40"/>
    <w:rsid w:val="0164B0E2"/>
    <w:rsid w:val="01976B82"/>
    <w:rsid w:val="01BB667A"/>
    <w:rsid w:val="01DD75D7"/>
    <w:rsid w:val="01EDC8C8"/>
    <w:rsid w:val="024AFA53"/>
    <w:rsid w:val="026EA757"/>
    <w:rsid w:val="0286BBE8"/>
    <w:rsid w:val="029FEC7E"/>
    <w:rsid w:val="02A7178B"/>
    <w:rsid w:val="02B378D2"/>
    <w:rsid w:val="02BA40DA"/>
    <w:rsid w:val="02D0889E"/>
    <w:rsid w:val="02FFB9D0"/>
    <w:rsid w:val="030D7A8C"/>
    <w:rsid w:val="0332583E"/>
    <w:rsid w:val="033AEB08"/>
    <w:rsid w:val="035AAF4E"/>
    <w:rsid w:val="03E93E3C"/>
    <w:rsid w:val="0412A1F0"/>
    <w:rsid w:val="042E3C9F"/>
    <w:rsid w:val="04411A36"/>
    <w:rsid w:val="04513432"/>
    <w:rsid w:val="047E268D"/>
    <w:rsid w:val="05101CFF"/>
    <w:rsid w:val="05288B94"/>
    <w:rsid w:val="052A0D90"/>
    <w:rsid w:val="05593E45"/>
    <w:rsid w:val="0571D801"/>
    <w:rsid w:val="0599B027"/>
    <w:rsid w:val="059AD9A5"/>
    <w:rsid w:val="05A65763"/>
    <w:rsid w:val="05C54213"/>
    <w:rsid w:val="05C8ED89"/>
    <w:rsid w:val="05E802D4"/>
    <w:rsid w:val="060E464C"/>
    <w:rsid w:val="061DF90F"/>
    <w:rsid w:val="06252ED0"/>
    <w:rsid w:val="064D6867"/>
    <w:rsid w:val="064F46A4"/>
    <w:rsid w:val="06881B82"/>
    <w:rsid w:val="06BEE5EB"/>
    <w:rsid w:val="072A4074"/>
    <w:rsid w:val="07A08A83"/>
    <w:rsid w:val="07BD5B59"/>
    <w:rsid w:val="07BE5E95"/>
    <w:rsid w:val="07D27C9D"/>
    <w:rsid w:val="07E1ED60"/>
    <w:rsid w:val="07EAFF59"/>
    <w:rsid w:val="07FAD60E"/>
    <w:rsid w:val="07FFAB97"/>
    <w:rsid w:val="08358941"/>
    <w:rsid w:val="083F4DA5"/>
    <w:rsid w:val="08565872"/>
    <w:rsid w:val="088C2503"/>
    <w:rsid w:val="08A580A5"/>
    <w:rsid w:val="08AD451F"/>
    <w:rsid w:val="08BE1D23"/>
    <w:rsid w:val="08D3B393"/>
    <w:rsid w:val="0929F48E"/>
    <w:rsid w:val="093EFAFC"/>
    <w:rsid w:val="095CC698"/>
    <w:rsid w:val="09704EE7"/>
    <w:rsid w:val="09A915D4"/>
    <w:rsid w:val="0A5659AB"/>
    <w:rsid w:val="0AC5EBC1"/>
    <w:rsid w:val="0AECB934"/>
    <w:rsid w:val="0B47190E"/>
    <w:rsid w:val="0B494742"/>
    <w:rsid w:val="0B4ECA09"/>
    <w:rsid w:val="0B792F3F"/>
    <w:rsid w:val="0BB816F1"/>
    <w:rsid w:val="0C027C03"/>
    <w:rsid w:val="0C2B82D1"/>
    <w:rsid w:val="0C3A188C"/>
    <w:rsid w:val="0C4D1548"/>
    <w:rsid w:val="0C6BD2D2"/>
    <w:rsid w:val="0CB6F821"/>
    <w:rsid w:val="0CC3E47E"/>
    <w:rsid w:val="0D0B1B3E"/>
    <w:rsid w:val="0D304BF0"/>
    <w:rsid w:val="0D6F1315"/>
    <w:rsid w:val="0DBA6FA2"/>
    <w:rsid w:val="0DE4AA5A"/>
    <w:rsid w:val="0E38F269"/>
    <w:rsid w:val="0E5E22EB"/>
    <w:rsid w:val="0E747E2D"/>
    <w:rsid w:val="0E8A1423"/>
    <w:rsid w:val="0E8AE1F1"/>
    <w:rsid w:val="0E97B932"/>
    <w:rsid w:val="0E9B90F8"/>
    <w:rsid w:val="0ED27656"/>
    <w:rsid w:val="0EEB0484"/>
    <w:rsid w:val="0F16BA38"/>
    <w:rsid w:val="0F20EAEF"/>
    <w:rsid w:val="0F5746C0"/>
    <w:rsid w:val="0F5E665B"/>
    <w:rsid w:val="0F6822A9"/>
    <w:rsid w:val="0F6841FA"/>
    <w:rsid w:val="0FED9C85"/>
    <w:rsid w:val="0FFF6D27"/>
    <w:rsid w:val="10295A50"/>
    <w:rsid w:val="104B8A8D"/>
    <w:rsid w:val="10527E8A"/>
    <w:rsid w:val="10602DBA"/>
    <w:rsid w:val="109C1543"/>
    <w:rsid w:val="10BB9B7F"/>
    <w:rsid w:val="10C10B79"/>
    <w:rsid w:val="10C7640D"/>
    <w:rsid w:val="10CBE56E"/>
    <w:rsid w:val="111589D6"/>
    <w:rsid w:val="1133BD8D"/>
    <w:rsid w:val="1139A5D3"/>
    <w:rsid w:val="11435051"/>
    <w:rsid w:val="11843332"/>
    <w:rsid w:val="11F69D14"/>
    <w:rsid w:val="11FF8467"/>
    <w:rsid w:val="120F167B"/>
    <w:rsid w:val="1245DD0A"/>
    <w:rsid w:val="136F709A"/>
    <w:rsid w:val="13BC698C"/>
    <w:rsid w:val="13D337E2"/>
    <w:rsid w:val="142BB2E2"/>
    <w:rsid w:val="142DA241"/>
    <w:rsid w:val="14350A12"/>
    <w:rsid w:val="1442F475"/>
    <w:rsid w:val="14D9D1C5"/>
    <w:rsid w:val="14E86398"/>
    <w:rsid w:val="14EF4E5B"/>
    <w:rsid w:val="14F5F811"/>
    <w:rsid w:val="14F82646"/>
    <w:rsid w:val="14F99498"/>
    <w:rsid w:val="1540A656"/>
    <w:rsid w:val="158B1F9D"/>
    <w:rsid w:val="159F6172"/>
    <w:rsid w:val="15F84A71"/>
    <w:rsid w:val="16494A25"/>
    <w:rsid w:val="16C0D6A0"/>
    <w:rsid w:val="16CB66F6"/>
    <w:rsid w:val="16F6BF41"/>
    <w:rsid w:val="173C0396"/>
    <w:rsid w:val="17502731"/>
    <w:rsid w:val="1779C0C9"/>
    <w:rsid w:val="178B42A2"/>
    <w:rsid w:val="1795FF3B"/>
    <w:rsid w:val="17B3ECA3"/>
    <w:rsid w:val="17CE9DDD"/>
    <w:rsid w:val="18EDA51C"/>
    <w:rsid w:val="19257402"/>
    <w:rsid w:val="1937830B"/>
    <w:rsid w:val="194F34DC"/>
    <w:rsid w:val="19947BBE"/>
    <w:rsid w:val="19DAAA5E"/>
    <w:rsid w:val="19E5199C"/>
    <w:rsid w:val="1A2AACF2"/>
    <w:rsid w:val="1A2D1DD3"/>
    <w:rsid w:val="1A5E4872"/>
    <w:rsid w:val="1A63492E"/>
    <w:rsid w:val="1AC8BBC0"/>
    <w:rsid w:val="1ACBF5D2"/>
    <w:rsid w:val="1AEB8D4E"/>
    <w:rsid w:val="1AF2A040"/>
    <w:rsid w:val="1B33BAC8"/>
    <w:rsid w:val="1B42935F"/>
    <w:rsid w:val="1B659858"/>
    <w:rsid w:val="1B704A87"/>
    <w:rsid w:val="1B998E71"/>
    <w:rsid w:val="1BB07675"/>
    <w:rsid w:val="1C115768"/>
    <w:rsid w:val="1C6D8D3E"/>
    <w:rsid w:val="1C9116CF"/>
    <w:rsid w:val="1CAF7061"/>
    <w:rsid w:val="1CBF1417"/>
    <w:rsid w:val="1CF22080"/>
    <w:rsid w:val="1D18545A"/>
    <w:rsid w:val="1D4074C0"/>
    <w:rsid w:val="1D70EEDB"/>
    <w:rsid w:val="1DAB77B4"/>
    <w:rsid w:val="1E0462D1"/>
    <w:rsid w:val="1EA1DB74"/>
    <w:rsid w:val="1EB9D7CD"/>
    <w:rsid w:val="1EC041CB"/>
    <w:rsid w:val="1F6134D9"/>
    <w:rsid w:val="1F82C9D2"/>
    <w:rsid w:val="1F882EEB"/>
    <w:rsid w:val="1F91486C"/>
    <w:rsid w:val="1FFEAE69"/>
    <w:rsid w:val="200710F0"/>
    <w:rsid w:val="200F68AF"/>
    <w:rsid w:val="20261B77"/>
    <w:rsid w:val="203D5FCA"/>
    <w:rsid w:val="204C31A8"/>
    <w:rsid w:val="208F7016"/>
    <w:rsid w:val="20D6F110"/>
    <w:rsid w:val="20F084F6"/>
    <w:rsid w:val="2161DA9A"/>
    <w:rsid w:val="216599E1"/>
    <w:rsid w:val="218F36C4"/>
    <w:rsid w:val="21C71290"/>
    <w:rsid w:val="21CF00EC"/>
    <w:rsid w:val="21D2FD12"/>
    <w:rsid w:val="220D853E"/>
    <w:rsid w:val="221941FE"/>
    <w:rsid w:val="22287345"/>
    <w:rsid w:val="223D3E17"/>
    <w:rsid w:val="223EA7C6"/>
    <w:rsid w:val="22479CFD"/>
    <w:rsid w:val="22A51FBD"/>
    <w:rsid w:val="22B74FDB"/>
    <w:rsid w:val="22C61DDA"/>
    <w:rsid w:val="22DD35FE"/>
    <w:rsid w:val="22DF880C"/>
    <w:rsid w:val="237A37F0"/>
    <w:rsid w:val="238036D2"/>
    <w:rsid w:val="23969DE0"/>
    <w:rsid w:val="23BB0C41"/>
    <w:rsid w:val="23D79D02"/>
    <w:rsid w:val="23FEA64D"/>
    <w:rsid w:val="2417FE0C"/>
    <w:rsid w:val="242C8131"/>
    <w:rsid w:val="24687380"/>
    <w:rsid w:val="2484AEE8"/>
    <w:rsid w:val="248C140C"/>
    <w:rsid w:val="24CD7C8F"/>
    <w:rsid w:val="24E2C829"/>
    <w:rsid w:val="24FB1A8F"/>
    <w:rsid w:val="253B6C60"/>
    <w:rsid w:val="2541DA4A"/>
    <w:rsid w:val="256ED3FD"/>
    <w:rsid w:val="25862342"/>
    <w:rsid w:val="25A3708B"/>
    <w:rsid w:val="25AA0E4E"/>
    <w:rsid w:val="25C09635"/>
    <w:rsid w:val="260052B2"/>
    <w:rsid w:val="2625E990"/>
    <w:rsid w:val="264585E8"/>
    <w:rsid w:val="265636D1"/>
    <w:rsid w:val="267A7160"/>
    <w:rsid w:val="27158C14"/>
    <w:rsid w:val="272DD8FE"/>
    <w:rsid w:val="275D74F8"/>
    <w:rsid w:val="276ADA1D"/>
    <w:rsid w:val="27BEF90C"/>
    <w:rsid w:val="27E0E50F"/>
    <w:rsid w:val="27E98E1D"/>
    <w:rsid w:val="27EF67E1"/>
    <w:rsid w:val="27F09AE0"/>
    <w:rsid w:val="27FF52A2"/>
    <w:rsid w:val="283DB9DF"/>
    <w:rsid w:val="283DC903"/>
    <w:rsid w:val="289796A3"/>
    <w:rsid w:val="28B1CD23"/>
    <w:rsid w:val="28B88E74"/>
    <w:rsid w:val="28BAB109"/>
    <w:rsid w:val="28F014C2"/>
    <w:rsid w:val="291B6093"/>
    <w:rsid w:val="29B380BB"/>
    <w:rsid w:val="29C63905"/>
    <w:rsid w:val="29F9C507"/>
    <w:rsid w:val="2A0640DB"/>
    <w:rsid w:val="2A1484D4"/>
    <w:rsid w:val="2A2D59BD"/>
    <w:rsid w:val="2A54B871"/>
    <w:rsid w:val="2A54C5C6"/>
    <w:rsid w:val="2AA63BB7"/>
    <w:rsid w:val="2AA8A973"/>
    <w:rsid w:val="2AD14E72"/>
    <w:rsid w:val="2AFC1B06"/>
    <w:rsid w:val="2AFCDC57"/>
    <w:rsid w:val="2B062630"/>
    <w:rsid w:val="2B2F41ED"/>
    <w:rsid w:val="2B333ED1"/>
    <w:rsid w:val="2B4EC1CB"/>
    <w:rsid w:val="2B6DE9CB"/>
    <w:rsid w:val="2B738F2E"/>
    <w:rsid w:val="2B8A6F7B"/>
    <w:rsid w:val="2BA0ED9A"/>
    <w:rsid w:val="2BA2A401"/>
    <w:rsid w:val="2BB18EAD"/>
    <w:rsid w:val="2BB4B795"/>
    <w:rsid w:val="2BC51C5F"/>
    <w:rsid w:val="2C0991BF"/>
    <w:rsid w:val="2C1BD10D"/>
    <w:rsid w:val="2C3044CB"/>
    <w:rsid w:val="2C38EC34"/>
    <w:rsid w:val="2C454697"/>
    <w:rsid w:val="2CA272D0"/>
    <w:rsid w:val="2CAAE023"/>
    <w:rsid w:val="2CB4BA76"/>
    <w:rsid w:val="2CCD3E2B"/>
    <w:rsid w:val="2CE1DC78"/>
    <w:rsid w:val="2CFA6C6E"/>
    <w:rsid w:val="2D2EABC0"/>
    <w:rsid w:val="2D63DEF3"/>
    <w:rsid w:val="2D9A87DC"/>
    <w:rsid w:val="2DF78C5D"/>
    <w:rsid w:val="2E020885"/>
    <w:rsid w:val="2E5497F6"/>
    <w:rsid w:val="2E5D5B98"/>
    <w:rsid w:val="2E63A7E8"/>
    <w:rsid w:val="2E7ED11E"/>
    <w:rsid w:val="2EC2D37A"/>
    <w:rsid w:val="2EC3C357"/>
    <w:rsid w:val="2EDC58C7"/>
    <w:rsid w:val="2F0C5BAD"/>
    <w:rsid w:val="2F1845F6"/>
    <w:rsid w:val="2F31DF0D"/>
    <w:rsid w:val="2F35C3FE"/>
    <w:rsid w:val="2F405BC7"/>
    <w:rsid w:val="2F4749E5"/>
    <w:rsid w:val="2F955DCB"/>
    <w:rsid w:val="2FA4E82E"/>
    <w:rsid w:val="2FE8B985"/>
    <w:rsid w:val="2FF8BE14"/>
    <w:rsid w:val="300B849E"/>
    <w:rsid w:val="300EA7EC"/>
    <w:rsid w:val="3044BCF4"/>
    <w:rsid w:val="3054788B"/>
    <w:rsid w:val="305F997D"/>
    <w:rsid w:val="3060C498"/>
    <w:rsid w:val="30AE7442"/>
    <w:rsid w:val="30B090F0"/>
    <w:rsid w:val="30EB24A4"/>
    <w:rsid w:val="313D59E0"/>
    <w:rsid w:val="31800F71"/>
    <w:rsid w:val="31A41E05"/>
    <w:rsid w:val="31C07E72"/>
    <w:rsid w:val="320B370F"/>
    <w:rsid w:val="321B4BDB"/>
    <w:rsid w:val="32523620"/>
    <w:rsid w:val="325291B4"/>
    <w:rsid w:val="327701CA"/>
    <w:rsid w:val="32A1CECD"/>
    <w:rsid w:val="32A2E91D"/>
    <w:rsid w:val="32C116F4"/>
    <w:rsid w:val="32C5D178"/>
    <w:rsid w:val="33246F04"/>
    <w:rsid w:val="333954B9"/>
    <w:rsid w:val="335E1B37"/>
    <w:rsid w:val="338AC0BF"/>
    <w:rsid w:val="338B023B"/>
    <w:rsid w:val="342D86FD"/>
    <w:rsid w:val="3444BE8B"/>
    <w:rsid w:val="348FC44E"/>
    <w:rsid w:val="3524E18F"/>
    <w:rsid w:val="353A71BE"/>
    <w:rsid w:val="359F1F0E"/>
    <w:rsid w:val="35CC1B0E"/>
    <w:rsid w:val="35CF31B2"/>
    <w:rsid w:val="35E90A58"/>
    <w:rsid w:val="35FB103B"/>
    <w:rsid w:val="3601215B"/>
    <w:rsid w:val="36059ECB"/>
    <w:rsid w:val="36099E71"/>
    <w:rsid w:val="3646C1F0"/>
    <w:rsid w:val="36482A55"/>
    <w:rsid w:val="3648B91A"/>
    <w:rsid w:val="3667F779"/>
    <w:rsid w:val="36A96C69"/>
    <w:rsid w:val="3721F0C8"/>
    <w:rsid w:val="3736BC5E"/>
    <w:rsid w:val="3742F1C3"/>
    <w:rsid w:val="3788E771"/>
    <w:rsid w:val="37C0F083"/>
    <w:rsid w:val="37C8A7E2"/>
    <w:rsid w:val="37DBAFDA"/>
    <w:rsid w:val="38038A1C"/>
    <w:rsid w:val="380C38B5"/>
    <w:rsid w:val="382BB436"/>
    <w:rsid w:val="382FE2E7"/>
    <w:rsid w:val="3832424F"/>
    <w:rsid w:val="384816DC"/>
    <w:rsid w:val="387633EE"/>
    <w:rsid w:val="3884A41E"/>
    <w:rsid w:val="388B6B6D"/>
    <w:rsid w:val="388BAFA5"/>
    <w:rsid w:val="38C686ED"/>
    <w:rsid w:val="38CF50CB"/>
    <w:rsid w:val="39DF1FA6"/>
    <w:rsid w:val="39EB060D"/>
    <w:rsid w:val="3A1C7BBE"/>
    <w:rsid w:val="3A65434D"/>
    <w:rsid w:val="3AB1E8CF"/>
    <w:rsid w:val="3AC7EB2A"/>
    <w:rsid w:val="3AC8F23F"/>
    <w:rsid w:val="3AE5F35F"/>
    <w:rsid w:val="3B0E9B15"/>
    <w:rsid w:val="3B27ED79"/>
    <w:rsid w:val="3B8D0CA6"/>
    <w:rsid w:val="3BC01043"/>
    <w:rsid w:val="3BCE0FC6"/>
    <w:rsid w:val="3C036586"/>
    <w:rsid w:val="3C383459"/>
    <w:rsid w:val="3C635407"/>
    <w:rsid w:val="3C946FAB"/>
    <w:rsid w:val="3CA152CA"/>
    <w:rsid w:val="3CA64792"/>
    <w:rsid w:val="3CBF02B7"/>
    <w:rsid w:val="3CFBDA02"/>
    <w:rsid w:val="3D6A29F4"/>
    <w:rsid w:val="3D7BC555"/>
    <w:rsid w:val="3D8C96B1"/>
    <w:rsid w:val="3D8F87AB"/>
    <w:rsid w:val="3D9D2940"/>
    <w:rsid w:val="3DB38867"/>
    <w:rsid w:val="3E2BEEDA"/>
    <w:rsid w:val="3E4CB49E"/>
    <w:rsid w:val="3E826A7D"/>
    <w:rsid w:val="3F0466BF"/>
    <w:rsid w:val="3F1233C8"/>
    <w:rsid w:val="3F2F47F5"/>
    <w:rsid w:val="3F681301"/>
    <w:rsid w:val="3F7F1B36"/>
    <w:rsid w:val="3FA9F9F1"/>
    <w:rsid w:val="3FAD3C80"/>
    <w:rsid w:val="3FC33A54"/>
    <w:rsid w:val="3FF269C2"/>
    <w:rsid w:val="3FF9DE46"/>
    <w:rsid w:val="402F5AF7"/>
    <w:rsid w:val="403509B5"/>
    <w:rsid w:val="40570F50"/>
    <w:rsid w:val="405DA832"/>
    <w:rsid w:val="406BCC70"/>
    <w:rsid w:val="40A2B6D9"/>
    <w:rsid w:val="40C1F50E"/>
    <w:rsid w:val="40CA1216"/>
    <w:rsid w:val="410091A2"/>
    <w:rsid w:val="41E2E805"/>
    <w:rsid w:val="41FB6726"/>
    <w:rsid w:val="424DC833"/>
    <w:rsid w:val="425EDB48"/>
    <w:rsid w:val="42784BB4"/>
    <w:rsid w:val="4285B0BA"/>
    <w:rsid w:val="429CD5CF"/>
    <w:rsid w:val="42A7B1CF"/>
    <w:rsid w:val="42BFE177"/>
    <w:rsid w:val="42D9BAED"/>
    <w:rsid w:val="42E17FEE"/>
    <w:rsid w:val="430FAF3A"/>
    <w:rsid w:val="431FB3FF"/>
    <w:rsid w:val="43500AE9"/>
    <w:rsid w:val="43777BAA"/>
    <w:rsid w:val="437FDD70"/>
    <w:rsid w:val="440EA93C"/>
    <w:rsid w:val="441A9725"/>
    <w:rsid w:val="4442D792"/>
    <w:rsid w:val="44699132"/>
    <w:rsid w:val="44905508"/>
    <w:rsid w:val="44C230F9"/>
    <w:rsid w:val="4584161B"/>
    <w:rsid w:val="4591ED18"/>
    <w:rsid w:val="45A1A5E3"/>
    <w:rsid w:val="45C36006"/>
    <w:rsid w:val="45D1A9E6"/>
    <w:rsid w:val="45F19A1E"/>
    <w:rsid w:val="4600E245"/>
    <w:rsid w:val="46011951"/>
    <w:rsid w:val="4605C09E"/>
    <w:rsid w:val="4615C64E"/>
    <w:rsid w:val="461F4659"/>
    <w:rsid w:val="46227C5C"/>
    <w:rsid w:val="463187C4"/>
    <w:rsid w:val="46363C63"/>
    <w:rsid w:val="46378A42"/>
    <w:rsid w:val="46A3583F"/>
    <w:rsid w:val="46BB7EA5"/>
    <w:rsid w:val="4722499C"/>
    <w:rsid w:val="4723704D"/>
    <w:rsid w:val="47280370"/>
    <w:rsid w:val="474E92C2"/>
    <w:rsid w:val="477E4F86"/>
    <w:rsid w:val="47880657"/>
    <w:rsid w:val="479D6597"/>
    <w:rsid w:val="486E2A96"/>
    <w:rsid w:val="48978F21"/>
    <w:rsid w:val="48E3982B"/>
    <w:rsid w:val="4913B0B0"/>
    <w:rsid w:val="491FA27F"/>
    <w:rsid w:val="49325406"/>
    <w:rsid w:val="495FF927"/>
    <w:rsid w:val="4969DCAE"/>
    <w:rsid w:val="49769725"/>
    <w:rsid w:val="498E9154"/>
    <w:rsid w:val="4992B083"/>
    <w:rsid w:val="499EDE40"/>
    <w:rsid w:val="4A47340F"/>
    <w:rsid w:val="4A4D738B"/>
    <w:rsid w:val="4A87BFFE"/>
    <w:rsid w:val="4A88CAEB"/>
    <w:rsid w:val="4AABAC15"/>
    <w:rsid w:val="4ABE9E88"/>
    <w:rsid w:val="4AD786F5"/>
    <w:rsid w:val="4B0493DD"/>
    <w:rsid w:val="4B37B4A0"/>
    <w:rsid w:val="4B3C5E2B"/>
    <w:rsid w:val="4B9C94CA"/>
    <w:rsid w:val="4C22FC38"/>
    <w:rsid w:val="4C284E1B"/>
    <w:rsid w:val="4C3A029E"/>
    <w:rsid w:val="4C3DAB9E"/>
    <w:rsid w:val="4C520D4C"/>
    <w:rsid w:val="4C70CA0B"/>
    <w:rsid w:val="4C902A7A"/>
    <w:rsid w:val="4C96F043"/>
    <w:rsid w:val="4CB03F52"/>
    <w:rsid w:val="4CD0DB3C"/>
    <w:rsid w:val="4D2DC4F3"/>
    <w:rsid w:val="4D6494CA"/>
    <w:rsid w:val="4D68E0DE"/>
    <w:rsid w:val="4DAB1254"/>
    <w:rsid w:val="4DB835EB"/>
    <w:rsid w:val="4E172C55"/>
    <w:rsid w:val="4E5C94FB"/>
    <w:rsid w:val="4ED1648A"/>
    <w:rsid w:val="4EDC517C"/>
    <w:rsid w:val="4F284828"/>
    <w:rsid w:val="4F48CE9F"/>
    <w:rsid w:val="4F5EBC85"/>
    <w:rsid w:val="4F632F07"/>
    <w:rsid w:val="4F7010EF"/>
    <w:rsid w:val="4F920AC1"/>
    <w:rsid w:val="4FA778CD"/>
    <w:rsid w:val="4FCF9367"/>
    <w:rsid w:val="4FD0382C"/>
    <w:rsid w:val="4FE95FD0"/>
    <w:rsid w:val="4FF0D3F6"/>
    <w:rsid w:val="500E70D1"/>
    <w:rsid w:val="50B306E0"/>
    <w:rsid w:val="511508F8"/>
    <w:rsid w:val="5121CF2C"/>
    <w:rsid w:val="5161F53A"/>
    <w:rsid w:val="516654FE"/>
    <w:rsid w:val="51B7530A"/>
    <w:rsid w:val="51C20E12"/>
    <w:rsid w:val="52398BA6"/>
    <w:rsid w:val="526E8316"/>
    <w:rsid w:val="5273A1D1"/>
    <w:rsid w:val="52808C1E"/>
    <w:rsid w:val="52B4AA9C"/>
    <w:rsid w:val="52BCF866"/>
    <w:rsid w:val="52E59FC7"/>
    <w:rsid w:val="52E645BA"/>
    <w:rsid w:val="53067404"/>
    <w:rsid w:val="5379DC62"/>
    <w:rsid w:val="53A064A3"/>
    <w:rsid w:val="53B47A3C"/>
    <w:rsid w:val="53B768B2"/>
    <w:rsid w:val="53CF3016"/>
    <w:rsid w:val="53F5B445"/>
    <w:rsid w:val="54134BCF"/>
    <w:rsid w:val="543321D7"/>
    <w:rsid w:val="54CFC2C2"/>
    <w:rsid w:val="54DDE611"/>
    <w:rsid w:val="54EFAEF8"/>
    <w:rsid w:val="54F8688A"/>
    <w:rsid w:val="55009A78"/>
    <w:rsid w:val="550E7AAE"/>
    <w:rsid w:val="551745CB"/>
    <w:rsid w:val="55306DB9"/>
    <w:rsid w:val="55308861"/>
    <w:rsid w:val="553706F7"/>
    <w:rsid w:val="55739040"/>
    <w:rsid w:val="55954A37"/>
    <w:rsid w:val="55EE231D"/>
    <w:rsid w:val="56082C65"/>
    <w:rsid w:val="561CBAD0"/>
    <w:rsid w:val="563012E4"/>
    <w:rsid w:val="5634D41F"/>
    <w:rsid w:val="5640869D"/>
    <w:rsid w:val="56667E43"/>
    <w:rsid w:val="56964C7E"/>
    <w:rsid w:val="5697EAD8"/>
    <w:rsid w:val="56C14C09"/>
    <w:rsid w:val="57111200"/>
    <w:rsid w:val="572484A9"/>
    <w:rsid w:val="57338E17"/>
    <w:rsid w:val="573B1DBF"/>
    <w:rsid w:val="5745D22C"/>
    <w:rsid w:val="5782A3F8"/>
    <w:rsid w:val="5782BDBA"/>
    <w:rsid w:val="57A5E8D4"/>
    <w:rsid w:val="57C6D3DB"/>
    <w:rsid w:val="57DB61B8"/>
    <w:rsid w:val="58309EC4"/>
    <w:rsid w:val="58360607"/>
    <w:rsid w:val="5854B12E"/>
    <w:rsid w:val="585F071F"/>
    <w:rsid w:val="588A1E48"/>
    <w:rsid w:val="589D90AF"/>
    <w:rsid w:val="58F4F42A"/>
    <w:rsid w:val="59790743"/>
    <w:rsid w:val="599E3C84"/>
    <w:rsid w:val="5A2B2E88"/>
    <w:rsid w:val="5A645164"/>
    <w:rsid w:val="5AD449DA"/>
    <w:rsid w:val="5B67F99E"/>
    <w:rsid w:val="5B867D1E"/>
    <w:rsid w:val="5BB7ADB8"/>
    <w:rsid w:val="5BCD8FBE"/>
    <w:rsid w:val="5C135D31"/>
    <w:rsid w:val="5C1C97E3"/>
    <w:rsid w:val="5C363568"/>
    <w:rsid w:val="5C3A7F3C"/>
    <w:rsid w:val="5CA1434E"/>
    <w:rsid w:val="5CABBF3A"/>
    <w:rsid w:val="5CBCA9F2"/>
    <w:rsid w:val="5D1A772F"/>
    <w:rsid w:val="5D4BED7C"/>
    <w:rsid w:val="5D8DA0B7"/>
    <w:rsid w:val="5DB336B8"/>
    <w:rsid w:val="5E06E281"/>
    <w:rsid w:val="5E41BBC1"/>
    <w:rsid w:val="5E8F79F3"/>
    <w:rsid w:val="5EE4E634"/>
    <w:rsid w:val="5F448765"/>
    <w:rsid w:val="5F6167CD"/>
    <w:rsid w:val="5F8A69B3"/>
    <w:rsid w:val="5F90EC73"/>
    <w:rsid w:val="5FA64941"/>
    <w:rsid w:val="5FBB59B7"/>
    <w:rsid w:val="5FCD2981"/>
    <w:rsid w:val="5FE10FF2"/>
    <w:rsid w:val="604F85AA"/>
    <w:rsid w:val="60746940"/>
    <w:rsid w:val="607FDB6E"/>
    <w:rsid w:val="609B5B3E"/>
    <w:rsid w:val="60A69E45"/>
    <w:rsid w:val="60D3366D"/>
    <w:rsid w:val="60FE8DF4"/>
    <w:rsid w:val="611541C4"/>
    <w:rsid w:val="614D8FCE"/>
    <w:rsid w:val="618BA64C"/>
    <w:rsid w:val="61CF7C87"/>
    <w:rsid w:val="6215E896"/>
    <w:rsid w:val="626A9638"/>
    <w:rsid w:val="62752518"/>
    <w:rsid w:val="628800DB"/>
    <w:rsid w:val="62CD97FF"/>
    <w:rsid w:val="62CEBCE4"/>
    <w:rsid w:val="62F467D6"/>
    <w:rsid w:val="6309BA53"/>
    <w:rsid w:val="631EEB95"/>
    <w:rsid w:val="6355E358"/>
    <w:rsid w:val="63B30391"/>
    <w:rsid w:val="64338654"/>
    <w:rsid w:val="644A531D"/>
    <w:rsid w:val="6450A05B"/>
    <w:rsid w:val="645C0951"/>
    <w:rsid w:val="649168E9"/>
    <w:rsid w:val="64ECD89D"/>
    <w:rsid w:val="65059B29"/>
    <w:rsid w:val="6505B0AE"/>
    <w:rsid w:val="654B3B77"/>
    <w:rsid w:val="65875C6A"/>
    <w:rsid w:val="659F2452"/>
    <w:rsid w:val="65CA916C"/>
    <w:rsid w:val="65CD8B3D"/>
    <w:rsid w:val="65E66292"/>
    <w:rsid w:val="65F4AA40"/>
    <w:rsid w:val="6625D3D3"/>
    <w:rsid w:val="66412ECF"/>
    <w:rsid w:val="66632B65"/>
    <w:rsid w:val="668E79B4"/>
    <w:rsid w:val="66B68A12"/>
    <w:rsid w:val="670E623C"/>
    <w:rsid w:val="672C9978"/>
    <w:rsid w:val="6739AEC2"/>
    <w:rsid w:val="6766EDC6"/>
    <w:rsid w:val="679E7A02"/>
    <w:rsid w:val="67A5C0A4"/>
    <w:rsid w:val="67F4E077"/>
    <w:rsid w:val="68347079"/>
    <w:rsid w:val="68376C07"/>
    <w:rsid w:val="684FC7CF"/>
    <w:rsid w:val="6850C340"/>
    <w:rsid w:val="68562D54"/>
    <w:rsid w:val="68771726"/>
    <w:rsid w:val="68A73C0A"/>
    <w:rsid w:val="68B577A5"/>
    <w:rsid w:val="691D689A"/>
    <w:rsid w:val="692EE748"/>
    <w:rsid w:val="693F7512"/>
    <w:rsid w:val="693FB478"/>
    <w:rsid w:val="6949C7AD"/>
    <w:rsid w:val="696900C4"/>
    <w:rsid w:val="69D82BB1"/>
    <w:rsid w:val="69E1DF18"/>
    <w:rsid w:val="69F24D2D"/>
    <w:rsid w:val="6A3CC511"/>
    <w:rsid w:val="6A417C6D"/>
    <w:rsid w:val="6A6628A7"/>
    <w:rsid w:val="6A73BCD9"/>
    <w:rsid w:val="6A758F5C"/>
    <w:rsid w:val="6AA060D6"/>
    <w:rsid w:val="6ABB257B"/>
    <w:rsid w:val="6ABB3B99"/>
    <w:rsid w:val="6B10A278"/>
    <w:rsid w:val="6B14E2CE"/>
    <w:rsid w:val="6B547642"/>
    <w:rsid w:val="6B567014"/>
    <w:rsid w:val="6B58747A"/>
    <w:rsid w:val="6BB0EB7F"/>
    <w:rsid w:val="6C258E70"/>
    <w:rsid w:val="6C4FDC32"/>
    <w:rsid w:val="6C763998"/>
    <w:rsid w:val="6C983C5B"/>
    <w:rsid w:val="6CC0A665"/>
    <w:rsid w:val="6CE2C091"/>
    <w:rsid w:val="6D38D83C"/>
    <w:rsid w:val="6D655563"/>
    <w:rsid w:val="6D85D3D6"/>
    <w:rsid w:val="6DD60FF2"/>
    <w:rsid w:val="6E06E164"/>
    <w:rsid w:val="6E0DE642"/>
    <w:rsid w:val="6EA44FD3"/>
    <w:rsid w:val="6EDDDCE0"/>
    <w:rsid w:val="6EF3802E"/>
    <w:rsid w:val="6F1B3A82"/>
    <w:rsid w:val="6F36B5B1"/>
    <w:rsid w:val="6F36BBF4"/>
    <w:rsid w:val="70C7E40A"/>
    <w:rsid w:val="71142A12"/>
    <w:rsid w:val="7118227A"/>
    <w:rsid w:val="712C0EAC"/>
    <w:rsid w:val="712DE1FD"/>
    <w:rsid w:val="717017A6"/>
    <w:rsid w:val="7176882C"/>
    <w:rsid w:val="718EE263"/>
    <w:rsid w:val="71C4AF8A"/>
    <w:rsid w:val="72144361"/>
    <w:rsid w:val="726BE8D6"/>
    <w:rsid w:val="728484E7"/>
    <w:rsid w:val="72C9544A"/>
    <w:rsid w:val="72E704E8"/>
    <w:rsid w:val="72F2BA03"/>
    <w:rsid w:val="736EA4D2"/>
    <w:rsid w:val="736EE0EE"/>
    <w:rsid w:val="7373CB08"/>
    <w:rsid w:val="739ED7D5"/>
    <w:rsid w:val="73B8274D"/>
    <w:rsid w:val="73D0A690"/>
    <w:rsid w:val="73F41C24"/>
    <w:rsid w:val="744191BF"/>
    <w:rsid w:val="74861030"/>
    <w:rsid w:val="7520C5B9"/>
    <w:rsid w:val="752623B7"/>
    <w:rsid w:val="75382661"/>
    <w:rsid w:val="75B15FCD"/>
    <w:rsid w:val="75BA004A"/>
    <w:rsid w:val="75CEE613"/>
    <w:rsid w:val="75DBEF34"/>
    <w:rsid w:val="75F6B82A"/>
    <w:rsid w:val="761DD12B"/>
    <w:rsid w:val="76447C99"/>
    <w:rsid w:val="7649AD61"/>
    <w:rsid w:val="764D2715"/>
    <w:rsid w:val="765BB5B1"/>
    <w:rsid w:val="76808A0C"/>
    <w:rsid w:val="76926A4F"/>
    <w:rsid w:val="76B7FD02"/>
    <w:rsid w:val="76CC194C"/>
    <w:rsid w:val="76FD057B"/>
    <w:rsid w:val="771F949A"/>
    <w:rsid w:val="772A787A"/>
    <w:rsid w:val="7754D45B"/>
    <w:rsid w:val="7755E1E0"/>
    <w:rsid w:val="77794C8B"/>
    <w:rsid w:val="777E2C13"/>
    <w:rsid w:val="77A16AEF"/>
    <w:rsid w:val="77E2AF6D"/>
    <w:rsid w:val="7853CDA5"/>
    <w:rsid w:val="78937177"/>
    <w:rsid w:val="78C3AEAB"/>
    <w:rsid w:val="78E6B920"/>
    <w:rsid w:val="78F891FD"/>
    <w:rsid w:val="7922C344"/>
    <w:rsid w:val="794C9E24"/>
    <w:rsid w:val="79595ADE"/>
    <w:rsid w:val="79805327"/>
    <w:rsid w:val="7984E9B5"/>
    <w:rsid w:val="7992F885"/>
    <w:rsid w:val="79AABA24"/>
    <w:rsid w:val="79B3331A"/>
    <w:rsid w:val="79C0E4F0"/>
    <w:rsid w:val="79C1C141"/>
    <w:rsid w:val="79F40C2F"/>
    <w:rsid w:val="7A38BCC3"/>
    <w:rsid w:val="7A44486E"/>
    <w:rsid w:val="7A5F3623"/>
    <w:rsid w:val="7A803938"/>
    <w:rsid w:val="7AB7A22F"/>
    <w:rsid w:val="7B75B011"/>
    <w:rsid w:val="7BB4C6B0"/>
    <w:rsid w:val="7BD8815F"/>
    <w:rsid w:val="7C2C2900"/>
    <w:rsid w:val="7C2FCB86"/>
    <w:rsid w:val="7C3EB4D1"/>
    <w:rsid w:val="7C4896C6"/>
    <w:rsid w:val="7C65A835"/>
    <w:rsid w:val="7C7B71A5"/>
    <w:rsid w:val="7CE4E7A6"/>
    <w:rsid w:val="7CE4EC25"/>
    <w:rsid w:val="7D2ED300"/>
    <w:rsid w:val="7D2F08D0"/>
    <w:rsid w:val="7D3569DC"/>
    <w:rsid w:val="7D3A700B"/>
    <w:rsid w:val="7D5274BF"/>
    <w:rsid w:val="7D5BE613"/>
    <w:rsid w:val="7DC586AD"/>
    <w:rsid w:val="7DEF3661"/>
    <w:rsid w:val="7DF13634"/>
    <w:rsid w:val="7E367059"/>
    <w:rsid w:val="7E39C21D"/>
    <w:rsid w:val="7E55768F"/>
    <w:rsid w:val="7E5A2629"/>
    <w:rsid w:val="7EAB5C2A"/>
    <w:rsid w:val="7EB54B39"/>
    <w:rsid w:val="7EEA2E6C"/>
    <w:rsid w:val="7EEAFD08"/>
    <w:rsid w:val="7EF1D19B"/>
    <w:rsid w:val="7F04B64E"/>
    <w:rsid w:val="7F4BA6EB"/>
    <w:rsid w:val="7F6600AA"/>
    <w:rsid w:val="7F7A8267"/>
    <w:rsid w:val="7F9A17D2"/>
    <w:rsid w:val="7F9E0671"/>
    <w:rsid w:val="7FA0F7DE"/>
    <w:rsid w:val="7FA53ED7"/>
    <w:rsid w:val="7FDF5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3BED6"/>
  <w15:chartTrackingRefBased/>
  <w15:docId w15:val="{6B631932-CF77-41C1-8290-439048798F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3AB1E8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3AB1E8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3AB1E8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uiPriority w:val="9"/>
    <w:unhideWhenUsed/>
    <w:qFormat/>
    <w:rsid w:val="3AB1E8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uiPriority w:val="9"/>
    <w:unhideWhenUsed/>
    <w:qFormat/>
    <w:rsid w:val="3AB1E8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uiPriority w:val="9"/>
    <w:unhideWhenUsed/>
    <w:qFormat/>
    <w:rsid w:val="3AB1E8C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uiPriority w:val="9"/>
    <w:unhideWhenUsed/>
    <w:qFormat/>
    <w:rsid w:val="3AB1E8C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uiPriority w:val="9"/>
    <w:unhideWhenUsed/>
    <w:qFormat/>
    <w:rsid w:val="3AB1E8CF"/>
    <w:pPr>
      <w:keepNext/>
      <w:keepLines/>
      <w:spacing w:after="0"/>
      <w:outlineLvl w:val="7"/>
    </w:pPr>
    <w:rPr>
      <w:rFonts w:eastAsiaTheme="majorEastAsia" w:cstheme="majorBidi"/>
      <w:i/>
      <w:iCs/>
      <w:color w:val="272727"/>
    </w:rPr>
  </w:style>
  <w:style w:type="paragraph" w:styleId="Heading9">
    <w:name w:val="heading 9"/>
    <w:basedOn w:val="Normal"/>
    <w:next w:val="Normal"/>
    <w:uiPriority w:val="9"/>
    <w:unhideWhenUsed/>
    <w:qFormat/>
    <w:rsid w:val="3AB1E8CF"/>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3AB1E8CF"/>
    <w:rPr>
      <w:color w:val="467886"/>
      <w:u w:val="single"/>
    </w:rPr>
  </w:style>
  <w:style w:type="paragraph" w:styleId="TOC1">
    <w:name w:val="toc 1"/>
    <w:basedOn w:val="Normal"/>
    <w:next w:val="Normal"/>
    <w:uiPriority w:val="39"/>
    <w:unhideWhenUsed/>
    <w:rsid w:val="3AB1E8CF"/>
    <w:pPr>
      <w:spacing w:before="360" w:after="360"/>
    </w:pPr>
    <w:rPr>
      <w:b/>
      <w:bCs/>
      <w:caps/>
      <w:sz w:val="22"/>
      <w:szCs w:val="22"/>
      <w:u w:val="single"/>
    </w:rPr>
  </w:style>
  <w:style w:type="paragraph" w:styleId="TOC2">
    <w:name w:val="toc 2"/>
    <w:basedOn w:val="Normal"/>
    <w:next w:val="Normal"/>
    <w:uiPriority w:val="39"/>
    <w:unhideWhenUsed/>
    <w:rsid w:val="3AB1E8CF"/>
    <w:pPr>
      <w:spacing w:after="0"/>
    </w:pPr>
    <w:rPr>
      <w:b/>
      <w:bCs/>
      <w:smallCaps/>
      <w:sz w:val="22"/>
      <w:szCs w:val="22"/>
    </w:rPr>
  </w:style>
  <w:style w:type="paragraph" w:styleId="TOC3">
    <w:name w:val="toc 3"/>
    <w:basedOn w:val="Normal"/>
    <w:next w:val="Normal"/>
    <w:uiPriority w:val="39"/>
    <w:unhideWhenUsed/>
    <w:rsid w:val="3AB1E8CF"/>
    <w:pPr>
      <w:spacing w:after="0"/>
    </w:pPr>
    <w:rPr>
      <w:smallCaps/>
      <w:sz w:val="22"/>
      <w:szCs w:val="22"/>
    </w:rPr>
  </w:style>
  <w:style w:type="paragraph" w:styleId="TOC4">
    <w:name w:val="toc 4"/>
    <w:basedOn w:val="Normal"/>
    <w:next w:val="Normal"/>
    <w:uiPriority w:val="39"/>
    <w:unhideWhenUsed/>
    <w:rsid w:val="3AB1E8CF"/>
    <w:pPr>
      <w:spacing w:after="0"/>
    </w:pPr>
    <w:rPr>
      <w:sz w:val="22"/>
      <w:szCs w:val="22"/>
    </w:rPr>
  </w:style>
  <w:style w:type="paragraph" w:styleId="TOC5">
    <w:name w:val="toc 5"/>
    <w:basedOn w:val="Normal"/>
    <w:next w:val="Normal"/>
    <w:uiPriority w:val="39"/>
    <w:unhideWhenUsed/>
    <w:rsid w:val="3AB1E8CF"/>
    <w:pPr>
      <w:spacing w:after="0"/>
    </w:pPr>
    <w:rPr>
      <w:sz w:val="22"/>
      <w:szCs w:val="22"/>
    </w:rPr>
  </w:style>
  <w:style w:type="paragraph" w:styleId="TOC6">
    <w:name w:val="toc 6"/>
    <w:basedOn w:val="Normal"/>
    <w:next w:val="Normal"/>
    <w:uiPriority w:val="39"/>
    <w:unhideWhenUsed/>
    <w:rsid w:val="3AB1E8CF"/>
    <w:pPr>
      <w:spacing w:after="0"/>
    </w:pPr>
    <w:rPr>
      <w:sz w:val="22"/>
      <w:szCs w:val="22"/>
    </w:rPr>
  </w:style>
  <w:style w:type="paragraph" w:styleId="TOC7">
    <w:name w:val="toc 7"/>
    <w:basedOn w:val="Normal"/>
    <w:next w:val="Normal"/>
    <w:uiPriority w:val="39"/>
    <w:unhideWhenUsed/>
    <w:rsid w:val="3AB1E8CF"/>
    <w:pPr>
      <w:spacing w:after="0"/>
    </w:pPr>
    <w:rPr>
      <w:sz w:val="22"/>
      <w:szCs w:val="22"/>
    </w:rPr>
  </w:style>
  <w:style w:type="paragraph" w:styleId="TOC8">
    <w:name w:val="toc 8"/>
    <w:basedOn w:val="Normal"/>
    <w:next w:val="Normal"/>
    <w:uiPriority w:val="39"/>
    <w:unhideWhenUsed/>
    <w:rsid w:val="3AB1E8CF"/>
    <w:pPr>
      <w:spacing w:after="0"/>
    </w:pPr>
    <w:rPr>
      <w:sz w:val="22"/>
      <w:szCs w:val="22"/>
    </w:rPr>
  </w:style>
  <w:style w:type="paragraph" w:styleId="TOC9">
    <w:name w:val="toc 9"/>
    <w:basedOn w:val="Normal"/>
    <w:next w:val="Normal"/>
    <w:uiPriority w:val="39"/>
    <w:unhideWhenUsed/>
    <w:rsid w:val="3AB1E8CF"/>
    <w:pPr>
      <w:spacing w:after="0"/>
    </w:pPr>
    <w:rPr>
      <w:sz w:val="22"/>
      <w:szCs w:val="22"/>
    </w:rPr>
  </w:style>
  <w:style w:type="paragraph" w:styleId="Footer">
    <w:name w:val="footer"/>
    <w:basedOn w:val="Normal"/>
    <w:link w:val="FooterChar"/>
    <w:uiPriority w:val="99"/>
    <w:unhideWhenUsed/>
    <w:rsid w:val="009B2F8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F85"/>
  </w:style>
  <w:style w:type="character" w:styleId="PageNumber">
    <w:name w:val="page number"/>
    <w:basedOn w:val="DefaultParagraphFont"/>
    <w:uiPriority w:val="99"/>
    <w:semiHidden/>
    <w:unhideWhenUsed/>
    <w:rsid w:val="009B2F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insight-and-analysis/long-reads/nhs-long-term-plan-explained" TargetMode="External"/><Relationship Id="rId13" Type="http://schemas.openxmlformats.org/officeDocument/2006/relationships/hyperlink" Target="https://pmc.ncbi.nlm.nih.gov/articles/PMC10240167/" TargetMode="External"/><Relationship Id="rId18" Type="http://schemas.openxmlformats.org/officeDocument/2006/relationships/hyperlink" Target="https://www.gov.uk/government/publications/net-zero-strategy" TargetMode="External"/><Relationship Id="rId26" Type="http://schemas.openxmlformats.org/officeDocument/2006/relationships/hyperlink" Target="https://www.who.int/health-topics/universal-health-coverage" TargetMode="External"/><Relationship Id="rId3" Type="http://schemas.openxmlformats.org/officeDocument/2006/relationships/settings" Target="settings.xml"/><Relationship Id="rId21" Type="http://schemas.openxmlformats.org/officeDocument/2006/relationships/hyperlink" Target="https://unfccc.int/news/the-explainer-the-paris-agreement" TargetMode="External"/><Relationship Id="rId7" Type="http://schemas.openxmlformats.org/officeDocument/2006/relationships/hyperlink" Target="https://www.ncbi.nlm.nih.gov/books/NBK606120/" TargetMode="External"/><Relationship Id="rId12" Type="http://schemas.openxmlformats.org/officeDocument/2006/relationships/hyperlink" Target="https://www.ipcc.ch/report/ar6/syr/downloads/report/IPCC_AR6_SYR_LongerReport.pdf" TargetMode="External"/><Relationship Id="rId17" Type="http://schemas.openxmlformats.org/officeDocument/2006/relationships/hyperlink" Target="https://www.legislation.gov.uk/ukpga/2008/27/contents" TargetMode="External"/><Relationship Id="rId25" Type="http://schemas.openxmlformats.org/officeDocument/2006/relationships/hyperlink" Target="https://www.who.int/news-room/fact-sheets/detail/noncommunicable-diseases" TargetMode="External"/><Relationship Id="rId2" Type="http://schemas.openxmlformats.org/officeDocument/2006/relationships/styles" Target="styles.xml"/><Relationship Id="rId16" Type="http://schemas.openxmlformats.org/officeDocument/2006/relationships/hyperlink" Target="https://www.kingsfund.org.uk/insight-and-analysis/blogs/public-health-prevention-spending-local-government" TargetMode="External"/><Relationship Id="rId20" Type="http://schemas.openxmlformats.org/officeDocument/2006/relationships/hyperlink" Target="https://unfccc.int/about-us/unfccc-archives/the-unfccc-archival-exhibition/the-paris-agreement-exhibi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ature.com/articles/s41598-023-47746-w" TargetMode="External"/><Relationship Id="rId24" Type="http://schemas.openxmlformats.org/officeDocument/2006/relationships/hyperlink" Target="https://sdgs.un.org/2030agenda" TargetMode="External"/><Relationship Id="rId32" Type="http://schemas.microsoft.com/office/2020/10/relationships/intelligence" Target="intelligence2.xml"/><Relationship Id="rId5" Type="http://schemas.openxmlformats.org/officeDocument/2006/relationships/footnotes" Target="footnotes.xml"/><Relationship Id="rId15" Type="http://schemas.openxmlformats.org/officeDocument/2006/relationships/hyperlink" Target="https://www.longtermplan.nhs.uk/" TargetMode="External"/><Relationship Id="rId23" Type="http://schemas.openxmlformats.org/officeDocument/2006/relationships/hyperlink" Target="https://unstats.un.org/sdgs/report/2025/The-Sustainable-Development-Goals-Report-2025.pdf" TargetMode="External"/><Relationship Id="rId28" Type="http://schemas.openxmlformats.org/officeDocument/2006/relationships/footer" Target="footer1.xml"/><Relationship Id="rId10" Type="http://schemas.openxmlformats.org/officeDocument/2006/relationships/hyperlink" Target="https://www.researchgate.net/publication/5095964_Policies_and_strategies_to_promote_social_equity_in_health_Background_document_to_WHO_-_Strategy_paper_for_Europe" TargetMode="External"/><Relationship Id="rId19" Type="http://schemas.openxmlformats.org/officeDocument/2006/relationships/hyperlink" Target="https://www.unep.org/interactives/emissions-gap-report/2023/"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theccc.org.uk/publication/progress-in-reducing-emissions-2026-report-to-parliament/" TargetMode="External"/><Relationship Id="rId14" Type="http://schemas.openxmlformats.org/officeDocument/2006/relationships/hyperlink" Target="https://www.instituteofhealthequity.org/resources-reports/fair-society-healthy-lives-the-marmot-review" TargetMode="External"/><Relationship Id="rId22" Type="http://schemas.openxmlformats.org/officeDocument/2006/relationships/hyperlink" Target="https://www.un.org/en/climatechange/paris-agreement" TargetMode="External"/><Relationship Id="rId27" Type="http://schemas.openxmlformats.org/officeDocument/2006/relationships/hyperlink" Target="https://www.who.int/teams/social-determinants-of-health/equity-and-health/world-report-on-social-determinants-of-health-equity"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FEBD81-AD43-7C4E-BFEE-5D82DE722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4540</Words>
  <Characters>25883</Characters>
  <Application>Microsoft Office Word</Application>
  <DocSecurity>0</DocSecurity>
  <Lines>215</Lines>
  <Paragraphs>60</Paragraphs>
  <ScaleCrop>false</ScaleCrop>
  <Company/>
  <LinksUpToDate>false</LinksUpToDate>
  <CharactersWithSpaces>30363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hussain</dc:creator>
  <cp:keywords/>
  <dc:description/>
  <cp:lastModifiedBy>Natasha Hussain (BDS Dentistry - Clinical)</cp:lastModifiedBy>
  <cp:revision>12</cp:revision>
  <dcterms:created xsi:type="dcterms:W3CDTF">2026-07-11T12:08:00Z</dcterms:created>
  <dcterms:modified xsi:type="dcterms:W3CDTF">2026-07-18T13:50:00Z</dcterms:modified>
</cp:coreProperties>
</file>