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675576" w14:textId="77777777" w:rsidR="00E87ADF" w:rsidRDefault="00E87ADF" w:rsidP="00E87ADF"/>
    <w:p w14:paraId="47469504" w14:textId="77777777" w:rsidR="00E87ADF" w:rsidRDefault="00E87ADF" w:rsidP="00E87ADF"/>
    <w:p w14:paraId="79CF8BBF" w14:textId="77777777" w:rsidR="00E87ADF" w:rsidRDefault="00E87ADF" w:rsidP="00E87ADF">
      <w:pPr>
        <w:jc w:val="center"/>
      </w:pPr>
      <w:r>
        <w:rPr>
          <w:noProof/>
        </w:rPr>
        <w:drawing>
          <wp:inline distT="0" distB="0" distL="0" distR="0" wp14:anchorId="2D1B74AB" wp14:editId="11577E1E">
            <wp:extent cx="2468880" cy="14127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_full.png"/>
                    <pic:cNvPicPr/>
                  </pic:nvPicPr>
                  <pic:blipFill>
                    <a:blip r:embed="rId4"/>
                    <a:stretch>
                      <a:fillRect/>
                    </a:stretch>
                  </pic:blipFill>
                  <pic:spPr>
                    <a:xfrm>
                      <a:off x="0" y="0"/>
                      <a:ext cx="2468880" cy="1412748"/>
                    </a:xfrm>
                    <a:prstGeom prst="rect">
                      <a:avLst/>
                    </a:prstGeom>
                  </pic:spPr>
                </pic:pic>
              </a:graphicData>
            </a:graphic>
          </wp:inline>
        </w:drawing>
      </w:r>
    </w:p>
    <w:p w14:paraId="2A3121AA" w14:textId="77777777" w:rsidR="00E87ADF" w:rsidRDefault="00E87ADF" w:rsidP="00E87ADF"/>
    <w:p w14:paraId="39E5333A" w14:textId="77777777" w:rsidR="00E87ADF" w:rsidRDefault="00E87ADF" w:rsidP="00E87ADF">
      <w:pPr>
        <w:pStyle w:val="Title"/>
        <w:jc w:val="center"/>
      </w:pPr>
      <w:r>
        <w:t>Marketing Environment Analysis</w:t>
      </w:r>
    </w:p>
    <w:p w14:paraId="28EB01F4" w14:textId="77777777" w:rsidR="00E87ADF" w:rsidRDefault="00E87ADF" w:rsidP="00E87ADF">
      <w:pPr>
        <w:spacing w:after="80" w:line="264" w:lineRule="auto"/>
        <w:ind w:left="369" w:hanging="369"/>
        <w:jc w:val="center"/>
      </w:pPr>
      <w:r>
        <w:rPr>
          <w:b/>
          <w:sz w:val="24"/>
        </w:rPr>
        <w:t>Outokumpu (Finland): Circle Green Lower-Carbon Stainless Steel</w:t>
      </w:r>
    </w:p>
    <w:p w14:paraId="5AB6A4DD" w14:textId="77777777" w:rsidR="00E87ADF" w:rsidRDefault="00E87ADF" w:rsidP="00E87ADF"/>
    <w:tbl>
      <w:tblPr>
        <w:tblW w:w="0" w:type="auto"/>
        <w:tblLayout w:type="fixed"/>
        <w:tblLook w:val="04A0" w:firstRow="1" w:lastRow="0" w:firstColumn="1" w:lastColumn="0" w:noHBand="0" w:noVBand="1"/>
      </w:tblPr>
      <w:tblGrid>
        <w:gridCol w:w="2721"/>
        <w:gridCol w:w="5669"/>
      </w:tblGrid>
      <w:tr w:rsidR="00E87ADF" w14:paraId="223F7B54" w14:textId="77777777" w:rsidTr="00631448">
        <w:tc>
          <w:tcPr>
            <w:tcW w:w="2721" w:type="dxa"/>
            <w:vAlign w:val="center"/>
          </w:tcPr>
          <w:p w14:paraId="2BDF871B" w14:textId="77777777" w:rsidR="00E87ADF" w:rsidRDefault="00E87ADF" w:rsidP="00631448">
            <w:proofErr w:type="spellStart"/>
            <w:r>
              <w:rPr>
                <w:b/>
              </w:rPr>
              <w:t>Programme</w:t>
            </w:r>
            <w:proofErr w:type="spellEnd"/>
          </w:p>
        </w:tc>
        <w:tc>
          <w:tcPr>
            <w:tcW w:w="5669" w:type="dxa"/>
            <w:vAlign w:val="center"/>
          </w:tcPr>
          <w:p w14:paraId="394EE1F6" w14:textId="77777777" w:rsidR="00E87ADF" w:rsidRDefault="00E87ADF" w:rsidP="00631448">
            <w:r>
              <w:t>Master of Business Administration (MBA)</w:t>
            </w:r>
          </w:p>
        </w:tc>
      </w:tr>
      <w:tr w:rsidR="00E87ADF" w14:paraId="1134ABE7" w14:textId="77777777" w:rsidTr="00631448">
        <w:tc>
          <w:tcPr>
            <w:tcW w:w="2721" w:type="dxa"/>
            <w:vAlign w:val="center"/>
          </w:tcPr>
          <w:p w14:paraId="786AFAA3" w14:textId="77777777" w:rsidR="00E87ADF" w:rsidRDefault="00E87ADF" w:rsidP="00631448">
            <w:r>
              <w:rPr>
                <w:b/>
              </w:rPr>
              <w:t>Module</w:t>
            </w:r>
          </w:p>
        </w:tc>
        <w:tc>
          <w:tcPr>
            <w:tcW w:w="5669" w:type="dxa"/>
            <w:vAlign w:val="center"/>
          </w:tcPr>
          <w:p w14:paraId="3B1E371A" w14:textId="77777777" w:rsidR="00E87ADF" w:rsidRDefault="00E87ADF" w:rsidP="00631448">
            <w:r>
              <w:t>Marketing Management (LCMB7024)</w:t>
            </w:r>
          </w:p>
        </w:tc>
      </w:tr>
      <w:tr w:rsidR="00E87ADF" w14:paraId="5AACC018" w14:textId="77777777" w:rsidTr="00631448">
        <w:tc>
          <w:tcPr>
            <w:tcW w:w="2721" w:type="dxa"/>
            <w:vAlign w:val="center"/>
          </w:tcPr>
          <w:p w14:paraId="2CB36D06" w14:textId="77777777" w:rsidR="00E87ADF" w:rsidRDefault="00E87ADF" w:rsidP="00631448">
            <w:r>
              <w:rPr>
                <w:b/>
              </w:rPr>
              <w:t>Assessment</w:t>
            </w:r>
          </w:p>
        </w:tc>
        <w:tc>
          <w:tcPr>
            <w:tcW w:w="5669" w:type="dxa"/>
            <w:vAlign w:val="center"/>
          </w:tcPr>
          <w:p w14:paraId="7A6A4A2E" w14:textId="77777777" w:rsidR="00E87ADF" w:rsidRDefault="00E87ADF" w:rsidP="00631448">
            <w:r>
              <w:t>Component 1 — Marketing Environment Analysis</w:t>
            </w:r>
          </w:p>
        </w:tc>
      </w:tr>
      <w:tr w:rsidR="00E87ADF" w14:paraId="55B16BB8" w14:textId="77777777" w:rsidTr="00631448">
        <w:tc>
          <w:tcPr>
            <w:tcW w:w="2721" w:type="dxa"/>
            <w:vAlign w:val="center"/>
          </w:tcPr>
          <w:p w14:paraId="30523C73" w14:textId="77777777" w:rsidR="00E87ADF" w:rsidRDefault="00E87ADF" w:rsidP="00631448">
            <w:r>
              <w:rPr>
                <w:b/>
              </w:rPr>
              <w:t>Lecturer (Birmingham)</w:t>
            </w:r>
          </w:p>
        </w:tc>
        <w:tc>
          <w:tcPr>
            <w:tcW w:w="5669" w:type="dxa"/>
            <w:vAlign w:val="center"/>
          </w:tcPr>
          <w:p w14:paraId="5DE5D88C" w14:textId="77777777" w:rsidR="00E87ADF" w:rsidRDefault="00E87ADF" w:rsidP="00631448">
            <w:r>
              <w:t xml:space="preserve">Taonga Kaonga </w:t>
            </w:r>
            <w:proofErr w:type="spellStart"/>
            <w:r>
              <w:t>Sobere-Snithers</w:t>
            </w:r>
            <w:proofErr w:type="spellEnd"/>
          </w:p>
        </w:tc>
      </w:tr>
      <w:tr w:rsidR="00E87ADF" w14:paraId="7782470A" w14:textId="77777777" w:rsidTr="00631448">
        <w:tc>
          <w:tcPr>
            <w:tcW w:w="2721" w:type="dxa"/>
            <w:vAlign w:val="center"/>
          </w:tcPr>
          <w:p w14:paraId="127E4B29" w14:textId="77777777" w:rsidR="00E87ADF" w:rsidRDefault="00E87ADF" w:rsidP="00631448">
            <w:r>
              <w:rPr>
                <w:b/>
              </w:rPr>
              <w:t>Student name</w:t>
            </w:r>
          </w:p>
        </w:tc>
        <w:tc>
          <w:tcPr>
            <w:tcW w:w="5669" w:type="dxa"/>
            <w:vAlign w:val="center"/>
          </w:tcPr>
          <w:p w14:paraId="12162B28" w14:textId="46D80DBD" w:rsidR="00E87ADF" w:rsidRDefault="006C015F" w:rsidP="00631448">
            <w:r w:rsidRPr="006C015F">
              <w:t xml:space="preserve">Hetal </w:t>
            </w:r>
            <w:proofErr w:type="spellStart"/>
            <w:r w:rsidRPr="006C015F">
              <w:t>Rambhai</w:t>
            </w:r>
            <w:proofErr w:type="spellEnd"/>
            <w:r w:rsidRPr="006C015F">
              <w:t xml:space="preserve"> </w:t>
            </w:r>
            <w:proofErr w:type="spellStart"/>
            <w:r w:rsidRPr="006C015F">
              <w:t>Ranavaya</w:t>
            </w:r>
            <w:proofErr w:type="spellEnd"/>
          </w:p>
        </w:tc>
      </w:tr>
      <w:tr w:rsidR="00E87ADF" w14:paraId="2105958B" w14:textId="77777777" w:rsidTr="00631448">
        <w:tc>
          <w:tcPr>
            <w:tcW w:w="2721" w:type="dxa"/>
            <w:vAlign w:val="center"/>
          </w:tcPr>
          <w:p w14:paraId="5BEC3C99" w14:textId="77777777" w:rsidR="00E87ADF" w:rsidRDefault="00E87ADF" w:rsidP="00631448">
            <w:r>
              <w:rPr>
                <w:b/>
              </w:rPr>
              <w:t>Student ID</w:t>
            </w:r>
          </w:p>
        </w:tc>
        <w:tc>
          <w:tcPr>
            <w:tcW w:w="5669" w:type="dxa"/>
            <w:vAlign w:val="center"/>
          </w:tcPr>
          <w:p w14:paraId="10DD9E10" w14:textId="4216C9FE" w:rsidR="00E87ADF" w:rsidRDefault="006C015F" w:rsidP="00631448">
            <w:r w:rsidRPr="006C015F">
              <w:t>2611855</w:t>
            </w:r>
          </w:p>
        </w:tc>
      </w:tr>
      <w:tr w:rsidR="00E87ADF" w14:paraId="7C419444" w14:textId="77777777" w:rsidTr="00631448">
        <w:tc>
          <w:tcPr>
            <w:tcW w:w="2721" w:type="dxa"/>
            <w:vAlign w:val="center"/>
          </w:tcPr>
          <w:p w14:paraId="6E46C524" w14:textId="77777777" w:rsidR="00E87ADF" w:rsidRDefault="00E87ADF" w:rsidP="00631448">
            <w:r>
              <w:rPr>
                <w:b/>
              </w:rPr>
              <w:t>Final word count</w:t>
            </w:r>
          </w:p>
        </w:tc>
        <w:tc>
          <w:tcPr>
            <w:tcW w:w="5669" w:type="dxa"/>
            <w:vAlign w:val="center"/>
          </w:tcPr>
          <w:p w14:paraId="2C05F981" w14:textId="1CDB108D" w:rsidR="00E87ADF" w:rsidRDefault="006C015F" w:rsidP="00631448">
            <w:r>
              <w:t>2725</w:t>
            </w:r>
          </w:p>
        </w:tc>
      </w:tr>
      <w:tr w:rsidR="00E87ADF" w14:paraId="414D846C" w14:textId="77777777" w:rsidTr="00631448">
        <w:tc>
          <w:tcPr>
            <w:tcW w:w="2721" w:type="dxa"/>
            <w:vAlign w:val="center"/>
          </w:tcPr>
          <w:p w14:paraId="7AE1DCB3" w14:textId="77777777" w:rsidR="00E87ADF" w:rsidRDefault="00E87ADF" w:rsidP="00631448">
            <w:r>
              <w:rPr>
                <w:b/>
              </w:rPr>
              <w:t>Submission date</w:t>
            </w:r>
          </w:p>
        </w:tc>
        <w:tc>
          <w:tcPr>
            <w:tcW w:w="5669" w:type="dxa"/>
            <w:vAlign w:val="center"/>
          </w:tcPr>
          <w:p w14:paraId="45DCC3BA" w14:textId="0BC4D74A" w:rsidR="00E87ADF" w:rsidRDefault="006C015F" w:rsidP="00631448">
            <w:r>
              <w:t>22</w:t>
            </w:r>
            <w:r w:rsidRPr="006C015F">
              <w:rPr>
                <w:vertAlign w:val="superscript"/>
              </w:rPr>
              <w:t>nd</w:t>
            </w:r>
            <w:r>
              <w:t xml:space="preserve"> October, 2026</w:t>
            </w:r>
          </w:p>
        </w:tc>
      </w:tr>
    </w:tbl>
    <w:p w14:paraId="55DDF282" w14:textId="77777777" w:rsidR="00E87ADF" w:rsidRDefault="00E87ADF" w:rsidP="00E87ADF">
      <w:pPr>
        <w:rPr>
          <w:noProof/>
        </w:rPr>
      </w:pPr>
      <w:r>
        <w:br w:type="page"/>
      </w:r>
      <w:r>
        <w:fldChar w:fldCharType="begin"/>
      </w:r>
      <w:r>
        <w:instrText xml:space="preserve"> TOC \o "1-2" \h \z \u </w:instrText>
      </w:r>
      <w:r>
        <w:fldChar w:fldCharType="separate"/>
      </w:r>
    </w:p>
    <w:p w14:paraId="3EAD45CF" w14:textId="77777777" w:rsidR="00E87ADF" w:rsidRDefault="00E87ADF" w:rsidP="00E87ADF">
      <w:pPr>
        <w:tabs>
          <w:tab w:val="right" w:leader="dot" w:pos="8784"/>
        </w:tabs>
        <w:spacing w:after="0" w:line="259" w:lineRule="auto"/>
      </w:pPr>
      <w:r>
        <w:lastRenderedPageBreak/>
        <w:fldChar w:fldCharType="end"/>
      </w:r>
    </w:p>
    <w:sdt>
      <w:sdtPr>
        <w:id w:val="-722202373"/>
        <w:docPartObj>
          <w:docPartGallery w:val="Table of Contents"/>
          <w:docPartUnique/>
        </w:docPartObj>
      </w:sdtPr>
      <w:sdtEndPr>
        <w:rPr>
          <w:rFonts w:ascii="Aptos" w:eastAsiaTheme="minorEastAsia" w:hAnsi="Aptos" w:cstheme="minorBidi"/>
          <w:noProof/>
          <w:color w:val="282E38"/>
          <w:sz w:val="21"/>
          <w:szCs w:val="22"/>
        </w:rPr>
      </w:sdtEndPr>
      <w:sdtContent>
        <w:p w14:paraId="185BF536" w14:textId="77777777" w:rsidR="00E87ADF" w:rsidRDefault="00E87ADF" w:rsidP="00E87ADF">
          <w:pPr>
            <w:pStyle w:val="TOCHeading"/>
          </w:pPr>
          <w:r>
            <w:t>Table of Contents</w:t>
          </w:r>
        </w:p>
        <w:p w14:paraId="0C367962" w14:textId="33D1AAEB" w:rsidR="00E87ADF" w:rsidRDefault="00E87ADF">
          <w:pPr>
            <w:pStyle w:val="TOC1"/>
            <w:tabs>
              <w:tab w:val="right" w:leader="dot" w:pos="8948"/>
            </w:tabs>
            <w:rPr>
              <w:b w:val="0"/>
              <w:bCs w:val="0"/>
              <w:i w:val="0"/>
              <w:iCs w:val="0"/>
              <w:noProof/>
              <w:color w:val="auto"/>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43564608" w:history="1">
            <w:r w:rsidRPr="00F4074B">
              <w:rPr>
                <w:rStyle w:val="Hyperlink"/>
                <w:noProof/>
              </w:rPr>
              <w:t>Introduction</w:t>
            </w:r>
            <w:r>
              <w:rPr>
                <w:noProof/>
                <w:webHidden/>
              </w:rPr>
              <w:tab/>
            </w:r>
            <w:r>
              <w:rPr>
                <w:noProof/>
                <w:webHidden/>
              </w:rPr>
              <w:fldChar w:fldCharType="begin"/>
            </w:r>
            <w:r>
              <w:rPr>
                <w:noProof/>
                <w:webHidden/>
              </w:rPr>
              <w:instrText xml:space="preserve"> PAGEREF _Toc243564608 \h </w:instrText>
            </w:r>
            <w:r>
              <w:rPr>
                <w:noProof/>
                <w:webHidden/>
              </w:rPr>
            </w:r>
            <w:r>
              <w:rPr>
                <w:noProof/>
                <w:webHidden/>
              </w:rPr>
              <w:fldChar w:fldCharType="separate"/>
            </w:r>
            <w:r>
              <w:rPr>
                <w:noProof/>
                <w:webHidden/>
              </w:rPr>
              <w:t>3</w:t>
            </w:r>
            <w:r>
              <w:rPr>
                <w:noProof/>
                <w:webHidden/>
              </w:rPr>
              <w:fldChar w:fldCharType="end"/>
            </w:r>
          </w:hyperlink>
        </w:p>
        <w:p w14:paraId="20DB6711" w14:textId="6A9F796A" w:rsidR="00E87ADF" w:rsidRDefault="00E87ADF">
          <w:pPr>
            <w:pStyle w:val="TOC1"/>
            <w:tabs>
              <w:tab w:val="right" w:leader="dot" w:pos="8948"/>
            </w:tabs>
            <w:rPr>
              <w:b w:val="0"/>
              <w:bCs w:val="0"/>
              <w:i w:val="0"/>
              <w:iCs w:val="0"/>
              <w:noProof/>
              <w:color w:val="auto"/>
              <w:kern w:val="2"/>
              <w:lang w:val="en-GB" w:eastAsia="en-GB"/>
              <w14:ligatures w14:val="standardContextual"/>
            </w:rPr>
          </w:pPr>
          <w:hyperlink w:anchor="_Toc243564609" w:history="1">
            <w:r w:rsidRPr="00F4074B">
              <w:rPr>
                <w:rStyle w:val="Hyperlink"/>
                <w:rFonts w:ascii="Calibri" w:eastAsia="Calibri" w:hAnsi="Calibri" w:cs="Calibri"/>
                <w:noProof/>
              </w:rPr>
              <w:t>1. Marketing Environment Analysis</w:t>
            </w:r>
            <w:r>
              <w:rPr>
                <w:noProof/>
                <w:webHidden/>
              </w:rPr>
              <w:tab/>
            </w:r>
            <w:r>
              <w:rPr>
                <w:noProof/>
                <w:webHidden/>
              </w:rPr>
              <w:fldChar w:fldCharType="begin"/>
            </w:r>
            <w:r>
              <w:rPr>
                <w:noProof/>
                <w:webHidden/>
              </w:rPr>
              <w:instrText xml:space="preserve"> PAGEREF _Toc243564609 \h </w:instrText>
            </w:r>
            <w:r>
              <w:rPr>
                <w:noProof/>
                <w:webHidden/>
              </w:rPr>
            </w:r>
            <w:r>
              <w:rPr>
                <w:noProof/>
                <w:webHidden/>
              </w:rPr>
              <w:fldChar w:fldCharType="separate"/>
            </w:r>
            <w:r>
              <w:rPr>
                <w:noProof/>
                <w:webHidden/>
              </w:rPr>
              <w:t>3</w:t>
            </w:r>
            <w:r>
              <w:rPr>
                <w:noProof/>
                <w:webHidden/>
              </w:rPr>
              <w:fldChar w:fldCharType="end"/>
            </w:r>
          </w:hyperlink>
        </w:p>
        <w:p w14:paraId="1C0DAF13" w14:textId="73D7EB2C" w:rsidR="00E87ADF" w:rsidRDefault="00E87ADF">
          <w:pPr>
            <w:pStyle w:val="TOC2"/>
            <w:tabs>
              <w:tab w:val="right" w:leader="dot" w:pos="8948"/>
            </w:tabs>
            <w:rPr>
              <w:b w:val="0"/>
              <w:bCs w:val="0"/>
              <w:noProof/>
              <w:color w:val="auto"/>
              <w:kern w:val="2"/>
              <w:sz w:val="24"/>
              <w:szCs w:val="24"/>
              <w:lang w:val="en-GB" w:eastAsia="en-GB"/>
              <w14:ligatures w14:val="standardContextual"/>
            </w:rPr>
          </w:pPr>
          <w:hyperlink w:anchor="_Toc243564610" w:history="1">
            <w:r w:rsidRPr="00F4074B">
              <w:rPr>
                <w:rStyle w:val="Hyperlink"/>
                <w:rFonts w:ascii="Calibri" w:eastAsia="Calibri" w:hAnsi="Calibri" w:cs="Calibri"/>
                <w:noProof/>
              </w:rPr>
              <w:t>1.1 Outokumpu and the Lower-Carbon Steel Market</w:t>
            </w:r>
            <w:r>
              <w:rPr>
                <w:noProof/>
                <w:webHidden/>
              </w:rPr>
              <w:tab/>
            </w:r>
            <w:r>
              <w:rPr>
                <w:noProof/>
                <w:webHidden/>
              </w:rPr>
              <w:fldChar w:fldCharType="begin"/>
            </w:r>
            <w:r>
              <w:rPr>
                <w:noProof/>
                <w:webHidden/>
              </w:rPr>
              <w:instrText xml:space="preserve"> PAGEREF _Toc243564610 \h </w:instrText>
            </w:r>
            <w:r>
              <w:rPr>
                <w:noProof/>
                <w:webHidden/>
              </w:rPr>
            </w:r>
            <w:r>
              <w:rPr>
                <w:noProof/>
                <w:webHidden/>
              </w:rPr>
              <w:fldChar w:fldCharType="separate"/>
            </w:r>
            <w:r>
              <w:rPr>
                <w:noProof/>
                <w:webHidden/>
              </w:rPr>
              <w:t>3</w:t>
            </w:r>
            <w:r>
              <w:rPr>
                <w:noProof/>
                <w:webHidden/>
              </w:rPr>
              <w:fldChar w:fldCharType="end"/>
            </w:r>
          </w:hyperlink>
        </w:p>
        <w:p w14:paraId="540232B5" w14:textId="0AC620C1" w:rsidR="00E87ADF" w:rsidRDefault="00E87ADF">
          <w:pPr>
            <w:pStyle w:val="TOC2"/>
            <w:tabs>
              <w:tab w:val="right" w:leader="dot" w:pos="8948"/>
            </w:tabs>
            <w:rPr>
              <w:b w:val="0"/>
              <w:bCs w:val="0"/>
              <w:noProof/>
              <w:color w:val="auto"/>
              <w:kern w:val="2"/>
              <w:sz w:val="24"/>
              <w:szCs w:val="24"/>
              <w:lang w:val="en-GB" w:eastAsia="en-GB"/>
              <w14:ligatures w14:val="standardContextual"/>
            </w:rPr>
          </w:pPr>
          <w:hyperlink w:anchor="_Toc243564611" w:history="1">
            <w:r w:rsidRPr="00F4074B">
              <w:rPr>
                <w:rStyle w:val="Hyperlink"/>
                <w:rFonts w:ascii="Calibri" w:eastAsia="Calibri" w:hAnsi="Calibri" w:cs="Calibri"/>
                <w:noProof/>
              </w:rPr>
              <w:t>1.2 Environmental Pressures and Opportunities</w:t>
            </w:r>
            <w:r>
              <w:rPr>
                <w:noProof/>
                <w:webHidden/>
              </w:rPr>
              <w:tab/>
            </w:r>
            <w:r>
              <w:rPr>
                <w:noProof/>
                <w:webHidden/>
              </w:rPr>
              <w:fldChar w:fldCharType="begin"/>
            </w:r>
            <w:r>
              <w:rPr>
                <w:noProof/>
                <w:webHidden/>
              </w:rPr>
              <w:instrText xml:space="preserve"> PAGEREF _Toc243564611 \h </w:instrText>
            </w:r>
            <w:r>
              <w:rPr>
                <w:noProof/>
                <w:webHidden/>
              </w:rPr>
            </w:r>
            <w:r>
              <w:rPr>
                <w:noProof/>
                <w:webHidden/>
              </w:rPr>
              <w:fldChar w:fldCharType="separate"/>
            </w:r>
            <w:r>
              <w:rPr>
                <w:noProof/>
                <w:webHidden/>
              </w:rPr>
              <w:t>3</w:t>
            </w:r>
            <w:r>
              <w:rPr>
                <w:noProof/>
                <w:webHidden/>
              </w:rPr>
              <w:fldChar w:fldCharType="end"/>
            </w:r>
          </w:hyperlink>
        </w:p>
        <w:p w14:paraId="73603C8B" w14:textId="447559B9" w:rsidR="00E87ADF" w:rsidRDefault="00E87ADF">
          <w:pPr>
            <w:pStyle w:val="TOC2"/>
            <w:tabs>
              <w:tab w:val="right" w:leader="dot" w:pos="8948"/>
            </w:tabs>
            <w:rPr>
              <w:b w:val="0"/>
              <w:bCs w:val="0"/>
              <w:noProof/>
              <w:color w:val="auto"/>
              <w:kern w:val="2"/>
              <w:sz w:val="24"/>
              <w:szCs w:val="24"/>
              <w:lang w:val="en-GB" w:eastAsia="en-GB"/>
              <w14:ligatures w14:val="standardContextual"/>
            </w:rPr>
          </w:pPr>
          <w:hyperlink w:anchor="_Toc243564612" w:history="1">
            <w:r w:rsidRPr="00F4074B">
              <w:rPr>
                <w:rStyle w:val="Hyperlink"/>
                <w:rFonts w:ascii="Calibri" w:eastAsia="Calibri" w:hAnsi="Calibri" w:cs="Calibri"/>
                <w:noProof/>
              </w:rPr>
              <w:t>1.3 Customer Expectations and Market Demand</w:t>
            </w:r>
            <w:r>
              <w:rPr>
                <w:noProof/>
                <w:webHidden/>
              </w:rPr>
              <w:tab/>
            </w:r>
            <w:r>
              <w:rPr>
                <w:noProof/>
                <w:webHidden/>
              </w:rPr>
              <w:fldChar w:fldCharType="begin"/>
            </w:r>
            <w:r>
              <w:rPr>
                <w:noProof/>
                <w:webHidden/>
              </w:rPr>
              <w:instrText xml:space="preserve"> PAGEREF _Toc243564612 \h </w:instrText>
            </w:r>
            <w:r>
              <w:rPr>
                <w:noProof/>
                <w:webHidden/>
              </w:rPr>
            </w:r>
            <w:r>
              <w:rPr>
                <w:noProof/>
                <w:webHidden/>
              </w:rPr>
              <w:fldChar w:fldCharType="separate"/>
            </w:r>
            <w:r>
              <w:rPr>
                <w:noProof/>
                <w:webHidden/>
              </w:rPr>
              <w:t>4</w:t>
            </w:r>
            <w:r>
              <w:rPr>
                <w:noProof/>
                <w:webHidden/>
              </w:rPr>
              <w:fldChar w:fldCharType="end"/>
            </w:r>
          </w:hyperlink>
        </w:p>
        <w:p w14:paraId="4DFF84D3" w14:textId="47DAAD04" w:rsidR="00E87ADF" w:rsidRDefault="00E87ADF">
          <w:pPr>
            <w:pStyle w:val="TOC2"/>
            <w:tabs>
              <w:tab w:val="right" w:leader="dot" w:pos="8948"/>
            </w:tabs>
            <w:rPr>
              <w:b w:val="0"/>
              <w:bCs w:val="0"/>
              <w:noProof/>
              <w:color w:val="auto"/>
              <w:kern w:val="2"/>
              <w:sz w:val="24"/>
              <w:szCs w:val="24"/>
              <w:lang w:val="en-GB" w:eastAsia="en-GB"/>
              <w14:ligatures w14:val="standardContextual"/>
            </w:rPr>
          </w:pPr>
          <w:hyperlink w:anchor="_Toc243564613" w:history="1">
            <w:r w:rsidRPr="00F4074B">
              <w:rPr>
                <w:rStyle w:val="Hyperlink"/>
                <w:rFonts w:ascii="Calibri" w:eastAsia="Calibri" w:hAnsi="Calibri" w:cs="Calibri"/>
                <w:noProof/>
              </w:rPr>
              <w:t>1.4 Government and Regulatory Influences</w:t>
            </w:r>
            <w:r>
              <w:rPr>
                <w:noProof/>
                <w:webHidden/>
              </w:rPr>
              <w:tab/>
            </w:r>
            <w:r>
              <w:rPr>
                <w:noProof/>
                <w:webHidden/>
              </w:rPr>
              <w:fldChar w:fldCharType="begin"/>
            </w:r>
            <w:r>
              <w:rPr>
                <w:noProof/>
                <w:webHidden/>
              </w:rPr>
              <w:instrText xml:space="preserve"> PAGEREF _Toc243564613 \h </w:instrText>
            </w:r>
            <w:r>
              <w:rPr>
                <w:noProof/>
                <w:webHidden/>
              </w:rPr>
            </w:r>
            <w:r>
              <w:rPr>
                <w:noProof/>
                <w:webHidden/>
              </w:rPr>
              <w:fldChar w:fldCharType="separate"/>
            </w:r>
            <w:r>
              <w:rPr>
                <w:noProof/>
                <w:webHidden/>
              </w:rPr>
              <w:t>5</w:t>
            </w:r>
            <w:r>
              <w:rPr>
                <w:noProof/>
                <w:webHidden/>
              </w:rPr>
              <w:fldChar w:fldCharType="end"/>
            </w:r>
          </w:hyperlink>
        </w:p>
        <w:p w14:paraId="5E9774E2" w14:textId="5C4138E2" w:rsidR="00E87ADF" w:rsidRDefault="00E87ADF">
          <w:pPr>
            <w:pStyle w:val="TOC2"/>
            <w:tabs>
              <w:tab w:val="right" w:leader="dot" w:pos="8948"/>
            </w:tabs>
            <w:rPr>
              <w:b w:val="0"/>
              <w:bCs w:val="0"/>
              <w:noProof/>
              <w:color w:val="auto"/>
              <w:kern w:val="2"/>
              <w:sz w:val="24"/>
              <w:szCs w:val="24"/>
              <w:lang w:val="en-GB" w:eastAsia="en-GB"/>
              <w14:ligatures w14:val="standardContextual"/>
            </w:rPr>
          </w:pPr>
          <w:hyperlink w:anchor="_Toc243564614" w:history="1">
            <w:r w:rsidRPr="00F4074B">
              <w:rPr>
                <w:rStyle w:val="Hyperlink"/>
                <w:rFonts w:ascii="Calibri" w:eastAsia="Calibri" w:hAnsi="Calibri" w:cs="Calibri"/>
                <w:noProof/>
              </w:rPr>
              <w:t>1.5 Critical Synthesis of Marketing Implications</w:t>
            </w:r>
            <w:r>
              <w:rPr>
                <w:noProof/>
                <w:webHidden/>
              </w:rPr>
              <w:tab/>
            </w:r>
            <w:r>
              <w:rPr>
                <w:noProof/>
                <w:webHidden/>
              </w:rPr>
              <w:fldChar w:fldCharType="begin"/>
            </w:r>
            <w:r>
              <w:rPr>
                <w:noProof/>
                <w:webHidden/>
              </w:rPr>
              <w:instrText xml:space="preserve"> PAGEREF _Toc243564614 \h </w:instrText>
            </w:r>
            <w:r>
              <w:rPr>
                <w:noProof/>
                <w:webHidden/>
              </w:rPr>
            </w:r>
            <w:r>
              <w:rPr>
                <w:noProof/>
                <w:webHidden/>
              </w:rPr>
              <w:fldChar w:fldCharType="separate"/>
            </w:r>
            <w:r>
              <w:rPr>
                <w:noProof/>
                <w:webHidden/>
              </w:rPr>
              <w:t>5</w:t>
            </w:r>
            <w:r>
              <w:rPr>
                <w:noProof/>
                <w:webHidden/>
              </w:rPr>
              <w:fldChar w:fldCharType="end"/>
            </w:r>
          </w:hyperlink>
        </w:p>
        <w:p w14:paraId="736BE0F5" w14:textId="4B447B2A" w:rsidR="00E87ADF" w:rsidRDefault="00E87ADF">
          <w:pPr>
            <w:pStyle w:val="TOC1"/>
            <w:tabs>
              <w:tab w:val="right" w:leader="dot" w:pos="8948"/>
            </w:tabs>
            <w:rPr>
              <w:b w:val="0"/>
              <w:bCs w:val="0"/>
              <w:i w:val="0"/>
              <w:iCs w:val="0"/>
              <w:noProof/>
              <w:color w:val="auto"/>
              <w:kern w:val="2"/>
              <w:lang w:val="en-GB" w:eastAsia="en-GB"/>
              <w14:ligatures w14:val="standardContextual"/>
            </w:rPr>
          </w:pPr>
          <w:hyperlink w:anchor="_Toc243564615" w:history="1">
            <w:r w:rsidRPr="00F4074B">
              <w:rPr>
                <w:rStyle w:val="Hyperlink"/>
                <w:noProof/>
              </w:rPr>
              <w:t>2. Strategic Growth and Competitive Positioning</w:t>
            </w:r>
            <w:r>
              <w:rPr>
                <w:noProof/>
                <w:webHidden/>
              </w:rPr>
              <w:tab/>
            </w:r>
            <w:r>
              <w:rPr>
                <w:noProof/>
                <w:webHidden/>
              </w:rPr>
              <w:fldChar w:fldCharType="begin"/>
            </w:r>
            <w:r>
              <w:rPr>
                <w:noProof/>
                <w:webHidden/>
              </w:rPr>
              <w:instrText xml:space="preserve"> PAGEREF _Toc243564615 \h </w:instrText>
            </w:r>
            <w:r>
              <w:rPr>
                <w:noProof/>
                <w:webHidden/>
              </w:rPr>
            </w:r>
            <w:r>
              <w:rPr>
                <w:noProof/>
                <w:webHidden/>
              </w:rPr>
              <w:fldChar w:fldCharType="separate"/>
            </w:r>
            <w:r>
              <w:rPr>
                <w:noProof/>
                <w:webHidden/>
              </w:rPr>
              <w:t>7</w:t>
            </w:r>
            <w:r>
              <w:rPr>
                <w:noProof/>
                <w:webHidden/>
              </w:rPr>
              <w:fldChar w:fldCharType="end"/>
            </w:r>
          </w:hyperlink>
        </w:p>
        <w:p w14:paraId="0CA21590" w14:textId="383B708B" w:rsidR="00E87ADF" w:rsidRDefault="00E87ADF">
          <w:pPr>
            <w:pStyle w:val="TOC2"/>
            <w:tabs>
              <w:tab w:val="right" w:leader="dot" w:pos="8948"/>
            </w:tabs>
            <w:rPr>
              <w:b w:val="0"/>
              <w:bCs w:val="0"/>
              <w:noProof/>
              <w:color w:val="auto"/>
              <w:kern w:val="2"/>
              <w:sz w:val="24"/>
              <w:szCs w:val="24"/>
              <w:lang w:val="en-GB" w:eastAsia="en-GB"/>
              <w14:ligatures w14:val="standardContextual"/>
            </w:rPr>
          </w:pPr>
          <w:hyperlink w:anchor="_Toc243564616" w:history="1">
            <w:r w:rsidRPr="00F4074B">
              <w:rPr>
                <w:rStyle w:val="Hyperlink"/>
                <w:noProof/>
              </w:rPr>
              <w:t>2.1 Ansoff Matrix: Evaluation of Growth Options</w:t>
            </w:r>
            <w:r>
              <w:rPr>
                <w:noProof/>
                <w:webHidden/>
              </w:rPr>
              <w:tab/>
            </w:r>
            <w:r>
              <w:rPr>
                <w:noProof/>
                <w:webHidden/>
              </w:rPr>
              <w:fldChar w:fldCharType="begin"/>
            </w:r>
            <w:r>
              <w:rPr>
                <w:noProof/>
                <w:webHidden/>
              </w:rPr>
              <w:instrText xml:space="preserve"> PAGEREF _Toc243564616 \h </w:instrText>
            </w:r>
            <w:r>
              <w:rPr>
                <w:noProof/>
                <w:webHidden/>
              </w:rPr>
            </w:r>
            <w:r>
              <w:rPr>
                <w:noProof/>
                <w:webHidden/>
              </w:rPr>
              <w:fldChar w:fldCharType="separate"/>
            </w:r>
            <w:r>
              <w:rPr>
                <w:noProof/>
                <w:webHidden/>
              </w:rPr>
              <w:t>7</w:t>
            </w:r>
            <w:r>
              <w:rPr>
                <w:noProof/>
                <w:webHidden/>
              </w:rPr>
              <w:fldChar w:fldCharType="end"/>
            </w:r>
          </w:hyperlink>
        </w:p>
        <w:p w14:paraId="4121E0D9" w14:textId="0E00A0DE" w:rsidR="00E87ADF" w:rsidRDefault="00E87ADF">
          <w:pPr>
            <w:pStyle w:val="TOC2"/>
            <w:tabs>
              <w:tab w:val="right" w:leader="dot" w:pos="8948"/>
            </w:tabs>
            <w:rPr>
              <w:b w:val="0"/>
              <w:bCs w:val="0"/>
              <w:noProof/>
              <w:color w:val="auto"/>
              <w:kern w:val="2"/>
              <w:sz w:val="24"/>
              <w:szCs w:val="24"/>
              <w:lang w:val="en-GB" w:eastAsia="en-GB"/>
              <w14:ligatures w14:val="standardContextual"/>
            </w:rPr>
          </w:pPr>
          <w:hyperlink w:anchor="_Toc243564617" w:history="1">
            <w:r w:rsidRPr="00F4074B">
              <w:rPr>
                <w:rStyle w:val="Hyperlink"/>
                <w:noProof/>
              </w:rPr>
              <w:t>2.2 Recommended Growth Strategy and Justification</w:t>
            </w:r>
            <w:r>
              <w:rPr>
                <w:noProof/>
                <w:webHidden/>
              </w:rPr>
              <w:tab/>
            </w:r>
            <w:r>
              <w:rPr>
                <w:noProof/>
                <w:webHidden/>
              </w:rPr>
              <w:fldChar w:fldCharType="begin"/>
            </w:r>
            <w:r>
              <w:rPr>
                <w:noProof/>
                <w:webHidden/>
              </w:rPr>
              <w:instrText xml:space="preserve"> PAGEREF _Toc243564617 \h </w:instrText>
            </w:r>
            <w:r>
              <w:rPr>
                <w:noProof/>
                <w:webHidden/>
              </w:rPr>
            </w:r>
            <w:r>
              <w:rPr>
                <w:noProof/>
                <w:webHidden/>
              </w:rPr>
              <w:fldChar w:fldCharType="separate"/>
            </w:r>
            <w:r>
              <w:rPr>
                <w:noProof/>
                <w:webHidden/>
              </w:rPr>
              <w:t>7</w:t>
            </w:r>
            <w:r>
              <w:rPr>
                <w:noProof/>
                <w:webHidden/>
              </w:rPr>
              <w:fldChar w:fldCharType="end"/>
            </w:r>
          </w:hyperlink>
        </w:p>
        <w:p w14:paraId="4BBBACC3" w14:textId="21CAD9F4" w:rsidR="00E87ADF" w:rsidRDefault="00E87ADF">
          <w:pPr>
            <w:pStyle w:val="TOC2"/>
            <w:tabs>
              <w:tab w:val="right" w:leader="dot" w:pos="8948"/>
            </w:tabs>
            <w:rPr>
              <w:b w:val="0"/>
              <w:bCs w:val="0"/>
              <w:noProof/>
              <w:color w:val="auto"/>
              <w:kern w:val="2"/>
              <w:sz w:val="24"/>
              <w:szCs w:val="24"/>
              <w:lang w:val="en-GB" w:eastAsia="en-GB"/>
              <w14:ligatures w14:val="standardContextual"/>
            </w:rPr>
          </w:pPr>
          <w:hyperlink w:anchor="_Toc243564618" w:history="1">
            <w:r w:rsidRPr="00F4074B">
              <w:rPr>
                <w:rStyle w:val="Hyperlink"/>
                <w:noProof/>
              </w:rPr>
              <w:t>2.3 Competitive Advantage and Strategic Risks</w:t>
            </w:r>
            <w:r>
              <w:rPr>
                <w:noProof/>
                <w:webHidden/>
              </w:rPr>
              <w:tab/>
            </w:r>
            <w:r>
              <w:rPr>
                <w:noProof/>
                <w:webHidden/>
              </w:rPr>
              <w:fldChar w:fldCharType="begin"/>
            </w:r>
            <w:r>
              <w:rPr>
                <w:noProof/>
                <w:webHidden/>
              </w:rPr>
              <w:instrText xml:space="preserve"> PAGEREF _Toc243564618 \h </w:instrText>
            </w:r>
            <w:r>
              <w:rPr>
                <w:noProof/>
                <w:webHidden/>
              </w:rPr>
            </w:r>
            <w:r>
              <w:rPr>
                <w:noProof/>
                <w:webHidden/>
              </w:rPr>
              <w:fldChar w:fldCharType="separate"/>
            </w:r>
            <w:r>
              <w:rPr>
                <w:noProof/>
                <w:webHidden/>
              </w:rPr>
              <w:t>8</w:t>
            </w:r>
            <w:r>
              <w:rPr>
                <w:noProof/>
                <w:webHidden/>
              </w:rPr>
              <w:fldChar w:fldCharType="end"/>
            </w:r>
          </w:hyperlink>
        </w:p>
        <w:p w14:paraId="79DF9D10" w14:textId="02736CEE" w:rsidR="00E87ADF" w:rsidRDefault="00E87ADF">
          <w:pPr>
            <w:pStyle w:val="TOC1"/>
            <w:tabs>
              <w:tab w:val="right" w:leader="dot" w:pos="8948"/>
            </w:tabs>
            <w:rPr>
              <w:b w:val="0"/>
              <w:bCs w:val="0"/>
              <w:i w:val="0"/>
              <w:iCs w:val="0"/>
              <w:noProof/>
              <w:color w:val="auto"/>
              <w:kern w:val="2"/>
              <w:lang w:val="en-GB" w:eastAsia="en-GB"/>
              <w14:ligatures w14:val="standardContextual"/>
            </w:rPr>
          </w:pPr>
          <w:hyperlink w:anchor="_Toc243564619" w:history="1">
            <w:r w:rsidRPr="00F4074B">
              <w:rPr>
                <w:rStyle w:val="Hyperlink"/>
                <w:noProof/>
              </w:rPr>
              <w:t>3. Managerial and Professional Reflection</w:t>
            </w:r>
            <w:r>
              <w:rPr>
                <w:noProof/>
                <w:webHidden/>
              </w:rPr>
              <w:tab/>
            </w:r>
            <w:r>
              <w:rPr>
                <w:noProof/>
                <w:webHidden/>
              </w:rPr>
              <w:fldChar w:fldCharType="begin"/>
            </w:r>
            <w:r>
              <w:rPr>
                <w:noProof/>
                <w:webHidden/>
              </w:rPr>
              <w:instrText xml:space="preserve"> PAGEREF _Toc243564619 \h </w:instrText>
            </w:r>
            <w:r>
              <w:rPr>
                <w:noProof/>
                <w:webHidden/>
              </w:rPr>
            </w:r>
            <w:r>
              <w:rPr>
                <w:noProof/>
                <w:webHidden/>
              </w:rPr>
              <w:fldChar w:fldCharType="separate"/>
            </w:r>
            <w:r>
              <w:rPr>
                <w:noProof/>
                <w:webHidden/>
              </w:rPr>
              <w:t>9</w:t>
            </w:r>
            <w:r>
              <w:rPr>
                <w:noProof/>
                <w:webHidden/>
              </w:rPr>
              <w:fldChar w:fldCharType="end"/>
            </w:r>
          </w:hyperlink>
        </w:p>
        <w:p w14:paraId="1299620E" w14:textId="60906200" w:rsidR="00E87ADF" w:rsidRDefault="00E87ADF">
          <w:pPr>
            <w:pStyle w:val="TOC2"/>
            <w:tabs>
              <w:tab w:val="right" w:leader="dot" w:pos="8948"/>
            </w:tabs>
            <w:rPr>
              <w:b w:val="0"/>
              <w:bCs w:val="0"/>
              <w:noProof/>
              <w:color w:val="auto"/>
              <w:kern w:val="2"/>
              <w:sz w:val="24"/>
              <w:szCs w:val="24"/>
              <w:lang w:val="en-GB" w:eastAsia="en-GB"/>
              <w14:ligatures w14:val="standardContextual"/>
            </w:rPr>
          </w:pPr>
          <w:hyperlink w:anchor="_Toc243564620" w:history="1">
            <w:r w:rsidRPr="00F4074B">
              <w:rPr>
                <w:rStyle w:val="Hyperlink"/>
                <w:noProof/>
              </w:rPr>
              <w:t>3.1 Rationale for Company and Actor Selection</w:t>
            </w:r>
            <w:r>
              <w:rPr>
                <w:noProof/>
                <w:webHidden/>
              </w:rPr>
              <w:tab/>
            </w:r>
            <w:r>
              <w:rPr>
                <w:noProof/>
                <w:webHidden/>
              </w:rPr>
              <w:fldChar w:fldCharType="begin"/>
            </w:r>
            <w:r>
              <w:rPr>
                <w:noProof/>
                <w:webHidden/>
              </w:rPr>
              <w:instrText xml:space="preserve"> PAGEREF _Toc243564620 \h </w:instrText>
            </w:r>
            <w:r>
              <w:rPr>
                <w:noProof/>
                <w:webHidden/>
              </w:rPr>
            </w:r>
            <w:r>
              <w:rPr>
                <w:noProof/>
                <w:webHidden/>
              </w:rPr>
              <w:fldChar w:fldCharType="separate"/>
            </w:r>
            <w:r>
              <w:rPr>
                <w:noProof/>
                <w:webHidden/>
              </w:rPr>
              <w:t>9</w:t>
            </w:r>
            <w:r>
              <w:rPr>
                <w:noProof/>
                <w:webHidden/>
              </w:rPr>
              <w:fldChar w:fldCharType="end"/>
            </w:r>
          </w:hyperlink>
        </w:p>
        <w:p w14:paraId="21537480" w14:textId="5EEA2F18" w:rsidR="00E87ADF" w:rsidRDefault="00E87ADF">
          <w:pPr>
            <w:pStyle w:val="TOC2"/>
            <w:tabs>
              <w:tab w:val="right" w:leader="dot" w:pos="8948"/>
            </w:tabs>
            <w:rPr>
              <w:b w:val="0"/>
              <w:bCs w:val="0"/>
              <w:noProof/>
              <w:color w:val="auto"/>
              <w:kern w:val="2"/>
              <w:sz w:val="24"/>
              <w:szCs w:val="24"/>
              <w:lang w:val="en-GB" w:eastAsia="en-GB"/>
              <w14:ligatures w14:val="standardContextual"/>
            </w:rPr>
          </w:pPr>
          <w:hyperlink w:anchor="_Toc243564621" w:history="1">
            <w:r w:rsidRPr="00F4074B">
              <w:rPr>
                <w:rStyle w:val="Hyperlink"/>
                <w:noProof/>
              </w:rPr>
              <w:t>3.2 Reflection on Strategic Decisions</w:t>
            </w:r>
            <w:r>
              <w:rPr>
                <w:noProof/>
                <w:webHidden/>
              </w:rPr>
              <w:tab/>
            </w:r>
            <w:r>
              <w:rPr>
                <w:noProof/>
                <w:webHidden/>
              </w:rPr>
              <w:fldChar w:fldCharType="begin"/>
            </w:r>
            <w:r>
              <w:rPr>
                <w:noProof/>
                <w:webHidden/>
              </w:rPr>
              <w:instrText xml:space="preserve"> PAGEREF _Toc243564621 \h </w:instrText>
            </w:r>
            <w:r>
              <w:rPr>
                <w:noProof/>
                <w:webHidden/>
              </w:rPr>
            </w:r>
            <w:r>
              <w:rPr>
                <w:noProof/>
                <w:webHidden/>
              </w:rPr>
              <w:fldChar w:fldCharType="separate"/>
            </w:r>
            <w:r>
              <w:rPr>
                <w:noProof/>
                <w:webHidden/>
              </w:rPr>
              <w:t>9</w:t>
            </w:r>
            <w:r>
              <w:rPr>
                <w:noProof/>
                <w:webHidden/>
              </w:rPr>
              <w:fldChar w:fldCharType="end"/>
            </w:r>
          </w:hyperlink>
        </w:p>
        <w:p w14:paraId="19A91BEF" w14:textId="6000896F" w:rsidR="00E87ADF" w:rsidRDefault="00E87ADF">
          <w:pPr>
            <w:pStyle w:val="TOC2"/>
            <w:tabs>
              <w:tab w:val="right" w:leader="dot" w:pos="8948"/>
            </w:tabs>
            <w:rPr>
              <w:b w:val="0"/>
              <w:bCs w:val="0"/>
              <w:noProof/>
              <w:color w:val="auto"/>
              <w:kern w:val="2"/>
              <w:sz w:val="24"/>
              <w:szCs w:val="24"/>
              <w:lang w:val="en-GB" w:eastAsia="en-GB"/>
              <w14:ligatures w14:val="standardContextual"/>
            </w:rPr>
          </w:pPr>
          <w:hyperlink w:anchor="_Toc243564622" w:history="1">
            <w:r w:rsidRPr="00F4074B">
              <w:rPr>
                <w:rStyle w:val="Hyperlink"/>
                <w:noProof/>
              </w:rPr>
              <w:t>3.3 Analytical Limitations and Additional Evidence Needed</w:t>
            </w:r>
            <w:r>
              <w:rPr>
                <w:noProof/>
                <w:webHidden/>
              </w:rPr>
              <w:tab/>
            </w:r>
            <w:r>
              <w:rPr>
                <w:noProof/>
                <w:webHidden/>
              </w:rPr>
              <w:fldChar w:fldCharType="begin"/>
            </w:r>
            <w:r>
              <w:rPr>
                <w:noProof/>
                <w:webHidden/>
              </w:rPr>
              <w:instrText xml:space="preserve"> PAGEREF _Toc243564622 \h </w:instrText>
            </w:r>
            <w:r>
              <w:rPr>
                <w:noProof/>
                <w:webHidden/>
              </w:rPr>
            </w:r>
            <w:r>
              <w:rPr>
                <w:noProof/>
                <w:webHidden/>
              </w:rPr>
              <w:fldChar w:fldCharType="separate"/>
            </w:r>
            <w:r>
              <w:rPr>
                <w:noProof/>
                <w:webHidden/>
              </w:rPr>
              <w:t>10</w:t>
            </w:r>
            <w:r>
              <w:rPr>
                <w:noProof/>
                <w:webHidden/>
              </w:rPr>
              <w:fldChar w:fldCharType="end"/>
            </w:r>
          </w:hyperlink>
        </w:p>
        <w:p w14:paraId="07A1539A" w14:textId="54487CD5" w:rsidR="00E87ADF" w:rsidRDefault="00E87ADF">
          <w:pPr>
            <w:pStyle w:val="TOC1"/>
            <w:tabs>
              <w:tab w:val="right" w:leader="dot" w:pos="8948"/>
            </w:tabs>
            <w:rPr>
              <w:b w:val="0"/>
              <w:bCs w:val="0"/>
              <w:i w:val="0"/>
              <w:iCs w:val="0"/>
              <w:noProof/>
              <w:color w:val="auto"/>
              <w:kern w:val="2"/>
              <w:lang w:val="en-GB" w:eastAsia="en-GB"/>
              <w14:ligatures w14:val="standardContextual"/>
            </w:rPr>
          </w:pPr>
          <w:hyperlink w:anchor="_Toc243564623" w:history="1">
            <w:r w:rsidRPr="00F4074B">
              <w:rPr>
                <w:rStyle w:val="Hyperlink"/>
                <w:noProof/>
              </w:rPr>
              <w:t>Conclusion</w:t>
            </w:r>
            <w:r>
              <w:rPr>
                <w:noProof/>
                <w:webHidden/>
              </w:rPr>
              <w:tab/>
            </w:r>
            <w:r>
              <w:rPr>
                <w:noProof/>
                <w:webHidden/>
              </w:rPr>
              <w:fldChar w:fldCharType="begin"/>
            </w:r>
            <w:r>
              <w:rPr>
                <w:noProof/>
                <w:webHidden/>
              </w:rPr>
              <w:instrText xml:space="preserve"> PAGEREF _Toc243564623 \h </w:instrText>
            </w:r>
            <w:r>
              <w:rPr>
                <w:noProof/>
                <w:webHidden/>
              </w:rPr>
            </w:r>
            <w:r>
              <w:rPr>
                <w:noProof/>
                <w:webHidden/>
              </w:rPr>
              <w:fldChar w:fldCharType="separate"/>
            </w:r>
            <w:r>
              <w:rPr>
                <w:noProof/>
                <w:webHidden/>
              </w:rPr>
              <w:t>10</w:t>
            </w:r>
            <w:r>
              <w:rPr>
                <w:noProof/>
                <w:webHidden/>
              </w:rPr>
              <w:fldChar w:fldCharType="end"/>
            </w:r>
          </w:hyperlink>
        </w:p>
        <w:p w14:paraId="53110220" w14:textId="5300CF0B" w:rsidR="00E87ADF" w:rsidRDefault="00E87ADF">
          <w:pPr>
            <w:pStyle w:val="TOC1"/>
            <w:tabs>
              <w:tab w:val="right" w:leader="dot" w:pos="8948"/>
            </w:tabs>
            <w:rPr>
              <w:b w:val="0"/>
              <w:bCs w:val="0"/>
              <w:i w:val="0"/>
              <w:iCs w:val="0"/>
              <w:noProof/>
              <w:color w:val="auto"/>
              <w:kern w:val="2"/>
              <w:lang w:val="en-GB" w:eastAsia="en-GB"/>
              <w14:ligatures w14:val="standardContextual"/>
            </w:rPr>
          </w:pPr>
          <w:hyperlink w:anchor="_Toc243564624" w:history="1">
            <w:r w:rsidRPr="00F4074B">
              <w:rPr>
                <w:rStyle w:val="Hyperlink"/>
                <w:noProof/>
              </w:rPr>
              <w:t>References</w:t>
            </w:r>
            <w:r>
              <w:rPr>
                <w:noProof/>
                <w:webHidden/>
              </w:rPr>
              <w:tab/>
            </w:r>
            <w:r>
              <w:rPr>
                <w:noProof/>
                <w:webHidden/>
              </w:rPr>
              <w:fldChar w:fldCharType="begin"/>
            </w:r>
            <w:r>
              <w:rPr>
                <w:noProof/>
                <w:webHidden/>
              </w:rPr>
              <w:instrText xml:space="preserve"> PAGEREF _Toc243564624 \h </w:instrText>
            </w:r>
            <w:r>
              <w:rPr>
                <w:noProof/>
                <w:webHidden/>
              </w:rPr>
            </w:r>
            <w:r>
              <w:rPr>
                <w:noProof/>
                <w:webHidden/>
              </w:rPr>
              <w:fldChar w:fldCharType="separate"/>
            </w:r>
            <w:r>
              <w:rPr>
                <w:noProof/>
                <w:webHidden/>
              </w:rPr>
              <w:t>10</w:t>
            </w:r>
            <w:r>
              <w:rPr>
                <w:noProof/>
                <w:webHidden/>
              </w:rPr>
              <w:fldChar w:fldCharType="end"/>
            </w:r>
          </w:hyperlink>
        </w:p>
        <w:p w14:paraId="4E8B74E5" w14:textId="4BA3CEB5" w:rsidR="00E87ADF" w:rsidRDefault="00E87ADF">
          <w:pPr>
            <w:pStyle w:val="TOC1"/>
            <w:tabs>
              <w:tab w:val="right" w:leader="dot" w:pos="8948"/>
            </w:tabs>
            <w:rPr>
              <w:b w:val="0"/>
              <w:bCs w:val="0"/>
              <w:i w:val="0"/>
              <w:iCs w:val="0"/>
              <w:noProof/>
              <w:color w:val="auto"/>
              <w:kern w:val="2"/>
              <w:lang w:val="en-GB" w:eastAsia="en-GB"/>
              <w14:ligatures w14:val="standardContextual"/>
            </w:rPr>
          </w:pPr>
          <w:hyperlink w:anchor="_Toc243564625" w:history="1">
            <w:r w:rsidRPr="00F4074B">
              <w:rPr>
                <w:rStyle w:val="Hyperlink"/>
                <w:noProof/>
              </w:rPr>
              <w:t>AI-use acknowledgement</w:t>
            </w:r>
            <w:r>
              <w:rPr>
                <w:noProof/>
                <w:webHidden/>
              </w:rPr>
              <w:tab/>
            </w:r>
            <w:r>
              <w:rPr>
                <w:noProof/>
                <w:webHidden/>
              </w:rPr>
              <w:fldChar w:fldCharType="begin"/>
            </w:r>
            <w:r>
              <w:rPr>
                <w:noProof/>
                <w:webHidden/>
              </w:rPr>
              <w:instrText xml:space="preserve"> PAGEREF _Toc243564625 \h </w:instrText>
            </w:r>
            <w:r>
              <w:rPr>
                <w:noProof/>
                <w:webHidden/>
              </w:rPr>
            </w:r>
            <w:r>
              <w:rPr>
                <w:noProof/>
                <w:webHidden/>
              </w:rPr>
              <w:fldChar w:fldCharType="separate"/>
            </w:r>
            <w:r>
              <w:rPr>
                <w:noProof/>
                <w:webHidden/>
              </w:rPr>
              <w:t>12</w:t>
            </w:r>
            <w:r>
              <w:rPr>
                <w:noProof/>
                <w:webHidden/>
              </w:rPr>
              <w:fldChar w:fldCharType="end"/>
            </w:r>
          </w:hyperlink>
        </w:p>
        <w:p w14:paraId="0CE729EF" w14:textId="571044EA" w:rsidR="00E87ADF" w:rsidRDefault="00E87ADF" w:rsidP="00E87ADF">
          <w:r>
            <w:rPr>
              <w:b/>
              <w:bCs/>
              <w:noProof/>
            </w:rPr>
            <w:fldChar w:fldCharType="end"/>
          </w:r>
        </w:p>
      </w:sdtContent>
    </w:sdt>
    <w:p w14:paraId="1B4070CC" w14:textId="77777777" w:rsidR="00E87ADF" w:rsidRDefault="00E87ADF" w:rsidP="00E87ADF"/>
    <w:p w14:paraId="1233F3B7" w14:textId="77777777" w:rsidR="00E87ADF" w:rsidRDefault="00E87ADF" w:rsidP="00E87ADF"/>
    <w:p w14:paraId="6E197065" w14:textId="77777777" w:rsidR="00E87ADF" w:rsidRDefault="00E87ADF" w:rsidP="00E87ADF"/>
    <w:p w14:paraId="60F9C661" w14:textId="77777777" w:rsidR="00E87ADF" w:rsidRDefault="00E87ADF" w:rsidP="00E87ADF"/>
    <w:p w14:paraId="693C6275" w14:textId="77777777" w:rsidR="00E87ADF" w:rsidRDefault="00E87ADF" w:rsidP="00E87ADF">
      <w:pPr>
        <w:pStyle w:val="Heading1"/>
      </w:pPr>
      <w:bookmarkStart w:id="0" w:name="_Toc243564445"/>
      <w:bookmarkStart w:id="1" w:name="_Toc243564463"/>
      <w:bookmarkStart w:id="2" w:name="_Toc243564499"/>
      <w:bookmarkStart w:id="3" w:name="_Toc243564608"/>
      <w:r>
        <w:lastRenderedPageBreak/>
        <w:t>Introduction</w:t>
      </w:r>
      <w:bookmarkEnd w:id="0"/>
      <w:bookmarkEnd w:id="1"/>
      <w:bookmarkEnd w:id="2"/>
      <w:bookmarkEnd w:id="3"/>
    </w:p>
    <w:p w14:paraId="4C9A1FEF" w14:textId="77777777" w:rsidR="00E87ADF" w:rsidRDefault="00E87ADF" w:rsidP="00E87ADF">
      <w:pPr>
        <w:keepNext/>
        <w:keepLines/>
        <w:spacing w:before="260" w:after="140"/>
      </w:pPr>
      <w:r>
        <w:t>This report critically analyses three external influences on Outokumpu’s transition toward lower-carbon products, focusing strongly on the natural environment alongside customers and government regulation. It uses Ansoff’s Matrix to recommend growth through Circle Green market penetration and considers differentiation, before reflecting on strategic decisions, analytical limitations and evidence needed by senior leadership.</w:t>
      </w:r>
    </w:p>
    <w:p w14:paraId="4FC7F036" w14:textId="77777777" w:rsidR="00E87ADF" w:rsidRDefault="00E87ADF" w:rsidP="00E87ADF">
      <w:pPr>
        <w:pStyle w:val="Heading1"/>
        <w:rPr>
          <w:rFonts w:ascii="Calibri" w:eastAsia="Calibri" w:hAnsi="Calibri" w:cs="Calibri"/>
          <w:szCs w:val="26"/>
        </w:rPr>
      </w:pPr>
      <w:bookmarkStart w:id="4" w:name="_Toc243564446"/>
      <w:bookmarkStart w:id="5" w:name="_Toc243564464"/>
      <w:bookmarkStart w:id="6" w:name="_Toc243564500"/>
      <w:bookmarkStart w:id="7" w:name="_Toc243564609"/>
      <w:r w:rsidRPr="02AE0D89">
        <w:rPr>
          <w:rFonts w:ascii="Calibri" w:eastAsia="Calibri" w:hAnsi="Calibri" w:cs="Calibri"/>
          <w:b/>
          <w:bCs/>
          <w:color w:val="0F3443"/>
          <w:sz w:val="26"/>
          <w:szCs w:val="26"/>
          <w:lang w:val="en-US"/>
        </w:rPr>
        <w:t>1. Marketing Environment Analysis</w:t>
      </w:r>
      <w:bookmarkEnd w:id="4"/>
      <w:bookmarkEnd w:id="5"/>
      <w:bookmarkEnd w:id="6"/>
      <w:bookmarkEnd w:id="7"/>
    </w:p>
    <w:p w14:paraId="44572008" w14:textId="77777777" w:rsidR="00E87ADF" w:rsidRDefault="00E87ADF" w:rsidP="00E87ADF">
      <w:pPr>
        <w:pStyle w:val="Heading2"/>
        <w:rPr>
          <w:rFonts w:ascii="Calibri" w:eastAsia="Calibri" w:hAnsi="Calibri" w:cs="Calibri"/>
          <w:szCs w:val="22"/>
        </w:rPr>
      </w:pPr>
      <w:bookmarkStart w:id="8" w:name="_Toc243564447"/>
      <w:bookmarkStart w:id="9" w:name="_Toc243564465"/>
      <w:bookmarkStart w:id="10" w:name="_Toc243564501"/>
      <w:bookmarkStart w:id="11" w:name="_Toc243564610"/>
      <w:r w:rsidRPr="0D886B8F">
        <w:rPr>
          <w:rFonts w:ascii="Calibri" w:eastAsia="Calibri" w:hAnsi="Calibri" w:cs="Calibri"/>
          <w:b/>
          <w:bCs/>
          <w:color w:val="0F3443"/>
          <w:sz w:val="22"/>
          <w:szCs w:val="22"/>
          <w:lang w:val="en-US"/>
        </w:rPr>
        <w:t>1.1 Outokumpu and the Lower-Carbon Steel Market</w:t>
      </w:r>
      <w:bookmarkEnd w:id="8"/>
      <w:bookmarkEnd w:id="9"/>
      <w:bookmarkEnd w:id="10"/>
      <w:bookmarkEnd w:id="11"/>
    </w:p>
    <w:p w14:paraId="5D74B9A2" w14:textId="77777777" w:rsidR="00E87ADF" w:rsidRDefault="00E87ADF" w:rsidP="00E87ADF">
      <w:r w:rsidRPr="0D886B8F">
        <w:rPr>
          <w:rFonts w:eastAsia="Aptos" w:cs="Aptos"/>
          <w:szCs w:val="21"/>
        </w:rPr>
        <w:t>Outokumpu‚ a Finnish firm‚ is one of the largest producers and marketers of stainless steel products in Europe and the Americas</w:t>
      </w:r>
      <w:r w:rsidRPr="0D886B8F">
        <w:rPr>
          <w:rFonts w:ascii="MS Gothic" w:eastAsia="MS Gothic" w:hAnsi="MS Gothic" w:cs="MS Gothic" w:hint="eastAsia"/>
          <w:szCs w:val="21"/>
        </w:rPr>
        <w:t>․</w:t>
      </w:r>
      <w:r w:rsidRPr="0D886B8F">
        <w:rPr>
          <w:rFonts w:eastAsia="Aptos" w:cs="Aptos"/>
          <w:szCs w:val="21"/>
        </w:rPr>
        <w:t xml:space="preserve"> Outokumpu's net sales in 2025 were €5</w:t>
      </w:r>
      <w:r w:rsidRPr="0D886B8F">
        <w:rPr>
          <w:rFonts w:ascii="MS Gothic" w:eastAsia="MS Gothic" w:hAnsi="MS Gothic" w:cs="MS Gothic" w:hint="eastAsia"/>
          <w:szCs w:val="21"/>
        </w:rPr>
        <w:t>․</w:t>
      </w:r>
      <w:r w:rsidRPr="0D886B8F">
        <w:rPr>
          <w:rFonts w:eastAsia="Aptos" w:cs="Aptos"/>
          <w:szCs w:val="21"/>
        </w:rPr>
        <w:t>468 billion‚ and it delivered 1</w:t>
      </w:r>
      <w:r w:rsidRPr="0D886B8F">
        <w:rPr>
          <w:rFonts w:ascii="MS Gothic" w:eastAsia="MS Gothic" w:hAnsi="MS Gothic" w:cs="MS Gothic" w:hint="eastAsia"/>
          <w:szCs w:val="21"/>
        </w:rPr>
        <w:t>․</w:t>
      </w:r>
      <w:r w:rsidRPr="0D886B8F">
        <w:rPr>
          <w:rFonts w:eastAsia="Aptos" w:cs="Aptos"/>
          <w:szCs w:val="21"/>
        </w:rPr>
        <w:t>751 million metric tons of stainless steel products in 2025 (Outokumpu‚ 2026a)</w:t>
      </w:r>
      <w:r w:rsidRPr="0D886B8F">
        <w:rPr>
          <w:rFonts w:ascii="MS Gothic" w:eastAsia="MS Gothic" w:hAnsi="MS Gothic" w:cs="MS Gothic" w:hint="eastAsia"/>
          <w:szCs w:val="21"/>
        </w:rPr>
        <w:t>․</w:t>
      </w:r>
      <w:r w:rsidRPr="0D886B8F">
        <w:rPr>
          <w:rFonts w:eastAsia="Aptos" w:cs="Aptos"/>
          <w:szCs w:val="21"/>
        </w:rPr>
        <w:t xml:space="preserve"> Circle Green products are existing lower-carbon stainless steel products‚ not planned products (Outokumpu‚ no date a)</w:t>
      </w:r>
      <w:r w:rsidRPr="0D886B8F">
        <w:rPr>
          <w:rFonts w:ascii="MS Gothic" w:eastAsia="MS Gothic" w:hAnsi="MS Gothic" w:cs="MS Gothic" w:hint="eastAsia"/>
          <w:szCs w:val="21"/>
        </w:rPr>
        <w:t>․</w:t>
      </w:r>
      <w:r w:rsidRPr="0D886B8F">
        <w:rPr>
          <w:rFonts w:eastAsia="Aptos" w:cs="Aptos"/>
          <w:szCs w:val="21"/>
        </w:rPr>
        <w:t xml:space="preserve"> </w:t>
      </w:r>
      <w:proofErr w:type="spellStart"/>
      <w:r w:rsidRPr="0D886B8F">
        <w:rPr>
          <w:rFonts w:eastAsia="Aptos" w:cs="Aptos"/>
          <w:szCs w:val="21"/>
        </w:rPr>
        <w:t>Muslemani</w:t>
      </w:r>
      <w:proofErr w:type="spellEnd"/>
      <w:r w:rsidRPr="0D886B8F">
        <w:rPr>
          <w:rFonts w:eastAsia="Aptos" w:cs="Aptos"/>
          <w:szCs w:val="21"/>
        </w:rPr>
        <w:t xml:space="preserve"> et al</w:t>
      </w:r>
      <w:r w:rsidRPr="0D886B8F">
        <w:rPr>
          <w:rFonts w:ascii="MS Gothic" w:eastAsia="MS Gothic" w:hAnsi="MS Gothic" w:cs="MS Gothic" w:hint="eastAsia"/>
          <w:szCs w:val="21"/>
        </w:rPr>
        <w:t>․</w:t>
      </w:r>
      <w:r w:rsidRPr="0D886B8F">
        <w:rPr>
          <w:rFonts w:eastAsia="Aptos" w:cs="Aptos"/>
          <w:szCs w:val="21"/>
        </w:rPr>
        <w:t xml:space="preserve"> (2021) cite obstacles to producing lower-carbon steel products‚ including product development and demand stimulation</w:t>
      </w:r>
      <w:r w:rsidRPr="0D886B8F">
        <w:rPr>
          <w:rFonts w:ascii="MS Gothic" w:eastAsia="MS Gothic" w:hAnsi="MS Gothic" w:cs="MS Gothic" w:hint="eastAsia"/>
          <w:szCs w:val="21"/>
        </w:rPr>
        <w:t>․</w:t>
      </w:r>
      <w:r w:rsidRPr="0D886B8F">
        <w:rPr>
          <w:rFonts w:eastAsia="Aptos" w:cs="Aptos"/>
          <w:szCs w:val="21"/>
        </w:rPr>
        <w:t xml:space="preserve"> Outokumpu provides an example of overcoming environmental and business obstacles</w:t>
      </w:r>
      <w:r w:rsidRPr="0D886B8F">
        <w:rPr>
          <w:rFonts w:ascii="MS Gothic" w:eastAsia="MS Gothic" w:hAnsi="MS Gothic" w:cs="MS Gothic" w:hint="eastAsia"/>
          <w:szCs w:val="21"/>
        </w:rPr>
        <w:t>․</w:t>
      </w:r>
    </w:p>
    <w:p w14:paraId="620256D0" w14:textId="77777777" w:rsidR="00E87ADF" w:rsidRDefault="00E87ADF" w:rsidP="00E87ADF">
      <w:pPr>
        <w:pStyle w:val="Heading2"/>
        <w:rPr>
          <w:rFonts w:ascii="Calibri" w:eastAsia="Calibri" w:hAnsi="Calibri" w:cs="Calibri"/>
          <w:szCs w:val="22"/>
        </w:rPr>
      </w:pPr>
      <w:bookmarkStart w:id="12" w:name="_Toc243564448"/>
      <w:bookmarkStart w:id="13" w:name="_Toc243564466"/>
      <w:bookmarkStart w:id="14" w:name="_Toc243564502"/>
      <w:bookmarkStart w:id="15" w:name="_Toc243564611"/>
      <w:r w:rsidRPr="02AE0D89">
        <w:rPr>
          <w:rFonts w:ascii="Calibri" w:eastAsia="Calibri" w:hAnsi="Calibri" w:cs="Calibri"/>
          <w:b/>
          <w:bCs/>
          <w:color w:val="0F3443"/>
          <w:sz w:val="22"/>
          <w:szCs w:val="22"/>
          <w:lang w:val="en-US"/>
        </w:rPr>
        <w:t>1.2 Environmental Pressures and Opportunities</w:t>
      </w:r>
      <w:bookmarkEnd w:id="12"/>
      <w:bookmarkEnd w:id="13"/>
      <w:bookmarkEnd w:id="14"/>
      <w:bookmarkEnd w:id="15"/>
    </w:p>
    <w:p w14:paraId="0EC95709" w14:textId="77777777" w:rsidR="00E87ADF" w:rsidRDefault="00E87ADF" w:rsidP="00E87ADF">
      <w:pPr>
        <w:spacing w:before="240" w:after="240"/>
        <w:rPr>
          <w:rFonts w:eastAsia="Aptos" w:cs="Aptos"/>
          <w:szCs w:val="21"/>
          <w:lang w:val="en-GB"/>
        </w:rPr>
      </w:pPr>
      <w:r>
        <w:t>In marketing-environment theory, the natural environment is a macroenvironmental factor affecting product development and promotion by influencing resource costs and product claims (Kotler, Armstrong, and Balasubramanian, 2024). Climate change is a key concern for steel producers because of emissions from material extraction, alloying and energy-intensive processing. Climate change and resource use are two material issues identified through materiality assessment at Outokumpu. Other material issues include energy costs and supply (Outokumpu, 2026a, p. 56). Key market issues facing Outokumpu include opportunities and threats related to sales of lower-carbon stainless steel to customers seeking to lower their own carbon emissions and concerns over production costs. Outokumpu’s marketing challenge is to translate lower emissions into an offering at a price acceptable to customers.</w:t>
      </w:r>
    </w:p>
    <w:p w14:paraId="5D1CB634" w14:textId="77777777" w:rsidR="00E87ADF" w:rsidRDefault="00E87ADF" w:rsidP="00E87ADF">
      <w:pPr>
        <w:spacing w:before="240" w:after="240"/>
        <w:rPr>
          <w:rFonts w:eastAsia="Aptos" w:cs="Aptos"/>
          <w:szCs w:val="21"/>
          <w:lang w:val="en-GB"/>
        </w:rPr>
      </w:pPr>
      <w:r>
        <w:t>Circular production offers advantages and disadvantages. According to Outokumpu, the recycled material content reached 96.7% in 2025, a small increase over 95.3% in 2024 (Outokumpu, 2026a, p. 58). Risks associated with recycled materials use identified by Outokumpu include limited supplies and higher costs of scrap materials (Outokumpu, 2026a, p. 56). Risks of differentiated recycled stainless-steel production include limited supplies of higher-quality scrap materials. Although Fan and Friedmann (2021) identify other production considerations related to efforts to reduce carbon emissions from primary steel production, insights from primary steel production are not directly transferable to recycled stainless-steel production.</w:t>
      </w:r>
    </w:p>
    <w:p w14:paraId="3186E31A" w14:textId="77777777" w:rsidR="00E87ADF" w:rsidRDefault="00E87ADF" w:rsidP="00E87ADF">
      <w:pPr>
        <w:spacing w:before="240" w:after="240"/>
        <w:rPr>
          <w:rFonts w:eastAsia="Aptos" w:cs="Aptos"/>
          <w:szCs w:val="21"/>
          <w:lang w:val="en-GB"/>
        </w:rPr>
      </w:pPr>
      <w:r>
        <w:t xml:space="preserve"> Circle Green offers a measure that can help businesses distinguish their products. Outokumpu states that its Circle Green stainless steel product has a carbon footprint down to 0.5 kg </w:t>
      </w:r>
      <w:proofErr w:type="spellStart"/>
      <w:r>
        <w:t>CO₂e</w:t>
      </w:r>
      <w:proofErr w:type="spellEnd"/>
      <w:r>
        <w:t xml:space="preserve"> per kg of stainless steel, compared with a 2024 industry average carbon footprint of 7.0 kg </w:t>
      </w:r>
      <w:proofErr w:type="spellStart"/>
      <w:r>
        <w:t>CO₂e</w:t>
      </w:r>
      <w:proofErr w:type="spellEnd"/>
      <w:r>
        <w:t xml:space="preserve"> per kg of stainless steel, a reduction of up to 93% (Outokumpu, 2025). Circle Green carbon footprints may be higher than 0.5 kg </w:t>
      </w:r>
      <w:proofErr w:type="spellStart"/>
      <w:r>
        <w:t>CO₂e</w:t>
      </w:r>
      <w:proofErr w:type="spellEnd"/>
      <w:r>
        <w:t xml:space="preserve"> per kg. The baseline product used for comparison is not a standard Outokumpu product. Other findings by García Gutiérrez et al (2024). indicate differences in </w:t>
      </w:r>
      <w:proofErr w:type="gramStart"/>
      <w:r>
        <w:t>life-</w:t>
      </w:r>
      <w:r>
        <w:lastRenderedPageBreak/>
        <w:t>cycle</w:t>
      </w:r>
      <w:proofErr w:type="gramEnd"/>
      <w:r>
        <w:t xml:space="preserve"> impacts among alloys and other issues to consider when comparing products using a percentage approach.</w:t>
      </w:r>
    </w:p>
    <w:p w14:paraId="1EC319BD" w14:textId="77777777" w:rsidR="00E87ADF" w:rsidRDefault="00E87ADF" w:rsidP="00E87ADF">
      <w:pPr>
        <w:spacing w:before="240" w:after="240"/>
        <w:rPr>
          <w:rFonts w:eastAsia="Aptos" w:cs="Aptos"/>
          <w:szCs w:val="21"/>
          <w:lang w:val="en-GB"/>
        </w:rPr>
      </w:pPr>
      <w:r>
        <w:t xml:space="preserve"> Outokumpu states that its carbon reporting tools for products report cradle-to-gate Scope 1-3 emissions for </w:t>
      </w:r>
      <w:proofErr w:type="gramStart"/>
      <w:r>
        <w:t>particular products</w:t>
      </w:r>
      <w:proofErr w:type="gramEnd"/>
      <w:r>
        <w:t xml:space="preserve">. Certificates and other documentation report carbon emissions information for </w:t>
      </w:r>
      <w:proofErr w:type="gramStart"/>
      <w:r>
        <w:t>particular products</w:t>
      </w:r>
      <w:proofErr w:type="gramEnd"/>
      <w:r>
        <w:t xml:space="preserve">. Third-party verification is provided for product carbon reporting (Outokumpu, no date b). Disadvantages of cradle-to-gate carbon reporting for </w:t>
      </w:r>
      <w:proofErr w:type="gramStart"/>
      <w:r>
        <w:t>particular products</w:t>
      </w:r>
      <w:proofErr w:type="gramEnd"/>
      <w:r>
        <w:t xml:space="preserve"> include a lack of information about use and end-of-life issues. Other disadvantages for buyers considering different </w:t>
      </w:r>
      <w:proofErr w:type="gramStart"/>
      <w:r>
        <w:t>stainless steel</w:t>
      </w:r>
      <w:proofErr w:type="gramEnd"/>
      <w:r>
        <w:t xml:space="preserve"> products include a lack of common performance measures for carbon and other factors. Online databases with more detailed product information may provide marketing benefits to industrial buyers of </w:t>
      </w:r>
      <w:proofErr w:type="gramStart"/>
      <w:r>
        <w:t>stainless steel</w:t>
      </w:r>
      <w:proofErr w:type="gramEnd"/>
      <w:r>
        <w:t xml:space="preserve"> products if source information can be tracked and updated (Zhang and </w:t>
      </w:r>
      <w:proofErr w:type="spellStart"/>
      <w:r>
        <w:t>Seuring</w:t>
      </w:r>
      <w:proofErr w:type="spellEnd"/>
      <w:r>
        <w:t>, 2024).</w:t>
      </w:r>
    </w:p>
    <w:p w14:paraId="3DBF3177" w14:textId="77777777" w:rsidR="00E87ADF" w:rsidRDefault="00E87ADF" w:rsidP="00E87ADF">
      <w:pPr>
        <w:spacing w:before="240" w:after="240"/>
        <w:rPr>
          <w:rFonts w:eastAsia="Aptos" w:cs="Aptos"/>
          <w:szCs w:val="21"/>
          <w:lang w:val="en-GB"/>
        </w:rPr>
      </w:pPr>
      <w:r>
        <w:t xml:space="preserve"> Method claims cannot verify other benefit and cost-saving claims for customers. Montgomery, Lyon, and Barg (2024) review greenwashing risks; their research does not verify Circle Green claims. Market opportunities for green marketing are substantial but will depend on the company's success in verifying other claims and providing value to customers.</w:t>
      </w:r>
    </w:p>
    <w:p w14:paraId="6AD978D8" w14:textId="77777777" w:rsidR="00E87ADF" w:rsidRDefault="00E87ADF" w:rsidP="00E87ADF">
      <w:pPr>
        <w:pStyle w:val="Heading2"/>
        <w:rPr>
          <w:rFonts w:ascii="Calibri" w:eastAsia="Calibri" w:hAnsi="Calibri" w:cs="Calibri"/>
          <w:szCs w:val="22"/>
        </w:rPr>
      </w:pPr>
      <w:bookmarkStart w:id="16" w:name="_Toc243564449"/>
      <w:bookmarkStart w:id="17" w:name="_Toc243564467"/>
      <w:bookmarkStart w:id="18" w:name="_Toc243564503"/>
      <w:bookmarkStart w:id="19" w:name="_Toc243564612"/>
      <w:r w:rsidRPr="02AE0D89">
        <w:rPr>
          <w:rFonts w:ascii="Calibri" w:eastAsia="Calibri" w:hAnsi="Calibri" w:cs="Calibri"/>
          <w:b/>
          <w:bCs/>
          <w:color w:val="0F3443"/>
          <w:sz w:val="22"/>
          <w:szCs w:val="22"/>
          <w:lang w:val="en-US"/>
        </w:rPr>
        <w:t>1.3 Customer Expectations and Market Demand</w:t>
      </w:r>
      <w:bookmarkEnd w:id="16"/>
      <w:bookmarkEnd w:id="17"/>
      <w:bookmarkEnd w:id="18"/>
      <w:bookmarkEnd w:id="19"/>
    </w:p>
    <w:p w14:paraId="33FDF5C6" w14:textId="77777777" w:rsidR="00E87ADF" w:rsidRDefault="00E87ADF" w:rsidP="00E87ADF">
      <w:pPr>
        <w:spacing w:before="240" w:after="240"/>
        <w:rPr>
          <w:rFonts w:eastAsia="Aptos" w:cs="Aptos"/>
          <w:szCs w:val="21"/>
          <w:lang w:val="en-GB"/>
        </w:rPr>
      </w:pPr>
      <w:r>
        <w:t>Customers are a microenvironmental factor affecting business demand for environmentally friendly products (Kotler, Armstrong, and Balasubramanian, 2024). According to a study by Dahlquist (2021), buyer-seller relationships, knowledge exchange and seller marketing expertise influence customer demand for green products. In addition to environmental factors, other factors that influence the purchase of green products by businesses include technical and service factors and cost factors (Kotler, Armstrong, and Balasubramanian, 2024).</w:t>
      </w:r>
    </w:p>
    <w:p w14:paraId="30CA77C9" w14:textId="77777777" w:rsidR="00E87ADF" w:rsidRDefault="00E87ADF" w:rsidP="00E87ADF">
      <w:pPr>
        <w:spacing w:before="240" w:after="240"/>
        <w:rPr>
          <w:rFonts w:eastAsia="Aptos" w:cs="Aptos"/>
          <w:szCs w:val="21"/>
          <w:lang w:val="en-GB"/>
        </w:rPr>
      </w:pPr>
      <w:r>
        <w:t>Grundfos provides an example of a customer’s planned adoption of lower-carbon materials. For example, Grundfos reported that approximately 90% of the Outokumpu stainless steel used in its production would be Circle Green in the announcement year (Grundfos, no date). This indicates that at least one customer is using low-carbon materials, but more information is needed on the extent of use of low-carbon materials by other pump customers and any premium Grundfos is paying for low-carbon materials.</w:t>
      </w:r>
    </w:p>
    <w:p w14:paraId="62621F1A" w14:textId="77777777" w:rsidR="00E87ADF" w:rsidRDefault="00E87ADF" w:rsidP="00E87ADF">
      <w:pPr>
        <w:rPr>
          <w:rFonts w:eastAsia="Aptos" w:cs="Aptos"/>
          <w:szCs w:val="21"/>
          <w:lang w:val="en-GB"/>
        </w:rPr>
      </w:pPr>
      <w:r>
        <w:t xml:space="preserve">The benefits of marketing activities extend beyond product-carbon labeling information. Terho et al (2012). recommend value-based sales approaches, such as gathering information about customer needs and goals and other ways to assist customers. Other Outokumpu marketing activities described in the literature include customer relationship and distribution activities (Outokumpu, 2026a, p. 53). Product-carbon certification from Outokumpu may be a useful tool for interacting with customers. Brown et al (2024). highlight the importance of coordination within B2B </w:t>
      </w:r>
      <w:proofErr w:type="spellStart"/>
      <w:r>
        <w:t>organisations</w:t>
      </w:r>
      <w:proofErr w:type="spellEnd"/>
      <w:r>
        <w:t xml:space="preserve"> when sustainability value is delivered. Sales data on repeat and other sales, retention, and profitability would be useful in evaluating the success of Outokumpu's marketing activities. Public partnership announcements are not enough to evaluate these outcomes. Evaluating the success of marketing efforts with Circle Green will require data on whether Circle Green sales are incremental or are replacing sales of other Outokumpu products, which have different profit profiles.</w:t>
      </w:r>
    </w:p>
    <w:p w14:paraId="6950146A" w14:textId="77777777" w:rsidR="00E87ADF" w:rsidRDefault="00E87ADF" w:rsidP="00E87ADF">
      <w:pPr>
        <w:pStyle w:val="Heading2"/>
        <w:rPr>
          <w:rFonts w:ascii="Calibri" w:eastAsia="Calibri" w:hAnsi="Calibri" w:cs="Calibri"/>
          <w:szCs w:val="22"/>
        </w:rPr>
      </w:pPr>
      <w:bookmarkStart w:id="20" w:name="_Toc243564450"/>
      <w:bookmarkStart w:id="21" w:name="_Toc243564468"/>
      <w:bookmarkStart w:id="22" w:name="_Toc243564504"/>
      <w:bookmarkStart w:id="23" w:name="_Toc243564613"/>
      <w:r w:rsidRPr="02AE0D89">
        <w:rPr>
          <w:rFonts w:ascii="Calibri" w:eastAsia="Calibri" w:hAnsi="Calibri" w:cs="Calibri"/>
          <w:b/>
          <w:bCs/>
          <w:color w:val="0F3443"/>
          <w:sz w:val="22"/>
          <w:szCs w:val="22"/>
          <w:lang w:val="en-US"/>
        </w:rPr>
        <w:lastRenderedPageBreak/>
        <w:t>1.4 Government and Regulatory Influences</w:t>
      </w:r>
      <w:bookmarkEnd w:id="20"/>
      <w:bookmarkEnd w:id="21"/>
      <w:bookmarkEnd w:id="22"/>
      <w:bookmarkEnd w:id="23"/>
    </w:p>
    <w:p w14:paraId="402C1CE5" w14:textId="77777777" w:rsidR="00E87ADF" w:rsidRDefault="00E87ADF" w:rsidP="00E87ADF">
      <w:pPr>
        <w:spacing w:before="240" w:after="240"/>
        <w:rPr>
          <w:rFonts w:eastAsia="Aptos" w:cs="Aptos"/>
          <w:szCs w:val="21"/>
          <w:lang w:val="en-GB"/>
        </w:rPr>
      </w:pPr>
      <w:r>
        <w:t>Government agencies are components of the political and legal environment of an organization's marketing environment. Regulatory forces shape the macroenvironment, while customers operate in the microenvironment. The European Commission's Carbon Border Adjustment Mechanism went into effect on January 1, 2026, for some imported products, including iron and steel (European Commission, no date). Requirements for importers participating in the mechanism include carbon reporting and certification. Benefits of these requirements include reduced price differences due to carbon costs for imported versus domestic products and greater market opportunities for lower-carbon products.</w:t>
      </w:r>
    </w:p>
    <w:p w14:paraId="775D56BA" w14:textId="77777777" w:rsidR="00E87ADF" w:rsidRDefault="00E87ADF" w:rsidP="00E87ADF">
      <w:pPr>
        <w:spacing w:before="240" w:after="240"/>
        <w:rPr>
          <w:rFonts w:eastAsia="Aptos" w:cs="Aptos"/>
          <w:szCs w:val="21"/>
          <w:lang w:val="en-GB"/>
        </w:rPr>
      </w:pPr>
      <w:r>
        <w:t xml:space="preserve"> However, CBAM does not apply as a tax to all products produced by Outokumpu, and Circle Green products do not automatically receive a direct commercial benefit from CBAM. EU steel producers are subject to the EU Emissions Trading System for covered emissions (European Commission, 2024). Unlike CBAM, Circle Green’s cradle-to-gate footprint include emissions from upstream processes. Benefits listed for Circle Green products cannot directly establish lower CBAM costs (European Commission, 2026, pp. 22-23). Other potential effects of CBAM on competition depend on emissions, applicable obligations, costs and buyer responses. Bellora and </w:t>
      </w:r>
      <w:proofErr w:type="spellStart"/>
      <w:r>
        <w:t>Fontagné</w:t>
      </w:r>
      <w:proofErr w:type="spellEnd"/>
      <w:r>
        <w:t xml:space="preserve"> (2023) predict that implementing CBAM may reduce carbon leakage but harm competition in export and other markets. These modelled effects do not establish firm-level outcomes for Outokumpu.</w:t>
      </w:r>
    </w:p>
    <w:p w14:paraId="52D52018" w14:textId="77777777" w:rsidR="00E87ADF" w:rsidRDefault="00E87ADF" w:rsidP="00E87ADF">
      <w:pPr>
        <w:spacing w:before="240" w:after="240"/>
        <w:rPr>
          <w:rFonts w:eastAsia="Aptos" w:cs="Aptos"/>
          <w:szCs w:val="21"/>
          <w:lang w:val="en-GB"/>
        </w:rPr>
      </w:pPr>
      <w:r w:rsidRPr="02AE0D89">
        <w:rPr>
          <w:rFonts w:eastAsia="Aptos" w:cs="Aptos"/>
          <w:szCs w:val="21"/>
        </w:rPr>
        <w:t xml:space="preserve"> For marketing purposes, policies can help sell products related to carbon disclosure and other regulatory risks to customers. According to Clausen et al. (2023), aspects of policy design that encourage innovation by businesses subject to environmental policy may not automatically improve firm performance. Policy can offer marketing advantages to businesses, but these advantages will not replace other customer demand or business advantages, such as lower prices.</w:t>
      </w:r>
    </w:p>
    <w:p w14:paraId="553D2297" w14:textId="77777777" w:rsidR="00E87ADF" w:rsidRDefault="00E87ADF" w:rsidP="00E87ADF">
      <w:pPr>
        <w:pStyle w:val="Heading2"/>
        <w:rPr>
          <w:rFonts w:ascii="Calibri" w:eastAsia="Calibri" w:hAnsi="Calibri" w:cs="Calibri"/>
          <w:szCs w:val="22"/>
        </w:rPr>
      </w:pPr>
      <w:bookmarkStart w:id="24" w:name="_Toc243564451"/>
      <w:bookmarkStart w:id="25" w:name="_Toc243564469"/>
      <w:bookmarkStart w:id="26" w:name="_Toc243564505"/>
      <w:bookmarkStart w:id="27" w:name="_Toc243564614"/>
      <w:r w:rsidRPr="02AE0D89">
        <w:rPr>
          <w:rFonts w:ascii="Calibri" w:eastAsia="Calibri" w:hAnsi="Calibri" w:cs="Calibri"/>
          <w:b/>
          <w:bCs/>
          <w:color w:val="0F3443"/>
          <w:sz w:val="22"/>
          <w:szCs w:val="22"/>
          <w:lang w:val="en-US"/>
        </w:rPr>
        <w:t>1.5 Critical Synthesis of Marketing Implications</w:t>
      </w:r>
      <w:bookmarkEnd w:id="24"/>
      <w:bookmarkEnd w:id="25"/>
      <w:bookmarkEnd w:id="26"/>
      <w:bookmarkEnd w:id="27"/>
    </w:p>
    <w:p w14:paraId="2564EDF3" w14:textId="77777777" w:rsidR="00E87ADF" w:rsidRDefault="00E87ADF" w:rsidP="00E87ADF">
      <w:pPr>
        <w:rPr>
          <w:rFonts w:eastAsia="Aptos" w:cs="Aptos"/>
          <w:szCs w:val="21"/>
          <w:lang w:val="en-GB"/>
        </w:rPr>
      </w:pPr>
      <w:r>
        <w:t xml:space="preserve">Taken together, the three external forces suggest conditional commercial opportunities for Circle Green products. Environmental external forces offer opportunities based on Circle Green's environmental and recycled-content claims. Other waste- and energy-related external forces create challenges for availability and pricing of Circle Green products (Outokumpu, 2026a). A company using Circle Green products has been identified as a specific customer, but this example does not establish wider demand (Grundfos, no date). EU carbon regulations might affect Circle Green's competitive position but do not assure additional sales (Bellora and </w:t>
      </w:r>
      <w:proofErr w:type="spellStart"/>
      <w:r>
        <w:t>Fontagné</w:t>
      </w:r>
      <w:proofErr w:type="spellEnd"/>
      <w:r>
        <w:t>, 2023). Review articles on European B2B markets report relationships between green marketing and competitive advantage but do not confirm Circle Green's profitability (</w:t>
      </w:r>
      <w:proofErr w:type="spellStart"/>
      <w:r>
        <w:t>Tzanidis</w:t>
      </w:r>
      <w:proofErr w:type="spellEnd"/>
      <w:r>
        <w:t xml:space="preserve"> et al., 2024). Task 2 evaluates growth using Ansoff’s Matrix.</w:t>
      </w:r>
    </w:p>
    <w:p w14:paraId="2C0936C1" w14:textId="77777777" w:rsidR="00E87ADF" w:rsidRDefault="00E87ADF" w:rsidP="00E87ADF">
      <w:pPr>
        <w:keepNext/>
        <w:keepLines/>
        <w:spacing w:before="100" w:after="80"/>
        <w:jc w:val="center"/>
      </w:pPr>
    </w:p>
    <w:p w14:paraId="78865BC8" w14:textId="77777777" w:rsidR="00E87ADF" w:rsidRDefault="00E87ADF" w:rsidP="00E87ADF">
      <w:pPr>
        <w:keepNext/>
        <w:keepLines/>
        <w:spacing w:before="100" w:after="80"/>
        <w:jc w:val="center"/>
      </w:pPr>
      <w:r>
        <w:rPr>
          <w:noProof/>
        </w:rPr>
        <w:drawing>
          <wp:inline distT="0" distB="0" distL="0" distR="0" wp14:anchorId="648E0F00" wp14:editId="38E2657E">
            <wp:extent cx="5532120" cy="3017520"/>
            <wp:effectExtent l="0" t="0" r="0" b="0"/>
            <wp:docPr id="3" name="Picture 3" descr="External marketing environment influences on Circle 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5"/>
                    <a:stretch>
                      <a:fillRect/>
                    </a:stretch>
                  </pic:blipFill>
                  <pic:spPr>
                    <a:xfrm>
                      <a:off x="0" y="0"/>
                      <a:ext cx="5532120" cy="3017520"/>
                    </a:xfrm>
                    <a:prstGeom prst="rect">
                      <a:avLst/>
                    </a:prstGeom>
                  </pic:spPr>
                </pic:pic>
              </a:graphicData>
            </a:graphic>
          </wp:inline>
        </w:drawing>
      </w:r>
    </w:p>
    <w:p w14:paraId="557C0768" w14:textId="77777777" w:rsidR="00E87ADF" w:rsidRDefault="00E87ADF" w:rsidP="00E87ADF">
      <w:pPr>
        <w:pStyle w:val="Caption"/>
        <w:keepLines/>
        <w:spacing w:before="40" w:after="160"/>
        <w:jc w:val="center"/>
      </w:pPr>
      <w:r>
        <w:rPr>
          <w:b w:val="0"/>
          <w:color w:val="4B545A"/>
          <w:sz w:val="16"/>
        </w:rPr>
        <w:t>Figure 1. External marketing-environment influences on Circle Green. Source: Author’s analysis, informed by Kotler, Armstrong and Balasubramanian (2024).</w:t>
      </w:r>
    </w:p>
    <w:p w14:paraId="12351573" w14:textId="77777777" w:rsidR="00E87ADF" w:rsidRDefault="00E87ADF" w:rsidP="00E87ADF">
      <w:pPr>
        <w:pStyle w:val="Heading1"/>
        <w:pageBreakBefore/>
      </w:pPr>
      <w:bookmarkStart w:id="28" w:name="_Toc243564452"/>
      <w:bookmarkStart w:id="29" w:name="_Toc243564470"/>
      <w:bookmarkStart w:id="30" w:name="_Toc243564506"/>
      <w:bookmarkStart w:id="31" w:name="_Toc243564615"/>
      <w:r>
        <w:lastRenderedPageBreak/>
        <w:t>2. Strategic Growth and Competitive Positioning</w:t>
      </w:r>
      <w:bookmarkEnd w:id="28"/>
      <w:bookmarkEnd w:id="29"/>
      <w:bookmarkEnd w:id="30"/>
      <w:bookmarkEnd w:id="31"/>
    </w:p>
    <w:p w14:paraId="19848923" w14:textId="77777777" w:rsidR="00E87ADF" w:rsidRDefault="00E87ADF" w:rsidP="00E87ADF">
      <w:pPr>
        <w:pStyle w:val="Heading2"/>
      </w:pPr>
      <w:bookmarkStart w:id="32" w:name="_Toc243564453"/>
      <w:bookmarkStart w:id="33" w:name="_Toc243564471"/>
      <w:bookmarkStart w:id="34" w:name="_Toc243564507"/>
      <w:bookmarkStart w:id="35" w:name="_Toc243564616"/>
      <w:r>
        <w:t>2.1 Ansoff Matrix: Evaluation of Growth Options</w:t>
      </w:r>
      <w:bookmarkEnd w:id="32"/>
      <w:bookmarkEnd w:id="33"/>
      <w:bookmarkEnd w:id="34"/>
      <w:bookmarkEnd w:id="35"/>
    </w:p>
    <w:p w14:paraId="0C8DCB93" w14:textId="77777777" w:rsidR="00E87ADF" w:rsidRDefault="00E87ADF" w:rsidP="00E87ADF">
      <w:pPr>
        <w:spacing w:before="240" w:after="240"/>
      </w:pPr>
      <w:r w:rsidRPr="0D886B8F">
        <w:rPr>
          <w:rFonts w:eastAsia="Aptos" w:cs="Aptos"/>
          <w:szCs w:val="21"/>
        </w:rPr>
        <w:t>Ansoff’s (1957) product–market matrix distinguishes growth through existing versus new products and markets. For Outokumpu, the baseline matters: Circle Green is already sold in multiple stainless-steel grades and used by established industrial customers, including Grundfos (Outokumpu, no date a; Grundfos, no date). Accordingly, introducing Circle Green to these buyers cannot be classified as product development.</w:t>
      </w:r>
    </w:p>
    <w:p w14:paraId="36C7814C" w14:textId="77777777" w:rsidR="00E87ADF" w:rsidRDefault="00E87ADF" w:rsidP="00E87ADF">
      <w:pPr>
        <w:keepNext/>
        <w:keepLines/>
        <w:spacing w:before="100" w:after="80"/>
        <w:jc w:val="center"/>
      </w:pPr>
    </w:p>
    <w:p w14:paraId="1EB8119C" w14:textId="77777777" w:rsidR="00E87ADF" w:rsidRDefault="00E87ADF" w:rsidP="00E87ADF">
      <w:pPr>
        <w:keepNext/>
        <w:keepLines/>
        <w:spacing w:before="100" w:after="80"/>
        <w:jc w:val="center"/>
      </w:pPr>
      <w:r>
        <w:rPr>
          <w:noProof/>
        </w:rPr>
        <w:drawing>
          <wp:inline distT="0" distB="0" distL="0" distR="0" wp14:anchorId="605C5B3A" wp14:editId="5224B2B6">
            <wp:extent cx="5532120" cy="3017520"/>
            <wp:effectExtent l="0" t="0" r="0" b="0"/>
            <wp:docPr id="4" name="Picture 4" descr="Ansoff product market matrix applied to Outokump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6"/>
                    <a:stretch>
                      <a:fillRect/>
                    </a:stretch>
                  </pic:blipFill>
                  <pic:spPr>
                    <a:xfrm>
                      <a:off x="0" y="0"/>
                      <a:ext cx="5532120" cy="3017520"/>
                    </a:xfrm>
                    <a:prstGeom prst="rect">
                      <a:avLst/>
                    </a:prstGeom>
                  </pic:spPr>
                </pic:pic>
              </a:graphicData>
            </a:graphic>
          </wp:inline>
        </w:drawing>
      </w:r>
    </w:p>
    <w:p w14:paraId="16884EB6" w14:textId="77777777" w:rsidR="00E87ADF" w:rsidRDefault="00E87ADF" w:rsidP="00E87ADF">
      <w:pPr>
        <w:pStyle w:val="Caption"/>
        <w:keepLines/>
        <w:spacing w:before="40" w:after="160"/>
        <w:jc w:val="center"/>
      </w:pPr>
      <w:r w:rsidRPr="0D886B8F">
        <w:rPr>
          <w:b w:val="0"/>
          <w:bCs w:val="0"/>
          <w:color w:val="4B545A"/>
          <w:sz w:val="16"/>
          <w:szCs w:val="16"/>
        </w:rPr>
        <w:t>Figure 2. Ansoff Product–Market Matrix applied to Outokumpu. Source: Adapted from Ansoff (1957), using Outokumpu (no date a).</w:t>
      </w:r>
    </w:p>
    <w:p w14:paraId="06406913" w14:textId="77777777" w:rsidR="00E87ADF" w:rsidRDefault="00E87ADF" w:rsidP="00E87ADF">
      <w:pPr>
        <w:spacing w:before="240" w:after="240"/>
      </w:pPr>
      <w:r w:rsidRPr="0D886B8F">
        <w:rPr>
          <w:rFonts w:eastAsia="Aptos" w:cs="Aptos"/>
          <w:szCs w:val="21"/>
        </w:rPr>
        <w:t>Market penetration uses established grades, specifications and client relationships, limiting commercial hesitancy. Market development could extend demand but needs evidence of genuinely unserved segments, buyer qualification requirements and viable channels. Product development requires an offering beyond Circle Green’s current grades, while diversification combines unfamiliar products and markets without a substantiated opportunity. Existing EVOLVE initiatives involving advanced alloys and chromium technologies must not be presented as new Circle Green proposals (Outokumpu, 2026b). Penetration is therefore the best-supported direction, although Ansoff cannot establish profitability.</w:t>
      </w:r>
    </w:p>
    <w:p w14:paraId="700B9FEB" w14:textId="77777777" w:rsidR="00E87ADF" w:rsidRDefault="00E87ADF" w:rsidP="00E87ADF">
      <w:pPr>
        <w:pStyle w:val="Heading2"/>
      </w:pPr>
      <w:bookmarkStart w:id="36" w:name="_Toc243564454"/>
      <w:bookmarkStart w:id="37" w:name="_Toc243564472"/>
      <w:bookmarkStart w:id="38" w:name="_Toc243564508"/>
      <w:bookmarkStart w:id="39" w:name="_Toc243564617"/>
      <w:r>
        <w:t>2.2 Recommended Growth Strategy and Justification</w:t>
      </w:r>
      <w:bookmarkEnd w:id="36"/>
      <w:bookmarkEnd w:id="37"/>
      <w:bookmarkEnd w:id="38"/>
      <w:bookmarkEnd w:id="39"/>
    </w:p>
    <w:p w14:paraId="0902E60C" w14:textId="77777777" w:rsidR="00E87ADF" w:rsidRDefault="00E87ADF" w:rsidP="00E87ADF">
      <w:pPr>
        <w:spacing w:before="240" w:after="240"/>
        <w:rPr>
          <w:rFonts w:eastAsia="Aptos" w:cs="Aptos"/>
          <w:szCs w:val="21"/>
        </w:rPr>
      </w:pPr>
      <w:r w:rsidRPr="0D886B8F">
        <w:rPr>
          <w:rFonts w:eastAsia="Aptos" w:cs="Aptos"/>
          <w:szCs w:val="21"/>
        </w:rPr>
        <w:t xml:space="preserve">The market-penetration strategy should be focused on making Circle Green more popular among industrial clients and distributing </w:t>
      </w:r>
      <w:proofErr w:type="spellStart"/>
      <w:r w:rsidRPr="0D886B8F">
        <w:rPr>
          <w:rFonts w:eastAsia="Aptos" w:cs="Aptos"/>
          <w:szCs w:val="21"/>
        </w:rPr>
        <w:t>parteners</w:t>
      </w:r>
      <w:proofErr w:type="spellEnd"/>
      <w:r w:rsidRPr="0D886B8F">
        <w:rPr>
          <w:rFonts w:eastAsia="Aptos" w:cs="Aptos"/>
          <w:szCs w:val="21"/>
        </w:rPr>
        <w:t xml:space="preserve"> served by Outokumpu, not on a new geography or product category. This recommendation follows Section 1: measurable emissions advantages create an offering, Grundfos illustrates buyer commitment, and EU carbon policy may reinforce interest without guaranteeing orders. It also complements Outokumpu’s EVOLVE strategy, which identifies sustainable stainless steel, cost competitiveness and customer value as priorities </w:t>
      </w:r>
      <w:r w:rsidRPr="0D886B8F">
        <w:rPr>
          <w:rFonts w:eastAsia="Aptos" w:cs="Aptos"/>
          <w:szCs w:val="21"/>
        </w:rPr>
        <w:lastRenderedPageBreak/>
        <w:t xml:space="preserve">(Outokumpu, no date c). The proposal is thus an extension of current commercial activity, not a claim that management has overlooked an entirely new market. </w:t>
      </w:r>
      <w:r>
        <w:br/>
      </w:r>
      <w:r>
        <w:br/>
      </w:r>
      <w:r w:rsidRPr="0D886B8F">
        <w:rPr>
          <w:rFonts w:eastAsia="Aptos" w:cs="Aptos"/>
          <w:szCs w:val="21"/>
        </w:rPr>
        <w:t xml:space="preserve">Implementation should target existing accounts purchasing compatible grades regularly and requiring emissions information. For a proposed 90-day pilot, marketing and sales would select accounts and communicate grade-matched value; technical specialists would check product equivalence, certificate boundaries and supply reliability. This follows Terho et al.’s (2012) value-based selling and Dahlquist’s (2021) industrial buyer–supplier analysis. Distributing </w:t>
      </w:r>
      <w:proofErr w:type="spellStart"/>
      <w:r w:rsidRPr="0D886B8F">
        <w:rPr>
          <w:rFonts w:eastAsia="Aptos" w:cs="Aptos"/>
          <w:szCs w:val="21"/>
        </w:rPr>
        <w:t>parteners</w:t>
      </w:r>
      <w:proofErr w:type="spellEnd"/>
      <w:r w:rsidRPr="0D886B8F">
        <w:rPr>
          <w:rFonts w:eastAsia="Aptos" w:cs="Aptos"/>
          <w:szCs w:val="21"/>
        </w:rPr>
        <w:t xml:space="preserve"> could participate if they can explain carbon data properly. Marketing performance should be evaluated through qualified offers, conversions and repeat orders, rather </w:t>
      </w:r>
      <w:proofErr w:type="spellStart"/>
      <w:r w:rsidRPr="0D886B8F">
        <w:rPr>
          <w:rFonts w:eastAsia="Aptos" w:cs="Aptos"/>
          <w:szCs w:val="21"/>
        </w:rPr>
        <w:t>thanconcludedfrom</w:t>
      </w:r>
      <w:proofErr w:type="spellEnd"/>
      <w:r w:rsidRPr="0D886B8F">
        <w:rPr>
          <w:rFonts w:eastAsia="Aptos" w:cs="Aptos"/>
          <w:szCs w:val="21"/>
        </w:rPr>
        <w:t xml:space="preserve"> partnership announcements. </w:t>
      </w:r>
      <w:r>
        <w:br/>
      </w:r>
      <w:r>
        <w:br/>
      </w:r>
      <w:r w:rsidRPr="0D886B8F">
        <w:rPr>
          <w:rFonts w:eastAsia="Aptos" w:cs="Aptos"/>
          <w:szCs w:val="21"/>
        </w:rPr>
        <w:t xml:space="preserve">Commercial evaluation must distinguish competitor switching, increased orders and substitution for Outokumpu’s conventional grades. The first two can increase sales volumes, while substitution may increase revenue through a premium or improve margins and retention; net effects must be demonstrated. Pilot expansion should require positive incremental contribution after production and servicing costs, repeat purchasing and acceptable delivery performance. Outokumpu’s July 2026 report notes European end-use demand improved only in some industrial segments (Outokumpu, 2026b). Management needs to expand or revise targeting or stop based on trial results; profitability and willingness to pay numbers are not confirmed for Circle Green. </w:t>
      </w:r>
      <w:r>
        <w:br/>
      </w:r>
    </w:p>
    <w:p w14:paraId="4F400E95" w14:textId="77777777" w:rsidR="00E87ADF" w:rsidRDefault="00E87ADF" w:rsidP="00E87ADF">
      <w:pPr>
        <w:pStyle w:val="Heading2"/>
        <w:spacing w:before="240" w:after="240"/>
      </w:pPr>
      <w:bookmarkStart w:id="40" w:name="_Toc243564455"/>
      <w:bookmarkStart w:id="41" w:name="_Toc243564473"/>
      <w:bookmarkStart w:id="42" w:name="_Toc243564509"/>
      <w:bookmarkStart w:id="43" w:name="_Toc243564618"/>
      <w:r>
        <w:t>2.3 Competitive Advantage and Strategic Risks</w:t>
      </w:r>
      <w:bookmarkEnd w:id="40"/>
      <w:bookmarkEnd w:id="41"/>
      <w:bookmarkEnd w:id="42"/>
      <w:bookmarkEnd w:id="43"/>
    </w:p>
    <w:p w14:paraId="677C5B1E" w14:textId="77777777" w:rsidR="00E87ADF" w:rsidRDefault="00E87ADF" w:rsidP="00E87ADF">
      <w:pPr>
        <w:spacing w:before="240" w:after="240"/>
      </w:pPr>
      <w:r w:rsidRPr="0D886B8F">
        <w:rPr>
          <w:rFonts w:eastAsia="Aptos" w:cs="Aptos"/>
          <w:szCs w:val="21"/>
        </w:rPr>
        <w:t xml:space="preserve">Porter’s (1985) differentiation strategy clarifies the competitive test: Circle Green’s lower embodied emissions create advantage only if targeted customers value that distinction sufficiently to sustain returns after the costs of producing, verifying and selling it. Outokumpu’s grade-specific carbon-footprint information and batch-level certificates can make its proposition more credible in business procurement (Outokumpu, no date b). However, verified measurement is an enabling capability, not evidence of a generally accepted price premium. </w:t>
      </w:r>
      <w:r>
        <w:br/>
      </w:r>
      <w:r>
        <w:br/>
      </w:r>
      <w:r w:rsidRPr="0D886B8F">
        <w:rPr>
          <w:rFonts w:eastAsia="Aptos" w:cs="Aptos"/>
          <w:szCs w:val="21"/>
        </w:rPr>
        <w:t xml:space="preserve">Rivalry tests how defensible that value is. Aperam markets infinite, a competing lower-carbon stainless-steel range (Aperam, no date). Since suppliers use different grades, benchmarks and boundaries, advertised reduction percentages cannot demonstrate general superiority. Outokumpu could instead differentiate through established technical relationships, grade qualification and integration of batch-specific certificates into account service. These are proposed sources of customer value, not proven outcomes; rivals can also improve documentation and service. </w:t>
      </w:r>
      <w:proofErr w:type="spellStart"/>
      <w:r w:rsidRPr="0D886B8F">
        <w:rPr>
          <w:rFonts w:eastAsia="Aptos" w:cs="Aptos"/>
          <w:szCs w:val="21"/>
        </w:rPr>
        <w:t>Tzanidis</w:t>
      </w:r>
      <w:proofErr w:type="spellEnd"/>
      <w:r w:rsidRPr="0D886B8F">
        <w:rPr>
          <w:rFonts w:eastAsia="Aptos" w:cs="Aptos"/>
          <w:szCs w:val="21"/>
        </w:rPr>
        <w:t xml:space="preserve"> et al (2024). associate European B2B green marketing with competitive benefits but cannot establish Outokumpu’s margins. </w:t>
      </w:r>
      <w:r>
        <w:br/>
      </w:r>
      <w:r>
        <w:br/>
      </w:r>
      <w:r w:rsidRPr="0D886B8F">
        <w:rPr>
          <w:rFonts w:eastAsia="Aptos" w:cs="Aptos"/>
          <w:szCs w:val="21"/>
        </w:rPr>
        <w:t xml:space="preserve">Technology tools can be used to provide this service. Other advantages of detailed product information include better traceability (Zhang and </w:t>
      </w:r>
      <w:proofErr w:type="spellStart"/>
      <w:r w:rsidRPr="0D886B8F">
        <w:rPr>
          <w:rFonts w:eastAsia="Aptos" w:cs="Aptos"/>
          <w:szCs w:val="21"/>
        </w:rPr>
        <w:t>Seuring</w:t>
      </w:r>
      <w:proofErr w:type="spellEnd"/>
      <w:r w:rsidRPr="0D886B8F">
        <w:rPr>
          <w:rFonts w:eastAsia="Aptos" w:cs="Aptos"/>
          <w:szCs w:val="21"/>
        </w:rPr>
        <w:t xml:space="preserve">, 2024). Information and certifications about grades can save customers time and other costs related to product certification and comparison. Barriers to providing this service to customers include data accuracy, updates, and other compatibility issues. Giving customers more information about your products may reduce barriers to comparison shopping and product differentiation. New regulations may increase demand for carbon information but not willingness to pay a premium for carbon information on </w:t>
      </w:r>
      <w:r w:rsidRPr="0D886B8F">
        <w:rPr>
          <w:rFonts w:eastAsia="Aptos" w:cs="Aptos"/>
          <w:szCs w:val="21"/>
        </w:rPr>
        <w:lastRenderedPageBreak/>
        <w:t xml:space="preserve">products. </w:t>
      </w:r>
      <w:r>
        <w:br/>
      </w:r>
      <w:r>
        <w:br/>
      </w:r>
      <w:r w:rsidRPr="0D886B8F">
        <w:rPr>
          <w:rFonts w:eastAsia="Aptos" w:cs="Aptos"/>
          <w:szCs w:val="21"/>
        </w:rPr>
        <w:t xml:space="preserve">The big risk of expanding operations </w:t>
      </w:r>
      <w:proofErr w:type="gramStart"/>
      <w:r w:rsidRPr="0D886B8F">
        <w:rPr>
          <w:rFonts w:eastAsia="Aptos" w:cs="Aptos"/>
          <w:szCs w:val="21"/>
        </w:rPr>
        <w:t>include</w:t>
      </w:r>
      <w:proofErr w:type="gramEnd"/>
      <w:r w:rsidRPr="0D886B8F">
        <w:rPr>
          <w:rFonts w:eastAsia="Aptos" w:cs="Aptos"/>
          <w:szCs w:val="21"/>
        </w:rPr>
        <w:t xml:space="preserve"> lesser customer demand, increased material and energy costs, and competition from current and new products. Market penetration limits unfamiliar-product and market risks, since already existing products and customer relationships can be used.</w:t>
      </w:r>
    </w:p>
    <w:p w14:paraId="28C08ACE" w14:textId="77777777" w:rsidR="00E87ADF" w:rsidRDefault="00E87ADF" w:rsidP="00E87ADF">
      <w:pPr>
        <w:pStyle w:val="Heading1"/>
      </w:pPr>
      <w:bookmarkStart w:id="44" w:name="_Toc243564456"/>
      <w:bookmarkStart w:id="45" w:name="_Toc243564474"/>
      <w:bookmarkStart w:id="46" w:name="_Toc243564510"/>
      <w:bookmarkStart w:id="47" w:name="_Toc243564619"/>
      <w:r>
        <w:t>3. Managerial and Professional Reflection</w:t>
      </w:r>
      <w:bookmarkEnd w:id="44"/>
      <w:bookmarkEnd w:id="45"/>
      <w:bookmarkEnd w:id="46"/>
      <w:bookmarkEnd w:id="47"/>
    </w:p>
    <w:p w14:paraId="7D99D2CE" w14:textId="77777777" w:rsidR="00E87ADF" w:rsidRDefault="00E87ADF" w:rsidP="00E87ADF">
      <w:pPr>
        <w:pStyle w:val="Heading2"/>
      </w:pPr>
      <w:bookmarkStart w:id="48" w:name="_Toc243564457"/>
      <w:bookmarkStart w:id="49" w:name="_Toc243564475"/>
      <w:bookmarkStart w:id="50" w:name="_Toc243564511"/>
      <w:bookmarkStart w:id="51" w:name="_Toc243564620"/>
      <w:r>
        <w:t>3.1 Rationale for Company and Actor Selection</w:t>
      </w:r>
      <w:bookmarkEnd w:id="48"/>
      <w:bookmarkEnd w:id="49"/>
      <w:bookmarkEnd w:id="50"/>
      <w:bookmarkEnd w:id="51"/>
    </w:p>
    <w:p w14:paraId="11391E1A" w14:textId="77777777" w:rsidR="00E87ADF" w:rsidRDefault="00E87ADF" w:rsidP="00E87ADF">
      <w:pPr>
        <w:spacing w:before="240"/>
        <w:rPr>
          <w:rFonts w:eastAsia="Aptos" w:cs="Aptos"/>
          <w:szCs w:val="21"/>
        </w:rPr>
      </w:pPr>
      <w:r w:rsidRPr="02AE0D89">
        <w:rPr>
          <w:rFonts w:eastAsia="Aptos" w:cs="Aptos"/>
          <w:szCs w:val="21"/>
        </w:rPr>
        <w:t>Approaching this analysis as advice to Outokumpu’s leadership, I selected the company because Circle Green provides an existing, commercially marketed lower-carbon material against which environmental positioning can be tested, rather than a hypothetical launch (Outokumpu, no date a). I deliberately moved beyond the more familiar companies suggested in the brief, but novelty alone would not justify the choice. The stronger reason was the combination of a measurable product-carbon proposition and identifiable customer engagement through Grundfos (Grundfos, no date).</w:t>
      </w:r>
    </w:p>
    <w:p w14:paraId="57448943" w14:textId="77777777" w:rsidR="00E87ADF" w:rsidRDefault="00E87ADF" w:rsidP="00E87ADF">
      <w:pPr>
        <w:spacing w:before="240" w:after="240"/>
      </w:pPr>
      <w:r w:rsidRPr="02AE0D89">
        <w:rPr>
          <w:rFonts w:eastAsia="Aptos" w:cs="Aptos"/>
          <w:szCs w:val="21"/>
        </w:rPr>
        <w:t xml:space="preserve">I </w:t>
      </w:r>
      <w:proofErr w:type="spellStart"/>
      <w:r w:rsidRPr="02AE0D89">
        <w:rPr>
          <w:rFonts w:eastAsia="Aptos" w:cs="Aptos"/>
          <w:szCs w:val="21"/>
        </w:rPr>
        <w:t>prioritised</w:t>
      </w:r>
      <w:proofErr w:type="spellEnd"/>
      <w:r w:rsidRPr="02AE0D89">
        <w:rPr>
          <w:rFonts w:eastAsia="Aptos" w:cs="Aptos"/>
          <w:szCs w:val="21"/>
        </w:rPr>
        <w:t xml:space="preserve"> the natural environment because climate pressures, scrap dependence and emissions information shape the product proposition. Customers were necessary to examine whether the proposition influences industrial buying; regulatory institutions were necessary to assess the competitive setting. These influences are complementary, but not identical kinds of marketing actors: customers operate in the microenvironment, whereas natural environmental and political–legal pressures are macroenvironmental forces (Kotler, Armstrong and Balasubramanian, 2024). Focusing on Circle Green improves depth but limits what can be concluded about Outokumpu’s wider business.</w:t>
      </w:r>
    </w:p>
    <w:p w14:paraId="7B52A38E" w14:textId="77777777" w:rsidR="00E87ADF" w:rsidRDefault="00E87ADF" w:rsidP="00E87ADF">
      <w:pPr>
        <w:pStyle w:val="Heading2"/>
      </w:pPr>
      <w:bookmarkStart w:id="52" w:name="_Toc243564458"/>
      <w:bookmarkStart w:id="53" w:name="_Toc243564476"/>
      <w:bookmarkStart w:id="54" w:name="_Toc243564512"/>
      <w:bookmarkStart w:id="55" w:name="_Toc243564621"/>
      <w:r>
        <w:t>3.2 Reflection on Strategic Decisions</w:t>
      </w:r>
      <w:bookmarkEnd w:id="52"/>
      <w:bookmarkEnd w:id="53"/>
      <w:bookmarkEnd w:id="54"/>
      <w:bookmarkEnd w:id="55"/>
    </w:p>
    <w:p w14:paraId="2C598515" w14:textId="77777777" w:rsidR="00E87ADF" w:rsidRDefault="00E87ADF" w:rsidP="00E87ADF">
      <w:pPr>
        <w:rPr>
          <w:rFonts w:eastAsia="Aptos" w:cs="Aptos"/>
          <w:szCs w:val="21"/>
        </w:rPr>
      </w:pPr>
      <w:r w:rsidRPr="02AE0D89">
        <w:rPr>
          <w:rFonts w:eastAsia="Aptos" w:cs="Aptos"/>
          <w:szCs w:val="21"/>
        </w:rPr>
        <w:t>My central strategic decision was to prefer market penetration over unfamiliar products or markets. Ansoff (1957) helped clarify the alternatives, but the recommendation depended on verifying that Circle Green and relationships such as Grundfos already exist. Treating their expansion as a new product launch would misclassify the opportunity. Initially, Circle Green’s reported footprint advantage appeared to offer a compelling differentiation case. However, the analysis showed that customer commitment does not establish an acceptable premium, and additional Circle Green purchases may replace conventional-grade sales rather than increase overall volume.</w:t>
      </w:r>
    </w:p>
    <w:p w14:paraId="01535245" w14:textId="77777777" w:rsidR="00E87ADF" w:rsidRDefault="00E87ADF" w:rsidP="00E87ADF">
      <w:pPr>
        <w:spacing w:before="240" w:after="240"/>
      </w:pPr>
      <w:r w:rsidRPr="02AE0D89">
        <w:rPr>
          <w:rFonts w:eastAsia="Aptos" w:cs="Aptos"/>
          <w:szCs w:val="21"/>
        </w:rPr>
        <w:t>Porter’s (1985) differentiation logic therefore changed the emphasis from environmental uniqueness to customer value after costs. I would recommend account-level trials measuring incremental contribution and repeat purchases before scaling. Inconsistent distributor explanations of carbon data could weaken confidence: Jain, Basu and Dwivedi (2024) associate brand governance and consistent communication with B2B channel-partner commitment, although their study does not establish Outokumpu’s channel effectiveness. I learned that verifying existing products and markets must precede selecting a growth strategy; I would apply that discipline in future consultancy work.</w:t>
      </w:r>
    </w:p>
    <w:p w14:paraId="7487DA29" w14:textId="77777777" w:rsidR="00E87ADF" w:rsidRDefault="00E87ADF" w:rsidP="00E87ADF">
      <w:pPr>
        <w:pStyle w:val="Heading2"/>
      </w:pPr>
      <w:bookmarkStart w:id="56" w:name="_Toc243564459"/>
      <w:bookmarkStart w:id="57" w:name="_Toc243564477"/>
      <w:bookmarkStart w:id="58" w:name="_Toc243564513"/>
      <w:bookmarkStart w:id="59" w:name="_Toc243564622"/>
      <w:r>
        <w:lastRenderedPageBreak/>
        <w:t>3.3 Analytical Limitations and Additional Evidence Needed</w:t>
      </w:r>
      <w:bookmarkEnd w:id="56"/>
      <w:bookmarkEnd w:id="57"/>
      <w:bookmarkEnd w:id="58"/>
      <w:bookmarkEnd w:id="59"/>
    </w:p>
    <w:p w14:paraId="1AC94079" w14:textId="77777777" w:rsidR="00E87ADF" w:rsidRDefault="00E87ADF" w:rsidP="00E87ADF">
      <w:pPr>
        <w:spacing w:before="240" w:after="240"/>
      </w:pPr>
      <w:r w:rsidRPr="0D886B8F">
        <w:rPr>
          <w:rFonts w:eastAsia="Aptos" w:cs="Aptos"/>
          <w:szCs w:val="21"/>
        </w:rPr>
        <w:t xml:space="preserve">Public sources examined do not disclose Circle Green-specific prices, contribution margins or incremental demand. I therefore cannot determine whether penetration would increase profitability or simply change the sales mix. Before seeking leadership approval, I would request grade-level production costs, account-level purchasing histories, </w:t>
      </w:r>
      <w:proofErr w:type="spellStart"/>
      <w:r w:rsidRPr="0D886B8F">
        <w:rPr>
          <w:rFonts w:eastAsia="Aptos" w:cs="Aptos"/>
          <w:szCs w:val="21"/>
        </w:rPr>
        <w:t>realised</w:t>
      </w:r>
      <w:proofErr w:type="spellEnd"/>
      <w:r w:rsidRPr="0D886B8F">
        <w:rPr>
          <w:rFonts w:eastAsia="Aptos" w:cs="Aptos"/>
          <w:szCs w:val="21"/>
        </w:rPr>
        <w:t xml:space="preserve"> premiums and interviews with customers who rejected or accepted the offering. </w:t>
      </w:r>
      <w:r>
        <w:br/>
      </w:r>
      <w:r>
        <w:br/>
      </w:r>
      <w:r w:rsidRPr="0D886B8F">
        <w:rPr>
          <w:rFonts w:eastAsia="Aptos" w:cs="Aptos"/>
          <w:szCs w:val="21"/>
        </w:rPr>
        <w:t xml:space="preserve">The literature reinforces why such evidence matters without filling the gap. Johansson and </w:t>
      </w:r>
      <w:proofErr w:type="spellStart"/>
      <w:r w:rsidRPr="0D886B8F">
        <w:rPr>
          <w:rFonts w:eastAsia="Aptos" w:cs="Aptos"/>
          <w:szCs w:val="21"/>
        </w:rPr>
        <w:t>Kriström</w:t>
      </w:r>
      <w:proofErr w:type="spellEnd"/>
      <w:r w:rsidRPr="0D886B8F">
        <w:rPr>
          <w:rFonts w:eastAsia="Aptos" w:cs="Aptos"/>
          <w:szCs w:val="21"/>
        </w:rPr>
        <w:t xml:space="preserve"> (2022) critically examine green-steel premiums, while </w:t>
      </w:r>
      <w:proofErr w:type="spellStart"/>
      <w:r w:rsidRPr="0D886B8F">
        <w:rPr>
          <w:rFonts w:eastAsia="Aptos" w:cs="Aptos"/>
          <w:szCs w:val="21"/>
        </w:rPr>
        <w:t>Bălașa</w:t>
      </w:r>
      <w:proofErr w:type="spellEnd"/>
      <w:r w:rsidRPr="0D886B8F">
        <w:rPr>
          <w:rFonts w:eastAsia="Aptos" w:cs="Aptos"/>
          <w:szCs w:val="21"/>
        </w:rPr>
        <w:t xml:space="preserve"> and Sandberg (2025) show how primary-steel transition economics vary with energy and production assumptions. Neither provides a valid Circle Green margin estimate. I would also verify Grundfos’s actual purchasing outcomes, not rely solely on its announced transition, and obtain comparable environmental data for Aperam’s competing offer. </w:t>
      </w:r>
      <w:r>
        <w:br/>
      </w:r>
      <w:r>
        <w:br/>
      </w:r>
      <w:r w:rsidRPr="0D886B8F">
        <w:rPr>
          <w:rFonts w:eastAsia="Aptos" w:cs="Aptos"/>
          <w:szCs w:val="21"/>
        </w:rPr>
        <w:t xml:space="preserve">Alkhatib, Kecskés and Keller (2023) examine digital green marketing, but their wider findings do not establish stainless-steel procurement effects. I would therefore test whether certificate-linked reporting changes purchasing decisions. If trials show weak margins, low goodwill to pay or significant </w:t>
      </w:r>
      <w:proofErr w:type="spellStart"/>
      <w:r w:rsidRPr="0D886B8F">
        <w:rPr>
          <w:rFonts w:eastAsia="Aptos" w:cs="Aptos"/>
          <w:szCs w:val="21"/>
        </w:rPr>
        <w:t>cannibalisation</w:t>
      </w:r>
      <w:proofErr w:type="spellEnd"/>
      <w:r w:rsidRPr="0D886B8F">
        <w:rPr>
          <w:rFonts w:eastAsia="Aptos" w:cs="Aptos"/>
          <w:szCs w:val="21"/>
        </w:rPr>
        <w:t xml:space="preserve">, I </w:t>
      </w:r>
      <w:proofErr w:type="gramStart"/>
      <w:r w:rsidRPr="0D886B8F">
        <w:rPr>
          <w:rFonts w:eastAsia="Aptos" w:cs="Aptos"/>
          <w:szCs w:val="21"/>
        </w:rPr>
        <w:t>would</w:t>
      </w:r>
      <w:proofErr w:type="gramEnd"/>
      <w:r w:rsidRPr="0D886B8F">
        <w:rPr>
          <w:rFonts w:eastAsia="Aptos" w:cs="Aptos"/>
          <w:szCs w:val="21"/>
        </w:rPr>
        <w:t xml:space="preserve"> revise penetration rather than defend it strongly.</w:t>
      </w:r>
    </w:p>
    <w:p w14:paraId="35BB1E46" w14:textId="77777777" w:rsidR="00E87ADF" w:rsidRDefault="00E87ADF" w:rsidP="00E87ADF">
      <w:pPr>
        <w:pStyle w:val="Heading1"/>
      </w:pPr>
      <w:bookmarkStart w:id="60" w:name="_Toc243564460"/>
      <w:bookmarkStart w:id="61" w:name="_Toc243564478"/>
      <w:bookmarkStart w:id="62" w:name="_Toc243564514"/>
      <w:bookmarkStart w:id="63" w:name="_Toc243564623"/>
      <w:r>
        <w:t>Conclusion</w:t>
      </w:r>
      <w:bookmarkEnd w:id="60"/>
      <w:bookmarkEnd w:id="61"/>
      <w:bookmarkEnd w:id="62"/>
      <w:bookmarkEnd w:id="63"/>
    </w:p>
    <w:p w14:paraId="668545BC" w14:textId="77777777" w:rsidR="00E87ADF" w:rsidRDefault="00E87ADF" w:rsidP="00E87ADF">
      <w:pPr>
        <w:keepLines/>
        <w:rPr>
          <w:rFonts w:eastAsia="Aptos" w:cs="Aptos"/>
          <w:szCs w:val="21"/>
        </w:rPr>
      </w:pPr>
      <w:r w:rsidRPr="02AE0D89">
        <w:rPr>
          <w:rFonts w:eastAsia="Aptos" w:cs="Aptos"/>
          <w:szCs w:val="21"/>
        </w:rPr>
        <w:t xml:space="preserve">Outokumpu’s Circle Green range offers a credible basis for </w:t>
      </w:r>
      <w:proofErr w:type="gramStart"/>
      <w:r w:rsidRPr="02AE0D89">
        <w:rPr>
          <w:rFonts w:eastAsia="Aptos" w:cs="Aptos"/>
          <w:szCs w:val="21"/>
        </w:rPr>
        <w:t>differentiation, but</w:t>
      </w:r>
      <w:proofErr w:type="gramEnd"/>
      <w:r w:rsidRPr="02AE0D89">
        <w:rPr>
          <w:rFonts w:eastAsia="Aptos" w:cs="Aptos"/>
          <w:szCs w:val="21"/>
        </w:rPr>
        <w:t xml:space="preserve"> verified carbon performance alone cannot guarantee commercially sustainable growth. Environmental pressures, documented customer interest and EU regulation support examining further adoption within existing industrial markets. Accordingly, market penetration is preferable to less substantiated product–market expansion at present. Marketing should translate reliable product-carbon information into buyer-specific value, while management tests </w:t>
      </w:r>
      <w:proofErr w:type="spellStart"/>
      <w:r w:rsidRPr="02AE0D89">
        <w:rPr>
          <w:rFonts w:eastAsia="Aptos" w:cs="Aptos"/>
          <w:szCs w:val="21"/>
        </w:rPr>
        <w:t>realised</w:t>
      </w:r>
      <w:proofErr w:type="spellEnd"/>
      <w:r w:rsidRPr="02AE0D89">
        <w:rPr>
          <w:rFonts w:eastAsia="Aptos" w:cs="Aptos"/>
          <w:szCs w:val="21"/>
        </w:rPr>
        <w:t xml:space="preserve"> premiums, account-level demand, incremental contribution and retention. The recommendation should be expanded only where those results demonstrate competitive value after costs.</w:t>
      </w:r>
    </w:p>
    <w:p w14:paraId="3921D6DF" w14:textId="77777777" w:rsidR="006C015F" w:rsidRDefault="006C015F" w:rsidP="00E87ADF">
      <w:pPr>
        <w:keepLines/>
        <w:rPr>
          <w:rFonts w:eastAsia="Aptos" w:cs="Aptos"/>
          <w:szCs w:val="21"/>
        </w:rPr>
      </w:pPr>
    </w:p>
    <w:p w14:paraId="5810C8F9" w14:textId="77777777" w:rsidR="006C015F" w:rsidRDefault="006C015F" w:rsidP="00E87ADF">
      <w:pPr>
        <w:keepLines/>
        <w:rPr>
          <w:rFonts w:eastAsia="Aptos" w:cs="Aptos"/>
          <w:szCs w:val="21"/>
        </w:rPr>
      </w:pPr>
    </w:p>
    <w:p w14:paraId="57280EDA" w14:textId="77777777" w:rsidR="006C015F" w:rsidRDefault="006C015F" w:rsidP="00E87ADF">
      <w:pPr>
        <w:keepLines/>
        <w:rPr>
          <w:rFonts w:eastAsia="Aptos" w:cs="Aptos"/>
          <w:szCs w:val="21"/>
        </w:rPr>
      </w:pPr>
    </w:p>
    <w:p w14:paraId="115264F4" w14:textId="77777777" w:rsidR="006C015F" w:rsidRDefault="006C015F" w:rsidP="00E87ADF">
      <w:pPr>
        <w:keepLines/>
        <w:rPr>
          <w:rFonts w:eastAsia="Aptos" w:cs="Aptos"/>
          <w:szCs w:val="21"/>
        </w:rPr>
      </w:pPr>
    </w:p>
    <w:p w14:paraId="512105A6" w14:textId="77777777" w:rsidR="006C015F" w:rsidRDefault="006C015F" w:rsidP="00E87ADF">
      <w:pPr>
        <w:keepLines/>
        <w:rPr>
          <w:rFonts w:eastAsia="Aptos" w:cs="Aptos"/>
          <w:szCs w:val="21"/>
        </w:rPr>
      </w:pPr>
    </w:p>
    <w:p w14:paraId="47EDF5AE" w14:textId="77777777" w:rsidR="006C015F" w:rsidRDefault="006C015F" w:rsidP="00E87ADF">
      <w:pPr>
        <w:keepLines/>
        <w:rPr>
          <w:rFonts w:eastAsia="Aptos" w:cs="Aptos"/>
          <w:szCs w:val="21"/>
        </w:rPr>
      </w:pPr>
    </w:p>
    <w:p w14:paraId="6900EEC1" w14:textId="77777777" w:rsidR="006C015F" w:rsidRDefault="006C015F" w:rsidP="00E87ADF">
      <w:pPr>
        <w:keepLines/>
        <w:rPr>
          <w:rFonts w:eastAsia="Aptos" w:cs="Aptos"/>
          <w:szCs w:val="21"/>
        </w:rPr>
      </w:pPr>
    </w:p>
    <w:p w14:paraId="4F300E2E" w14:textId="77777777" w:rsidR="006C015F" w:rsidRDefault="006C015F" w:rsidP="00E87ADF">
      <w:pPr>
        <w:keepLines/>
        <w:rPr>
          <w:rFonts w:eastAsia="Aptos" w:cs="Aptos"/>
          <w:szCs w:val="21"/>
        </w:rPr>
      </w:pPr>
    </w:p>
    <w:p w14:paraId="21D12320" w14:textId="77777777" w:rsidR="00E87ADF" w:rsidRDefault="00E87ADF" w:rsidP="00E87ADF">
      <w:pPr>
        <w:pStyle w:val="Heading1"/>
      </w:pPr>
      <w:bookmarkStart w:id="64" w:name="_Toc243564461"/>
      <w:bookmarkStart w:id="65" w:name="_Toc243564479"/>
      <w:bookmarkStart w:id="66" w:name="_Toc243564515"/>
      <w:bookmarkStart w:id="67" w:name="_Toc243564624"/>
      <w:r>
        <w:lastRenderedPageBreak/>
        <w:t>References</w:t>
      </w:r>
      <w:bookmarkEnd w:id="64"/>
      <w:bookmarkEnd w:id="65"/>
      <w:bookmarkEnd w:id="66"/>
      <w:bookmarkEnd w:id="67"/>
    </w:p>
    <w:p w14:paraId="6F3D56B1" w14:textId="77777777" w:rsidR="00E87ADF" w:rsidRDefault="00E87ADF" w:rsidP="00E87ADF">
      <w:pPr>
        <w:spacing w:after="80" w:line="264" w:lineRule="auto"/>
        <w:ind w:left="369" w:hanging="369"/>
      </w:pPr>
      <w:r>
        <w:t>Alkhatib, S., Kecskés, P. and Keller, V. (2023) ‘Green marketing in the digital age: A systematic literature review’, Sustainability, 15(16), article 12369. Available at: https://doi.org/10.3390/su151612369.</w:t>
      </w:r>
    </w:p>
    <w:p w14:paraId="1F33BCDD" w14:textId="77777777" w:rsidR="00E87ADF" w:rsidRDefault="00E87ADF" w:rsidP="00E87ADF">
      <w:pPr>
        <w:spacing w:after="80" w:line="264" w:lineRule="auto"/>
        <w:ind w:left="369" w:hanging="369"/>
      </w:pPr>
      <w:r>
        <w:t>Ansoff, H.I. (1957) ‘Strategies for diversification’, Harvard Business Review, 35(5), pp. 113–124.</w:t>
      </w:r>
    </w:p>
    <w:p w14:paraId="1EE127CE" w14:textId="77777777" w:rsidR="00E87ADF" w:rsidRDefault="00E87ADF" w:rsidP="00E87ADF">
      <w:pPr>
        <w:spacing w:after="80" w:line="264" w:lineRule="auto"/>
        <w:ind w:left="369" w:hanging="369"/>
      </w:pPr>
      <w:r>
        <w:t>Aperam (no date) Aperam infinite. Available at: https://www.aperam.com/sustainability/aperam-infinite/ (Accessed: 22 October 2026).</w:t>
      </w:r>
    </w:p>
    <w:p w14:paraId="3EC0C22F" w14:textId="77777777" w:rsidR="00E87ADF" w:rsidRDefault="00E87ADF" w:rsidP="00E87ADF">
      <w:pPr>
        <w:spacing w:after="80" w:line="264" w:lineRule="auto"/>
        <w:ind w:left="369" w:hanging="369"/>
      </w:pPr>
      <w:proofErr w:type="spellStart"/>
      <w:r>
        <w:t>Bălașa</w:t>
      </w:r>
      <w:proofErr w:type="spellEnd"/>
      <w:r>
        <w:t>, M. and Sandberg, R. (2025) ‘Pricing the green transition: An investment appraisal of Romanian low-carbon steel’, Journal of Industrial Ecology, 29(4), pp. 1322–1334. Available at: https://doi.org/10.1111/jiec.70054.</w:t>
      </w:r>
    </w:p>
    <w:p w14:paraId="03E64F55" w14:textId="77777777" w:rsidR="00E87ADF" w:rsidRDefault="00E87ADF" w:rsidP="00E87ADF">
      <w:pPr>
        <w:spacing w:after="80" w:line="264" w:lineRule="auto"/>
        <w:ind w:left="369" w:hanging="369"/>
      </w:pPr>
      <w:r>
        <w:t xml:space="preserve">Bellora, C. and </w:t>
      </w:r>
      <w:proofErr w:type="spellStart"/>
      <w:r>
        <w:t>Fontagné</w:t>
      </w:r>
      <w:proofErr w:type="spellEnd"/>
      <w:r>
        <w:t>, L. (2023) ‘EU in search of a Carbon Border Adjustment Mechanism’, Energy Economics, 123, article 106673. Available at: https://doi.org/10.1016/j.eneco.2023.106673.</w:t>
      </w:r>
    </w:p>
    <w:p w14:paraId="357E2395" w14:textId="77777777" w:rsidR="00E87ADF" w:rsidRDefault="00E87ADF" w:rsidP="00E87ADF">
      <w:pPr>
        <w:spacing w:after="80" w:line="264" w:lineRule="auto"/>
        <w:ind w:left="369" w:hanging="369"/>
      </w:pPr>
      <w:r>
        <w:t xml:space="preserve">Brown, D.M., Apostolidis, C., Dey, B.L., Singh, P., </w:t>
      </w:r>
      <w:proofErr w:type="spellStart"/>
      <w:r>
        <w:t>Thrassou</w:t>
      </w:r>
      <w:proofErr w:type="spellEnd"/>
      <w:r>
        <w:t xml:space="preserve">, A., </w:t>
      </w:r>
      <w:proofErr w:type="spellStart"/>
      <w:r>
        <w:t>Kretsos</w:t>
      </w:r>
      <w:proofErr w:type="spellEnd"/>
      <w:r>
        <w:t xml:space="preserve">, L. and Babu, M.M. (2024) ‘Sustainability starts from within: A critical analysis of internal marketing in supporting sustainable value co-creation in B2B </w:t>
      </w:r>
      <w:proofErr w:type="spellStart"/>
      <w:r>
        <w:t>organisations</w:t>
      </w:r>
      <w:proofErr w:type="spellEnd"/>
      <w:r>
        <w:t>’, Industrial Marketing Management, 117, pp. 14–27. Available at: https://doi.org/10.1016/j.indmarman.2023.12.006.</w:t>
      </w:r>
    </w:p>
    <w:p w14:paraId="4327CB58" w14:textId="77777777" w:rsidR="00E87ADF" w:rsidRDefault="00E87ADF" w:rsidP="00E87ADF">
      <w:pPr>
        <w:spacing w:after="80" w:line="264" w:lineRule="auto"/>
        <w:ind w:left="369" w:hanging="369"/>
      </w:pPr>
      <w:r>
        <w:t xml:space="preserve">Clausen, L.P.W., Nielsen, M.B., </w:t>
      </w:r>
      <w:proofErr w:type="spellStart"/>
      <w:r>
        <w:t>Oturai</w:t>
      </w:r>
      <w:proofErr w:type="spellEnd"/>
      <w:r>
        <w:t>, N.B., Syberg, K. and Hansen, S.F. (2023) ‘How environmental regulation can drive innovation: Lessons learned from a systematic review’, Environmental Policy and Governance, 33(4), pp. 364–373. Available at: https://doi.org/10.1002/eet.2035.</w:t>
      </w:r>
    </w:p>
    <w:p w14:paraId="68B0BBFE" w14:textId="77777777" w:rsidR="00E87ADF" w:rsidRDefault="00E87ADF" w:rsidP="00E87ADF">
      <w:pPr>
        <w:spacing w:after="80" w:line="264" w:lineRule="auto"/>
        <w:ind w:left="369" w:hanging="369"/>
      </w:pPr>
      <w:r>
        <w:t>Dahlquist, S.H. (2021) ‘How green product demands influence industrial buyer/seller relationships, knowledge, and marketing dynamic capabilities’, Journal of Business Research, 136, pp. 402–413. Available at: https://doi.org/10.1016/j.jbusres.2021.07.045.</w:t>
      </w:r>
    </w:p>
    <w:p w14:paraId="5F28F4FC" w14:textId="77777777" w:rsidR="00E87ADF" w:rsidRDefault="00E87ADF" w:rsidP="00E87ADF">
      <w:pPr>
        <w:spacing w:after="80" w:line="264" w:lineRule="auto"/>
        <w:ind w:left="369" w:hanging="369"/>
      </w:pPr>
      <w:r>
        <w:t>European Commission (2024) Scope of the EU ETS. Available at: https://climate.ec.europa.eu/areas-action/carbon-markets/scope-eu-ets_en (Accessed: 22 October 2026).</w:t>
      </w:r>
    </w:p>
    <w:p w14:paraId="414B4F19" w14:textId="77777777" w:rsidR="00E87ADF" w:rsidRDefault="00E87ADF" w:rsidP="00E87ADF">
      <w:pPr>
        <w:spacing w:after="80" w:line="264" w:lineRule="auto"/>
        <w:ind w:left="369" w:hanging="369"/>
      </w:pPr>
      <w:r>
        <w:t>European Commission (2026) Guidance document 3: CBAM methods for the calculation of emissions embedded in goods. 14 August. Available at: https://taxation-customs.ec.europa.eu/document/download/29b9eec7-1a4b-4eb6-ab85-96a0c9e35fd0_en?filename=Guidance+No.+3+-+CBAM+methods+for+the+calculation+of+emissions+embedded+in+goods.pdf (Accessed: 22 October 2026).</w:t>
      </w:r>
    </w:p>
    <w:p w14:paraId="01264CF9" w14:textId="77777777" w:rsidR="00E87ADF" w:rsidRDefault="00E87ADF" w:rsidP="00E87ADF">
      <w:pPr>
        <w:spacing w:after="80" w:line="264" w:lineRule="auto"/>
        <w:ind w:left="369" w:hanging="369"/>
      </w:pPr>
      <w:r>
        <w:t>European Commission (no date) CBAM definitive regime. Available at: https://taxation-customs.ec.europa.eu/carbon-border-adjustment-mechanism/cbam-definitive-regime_en (Accessed: 22 October 2026).</w:t>
      </w:r>
    </w:p>
    <w:p w14:paraId="3563AC99" w14:textId="77777777" w:rsidR="00E87ADF" w:rsidRDefault="00E87ADF" w:rsidP="00E87ADF">
      <w:pPr>
        <w:spacing w:after="80" w:line="264" w:lineRule="auto"/>
        <w:ind w:left="369" w:hanging="369"/>
      </w:pPr>
      <w:r>
        <w:t>Fan, Z. and Friedmann, S.J. (2021) ‘Low-carbon production of iron and steel: Technology options, economic assessment, and policy’, Joule, 5(4), pp. 829–862. Available at: https://doi.org/10.1016/j.joule.2021.02.018.</w:t>
      </w:r>
    </w:p>
    <w:p w14:paraId="4BE12FA4" w14:textId="77777777" w:rsidR="00E87ADF" w:rsidRDefault="00E87ADF" w:rsidP="00E87ADF">
      <w:pPr>
        <w:spacing w:after="80" w:line="264" w:lineRule="auto"/>
        <w:ind w:left="369" w:hanging="369"/>
      </w:pPr>
      <w:r>
        <w:t xml:space="preserve">García Gutiérrez, I., Pina, C., </w:t>
      </w:r>
      <w:proofErr w:type="spellStart"/>
      <w:r>
        <w:t>Tobajas</w:t>
      </w:r>
      <w:proofErr w:type="spellEnd"/>
      <w:r>
        <w:t xml:space="preserve">, R. and </w:t>
      </w:r>
      <w:proofErr w:type="spellStart"/>
      <w:r>
        <w:t>Elduque</w:t>
      </w:r>
      <w:proofErr w:type="spellEnd"/>
      <w:r>
        <w:t>, D. (2024) ‘Incorporating composition into life cycle assessment of steel grades’, Journal of Cleaner Production, 472, article 143538. Available at: https://doi.org/10.1016/j.jclepro.2024.143538.</w:t>
      </w:r>
    </w:p>
    <w:p w14:paraId="18ED8584" w14:textId="77777777" w:rsidR="00E87ADF" w:rsidRDefault="00E87ADF" w:rsidP="00E87ADF">
      <w:pPr>
        <w:spacing w:after="80" w:line="264" w:lineRule="auto"/>
        <w:ind w:left="369" w:hanging="369"/>
      </w:pPr>
      <w:r>
        <w:t xml:space="preserve">Grundfos (no date) Grundfos </w:t>
      </w:r>
      <w:proofErr w:type="spellStart"/>
      <w:r>
        <w:t>decarbonises</w:t>
      </w:r>
      <w:proofErr w:type="spellEnd"/>
      <w:r>
        <w:t xml:space="preserve"> supply chain and solutions with Finnish ‘green steel’. Available at: https://www.grundfos.com/us/about-us/media/latest-news/grundfos-decarbonises-supply-chain-and-solutions-with-finnish--g (Accessed: 22 October 2026).</w:t>
      </w:r>
    </w:p>
    <w:p w14:paraId="6B27D1BF" w14:textId="77777777" w:rsidR="00E87ADF" w:rsidRDefault="00E87ADF" w:rsidP="00E87ADF">
      <w:pPr>
        <w:spacing w:after="80" w:line="264" w:lineRule="auto"/>
        <w:ind w:left="369" w:hanging="369"/>
      </w:pPr>
      <w:r>
        <w:lastRenderedPageBreak/>
        <w:t>Jain, S., Basu, S. and Dwivedi, Y.K. (2024) ‘Green brand identity and B2B channel partners’ tactical green marketing orientation: Moderating effect of brand governance’, Industrial Marketing Management, 119, pp. 218–237. Available at: https://doi.org/10.1016/j.indmarman.2024.04.013.</w:t>
      </w:r>
    </w:p>
    <w:p w14:paraId="71A68073" w14:textId="77777777" w:rsidR="00E87ADF" w:rsidRDefault="00E87ADF" w:rsidP="00E87ADF">
      <w:pPr>
        <w:spacing w:after="80" w:line="264" w:lineRule="auto"/>
        <w:ind w:left="369" w:hanging="369"/>
      </w:pPr>
      <w:r>
        <w:t xml:space="preserve">Johansson, P.-O. and </w:t>
      </w:r>
      <w:proofErr w:type="spellStart"/>
      <w:r>
        <w:t>Kriström</w:t>
      </w:r>
      <w:proofErr w:type="spellEnd"/>
      <w:r>
        <w:t>, B. (2022) ‘Paying a premium for “green steel”: Paying for an illusion?’, Journal of Benefit-Cost Analysis, 13(3), pp. 383–393. Available at: https://doi.org/10.1017/bca.2022.20.</w:t>
      </w:r>
    </w:p>
    <w:p w14:paraId="1B9AA38E" w14:textId="77777777" w:rsidR="00E87ADF" w:rsidRDefault="00E87ADF" w:rsidP="00E87ADF">
      <w:pPr>
        <w:spacing w:after="80" w:line="264" w:lineRule="auto"/>
        <w:ind w:left="369" w:hanging="369"/>
      </w:pPr>
      <w:r>
        <w:t xml:space="preserve">Kotler, P., Armstrong, G. and Balasubramanian, S. (2024) Principles of marketing. 19th </w:t>
      </w:r>
      <w:proofErr w:type="spellStart"/>
      <w:r>
        <w:t>edn</w:t>
      </w:r>
      <w:proofErr w:type="spellEnd"/>
      <w:r>
        <w:t>. Pearson.</w:t>
      </w:r>
    </w:p>
    <w:p w14:paraId="16814818" w14:textId="77777777" w:rsidR="00E87ADF" w:rsidRDefault="00E87ADF" w:rsidP="00E87ADF">
      <w:pPr>
        <w:spacing w:after="80" w:line="264" w:lineRule="auto"/>
        <w:ind w:left="369" w:hanging="369"/>
      </w:pPr>
      <w:r>
        <w:t>Montgomery, A.W., Lyon, T.P. and Barg, J. (2024) ‘No end in sight? A greenwash review and research agenda’, Organization &amp; Environment, 37(2), pp. 221–256. Available at: https://doi.org/10.1177/10860266231168905.</w:t>
      </w:r>
    </w:p>
    <w:p w14:paraId="78B77B76" w14:textId="77777777" w:rsidR="00E87ADF" w:rsidRDefault="00E87ADF" w:rsidP="00E87ADF">
      <w:pPr>
        <w:spacing w:after="80" w:line="264" w:lineRule="auto"/>
        <w:ind w:left="369" w:hanging="369"/>
      </w:pPr>
      <w:proofErr w:type="spellStart"/>
      <w:r>
        <w:t>Muslemani</w:t>
      </w:r>
      <w:proofErr w:type="spellEnd"/>
      <w:r>
        <w:t xml:space="preserve">, H., Liang, X., </w:t>
      </w:r>
      <w:proofErr w:type="spellStart"/>
      <w:r>
        <w:t>Kaesehage</w:t>
      </w:r>
      <w:proofErr w:type="spellEnd"/>
      <w:r>
        <w:t xml:space="preserve">, K., </w:t>
      </w:r>
      <w:proofErr w:type="spellStart"/>
      <w:r>
        <w:t>Ascui</w:t>
      </w:r>
      <w:proofErr w:type="spellEnd"/>
      <w:r>
        <w:t>, F. and Wilson, J. (2021) ‘Opportunities and challenges for decarbonizing steel production by creating markets for “green steel” products’, Journal of Cleaner Production, 315, article 128127. Available at: https://doi.org/10.1016/j.jclepro.2021.128127.</w:t>
      </w:r>
    </w:p>
    <w:p w14:paraId="3208474B" w14:textId="77777777" w:rsidR="00E87ADF" w:rsidRDefault="00E87ADF" w:rsidP="00E87ADF">
      <w:pPr>
        <w:spacing w:after="80" w:line="264" w:lineRule="auto"/>
        <w:ind w:left="369" w:hanging="369"/>
      </w:pPr>
      <w:r>
        <w:t>Outokumpu (2025) Outokumpu Circle Green [product brochure]. Available at: https://www.outokumpu.com/-/media/files/products/circle-green/circlegreen_brochure_2025.pdf?hash=6687C3D6931727F91D1E9FD9410CF7AF&amp;modified=20250819065228&amp;revision=f5903465-70b5-470b-8023-1a8301224b45 (Accessed: 22 October 2026).</w:t>
      </w:r>
    </w:p>
    <w:p w14:paraId="02A3D19B" w14:textId="77777777" w:rsidR="00E87ADF" w:rsidRDefault="00E87ADF" w:rsidP="00E87ADF">
      <w:pPr>
        <w:spacing w:after="80" w:line="264" w:lineRule="auto"/>
        <w:ind w:left="369" w:hanging="369"/>
      </w:pPr>
      <w:r>
        <w:t>Outokumpu (2026a) Annual Report 2025. Available at: https://www.outokumpu.com/en/news/annual-report (Accessed: 22 October 2026).</w:t>
      </w:r>
    </w:p>
    <w:p w14:paraId="61ACD41D" w14:textId="77777777" w:rsidR="00E87ADF" w:rsidRDefault="00E87ADF" w:rsidP="00E87ADF">
      <w:pPr>
        <w:spacing w:after="80" w:line="264" w:lineRule="auto"/>
        <w:ind w:left="369" w:hanging="369"/>
      </w:pPr>
      <w:r>
        <w:t>Outokumpu (2026b) Outokumpu half-year report January–June 2026—Improved profitability while progressing on EVOLVE growth strategy, 30 July. Available at: https://www.outokumpu.com/en/news/2026/outokumpu-halfyear-report-january%E2%80%93june-2026-%E2%80%93-improved-profitability-while-progressing-on-evolve-growth-strategy-3775696 (Accessed: 22 October 2026).</w:t>
      </w:r>
    </w:p>
    <w:p w14:paraId="3E524E34" w14:textId="77777777" w:rsidR="00E87ADF" w:rsidRDefault="00E87ADF" w:rsidP="00E87ADF">
      <w:pPr>
        <w:spacing w:after="80" w:line="264" w:lineRule="auto"/>
        <w:ind w:left="369" w:hanging="369"/>
      </w:pPr>
      <w:r>
        <w:t>Outokumpu (no date a) Circle Green. Available at: https://www.outokumpu.com/en/products/circle-green (Accessed: 22 October 2026).</w:t>
      </w:r>
    </w:p>
    <w:p w14:paraId="768F006C" w14:textId="77777777" w:rsidR="00E87ADF" w:rsidRDefault="00E87ADF" w:rsidP="00E87ADF">
      <w:pPr>
        <w:spacing w:after="80" w:line="264" w:lineRule="auto"/>
        <w:ind w:left="369" w:hanging="369"/>
      </w:pPr>
      <w:r>
        <w:t>Outokumpu (no date b) Product carbon footprint. Available at: https://www.outokumpu.com/en/sustainability/sustainable-solutions/product-carbon-footprint (Accessed: 22 October 2026).</w:t>
      </w:r>
    </w:p>
    <w:p w14:paraId="67101FC6" w14:textId="77777777" w:rsidR="00E87ADF" w:rsidRDefault="00E87ADF" w:rsidP="00E87ADF">
      <w:pPr>
        <w:spacing w:after="80" w:line="264" w:lineRule="auto"/>
        <w:ind w:left="369" w:hanging="369"/>
      </w:pPr>
      <w:r>
        <w:t>Outokumpu (no date c) Strategy and vision. Available at: https://www.outokumpu.com/en/about/strategy-and-vision (Accessed: 22 October 2026).</w:t>
      </w:r>
    </w:p>
    <w:p w14:paraId="709FE863" w14:textId="77777777" w:rsidR="00E87ADF" w:rsidRDefault="00E87ADF" w:rsidP="00E87ADF">
      <w:pPr>
        <w:spacing w:after="80" w:line="264" w:lineRule="auto"/>
        <w:ind w:left="369" w:hanging="369"/>
      </w:pPr>
      <w:r>
        <w:t>Porter, M.E. (1985) Competitive advantage: Creating and sustaining superior performance. New York: Free Press.</w:t>
      </w:r>
    </w:p>
    <w:p w14:paraId="41A308AA" w14:textId="77777777" w:rsidR="00E87ADF" w:rsidRDefault="00E87ADF" w:rsidP="00E87ADF">
      <w:pPr>
        <w:spacing w:after="80" w:line="264" w:lineRule="auto"/>
        <w:ind w:left="369" w:hanging="369"/>
      </w:pPr>
      <w:r>
        <w:t>Terho, H., Haas, A., Eggert, A. and Ulaga, W. (2012) ‘“It’s almost like taking the sales out of selling”—Towards a conceptualization of value-based selling in business markets’, Industrial Marketing Management, 41(1), pp. 174–185. Available at: https://doi.org/10.1016/j.indmarman.2011.11.011.</w:t>
      </w:r>
    </w:p>
    <w:p w14:paraId="26902E69" w14:textId="77777777" w:rsidR="00E87ADF" w:rsidRDefault="00E87ADF" w:rsidP="00E87ADF">
      <w:pPr>
        <w:spacing w:after="80" w:line="264" w:lineRule="auto"/>
        <w:ind w:left="369" w:hanging="369"/>
      </w:pPr>
      <w:r>
        <w:t xml:space="preserve">Tzanidis, T., Magni, D., </w:t>
      </w:r>
      <w:proofErr w:type="spellStart"/>
      <w:r>
        <w:t>Scuotto</w:t>
      </w:r>
      <w:proofErr w:type="spellEnd"/>
      <w:r>
        <w:t xml:space="preserve">, V. and </w:t>
      </w:r>
      <w:proofErr w:type="spellStart"/>
      <w:r>
        <w:t>Maalaoui</w:t>
      </w:r>
      <w:proofErr w:type="spellEnd"/>
      <w:r>
        <w:t>, A. (2024) ‘B2B green marketing strategies for European firms: Implications for people, planet and profit’, Industrial Marketing Management, 117, pp. 481–492. Available at: https://doi.org/10.1016/j.indmarman.2024.01.018.</w:t>
      </w:r>
    </w:p>
    <w:p w14:paraId="04514505" w14:textId="77777777" w:rsidR="00E87ADF" w:rsidRDefault="00E87ADF" w:rsidP="00E87ADF">
      <w:pPr>
        <w:spacing w:after="80" w:line="264" w:lineRule="auto"/>
        <w:ind w:left="369" w:hanging="369"/>
      </w:pPr>
      <w:r>
        <w:t xml:space="preserve">Zhang, A. and </w:t>
      </w:r>
      <w:proofErr w:type="spellStart"/>
      <w:r>
        <w:t>Seuring</w:t>
      </w:r>
      <w:proofErr w:type="spellEnd"/>
      <w:r>
        <w:t xml:space="preserve">, S. (2024) ‘Digital product passport for sustainable and circular supply chain management: A structured review of use cases’, International Journal of Logistics Research </w:t>
      </w:r>
      <w:r>
        <w:lastRenderedPageBreak/>
        <w:t>and Applications, 27(12), pp. 2513–2540. Available at: https://doi.org/10.1080/13675567.2024.2374256.</w:t>
      </w:r>
    </w:p>
    <w:p w14:paraId="3CD1803F" w14:textId="77777777" w:rsidR="00E87ADF" w:rsidRDefault="00E87ADF" w:rsidP="00E87ADF">
      <w:pPr>
        <w:pStyle w:val="Heading1"/>
      </w:pPr>
      <w:bookmarkStart w:id="68" w:name="_Toc243564462"/>
      <w:bookmarkStart w:id="69" w:name="_Toc243564480"/>
      <w:bookmarkStart w:id="70" w:name="_Toc243564516"/>
      <w:bookmarkStart w:id="71" w:name="_Toc243564625"/>
      <w:r>
        <w:t>AI-use acknowledgement</w:t>
      </w:r>
      <w:bookmarkEnd w:id="68"/>
      <w:bookmarkEnd w:id="69"/>
      <w:bookmarkEnd w:id="70"/>
      <w:bookmarkEnd w:id="71"/>
    </w:p>
    <w:p w14:paraId="4C31C9E7" w14:textId="606033C1" w:rsidR="00E87ADF" w:rsidRDefault="00E87ADF" w:rsidP="00E87ADF">
      <w:proofErr w:type="spellStart"/>
      <w:r>
        <w:t>Chatgpt</w:t>
      </w:r>
      <w:proofErr w:type="spellEnd"/>
      <w:r>
        <w:t xml:space="preserve"> </w:t>
      </w:r>
      <w:r>
        <w:t xml:space="preserve">was used to </w:t>
      </w:r>
      <w:r>
        <w:t xml:space="preserve">brainstorm idea and finding company details. </w:t>
      </w:r>
    </w:p>
    <w:p w14:paraId="545AA6D9" w14:textId="77777777" w:rsidR="00B54849" w:rsidRDefault="00B54849"/>
    <w:sectPr w:rsidR="00B54849" w:rsidSect="00E87ADF">
      <w:footerReference w:type="default" r:id="rId7"/>
      <w:pgSz w:w="11906" w:h="16838"/>
      <w:pgMar w:top="1304" w:right="1474" w:bottom="1276" w:left="147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4E8C682" w14:textId="77777777" w:rsidR="00E87ADF" w:rsidRDefault="00E87ADF">
    <w:pPr>
      <w:pStyle w:val="Footer"/>
      <w:jc w:val="right"/>
    </w:pPr>
    <w:r>
      <w:t>LCMB</w:t>
    </w:r>
    <w:proofErr w:type="gramStart"/>
    <w:r>
      <w:t>7024  |</w:t>
    </w:r>
    <w:proofErr w:type="gramEnd"/>
    <w:r>
      <w:t xml:space="preserve">  </w:t>
    </w:r>
    <w:r>
      <w:fldChar w:fldCharType="begin"/>
    </w:r>
    <w:r>
      <w:instrText>PAGE</w:instrText>
    </w:r>
    <w:r>
      <w:fldChar w:fldCharType="separate"/>
    </w:r>
    <w:r>
      <w:rPr>
        <w:noProof/>
      </w:rPr>
      <w:t>1</w:t>
    </w:r>
    <w:r>
      <w:fldChar w:fldCharType="end"/>
    </w:r>
  </w:p>
</w:ft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ADF"/>
    <w:rsid w:val="00013D0C"/>
    <w:rsid w:val="00027365"/>
    <w:rsid w:val="00073635"/>
    <w:rsid w:val="00076A89"/>
    <w:rsid w:val="000C120B"/>
    <w:rsid w:val="000C30E3"/>
    <w:rsid w:val="000C6E25"/>
    <w:rsid w:val="000D1845"/>
    <w:rsid w:val="000D7957"/>
    <w:rsid w:val="00115241"/>
    <w:rsid w:val="00155A07"/>
    <w:rsid w:val="001911B4"/>
    <w:rsid w:val="00191272"/>
    <w:rsid w:val="001E7900"/>
    <w:rsid w:val="001F270D"/>
    <w:rsid w:val="001F63BE"/>
    <w:rsid w:val="00214665"/>
    <w:rsid w:val="002320F9"/>
    <w:rsid w:val="00237AB9"/>
    <w:rsid w:val="00245AB6"/>
    <w:rsid w:val="002578B6"/>
    <w:rsid w:val="00280F2C"/>
    <w:rsid w:val="00292087"/>
    <w:rsid w:val="00297D79"/>
    <w:rsid w:val="002B289B"/>
    <w:rsid w:val="002E043B"/>
    <w:rsid w:val="0030332F"/>
    <w:rsid w:val="00313AC2"/>
    <w:rsid w:val="00322C34"/>
    <w:rsid w:val="003343B2"/>
    <w:rsid w:val="0035744C"/>
    <w:rsid w:val="00366D58"/>
    <w:rsid w:val="00376C02"/>
    <w:rsid w:val="0039601D"/>
    <w:rsid w:val="003A5528"/>
    <w:rsid w:val="003F7894"/>
    <w:rsid w:val="0041703E"/>
    <w:rsid w:val="00417BBF"/>
    <w:rsid w:val="004302FC"/>
    <w:rsid w:val="0043626D"/>
    <w:rsid w:val="00440900"/>
    <w:rsid w:val="00446E4D"/>
    <w:rsid w:val="00460F41"/>
    <w:rsid w:val="0046496F"/>
    <w:rsid w:val="0046696D"/>
    <w:rsid w:val="004762D1"/>
    <w:rsid w:val="004947E2"/>
    <w:rsid w:val="00497B55"/>
    <w:rsid w:val="004E4EC3"/>
    <w:rsid w:val="00505BE6"/>
    <w:rsid w:val="00522D89"/>
    <w:rsid w:val="00540631"/>
    <w:rsid w:val="00553BCE"/>
    <w:rsid w:val="0055790A"/>
    <w:rsid w:val="005619E9"/>
    <w:rsid w:val="00575999"/>
    <w:rsid w:val="006164EC"/>
    <w:rsid w:val="006478B0"/>
    <w:rsid w:val="0066643B"/>
    <w:rsid w:val="00667668"/>
    <w:rsid w:val="0068040A"/>
    <w:rsid w:val="006B1B35"/>
    <w:rsid w:val="006C015F"/>
    <w:rsid w:val="006C052D"/>
    <w:rsid w:val="006D11F1"/>
    <w:rsid w:val="006F0B25"/>
    <w:rsid w:val="007025E3"/>
    <w:rsid w:val="00737C71"/>
    <w:rsid w:val="007700FE"/>
    <w:rsid w:val="007851D4"/>
    <w:rsid w:val="00793122"/>
    <w:rsid w:val="007B2241"/>
    <w:rsid w:val="00804E2D"/>
    <w:rsid w:val="00815040"/>
    <w:rsid w:val="0082541F"/>
    <w:rsid w:val="008704A6"/>
    <w:rsid w:val="008716A5"/>
    <w:rsid w:val="00876B81"/>
    <w:rsid w:val="00884271"/>
    <w:rsid w:val="008A4E11"/>
    <w:rsid w:val="008B400A"/>
    <w:rsid w:val="008C03F6"/>
    <w:rsid w:val="008C69BD"/>
    <w:rsid w:val="008F1DF6"/>
    <w:rsid w:val="008F33CB"/>
    <w:rsid w:val="00904EC4"/>
    <w:rsid w:val="00915075"/>
    <w:rsid w:val="009276C6"/>
    <w:rsid w:val="0094036E"/>
    <w:rsid w:val="009A07E4"/>
    <w:rsid w:val="009A7DE4"/>
    <w:rsid w:val="009B1E1E"/>
    <w:rsid w:val="009B58DF"/>
    <w:rsid w:val="009E47CA"/>
    <w:rsid w:val="00A11418"/>
    <w:rsid w:val="00A1554C"/>
    <w:rsid w:val="00A17A7A"/>
    <w:rsid w:val="00A23D92"/>
    <w:rsid w:val="00A31E74"/>
    <w:rsid w:val="00A46CCE"/>
    <w:rsid w:val="00A6449C"/>
    <w:rsid w:val="00A81E0A"/>
    <w:rsid w:val="00A93C48"/>
    <w:rsid w:val="00A94100"/>
    <w:rsid w:val="00AA58A3"/>
    <w:rsid w:val="00AA6388"/>
    <w:rsid w:val="00AC40E7"/>
    <w:rsid w:val="00AC541E"/>
    <w:rsid w:val="00AE541D"/>
    <w:rsid w:val="00AF4F04"/>
    <w:rsid w:val="00AF668E"/>
    <w:rsid w:val="00B40D56"/>
    <w:rsid w:val="00B54849"/>
    <w:rsid w:val="00B56C0D"/>
    <w:rsid w:val="00B778BC"/>
    <w:rsid w:val="00B81C46"/>
    <w:rsid w:val="00B85345"/>
    <w:rsid w:val="00BA3179"/>
    <w:rsid w:val="00BB19A9"/>
    <w:rsid w:val="00BB3B1B"/>
    <w:rsid w:val="00BB438B"/>
    <w:rsid w:val="00BC6469"/>
    <w:rsid w:val="00BD35DE"/>
    <w:rsid w:val="00BE183B"/>
    <w:rsid w:val="00C50629"/>
    <w:rsid w:val="00C6708A"/>
    <w:rsid w:val="00C80749"/>
    <w:rsid w:val="00C91353"/>
    <w:rsid w:val="00CB4782"/>
    <w:rsid w:val="00CC44DC"/>
    <w:rsid w:val="00CE3810"/>
    <w:rsid w:val="00CF26DA"/>
    <w:rsid w:val="00D12183"/>
    <w:rsid w:val="00D242FF"/>
    <w:rsid w:val="00D36722"/>
    <w:rsid w:val="00D41DF1"/>
    <w:rsid w:val="00D722F6"/>
    <w:rsid w:val="00D760C6"/>
    <w:rsid w:val="00D76577"/>
    <w:rsid w:val="00DB079C"/>
    <w:rsid w:val="00DD0138"/>
    <w:rsid w:val="00DE3500"/>
    <w:rsid w:val="00E632FC"/>
    <w:rsid w:val="00E81A99"/>
    <w:rsid w:val="00E87ADF"/>
    <w:rsid w:val="00EB1F05"/>
    <w:rsid w:val="00EB4F57"/>
    <w:rsid w:val="00EC39A8"/>
    <w:rsid w:val="00ED4A2D"/>
    <w:rsid w:val="00EF4C94"/>
    <w:rsid w:val="00F13EBE"/>
    <w:rsid w:val="00F16EE4"/>
    <w:rsid w:val="00F241BD"/>
    <w:rsid w:val="00F54F2E"/>
    <w:rsid w:val="00F85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43C8B2"/>
  <w15:chartTrackingRefBased/>
  <w15:docId w15:val="{8CBB5715-85B4-2740-AB60-97DFA6F79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ADF"/>
    <w:pPr>
      <w:spacing w:after="120" w:line="281" w:lineRule="auto"/>
    </w:pPr>
    <w:rPr>
      <w:rFonts w:ascii="Aptos" w:eastAsiaTheme="minorEastAsia" w:hAnsi="Aptos"/>
      <w:color w:val="282E38"/>
      <w:kern w:val="0"/>
      <w:sz w:val="21"/>
      <w:szCs w:val="22"/>
      <w:lang w:val="en-US"/>
      <w14:ligatures w14:val="none"/>
    </w:rPr>
  </w:style>
  <w:style w:type="paragraph" w:styleId="Heading1">
    <w:name w:val="heading 1"/>
    <w:basedOn w:val="Normal"/>
    <w:next w:val="Normal"/>
    <w:link w:val="Heading1Char"/>
    <w:uiPriority w:val="9"/>
    <w:qFormat/>
    <w:rsid w:val="00E87AD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E87AD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E87ADF"/>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E87ADF"/>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E87ADF"/>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E87ADF"/>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E87ADF"/>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E87ADF"/>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E87ADF"/>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A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7A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7A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7A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7A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7A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A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A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ADF"/>
    <w:rPr>
      <w:rFonts w:eastAsiaTheme="majorEastAsia" w:cstheme="majorBidi"/>
      <w:color w:val="272727" w:themeColor="text1" w:themeTint="D8"/>
    </w:rPr>
  </w:style>
  <w:style w:type="paragraph" w:styleId="Title">
    <w:name w:val="Title"/>
    <w:basedOn w:val="Normal"/>
    <w:next w:val="Normal"/>
    <w:link w:val="TitleChar"/>
    <w:uiPriority w:val="10"/>
    <w:qFormat/>
    <w:rsid w:val="00E87ADF"/>
    <w:pPr>
      <w:spacing w:after="80" w:line="240" w:lineRule="auto"/>
      <w:contextualSpacing/>
    </w:pPr>
    <w:rPr>
      <w:rFonts w:asciiTheme="majorHAnsi" w:eastAsiaTheme="majorEastAsia" w:hAnsiTheme="majorHAnsi" w:cstheme="majorBidi"/>
      <w:color w:val="auto"/>
      <w:spacing w:val="-10"/>
      <w:kern w:val="28"/>
      <w:sz w:val="56"/>
      <w:szCs w:val="56"/>
      <w:lang w:val="en-GB"/>
      <w14:ligatures w14:val="standardContextual"/>
    </w:rPr>
  </w:style>
  <w:style w:type="character" w:customStyle="1" w:styleId="TitleChar">
    <w:name w:val="Title Char"/>
    <w:basedOn w:val="DefaultParagraphFont"/>
    <w:link w:val="Title"/>
    <w:uiPriority w:val="10"/>
    <w:rsid w:val="00E87A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AD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E87A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ADF"/>
    <w:pPr>
      <w:spacing w:before="160" w:after="160" w:line="278" w:lineRule="auto"/>
      <w:jc w:val="center"/>
    </w:pPr>
    <w:rPr>
      <w:rFonts w:asciiTheme="minorHAnsi" w:eastAsiaTheme="minorHAnsi" w:hAnsi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E87ADF"/>
    <w:rPr>
      <w:i/>
      <w:iCs/>
      <w:color w:val="404040" w:themeColor="text1" w:themeTint="BF"/>
    </w:rPr>
  </w:style>
  <w:style w:type="paragraph" w:styleId="ListParagraph">
    <w:name w:val="List Paragraph"/>
    <w:basedOn w:val="Normal"/>
    <w:uiPriority w:val="34"/>
    <w:qFormat/>
    <w:rsid w:val="00E87ADF"/>
    <w:pPr>
      <w:spacing w:after="160" w:line="278" w:lineRule="auto"/>
      <w:ind w:left="720"/>
      <w:contextualSpacing/>
    </w:pPr>
    <w:rPr>
      <w:rFonts w:asciiTheme="minorHAnsi" w:eastAsiaTheme="minorHAnsi" w:hAnsiTheme="minorHAnsi"/>
      <w:color w:val="auto"/>
      <w:kern w:val="2"/>
      <w:sz w:val="24"/>
      <w:szCs w:val="24"/>
      <w:lang w:val="en-GB"/>
      <w14:ligatures w14:val="standardContextual"/>
    </w:rPr>
  </w:style>
  <w:style w:type="character" w:styleId="IntenseEmphasis">
    <w:name w:val="Intense Emphasis"/>
    <w:basedOn w:val="DefaultParagraphFont"/>
    <w:uiPriority w:val="21"/>
    <w:qFormat/>
    <w:rsid w:val="00E87ADF"/>
    <w:rPr>
      <w:i/>
      <w:iCs/>
      <w:color w:val="0F4761" w:themeColor="accent1" w:themeShade="BF"/>
    </w:rPr>
  </w:style>
  <w:style w:type="paragraph" w:styleId="IntenseQuote">
    <w:name w:val="Intense Quote"/>
    <w:basedOn w:val="Normal"/>
    <w:next w:val="Normal"/>
    <w:link w:val="IntenseQuoteChar"/>
    <w:uiPriority w:val="30"/>
    <w:qFormat/>
    <w:rsid w:val="00E87AD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E87ADF"/>
    <w:rPr>
      <w:i/>
      <w:iCs/>
      <w:color w:val="0F4761" w:themeColor="accent1" w:themeShade="BF"/>
    </w:rPr>
  </w:style>
  <w:style w:type="character" w:styleId="IntenseReference">
    <w:name w:val="Intense Reference"/>
    <w:basedOn w:val="DefaultParagraphFont"/>
    <w:uiPriority w:val="32"/>
    <w:qFormat/>
    <w:rsid w:val="00E87ADF"/>
    <w:rPr>
      <w:b/>
      <w:bCs/>
      <w:smallCaps/>
      <w:color w:val="0F4761" w:themeColor="accent1" w:themeShade="BF"/>
      <w:spacing w:val="5"/>
    </w:rPr>
  </w:style>
  <w:style w:type="paragraph" w:styleId="Footer">
    <w:name w:val="footer"/>
    <w:basedOn w:val="Normal"/>
    <w:link w:val="FooterChar"/>
    <w:uiPriority w:val="99"/>
    <w:unhideWhenUsed/>
    <w:rsid w:val="00E87A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7ADF"/>
    <w:rPr>
      <w:rFonts w:ascii="Aptos" w:eastAsiaTheme="minorEastAsia" w:hAnsi="Aptos"/>
      <w:color w:val="282E38"/>
      <w:kern w:val="0"/>
      <w:sz w:val="21"/>
      <w:szCs w:val="22"/>
      <w:lang w:val="en-US"/>
      <w14:ligatures w14:val="none"/>
    </w:rPr>
  </w:style>
  <w:style w:type="paragraph" w:styleId="Caption">
    <w:name w:val="caption"/>
    <w:basedOn w:val="Normal"/>
    <w:next w:val="Normal"/>
    <w:uiPriority w:val="35"/>
    <w:semiHidden/>
    <w:unhideWhenUsed/>
    <w:qFormat/>
    <w:rsid w:val="00E87ADF"/>
    <w:pPr>
      <w:spacing w:line="240" w:lineRule="auto"/>
    </w:pPr>
    <w:rPr>
      <w:b/>
      <w:bCs/>
      <w:color w:val="156082" w:themeColor="accent1"/>
      <w:sz w:val="18"/>
      <w:szCs w:val="18"/>
    </w:rPr>
  </w:style>
  <w:style w:type="paragraph" w:styleId="TOCHeading">
    <w:name w:val="TOC Heading"/>
    <w:basedOn w:val="Heading1"/>
    <w:next w:val="Normal"/>
    <w:uiPriority w:val="39"/>
    <w:unhideWhenUsed/>
    <w:qFormat/>
    <w:rsid w:val="00E87ADF"/>
    <w:pPr>
      <w:spacing w:before="260" w:after="140" w:line="281" w:lineRule="auto"/>
      <w:outlineLvl w:val="9"/>
    </w:pPr>
    <w:rPr>
      <w:b/>
      <w:bCs/>
      <w:color w:val="0F3443"/>
      <w:kern w:val="0"/>
      <w:sz w:val="26"/>
      <w:szCs w:val="28"/>
      <w:lang w:val="en-US"/>
      <w14:ligatures w14:val="none"/>
    </w:rPr>
  </w:style>
  <w:style w:type="paragraph" w:styleId="TOC1">
    <w:name w:val="toc 1"/>
    <w:basedOn w:val="Normal"/>
    <w:next w:val="Normal"/>
    <w:autoRedefine/>
    <w:uiPriority w:val="39"/>
    <w:unhideWhenUsed/>
    <w:rsid w:val="00E87ADF"/>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E87ADF"/>
    <w:pPr>
      <w:spacing w:before="120" w:after="0"/>
      <w:ind w:left="210"/>
    </w:pPr>
    <w:rPr>
      <w:rFonts w:asciiTheme="minorHAnsi" w:hAnsiTheme="minorHAnsi"/>
      <w:b/>
      <w:bCs/>
      <w:sz w:val="22"/>
    </w:rPr>
  </w:style>
  <w:style w:type="character" w:styleId="Hyperlink">
    <w:name w:val="Hyperlink"/>
    <w:basedOn w:val="DefaultParagraphFont"/>
    <w:uiPriority w:val="99"/>
    <w:unhideWhenUsed/>
    <w:rsid w:val="00E87AD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13</Pages>
  <Words>3584</Words>
  <Characters>24684</Characters>
  <Application>Microsoft Office Word</Application>
  <DocSecurity>0</DocSecurity>
  <Lines>406</Lines>
  <Paragraphs>111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28149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Kunj Vimalkumar Patel</cp:lastModifiedBy>
  <cp:revision>9</cp:revision>
  <dcterms:created xsi:type="dcterms:W3CDTF">2026-10-22T11:28:00Z</dcterms:created>
  <dcterms:modified xsi:type="dcterms:W3CDTF">2026-10-22T11:33:00Z</dcterms:modified>
  <cp:category/>
</cp:coreProperties>
</file>