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9F8BE9" w14:textId="18B986B8" w:rsidR="00524969" w:rsidRDefault="00524969" w:rsidP="006857FB">
      <w:pPr>
        <w:spacing w:line="360" w:lineRule="auto"/>
        <w:jc w:val="both"/>
      </w:pPr>
      <w:r>
        <w:rPr>
          <w:noProof/>
        </w:rPr>
        <w:drawing>
          <wp:anchor distT="57150" distB="57150" distL="57150" distR="57150" simplePos="0" relativeHeight="251659264" behindDoc="0" locked="0" layoutInCell="1" allowOverlap="1" wp14:anchorId="70065AD3" wp14:editId="0641C123">
            <wp:simplePos x="0" y="0"/>
            <wp:positionH relativeFrom="column">
              <wp:posOffset>2009775</wp:posOffset>
            </wp:positionH>
            <wp:positionV relativeFrom="line">
              <wp:posOffset>320040</wp:posOffset>
            </wp:positionV>
            <wp:extent cx="1809750" cy="723900"/>
            <wp:effectExtent l="0" t="0" r="0" b="0"/>
            <wp:wrapTopAndBottom/>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8"/>
                    <a:stretch>
                      <a:fillRect/>
                    </a:stretch>
                  </pic:blipFill>
                  <pic:spPr>
                    <a:xfrm>
                      <a:off x="0" y="0"/>
                      <a:ext cx="1809750" cy="723900"/>
                    </a:xfrm>
                    <a:prstGeom prst="rect">
                      <a:avLst/>
                    </a:prstGeom>
                    <a:ln w="12700" cap="flat">
                      <a:noFill/>
                      <a:miter lim="400000"/>
                    </a:ln>
                    <a:effectLst/>
                  </pic:spPr>
                </pic:pic>
              </a:graphicData>
            </a:graphic>
          </wp:anchor>
        </w:drawing>
      </w:r>
    </w:p>
    <w:p w14:paraId="0D8D8454" w14:textId="706974FA" w:rsidR="00B5243C" w:rsidRPr="00D443EA" w:rsidRDefault="00B5243C" w:rsidP="006857FB">
      <w:pPr>
        <w:spacing w:line="360" w:lineRule="auto"/>
        <w:jc w:val="both"/>
      </w:pPr>
    </w:p>
    <w:p w14:paraId="091A3920" w14:textId="77777777" w:rsidR="00B5243C" w:rsidRPr="00F750DC" w:rsidRDefault="00856726" w:rsidP="006857FB">
      <w:pPr>
        <w:spacing w:line="360" w:lineRule="auto"/>
        <w:jc w:val="center"/>
        <w:rPr>
          <w:b/>
          <w:bCs/>
          <w:color w:val="auto"/>
        </w:rPr>
      </w:pPr>
      <w:r w:rsidRPr="00F750DC">
        <w:rPr>
          <w:b/>
          <w:bCs/>
          <w:color w:val="auto"/>
        </w:rPr>
        <w:t>BMMB7006: Global Business Challenges</w:t>
      </w:r>
    </w:p>
    <w:p w14:paraId="4E0E335A" w14:textId="77777777" w:rsidR="00B5243C" w:rsidRPr="00F750DC" w:rsidRDefault="00856726" w:rsidP="006857FB">
      <w:pPr>
        <w:spacing w:line="360" w:lineRule="auto"/>
        <w:jc w:val="center"/>
        <w:rPr>
          <w:b/>
          <w:bCs/>
          <w:color w:val="auto"/>
        </w:rPr>
      </w:pPr>
      <w:r w:rsidRPr="00F750DC">
        <w:rPr>
          <w:b/>
          <w:bCs/>
          <w:color w:val="auto"/>
        </w:rPr>
        <w:t>MBA Programme</w:t>
      </w:r>
    </w:p>
    <w:p w14:paraId="11D4DC6A" w14:textId="77777777" w:rsidR="00B5243C" w:rsidRPr="00F750DC" w:rsidRDefault="00B5243C" w:rsidP="006857FB">
      <w:pPr>
        <w:spacing w:line="360" w:lineRule="auto"/>
        <w:jc w:val="both"/>
        <w:rPr>
          <w:b/>
          <w:bCs/>
          <w:color w:val="auto"/>
        </w:rPr>
      </w:pPr>
    </w:p>
    <w:p w14:paraId="2E188462" w14:textId="77777777" w:rsidR="00B5243C" w:rsidRPr="00F750DC" w:rsidRDefault="00B5243C" w:rsidP="006857FB">
      <w:pPr>
        <w:spacing w:line="360" w:lineRule="auto"/>
        <w:jc w:val="both"/>
        <w:rPr>
          <w:b/>
          <w:bCs/>
          <w:color w:val="auto"/>
        </w:rPr>
      </w:pPr>
    </w:p>
    <w:p w14:paraId="0AD09030" w14:textId="7E382A6B" w:rsidR="0049058B" w:rsidRPr="00F750DC" w:rsidRDefault="00856726" w:rsidP="0049058B">
      <w:pPr>
        <w:pStyle w:val="Title"/>
        <w:spacing w:line="360" w:lineRule="auto"/>
        <w:jc w:val="center"/>
        <w:rPr>
          <w:b/>
          <w:bCs/>
          <w:color w:val="auto"/>
        </w:rPr>
      </w:pPr>
      <w:r w:rsidRPr="00F750DC">
        <w:rPr>
          <w:b/>
          <w:bCs/>
          <w:color w:val="auto"/>
        </w:rPr>
        <w:t>AI and Financial Risk Modelling:</w:t>
      </w:r>
      <w:r w:rsidR="0049058B">
        <w:rPr>
          <w:b/>
          <w:bCs/>
          <w:color w:val="auto"/>
        </w:rPr>
        <w:t xml:space="preserve"> </w:t>
      </w:r>
      <w:r w:rsidRPr="00F750DC">
        <w:rPr>
          <w:b/>
          <w:bCs/>
          <w:color w:val="auto"/>
        </w:rPr>
        <w:t>Regulatory Challenges and Strategic Responses in Global Banking</w:t>
      </w:r>
    </w:p>
    <w:p w14:paraId="3E72AC16" w14:textId="77777777" w:rsidR="00B5243C" w:rsidRPr="00F750DC" w:rsidRDefault="00856726" w:rsidP="006857FB">
      <w:pPr>
        <w:spacing w:line="360" w:lineRule="auto"/>
        <w:jc w:val="center"/>
        <w:rPr>
          <w:b/>
          <w:bCs/>
          <w:i/>
          <w:iCs/>
          <w:color w:val="auto"/>
        </w:rPr>
      </w:pPr>
      <w:r w:rsidRPr="00F750DC">
        <w:rPr>
          <w:b/>
          <w:bCs/>
          <w:i/>
          <w:iCs/>
          <w:color w:val="auto"/>
        </w:rPr>
        <w:t>A Strategic Advisory Report on HSBC Holdings Plc</w:t>
      </w:r>
    </w:p>
    <w:p w14:paraId="43D2A455" w14:textId="362D5E50" w:rsidR="0092044D" w:rsidRDefault="0092044D" w:rsidP="006857FB">
      <w:pPr>
        <w:spacing w:line="360" w:lineRule="auto"/>
        <w:jc w:val="center"/>
        <w:rPr>
          <w:b/>
          <w:bCs/>
          <w:color w:val="auto"/>
        </w:rPr>
      </w:pPr>
    </w:p>
    <w:p w14:paraId="058803A6" w14:textId="59F04070" w:rsidR="00B4076E" w:rsidRDefault="00B4076E" w:rsidP="006857FB">
      <w:pPr>
        <w:spacing w:line="360" w:lineRule="auto"/>
        <w:jc w:val="center"/>
        <w:rPr>
          <w:b/>
          <w:bCs/>
          <w:color w:val="auto"/>
        </w:rPr>
      </w:pPr>
    </w:p>
    <w:p w14:paraId="70E4F8B4" w14:textId="18975483" w:rsidR="00B4076E" w:rsidRDefault="0035251A" w:rsidP="006857FB">
      <w:pPr>
        <w:spacing w:line="360" w:lineRule="auto"/>
        <w:jc w:val="center"/>
        <w:rPr>
          <w:b/>
          <w:bCs/>
          <w:color w:val="auto"/>
        </w:rPr>
      </w:pPr>
      <w:r w:rsidRPr="0035251A">
        <w:rPr>
          <w:b/>
          <w:bCs/>
          <w:color w:val="auto"/>
        </w:rPr>
        <w:t xml:space="preserve">Mohammod Emad Uddin </w:t>
      </w:r>
      <w:r w:rsidR="00B4076E">
        <w:rPr>
          <w:b/>
          <w:bCs/>
          <w:color w:val="auto"/>
        </w:rPr>
        <w:t xml:space="preserve">| </w:t>
      </w:r>
      <w:r w:rsidR="00B4076E" w:rsidRPr="00B4076E">
        <w:rPr>
          <w:b/>
          <w:bCs/>
          <w:color w:val="auto"/>
        </w:rPr>
        <w:t>ID: 2503788</w:t>
      </w:r>
    </w:p>
    <w:p w14:paraId="0B6AE368" w14:textId="1EA2D65D" w:rsidR="00B4076E" w:rsidRDefault="00B4076E" w:rsidP="006857FB">
      <w:pPr>
        <w:spacing w:line="360" w:lineRule="auto"/>
        <w:jc w:val="center"/>
        <w:rPr>
          <w:b/>
          <w:bCs/>
          <w:color w:val="auto"/>
        </w:rPr>
      </w:pPr>
    </w:p>
    <w:p w14:paraId="68066F7F" w14:textId="77777777" w:rsidR="00B4076E" w:rsidRPr="00F750DC" w:rsidRDefault="00B4076E" w:rsidP="006857FB">
      <w:pPr>
        <w:spacing w:line="360" w:lineRule="auto"/>
        <w:jc w:val="center"/>
        <w:rPr>
          <w:b/>
          <w:bCs/>
          <w:color w:val="auto"/>
        </w:rPr>
      </w:pPr>
    </w:p>
    <w:p w14:paraId="53A4CF00" w14:textId="03A1A85B" w:rsidR="00B5243C" w:rsidRPr="00F750DC" w:rsidRDefault="00856726" w:rsidP="006857FB">
      <w:pPr>
        <w:spacing w:line="360" w:lineRule="auto"/>
        <w:jc w:val="center"/>
        <w:rPr>
          <w:b/>
          <w:bCs/>
          <w:color w:val="auto"/>
        </w:rPr>
      </w:pPr>
      <w:r w:rsidRPr="00F750DC">
        <w:rPr>
          <w:b/>
          <w:bCs/>
          <w:color w:val="auto"/>
        </w:rPr>
        <w:t>Module Leader: Rebecca Francis-Davies</w:t>
      </w:r>
    </w:p>
    <w:p w14:paraId="74A60FFC" w14:textId="54A15110" w:rsidR="00B5243C" w:rsidRDefault="00856726" w:rsidP="006857FB">
      <w:pPr>
        <w:spacing w:line="360" w:lineRule="auto"/>
        <w:jc w:val="center"/>
        <w:rPr>
          <w:b/>
          <w:bCs/>
          <w:color w:val="auto"/>
        </w:rPr>
      </w:pPr>
      <w:r w:rsidRPr="00F750DC">
        <w:rPr>
          <w:b/>
          <w:bCs/>
          <w:color w:val="auto"/>
        </w:rPr>
        <w:t xml:space="preserve">Submission Deadline: </w:t>
      </w:r>
      <w:r w:rsidR="00162392">
        <w:rPr>
          <w:b/>
          <w:bCs/>
          <w:color w:val="auto"/>
        </w:rPr>
        <w:t>27 April</w:t>
      </w:r>
      <w:r w:rsidRPr="00F750DC">
        <w:rPr>
          <w:b/>
          <w:bCs/>
          <w:color w:val="auto"/>
        </w:rPr>
        <w:t xml:space="preserve"> 2026</w:t>
      </w:r>
    </w:p>
    <w:p w14:paraId="51F29A37" w14:textId="6B0EA20C" w:rsidR="00524969" w:rsidRDefault="00524969" w:rsidP="006857FB">
      <w:pPr>
        <w:spacing w:line="360" w:lineRule="auto"/>
        <w:jc w:val="center"/>
        <w:rPr>
          <w:b/>
          <w:bCs/>
          <w:color w:val="auto"/>
        </w:rPr>
      </w:pPr>
    </w:p>
    <w:p w14:paraId="2B6B909C" w14:textId="1FFA2CA4" w:rsidR="00524969" w:rsidRDefault="00CC3436" w:rsidP="006857FB">
      <w:pPr>
        <w:spacing w:line="360" w:lineRule="auto"/>
        <w:jc w:val="center"/>
        <w:rPr>
          <w:b/>
          <w:bCs/>
          <w:color w:val="auto"/>
        </w:rPr>
      </w:pPr>
      <w:r>
        <w:rPr>
          <w:b/>
          <w:bCs/>
          <w:color w:val="auto"/>
        </w:rPr>
        <w:t>Word Count: 5075</w:t>
      </w:r>
    </w:p>
    <w:p w14:paraId="463131B7" w14:textId="77777777" w:rsidR="00524969" w:rsidRPr="00F750DC" w:rsidRDefault="00524969" w:rsidP="006857FB">
      <w:pPr>
        <w:spacing w:line="360" w:lineRule="auto"/>
        <w:jc w:val="center"/>
        <w:rPr>
          <w:b/>
          <w:bCs/>
          <w:color w:val="auto"/>
        </w:rPr>
      </w:pPr>
    </w:p>
    <w:p w14:paraId="21C02059" w14:textId="77777777" w:rsidR="00B5243C" w:rsidRPr="00D443EA" w:rsidRDefault="00856726" w:rsidP="006857FB">
      <w:pPr>
        <w:spacing w:line="360" w:lineRule="auto"/>
        <w:jc w:val="both"/>
      </w:pPr>
      <w:r w:rsidRPr="00D443EA">
        <w:br w:type="page"/>
      </w:r>
    </w:p>
    <w:p w14:paraId="62A5BC17" w14:textId="77777777" w:rsidR="00B5243C" w:rsidRPr="00D443EA" w:rsidRDefault="00856726" w:rsidP="006857FB">
      <w:pPr>
        <w:pStyle w:val="Heading1"/>
      </w:pPr>
      <w:bookmarkStart w:id="0" w:name="_Toc228040822"/>
      <w:r w:rsidRPr="00D443EA">
        <w:lastRenderedPageBreak/>
        <w:t>Executive Summary</w:t>
      </w:r>
      <w:bookmarkEnd w:id="0"/>
    </w:p>
    <w:p w14:paraId="24FAA10A" w14:textId="77777777" w:rsidR="00CE7A41" w:rsidRDefault="00CE7A41" w:rsidP="006857FB">
      <w:pPr>
        <w:spacing w:line="360" w:lineRule="auto"/>
        <w:jc w:val="both"/>
      </w:pPr>
      <w:r>
        <w:t>The report advises the HSBC Holdings Plc on the strategic, and regulatory implications of artificial intelligence (AI) in financial risk modelling. HSBC is doing credit decisioning, anti-money laundering, fraud detection and capital optimisation with AI in more than 60 markets. These capabilities generate competitive advantage, yet introduce regulatory exposure, ethical risk, reputational vulnerability, which are not properly addressed by the current governance architecture.</w:t>
      </w:r>
    </w:p>
    <w:p w14:paraId="3E00C038" w14:textId="77777777" w:rsidR="00CE7A41" w:rsidRDefault="00CE7A41" w:rsidP="006857FB">
      <w:pPr>
        <w:spacing w:line="360" w:lineRule="auto"/>
        <w:jc w:val="both"/>
      </w:pPr>
      <w:r>
        <w:t>The macro-environmental AI risk environment is plotted with the help of PESTLE analysis, in which the UK and Singapore were taken into consideration as the two key regulation destinations. The report finds that the current HSBC is not without material gaps in the areas of algorithmic transparency, independent auditability, and cross-jurisdictional compliance coherence despite the strong AI commitments of the bank. The Monetary Authority of Singapore (MAS) FEAT Principles and AI governance expectations is an operationally descriptive framework compared to the principles-based approach in the UK that allows benchmarking to HSBC Asian operations.</w:t>
      </w:r>
    </w:p>
    <w:p w14:paraId="3DDAF80A" w14:textId="77777777" w:rsidR="00CE7A41" w:rsidRDefault="00CE7A41" w:rsidP="006857FB">
      <w:pPr>
        <w:spacing w:line="360" w:lineRule="auto"/>
        <w:jc w:val="both"/>
      </w:pPr>
      <w:r>
        <w:t>Peer rating of HSBC and DBS Bank, JPMorgan Chase, and Standard Chartered reveals that HSBC has lagged behind on published algorithmic fairness standards, and reporting of independent model audit. It is a commercial and regulatory gap in governance.</w:t>
      </w:r>
    </w:p>
    <w:p w14:paraId="2B937FBB" w14:textId="146A6D5B" w:rsidR="00570DC0" w:rsidRPr="00D443EA" w:rsidRDefault="00CE7A41" w:rsidP="006857FB">
      <w:pPr>
        <w:spacing w:line="360" w:lineRule="auto"/>
        <w:jc w:val="both"/>
      </w:pPr>
      <w:r>
        <w:t>Another Governance-Trust-Competitiveness (GTC) framework is proposed that is a combination of the correlation between AI governance maturity, customer trust, and sustainable competitive advantage. They give ten short, medium and long-term recommendations that are cost-estimated, have risk mitigation and quantifiable KPIs. The report concludes that governance excellence is a strategic investment of the first order, and not compliance overhead.</w:t>
      </w:r>
    </w:p>
    <w:p w14:paraId="5DE965FC" w14:textId="77777777" w:rsidR="00570DC0" w:rsidRPr="00D443EA" w:rsidRDefault="00570DC0" w:rsidP="006857FB">
      <w:pPr>
        <w:spacing w:line="360" w:lineRule="auto"/>
      </w:pPr>
      <w:r w:rsidRPr="00D443EA">
        <w:br w:type="page"/>
      </w:r>
    </w:p>
    <w:sdt>
      <w:sdtPr>
        <w:rPr>
          <w:b w:val="0"/>
          <w:bCs w:val="0"/>
        </w:rPr>
        <w:id w:val="-639959829"/>
        <w:docPartObj>
          <w:docPartGallery w:val="Table of Contents"/>
          <w:docPartUnique/>
        </w:docPartObj>
      </w:sdtPr>
      <w:sdtEndPr>
        <w:rPr>
          <w:noProof/>
        </w:rPr>
      </w:sdtEndPr>
      <w:sdtContent>
        <w:p w14:paraId="3D32A6A6" w14:textId="0D2C4626" w:rsidR="00570DC0" w:rsidRPr="00D77CD5" w:rsidRDefault="00570DC0" w:rsidP="006857FB">
          <w:pPr>
            <w:pStyle w:val="Strong1"/>
            <w:spacing w:line="360" w:lineRule="auto"/>
          </w:pPr>
          <w:r w:rsidRPr="00D77CD5">
            <w:t>Table of Contents</w:t>
          </w:r>
        </w:p>
        <w:p w14:paraId="421ABC31" w14:textId="0325D43C" w:rsidR="00B82AF8" w:rsidRDefault="00570DC0" w:rsidP="006857FB">
          <w:pPr>
            <w:pStyle w:val="TOC1"/>
            <w:tabs>
              <w:tab w:val="right" w:leader="dot" w:pos="9016"/>
            </w:tabs>
            <w:spacing w:after="0" w:line="360" w:lineRule="auto"/>
            <w:rPr>
              <w:rFonts w:asciiTheme="minorHAnsi" w:eastAsiaTheme="minorEastAsia" w:hAnsiTheme="minorHAnsi" w:cstheme="minorBidi"/>
              <w:noProof/>
              <w:color w:val="auto"/>
              <w:kern w:val="2"/>
              <w14:ligatures w14:val="standardContextual"/>
            </w:rPr>
          </w:pPr>
          <w:r w:rsidRPr="00D443EA">
            <w:fldChar w:fldCharType="begin"/>
          </w:r>
          <w:r w:rsidRPr="00D443EA">
            <w:instrText xml:space="preserve"> TOC \o "1-3" \h \z \u </w:instrText>
          </w:r>
          <w:r w:rsidRPr="00D443EA">
            <w:fldChar w:fldCharType="separate"/>
          </w:r>
          <w:hyperlink w:anchor="_Toc228040822" w:history="1">
            <w:r w:rsidR="00B82AF8" w:rsidRPr="005D05B0">
              <w:rPr>
                <w:rStyle w:val="Hyperlink"/>
                <w:noProof/>
              </w:rPr>
              <w:t>Executive Summary</w:t>
            </w:r>
            <w:r w:rsidR="00B82AF8">
              <w:rPr>
                <w:noProof/>
                <w:webHidden/>
              </w:rPr>
              <w:tab/>
            </w:r>
            <w:r w:rsidR="00B82AF8">
              <w:rPr>
                <w:noProof/>
                <w:webHidden/>
              </w:rPr>
              <w:fldChar w:fldCharType="begin"/>
            </w:r>
            <w:r w:rsidR="00B82AF8">
              <w:rPr>
                <w:noProof/>
                <w:webHidden/>
              </w:rPr>
              <w:instrText xml:space="preserve"> PAGEREF _Toc228040822 \h </w:instrText>
            </w:r>
            <w:r w:rsidR="00B82AF8">
              <w:rPr>
                <w:noProof/>
                <w:webHidden/>
              </w:rPr>
            </w:r>
            <w:r w:rsidR="00B82AF8">
              <w:rPr>
                <w:noProof/>
                <w:webHidden/>
              </w:rPr>
              <w:fldChar w:fldCharType="separate"/>
            </w:r>
            <w:r w:rsidR="00B82AF8">
              <w:rPr>
                <w:noProof/>
                <w:webHidden/>
              </w:rPr>
              <w:t>2</w:t>
            </w:r>
            <w:r w:rsidR="00B82AF8">
              <w:rPr>
                <w:noProof/>
                <w:webHidden/>
              </w:rPr>
              <w:fldChar w:fldCharType="end"/>
            </w:r>
          </w:hyperlink>
        </w:p>
        <w:p w14:paraId="16B28057" w14:textId="3A092C0A" w:rsidR="00B82AF8" w:rsidRDefault="008124A7" w:rsidP="006857FB">
          <w:pPr>
            <w:pStyle w:val="TOC1"/>
            <w:tabs>
              <w:tab w:val="left" w:pos="480"/>
              <w:tab w:val="right" w:leader="dot" w:pos="9016"/>
            </w:tabs>
            <w:spacing w:after="0" w:line="360" w:lineRule="auto"/>
            <w:rPr>
              <w:rFonts w:asciiTheme="minorHAnsi" w:eastAsiaTheme="minorEastAsia" w:hAnsiTheme="minorHAnsi" w:cstheme="minorBidi"/>
              <w:noProof/>
              <w:color w:val="auto"/>
              <w:kern w:val="2"/>
              <w14:ligatures w14:val="standardContextual"/>
            </w:rPr>
          </w:pPr>
          <w:hyperlink w:anchor="_Toc228040823" w:history="1">
            <w:r w:rsidR="00B82AF8" w:rsidRPr="005D05B0">
              <w:rPr>
                <w:rStyle w:val="Hyperlink"/>
                <w:noProof/>
              </w:rPr>
              <w:t>1.</w:t>
            </w:r>
            <w:r w:rsidR="00B82AF8">
              <w:rPr>
                <w:rFonts w:asciiTheme="minorHAnsi" w:eastAsiaTheme="minorEastAsia" w:hAnsiTheme="minorHAnsi" w:cstheme="minorBidi"/>
                <w:noProof/>
                <w:color w:val="auto"/>
                <w:kern w:val="2"/>
                <w14:ligatures w14:val="standardContextual"/>
              </w:rPr>
              <w:tab/>
            </w:r>
            <w:r w:rsidR="00B82AF8" w:rsidRPr="005D05B0">
              <w:rPr>
                <w:rStyle w:val="Hyperlink"/>
                <w:noProof/>
              </w:rPr>
              <w:t>Introduction</w:t>
            </w:r>
            <w:r w:rsidR="00B82AF8">
              <w:rPr>
                <w:noProof/>
                <w:webHidden/>
              </w:rPr>
              <w:tab/>
            </w:r>
            <w:r w:rsidR="00B82AF8">
              <w:rPr>
                <w:noProof/>
                <w:webHidden/>
              </w:rPr>
              <w:fldChar w:fldCharType="begin"/>
            </w:r>
            <w:r w:rsidR="00B82AF8">
              <w:rPr>
                <w:noProof/>
                <w:webHidden/>
              </w:rPr>
              <w:instrText xml:space="preserve"> PAGEREF _Toc228040823 \h </w:instrText>
            </w:r>
            <w:r w:rsidR="00B82AF8">
              <w:rPr>
                <w:noProof/>
                <w:webHidden/>
              </w:rPr>
            </w:r>
            <w:r w:rsidR="00B82AF8">
              <w:rPr>
                <w:noProof/>
                <w:webHidden/>
              </w:rPr>
              <w:fldChar w:fldCharType="separate"/>
            </w:r>
            <w:r w:rsidR="00B82AF8">
              <w:rPr>
                <w:noProof/>
                <w:webHidden/>
              </w:rPr>
              <w:t>4</w:t>
            </w:r>
            <w:r w:rsidR="00B82AF8">
              <w:rPr>
                <w:noProof/>
                <w:webHidden/>
              </w:rPr>
              <w:fldChar w:fldCharType="end"/>
            </w:r>
          </w:hyperlink>
        </w:p>
        <w:p w14:paraId="58F24998" w14:textId="3A074278" w:rsidR="00B82AF8" w:rsidRDefault="008124A7" w:rsidP="006857FB">
          <w:pPr>
            <w:pStyle w:val="TOC1"/>
            <w:tabs>
              <w:tab w:val="left" w:pos="480"/>
              <w:tab w:val="right" w:leader="dot" w:pos="9016"/>
            </w:tabs>
            <w:spacing w:after="0" w:line="360" w:lineRule="auto"/>
            <w:rPr>
              <w:rFonts w:asciiTheme="minorHAnsi" w:eastAsiaTheme="minorEastAsia" w:hAnsiTheme="minorHAnsi" w:cstheme="minorBidi"/>
              <w:noProof/>
              <w:color w:val="auto"/>
              <w:kern w:val="2"/>
              <w14:ligatures w14:val="standardContextual"/>
            </w:rPr>
          </w:pPr>
          <w:hyperlink w:anchor="_Toc228040824" w:history="1">
            <w:r w:rsidR="00B82AF8" w:rsidRPr="005D05B0">
              <w:rPr>
                <w:rStyle w:val="Hyperlink"/>
                <w:noProof/>
              </w:rPr>
              <w:t>2.</w:t>
            </w:r>
            <w:r w:rsidR="00B82AF8">
              <w:rPr>
                <w:rFonts w:asciiTheme="minorHAnsi" w:eastAsiaTheme="minorEastAsia" w:hAnsiTheme="minorHAnsi" w:cstheme="minorBidi"/>
                <w:noProof/>
                <w:color w:val="auto"/>
                <w:kern w:val="2"/>
                <w14:ligatures w14:val="standardContextual"/>
              </w:rPr>
              <w:tab/>
            </w:r>
            <w:r w:rsidR="00B82AF8" w:rsidRPr="005D05B0">
              <w:rPr>
                <w:rStyle w:val="Hyperlink"/>
                <w:noProof/>
              </w:rPr>
              <w:t>Main Findings</w:t>
            </w:r>
            <w:r w:rsidR="00B82AF8">
              <w:rPr>
                <w:noProof/>
                <w:webHidden/>
              </w:rPr>
              <w:tab/>
            </w:r>
            <w:r w:rsidR="00B82AF8">
              <w:rPr>
                <w:noProof/>
                <w:webHidden/>
              </w:rPr>
              <w:fldChar w:fldCharType="begin"/>
            </w:r>
            <w:r w:rsidR="00B82AF8">
              <w:rPr>
                <w:noProof/>
                <w:webHidden/>
              </w:rPr>
              <w:instrText xml:space="preserve"> PAGEREF _Toc228040824 \h </w:instrText>
            </w:r>
            <w:r w:rsidR="00B82AF8">
              <w:rPr>
                <w:noProof/>
                <w:webHidden/>
              </w:rPr>
            </w:r>
            <w:r w:rsidR="00B82AF8">
              <w:rPr>
                <w:noProof/>
                <w:webHidden/>
              </w:rPr>
              <w:fldChar w:fldCharType="separate"/>
            </w:r>
            <w:r w:rsidR="00B82AF8">
              <w:rPr>
                <w:noProof/>
                <w:webHidden/>
              </w:rPr>
              <w:t>5</w:t>
            </w:r>
            <w:r w:rsidR="00B82AF8">
              <w:rPr>
                <w:noProof/>
                <w:webHidden/>
              </w:rPr>
              <w:fldChar w:fldCharType="end"/>
            </w:r>
          </w:hyperlink>
        </w:p>
        <w:p w14:paraId="61FE2AB4" w14:textId="2F61E945" w:rsidR="00B82AF8" w:rsidRDefault="008124A7" w:rsidP="006857FB">
          <w:pPr>
            <w:pStyle w:val="TOC2"/>
            <w:tabs>
              <w:tab w:val="left" w:pos="960"/>
              <w:tab w:val="right" w:leader="dot" w:pos="9016"/>
            </w:tabs>
            <w:spacing w:after="0" w:line="360" w:lineRule="auto"/>
            <w:rPr>
              <w:rFonts w:asciiTheme="minorHAnsi" w:eastAsiaTheme="minorEastAsia" w:hAnsiTheme="minorHAnsi" w:cstheme="minorBidi"/>
              <w:noProof/>
              <w:color w:val="auto"/>
              <w:kern w:val="2"/>
              <w14:ligatures w14:val="standardContextual"/>
            </w:rPr>
          </w:pPr>
          <w:hyperlink w:anchor="_Toc228040825" w:history="1">
            <w:r w:rsidR="00B82AF8" w:rsidRPr="005D05B0">
              <w:rPr>
                <w:rStyle w:val="Hyperlink"/>
                <w:noProof/>
              </w:rPr>
              <w:t>2.1</w:t>
            </w:r>
            <w:r w:rsidR="00B82AF8">
              <w:rPr>
                <w:rFonts w:asciiTheme="minorHAnsi" w:eastAsiaTheme="minorEastAsia" w:hAnsiTheme="minorHAnsi" w:cstheme="minorBidi"/>
                <w:noProof/>
                <w:color w:val="auto"/>
                <w:kern w:val="2"/>
                <w14:ligatures w14:val="standardContextual"/>
              </w:rPr>
              <w:tab/>
            </w:r>
            <w:r w:rsidR="00B82AF8" w:rsidRPr="005D05B0">
              <w:rPr>
                <w:rStyle w:val="Hyperlink"/>
                <w:noProof/>
              </w:rPr>
              <w:t>PESTLE Analysis: The AI Risk Landscape</w:t>
            </w:r>
            <w:r w:rsidR="00B82AF8">
              <w:rPr>
                <w:noProof/>
                <w:webHidden/>
              </w:rPr>
              <w:tab/>
            </w:r>
            <w:r w:rsidR="00B82AF8">
              <w:rPr>
                <w:noProof/>
                <w:webHidden/>
              </w:rPr>
              <w:fldChar w:fldCharType="begin"/>
            </w:r>
            <w:r w:rsidR="00B82AF8">
              <w:rPr>
                <w:noProof/>
                <w:webHidden/>
              </w:rPr>
              <w:instrText xml:space="preserve"> PAGEREF _Toc228040825 \h </w:instrText>
            </w:r>
            <w:r w:rsidR="00B82AF8">
              <w:rPr>
                <w:noProof/>
                <w:webHidden/>
              </w:rPr>
            </w:r>
            <w:r w:rsidR="00B82AF8">
              <w:rPr>
                <w:noProof/>
                <w:webHidden/>
              </w:rPr>
              <w:fldChar w:fldCharType="separate"/>
            </w:r>
            <w:r w:rsidR="00B82AF8">
              <w:rPr>
                <w:noProof/>
                <w:webHidden/>
              </w:rPr>
              <w:t>5</w:t>
            </w:r>
            <w:r w:rsidR="00B82AF8">
              <w:rPr>
                <w:noProof/>
                <w:webHidden/>
              </w:rPr>
              <w:fldChar w:fldCharType="end"/>
            </w:r>
          </w:hyperlink>
        </w:p>
        <w:p w14:paraId="6EB9171A" w14:textId="347EFB09" w:rsidR="00B82AF8" w:rsidRDefault="008124A7" w:rsidP="006857FB">
          <w:pPr>
            <w:pStyle w:val="TOC2"/>
            <w:tabs>
              <w:tab w:val="left" w:pos="960"/>
              <w:tab w:val="right" w:leader="dot" w:pos="9016"/>
            </w:tabs>
            <w:spacing w:after="0" w:line="360" w:lineRule="auto"/>
            <w:rPr>
              <w:rFonts w:asciiTheme="minorHAnsi" w:eastAsiaTheme="minorEastAsia" w:hAnsiTheme="minorHAnsi" w:cstheme="minorBidi"/>
              <w:noProof/>
              <w:color w:val="auto"/>
              <w:kern w:val="2"/>
              <w14:ligatures w14:val="standardContextual"/>
            </w:rPr>
          </w:pPr>
          <w:hyperlink w:anchor="_Toc228040826" w:history="1">
            <w:r w:rsidR="00B82AF8" w:rsidRPr="005D05B0">
              <w:rPr>
                <w:rStyle w:val="Hyperlink"/>
                <w:noProof/>
              </w:rPr>
              <w:t>2.2</w:t>
            </w:r>
            <w:r w:rsidR="00B82AF8">
              <w:rPr>
                <w:rFonts w:asciiTheme="minorHAnsi" w:eastAsiaTheme="minorEastAsia" w:hAnsiTheme="minorHAnsi" w:cstheme="minorBidi"/>
                <w:noProof/>
                <w:color w:val="auto"/>
                <w:kern w:val="2"/>
                <w14:ligatures w14:val="standardContextual"/>
              </w:rPr>
              <w:tab/>
            </w:r>
            <w:r w:rsidR="00B82AF8" w:rsidRPr="005D05B0">
              <w:rPr>
                <w:rStyle w:val="Hyperlink"/>
                <w:noProof/>
              </w:rPr>
              <w:t>Data Governance</w:t>
            </w:r>
            <w:r w:rsidR="00B82AF8">
              <w:rPr>
                <w:noProof/>
                <w:webHidden/>
              </w:rPr>
              <w:tab/>
            </w:r>
            <w:r w:rsidR="00B82AF8">
              <w:rPr>
                <w:noProof/>
                <w:webHidden/>
              </w:rPr>
              <w:fldChar w:fldCharType="begin"/>
            </w:r>
            <w:r w:rsidR="00B82AF8">
              <w:rPr>
                <w:noProof/>
                <w:webHidden/>
              </w:rPr>
              <w:instrText xml:space="preserve"> PAGEREF _Toc228040826 \h </w:instrText>
            </w:r>
            <w:r w:rsidR="00B82AF8">
              <w:rPr>
                <w:noProof/>
                <w:webHidden/>
              </w:rPr>
            </w:r>
            <w:r w:rsidR="00B82AF8">
              <w:rPr>
                <w:noProof/>
                <w:webHidden/>
              </w:rPr>
              <w:fldChar w:fldCharType="separate"/>
            </w:r>
            <w:r w:rsidR="00B82AF8">
              <w:rPr>
                <w:noProof/>
                <w:webHidden/>
              </w:rPr>
              <w:t>7</w:t>
            </w:r>
            <w:r w:rsidR="00B82AF8">
              <w:rPr>
                <w:noProof/>
                <w:webHidden/>
              </w:rPr>
              <w:fldChar w:fldCharType="end"/>
            </w:r>
          </w:hyperlink>
        </w:p>
        <w:p w14:paraId="4DB826DF" w14:textId="4691408F" w:rsidR="00B82AF8" w:rsidRDefault="008124A7" w:rsidP="006857FB">
          <w:pPr>
            <w:pStyle w:val="TOC2"/>
            <w:tabs>
              <w:tab w:val="left" w:pos="960"/>
              <w:tab w:val="right" w:leader="dot" w:pos="9016"/>
            </w:tabs>
            <w:spacing w:after="0" w:line="360" w:lineRule="auto"/>
            <w:rPr>
              <w:rFonts w:asciiTheme="minorHAnsi" w:eastAsiaTheme="minorEastAsia" w:hAnsiTheme="minorHAnsi" w:cstheme="minorBidi"/>
              <w:noProof/>
              <w:color w:val="auto"/>
              <w:kern w:val="2"/>
              <w14:ligatures w14:val="standardContextual"/>
            </w:rPr>
          </w:pPr>
          <w:hyperlink w:anchor="_Toc228040827" w:history="1">
            <w:r w:rsidR="00B82AF8" w:rsidRPr="005D05B0">
              <w:rPr>
                <w:rStyle w:val="Hyperlink"/>
                <w:noProof/>
              </w:rPr>
              <w:t>2.3</w:t>
            </w:r>
            <w:r w:rsidR="00B82AF8">
              <w:rPr>
                <w:rFonts w:asciiTheme="minorHAnsi" w:eastAsiaTheme="minorEastAsia" w:hAnsiTheme="minorHAnsi" w:cstheme="minorBidi"/>
                <w:noProof/>
                <w:color w:val="auto"/>
                <w:kern w:val="2"/>
                <w14:ligatures w14:val="standardContextual"/>
              </w:rPr>
              <w:tab/>
            </w:r>
            <w:r w:rsidR="00B82AF8" w:rsidRPr="005D05B0">
              <w:rPr>
                <w:rStyle w:val="Hyperlink"/>
                <w:noProof/>
              </w:rPr>
              <w:t>Ethical AI Use</w:t>
            </w:r>
            <w:r w:rsidR="00B82AF8">
              <w:rPr>
                <w:noProof/>
                <w:webHidden/>
              </w:rPr>
              <w:tab/>
            </w:r>
            <w:r w:rsidR="00B82AF8">
              <w:rPr>
                <w:noProof/>
                <w:webHidden/>
              </w:rPr>
              <w:fldChar w:fldCharType="begin"/>
            </w:r>
            <w:r w:rsidR="00B82AF8">
              <w:rPr>
                <w:noProof/>
                <w:webHidden/>
              </w:rPr>
              <w:instrText xml:space="preserve"> PAGEREF _Toc228040827 \h </w:instrText>
            </w:r>
            <w:r w:rsidR="00B82AF8">
              <w:rPr>
                <w:noProof/>
                <w:webHidden/>
              </w:rPr>
            </w:r>
            <w:r w:rsidR="00B82AF8">
              <w:rPr>
                <w:noProof/>
                <w:webHidden/>
              </w:rPr>
              <w:fldChar w:fldCharType="separate"/>
            </w:r>
            <w:r w:rsidR="00B82AF8">
              <w:rPr>
                <w:noProof/>
                <w:webHidden/>
              </w:rPr>
              <w:t>8</w:t>
            </w:r>
            <w:r w:rsidR="00B82AF8">
              <w:rPr>
                <w:noProof/>
                <w:webHidden/>
              </w:rPr>
              <w:fldChar w:fldCharType="end"/>
            </w:r>
          </w:hyperlink>
        </w:p>
        <w:p w14:paraId="2CB81E8B" w14:textId="72DB71E3" w:rsidR="00B82AF8" w:rsidRDefault="008124A7" w:rsidP="006857FB">
          <w:pPr>
            <w:pStyle w:val="TOC2"/>
            <w:tabs>
              <w:tab w:val="left" w:pos="960"/>
              <w:tab w:val="right" w:leader="dot" w:pos="9016"/>
            </w:tabs>
            <w:spacing w:after="0" w:line="360" w:lineRule="auto"/>
            <w:rPr>
              <w:rFonts w:asciiTheme="minorHAnsi" w:eastAsiaTheme="minorEastAsia" w:hAnsiTheme="minorHAnsi" w:cstheme="minorBidi"/>
              <w:noProof/>
              <w:color w:val="auto"/>
              <w:kern w:val="2"/>
              <w14:ligatures w14:val="standardContextual"/>
            </w:rPr>
          </w:pPr>
          <w:hyperlink w:anchor="_Toc228040828" w:history="1">
            <w:r w:rsidR="00B82AF8" w:rsidRPr="005D05B0">
              <w:rPr>
                <w:rStyle w:val="Hyperlink"/>
                <w:noProof/>
              </w:rPr>
              <w:t>2.4</w:t>
            </w:r>
            <w:r w:rsidR="00B82AF8">
              <w:rPr>
                <w:rFonts w:asciiTheme="minorHAnsi" w:eastAsiaTheme="minorEastAsia" w:hAnsiTheme="minorHAnsi" w:cstheme="minorBidi"/>
                <w:noProof/>
                <w:color w:val="auto"/>
                <w:kern w:val="2"/>
                <w14:ligatures w14:val="standardContextual"/>
              </w:rPr>
              <w:tab/>
            </w:r>
            <w:r w:rsidR="00B82AF8" w:rsidRPr="005D05B0">
              <w:rPr>
                <w:rStyle w:val="Hyperlink"/>
                <w:noProof/>
              </w:rPr>
              <w:t>Regulatory Compliance: UK and Singapore Comparative Analysis</w:t>
            </w:r>
            <w:r w:rsidR="00B82AF8">
              <w:rPr>
                <w:noProof/>
                <w:webHidden/>
              </w:rPr>
              <w:tab/>
            </w:r>
            <w:r w:rsidR="00B82AF8">
              <w:rPr>
                <w:noProof/>
                <w:webHidden/>
              </w:rPr>
              <w:fldChar w:fldCharType="begin"/>
            </w:r>
            <w:r w:rsidR="00B82AF8">
              <w:rPr>
                <w:noProof/>
                <w:webHidden/>
              </w:rPr>
              <w:instrText xml:space="preserve"> PAGEREF _Toc228040828 \h </w:instrText>
            </w:r>
            <w:r w:rsidR="00B82AF8">
              <w:rPr>
                <w:noProof/>
                <w:webHidden/>
              </w:rPr>
            </w:r>
            <w:r w:rsidR="00B82AF8">
              <w:rPr>
                <w:noProof/>
                <w:webHidden/>
              </w:rPr>
              <w:fldChar w:fldCharType="separate"/>
            </w:r>
            <w:r w:rsidR="00B82AF8">
              <w:rPr>
                <w:noProof/>
                <w:webHidden/>
              </w:rPr>
              <w:t>9</w:t>
            </w:r>
            <w:r w:rsidR="00B82AF8">
              <w:rPr>
                <w:noProof/>
                <w:webHidden/>
              </w:rPr>
              <w:fldChar w:fldCharType="end"/>
            </w:r>
          </w:hyperlink>
        </w:p>
        <w:p w14:paraId="2E7872B2" w14:textId="7304DC0A" w:rsidR="00B82AF8" w:rsidRDefault="008124A7" w:rsidP="006857FB">
          <w:pPr>
            <w:pStyle w:val="TOC2"/>
            <w:tabs>
              <w:tab w:val="left" w:pos="960"/>
              <w:tab w:val="right" w:leader="dot" w:pos="9016"/>
            </w:tabs>
            <w:spacing w:after="0" w:line="360" w:lineRule="auto"/>
            <w:rPr>
              <w:rFonts w:asciiTheme="minorHAnsi" w:eastAsiaTheme="minorEastAsia" w:hAnsiTheme="minorHAnsi" w:cstheme="minorBidi"/>
              <w:noProof/>
              <w:color w:val="auto"/>
              <w:kern w:val="2"/>
              <w14:ligatures w14:val="standardContextual"/>
            </w:rPr>
          </w:pPr>
          <w:hyperlink w:anchor="_Toc228040829" w:history="1">
            <w:r w:rsidR="00B82AF8" w:rsidRPr="005D05B0">
              <w:rPr>
                <w:rStyle w:val="Hyperlink"/>
                <w:noProof/>
              </w:rPr>
              <w:t>2.5</w:t>
            </w:r>
            <w:r w:rsidR="00B82AF8">
              <w:rPr>
                <w:rFonts w:asciiTheme="minorHAnsi" w:eastAsiaTheme="minorEastAsia" w:hAnsiTheme="minorHAnsi" w:cstheme="minorBidi"/>
                <w:noProof/>
                <w:color w:val="auto"/>
                <w:kern w:val="2"/>
                <w14:ligatures w14:val="standardContextual"/>
              </w:rPr>
              <w:tab/>
            </w:r>
            <w:r w:rsidR="00B82AF8" w:rsidRPr="005D05B0">
              <w:rPr>
                <w:rStyle w:val="Hyperlink"/>
                <w:noProof/>
              </w:rPr>
              <w:t>Maintaining Customer Trust</w:t>
            </w:r>
            <w:r w:rsidR="00B82AF8">
              <w:rPr>
                <w:noProof/>
                <w:webHidden/>
              </w:rPr>
              <w:tab/>
            </w:r>
            <w:r w:rsidR="00B82AF8">
              <w:rPr>
                <w:noProof/>
                <w:webHidden/>
              </w:rPr>
              <w:fldChar w:fldCharType="begin"/>
            </w:r>
            <w:r w:rsidR="00B82AF8">
              <w:rPr>
                <w:noProof/>
                <w:webHidden/>
              </w:rPr>
              <w:instrText xml:space="preserve"> PAGEREF _Toc228040829 \h </w:instrText>
            </w:r>
            <w:r w:rsidR="00B82AF8">
              <w:rPr>
                <w:noProof/>
                <w:webHidden/>
              </w:rPr>
            </w:r>
            <w:r w:rsidR="00B82AF8">
              <w:rPr>
                <w:noProof/>
                <w:webHidden/>
              </w:rPr>
              <w:fldChar w:fldCharType="separate"/>
            </w:r>
            <w:r w:rsidR="00B82AF8">
              <w:rPr>
                <w:noProof/>
                <w:webHidden/>
              </w:rPr>
              <w:t>11</w:t>
            </w:r>
            <w:r w:rsidR="00B82AF8">
              <w:rPr>
                <w:noProof/>
                <w:webHidden/>
              </w:rPr>
              <w:fldChar w:fldCharType="end"/>
            </w:r>
          </w:hyperlink>
        </w:p>
        <w:p w14:paraId="5DD4D2FB" w14:textId="1CC78240" w:rsidR="00B82AF8" w:rsidRDefault="008124A7" w:rsidP="006857FB">
          <w:pPr>
            <w:pStyle w:val="TOC2"/>
            <w:tabs>
              <w:tab w:val="left" w:pos="960"/>
              <w:tab w:val="right" w:leader="dot" w:pos="9016"/>
            </w:tabs>
            <w:spacing w:after="0" w:line="360" w:lineRule="auto"/>
            <w:rPr>
              <w:rFonts w:asciiTheme="minorHAnsi" w:eastAsiaTheme="minorEastAsia" w:hAnsiTheme="minorHAnsi" w:cstheme="minorBidi"/>
              <w:noProof/>
              <w:color w:val="auto"/>
              <w:kern w:val="2"/>
              <w14:ligatures w14:val="standardContextual"/>
            </w:rPr>
          </w:pPr>
          <w:hyperlink w:anchor="_Toc228040830" w:history="1">
            <w:r w:rsidR="00B82AF8" w:rsidRPr="005D05B0">
              <w:rPr>
                <w:rStyle w:val="Hyperlink"/>
                <w:noProof/>
              </w:rPr>
              <w:t>2.6</w:t>
            </w:r>
            <w:r w:rsidR="00B82AF8">
              <w:rPr>
                <w:rFonts w:asciiTheme="minorHAnsi" w:eastAsiaTheme="minorEastAsia" w:hAnsiTheme="minorHAnsi" w:cstheme="minorBidi"/>
                <w:noProof/>
                <w:color w:val="auto"/>
                <w:kern w:val="2"/>
                <w14:ligatures w14:val="standardContextual"/>
              </w:rPr>
              <w:tab/>
            </w:r>
            <w:r w:rsidR="00B82AF8" w:rsidRPr="005D05B0">
              <w:rPr>
                <w:rStyle w:val="Hyperlink"/>
                <w:noProof/>
              </w:rPr>
              <w:t>Industry Structure Analysis: Porter’s Five Forces in AI-Driven Banking</w:t>
            </w:r>
            <w:r w:rsidR="00B82AF8">
              <w:rPr>
                <w:noProof/>
                <w:webHidden/>
              </w:rPr>
              <w:tab/>
            </w:r>
            <w:r w:rsidR="00B82AF8">
              <w:rPr>
                <w:noProof/>
                <w:webHidden/>
              </w:rPr>
              <w:fldChar w:fldCharType="begin"/>
            </w:r>
            <w:r w:rsidR="00B82AF8">
              <w:rPr>
                <w:noProof/>
                <w:webHidden/>
              </w:rPr>
              <w:instrText xml:space="preserve"> PAGEREF _Toc228040830 \h </w:instrText>
            </w:r>
            <w:r w:rsidR="00B82AF8">
              <w:rPr>
                <w:noProof/>
                <w:webHidden/>
              </w:rPr>
            </w:r>
            <w:r w:rsidR="00B82AF8">
              <w:rPr>
                <w:noProof/>
                <w:webHidden/>
              </w:rPr>
              <w:fldChar w:fldCharType="separate"/>
            </w:r>
            <w:r w:rsidR="00B82AF8">
              <w:rPr>
                <w:noProof/>
                <w:webHidden/>
              </w:rPr>
              <w:t>12</w:t>
            </w:r>
            <w:r w:rsidR="00B82AF8">
              <w:rPr>
                <w:noProof/>
                <w:webHidden/>
              </w:rPr>
              <w:fldChar w:fldCharType="end"/>
            </w:r>
          </w:hyperlink>
        </w:p>
        <w:p w14:paraId="48AEC97D" w14:textId="26B698E3" w:rsidR="00B82AF8" w:rsidRDefault="008124A7" w:rsidP="006857FB">
          <w:pPr>
            <w:pStyle w:val="TOC1"/>
            <w:tabs>
              <w:tab w:val="left" w:pos="480"/>
              <w:tab w:val="right" w:leader="dot" w:pos="9016"/>
            </w:tabs>
            <w:spacing w:after="0" w:line="360" w:lineRule="auto"/>
            <w:rPr>
              <w:rFonts w:asciiTheme="minorHAnsi" w:eastAsiaTheme="minorEastAsia" w:hAnsiTheme="minorHAnsi" w:cstheme="minorBidi"/>
              <w:noProof/>
              <w:color w:val="auto"/>
              <w:kern w:val="2"/>
              <w14:ligatures w14:val="standardContextual"/>
            </w:rPr>
          </w:pPr>
          <w:hyperlink w:anchor="_Toc228040831" w:history="1">
            <w:r w:rsidR="00B82AF8" w:rsidRPr="005D05B0">
              <w:rPr>
                <w:rStyle w:val="Hyperlink"/>
                <w:noProof/>
              </w:rPr>
              <w:t>3.</w:t>
            </w:r>
            <w:r w:rsidR="00B82AF8">
              <w:rPr>
                <w:rFonts w:asciiTheme="minorHAnsi" w:eastAsiaTheme="minorEastAsia" w:hAnsiTheme="minorHAnsi" w:cstheme="minorBidi"/>
                <w:noProof/>
                <w:color w:val="auto"/>
                <w:kern w:val="2"/>
                <w14:ligatures w14:val="standardContextual"/>
              </w:rPr>
              <w:tab/>
            </w:r>
            <w:r w:rsidR="00B82AF8" w:rsidRPr="005D05B0">
              <w:rPr>
                <w:rStyle w:val="Hyperlink"/>
                <w:noProof/>
              </w:rPr>
              <w:t>Proposed Framework: Governance-Trust-Competitiveness (GTC)</w:t>
            </w:r>
            <w:r w:rsidR="00B82AF8">
              <w:rPr>
                <w:noProof/>
                <w:webHidden/>
              </w:rPr>
              <w:tab/>
            </w:r>
            <w:r w:rsidR="00B82AF8">
              <w:rPr>
                <w:noProof/>
                <w:webHidden/>
              </w:rPr>
              <w:fldChar w:fldCharType="begin"/>
            </w:r>
            <w:r w:rsidR="00B82AF8">
              <w:rPr>
                <w:noProof/>
                <w:webHidden/>
              </w:rPr>
              <w:instrText xml:space="preserve"> PAGEREF _Toc228040831 \h </w:instrText>
            </w:r>
            <w:r w:rsidR="00B82AF8">
              <w:rPr>
                <w:noProof/>
                <w:webHidden/>
              </w:rPr>
            </w:r>
            <w:r w:rsidR="00B82AF8">
              <w:rPr>
                <w:noProof/>
                <w:webHidden/>
              </w:rPr>
              <w:fldChar w:fldCharType="separate"/>
            </w:r>
            <w:r w:rsidR="00B82AF8">
              <w:rPr>
                <w:noProof/>
                <w:webHidden/>
              </w:rPr>
              <w:t>13</w:t>
            </w:r>
            <w:r w:rsidR="00B82AF8">
              <w:rPr>
                <w:noProof/>
                <w:webHidden/>
              </w:rPr>
              <w:fldChar w:fldCharType="end"/>
            </w:r>
          </w:hyperlink>
        </w:p>
        <w:p w14:paraId="7474A63C" w14:textId="06BA98C9" w:rsidR="00B82AF8" w:rsidRDefault="008124A7" w:rsidP="006857FB">
          <w:pPr>
            <w:pStyle w:val="TOC1"/>
            <w:tabs>
              <w:tab w:val="left" w:pos="480"/>
              <w:tab w:val="right" w:leader="dot" w:pos="9016"/>
            </w:tabs>
            <w:spacing w:after="0" w:line="360" w:lineRule="auto"/>
            <w:rPr>
              <w:rFonts w:asciiTheme="minorHAnsi" w:eastAsiaTheme="minorEastAsia" w:hAnsiTheme="minorHAnsi" w:cstheme="minorBidi"/>
              <w:noProof/>
              <w:color w:val="auto"/>
              <w:kern w:val="2"/>
              <w14:ligatures w14:val="standardContextual"/>
            </w:rPr>
          </w:pPr>
          <w:hyperlink w:anchor="_Toc228040832" w:history="1">
            <w:r w:rsidR="00B82AF8" w:rsidRPr="005D05B0">
              <w:rPr>
                <w:rStyle w:val="Hyperlink"/>
                <w:noProof/>
              </w:rPr>
              <w:t>4.</w:t>
            </w:r>
            <w:r w:rsidR="00B82AF8">
              <w:rPr>
                <w:rFonts w:asciiTheme="minorHAnsi" w:eastAsiaTheme="minorEastAsia" w:hAnsiTheme="minorHAnsi" w:cstheme="minorBidi"/>
                <w:noProof/>
                <w:color w:val="auto"/>
                <w:kern w:val="2"/>
                <w14:ligatures w14:val="standardContextual"/>
              </w:rPr>
              <w:tab/>
            </w:r>
            <w:r w:rsidR="00B82AF8" w:rsidRPr="005D05B0">
              <w:rPr>
                <w:rStyle w:val="Hyperlink"/>
                <w:noProof/>
              </w:rPr>
              <w:t>Implementation Plan</w:t>
            </w:r>
            <w:r w:rsidR="00B82AF8">
              <w:rPr>
                <w:noProof/>
                <w:webHidden/>
              </w:rPr>
              <w:tab/>
            </w:r>
            <w:r w:rsidR="00B82AF8">
              <w:rPr>
                <w:noProof/>
                <w:webHidden/>
              </w:rPr>
              <w:fldChar w:fldCharType="begin"/>
            </w:r>
            <w:r w:rsidR="00B82AF8">
              <w:rPr>
                <w:noProof/>
                <w:webHidden/>
              </w:rPr>
              <w:instrText xml:space="preserve"> PAGEREF _Toc228040832 \h </w:instrText>
            </w:r>
            <w:r w:rsidR="00B82AF8">
              <w:rPr>
                <w:noProof/>
                <w:webHidden/>
              </w:rPr>
            </w:r>
            <w:r w:rsidR="00B82AF8">
              <w:rPr>
                <w:noProof/>
                <w:webHidden/>
              </w:rPr>
              <w:fldChar w:fldCharType="separate"/>
            </w:r>
            <w:r w:rsidR="00B82AF8">
              <w:rPr>
                <w:noProof/>
                <w:webHidden/>
              </w:rPr>
              <w:t>15</w:t>
            </w:r>
            <w:r w:rsidR="00B82AF8">
              <w:rPr>
                <w:noProof/>
                <w:webHidden/>
              </w:rPr>
              <w:fldChar w:fldCharType="end"/>
            </w:r>
          </w:hyperlink>
        </w:p>
        <w:p w14:paraId="3A1A463B" w14:textId="486B121C" w:rsidR="00B82AF8" w:rsidRDefault="008124A7" w:rsidP="006857FB">
          <w:pPr>
            <w:pStyle w:val="TOC2"/>
            <w:tabs>
              <w:tab w:val="left" w:pos="960"/>
              <w:tab w:val="right" w:leader="dot" w:pos="9016"/>
            </w:tabs>
            <w:spacing w:after="0" w:line="360" w:lineRule="auto"/>
            <w:rPr>
              <w:rFonts w:asciiTheme="minorHAnsi" w:eastAsiaTheme="minorEastAsia" w:hAnsiTheme="minorHAnsi" w:cstheme="minorBidi"/>
              <w:noProof/>
              <w:color w:val="auto"/>
              <w:kern w:val="2"/>
              <w14:ligatures w14:val="standardContextual"/>
            </w:rPr>
          </w:pPr>
          <w:hyperlink w:anchor="_Toc228040833" w:history="1">
            <w:r w:rsidR="00B82AF8" w:rsidRPr="005D05B0">
              <w:rPr>
                <w:rStyle w:val="Hyperlink"/>
                <w:noProof/>
              </w:rPr>
              <w:t>4.1</w:t>
            </w:r>
            <w:r w:rsidR="00B82AF8">
              <w:rPr>
                <w:rFonts w:asciiTheme="minorHAnsi" w:eastAsiaTheme="minorEastAsia" w:hAnsiTheme="minorHAnsi" w:cstheme="minorBidi"/>
                <w:noProof/>
                <w:color w:val="auto"/>
                <w:kern w:val="2"/>
                <w14:ligatures w14:val="standardContextual"/>
              </w:rPr>
              <w:tab/>
            </w:r>
            <w:r w:rsidR="00B82AF8" w:rsidRPr="005D05B0">
              <w:rPr>
                <w:rStyle w:val="Hyperlink"/>
                <w:noProof/>
              </w:rPr>
              <w:t>Short-Term Recommendations (0 to 12 Months)</w:t>
            </w:r>
            <w:r w:rsidR="00B82AF8">
              <w:rPr>
                <w:noProof/>
                <w:webHidden/>
              </w:rPr>
              <w:tab/>
            </w:r>
            <w:r w:rsidR="00B82AF8">
              <w:rPr>
                <w:noProof/>
                <w:webHidden/>
              </w:rPr>
              <w:fldChar w:fldCharType="begin"/>
            </w:r>
            <w:r w:rsidR="00B82AF8">
              <w:rPr>
                <w:noProof/>
                <w:webHidden/>
              </w:rPr>
              <w:instrText xml:space="preserve"> PAGEREF _Toc228040833 \h </w:instrText>
            </w:r>
            <w:r w:rsidR="00B82AF8">
              <w:rPr>
                <w:noProof/>
                <w:webHidden/>
              </w:rPr>
            </w:r>
            <w:r w:rsidR="00B82AF8">
              <w:rPr>
                <w:noProof/>
                <w:webHidden/>
              </w:rPr>
              <w:fldChar w:fldCharType="separate"/>
            </w:r>
            <w:r w:rsidR="00B82AF8">
              <w:rPr>
                <w:noProof/>
                <w:webHidden/>
              </w:rPr>
              <w:t>15</w:t>
            </w:r>
            <w:r w:rsidR="00B82AF8">
              <w:rPr>
                <w:noProof/>
                <w:webHidden/>
              </w:rPr>
              <w:fldChar w:fldCharType="end"/>
            </w:r>
          </w:hyperlink>
        </w:p>
        <w:p w14:paraId="1D0517C8" w14:textId="4DFD274A" w:rsidR="00B82AF8" w:rsidRDefault="008124A7" w:rsidP="006857FB">
          <w:pPr>
            <w:pStyle w:val="TOC2"/>
            <w:tabs>
              <w:tab w:val="left" w:pos="960"/>
              <w:tab w:val="right" w:leader="dot" w:pos="9016"/>
            </w:tabs>
            <w:spacing w:after="0" w:line="360" w:lineRule="auto"/>
            <w:rPr>
              <w:rFonts w:asciiTheme="minorHAnsi" w:eastAsiaTheme="minorEastAsia" w:hAnsiTheme="minorHAnsi" w:cstheme="minorBidi"/>
              <w:noProof/>
              <w:color w:val="auto"/>
              <w:kern w:val="2"/>
              <w14:ligatures w14:val="standardContextual"/>
            </w:rPr>
          </w:pPr>
          <w:hyperlink w:anchor="_Toc228040834" w:history="1">
            <w:r w:rsidR="00B82AF8" w:rsidRPr="005D05B0">
              <w:rPr>
                <w:rStyle w:val="Hyperlink"/>
                <w:noProof/>
              </w:rPr>
              <w:t>4.2</w:t>
            </w:r>
            <w:r w:rsidR="00B82AF8">
              <w:rPr>
                <w:rFonts w:asciiTheme="minorHAnsi" w:eastAsiaTheme="minorEastAsia" w:hAnsiTheme="minorHAnsi" w:cstheme="minorBidi"/>
                <w:noProof/>
                <w:color w:val="auto"/>
                <w:kern w:val="2"/>
                <w14:ligatures w14:val="standardContextual"/>
              </w:rPr>
              <w:tab/>
            </w:r>
            <w:r w:rsidR="00B82AF8" w:rsidRPr="005D05B0">
              <w:rPr>
                <w:rStyle w:val="Hyperlink"/>
                <w:noProof/>
              </w:rPr>
              <w:t>Medium-Term Recommendations (1 to 3 Years)</w:t>
            </w:r>
            <w:r w:rsidR="00B82AF8">
              <w:rPr>
                <w:noProof/>
                <w:webHidden/>
              </w:rPr>
              <w:tab/>
            </w:r>
            <w:r w:rsidR="00B82AF8">
              <w:rPr>
                <w:noProof/>
                <w:webHidden/>
              </w:rPr>
              <w:fldChar w:fldCharType="begin"/>
            </w:r>
            <w:r w:rsidR="00B82AF8">
              <w:rPr>
                <w:noProof/>
                <w:webHidden/>
              </w:rPr>
              <w:instrText xml:space="preserve"> PAGEREF _Toc228040834 \h </w:instrText>
            </w:r>
            <w:r w:rsidR="00B82AF8">
              <w:rPr>
                <w:noProof/>
                <w:webHidden/>
              </w:rPr>
            </w:r>
            <w:r w:rsidR="00B82AF8">
              <w:rPr>
                <w:noProof/>
                <w:webHidden/>
              </w:rPr>
              <w:fldChar w:fldCharType="separate"/>
            </w:r>
            <w:r w:rsidR="00B82AF8">
              <w:rPr>
                <w:noProof/>
                <w:webHidden/>
              </w:rPr>
              <w:t>15</w:t>
            </w:r>
            <w:r w:rsidR="00B82AF8">
              <w:rPr>
                <w:noProof/>
                <w:webHidden/>
              </w:rPr>
              <w:fldChar w:fldCharType="end"/>
            </w:r>
          </w:hyperlink>
        </w:p>
        <w:p w14:paraId="676E1F08" w14:textId="39968A90" w:rsidR="00B82AF8" w:rsidRDefault="008124A7" w:rsidP="006857FB">
          <w:pPr>
            <w:pStyle w:val="TOC2"/>
            <w:tabs>
              <w:tab w:val="left" w:pos="960"/>
              <w:tab w:val="right" w:leader="dot" w:pos="9016"/>
            </w:tabs>
            <w:spacing w:after="0" w:line="360" w:lineRule="auto"/>
            <w:rPr>
              <w:rFonts w:asciiTheme="minorHAnsi" w:eastAsiaTheme="minorEastAsia" w:hAnsiTheme="minorHAnsi" w:cstheme="minorBidi"/>
              <w:noProof/>
              <w:color w:val="auto"/>
              <w:kern w:val="2"/>
              <w14:ligatures w14:val="standardContextual"/>
            </w:rPr>
          </w:pPr>
          <w:hyperlink w:anchor="_Toc228040835" w:history="1">
            <w:r w:rsidR="00B82AF8" w:rsidRPr="005D05B0">
              <w:rPr>
                <w:rStyle w:val="Hyperlink"/>
                <w:noProof/>
              </w:rPr>
              <w:t>4.3</w:t>
            </w:r>
            <w:r w:rsidR="00B82AF8">
              <w:rPr>
                <w:rFonts w:asciiTheme="minorHAnsi" w:eastAsiaTheme="minorEastAsia" w:hAnsiTheme="minorHAnsi" w:cstheme="minorBidi"/>
                <w:noProof/>
                <w:color w:val="auto"/>
                <w:kern w:val="2"/>
                <w14:ligatures w14:val="standardContextual"/>
              </w:rPr>
              <w:tab/>
            </w:r>
            <w:r w:rsidR="00B82AF8" w:rsidRPr="005D05B0">
              <w:rPr>
                <w:rStyle w:val="Hyperlink"/>
                <w:noProof/>
              </w:rPr>
              <w:t>Long-Term Recommendations (3 to 5 Years)</w:t>
            </w:r>
            <w:r w:rsidR="00B82AF8">
              <w:rPr>
                <w:noProof/>
                <w:webHidden/>
              </w:rPr>
              <w:tab/>
            </w:r>
            <w:r w:rsidR="00B82AF8">
              <w:rPr>
                <w:noProof/>
                <w:webHidden/>
              </w:rPr>
              <w:fldChar w:fldCharType="begin"/>
            </w:r>
            <w:r w:rsidR="00B82AF8">
              <w:rPr>
                <w:noProof/>
                <w:webHidden/>
              </w:rPr>
              <w:instrText xml:space="preserve"> PAGEREF _Toc228040835 \h </w:instrText>
            </w:r>
            <w:r w:rsidR="00B82AF8">
              <w:rPr>
                <w:noProof/>
                <w:webHidden/>
              </w:rPr>
            </w:r>
            <w:r w:rsidR="00B82AF8">
              <w:rPr>
                <w:noProof/>
                <w:webHidden/>
              </w:rPr>
              <w:fldChar w:fldCharType="separate"/>
            </w:r>
            <w:r w:rsidR="00B82AF8">
              <w:rPr>
                <w:noProof/>
                <w:webHidden/>
              </w:rPr>
              <w:t>17</w:t>
            </w:r>
            <w:r w:rsidR="00B82AF8">
              <w:rPr>
                <w:noProof/>
                <w:webHidden/>
              </w:rPr>
              <w:fldChar w:fldCharType="end"/>
            </w:r>
          </w:hyperlink>
        </w:p>
        <w:p w14:paraId="06A96BC6" w14:textId="6319E40E" w:rsidR="00B82AF8" w:rsidRDefault="008124A7" w:rsidP="006857FB">
          <w:pPr>
            <w:pStyle w:val="TOC1"/>
            <w:tabs>
              <w:tab w:val="left" w:pos="480"/>
              <w:tab w:val="right" w:leader="dot" w:pos="9016"/>
            </w:tabs>
            <w:spacing w:after="0" w:line="360" w:lineRule="auto"/>
            <w:rPr>
              <w:rFonts w:asciiTheme="minorHAnsi" w:eastAsiaTheme="minorEastAsia" w:hAnsiTheme="minorHAnsi" w:cstheme="minorBidi"/>
              <w:noProof/>
              <w:color w:val="auto"/>
              <w:kern w:val="2"/>
              <w14:ligatures w14:val="standardContextual"/>
            </w:rPr>
          </w:pPr>
          <w:hyperlink w:anchor="_Toc228040836" w:history="1">
            <w:r w:rsidR="00B82AF8" w:rsidRPr="005D05B0">
              <w:rPr>
                <w:rStyle w:val="Hyperlink"/>
                <w:noProof/>
              </w:rPr>
              <w:t>5.</w:t>
            </w:r>
            <w:r w:rsidR="00B82AF8">
              <w:rPr>
                <w:rFonts w:asciiTheme="minorHAnsi" w:eastAsiaTheme="minorEastAsia" w:hAnsiTheme="minorHAnsi" w:cstheme="minorBidi"/>
                <w:noProof/>
                <w:color w:val="auto"/>
                <w:kern w:val="2"/>
                <w14:ligatures w14:val="standardContextual"/>
              </w:rPr>
              <w:tab/>
            </w:r>
            <w:r w:rsidR="00B82AF8" w:rsidRPr="005D05B0">
              <w:rPr>
                <w:rStyle w:val="Hyperlink"/>
                <w:noProof/>
              </w:rPr>
              <w:t>Conclusion</w:t>
            </w:r>
            <w:r w:rsidR="00B82AF8">
              <w:rPr>
                <w:noProof/>
                <w:webHidden/>
              </w:rPr>
              <w:tab/>
            </w:r>
            <w:r w:rsidR="00B82AF8">
              <w:rPr>
                <w:noProof/>
                <w:webHidden/>
              </w:rPr>
              <w:fldChar w:fldCharType="begin"/>
            </w:r>
            <w:r w:rsidR="00B82AF8">
              <w:rPr>
                <w:noProof/>
                <w:webHidden/>
              </w:rPr>
              <w:instrText xml:space="preserve"> PAGEREF _Toc228040836 \h </w:instrText>
            </w:r>
            <w:r w:rsidR="00B82AF8">
              <w:rPr>
                <w:noProof/>
                <w:webHidden/>
              </w:rPr>
            </w:r>
            <w:r w:rsidR="00B82AF8">
              <w:rPr>
                <w:noProof/>
                <w:webHidden/>
              </w:rPr>
              <w:fldChar w:fldCharType="separate"/>
            </w:r>
            <w:r w:rsidR="00B82AF8">
              <w:rPr>
                <w:noProof/>
                <w:webHidden/>
              </w:rPr>
              <w:t>22</w:t>
            </w:r>
            <w:r w:rsidR="00B82AF8">
              <w:rPr>
                <w:noProof/>
                <w:webHidden/>
              </w:rPr>
              <w:fldChar w:fldCharType="end"/>
            </w:r>
          </w:hyperlink>
        </w:p>
        <w:p w14:paraId="2C9833B1" w14:textId="32ECC458" w:rsidR="00B82AF8" w:rsidRDefault="008124A7" w:rsidP="006857FB">
          <w:pPr>
            <w:pStyle w:val="TOC1"/>
            <w:tabs>
              <w:tab w:val="left" w:pos="480"/>
              <w:tab w:val="right" w:leader="dot" w:pos="9016"/>
            </w:tabs>
            <w:spacing w:after="0" w:line="360" w:lineRule="auto"/>
            <w:rPr>
              <w:rFonts w:asciiTheme="minorHAnsi" w:eastAsiaTheme="minorEastAsia" w:hAnsiTheme="minorHAnsi" w:cstheme="minorBidi"/>
              <w:noProof/>
              <w:color w:val="auto"/>
              <w:kern w:val="2"/>
              <w14:ligatures w14:val="standardContextual"/>
            </w:rPr>
          </w:pPr>
          <w:hyperlink w:anchor="_Toc228040837" w:history="1">
            <w:r w:rsidR="00B82AF8" w:rsidRPr="005D05B0">
              <w:rPr>
                <w:rStyle w:val="Hyperlink"/>
                <w:noProof/>
              </w:rPr>
              <w:t>6.</w:t>
            </w:r>
            <w:r w:rsidR="00B82AF8">
              <w:rPr>
                <w:rFonts w:asciiTheme="minorHAnsi" w:eastAsiaTheme="minorEastAsia" w:hAnsiTheme="minorHAnsi" w:cstheme="minorBidi"/>
                <w:noProof/>
                <w:color w:val="auto"/>
                <w:kern w:val="2"/>
                <w14:ligatures w14:val="standardContextual"/>
              </w:rPr>
              <w:tab/>
            </w:r>
            <w:r w:rsidR="00B82AF8" w:rsidRPr="005D05B0">
              <w:rPr>
                <w:rStyle w:val="Hyperlink"/>
                <w:noProof/>
              </w:rPr>
              <w:t>Bibliography</w:t>
            </w:r>
            <w:r w:rsidR="00B82AF8">
              <w:rPr>
                <w:noProof/>
                <w:webHidden/>
              </w:rPr>
              <w:tab/>
            </w:r>
            <w:r w:rsidR="00B82AF8">
              <w:rPr>
                <w:noProof/>
                <w:webHidden/>
              </w:rPr>
              <w:fldChar w:fldCharType="begin"/>
            </w:r>
            <w:r w:rsidR="00B82AF8">
              <w:rPr>
                <w:noProof/>
                <w:webHidden/>
              </w:rPr>
              <w:instrText xml:space="preserve"> PAGEREF _Toc228040837 \h </w:instrText>
            </w:r>
            <w:r w:rsidR="00B82AF8">
              <w:rPr>
                <w:noProof/>
                <w:webHidden/>
              </w:rPr>
            </w:r>
            <w:r w:rsidR="00B82AF8">
              <w:rPr>
                <w:noProof/>
                <w:webHidden/>
              </w:rPr>
              <w:fldChar w:fldCharType="separate"/>
            </w:r>
            <w:r w:rsidR="00B82AF8">
              <w:rPr>
                <w:noProof/>
                <w:webHidden/>
              </w:rPr>
              <w:t>23</w:t>
            </w:r>
            <w:r w:rsidR="00B82AF8">
              <w:rPr>
                <w:noProof/>
                <w:webHidden/>
              </w:rPr>
              <w:fldChar w:fldCharType="end"/>
            </w:r>
          </w:hyperlink>
        </w:p>
        <w:p w14:paraId="6603DFF2" w14:textId="54EA475F" w:rsidR="00B82AF8" w:rsidRDefault="008124A7" w:rsidP="006857FB">
          <w:pPr>
            <w:pStyle w:val="TOC1"/>
            <w:tabs>
              <w:tab w:val="left" w:pos="480"/>
              <w:tab w:val="right" w:leader="dot" w:pos="9016"/>
            </w:tabs>
            <w:spacing w:after="0" w:line="360" w:lineRule="auto"/>
            <w:rPr>
              <w:rFonts w:asciiTheme="minorHAnsi" w:eastAsiaTheme="minorEastAsia" w:hAnsiTheme="minorHAnsi" w:cstheme="minorBidi"/>
              <w:noProof/>
              <w:color w:val="auto"/>
              <w:kern w:val="2"/>
              <w14:ligatures w14:val="standardContextual"/>
            </w:rPr>
          </w:pPr>
          <w:hyperlink w:anchor="_Toc228040838" w:history="1">
            <w:r w:rsidR="00B82AF8" w:rsidRPr="005D05B0">
              <w:rPr>
                <w:rStyle w:val="Hyperlink"/>
                <w:noProof/>
              </w:rPr>
              <w:t>7.</w:t>
            </w:r>
            <w:r w:rsidR="00B82AF8">
              <w:rPr>
                <w:rFonts w:asciiTheme="minorHAnsi" w:eastAsiaTheme="minorEastAsia" w:hAnsiTheme="minorHAnsi" w:cstheme="minorBidi"/>
                <w:noProof/>
                <w:color w:val="auto"/>
                <w:kern w:val="2"/>
                <w14:ligatures w14:val="standardContextual"/>
              </w:rPr>
              <w:tab/>
            </w:r>
            <w:r w:rsidR="00B82AF8" w:rsidRPr="005D05B0">
              <w:rPr>
                <w:rStyle w:val="Hyperlink"/>
                <w:noProof/>
              </w:rPr>
              <w:t>Appendix A: Peer Benchmarking Analysis</w:t>
            </w:r>
            <w:r w:rsidR="00B82AF8">
              <w:rPr>
                <w:noProof/>
                <w:webHidden/>
              </w:rPr>
              <w:tab/>
            </w:r>
            <w:r w:rsidR="00B82AF8">
              <w:rPr>
                <w:noProof/>
                <w:webHidden/>
              </w:rPr>
              <w:fldChar w:fldCharType="begin"/>
            </w:r>
            <w:r w:rsidR="00B82AF8">
              <w:rPr>
                <w:noProof/>
                <w:webHidden/>
              </w:rPr>
              <w:instrText xml:space="preserve"> PAGEREF _Toc228040838 \h </w:instrText>
            </w:r>
            <w:r w:rsidR="00B82AF8">
              <w:rPr>
                <w:noProof/>
                <w:webHidden/>
              </w:rPr>
            </w:r>
            <w:r w:rsidR="00B82AF8">
              <w:rPr>
                <w:noProof/>
                <w:webHidden/>
              </w:rPr>
              <w:fldChar w:fldCharType="separate"/>
            </w:r>
            <w:r w:rsidR="00B82AF8">
              <w:rPr>
                <w:noProof/>
                <w:webHidden/>
              </w:rPr>
              <w:t>29</w:t>
            </w:r>
            <w:r w:rsidR="00B82AF8">
              <w:rPr>
                <w:noProof/>
                <w:webHidden/>
              </w:rPr>
              <w:fldChar w:fldCharType="end"/>
            </w:r>
          </w:hyperlink>
        </w:p>
        <w:p w14:paraId="5B2FF795" w14:textId="3DB32E2A" w:rsidR="00570DC0" w:rsidRPr="00D443EA" w:rsidRDefault="00570DC0" w:rsidP="006857FB">
          <w:pPr>
            <w:spacing w:line="360" w:lineRule="auto"/>
          </w:pPr>
          <w:r w:rsidRPr="00D443EA">
            <w:rPr>
              <w:b/>
              <w:bCs/>
              <w:noProof/>
            </w:rPr>
            <w:fldChar w:fldCharType="end"/>
          </w:r>
        </w:p>
      </w:sdtContent>
    </w:sdt>
    <w:p w14:paraId="38027262" w14:textId="77777777" w:rsidR="00B5243C" w:rsidRPr="00D443EA" w:rsidRDefault="00B5243C" w:rsidP="006857FB">
      <w:pPr>
        <w:spacing w:line="360" w:lineRule="auto"/>
        <w:jc w:val="both"/>
      </w:pPr>
    </w:p>
    <w:p w14:paraId="0DD137D7" w14:textId="7FEFF82A" w:rsidR="00B5243C" w:rsidRPr="00D443EA" w:rsidRDefault="00856726" w:rsidP="006857FB">
      <w:pPr>
        <w:spacing w:line="360" w:lineRule="auto"/>
        <w:jc w:val="both"/>
      </w:pPr>
      <w:r w:rsidRPr="00D443EA">
        <w:br w:type="page"/>
      </w:r>
    </w:p>
    <w:p w14:paraId="2E57F50B" w14:textId="6A8A7736" w:rsidR="00B5243C" w:rsidRPr="00D443EA" w:rsidRDefault="00856726" w:rsidP="006857FB">
      <w:pPr>
        <w:pStyle w:val="Heading1"/>
      </w:pPr>
      <w:bookmarkStart w:id="1" w:name="_Toc228040823"/>
      <w:r w:rsidRPr="00D443EA">
        <w:lastRenderedPageBreak/>
        <w:t>Introduction</w:t>
      </w:r>
      <w:bookmarkEnd w:id="1"/>
    </w:p>
    <w:p w14:paraId="4CD09312" w14:textId="77777777" w:rsidR="002E732A" w:rsidRPr="00D443EA" w:rsidRDefault="002E732A" w:rsidP="006857FB">
      <w:pPr>
        <w:spacing w:line="360" w:lineRule="auto"/>
        <w:jc w:val="both"/>
      </w:pPr>
      <w:r w:rsidRPr="00D443EA">
        <w:t>Artificial intelligence has emerged as a structural determinant of competitive placement, operational effectiveness and systemic risk in global banking. One of the fastest growing financial institutions in the world in terms of total assets, HSBC Holdings Plc, stands at the nexus of these pressures. Based in London and with significant operations in Asia, Europe, and the Americas, HSBC has publicly pledged to an AI-first strategy that includes credit risk modelling, financial crime detection, customer personalisation, and capital optimisation (HSBC, 2024). McKinsey Global Institute (2023) claims that AI might create up to USD 1 trillion of new value each year to the banking sector worldwide, largely due to efficient risk management and personalising revenue, but this potential will only happen when proper governance frameworks stop the harmful effects of algorithms.</w:t>
      </w:r>
    </w:p>
    <w:p w14:paraId="78A6F998" w14:textId="77777777" w:rsidR="002E732A" w:rsidRPr="00D443EA" w:rsidRDefault="002E732A" w:rsidP="006857FB">
      <w:pPr>
        <w:spacing w:line="360" w:lineRule="auto"/>
        <w:jc w:val="both"/>
      </w:pPr>
      <w:r w:rsidRPr="00D443EA">
        <w:t>In this report, the author advises the top management of HSBC on how to overcome regulatory, ethical, and governance issues that come along with the implementation of AI on a mass scale. The areas include data governance, responsible use of AI, regulatory compliance, and customer trust. It is analyzed in the UK where HSBC falls under Financial Conduct Authority (FCA) and Prudential Regulation Authority (PRA) and Singapore where the Monetary Authority of Singapore (MAS) has built one of the most functionally developed AI governance systems in the Asian region. Singapore is also strategically pertinent since HSBC makes most of its profit in Asia and the regulatory requirements of MAS directly impact on the HSBC strategy of deploying AI in the region.</w:t>
      </w:r>
    </w:p>
    <w:p w14:paraId="6F609BCB" w14:textId="38C2372D" w:rsidR="00B5243C" w:rsidRPr="00D443EA" w:rsidRDefault="002E732A" w:rsidP="006857FB">
      <w:pPr>
        <w:spacing w:line="360" w:lineRule="auto"/>
        <w:jc w:val="both"/>
      </w:pPr>
      <w:r w:rsidRPr="00D443EA">
        <w:t>The report presents a new Governance-Trust-Competitiveness (GTC) model and compares HSBC to three of its peers: DBS Bank, JPMorgan Chase, and Standard Chartered. Conflicting evidence is accepted everywhere: the advantages of AI are tangible and impressive, and no less tangible are the structural risks, and the scholarly and business literature is not unanimously in favor of the fact that existing governance strategies suffice. The report continues with the key findings in Part 2, the proposed GTC framework in Part 3 and a step-by-step implementation strategy with risk mitigation measures in Part 4.</w:t>
      </w:r>
    </w:p>
    <w:p w14:paraId="68459F4C" w14:textId="77777777" w:rsidR="00B5243C" w:rsidRPr="00D443EA" w:rsidRDefault="00856726" w:rsidP="006857FB">
      <w:pPr>
        <w:spacing w:line="360" w:lineRule="auto"/>
        <w:jc w:val="both"/>
      </w:pPr>
      <w:r w:rsidRPr="00D443EA">
        <w:br w:type="page"/>
      </w:r>
    </w:p>
    <w:p w14:paraId="51FD1DD2" w14:textId="13947ADA" w:rsidR="00B5243C" w:rsidRPr="00D443EA" w:rsidRDefault="00856726" w:rsidP="006857FB">
      <w:pPr>
        <w:pStyle w:val="Heading1"/>
      </w:pPr>
      <w:bookmarkStart w:id="2" w:name="_Toc228040824"/>
      <w:r w:rsidRPr="00D443EA">
        <w:lastRenderedPageBreak/>
        <w:t>Main Findings</w:t>
      </w:r>
      <w:bookmarkEnd w:id="2"/>
    </w:p>
    <w:p w14:paraId="766DDAC0" w14:textId="7F351CB9" w:rsidR="00B5243C" w:rsidRPr="00D443EA" w:rsidRDefault="00856726" w:rsidP="006857FB">
      <w:pPr>
        <w:pStyle w:val="Heading2"/>
      </w:pPr>
      <w:bookmarkStart w:id="3" w:name="_Toc228040825"/>
      <w:r w:rsidRPr="00D443EA">
        <w:t>PESTLE Analysis: The AI Risk Landscape</w:t>
      </w:r>
      <w:bookmarkEnd w:id="3"/>
    </w:p>
    <w:p w14:paraId="6F6DF34E" w14:textId="6997766D" w:rsidR="00B5243C" w:rsidRPr="00D443EA" w:rsidRDefault="002E732A" w:rsidP="006857FB">
      <w:pPr>
        <w:spacing w:line="360" w:lineRule="auto"/>
        <w:jc w:val="both"/>
      </w:pPr>
      <w:r w:rsidRPr="00D443EA">
        <w:t>A PEST analysis is a systematic perspective on assessing the macro-environmental factors that influence AI risk management of HSBC. Table 1 aligns each dimension with company implications and regulatory touchpoints.</w:t>
      </w:r>
    </w:p>
    <w:p w14:paraId="681BE567" w14:textId="77777777" w:rsidR="00B5243C" w:rsidRPr="00D443EA" w:rsidRDefault="00856726" w:rsidP="006857FB">
      <w:pPr>
        <w:spacing w:line="360" w:lineRule="auto"/>
        <w:rPr>
          <w:b/>
          <w:bCs/>
        </w:rPr>
      </w:pPr>
      <w:r w:rsidRPr="00D443EA">
        <w:rPr>
          <w:b/>
          <w:bCs/>
        </w:rPr>
        <w:t>Political</w:t>
      </w:r>
    </w:p>
    <w:p w14:paraId="113C9A2E" w14:textId="73E8D148" w:rsidR="00B5243C" w:rsidRPr="00D443EA" w:rsidRDefault="002E732A" w:rsidP="006857FB">
      <w:pPr>
        <w:spacing w:line="360" w:lineRule="auto"/>
        <w:jc w:val="both"/>
      </w:pPr>
      <w:r w:rsidRPr="00D443EA">
        <w:t>The UK government has taken a principles-based, sector-led strategy, opposing the prescriptive AI legislations. The 2025 AI approach document by FCA is an indication of a shift in the regulator of observation to active supervisory action where harms involving AI exist in the current powers of the Financial Services and Markets Act (Financial Conduct Authority, 2025). The MAS in Singapore functions as part of a national AI governance strategy under the Singapore National AI Strategy 2.0, and that regulates MAS by viewing it as empowering responsible innovation as opposed to limiting it (MAS, 2023). Political risk to HSBC is thus in the form of regulatory fragmentation: two materially different supervisory philosophies co-existing in the markets that are of greatest commercial importance to it.</w:t>
      </w:r>
    </w:p>
    <w:p w14:paraId="5CF3908E" w14:textId="77777777" w:rsidR="00B5243C" w:rsidRPr="00D443EA" w:rsidRDefault="00856726" w:rsidP="006857FB">
      <w:pPr>
        <w:spacing w:line="360" w:lineRule="auto"/>
        <w:rPr>
          <w:b/>
          <w:bCs/>
        </w:rPr>
      </w:pPr>
      <w:r w:rsidRPr="00D443EA">
        <w:rPr>
          <w:b/>
          <w:bCs/>
        </w:rPr>
        <w:t>Economic</w:t>
      </w:r>
    </w:p>
    <w:p w14:paraId="06FD7A1F" w14:textId="30B1690D" w:rsidR="00B5243C" w:rsidRPr="00D443EA" w:rsidRDefault="002E732A" w:rsidP="006857FB">
      <w:pPr>
        <w:spacing w:line="360" w:lineRule="auto"/>
        <w:jc w:val="both"/>
      </w:pPr>
      <w:r w:rsidRPr="00D443EA">
        <w:t>AI can provide HSBC with significant efficiency benefits due to automation of credit decisioning and real-time risk monitoring. The Bank of England (2024), affirms the prevalence of ML in risk functions in the UK yet warns of model concentration risk as a factor in increasing systemic stress. According to the Financial Stability Board (2022), the macro-prudential issue of correlated model failures across institutions is one of the risks that are especially important to HSBC due to its systemic relevance. According to the study by Deloitte (2024), the implementation of AI-based operational efficiencies may benefit the cost of risk management by 15 to 25 percent of the tier-one banks in a five-year period, however, governance failures have a history of imposing enforcement penalties that completely neutralize the benefits.</w:t>
      </w:r>
    </w:p>
    <w:p w14:paraId="4542A545" w14:textId="77777777" w:rsidR="00B5243C" w:rsidRPr="00D443EA" w:rsidRDefault="00856726" w:rsidP="006857FB">
      <w:pPr>
        <w:spacing w:line="360" w:lineRule="auto"/>
        <w:rPr>
          <w:b/>
          <w:bCs/>
        </w:rPr>
      </w:pPr>
      <w:r w:rsidRPr="00D443EA">
        <w:rPr>
          <w:b/>
          <w:bCs/>
        </w:rPr>
        <w:t>Social</w:t>
      </w:r>
    </w:p>
    <w:p w14:paraId="28CB0FC6" w14:textId="13942633" w:rsidR="00B5243C" w:rsidRPr="00D443EA" w:rsidRDefault="002E732A" w:rsidP="006857FB">
      <w:pPr>
        <w:spacing w:line="360" w:lineRule="auto"/>
        <w:jc w:val="both"/>
      </w:pPr>
      <w:r w:rsidRPr="00D443EA">
        <w:t xml:space="preserve">There is still little trust in algorithms in society. Studies always point to issues related to the obscure scoring procedures and the discrimination of proxy-variables (Abbas, 2025; Araya et al., 2025). In the case of HSBC, this risk is especially sharp in Hong Kong and Southeast Asia, where the algorithmic-based lending decision coincides with a high level of socioeconomic disparity. The example of the banking AI bias </w:t>
      </w:r>
      <w:r w:rsidRPr="00D443EA">
        <w:lastRenderedPageBreak/>
        <w:t>litigation in the United States as reported by Reuters (2024) is an example of the reputational and legal cost of a poor social impact assessment, which HSBC governance programme should expect to pay.</w:t>
      </w:r>
    </w:p>
    <w:p w14:paraId="1128F241" w14:textId="77777777" w:rsidR="00B5243C" w:rsidRPr="00D443EA" w:rsidRDefault="00856726" w:rsidP="006857FB">
      <w:pPr>
        <w:spacing w:line="360" w:lineRule="auto"/>
        <w:rPr>
          <w:b/>
          <w:bCs/>
        </w:rPr>
      </w:pPr>
      <w:r w:rsidRPr="00D443EA">
        <w:rPr>
          <w:b/>
          <w:bCs/>
        </w:rPr>
        <w:t>Technological</w:t>
      </w:r>
    </w:p>
    <w:p w14:paraId="6AE25A7D" w14:textId="79E0B235" w:rsidR="00B5243C" w:rsidRPr="00D443EA" w:rsidRDefault="002E732A" w:rsidP="006857FB">
      <w:pPr>
        <w:spacing w:line="360" w:lineRule="auto"/>
        <w:jc w:val="both"/>
      </w:pPr>
      <w:r w:rsidRPr="00D443EA">
        <w:t>Technological risk includes model drift, adversarial attack, and the complexity of complex ML. Generative AI presents new attack surfaces, and studies report that such tools can be used to scale to commit fraud, data poisoning, and social engineering (Werisha Ibrar et al., 2025). Explainable AI (XAI) advances provide technology to improve the transparency of models without reducing their prediction capabilities (Yeo et al., 2025; Černevičienė and Kabašinskas, 2024), though according to the Financial Times (2024), most large banks are still at the early stages of XAI implementation in their production systems.</w:t>
      </w:r>
    </w:p>
    <w:p w14:paraId="08B65411" w14:textId="77777777" w:rsidR="00B5243C" w:rsidRPr="00D443EA" w:rsidRDefault="00856726" w:rsidP="006857FB">
      <w:pPr>
        <w:spacing w:line="360" w:lineRule="auto"/>
        <w:rPr>
          <w:b/>
          <w:bCs/>
        </w:rPr>
      </w:pPr>
      <w:r w:rsidRPr="00D443EA">
        <w:rPr>
          <w:b/>
          <w:bCs/>
        </w:rPr>
        <w:t>Legal</w:t>
      </w:r>
    </w:p>
    <w:p w14:paraId="55C3BDF5" w14:textId="44ADF3BE" w:rsidR="00B5243C" w:rsidRPr="00D443EA" w:rsidRDefault="002E732A" w:rsidP="006857FB">
      <w:pPr>
        <w:spacing w:line="360" w:lineRule="auto"/>
        <w:jc w:val="both"/>
      </w:pPr>
      <w:r w:rsidRPr="00D443EA">
        <w:t>The AI-based financial decision-making is regulated by retained GDPR, PRA Supervisory Statement SS1/23 and the Consumer Duty in the UK (Bank of England, 2023; Financial Conduct Authority, 2025). Singapore MAS Notice 644 on Technology Risk Management and the FEAT Principles offer a more operationally prescriptive framework than UK guidance, as it requires institutions to show that AI systems in credit and risk functions are Fair, Ethical, Accountable, and Transparent (MAS, 2022). The differences between these structures pose a challenge of compliance architecture to the Asian technology activities of HSBC.</w:t>
      </w:r>
    </w:p>
    <w:p w14:paraId="515B392B" w14:textId="77777777" w:rsidR="00B5243C" w:rsidRPr="00D443EA" w:rsidRDefault="00856726" w:rsidP="006857FB">
      <w:pPr>
        <w:spacing w:line="360" w:lineRule="auto"/>
        <w:rPr>
          <w:b/>
          <w:bCs/>
        </w:rPr>
      </w:pPr>
      <w:r w:rsidRPr="00D443EA">
        <w:rPr>
          <w:b/>
          <w:bCs/>
        </w:rPr>
        <w:t>Environmental</w:t>
      </w:r>
    </w:p>
    <w:p w14:paraId="617F4AFE" w14:textId="1E6C9172" w:rsidR="00B5243C" w:rsidRPr="00D443EA" w:rsidRDefault="002E732A" w:rsidP="006857FB">
      <w:pPr>
        <w:spacing w:line="360" w:lineRule="auto"/>
        <w:jc w:val="both"/>
      </w:pPr>
      <w:r w:rsidRPr="00D443EA">
        <w:t>Large-scale AI infrastructure is becoming material in terms of its energy consumption that is part of the ESG obligations of HSBC. Although it is not a direct financial risk modelling issue, the environmental footprint of AI data centres poses a coherence risk to the published net-zero strategy of HSBC, a conflict already drawing the attention of regulators and investors alike.</w:t>
      </w:r>
    </w:p>
    <w:p w14:paraId="39E07FF1" w14:textId="705DECB4" w:rsidR="008B21D5" w:rsidRPr="001C72AE" w:rsidRDefault="008B21D5" w:rsidP="006857FB">
      <w:pPr>
        <w:pStyle w:val="Caption"/>
        <w:keepNext/>
        <w:spacing w:after="0" w:line="360" w:lineRule="auto"/>
      </w:pPr>
      <w:r w:rsidRPr="001C72AE">
        <w:lastRenderedPageBreak/>
        <w:t xml:space="preserve">Table </w:t>
      </w:r>
      <w:r w:rsidR="008124A7">
        <w:fldChar w:fldCharType="begin"/>
      </w:r>
      <w:r w:rsidR="008124A7">
        <w:instrText xml:space="preserve"> SEQ Table \* ARABIC </w:instrText>
      </w:r>
      <w:r w:rsidR="008124A7">
        <w:fldChar w:fldCharType="separate"/>
      </w:r>
      <w:r w:rsidR="003E362B" w:rsidRPr="001C72AE">
        <w:rPr>
          <w:noProof/>
        </w:rPr>
        <w:t>1</w:t>
      </w:r>
      <w:r w:rsidR="008124A7">
        <w:rPr>
          <w:noProof/>
        </w:rPr>
        <w:fldChar w:fldCharType="end"/>
      </w:r>
      <w:r w:rsidRPr="001C72AE">
        <w:t>: PESTLE Analysis – AI Risk Implications for HSBC. Source- Author's analysis, informed by Bank of England (2024), FCA (2025), MAS (2022), FSB (2022), and Deloitte (2024).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947"/>
        <w:gridCol w:w="2233"/>
        <w:gridCol w:w="2511"/>
        <w:gridCol w:w="2669"/>
      </w:tblGrid>
      <w:tr w:rsidR="00B5243C" w:rsidRPr="00D443EA" w14:paraId="6852BAFA" w14:textId="77777777">
        <w:trPr>
          <w:tblHeader/>
        </w:trPr>
        <w:tc>
          <w:tcPr>
            <w:tcW w:w="1160" w:type="dxa"/>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6B6CDDB8" w14:textId="77777777" w:rsidR="00B5243C" w:rsidRPr="00D443EA" w:rsidRDefault="00856726" w:rsidP="006857FB">
            <w:pPr>
              <w:spacing w:line="360" w:lineRule="auto"/>
              <w:jc w:val="both"/>
            </w:pPr>
            <w:r w:rsidRPr="00D443EA">
              <w:rPr>
                <w:b/>
                <w:bCs/>
                <w:color w:val="FFFFFF"/>
              </w:rPr>
              <w:t>Factor</w:t>
            </w:r>
          </w:p>
        </w:tc>
        <w:tc>
          <w:tcPr>
            <w:tcW w:w="2400" w:type="dxa"/>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4A82C7D1" w14:textId="77777777" w:rsidR="00B5243C" w:rsidRPr="00D443EA" w:rsidRDefault="00856726" w:rsidP="006857FB">
            <w:pPr>
              <w:spacing w:line="360" w:lineRule="auto"/>
              <w:jc w:val="both"/>
            </w:pPr>
            <w:r w:rsidRPr="00D443EA">
              <w:rPr>
                <w:b/>
                <w:bCs/>
                <w:color w:val="FFFFFF"/>
              </w:rPr>
              <w:t>Key Risk / Opportunity</w:t>
            </w:r>
          </w:p>
        </w:tc>
        <w:tc>
          <w:tcPr>
            <w:tcW w:w="2800" w:type="dxa"/>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16386D07" w14:textId="77777777" w:rsidR="00B5243C" w:rsidRPr="00D443EA" w:rsidRDefault="00856726" w:rsidP="006857FB">
            <w:pPr>
              <w:spacing w:line="360" w:lineRule="auto"/>
              <w:jc w:val="both"/>
            </w:pPr>
            <w:r w:rsidRPr="00D443EA">
              <w:rPr>
                <w:b/>
                <w:bCs/>
                <w:color w:val="FFFFFF"/>
              </w:rPr>
              <w:t>HSBC-Specific Implication</w:t>
            </w:r>
          </w:p>
        </w:tc>
        <w:tc>
          <w:tcPr>
            <w:tcW w:w="3000" w:type="dxa"/>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0DBB5FB1" w14:textId="77777777" w:rsidR="00B5243C" w:rsidRPr="00D443EA" w:rsidRDefault="00856726" w:rsidP="006857FB">
            <w:pPr>
              <w:spacing w:line="360" w:lineRule="auto"/>
              <w:jc w:val="both"/>
            </w:pPr>
            <w:r w:rsidRPr="00D443EA">
              <w:rPr>
                <w:b/>
                <w:bCs/>
                <w:color w:val="FFFFFF"/>
              </w:rPr>
              <w:t>Regulatory Touchpoint</w:t>
            </w:r>
          </w:p>
        </w:tc>
      </w:tr>
      <w:tr w:rsidR="00B5243C" w:rsidRPr="00D443EA" w14:paraId="4142977B" w14:textId="77777777">
        <w:tc>
          <w:tcPr>
            <w:tcW w:w="1160" w:type="dxa"/>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48DBF312" w14:textId="77777777" w:rsidR="00B5243C" w:rsidRPr="00D443EA" w:rsidRDefault="00856726" w:rsidP="006857FB">
            <w:pPr>
              <w:spacing w:line="360" w:lineRule="auto"/>
              <w:jc w:val="both"/>
            </w:pPr>
            <w:r w:rsidRPr="00D443EA">
              <w:rPr>
                <w:b/>
                <w:bCs/>
              </w:rPr>
              <w:t>Political</w:t>
            </w:r>
          </w:p>
        </w:tc>
        <w:tc>
          <w:tcPr>
            <w:tcW w:w="2400" w:type="dxa"/>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3908C2BF" w14:textId="77777777" w:rsidR="00B5243C" w:rsidRPr="00D443EA" w:rsidRDefault="00856726" w:rsidP="006857FB">
            <w:pPr>
              <w:spacing w:line="360" w:lineRule="auto"/>
              <w:jc w:val="both"/>
            </w:pPr>
            <w:r w:rsidRPr="00D443EA">
              <w:t>Divergent UK/Singapore regulatory philosophies</w:t>
            </w:r>
          </w:p>
        </w:tc>
        <w:tc>
          <w:tcPr>
            <w:tcW w:w="2800" w:type="dxa"/>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2023DE9F" w14:textId="77777777" w:rsidR="00B5243C" w:rsidRPr="00D443EA" w:rsidRDefault="00856726" w:rsidP="006857FB">
            <w:pPr>
              <w:spacing w:line="360" w:lineRule="auto"/>
              <w:jc w:val="both"/>
            </w:pPr>
            <w:r w:rsidRPr="00D443EA">
              <w:t>Dual compliance burden; Asian operations subject to MAS FEAT</w:t>
            </w:r>
          </w:p>
        </w:tc>
        <w:tc>
          <w:tcPr>
            <w:tcW w:w="3000" w:type="dxa"/>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1B204D4F" w14:textId="77777777" w:rsidR="00B5243C" w:rsidRPr="00D443EA" w:rsidRDefault="00856726" w:rsidP="006857FB">
            <w:pPr>
              <w:spacing w:line="360" w:lineRule="auto"/>
              <w:jc w:val="both"/>
            </w:pPr>
            <w:r w:rsidRPr="00D443EA">
              <w:t>FCA (2025); MAS FEAT (2022); MAS Notice 644</w:t>
            </w:r>
          </w:p>
        </w:tc>
      </w:tr>
      <w:tr w:rsidR="00B5243C" w:rsidRPr="00D443EA" w14:paraId="5A1B454F" w14:textId="77777777">
        <w:tc>
          <w:tcPr>
            <w:tcW w:w="1160" w:type="dxa"/>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32BA23F9" w14:textId="77777777" w:rsidR="00B5243C" w:rsidRPr="00D443EA" w:rsidRDefault="00856726" w:rsidP="006857FB">
            <w:pPr>
              <w:spacing w:line="360" w:lineRule="auto"/>
              <w:jc w:val="both"/>
            </w:pPr>
            <w:r w:rsidRPr="00D443EA">
              <w:rPr>
                <w:b/>
                <w:bCs/>
              </w:rPr>
              <w:t>Economic</w:t>
            </w:r>
          </w:p>
        </w:tc>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2A02DC94" w14:textId="77777777" w:rsidR="00B5243C" w:rsidRPr="00D443EA" w:rsidRDefault="00856726" w:rsidP="006857FB">
            <w:pPr>
              <w:spacing w:line="360" w:lineRule="auto"/>
              <w:jc w:val="both"/>
            </w:pPr>
            <w:r w:rsidRPr="00D443EA">
              <w:t>AI efficiency gains vs enforcement cost risk</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4AD4DA6E" w14:textId="77777777" w:rsidR="00B5243C" w:rsidRPr="00D443EA" w:rsidRDefault="00856726" w:rsidP="006857FB">
            <w:pPr>
              <w:spacing w:line="360" w:lineRule="auto"/>
              <w:jc w:val="both"/>
            </w:pPr>
            <w:r w:rsidRPr="00D443EA">
              <w:t>Model concentration risk; systemic stress amplification</w:t>
            </w:r>
          </w:p>
        </w:tc>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62CC7E6F" w14:textId="77777777" w:rsidR="00B5243C" w:rsidRPr="00D443EA" w:rsidRDefault="00856726" w:rsidP="006857FB">
            <w:pPr>
              <w:spacing w:line="360" w:lineRule="auto"/>
              <w:jc w:val="both"/>
            </w:pPr>
            <w:r w:rsidRPr="00D443EA">
              <w:t>Bank of England (2024); FSB (2022)</w:t>
            </w:r>
          </w:p>
        </w:tc>
      </w:tr>
      <w:tr w:rsidR="00B5243C" w:rsidRPr="00D443EA" w14:paraId="5087C7C6" w14:textId="77777777">
        <w:tc>
          <w:tcPr>
            <w:tcW w:w="1160" w:type="dxa"/>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633ED17F" w14:textId="77777777" w:rsidR="00B5243C" w:rsidRPr="00D443EA" w:rsidRDefault="00856726" w:rsidP="006857FB">
            <w:pPr>
              <w:spacing w:line="360" w:lineRule="auto"/>
              <w:jc w:val="both"/>
            </w:pPr>
            <w:r w:rsidRPr="00D443EA">
              <w:rPr>
                <w:b/>
                <w:bCs/>
              </w:rPr>
              <w:t>Social</w:t>
            </w:r>
          </w:p>
        </w:tc>
        <w:tc>
          <w:tcPr>
            <w:tcW w:w="2400" w:type="dxa"/>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7BF7E141" w14:textId="77777777" w:rsidR="00B5243C" w:rsidRPr="00D443EA" w:rsidRDefault="00856726" w:rsidP="006857FB">
            <w:pPr>
              <w:spacing w:line="360" w:lineRule="auto"/>
              <w:jc w:val="both"/>
            </w:pPr>
            <w:r w:rsidRPr="00D443EA">
              <w:t>Algorithmic bias eroding public trust</w:t>
            </w:r>
          </w:p>
        </w:tc>
        <w:tc>
          <w:tcPr>
            <w:tcW w:w="2800" w:type="dxa"/>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6F897EEF" w14:textId="77777777" w:rsidR="00B5243C" w:rsidRPr="00D443EA" w:rsidRDefault="00856726" w:rsidP="006857FB">
            <w:pPr>
              <w:spacing w:line="360" w:lineRule="auto"/>
              <w:jc w:val="both"/>
            </w:pPr>
            <w:r w:rsidRPr="00D443EA">
              <w:t>Reputational risk in Hong Kong and SE Asian retail lending</w:t>
            </w:r>
          </w:p>
        </w:tc>
        <w:tc>
          <w:tcPr>
            <w:tcW w:w="3000" w:type="dxa"/>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08D78EA3" w14:textId="77777777" w:rsidR="00B5243C" w:rsidRPr="00D443EA" w:rsidRDefault="00856726" w:rsidP="006857FB">
            <w:pPr>
              <w:spacing w:line="360" w:lineRule="auto"/>
              <w:jc w:val="both"/>
            </w:pPr>
            <w:r w:rsidRPr="00D443EA">
              <w:t>Consumer Duty; MAS FEAT Fairness Principle</w:t>
            </w:r>
          </w:p>
        </w:tc>
      </w:tr>
      <w:tr w:rsidR="00B5243C" w:rsidRPr="00D443EA" w14:paraId="2D8BA98A" w14:textId="77777777">
        <w:tc>
          <w:tcPr>
            <w:tcW w:w="1160" w:type="dxa"/>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0407D87E" w14:textId="77777777" w:rsidR="00B5243C" w:rsidRPr="00D443EA" w:rsidRDefault="00856726" w:rsidP="006857FB">
            <w:pPr>
              <w:spacing w:line="360" w:lineRule="auto"/>
              <w:jc w:val="both"/>
            </w:pPr>
            <w:r w:rsidRPr="00D443EA">
              <w:rPr>
                <w:b/>
                <w:bCs/>
              </w:rPr>
              <w:t>Technological</w:t>
            </w:r>
          </w:p>
        </w:tc>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3C08F9EB" w14:textId="77777777" w:rsidR="00B5243C" w:rsidRPr="00D443EA" w:rsidRDefault="00856726" w:rsidP="006857FB">
            <w:pPr>
              <w:spacing w:line="360" w:lineRule="auto"/>
              <w:jc w:val="both"/>
            </w:pPr>
            <w:r w:rsidRPr="00D443EA">
              <w:t>Model opacity; adversarial AI; generative AI threats</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3F68834A" w14:textId="77777777" w:rsidR="00B5243C" w:rsidRPr="00D443EA" w:rsidRDefault="00856726" w:rsidP="006857FB">
            <w:pPr>
              <w:spacing w:line="360" w:lineRule="auto"/>
              <w:jc w:val="both"/>
            </w:pPr>
            <w:r w:rsidRPr="00D443EA">
              <w:t>XAI integration at early stage in production systems</w:t>
            </w:r>
          </w:p>
        </w:tc>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27817C56" w14:textId="77777777" w:rsidR="00B5243C" w:rsidRPr="00D443EA" w:rsidRDefault="00856726" w:rsidP="006857FB">
            <w:pPr>
              <w:spacing w:line="360" w:lineRule="auto"/>
              <w:jc w:val="both"/>
            </w:pPr>
            <w:r w:rsidRPr="00D443EA">
              <w:t>PRA SS1/23; MAS Notice 644 §9</w:t>
            </w:r>
          </w:p>
        </w:tc>
      </w:tr>
      <w:tr w:rsidR="00B5243C" w:rsidRPr="00D443EA" w14:paraId="208A81D6" w14:textId="77777777">
        <w:tc>
          <w:tcPr>
            <w:tcW w:w="1160" w:type="dxa"/>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61F3D2BF" w14:textId="77777777" w:rsidR="00B5243C" w:rsidRPr="00D443EA" w:rsidRDefault="00856726" w:rsidP="006857FB">
            <w:pPr>
              <w:spacing w:line="360" w:lineRule="auto"/>
              <w:jc w:val="both"/>
            </w:pPr>
            <w:r w:rsidRPr="00D443EA">
              <w:rPr>
                <w:b/>
                <w:bCs/>
              </w:rPr>
              <w:t>Legal</w:t>
            </w:r>
          </w:p>
        </w:tc>
        <w:tc>
          <w:tcPr>
            <w:tcW w:w="2400" w:type="dxa"/>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61E8CB64" w14:textId="77777777" w:rsidR="00B5243C" w:rsidRPr="00D443EA" w:rsidRDefault="00856726" w:rsidP="006857FB">
            <w:pPr>
              <w:spacing w:line="360" w:lineRule="auto"/>
              <w:jc w:val="both"/>
            </w:pPr>
            <w:r w:rsidRPr="00D443EA">
              <w:t>Divergent AI disclosure obligations</w:t>
            </w:r>
          </w:p>
        </w:tc>
        <w:tc>
          <w:tcPr>
            <w:tcW w:w="2800" w:type="dxa"/>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3ACFABA5" w14:textId="77777777" w:rsidR="00B5243C" w:rsidRPr="00D443EA" w:rsidRDefault="00856726" w:rsidP="006857FB">
            <w:pPr>
              <w:spacing w:line="360" w:lineRule="auto"/>
              <w:jc w:val="both"/>
            </w:pPr>
            <w:r w:rsidRPr="00D443EA">
              <w:t>UK GDPR Art. 22 and MAS FEAT impose different transparency standards</w:t>
            </w:r>
          </w:p>
        </w:tc>
        <w:tc>
          <w:tcPr>
            <w:tcW w:w="3000" w:type="dxa"/>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4BF8BD7F" w14:textId="77777777" w:rsidR="00B5243C" w:rsidRPr="00D443EA" w:rsidRDefault="00856726" w:rsidP="006857FB">
            <w:pPr>
              <w:spacing w:line="360" w:lineRule="auto"/>
              <w:jc w:val="both"/>
            </w:pPr>
            <w:r w:rsidRPr="00D443EA">
              <w:t>UK GDPR Art. 22; MAS FEAT Accountability Principle</w:t>
            </w:r>
          </w:p>
        </w:tc>
      </w:tr>
      <w:tr w:rsidR="00B5243C" w:rsidRPr="00D443EA" w14:paraId="1924BDC2" w14:textId="77777777">
        <w:tc>
          <w:tcPr>
            <w:tcW w:w="1160" w:type="dxa"/>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7CA3BA44" w14:textId="77777777" w:rsidR="00B5243C" w:rsidRPr="00D443EA" w:rsidRDefault="00856726" w:rsidP="006857FB">
            <w:pPr>
              <w:spacing w:line="360" w:lineRule="auto"/>
              <w:jc w:val="both"/>
            </w:pPr>
            <w:r w:rsidRPr="00D443EA">
              <w:rPr>
                <w:b/>
                <w:bCs/>
              </w:rPr>
              <w:t>Environmental</w:t>
            </w:r>
          </w:p>
        </w:tc>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302DC681" w14:textId="77777777" w:rsidR="00B5243C" w:rsidRPr="00D443EA" w:rsidRDefault="00856726" w:rsidP="006857FB">
            <w:pPr>
              <w:spacing w:line="360" w:lineRule="auto"/>
              <w:jc w:val="both"/>
            </w:pPr>
            <w:r w:rsidRPr="00D443EA">
              <w:t>AI energy footprint vs net-zero commitments</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672509D1" w14:textId="77777777" w:rsidR="00B5243C" w:rsidRPr="00D443EA" w:rsidRDefault="00856726" w:rsidP="006857FB">
            <w:pPr>
              <w:spacing w:line="360" w:lineRule="auto"/>
              <w:jc w:val="both"/>
            </w:pPr>
            <w:r w:rsidRPr="00D443EA">
              <w:t>ESG coherence risk from AI data centre operations</w:t>
            </w:r>
          </w:p>
        </w:tc>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12F697A8" w14:textId="77777777" w:rsidR="00B5243C" w:rsidRPr="00D443EA" w:rsidRDefault="00856726" w:rsidP="006857FB">
            <w:pPr>
              <w:spacing w:line="360" w:lineRule="auto"/>
              <w:jc w:val="both"/>
            </w:pPr>
            <w:r w:rsidRPr="00D443EA">
              <w:t>TCFD disclosures; HSBC Net Zero Strategy</w:t>
            </w:r>
          </w:p>
        </w:tc>
      </w:tr>
    </w:tbl>
    <w:p w14:paraId="0E5928AB" w14:textId="01647530" w:rsidR="00B5243C" w:rsidRPr="00D443EA" w:rsidRDefault="00856726" w:rsidP="006857FB">
      <w:pPr>
        <w:pStyle w:val="Heading2"/>
      </w:pPr>
      <w:bookmarkStart w:id="4" w:name="_Toc228040826"/>
      <w:r w:rsidRPr="00D443EA">
        <w:t>Data Governance</w:t>
      </w:r>
      <w:bookmarkEnd w:id="4"/>
    </w:p>
    <w:p w14:paraId="3656AE9E" w14:textId="24E6C058" w:rsidR="002E732A" w:rsidRPr="00D443EA" w:rsidRDefault="00CE7A41" w:rsidP="006857FB">
      <w:pPr>
        <w:spacing w:line="360" w:lineRule="auto"/>
        <w:jc w:val="both"/>
      </w:pPr>
      <w:r w:rsidRPr="00CE7A41">
        <w:t xml:space="preserve">The basic level of AI risk management is data governance. The quality, provenance and accountability frameworks of AI training data are systemic in the HSBC case where the data on transactions is being processed on hundreds of millions of customer accounts around the world. The published AI strategy of HSBC admits that data </w:t>
      </w:r>
      <w:r w:rsidRPr="00CE7A41">
        <w:lastRenderedPageBreak/>
        <w:t>integrity is the key to responsible deployment (HSBC, 2024), but with critical thought about such assertions, it becomes apparent that there is a vast chasm between aspiration and binding governance architecture.</w:t>
      </w:r>
    </w:p>
    <w:p w14:paraId="3675C209" w14:textId="77777777" w:rsidR="002E732A" w:rsidRPr="00D443EA" w:rsidRDefault="002E732A" w:rsidP="006857FB">
      <w:pPr>
        <w:spacing w:line="360" w:lineRule="auto"/>
        <w:jc w:val="both"/>
      </w:pPr>
      <w:r w:rsidRPr="00D443EA">
        <w:t>The SS1/23 outlines model lifecycle governance expectations (including development, validation, deployment, and monitoring) set out by the PRA (Bank of England, 2023). Nevertheless, SS1/23 does not demand societal disclosure of training information, or even equity evaluations, which Singapore's MAS FEAT Principles refill by mandating organizations to prove that information inputs do not entail unwarranted discriminatory results (MAS, 2022). The scholarly literature on ML credit risk assessment is consistent in noting that a tension recurring: historical data of lending captures structural inequalities which can be amplified through models (Abbas, 2025; Aniceto, Barboza and Kimura, 2020). Babaei, Giudici and Wu (2025) illustrate the presence of explainability frameworks in revealing fairness breaches in data pipelines but only when implemented as active governance tools and not the post-hoc audit tools.</w:t>
      </w:r>
    </w:p>
    <w:p w14:paraId="0E68DB8E" w14:textId="6833F9DB" w:rsidR="00B5243C" w:rsidRPr="00D443EA" w:rsidRDefault="002E732A" w:rsidP="006857FB">
      <w:pPr>
        <w:spacing w:line="360" w:lineRule="auto"/>
        <w:jc w:val="both"/>
      </w:pPr>
      <w:r w:rsidRPr="00D443EA">
        <w:t xml:space="preserve">The addition of third-party data and synthetic data augmentation adds further complexity. </w:t>
      </w:r>
      <w:r w:rsidR="00CE7A41" w:rsidRPr="00CE7A41">
        <w:t>As Sedai, Medda and Schroeder (2025) show, the use of generative adversarial networks to operate on banking data to enhance its content may lead to distributional changes that are difficult to quantify using standard validation techniques. Integrating third-party data in detecting financial crime by HSBC (HSBC, 2025b) presents a threat of data provenance, which is not comprehensively addressed in the current governance frameworks. Data management must be properly extended to cover contractual and technical accountability procedures to every third party in the HSBC AI supply chain. A discordant tension is that in this case, restricting third-party data entries in order to make it meet governance standards may have a negative effect on the accuracy of the model in identifying fraud, a fact that constitutes a real trade-off between safety and performance that cannot be hidden under the carpet but rather must be openly managed by governance mechanisms.</w:t>
      </w:r>
    </w:p>
    <w:p w14:paraId="67BB7C93" w14:textId="1631DAD5" w:rsidR="00B5243C" w:rsidRPr="00D443EA" w:rsidRDefault="00856726" w:rsidP="006857FB">
      <w:pPr>
        <w:pStyle w:val="Heading2"/>
      </w:pPr>
      <w:bookmarkStart w:id="5" w:name="_Toc228040827"/>
      <w:r w:rsidRPr="00D443EA">
        <w:t>Ethical AI Use</w:t>
      </w:r>
      <w:bookmarkEnd w:id="5"/>
    </w:p>
    <w:p w14:paraId="0529015C" w14:textId="77777777" w:rsidR="002E732A" w:rsidRPr="00D443EA" w:rsidRDefault="002E732A" w:rsidP="006857FB">
      <w:pPr>
        <w:spacing w:line="360" w:lineRule="auto"/>
        <w:jc w:val="both"/>
      </w:pPr>
      <w:r w:rsidRPr="00D443EA">
        <w:t xml:space="preserve">Ethical AI in financial services include algorithmic fairness, transparency, accountability, and harm avoidance. HSBC has publicly committed responsible AI, in accordance with OECD AI Principles, with measures to prevent discriminatory consequences (HSBC, 2025c). Batool, Zowghi and Bano (2025) differentiate between a governance framework that is principled yet non-binding and those with enforceable institutionalized mechanisms and discover that the majority of corporate AI ethics </w:t>
      </w:r>
      <w:r w:rsidRPr="00D443EA">
        <w:lastRenderedPageBreak/>
        <w:t>commitments are reputational signals, not operational constraints. This criticism is directly applicable to the present position of HSBC.</w:t>
      </w:r>
    </w:p>
    <w:p w14:paraId="056F4F1F" w14:textId="1125E1B1" w:rsidR="00B5243C" w:rsidRPr="00D443EA" w:rsidRDefault="002E732A" w:rsidP="006857FB">
      <w:pPr>
        <w:spacing w:line="360" w:lineRule="auto"/>
        <w:jc w:val="both"/>
      </w:pPr>
      <w:r w:rsidRPr="00D443EA">
        <w:t>Ratzan and Rahman (2023) confirm an instrument to assess responsible AI in banking, revealing that the difference between claimed promises and practicable reality is the broadest in transparency and independent auditability in algorithms. According to Papagiannidis, Mikalef and Conboy (2025), the most important factor that determines governance maturity is senior accountability. Greene et al. (2025) offer a rather crucial conflicting finding: the commercialisation of AI-generated financial advice develops incentive frameworks that may poison the integrity of algorithmic explanations in a way that yields outputs that support commercial goals instead of providing an accurate depiction of model thinking. The discovery contradicts the belief that the implementation of XAI tools is enough to make ethical compliance; it begs the question of whether the XAI outputs can be relied upon in case the outputs are motivated by commercial interests. Monteiro and Singh (2025) introduce a cyclical governance concept that combines design-stage fairness evaluation, deployment oversight, and stakeholder responses, which is a more challenging concept of ethical AI than disclosure-based methods demand today.</w:t>
      </w:r>
    </w:p>
    <w:p w14:paraId="1A3B096B" w14:textId="254C64B6" w:rsidR="00B5243C" w:rsidRPr="00D443EA" w:rsidRDefault="00856726" w:rsidP="006857FB">
      <w:pPr>
        <w:pStyle w:val="Heading2"/>
      </w:pPr>
      <w:bookmarkStart w:id="6" w:name="_Toc228040828"/>
      <w:r w:rsidRPr="00D443EA">
        <w:t>Regulatory Compliance: UK and Singapore Comparative Analysis</w:t>
      </w:r>
      <w:bookmarkEnd w:id="6"/>
    </w:p>
    <w:p w14:paraId="65E50757" w14:textId="49D86054" w:rsidR="00B5243C" w:rsidRPr="00D443EA" w:rsidRDefault="002E732A" w:rsidP="006857FB">
      <w:pPr>
        <w:spacing w:line="360" w:lineRule="auto"/>
        <w:jc w:val="both"/>
      </w:pPr>
      <w:r w:rsidRPr="00D443EA">
        <w:t>This analysis will compare and contrast UK and Singapore regulatory frameworks of AI in financial services, and then evaluate the individual compliance requirements of HSBC under both regimes.</w:t>
      </w:r>
    </w:p>
    <w:p w14:paraId="1E577AA9" w14:textId="77777777" w:rsidR="00B5243C" w:rsidRPr="00D443EA" w:rsidRDefault="00856726" w:rsidP="006857FB">
      <w:pPr>
        <w:spacing w:line="360" w:lineRule="auto"/>
        <w:rPr>
          <w:b/>
          <w:bCs/>
        </w:rPr>
      </w:pPr>
      <w:r w:rsidRPr="00D443EA">
        <w:rPr>
          <w:b/>
          <w:bCs/>
        </w:rPr>
        <w:t>UK Regulatory Framework</w:t>
      </w:r>
    </w:p>
    <w:p w14:paraId="1D096802" w14:textId="414EDEA5" w:rsidR="00B5243C" w:rsidRPr="00D443EA" w:rsidRDefault="002E732A" w:rsidP="006857FB">
      <w:pPr>
        <w:spacing w:line="360" w:lineRule="auto"/>
        <w:jc w:val="both"/>
      </w:pPr>
      <w:r w:rsidRPr="00D443EA">
        <w:t xml:space="preserve">The principles-based approach in the UK is based on sectoral regulators who work on the existing mandates. The 2025 AI approach of the FCA is determined to follow the use of AI implementation and apply the available powers where the harms are experienced, maintaining the flexibility, but establishing the uncertainty on the benchmark (Financial Conduct Authority, 2025). PRA SS1/23 gives operationally specific model lifecycle governance requirements, which apply to all material AI systems, though does not require public disclosure or fairness evaluation (Bank of England, 2023). Using the structuration theory, Ballot Jones, Thornton and De Silva (2025) claim that systematic underestimation of the structural harms that an algorithmic system can inflict in the long run is due to the reliance on the sector-specific frameworks. The UK Consumer Duty provides an outcomes-based overlay, which can </w:t>
      </w:r>
      <w:r w:rsidRPr="00D443EA">
        <w:lastRenderedPageBreak/>
        <w:t>be progressively applied to AI-informed decisions made by customers, but application precedent is limited.</w:t>
      </w:r>
    </w:p>
    <w:p w14:paraId="0CE7DA90" w14:textId="77777777" w:rsidR="00B5243C" w:rsidRPr="00D443EA" w:rsidRDefault="00856726" w:rsidP="006857FB">
      <w:pPr>
        <w:spacing w:line="360" w:lineRule="auto"/>
        <w:rPr>
          <w:b/>
          <w:bCs/>
        </w:rPr>
      </w:pPr>
      <w:r w:rsidRPr="00D443EA">
        <w:rPr>
          <w:b/>
          <w:bCs/>
        </w:rPr>
        <w:t>Singapore/MAS Regulatory Framework</w:t>
      </w:r>
    </w:p>
    <w:p w14:paraId="0A6A1B99" w14:textId="77777777" w:rsidR="002E732A" w:rsidRPr="00D443EA" w:rsidRDefault="002E732A" w:rsidP="006857FB">
      <w:pPr>
        <w:spacing w:line="360" w:lineRule="auto"/>
        <w:jc w:val="both"/>
      </w:pPr>
      <w:r w:rsidRPr="00D443EA">
        <w:t>Singapore has also formulated one of the most operationally comprehensive frameworks of AI governance of financial services in the world. The 2022 update of the MAS FEAT Principles mandates that AI-based customer-facing financial decision-making systems meet Fairness, Ethics, Accountability, and Transparency by having documented evaluation methodologies (MAS, 2022). Veritas is a companion tool created by MAS and industry partners, which offers algorithmic assessment methodologies to enable institutions to determine whether AI systems meet FEAT requirements in advance of deployment. The technology risk management requirements of MAS Notice 644 directly apply to AI systems, such as the need to document, test, and manage incidents (MAS, 2023).</w:t>
      </w:r>
    </w:p>
    <w:p w14:paraId="4389CA8F" w14:textId="147DA8E4" w:rsidR="00B5243C" w:rsidRPr="00D443EA" w:rsidRDefault="002E732A" w:rsidP="006857FB">
      <w:pPr>
        <w:spacing w:line="360" w:lineRule="auto"/>
        <w:jc w:val="both"/>
      </w:pPr>
      <w:r w:rsidRPr="00D443EA">
        <w:t>In the comparative jurisdictional analysis of AI regulation of fintech, Saqib and Amin (2025) emphasize Singapore as a case of outcome-oriented AI regulation that does not over-prescribe AI. Although Laux, Wachter and Mittelstadt (2023) discuss the EU regulation in the context of the latter, their analytical application has a wider applicability, and they tend to wonder whether risk-acceptability frameworks are adequate to ensure real trustworthiness. The same criticism can be made of MAS FEAT, which although more prescriptive than UK guidance, is principles based in its operation. Hartmann et al. (2024) find one similarity between key regulatory regimes: in all of them, there is a substantive obligation, but an underdeveloped audit infrastructure to check its compliance.</w:t>
      </w:r>
    </w:p>
    <w:p w14:paraId="6A0B2EA6" w14:textId="21B1387F" w:rsidR="004A40D0" w:rsidRPr="00015A58" w:rsidRDefault="004A40D0" w:rsidP="006857FB">
      <w:pPr>
        <w:pStyle w:val="Caption"/>
        <w:keepNext/>
        <w:spacing w:after="0" w:line="360" w:lineRule="auto"/>
      </w:pPr>
      <w:r w:rsidRPr="00015A58">
        <w:t xml:space="preserve">Table </w:t>
      </w:r>
      <w:r w:rsidR="008124A7">
        <w:fldChar w:fldCharType="begin"/>
      </w:r>
      <w:r w:rsidR="008124A7">
        <w:instrText xml:space="preserve"> SEQ Table \* ARABIC </w:instrText>
      </w:r>
      <w:r w:rsidR="008124A7">
        <w:fldChar w:fldCharType="separate"/>
      </w:r>
      <w:r w:rsidR="003E362B" w:rsidRPr="00015A58">
        <w:rPr>
          <w:noProof/>
        </w:rPr>
        <w:t>2</w:t>
      </w:r>
      <w:r w:rsidR="008124A7">
        <w:rPr>
          <w:noProof/>
        </w:rPr>
        <w:fldChar w:fldCharType="end"/>
      </w:r>
      <w:r w:rsidRPr="00015A58">
        <w:t>: UK vs Singapore Regulatory Comparison – AI in Financial Services</w:t>
      </w:r>
      <w:r w:rsidR="00C53879" w:rsidRPr="00015A58">
        <w:t>-</w:t>
      </w:r>
      <w:r w:rsidRPr="00015A58">
        <w:t xml:space="preserve"> Source: Author's analysis, informed by Bank of England (2023), FCA (2025), MAS (2022), MAS (2023), Saqib and Amin (2025), and Hartmann et al. (2024).</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22"/>
        <w:gridCol w:w="3451"/>
        <w:gridCol w:w="3451"/>
      </w:tblGrid>
      <w:tr w:rsidR="00B5243C" w:rsidRPr="00D443EA" w14:paraId="483BA7D9" w14:textId="77777777" w:rsidTr="00216650">
        <w:trPr>
          <w:tblHeader/>
        </w:trPr>
        <w:tc>
          <w:tcPr>
            <w:tcW w:w="1175" w:type="pct"/>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182C9C3B" w14:textId="77777777" w:rsidR="00B5243C" w:rsidRPr="00D443EA" w:rsidRDefault="00856726" w:rsidP="006857FB">
            <w:pPr>
              <w:spacing w:line="360" w:lineRule="auto"/>
              <w:jc w:val="both"/>
            </w:pPr>
            <w:r w:rsidRPr="00D443EA">
              <w:rPr>
                <w:b/>
                <w:bCs/>
                <w:color w:val="FFFFFF"/>
              </w:rPr>
              <w:t>Dimension</w:t>
            </w:r>
          </w:p>
        </w:tc>
        <w:tc>
          <w:tcPr>
            <w:tcW w:w="1912" w:type="pct"/>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02723377" w14:textId="77777777" w:rsidR="00B5243C" w:rsidRPr="00D443EA" w:rsidRDefault="00856726" w:rsidP="006857FB">
            <w:pPr>
              <w:spacing w:line="360" w:lineRule="auto"/>
              <w:jc w:val="both"/>
            </w:pPr>
            <w:r w:rsidRPr="00D443EA">
              <w:rPr>
                <w:b/>
                <w:bCs/>
                <w:color w:val="FFFFFF"/>
              </w:rPr>
              <w:t>UK Regime (FCA / PRA)</w:t>
            </w:r>
          </w:p>
        </w:tc>
        <w:tc>
          <w:tcPr>
            <w:tcW w:w="1912" w:type="pct"/>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722D2043" w14:textId="77777777" w:rsidR="00B5243C" w:rsidRPr="00D443EA" w:rsidRDefault="00856726" w:rsidP="006857FB">
            <w:pPr>
              <w:spacing w:line="360" w:lineRule="auto"/>
              <w:jc w:val="both"/>
            </w:pPr>
            <w:r w:rsidRPr="00D443EA">
              <w:rPr>
                <w:b/>
                <w:bCs/>
                <w:color w:val="FFFFFF"/>
              </w:rPr>
              <w:t>Singapore Regime (MAS)</w:t>
            </w:r>
          </w:p>
        </w:tc>
      </w:tr>
      <w:tr w:rsidR="00B5243C" w:rsidRPr="00D443EA" w14:paraId="3F6E5C25" w14:textId="77777777" w:rsidTr="00216650">
        <w:tc>
          <w:tcPr>
            <w:tcW w:w="1175" w:type="pct"/>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33A303D4" w14:textId="77777777" w:rsidR="00B5243C" w:rsidRPr="00D443EA" w:rsidRDefault="00856726" w:rsidP="006857FB">
            <w:pPr>
              <w:spacing w:line="360" w:lineRule="auto"/>
              <w:jc w:val="both"/>
            </w:pPr>
            <w:r w:rsidRPr="00D443EA">
              <w:rPr>
                <w:b/>
                <w:bCs/>
              </w:rPr>
              <w:t>Legislative Basis</w:t>
            </w:r>
          </w:p>
        </w:tc>
        <w:tc>
          <w:tcPr>
            <w:tcW w:w="1912"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0FD6A73F" w14:textId="77777777" w:rsidR="00B5243C" w:rsidRPr="00D443EA" w:rsidRDefault="00856726" w:rsidP="006857FB">
            <w:pPr>
              <w:spacing w:line="360" w:lineRule="auto"/>
              <w:jc w:val="both"/>
            </w:pPr>
            <w:r w:rsidRPr="00D443EA">
              <w:t>Principles-based; existing sectoral powers</w:t>
            </w:r>
          </w:p>
        </w:tc>
        <w:tc>
          <w:tcPr>
            <w:tcW w:w="1912"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38DADD73" w14:textId="77777777" w:rsidR="00B5243C" w:rsidRPr="00D443EA" w:rsidRDefault="00856726" w:rsidP="006857FB">
            <w:pPr>
              <w:spacing w:line="360" w:lineRule="auto"/>
              <w:jc w:val="both"/>
            </w:pPr>
            <w:r w:rsidRPr="00D443EA">
              <w:t>FEAT Principles (2022); MAS Notice 644; Veritas Framework</w:t>
            </w:r>
          </w:p>
        </w:tc>
      </w:tr>
      <w:tr w:rsidR="00B5243C" w:rsidRPr="00D443EA" w14:paraId="69855C83" w14:textId="77777777" w:rsidTr="00216650">
        <w:tc>
          <w:tcPr>
            <w:tcW w:w="1175" w:type="pct"/>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07D1C957" w14:textId="77777777" w:rsidR="00B5243C" w:rsidRPr="00D443EA" w:rsidRDefault="00856726" w:rsidP="006857FB">
            <w:pPr>
              <w:spacing w:line="360" w:lineRule="auto"/>
              <w:jc w:val="both"/>
            </w:pPr>
            <w:r w:rsidRPr="00D443EA">
              <w:rPr>
                <w:b/>
                <w:bCs/>
              </w:rPr>
              <w:lastRenderedPageBreak/>
              <w:t>AI Classification</w:t>
            </w:r>
          </w:p>
        </w:tc>
        <w:tc>
          <w:tcPr>
            <w:tcW w:w="1912"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1625D68A" w14:textId="77777777" w:rsidR="00B5243C" w:rsidRPr="00D443EA" w:rsidRDefault="00856726" w:rsidP="006857FB">
            <w:pPr>
              <w:spacing w:line="360" w:lineRule="auto"/>
              <w:jc w:val="both"/>
            </w:pPr>
            <w:r w:rsidRPr="00D443EA">
              <w:t>No formal AI risk tier system</w:t>
            </w:r>
          </w:p>
        </w:tc>
        <w:tc>
          <w:tcPr>
            <w:tcW w:w="1912"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44A42DFF" w14:textId="77777777" w:rsidR="00B5243C" w:rsidRPr="00D443EA" w:rsidRDefault="00856726" w:rsidP="006857FB">
            <w:pPr>
              <w:spacing w:line="360" w:lineRule="auto"/>
              <w:jc w:val="both"/>
            </w:pPr>
            <w:r w:rsidRPr="00D443EA">
              <w:t>Risk-proportionate; high-risk applications require FEAT assessment</w:t>
            </w:r>
          </w:p>
        </w:tc>
      </w:tr>
      <w:tr w:rsidR="00B5243C" w:rsidRPr="00D443EA" w14:paraId="553DF676" w14:textId="77777777" w:rsidTr="00216650">
        <w:tc>
          <w:tcPr>
            <w:tcW w:w="1175" w:type="pct"/>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3C3AF55E" w14:textId="77777777" w:rsidR="00B5243C" w:rsidRPr="00D443EA" w:rsidRDefault="00856726" w:rsidP="006857FB">
            <w:pPr>
              <w:spacing w:line="360" w:lineRule="auto"/>
              <w:jc w:val="both"/>
            </w:pPr>
            <w:r w:rsidRPr="00D443EA">
              <w:rPr>
                <w:b/>
                <w:bCs/>
              </w:rPr>
              <w:t>Credit Scoring</w:t>
            </w:r>
          </w:p>
        </w:tc>
        <w:tc>
          <w:tcPr>
            <w:tcW w:w="1912"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3CE3E094" w14:textId="77777777" w:rsidR="00B5243C" w:rsidRPr="00D443EA" w:rsidRDefault="00856726" w:rsidP="006857FB">
            <w:pPr>
              <w:spacing w:line="360" w:lineRule="auto"/>
              <w:jc w:val="both"/>
            </w:pPr>
            <w:r w:rsidRPr="00D443EA">
              <w:t>Consumer Duty and GDPR Art. 22 only</w:t>
            </w:r>
          </w:p>
        </w:tc>
        <w:tc>
          <w:tcPr>
            <w:tcW w:w="1912"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0D2B67E8" w14:textId="77777777" w:rsidR="00B5243C" w:rsidRPr="00D443EA" w:rsidRDefault="00856726" w:rsidP="006857FB">
            <w:pPr>
              <w:spacing w:line="360" w:lineRule="auto"/>
              <w:jc w:val="both"/>
            </w:pPr>
            <w:r w:rsidRPr="00D443EA">
              <w:t>FEAT Fairness Principle requires demonstrable non-discrimination</w:t>
            </w:r>
          </w:p>
        </w:tc>
      </w:tr>
      <w:tr w:rsidR="00B5243C" w:rsidRPr="00D443EA" w14:paraId="5693BF20" w14:textId="77777777" w:rsidTr="00216650">
        <w:tc>
          <w:tcPr>
            <w:tcW w:w="1175" w:type="pct"/>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4524FC23" w14:textId="77777777" w:rsidR="00B5243C" w:rsidRPr="00D443EA" w:rsidRDefault="00856726" w:rsidP="006857FB">
            <w:pPr>
              <w:spacing w:line="360" w:lineRule="auto"/>
              <w:jc w:val="both"/>
            </w:pPr>
            <w:r w:rsidRPr="00D443EA">
              <w:rPr>
                <w:b/>
                <w:bCs/>
              </w:rPr>
              <w:t>Transparency</w:t>
            </w:r>
          </w:p>
        </w:tc>
        <w:tc>
          <w:tcPr>
            <w:tcW w:w="1912"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36E99A70" w14:textId="77777777" w:rsidR="00B5243C" w:rsidRPr="00D443EA" w:rsidRDefault="00856726" w:rsidP="006857FB">
            <w:pPr>
              <w:spacing w:line="360" w:lineRule="auto"/>
              <w:jc w:val="both"/>
            </w:pPr>
            <w:r w:rsidRPr="00D443EA">
              <w:t>Disclosure to FCA/PRA on request; no public registry</w:t>
            </w:r>
          </w:p>
        </w:tc>
        <w:tc>
          <w:tcPr>
            <w:tcW w:w="1912"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3AD69EB8" w14:textId="77777777" w:rsidR="00B5243C" w:rsidRPr="00D443EA" w:rsidRDefault="00856726" w:rsidP="006857FB">
            <w:pPr>
              <w:spacing w:line="360" w:lineRule="auto"/>
              <w:jc w:val="both"/>
            </w:pPr>
            <w:r w:rsidRPr="00D443EA">
              <w:t>Veritas methodology disclosure; MAS supervisory review</w:t>
            </w:r>
          </w:p>
        </w:tc>
      </w:tr>
      <w:tr w:rsidR="00B5243C" w:rsidRPr="00D443EA" w14:paraId="1C2C2543" w14:textId="77777777" w:rsidTr="00216650">
        <w:tc>
          <w:tcPr>
            <w:tcW w:w="1175" w:type="pct"/>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7D1816FF" w14:textId="77777777" w:rsidR="00B5243C" w:rsidRPr="00D443EA" w:rsidRDefault="00856726" w:rsidP="006857FB">
            <w:pPr>
              <w:spacing w:line="360" w:lineRule="auto"/>
              <w:jc w:val="both"/>
            </w:pPr>
            <w:r w:rsidRPr="00D443EA">
              <w:rPr>
                <w:b/>
                <w:bCs/>
              </w:rPr>
              <w:t>Human Oversight</w:t>
            </w:r>
          </w:p>
        </w:tc>
        <w:tc>
          <w:tcPr>
            <w:tcW w:w="1912"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203735D1" w14:textId="77777777" w:rsidR="00B5243C" w:rsidRPr="00D443EA" w:rsidRDefault="00856726" w:rsidP="006857FB">
            <w:pPr>
              <w:spacing w:line="360" w:lineRule="auto"/>
              <w:jc w:val="both"/>
            </w:pPr>
            <w:r w:rsidRPr="00D443EA">
              <w:t>Expected under SS1/23; not prescriptively defined</w:t>
            </w:r>
          </w:p>
        </w:tc>
        <w:tc>
          <w:tcPr>
            <w:tcW w:w="1912"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01184C1A" w14:textId="77777777" w:rsidR="00B5243C" w:rsidRPr="00D443EA" w:rsidRDefault="00856726" w:rsidP="006857FB">
            <w:pPr>
              <w:spacing w:line="360" w:lineRule="auto"/>
              <w:jc w:val="both"/>
            </w:pPr>
            <w:r w:rsidRPr="00D443EA">
              <w:t>Accountability Principle requires named responsible officer</w:t>
            </w:r>
          </w:p>
        </w:tc>
      </w:tr>
      <w:tr w:rsidR="00B5243C" w:rsidRPr="00D443EA" w14:paraId="531DB188" w14:textId="77777777" w:rsidTr="00216650">
        <w:tc>
          <w:tcPr>
            <w:tcW w:w="1175" w:type="pct"/>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649E4E6F" w14:textId="77777777" w:rsidR="00B5243C" w:rsidRPr="00D443EA" w:rsidRDefault="00856726" w:rsidP="006857FB">
            <w:pPr>
              <w:spacing w:line="360" w:lineRule="auto"/>
              <w:jc w:val="both"/>
            </w:pPr>
            <w:r w:rsidRPr="00D443EA">
              <w:rPr>
                <w:b/>
                <w:bCs/>
              </w:rPr>
              <w:t>Enforcement</w:t>
            </w:r>
          </w:p>
        </w:tc>
        <w:tc>
          <w:tcPr>
            <w:tcW w:w="1912"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2833EE86" w14:textId="77777777" w:rsidR="00B5243C" w:rsidRPr="00D443EA" w:rsidRDefault="00856726" w:rsidP="006857FB">
            <w:pPr>
              <w:spacing w:line="360" w:lineRule="auto"/>
              <w:jc w:val="both"/>
            </w:pPr>
            <w:r w:rsidRPr="00D443EA">
              <w:t>FCA/PRA supervisory action; existing powers</w:t>
            </w:r>
          </w:p>
        </w:tc>
        <w:tc>
          <w:tcPr>
            <w:tcW w:w="1912"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6B5265F1" w14:textId="77777777" w:rsidR="00B5243C" w:rsidRPr="00D443EA" w:rsidRDefault="00856726" w:rsidP="006857FB">
            <w:pPr>
              <w:spacing w:line="360" w:lineRule="auto"/>
              <w:jc w:val="both"/>
            </w:pPr>
            <w:r w:rsidRPr="00D443EA">
              <w:t>MAS supervisory action; licence conditions; formal directions</w:t>
            </w:r>
          </w:p>
        </w:tc>
      </w:tr>
      <w:tr w:rsidR="00B5243C" w:rsidRPr="00D443EA" w14:paraId="34BDF78F" w14:textId="77777777" w:rsidTr="00216650">
        <w:tc>
          <w:tcPr>
            <w:tcW w:w="1175" w:type="pct"/>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3530864C" w14:textId="77777777" w:rsidR="00B5243C" w:rsidRPr="00D443EA" w:rsidRDefault="00856726" w:rsidP="006857FB">
            <w:pPr>
              <w:spacing w:line="360" w:lineRule="auto"/>
              <w:jc w:val="both"/>
            </w:pPr>
            <w:r w:rsidRPr="00D443EA">
              <w:rPr>
                <w:b/>
                <w:bCs/>
              </w:rPr>
              <w:t>Industry Tools</w:t>
            </w:r>
          </w:p>
        </w:tc>
        <w:tc>
          <w:tcPr>
            <w:tcW w:w="1912"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219CEDEC" w14:textId="77777777" w:rsidR="00B5243C" w:rsidRPr="00D443EA" w:rsidRDefault="00856726" w:rsidP="006857FB">
            <w:pPr>
              <w:spacing w:line="360" w:lineRule="auto"/>
              <w:jc w:val="both"/>
            </w:pPr>
            <w:r w:rsidRPr="00D443EA">
              <w:t>No MAS-equivalent testing toolkit; industry-led development</w:t>
            </w:r>
          </w:p>
        </w:tc>
        <w:tc>
          <w:tcPr>
            <w:tcW w:w="1912"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1C60482F" w14:textId="77777777" w:rsidR="00B5243C" w:rsidRPr="00D443EA" w:rsidRDefault="00856726" w:rsidP="006857FB">
            <w:pPr>
              <w:spacing w:line="360" w:lineRule="auto"/>
              <w:jc w:val="both"/>
            </w:pPr>
            <w:r w:rsidRPr="00D443EA">
              <w:t>Veritas framework: sector-developed algorithmic assessment toolkit</w:t>
            </w:r>
          </w:p>
        </w:tc>
      </w:tr>
    </w:tbl>
    <w:p w14:paraId="7EC78FC2" w14:textId="6DC87680" w:rsidR="00B5243C" w:rsidRPr="00D443EA" w:rsidRDefault="00856726" w:rsidP="006857FB">
      <w:pPr>
        <w:pStyle w:val="Heading2"/>
      </w:pPr>
      <w:bookmarkStart w:id="7" w:name="_Toc228040829"/>
      <w:r w:rsidRPr="00D443EA">
        <w:t>Maintaining Customer Trust</w:t>
      </w:r>
      <w:bookmarkEnd w:id="7"/>
    </w:p>
    <w:p w14:paraId="48E30262" w14:textId="0E47A75F" w:rsidR="00B5243C" w:rsidRPr="00D443EA" w:rsidRDefault="002E732A" w:rsidP="006857FB">
      <w:pPr>
        <w:spacing w:line="360" w:lineRule="auto"/>
        <w:jc w:val="both"/>
      </w:pPr>
      <w:r w:rsidRPr="00D443EA">
        <w:t xml:space="preserve">The most intangible and at the same time most commercially determinant aspect of AI risk to HSBC is customer trust. Trust acts as a multiplier of all other risk factors: when it exists, regulatory scrutiny is toned down; when it does not, even systems that are technically compliant are capable of causing reputational crises. Abbas et al. (2025) report on the reinvention of misinformation through generative AI in digital financial services, and claim that financial institutions are in a dilemma of not only safeguarding their clients against exogenous AI-driven dangers, but also not to create harm internally as a result of AI systems. Turksen, Benson and Adamyk (2024) classify the weaknesses of automated AML monitoring systems as accountability gaps, where customers are alerted with consequences that are not sufficiently explained or easily </w:t>
      </w:r>
      <w:r w:rsidRPr="00D443EA">
        <w:lastRenderedPageBreak/>
        <w:t>appealed. This can be applied directly to the AML infrastructure of HSBC, which is of a size that makes individual human review impractical. Ratzan and Rahman (2023) discover that perceived understanding and capability to question results are most related to customer trust in AI banking decisions. Knight, Shibani and Vincent (2024) validate the fact that harm caused by AI is becoming the first catalyst of a regulation intervention around the world. All these findings suggest that the key to trust-building is technical transparency inherent in the design of AI, rather than post-decision communications.</w:t>
      </w:r>
    </w:p>
    <w:p w14:paraId="7813139B" w14:textId="6AFC0D44" w:rsidR="004C7D22" w:rsidRPr="00D443EA" w:rsidRDefault="004C7D22" w:rsidP="006857FB">
      <w:pPr>
        <w:pStyle w:val="Heading2"/>
      </w:pPr>
      <w:bookmarkStart w:id="8" w:name="_Toc228040830"/>
      <w:r w:rsidRPr="00D443EA">
        <w:t>Industry Structure Analysis: Porter’s Five Forces in AI-Driven Banking</w:t>
      </w:r>
      <w:bookmarkEnd w:id="8"/>
    </w:p>
    <w:p w14:paraId="20924FC2" w14:textId="77777777" w:rsidR="00773A1C" w:rsidRPr="00D443EA" w:rsidRDefault="00773A1C" w:rsidP="006857FB">
      <w:pPr>
        <w:spacing w:line="360" w:lineRule="auto"/>
        <w:jc w:val="both"/>
        <w:rPr>
          <w:b/>
          <w:bCs/>
        </w:rPr>
      </w:pPr>
      <w:r w:rsidRPr="00D443EA">
        <w:t>The GovernanceTrustCompetitiveness (GTC) framework suggested in this report can be further justified by considering Porters Five Forces, which helps to understand how artificial intelligence is transforming structural competition in global banking and how governance is becoming a strategic requirement and not a compliance role</w:t>
      </w:r>
      <w:r w:rsidRPr="00D443EA">
        <w:rPr>
          <w:b/>
          <w:bCs/>
        </w:rPr>
        <w:t>.</w:t>
      </w:r>
    </w:p>
    <w:p w14:paraId="280A85EB" w14:textId="77777777" w:rsidR="00773A1C" w:rsidRPr="00D443EA" w:rsidRDefault="00773A1C" w:rsidP="006857FB">
      <w:pPr>
        <w:spacing w:line="360" w:lineRule="auto"/>
        <w:jc w:val="both"/>
      </w:pPr>
      <w:r w:rsidRPr="00D443EA">
        <w:rPr>
          <w:b/>
          <w:bCs/>
        </w:rPr>
        <w:t>Structural Low Threat of New Entrants</w:t>
      </w:r>
      <w:r w:rsidRPr="00D443EA">
        <w:t>: Regulatory capital requirement and licensing barriers make entry structurally low. Nevertheless, AI-powered fintech companies and digital banks are diminishing the conventional entry barriers by platform-based business models and niche specialisation. These entrants may not match the scale of HSBC, but they can implement AI much more quickly, with fewer legacy limitations, creating a governance paradox: smaller organizations can more quickly innovate, but big organizations such as HSBC are more subject to regulatory attention, and thus governance maturity is itself a barrier to entry.</w:t>
      </w:r>
    </w:p>
    <w:p w14:paraId="36C043F1" w14:textId="77777777" w:rsidR="00773A1C" w:rsidRPr="00D443EA" w:rsidRDefault="00773A1C" w:rsidP="006857FB">
      <w:pPr>
        <w:spacing w:line="360" w:lineRule="auto"/>
        <w:jc w:val="both"/>
      </w:pPr>
      <w:r w:rsidRPr="00D443EA">
        <w:rPr>
          <w:b/>
          <w:bCs/>
        </w:rPr>
        <w:t>The Supplier Power</w:t>
      </w:r>
      <w:r w:rsidRPr="00D443EA">
        <w:t xml:space="preserve"> has been growing due to the emergence of cloud computing vendors, data vendors, and AI infrastructure vendors. The reliance of HSBC on third-party technologies in developing and deploying models creates systemic risk and lacks control over data provenance and security which supports the apprehensions found in the AI governance literature (Upreti et al., 2024). This dependence moves the power of banks to the side of technology ecosystems.</w:t>
      </w:r>
    </w:p>
    <w:p w14:paraId="08FB378A" w14:textId="77777777" w:rsidR="00773A1C" w:rsidRPr="00D443EA" w:rsidRDefault="00773A1C" w:rsidP="006857FB">
      <w:pPr>
        <w:spacing w:line="360" w:lineRule="auto"/>
        <w:jc w:val="both"/>
      </w:pPr>
      <w:r w:rsidRPr="00D443EA">
        <w:rPr>
          <w:b/>
          <w:bCs/>
        </w:rPr>
        <w:t>Buyer Power</w:t>
      </w:r>
      <w:r w:rsidRPr="00D443EA">
        <w:t xml:space="preserve"> is high and increasing. Consumers who are impacted by AI-based credit decisions are more demanding in terms of transparency, fairness, and the right to challenge the results. Trust is also not merely a behavioural product but a structural power that makes competition. It has been proven that the perceived fairness and explainability have a substantial impact on customer retention in financial services (Ratzan and Rahman, 2023).</w:t>
      </w:r>
    </w:p>
    <w:p w14:paraId="7ABCC4BC" w14:textId="25BA20FE" w:rsidR="00773A1C" w:rsidRPr="00D443EA" w:rsidRDefault="00773A1C" w:rsidP="006857FB">
      <w:pPr>
        <w:spacing w:line="360" w:lineRule="auto"/>
        <w:jc w:val="both"/>
      </w:pPr>
      <w:r w:rsidRPr="00D443EA">
        <w:rPr>
          <w:b/>
          <w:bCs/>
        </w:rPr>
        <w:lastRenderedPageBreak/>
        <w:t>Threat of Substitutes</w:t>
      </w:r>
      <w:r w:rsidRPr="00D443EA">
        <w:t xml:space="preserve"> is increasing with other financial platforms that provide embedded finance, peer-to-peer lending, and AI-based advisory services. These replacements are competing in speed, personalisation, and perceived transparency, where the quality of governance directly influences the competitiveness.</w:t>
      </w:r>
    </w:p>
    <w:p w14:paraId="36D455B6" w14:textId="77777777" w:rsidR="00773A1C" w:rsidRPr="00D443EA" w:rsidRDefault="00773A1C" w:rsidP="006857FB">
      <w:pPr>
        <w:spacing w:line="360" w:lineRule="auto"/>
        <w:jc w:val="both"/>
      </w:pPr>
      <w:r w:rsidRPr="00D443EA">
        <w:rPr>
          <w:b/>
          <w:bCs/>
        </w:rPr>
        <w:t>Competition in the industry</w:t>
      </w:r>
      <w:r w:rsidRPr="00D443EA">
        <w:t xml:space="preserve"> is stiff and more focused on AI functionality and transparency in governance than on the traditional price competition. Governance structures have been used by the likes of DBS and JPMorgan as a competitive advantage whilst HSBC is comparatively disadvantaged in terms of transparency which undermines its positioning.</w:t>
      </w:r>
    </w:p>
    <w:p w14:paraId="0CC7231B" w14:textId="0AE8F2E0" w:rsidR="004C7D22" w:rsidRPr="00D443EA" w:rsidRDefault="00773A1C" w:rsidP="006857FB">
      <w:pPr>
        <w:spacing w:line="360" w:lineRule="auto"/>
        <w:jc w:val="both"/>
      </w:pPr>
      <w:r w:rsidRPr="00D443EA">
        <w:t>On balance, the discussion indicates the validity of the GTC framework since it shows that AI governance is endogenous to the competition of the industry, as it affects entry barriers, customer power, and long-run competitive advantage (Porter, 2008).</w:t>
      </w:r>
    </w:p>
    <w:p w14:paraId="47DF3BA6" w14:textId="00C52C8F" w:rsidR="00B5243C" w:rsidRPr="00D443EA" w:rsidRDefault="00856726" w:rsidP="006857FB">
      <w:pPr>
        <w:pStyle w:val="Heading1"/>
      </w:pPr>
      <w:bookmarkStart w:id="9" w:name="_Toc228040831"/>
      <w:r w:rsidRPr="00D443EA">
        <w:t>Proposed Framework: Governance-Trust-Competitiveness (GTC)</w:t>
      </w:r>
      <w:bookmarkEnd w:id="9"/>
    </w:p>
    <w:p w14:paraId="317D318A" w14:textId="77777777" w:rsidR="003D16E2" w:rsidRPr="00D443EA" w:rsidRDefault="003D16E2" w:rsidP="006857FB">
      <w:pPr>
        <w:keepNext/>
        <w:spacing w:line="360" w:lineRule="auto"/>
        <w:jc w:val="both"/>
      </w:pPr>
      <w:r w:rsidRPr="00D443EA">
        <w:t>This report suggests a new analytical framework that will explain the strategic relationship between the maturity of AI governance, customer trust, and sustainable competitive advantage in the global banking industry as the Governance-Trust-Competitiveness (GTC) model. The framework assumes three hypotheses that are related to each other:</w:t>
      </w:r>
    </w:p>
    <w:p w14:paraId="2AE25772" w14:textId="77777777" w:rsidR="003D16E2" w:rsidRPr="00D443EA" w:rsidRDefault="003D16E2" w:rsidP="006857FB">
      <w:pPr>
        <w:keepNext/>
        <w:spacing w:line="360" w:lineRule="auto"/>
        <w:jc w:val="both"/>
      </w:pPr>
      <w:r w:rsidRPr="00D443EA">
        <w:rPr>
          <w:b/>
          <w:bCs/>
        </w:rPr>
        <w:t>Hypothesis 1 (Governance Foundation):</w:t>
      </w:r>
      <w:r w:rsidRPr="00D443EA">
        <w:t xml:space="preserve"> AI governance maturity, as the extent to which the governance architecture of an institution can be independently verifiable, technically implemented and proactively aligned with the emerging regulatory expectations, is a necessary, but not sufficient condition of sustainable AI deployment. Those institutions that only govern up to the existing regulatory minimum standards will experience recurrent governance failures as AI capabilities and regulatory demands evolve.</w:t>
      </w:r>
    </w:p>
    <w:p w14:paraId="484181DC" w14:textId="77777777" w:rsidR="003D16E2" w:rsidRPr="00D443EA" w:rsidRDefault="003D16E2" w:rsidP="006857FB">
      <w:pPr>
        <w:keepNext/>
        <w:spacing w:line="360" w:lineRule="auto"/>
        <w:jc w:val="both"/>
      </w:pPr>
      <w:r w:rsidRPr="00D443EA">
        <w:rPr>
          <w:b/>
          <w:bCs/>
        </w:rPr>
        <w:t>Hypothesis 2 (Trust Multiplier):</w:t>
      </w:r>
      <w:r w:rsidRPr="00D443EA">
        <w:t xml:space="preserve"> Customer trust in AI-based financial decision influences the commercial value of governance investment in a multiplied way. Governance controls translated into real customer transparency give rise to quantifiably greater trust-based retention and less regulatory intervention than governance controls that are internally sound but externally opaque. Ratzan and </w:t>
      </w:r>
      <w:r w:rsidRPr="00D443EA">
        <w:lastRenderedPageBreak/>
        <w:t>Rahman (2023) support this hypothesis and argue that the traditional division of compliance and customer experience functions is incorrect.</w:t>
      </w:r>
    </w:p>
    <w:p w14:paraId="141FBFC6" w14:textId="77777777" w:rsidR="003D16E2" w:rsidRPr="00D443EA" w:rsidRDefault="003D16E2" w:rsidP="006857FB">
      <w:pPr>
        <w:keepNext/>
        <w:spacing w:line="360" w:lineRule="auto"/>
        <w:jc w:val="both"/>
      </w:pPr>
      <w:r w:rsidRPr="00D443EA">
        <w:rPr>
          <w:b/>
          <w:bCs/>
        </w:rPr>
        <w:t>Hypothesis 3 (Competitive Conversion):</w:t>
      </w:r>
      <w:r w:rsidRPr="00D443EA">
        <w:t xml:space="preserve"> It is hypothesised that governance excellence, operationalised in terms of the GTC cycle, transforms regulatory compliance investment into competitive positioning. Institutions that engage in the setting of standards, have independent certification and exhibit proactive governance leadership take reputational capital that is used as an enduring barrier to entry especially when regulatory complexity is high. This hypothesis is a synthesis of the ideas of Helmi Ayari, Guetari and Kraiem (2025) about interpretability as competitive differentiation and Ye et al. (2024) about the benefits of data governance in converging privacy regimes.</w:t>
      </w:r>
    </w:p>
    <w:p w14:paraId="3007FCF5" w14:textId="77C271EC" w:rsidR="007F1EC9" w:rsidRPr="00D443EA" w:rsidRDefault="003D16E2" w:rsidP="006857FB">
      <w:pPr>
        <w:keepNext/>
        <w:spacing w:line="360" w:lineRule="auto"/>
        <w:jc w:val="both"/>
      </w:pPr>
      <w:r w:rsidRPr="00D443EA">
        <w:t>The GTC framework is a closed circuit: greater governance results in greater customer trust, which lessens regulatory friction and enhances commercial performance, which subsequently funds more governance investment. In the case of HSBC, the framework</w:t>
      </w:r>
      <w:r w:rsidR="007F1EC9" w:rsidRPr="00D443EA">
        <w:t xml:space="preserve"> </w:t>
      </w:r>
      <w:r w:rsidRPr="00D443EA">
        <w:t>identifies an existing GTC deficit: there is an investment in governance that is yet to be regularly converted into external trust signals or competitive positioning. Section 4</w:t>
      </w:r>
      <w:r w:rsidR="007F1EC9" w:rsidRPr="00D443EA">
        <w:t xml:space="preserve"> </w:t>
      </w:r>
    </w:p>
    <w:p w14:paraId="1450AD2E" w14:textId="4BD47136" w:rsidR="00071F1F" w:rsidRPr="00D443EA" w:rsidRDefault="003D16E2" w:rsidP="006857FB">
      <w:pPr>
        <w:keepNext/>
        <w:spacing w:line="360" w:lineRule="auto"/>
        <w:jc w:val="both"/>
      </w:pPr>
      <w:r w:rsidRPr="00D443EA">
        <w:t>of the implementation plan will address this shortfall in five years.</w:t>
      </w:r>
      <w:r w:rsidR="00DE3A5C" w:rsidRPr="00D443EA">
        <w:rPr>
          <w:noProof/>
        </w:rPr>
        <w:drawing>
          <wp:inline distT="0" distB="0" distL="0" distR="0" wp14:anchorId="58ACEDD8" wp14:editId="3D39B7FF">
            <wp:extent cx="5731510" cy="3047365"/>
            <wp:effectExtent l="0" t="0" r="2540" b="635"/>
            <wp:docPr id="707016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016855" name="Picture 707016855"/>
                    <pic:cNvPicPr/>
                  </pic:nvPicPr>
                  <pic:blipFill>
                    <a:blip r:embed="rId9">
                      <a:extLst>
                        <a:ext uri="{28A0092B-C50C-407E-A947-70E740481C1C}">
                          <a14:useLocalDpi xmlns:a14="http://schemas.microsoft.com/office/drawing/2010/main" val="0"/>
                        </a:ext>
                      </a:extLst>
                    </a:blip>
                    <a:stretch>
                      <a:fillRect/>
                    </a:stretch>
                  </pic:blipFill>
                  <pic:spPr>
                    <a:xfrm>
                      <a:off x="0" y="0"/>
                      <a:ext cx="5731510" cy="3047365"/>
                    </a:xfrm>
                    <a:prstGeom prst="rect">
                      <a:avLst/>
                    </a:prstGeom>
                  </pic:spPr>
                </pic:pic>
              </a:graphicData>
            </a:graphic>
          </wp:inline>
        </w:drawing>
      </w:r>
    </w:p>
    <w:p w14:paraId="76106798" w14:textId="294FBAAA" w:rsidR="00071F1F" w:rsidRPr="000436FE" w:rsidRDefault="00071F1F" w:rsidP="006857FB">
      <w:pPr>
        <w:pStyle w:val="Caption"/>
        <w:spacing w:after="0" w:line="360" w:lineRule="auto"/>
        <w:jc w:val="both"/>
      </w:pPr>
      <w:r w:rsidRPr="000436FE">
        <w:t xml:space="preserve">Figure </w:t>
      </w:r>
      <w:r w:rsidR="008124A7">
        <w:fldChar w:fldCharType="begin"/>
      </w:r>
      <w:r w:rsidR="008124A7">
        <w:instrText xml:space="preserve"> SEQ Figure \* ARABIC </w:instrText>
      </w:r>
      <w:r w:rsidR="008124A7">
        <w:fldChar w:fldCharType="separate"/>
      </w:r>
      <w:r w:rsidRPr="000436FE">
        <w:rPr>
          <w:noProof/>
        </w:rPr>
        <w:t>1</w:t>
      </w:r>
      <w:r w:rsidR="008124A7">
        <w:rPr>
          <w:noProof/>
        </w:rPr>
        <w:fldChar w:fldCharType="end"/>
      </w:r>
      <w:r w:rsidRPr="000436FE">
        <w:t>: The Governance-Trust-Competitiveness (GTC) Framework (self-made)</w:t>
      </w:r>
    </w:p>
    <w:p w14:paraId="56C3B34C" w14:textId="7CA9ACA2" w:rsidR="00B5243C" w:rsidRPr="00D443EA" w:rsidRDefault="00856726" w:rsidP="006857FB">
      <w:pPr>
        <w:spacing w:line="360" w:lineRule="auto"/>
        <w:jc w:val="both"/>
      </w:pPr>
      <w:r w:rsidRPr="00D443EA">
        <w:br w:type="page"/>
      </w:r>
    </w:p>
    <w:p w14:paraId="2CC25EC0" w14:textId="530F3017" w:rsidR="00B5243C" w:rsidRPr="00D443EA" w:rsidRDefault="00856726" w:rsidP="006857FB">
      <w:pPr>
        <w:pStyle w:val="Heading1"/>
      </w:pPr>
      <w:bookmarkStart w:id="10" w:name="_Toc228040832"/>
      <w:r w:rsidRPr="00D443EA">
        <w:lastRenderedPageBreak/>
        <w:t>Implementation Plan</w:t>
      </w:r>
      <w:bookmarkEnd w:id="10"/>
    </w:p>
    <w:p w14:paraId="37B9B40E" w14:textId="06557858" w:rsidR="00B5243C" w:rsidRPr="00D443EA" w:rsidRDefault="00856726" w:rsidP="006857FB">
      <w:pPr>
        <w:pStyle w:val="Heading2"/>
      </w:pPr>
      <w:bookmarkStart w:id="11" w:name="_Toc228040833"/>
      <w:r w:rsidRPr="00D443EA">
        <w:t>Short-Term Recommendations (0 to 12 Months)</w:t>
      </w:r>
      <w:bookmarkEnd w:id="11"/>
    </w:p>
    <w:p w14:paraId="6A3D61CA" w14:textId="77777777" w:rsidR="00B5243C" w:rsidRPr="00D443EA" w:rsidRDefault="00856726" w:rsidP="006857FB">
      <w:pPr>
        <w:spacing w:line="360" w:lineRule="auto"/>
        <w:jc w:val="both"/>
      </w:pPr>
      <w:r w:rsidRPr="00D443EA">
        <w:rPr>
          <w:b/>
          <w:bCs/>
        </w:rPr>
        <w:t>Recommendation 1: AI Risk and Governance Gap Analysis.</w:t>
      </w:r>
    </w:p>
    <w:p w14:paraId="4FDD6104" w14:textId="30213208" w:rsidR="00B5243C" w:rsidRPr="00D443EA" w:rsidRDefault="00875F8E" w:rsidP="006857FB">
      <w:pPr>
        <w:spacing w:line="360" w:lineRule="auto"/>
        <w:jc w:val="both"/>
      </w:pPr>
      <w:r w:rsidRPr="00D443EA">
        <w:t>HSBC needs to instruct an external audit of AI risk in all systems that have been implemented in credit decisioning, AML, and customer-facing applications. The audit evaluates both PRA SS1/23, UK GDPR, MAS FEAT Principles and MAS Notice 644. It generates a model inventory, risk classification and a prioritised remediation plan (Bank of England, 2023; MAS, 2022). The scope of the audit must be in line with MAS Veritas approach to systems in Singapore. Cost benchmark: Deloitte (2024) approximates similar audit programmes to tier-one banks as USD 3 to 6 million; converted to GBP and scaled to the size of HSBC, the approximate cost will be GBP 3.5 to 6 million to conduct a Group-wide exercise with external specialist review.</w:t>
      </w:r>
    </w:p>
    <w:p w14:paraId="7ADFC019" w14:textId="77777777" w:rsidR="00B5243C" w:rsidRPr="00D443EA" w:rsidRDefault="00856726" w:rsidP="006857FB">
      <w:pPr>
        <w:spacing w:line="360" w:lineRule="auto"/>
        <w:jc w:val="both"/>
      </w:pPr>
      <w:r w:rsidRPr="00D443EA">
        <w:rPr>
          <w:b/>
          <w:bCs/>
        </w:rPr>
        <w:t>Recommendation 2: Appoint a Board-level Chief AI Ethics Officer (CAEO).</w:t>
      </w:r>
    </w:p>
    <w:p w14:paraId="74D983A1" w14:textId="0F011FEE" w:rsidR="00B5243C" w:rsidRPr="00D443EA" w:rsidRDefault="00875F8E" w:rsidP="006857FB">
      <w:pPr>
        <w:spacing w:line="360" w:lineRule="auto"/>
        <w:jc w:val="both"/>
      </w:pPr>
      <w:r w:rsidRPr="00D443EA">
        <w:t>HSBC does not have a senior executive with direct responsibility towards AI ethics. The CAEO ought to be able to stop or adjust AI deployments not passing the ethical test and an annual AI Transparency Report should be held. According to Papagiannanidis, Mikalef and Conboy (2025), the main factor that determines the maturity of governance is senior accountability. By MAS FEAT Accountability Principle, AI systems are supposed to have a named responsible officer: this recommendation fulfils this requirement but applies the same accountability to UK operations. Estimated price: GBP 600,000-800,000 annually with support personnel.</w:t>
      </w:r>
    </w:p>
    <w:p w14:paraId="579B9DC4" w14:textId="77777777" w:rsidR="00B5243C" w:rsidRPr="00D443EA" w:rsidRDefault="00856726" w:rsidP="006857FB">
      <w:pPr>
        <w:spacing w:line="360" w:lineRule="auto"/>
        <w:jc w:val="both"/>
      </w:pPr>
      <w:r w:rsidRPr="00D443EA">
        <w:rPr>
          <w:b/>
          <w:bCs/>
        </w:rPr>
        <w:t>Recommendation 3: GDPR and MAS FEAT Alignment Review.</w:t>
      </w:r>
    </w:p>
    <w:p w14:paraId="08003FCC" w14:textId="21BDA3A1" w:rsidR="00B5243C" w:rsidRPr="00D443EA" w:rsidRDefault="009529CE" w:rsidP="006857FB">
      <w:pPr>
        <w:spacing w:line="360" w:lineRule="auto"/>
        <w:jc w:val="both"/>
      </w:pPr>
      <w:r w:rsidRPr="00D443EA">
        <w:t>An iterative review of the law ought to evaluate all AI systems that affect credit approval, loan pricing, or account management in relation to UK GDPR Article 22 right-to-explanation provisions and MAS FEAT Fairness Principle provisions. Szadeczky and Bederna (2025) offer a cross-sector AI governance evaluation framework that can be used as a review template. Estimated cost: GBP 900,000 to 1.3 million to review legally and technically; benchmark reference would be similar review programmes reported by peer institutions at around USD 1 to 2 million (Deloitte, 2024).</w:t>
      </w:r>
    </w:p>
    <w:p w14:paraId="0C9C358D" w14:textId="68DA4351" w:rsidR="00B5243C" w:rsidRPr="00D443EA" w:rsidRDefault="00856726" w:rsidP="006857FB">
      <w:pPr>
        <w:pStyle w:val="Heading2"/>
      </w:pPr>
      <w:bookmarkStart w:id="12" w:name="_Toc228040834"/>
      <w:r w:rsidRPr="00D443EA">
        <w:t>Medium-Term Recommendations (1 to 3 Years)</w:t>
      </w:r>
      <w:bookmarkEnd w:id="12"/>
    </w:p>
    <w:p w14:paraId="5FBF1DCA" w14:textId="77777777" w:rsidR="00B5243C" w:rsidRPr="00D443EA" w:rsidRDefault="00856726" w:rsidP="006857FB">
      <w:pPr>
        <w:spacing w:line="360" w:lineRule="auto"/>
        <w:jc w:val="both"/>
      </w:pPr>
      <w:r w:rsidRPr="00D443EA">
        <w:rPr>
          <w:b/>
          <w:bCs/>
        </w:rPr>
        <w:t>Recommendation 4: Implement ISO/IEC 42001 AI Management System Standard.</w:t>
      </w:r>
    </w:p>
    <w:p w14:paraId="41E6B7BB" w14:textId="34F64310" w:rsidR="00B5243C" w:rsidRPr="00D443EA" w:rsidRDefault="009529CE" w:rsidP="006857FB">
      <w:pPr>
        <w:spacing w:line="360" w:lineRule="auto"/>
        <w:jc w:val="both"/>
      </w:pPr>
      <w:r w:rsidRPr="00D443EA">
        <w:lastRenderedPageBreak/>
        <w:t>The first internationally recognised standard of AI management system, ISO/IEC 42001, sets standards of responsible AI development, deployment, and monitoring. The Group-wide certification should be sought by HSBC within 24 months. As Ahmed, Mehdi and Mohamed (2023) demonstrate, systematic governance frameworks generate more reliable and auditable outputs of risks with a measurably higher degree of reliability. The ISO/IEC 42001 certification would establish a standard language of governance across the jurisdictions of HSBC and give a credible compliance message to the FCA/PRA and MAS. Cost benchmark: McKinsey Global Institute (2023) estimates the cost of full implementation of AI governance programme of a global tier-one bank USD 15 to 25 million over two years; GBP equivalent GBP 12 to 20 million.</w:t>
      </w:r>
    </w:p>
    <w:p w14:paraId="4B23699C" w14:textId="77777777" w:rsidR="00B5243C" w:rsidRPr="00D443EA" w:rsidRDefault="00856726" w:rsidP="006857FB">
      <w:pPr>
        <w:spacing w:line="360" w:lineRule="auto"/>
        <w:jc w:val="both"/>
      </w:pPr>
      <w:r w:rsidRPr="00D443EA">
        <w:rPr>
          <w:b/>
          <w:bCs/>
        </w:rPr>
        <w:t>Recommendation 5: Deploy XAI Infrastructure Across All High-Risk AI Systems.</w:t>
      </w:r>
    </w:p>
    <w:p w14:paraId="289755FF" w14:textId="19F9B1C3" w:rsidR="00B5243C" w:rsidRPr="00D443EA" w:rsidRDefault="009529CE" w:rsidP="006857FB">
      <w:pPr>
        <w:spacing w:line="360" w:lineRule="auto"/>
        <w:jc w:val="both"/>
      </w:pPr>
      <w:r w:rsidRPr="00D443EA">
        <w:t>HSBC must require all AI systems that fall under SS1/23 or are subject to FEAT Transparency requirements to use SHAP-based attribution and counterfactual explanation tools. Weber, Carl and Hinz (2023) affirm SHAP and LIME to be the most regulatory-ready XAI tools. The outputs of counterfactual explanations are the governance-grade outputs exhibited by Bueff et al. (2022). Yao et al. (2025) demonstrate that generative AI can be used to improve the interpretability of models in controlled governance frameworks. Importantly, Greene et al. (2025) caution that commercially driven XAI implementations may violate the integrity of the explanation: the XAI programme at HSBC should involve the independent assessment of the quality of the explanations, not just the implementation of the tools. Estimated cost: GBP 14-22 million in two years.</w:t>
      </w:r>
    </w:p>
    <w:p w14:paraId="50CAE6AF" w14:textId="77777777" w:rsidR="00B5243C" w:rsidRPr="00D443EA" w:rsidRDefault="00856726" w:rsidP="006857FB">
      <w:pPr>
        <w:spacing w:line="360" w:lineRule="auto"/>
        <w:jc w:val="both"/>
      </w:pPr>
      <w:r w:rsidRPr="00D443EA">
        <w:rPr>
          <w:b/>
          <w:bCs/>
        </w:rPr>
        <w:t>Recommendation 6: Establish an Independent Algorithmic Fairness Review Panel.</w:t>
      </w:r>
    </w:p>
    <w:p w14:paraId="1300B99E" w14:textId="4DD7E012" w:rsidR="00B5243C" w:rsidRPr="00D443EA" w:rsidRDefault="009529CE" w:rsidP="006857FB">
      <w:pPr>
        <w:spacing w:line="360" w:lineRule="auto"/>
        <w:jc w:val="both"/>
      </w:pPr>
      <w:r w:rsidRPr="00D443EA">
        <w:t>HSBC must have a standing panel consisting of academic, civil society and consumer representation, and annual reviews of algorithmic fairness in lending and credit functions. Machado, Chen and Osterrieder (2025) present an ML credit risk framework that considers fairness as the most important evaluation criterion. Bussmann et al. (2020) show fairness-auditable outputs where the governance requirements are defined at the design phase. Chang et al. (2024) demonstrate that fairness constraints enhance the regulatory acceptability in the long run. The results of the panel should be publicly available as required by the MAS FEAT Transparency. Approximate cost: GBP 1.8 to 2.8 million/annual.</w:t>
      </w:r>
    </w:p>
    <w:p w14:paraId="1DDDA769" w14:textId="77777777" w:rsidR="00B5243C" w:rsidRPr="00D443EA" w:rsidRDefault="00856726" w:rsidP="006857FB">
      <w:pPr>
        <w:spacing w:line="360" w:lineRule="auto"/>
        <w:jc w:val="both"/>
      </w:pPr>
      <w:r w:rsidRPr="00D443EA">
        <w:rPr>
          <w:b/>
          <w:bCs/>
        </w:rPr>
        <w:t>Recommendation 7: AI Cybersecurity Resilience Programme.</w:t>
      </w:r>
    </w:p>
    <w:p w14:paraId="5B6C25C9" w14:textId="3F32555F" w:rsidR="00B5243C" w:rsidRPr="00D443EA" w:rsidRDefault="009529CE" w:rsidP="006857FB">
      <w:pPr>
        <w:spacing w:line="360" w:lineRule="auto"/>
        <w:jc w:val="both"/>
      </w:pPr>
      <w:r w:rsidRPr="00D443EA">
        <w:lastRenderedPageBreak/>
        <w:t>According to Ramesh Upreti et al. (2024), model inversion and membership inference attacks are the most profound new risks to financial AI. Adversarial robust models need continuous retraining, which is confirmed by Hafez et al. (2025). Wang et al. (2020) present the baseline performance under different data conditions. To achieve cyber resilience, HSBC must consider AI-specific threat modelling as part of its framework, and it must adversarial test AI-specific threat modelling before production deployment. MAS Notice 644 §9 mandates that AI security testing of systems with material operational impact be documented. Estimated price: GBP 6-10 million per year; compare with the USD 600 million annual cybersecurity budget published by JPMorgan Chase, with AI-specific resilience estimated to be 5-8 percent (Reuters, 2024).</w:t>
      </w:r>
    </w:p>
    <w:p w14:paraId="5EF2642A" w14:textId="566A8C48" w:rsidR="00B5243C" w:rsidRPr="00D443EA" w:rsidRDefault="00856726" w:rsidP="006857FB">
      <w:pPr>
        <w:pStyle w:val="Heading2"/>
      </w:pPr>
      <w:bookmarkStart w:id="13" w:name="_Toc228040835"/>
      <w:r w:rsidRPr="00D443EA">
        <w:t>Long-Term Recommendations (3 to 5 Years)</w:t>
      </w:r>
      <w:bookmarkEnd w:id="13"/>
    </w:p>
    <w:p w14:paraId="13F9786D" w14:textId="77777777" w:rsidR="00B5243C" w:rsidRPr="00D443EA" w:rsidRDefault="00856726" w:rsidP="006857FB">
      <w:pPr>
        <w:spacing w:line="360" w:lineRule="auto"/>
        <w:jc w:val="both"/>
      </w:pPr>
      <w:r w:rsidRPr="00D443EA">
        <w:rPr>
          <w:b/>
          <w:bCs/>
        </w:rPr>
        <w:t>Recommendation 8: Regulatory Co-Design Engagement at UK and Singapore Level.</w:t>
      </w:r>
    </w:p>
    <w:p w14:paraId="648DA6EA" w14:textId="2340B80F" w:rsidR="00B5243C" w:rsidRPr="00D443EA" w:rsidRDefault="009529CE" w:rsidP="006857FB">
      <w:pPr>
        <w:spacing w:line="360" w:lineRule="auto"/>
        <w:jc w:val="both"/>
      </w:pPr>
      <w:r w:rsidRPr="00D443EA">
        <w:t>HSBC must be proactive in UK FCA and MAS AI regulatory consultations, providing technical advice and showing evidence of deployment. Holtz, Wittfoth and Gomez (2025) simulate how financial institutions can input frontier knowledge to regulatory discourse by creating AI scenarios. According to Federico (2024), near-term engagement windows are seen when regulators deal with AGI-related risks. This plan will need long-term Board commitment and the capacity to commit to regulatory efforts. Estimated cost: GBP 2 to 3 million per annum; the payback on investment would be in regulatory capital, less risk of enforcement and influence over the setting of standards.</w:t>
      </w:r>
    </w:p>
    <w:p w14:paraId="29495D7D" w14:textId="77777777" w:rsidR="00B5243C" w:rsidRPr="00D443EA" w:rsidRDefault="00856726" w:rsidP="006857FB">
      <w:pPr>
        <w:spacing w:line="360" w:lineRule="auto"/>
        <w:jc w:val="both"/>
      </w:pPr>
      <w:r w:rsidRPr="00D443EA">
        <w:rPr>
          <w:b/>
          <w:bCs/>
        </w:rPr>
        <w:t>Recommendation 9: Proprietary AI Governance Certification Standard.</w:t>
      </w:r>
    </w:p>
    <w:p w14:paraId="7E944F43" w14:textId="0B3F4EAA" w:rsidR="00B5243C" w:rsidRPr="00D443EA" w:rsidRDefault="009529CE" w:rsidP="006857FB">
      <w:pPr>
        <w:spacing w:line="360" w:lineRule="auto"/>
        <w:jc w:val="both"/>
      </w:pPr>
      <w:r w:rsidRPr="00D443EA">
        <w:t>Based on the experience of ISO/IEC 42001, HSBC is recommended to build a banking-specific AI governance certification standard together with the academic partners and peer institutions. As shown by Babaei, Giudici and Wu (2025), the sector-specific governance instruments are more effective than generic ones in financial services. Araya et al. (2025) introduce a responsible lending ML model that can meet such a standard. The HSBC provides governance investment with enduring competitive power in the GTC model by positing itself as a standard-setter. Approximate cost: GBP 6-12 million in five years.</w:t>
      </w:r>
    </w:p>
    <w:p w14:paraId="1AB1A8CA" w14:textId="77777777" w:rsidR="00B5243C" w:rsidRPr="00D443EA" w:rsidRDefault="00856726" w:rsidP="006857FB">
      <w:pPr>
        <w:spacing w:line="360" w:lineRule="auto"/>
        <w:jc w:val="both"/>
      </w:pPr>
      <w:r w:rsidRPr="00D443EA">
        <w:rPr>
          <w:b/>
          <w:bCs/>
        </w:rPr>
        <w:t>Recommendation 10: AI Competitive Advantage Integration.</w:t>
      </w:r>
    </w:p>
    <w:p w14:paraId="404592EE" w14:textId="0C236B0C" w:rsidR="00B5243C" w:rsidRPr="00D443EA" w:rsidRDefault="009529CE" w:rsidP="006857FB">
      <w:pPr>
        <w:spacing w:line="360" w:lineRule="auto"/>
        <w:jc w:val="both"/>
      </w:pPr>
      <w:r w:rsidRPr="00D443EA">
        <w:t xml:space="preserve">The new competitive differentiators shown by Helmi Ayari, Guetari and Kraiem (2025) include interpretability and governance compliance as regulatory pressure mounts. Ye </w:t>
      </w:r>
      <w:r w:rsidRPr="00D443EA">
        <w:lastRenderedPageBreak/>
        <w:t>et al. (2024) confirm that the strength of data governance offers structural benefits as privacy laws are globalized. In the Annual Report 2025, HSBC makes AI central to its growth strategy (HSBC, 2025a): the GTC framework realises this dream into a competitive strategy. The compliance leadership regulatory avoidance is estimated to save GBP 120 million in five years, according to the sector-wide enforcement trends of the Financial Times (2024). This is not considered as a separate cost centre but incorporated in the capital plan of HSBC.</w:t>
      </w:r>
    </w:p>
    <w:p w14:paraId="69643152" w14:textId="35E6A956" w:rsidR="00BE6290" w:rsidRPr="006C0862" w:rsidRDefault="00BE6290" w:rsidP="006857FB">
      <w:pPr>
        <w:pStyle w:val="Caption"/>
        <w:keepNext/>
        <w:spacing w:after="0" w:line="360" w:lineRule="auto"/>
      </w:pPr>
      <w:r w:rsidRPr="006C0862">
        <w:t xml:space="preserve">Table </w:t>
      </w:r>
      <w:r w:rsidR="008124A7">
        <w:fldChar w:fldCharType="begin"/>
      </w:r>
      <w:r w:rsidR="008124A7">
        <w:instrText xml:space="preserve"> SEQ Table \* ARABIC </w:instrText>
      </w:r>
      <w:r w:rsidR="008124A7">
        <w:fldChar w:fldCharType="separate"/>
      </w:r>
      <w:r w:rsidR="003E362B" w:rsidRPr="006C0862">
        <w:rPr>
          <w:noProof/>
        </w:rPr>
        <w:t>3</w:t>
      </w:r>
      <w:r w:rsidR="008124A7">
        <w:rPr>
          <w:noProof/>
        </w:rPr>
        <w:fldChar w:fldCharType="end"/>
      </w:r>
      <w:r w:rsidRPr="006C0862">
        <w:t>: Implementation Plan – Recommendations, Costs, Owners, KPIs, and Risk Mitigations - Source: Author's analysis. Cost benchmarks from McKinsey Global Institute (2023), Deloitte (2024), Reuters (2024), and Financial Times (2024).</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082"/>
        <w:gridCol w:w="2059"/>
        <w:gridCol w:w="893"/>
        <w:gridCol w:w="1447"/>
        <w:gridCol w:w="1813"/>
        <w:gridCol w:w="1730"/>
      </w:tblGrid>
      <w:tr w:rsidR="00B5243C" w:rsidRPr="00D443EA" w14:paraId="51BDE481" w14:textId="77777777" w:rsidTr="00313D7A">
        <w:trPr>
          <w:trHeight w:val="551"/>
          <w:tblHeader/>
        </w:trPr>
        <w:tc>
          <w:tcPr>
            <w:tcW w:w="594" w:type="pct"/>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4822915F" w14:textId="77777777" w:rsidR="00B5243C" w:rsidRPr="00D443EA" w:rsidRDefault="00856726" w:rsidP="006857FB">
            <w:pPr>
              <w:spacing w:line="360" w:lineRule="auto"/>
              <w:jc w:val="both"/>
            </w:pPr>
            <w:r w:rsidRPr="00D443EA">
              <w:rPr>
                <w:b/>
                <w:bCs/>
                <w:color w:val="FFFFFF"/>
              </w:rPr>
              <w:t>Horizon</w:t>
            </w:r>
          </w:p>
        </w:tc>
        <w:tc>
          <w:tcPr>
            <w:tcW w:w="1148" w:type="pct"/>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712FCC57" w14:textId="77777777" w:rsidR="00B5243C" w:rsidRPr="00D443EA" w:rsidRDefault="00856726" w:rsidP="006857FB">
            <w:pPr>
              <w:spacing w:line="360" w:lineRule="auto"/>
              <w:jc w:val="both"/>
            </w:pPr>
            <w:r w:rsidRPr="00D443EA">
              <w:rPr>
                <w:b/>
                <w:bCs/>
                <w:color w:val="FFFFFF"/>
              </w:rPr>
              <w:t>Recommendation</w:t>
            </w:r>
          </w:p>
        </w:tc>
        <w:tc>
          <w:tcPr>
            <w:tcW w:w="487" w:type="pct"/>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51BF15D9" w14:textId="77777777" w:rsidR="00B5243C" w:rsidRPr="00D443EA" w:rsidRDefault="00856726" w:rsidP="006857FB">
            <w:pPr>
              <w:spacing w:line="360" w:lineRule="auto"/>
              <w:jc w:val="both"/>
            </w:pPr>
            <w:r w:rsidRPr="00D443EA">
              <w:rPr>
                <w:b/>
                <w:bCs/>
                <w:color w:val="FFFFFF"/>
              </w:rPr>
              <w:t>Est. Cost (GBP)</w:t>
            </w:r>
          </w:p>
        </w:tc>
        <w:tc>
          <w:tcPr>
            <w:tcW w:w="801" w:type="pct"/>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2AB60392" w14:textId="77777777" w:rsidR="00B5243C" w:rsidRPr="00D443EA" w:rsidRDefault="00856726" w:rsidP="006857FB">
            <w:pPr>
              <w:spacing w:line="360" w:lineRule="auto"/>
              <w:jc w:val="both"/>
            </w:pPr>
            <w:r w:rsidRPr="00D443EA">
              <w:rPr>
                <w:b/>
                <w:bCs/>
                <w:color w:val="FFFFFF"/>
              </w:rPr>
              <w:t>Owner</w:t>
            </w:r>
          </w:p>
        </w:tc>
        <w:tc>
          <w:tcPr>
            <w:tcW w:w="1008" w:type="pct"/>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23B3B46F" w14:textId="77777777" w:rsidR="00B5243C" w:rsidRPr="00D443EA" w:rsidRDefault="00856726" w:rsidP="006857FB">
            <w:pPr>
              <w:spacing w:line="360" w:lineRule="auto"/>
              <w:jc w:val="both"/>
            </w:pPr>
            <w:r w:rsidRPr="00D443EA">
              <w:rPr>
                <w:b/>
                <w:bCs/>
                <w:color w:val="FFFFFF"/>
              </w:rPr>
              <w:t>KPI</w:t>
            </w:r>
          </w:p>
        </w:tc>
        <w:tc>
          <w:tcPr>
            <w:tcW w:w="961" w:type="pct"/>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401DC93C" w14:textId="77777777" w:rsidR="00B5243C" w:rsidRPr="00D443EA" w:rsidRDefault="00856726" w:rsidP="006857FB">
            <w:pPr>
              <w:spacing w:line="360" w:lineRule="auto"/>
              <w:jc w:val="both"/>
            </w:pPr>
            <w:r w:rsidRPr="00D443EA">
              <w:rPr>
                <w:b/>
                <w:bCs/>
                <w:color w:val="FFFFFF"/>
              </w:rPr>
              <w:t>Risk Mitigation</w:t>
            </w:r>
          </w:p>
        </w:tc>
      </w:tr>
      <w:tr w:rsidR="00B5243C" w:rsidRPr="00D443EA" w14:paraId="68C92F70" w14:textId="77777777" w:rsidTr="00313D7A">
        <w:trPr>
          <w:trHeight w:val="924"/>
        </w:trPr>
        <w:tc>
          <w:tcPr>
            <w:tcW w:w="594" w:type="pct"/>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7CF3FD4E" w14:textId="77777777" w:rsidR="00B5243C" w:rsidRPr="00D443EA" w:rsidRDefault="00856726" w:rsidP="006857FB">
            <w:pPr>
              <w:spacing w:line="360" w:lineRule="auto"/>
              <w:jc w:val="both"/>
            </w:pPr>
            <w:r w:rsidRPr="00D443EA">
              <w:rPr>
                <w:b/>
                <w:bCs/>
              </w:rPr>
              <w:t>Short (0-12 mo)</w:t>
            </w:r>
          </w:p>
        </w:tc>
        <w:tc>
          <w:tcPr>
            <w:tcW w:w="1148"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37498E60" w14:textId="77777777" w:rsidR="00B5243C" w:rsidRPr="00D443EA" w:rsidRDefault="00856726" w:rsidP="006857FB">
            <w:pPr>
              <w:spacing w:line="360" w:lineRule="auto"/>
              <w:jc w:val="both"/>
            </w:pPr>
            <w:r w:rsidRPr="00D443EA">
              <w:t>AI Risk Gap Analysis</w:t>
            </w:r>
          </w:p>
        </w:tc>
        <w:tc>
          <w:tcPr>
            <w:tcW w:w="487"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1BE7C83A" w14:textId="77777777" w:rsidR="00B5243C" w:rsidRPr="00D443EA" w:rsidRDefault="00856726" w:rsidP="006857FB">
            <w:pPr>
              <w:spacing w:line="360" w:lineRule="auto"/>
              <w:jc w:val="both"/>
            </w:pPr>
            <w:r w:rsidRPr="00D443EA">
              <w:t>3.5-6m</w:t>
            </w:r>
          </w:p>
        </w:tc>
        <w:tc>
          <w:tcPr>
            <w:tcW w:w="801"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25F91A43" w14:textId="77777777" w:rsidR="00B5243C" w:rsidRPr="00D443EA" w:rsidRDefault="00856726" w:rsidP="006857FB">
            <w:pPr>
              <w:spacing w:line="360" w:lineRule="auto"/>
              <w:jc w:val="both"/>
            </w:pPr>
            <w:r w:rsidRPr="00D443EA">
              <w:t>Group CRO</w:t>
            </w:r>
          </w:p>
        </w:tc>
        <w:tc>
          <w:tcPr>
            <w:tcW w:w="1008"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607130DD" w14:textId="77777777" w:rsidR="00B5243C" w:rsidRPr="00D443EA" w:rsidRDefault="00856726" w:rsidP="006857FB">
            <w:pPr>
              <w:spacing w:line="360" w:lineRule="auto"/>
              <w:jc w:val="both"/>
            </w:pPr>
            <w:r w:rsidRPr="00D443EA">
              <w:t>Model inventory complete; all systems risk-classified</w:t>
            </w:r>
          </w:p>
        </w:tc>
        <w:tc>
          <w:tcPr>
            <w:tcW w:w="961"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716C74C9" w14:textId="77777777" w:rsidR="00B5243C" w:rsidRPr="00D443EA" w:rsidRDefault="00856726" w:rsidP="006857FB">
            <w:pPr>
              <w:spacing w:line="360" w:lineRule="auto"/>
              <w:jc w:val="both"/>
            </w:pPr>
            <w:r w:rsidRPr="00D443EA">
              <w:t>Scope creep risk: fixed-scope contract with defined deliverables</w:t>
            </w:r>
          </w:p>
        </w:tc>
      </w:tr>
      <w:tr w:rsidR="00B5243C" w:rsidRPr="00D443EA" w14:paraId="5E9BB489" w14:textId="77777777" w:rsidTr="00313D7A">
        <w:trPr>
          <w:trHeight w:val="1287"/>
        </w:trPr>
        <w:tc>
          <w:tcPr>
            <w:tcW w:w="594" w:type="pct"/>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092DD599" w14:textId="77777777" w:rsidR="00B5243C" w:rsidRPr="00D443EA" w:rsidRDefault="00856726" w:rsidP="006857FB">
            <w:pPr>
              <w:spacing w:line="360" w:lineRule="auto"/>
              <w:jc w:val="both"/>
            </w:pPr>
            <w:r w:rsidRPr="00D443EA">
              <w:rPr>
                <w:b/>
                <w:bCs/>
              </w:rPr>
              <w:t>Short (0-12 mo)</w:t>
            </w:r>
          </w:p>
        </w:tc>
        <w:tc>
          <w:tcPr>
            <w:tcW w:w="1148"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3E68165D" w14:textId="77777777" w:rsidR="00B5243C" w:rsidRPr="00D443EA" w:rsidRDefault="00856726" w:rsidP="006857FB">
            <w:pPr>
              <w:spacing w:line="360" w:lineRule="auto"/>
              <w:jc w:val="both"/>
            </w:pPr>
            <w:r w:rsidRPr="00D443EA">
              <w:t>Appoint CAEO</w:t>
            </w:r>
          </w:p>
        </w:tc>
        <w:tc>
          <w:tcPr>
            <w:tcW w:w="487"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3A2EC813" w14:textId="77777777" w:rsidR="00B5243C" w:rsidRPr="00D443EA" w:rsidRDefault="00856726" w:rsidP="006857FB">
            <w:pPr>
              <w:spacing w:line="360" w:lineRule="auto"/>
              <w:jc w:val="both"/>
            </w:pPr>
            <w:r w:rsidRPr="00D443EA">
              <w:t>0.6-0.8m p.a.</w:t>
            </w:r>
          </w:p>
        </w:tc>
        <w:tc>
          <w:tcPr>
            <w:tcW w:w="801"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2FBE5606" w14:textId="77777777" w:rsidR="00B5243C" w:rsidRPr="00D443EA" w:rsidRDefault="00856726" w:rsidP="006857FB">
            <w:pPr>
              <w:spacing w:line="360" w:lineRule="auto"/>
              <w:jc w:val="both"/>
            </w:pPr>
            <w:r w:rsidRPr="00D443EA">
              <w:t>Group CEO / Board</w:t>
            </w:r>
          </w:p>
        </w:tc>
        <w:tc>
          <w:tcPr>
            <w:tcW w:w="1008"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33F6E4D8" w14:textId="77777777" w:rsidR="00B5243C" w:rsidRPr="00D443EA" w:rsidRDefault="00856726" w:rsidP="006857FB">
            <w:pPr>
              <w:spacing w:line="360" w:lineRule="auto"/>
              <w:jc w:val="both"/>
            </w:pPr>
            <w:r w:rsidRPr="00D443EA">
              <w:t>CAEO in post within 6 months; first Transparency Report published</w:t>
            </w:r>
          </w:p>
        </w:tc>
        <w:tc>
          <w:tcPr>
            <w:tcW w:w="961"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21B602F2" w14:textId="77777777" w:rsidR="00B5243C" w:rsidRPr="00D443EA" w:rsidRDefault="00856726" w:rsidP="006857FB">
            <w:pPr>
              <w:spacing w:line="360" w:lineRule="auto"/>
              <w:jc w:val="both"/>
            </w:pPr>
            <w:r w:rsidRPr="00D443EA">
              <w:t>Talent scarcity risk: engage executive search specialist in parallel with role design</w:t>
            </w:r>
          </w:p>
        </w:tc>
      </w:tr>
      <w:tr w:rsidR="00B5243C" w:rsidRPr="00D443EA" w14:paraId="359E95C9" w14:textId="77777777" w:rsidTr="00313D7A">
        <w:trPr>
          <w:trHeight w:val="1104"/>
        </w:trPr>
        <w:tc>
          <w:tcPr>
            <w:tcW w:w="594" w:type="pct"/>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1669D592" w14:textId="77777777" w:rsidR="00B5243C" w:rsidRPr="00D443EA" w:rsidRDefault="00856726" w:rsidP="006857FB">
            <w:pPr>
              <w:spacing w:line="360" w:lineRule="auto"/>
              <w:jc w:val="both"/>
            </w:pPr>
            <w:r w:rsidRPr="00D443EA">
              <w:rPr>
                <w:b/>
                <w:bCs/>
              </w:rPr>
              <w:t>Short (0-12 mo)</w:t>
            </w:r>
          </w:p>
        </w:tc>
        <w:tc>
          <w:tcPr>
            <w:tcW w:w="1148"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753307CB" w14:textId="77777777" w:rsidR="00B5243C" w:rsidRPr="00D443EA" w:rsidRDefault="00856726" w:rsidP="006857FB">
            <w:pPr>
              <w:spacing w:line="360" w:lineRule="auto"/>
              <w:jc w:val="both"/>
            </w:pPr>
            <w:r w:rsidRPr="00D443EA">
              <w:t>GDPR / FEAT Alignment Review</w:t>
            </w:r>
          </w:p>
        </w:tc>
        <w:tc>
          <w:tcPr>
            <w:tcW w:w="487"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41BEFB12" w14:textId="77777777" w:rsidR="00B5243C" w:rsidRPr="00D443EA" w:rsidRDefault="00856726" w:rsidP="006857FB">
            <w:pPr>
              <w:spacing w:line="360" w:lineRule="auto"/>
              <w:jc w:val="both"/>
            </w:pPr>
            <w:r w:rsidRPr="00D443EA">
              <w:t>0.9-1.3m</w:t>
            </w:r>
          </w:p>
        </w:tc>
        <w:tc>
          <w:tcPr>
            <w:tcW w:w="801"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56B2B2FC" w14:textId="77777777" w:rsidR="00B5243C" w:rsidRPr="00D443EA" w:rsidRDefault="00856726" w:rsidP="006857FB">
            <w:pPr>
              <w:spacing w:line="360" w:lineRule="auto"/>
              <w:jc w:val="both"/>
            </w:pPr>
            <w:r w:rsidRPr="00D443EA">
              <w:t>Group CLO</w:t>
            </w:r>
          </w:p>
        </w:tc>
        <w:tc>
          <w:tcPr>
            <w:tcW w:w="1008"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20895866" w14:textId="77777777" w:rsidR="00B5243C" w:rsidRPr="00D443EA" w:rsidRDefault="00856726" w:rsidP="006857FB">
            <w:pPr>
              <w:spacing w:line="360" w:lineRule="auto"/>
              <w:jc w:val="both"/>
            </w:pPr>
            <w:r w:rsidRPr="00D443EA">
              <w:t xml:space="preserve">Zero unreviewed high-risk </w:t>
            </w:r>
            <w:r w:rsidRPr="00D443EA">
              <w:lastRenderedPageBreak/>
              <w:t>automated decisions</w:t>
            </w:r>
          </w:p>
        </w:tc>
        <w:tc>
          <w:tcPr>
            <w:tcW w:w="961"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5010F547" w14:textId="77777777" w:rsidR="00B5243C" w:rsidRPr="00D443EA" w:rsidRDefault="00856726" w:rsidP="006857FB">
            <w:pPr>
              <w:spacing w:line="360" w:lineRule="auto"/>
              <w:jc w:val="both"/>
            </w:pPr>
            <w:r w:rsidRPr="00D443EA">
              <w:lastRenderedPageBreak/>
              <w:t xml:space="preserve">Regulatory change risk: build review template for </w:t>
            </w:r>
            <w:r w:rsidRPr="00D443EA">
              <w:lastRenderedPageBreak/>
              <w:t>iterative application</w:t>
            </w:r>
          </w:p>
        </w:tc>
      </w:tr>
      <w:tr w:rsidR="00B5243C" w:rsidRPr="00D443EA" w14:paraId="05F0537A" w14:textId="77777777" w:rsidTr="00313D7A">
        <w:trPr>
          <w:trHeight w:val="919"/>
        </w:trPr>
        <w:tc>
          <w:tcPr>
            <w:tcW w:w="594" w:type="pct"/>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1FE51690" w14:textId="77777777" w:rsidR="00B5243C" w:rsidRPr="00D443EA" w:rsidRDefault="00856726" w:rsidP="006857FB">
            <w:pPr>
              <w:spacing w:line="360" w:lineRule="auto"/>
              <w:jc w:val="both"/>
            </w:pPr>
            <w:r w:rsidRPr="00D443EA">
              <w:rPr>
                <w:b/>
                <w:bCs/>
              </w:rPr>
              <w:lastRenderedPageBreak/>
              <w:t>Medium (1-3 yr)</w:t>
            </w:r>
          </w:p>
        </w:tc>
        <w:tc>
          <w:tcPr>
            <w:tcW w:w="1148"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329F6449" w14:textId="77777777" w:rsidR="00B5243C" w:rsidRPr="00D443EA" w:rsidRDefault="00856726" w:rsidP="006857FB">
            <w:pPr>
              <w:spacing w:line="360" w:lineRule="auto"/>
              <w:jc w:val="both"/>
            </w:pPr>
            <w:r w:rsidRPr="00D443EA">
              <w:t>ISO/IEC 42001 Implementation</w:t>
            </w:r>
          </w:p>
        </w:tc>
        <w:tc>
          <w:tcPr>
            <w:tcW w:w="487"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27D7136C" w14:textId="77777777" w:rsidR="00B5243C" w:rsidRPr="00D443EA" w:rsidRDefault="00856726" w:rsidP="006857FB">
            <w:pPr>
              <w:spacing w:line="360" w:lineRule="auto"/>
              <w:jc w:val="both"/>
            </w:pPr>
            <w:r w:rsidRPr="00D443EA">
              <w:t>12-20m</w:t>
            </w:r>
          </w:p>
        </w:tc>
        <w:tc>
          <w:tcPr>
            <w:tcW w:w="801"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0110D3FB" w14:textId="77777777" w:rsidR="00B5243C" w:rsidRPr="00D443EA" w:rsidRDefault="00856726" w:rsidP="006857FB">
            <w:pPr>
              <w:spacing w:line="360" w:lineRule="auto"/>
              <w:jc w:val="both"/>
            </w:pPr>
            <w:r w:rsidRPr="00D443EA">
              <w:t>Group CTO</w:t>
            </w:r>
          </w:p>
        </w:tc>
        <w:tc>
          <w:tcPr>
            <w:tcW w:w="1008"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7DA0EB11" w14:textId="77777777" w:rsidR="00B5243C" w:rsidRPr="00D443EA" w:rsidRDefault="00856726" w:rsidP="006857FB">
            <w:pPr>
              <w:spacing w:line="360" w:lineRule="auto"/>
              <w:jc w:val="both"/>
            </w:pPr>
            <w:r w:rsidRPr="00D443EA">
              <w:t>Certification in 5+ jurisdictions by Year 2</w:t>
            </w:r>
          </w:p>
        </w:tc>
        <w:tc>
          <w:tcPr>
            <w:tcW w:w="961"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2166F5CC" w14:textId="77777777" w:rsidR="00B5243C" w:rsidRPr="00D443EA" w:rsidRDefault="00856726" w:rsidP="006857FB">
            <w:pPr>
              <w:spacing w:line="360" w:lineRule="auto"/>
              <w:jc w:val="both"/>
            </w:pPr>
            <w:r w:rsidRPr="00D443EA">
              <w:t>Implementation fatigue risk: phased rollout by jurisdiction priority</w:t>
            </w:r>
          </w:p>
        </w:tc>
      </w:tr>
      <w:tr w:rsidR="00B5243C" w:rsidRPr="00D443EA" w14:paraId="42974801" w14:textId="77777777" w:rsidTr="00313D7A">
        <w:trPr>
          <w:trHeight w:val="1471"/>
        </w:trPr>
        <w:tc>
          <w:tcPr>
            <w:tcW w:w="594" w:type="pct"/>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6FBF23EB" w14:textId="77777777" w:rsidR="00B5243C" w:rsidRPr="00D443EA" w:rsidRDefault="00856726" w:rsidP="006857FB">
            <w:pPr>
              <w:spacing w:line="360" w:lineRule="auto"/>
              <w:jc w:val="both"/>
            </w:pPr>
            <w:r w:rsidRPr="00D443EA">
              <w:rPr>
                <w:b/>
                <w:bCs/>
              </w:rPr>
              <w:t>Medium (1-3 yr)</w:t>
            </w:r>
          </w:p>
        </w:tc>
        <w:tc>
          <w:tcPr>
            <w:tcW w:w="1148"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12D1DBD8" w14:textId="77777777" w:rsidR="00B5243C" w:rsidRPr="00D443EA" w:rsidRDefault="00856726" w:rsidP="006857FB">
            <w:pPr>
              <w:spacing w:line="360" w:lineRule="auto"/>
              <w:jc w:val="both"/>
            </w:pPr>
            <w:r w:rsidRPr="00D443EA">
              <w:t>XAI Infrastructure</w:t>
            </w:r>
          </w:p>
        </w:tc>
        <w:tc>
          <w:tcPr>
            <w:tcW w:w="487"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17EBAF7C" w14:textId="77777777" w:rsidR="00B5243C" w:rsidRPr="00D443EA" w:rsidRDefault="00856726" w:rsidP="006857FB">
            <w:pPr>
              <w:spacing w:line="360" w:lineRule="auto"/>
              <w:jc w:val="both"/>
            </w:pPr>
            <w:r w:rsidRPr="00D443EA">
              <w:t>14-22m</w:t>
            </w:r>
          </w:p>
        </w:tc>
        <w:tc>
          <w:tcPr>
            <w:tcW w:w="801"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47B7DC7F" w14:textId="77777777" w:rsidR="00B5243C" w:rsidRPr="00D443EA" w:rsidRDefault="00856726" w:rsidP="006857FB">
            <w:pPr>
              <w:spacing w:line="360" w:lineRule="auto"/>
              <w:jc w:val="both"/>
            </w:pPr>
            <w:r w:rsidRPr="00D443EA">
              <w:t>Group CTO / CAEO</w:t>
            </w:r>
          </w:p>
        </w:tc>
        <w:tc>
          <w:tcPr>
            <w:tcW w:w="1008"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7392D3AB" w14:textId="77777777" w:rsidR="00B5243C" w:rsidRPr="00D443EA" w:rsidRDefault="00856726" w:rsidP="006857FB">
            <w:pPr>
              <w:spacing w:line="360" w:lineRule="auto"/>
              <w:jc w:val="both"/>
            </w:pPr>
            <w:r w:rsidRPr="00D443EA">
              <w:t>100% high-risk systems XAI-enabled; independent explanation audit pass &gt;95%</w:t>
            </w:r>
          </w:p>
        </w:tc>
        <w:tc>
          <w:tcPr>
            <w:tcW w:w="961"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62CF37A9" w14:textId="77777777" w:rsidR="00B5243C" w:rsidRPr="00D443EA" w:rsidRDefault="00856726" w:rsidP="006857FB">
            <w:pPr>
              <w:spacing w:line="360" w:lineRule="auto"/>
              <w:jc w:val="both"/>
            </w:pPr>
            <w:r w:rsidRPr="00D443EA">
              <w:t>Commercial bias risk: independent review of XAI explanation integrity (per Greene et al., 2025)</w:t>
            </w:r>
          </w:p>
        </w:tc>
      </w:tr>
      <w:tr w:rsidR="00B5243C" w:rsidRPr="00D443EA" w14:paraId="01B765BB" w14:textId="77777777" w:rsidTr="00313D7A">
        <w:trPr>
          <w:trHeight w:val="1287"/>
        </w:trPr>
        <w:tc>
          <w:tcPr>
            <w:tcW w:w="594" w:type="pct"/>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40B220A3" w14:textId="77777777" w:rsidR="00B5243C" w:rsidRPr="00D443EA" w:rsidRDefault="00856726" w:rsidP="006857FB">
            <w:pPr>
              <w:spacing w:line="360" w:lineRule="auto"/>
              <w:jc w:val="both"/>
            </w:pPr>
            <w:r w:rsidRPr="00D443EA">
              <w:rPr>
                <w:b/>
                <w:bCs/>
              </w:rPr>
              <w:t>Medium (1-3 yr)</w:t>
            </w:r>
          </w:p>
        </w:tc>
        <w:tc>
          <w:tcPr>
            <w:tcW w:w="1148"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0C9AD1A1" w14:textId="77777777" w:rsidR="00B5243C" w:rsidRPr="00D443EA" w:rsidRDefault="00856726" w:rsidP="006857FB">
            <w:pPr>
              <w:spacing w:line="360" w:lineRule="auto"/>
              <w:jc w:val="both"/>
            </w:pPr>
            <w:r w:rsidRPr="00D443EA">
              <w:t>Algorithmic Fairness Panel</w:t>
            </w:r>
          </w:p>
        </w:tc>
        <w:tc>
          <w:tcPr>
            <w:tcW w:w="487"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2A68BABF" w14:textId="77777777" w:rsidR="00B5243C" w:rsidRPr="00D443EA" w:rsidRDefault="00856726" w:rsidP="006857FB">
            <w:pPr>
              <w:spacing w:line="360" w:lineRule="auto"/>
              <w:jc w:val="both"/>
            </w:pPr>
            <w:r w:rsidRPr="00D443EA">
              <w:t>1.8-2.8m p.a.</w:t>
            </w:r>
          </w:p>
        </w:tc>
        <w:tc>
          <w:tcPr>
            <w:tcW w:w="801"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0ED10024" w14:textId="77777777" w:rsidR="00B5243C" w:rsidRPr="00D443EA" w:rsidRDefault="00856726" w:rsidP="006857FB">
            <w:pPr>
              <w:spacing w:line="360" w:lineRule="auto"/>
              <w:jc w:val="both"/>
            </w:pPr>
            <w:r w:rsidRPr="00D443EA">
              <w:t>CAEO</w:t>
            </w:r>
          </w:p>
        </w:tc>
        <w:tc>
          <w:tcPr>
            <w:tcW w:w="1008"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02FF14E3" w14:textId="77777777" w:rsidR="00B5243C" w:rsidRPr="00D443EA" w:rsidRDefault="00856726" w:rsidP="006857FB">
            <w:pPr>
              <w:spacing w:line="360" w:lineRule="auto"/>
              <w:jc w:val="both"/>
            </w:pPr>
            <w:r w:rsidRPr="00D443EA">
              <w:t>Annual public fairness report; zero upheld bias complaints</w:t>
            </w:r>
          </w:p>
        </w:tc>
        <w:tc>
          <w:tcPr>
            <w:tcW w:w="961"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0ED0F799" w14:textId="77777777" w:rsidR="00B5243C" w:rsidRPr="00D443EA" w:rsidRDefault="00856726" w:rsidP="006857FB">
            <w:pPr>
              <w:spacing w:line="360" w:lineRule="auto"/>
              <w:jc w:val="both"/>
            </w:pPr>
            <w:r w:rsidRPr="00D443EA">
              <w:t>Independence risk: panel members prohibited from HSBC commercial relationships</w:t>
            </w:r>
          </w:p>
        </w:tc>
      </w:tr>
      <w:tr w:rsidR="00B5243C" w:rsidRPr="00D443EA" w14:paraId="618E346A" w14:textId="77777777" w:rsidTr="00313D7A">
        <w:trPr>
          <w:trHeight w:val="1476"/>
        </w:trPr>
        <w:tc>
          <w:tcPr>
            <w:tcW w:w="594" w:type="pct"/>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73C66370" w14:textId="77777777" w:rsidR="00B5243C" w:rsidRPr="00D443EA" w:rsidRDefault="00856726" w:rsidP="006857FB">
            <w:pPr>
              <w:spacing w:line="360" w:lineRule="auto"/>
              <w:jc w:val="both"/>
            </w:pPr>
            <w:r w:rsidRPr="00D443EA">
              <w:rPr>
                <w:b/>
                <w:bCs/>
              </w:rPr>
              <w:lastRenderedPageBreak/>
              <w:t>Medium (1-3 yr)</w:t>
            </w:r>
          </w:p>
        </w:tc>
        <w:tc>
          <w:tcPr>
            <w:tcW w:w="1148"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1CE1BBD9" w14:textId="77777777" w:rsidR="00B5243C" w:rsidRPr="00D443EA" w:rsidRDefault="00856726" w:rsidP="006857FB">
            <w:pPr>
              <w:spacing w:line="360" w:lineRule="auto"/>
              <w:jc w:val="both"/>
            </w:pPr>
            <w:r w:rsidRPr="00D443EA">
              <w:t>AI Cybersecurity Programme</w:t>
            </w:r>
          </w:p>
        </w:tc>
        <w:tc>
          <w:tcPr>
            <w:tcW w:w="487"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1AF03D7D" w14:textId="77777777" w:rsidR="00B5243C" w:rsidRPr="00D443EA" w:rsidRDefault="00856726" w:rsidP="006857FB">
            <w:pPr>
              <w:spacing w:line="360" w:lineRule="auto"/>
              <w:jc w:val="both"/>
            </w:pPr>
            <w:r w:rsidRPr="00D443EA">
              <w:t>6-10m p.a.</w:t>
            </w:r>
          </w:p>
        </w:tc>
        <w:tc>
          <w:tcPr>
            <w:tcW w:w="801"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0D73AD18" w14:textId="77777777" w:rsidR="00B5243C" w:rsidRPr="00D443EA" w:rsidRDefault="00856726" w:rsidP="006857FB">
            <w:pPr>
              <w:spacing w:line="360" w:lineRule="auto"/>
              <w:jc w:val="both"/>
            </w:pPr>
            <w:r w:rsidRPr="00D443EA">
              <w:t>Group CISO</w:t>
            </w:r>
          </w:p>
        </w:tc>
        <w:tc>
          <w:tcPr>
            <w:tcW w:w="1008"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29C42C8A" w14:textId="77777777" w:rsidR="00B5243C" w:rsidRPr="00D443EA" w:rsidRDefault="00856726" w:rsidP="006857FB">
            <w:pPr>
              <w:spacing w:line="360" w:lineRule="auto"/>
              <w:jc w:val="both"/>
            </w:pPr>
            <w:r w:rsidRPr="00D443EA">
              <w:t>Adversarial testing completed for all high-risk AI; zero unmitigated critical vulnerabilities</w:t>
            </w:r>
          </w:p>
        </w:tc>
        <w:tc>
          <w:tcPr>
            <w:tcW w:w="961"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65ED7429" w14:textId="77777777" w:rsidR="00B5243C" w:rsidRPr="00D443EA" w:rsidRDefault="00856726" w:rsidP="006857FB">
            <w:pPr>
              <w:spacing w:line="360" w:lineRule="auto"/>
              <w:jc w:val="both"/>
            </w:pPr>
            <w:r w:rsidRPr="00D443EA">
              <w:t>Attack surface evolution risk: mandatory quarterly threat model refresh</w:t>
            </w:r>
          </w:p>
        </w:tc>
      </w:tr>
      <w:tr w:rsidR="00B5243C" w:rsidRPr="00D443EA" w14:paraId="63C474AE" w14:textId="77777777" w:rsidTr="00313D7A">
        <w:trPr>
          <w:trHeight w:val="1287"/>
        </w:trPr>
        <w:tc>
          <w:tcPr>
            <w:tcW w:w="594" w:type="pct"/>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277DB973" w14:textId="77777777" w:rsidR="00B5243C" w:rsidRPr="00D443EA" w:rsidRDefault="00856726" w:rsidP="006857FB">
            <w:pPr>
              <w:spacing w:line="360" w:lineRule="auto"/>
              <w:jc w:val="both"/>
            </w:pPr>
            <w:r w:rsidRPr="00D443EA">
              <w:rPr>
                <w:b/>
                <w:bCs/>
              </w:rPr>
              <w:t>Long (3-5 yr)</w:t>
            </w:r>
          </w:p>
        </w:tc>
        <w:tc>
          <w:tcPr>
            <w:tcW w:w="1148"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1D403CAF" w14:textId="77777777" w:rsidR="00B5243C" w:rsidRPr="00D443EA" w:rsidRDefault="00856726" w:rsidP="006857FB">
            <w:pPr>
              <w:spacing w:line="360" w:lineRule="auto"/>
              <w:jc w:val="both"/>
            </w:pPr>
            <w:r w:rsidRPr="00D443EA">
              <w:t>Regulatory Co-Design</w:t>
            </w:r>
          </w:p>
        </w:tc>
        <w:tc>
          <w:tcPr>
            <w:tcW w:w="487"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4464B920" w14:textId="77777777" w:rsidR="00B5243C" w:rsidRPr="00D443EA" w:rsidRDefault="00856726" w:rsidP="006857FB">
            <w:pPr>
              <w:spacing w:line="360" w:lineRule="auto"/>
              <w:jc w:val="both"/>
            </w:pPr>
            <w:r w:rsidRPr="00D443EA">
              <w:t>2-3m p.a.</w:t>
            </w:r>
          </w:p>
        </w:tc>
        <w:tc>
          <w:tcPr>
            <w:tcW w:w="801"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671ED943" w14:textId="77777777" w:rsidR="00B5243C" w:rsidRPr="00D443EA" w:rsidRDefault="00856726" w:rsidP="006857FB">
            <w:pPr>
              <w:spacing w:line="360" w:lineRule="auto"/>
              <w:jc w:val="both"/>
            </w:pPr>
            <w:r w:rsidRPr="00D443EA">
              <w:t>Government Affairs</w:t>
            </w:r>
          </w:p>
        </w:tc>
        <w:tc>
          <w:tcPr>
            <w:tcW w:w="1008"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2581DAF9" w14:textId="77777777" w:rsidR="00B5243C" w:rsidRPr="00D443EA" w:rsidRDefault="00856726" w:rsidP="006857FB">
            <w:pPr>
              <w:spacing w:line="360" w:lineRule="auto"/>
              <w:jc w:val="both"/>
            </w:pPr>
            <w:r w:rsidRPr="00D443EA">
              <w:t>HSBC cited in FCA/MAS consultation outcomes</w:t>
            </w:r>
          </w:p>
        </w:tc>
        <w:tc>
          <w:tcPr>
            <w:tcW w:w="961"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01BA5110" w14:textId="77777777" w:rsidR="00B5243C" w:rsidRPr="00D443EA" w:rsidRDefault="00856726" w:rsidP="006857FB">
            <w:pPr>
              <w:spacing w:line="360" w:lineRule="auto"/>
              <w:jc w:val="both"/>
            </w:pPr>
            <w:r w:rsidRPr="00D443EA">
              <w:t>Policy capture perception risk: publish transparency register of regulatory engagements</w:t>
            </w:r>
          </w:p>
        </w:tc>
      </w:tr>
      <w:tr w:rsidR="00B5243C" w:rsidRPr="00D443EA" w14:paraId="69CF88DA" w14:textId="77777777" w:rsidTr="00313D7A">
        <w:trPr>
          <w:trHeight w:val="1471"/>
        </w:trPr>
        <w:tc>
          <w:tcPr>
            <w:tcW w:w="594" w:type="pct"/>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02BD14F4" w14:textId="77777777" w:rsidR="00B5243C" w:rsidRPr="00D443EA" w:rsidRDefault="00856726" w:rsidP="006857FB">
            <w:pPr>
              <w:spacing w:line="360" w:lineRule="auto"/>
              <w:jc w:val="both"/>
            </w:pPr>
            <w:r w:rsidRPr="00D443EA">
              <w:rPr>
                <w:b/>
                <w:bCs/>
              </w:rPr>
              <w:t>Long (3-5 yr)</w:t>
            </w:r>
          </w:p>
        </w:tc>
        <w:tc>
          <w:tcPr>
            <w:tcW w:w="1148"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2AD981AD" w14:textId="77777777" w:rsidR="00B5243C" w:rsidRPr="00D443EA" w:rsidRDefault="00856726" w:rsidP="006857FB">
            <w:pPr>
              <w:spacing w:line="360" w:lineRule="auto"/>
              <w:jc w:val="both"/>
            </w:pPr>
            <w:r w:rsidRPr="00D443EA">
              <w:t>AI Governance Standard</w:t>
            </w:r>
          </w:p>
        </w:tc>
        <w:tc>
          <w:tcPr>
            <w:tcW w:w="487"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755083B1" w14:textId="77777777" w:rsidR="00B5243C" w:rsidRPr="00D443EA" w:rsidRDefault="00856726" w:rsidP="006857FB">
            <w:pPr>
              <w:spacing w:line="360" w:lineRule="auto"/>
              <w:jc w:val="both"/>
            </w:pPr>
            <w:r w:rsidRPr="00D443EA">
              <w:t>6-12m (total)</w:t>
            </w:r>
          </w:p>
        </w:tc>
        <w:tc>
          <w:tcPr>
            <w:tcW w:w="801"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2CD916D6" w14:textId="77777777" w:rsidR="00B5243C" w:rsidRPr="00D443EA" w:rsidRDefault="00856726" w:rsidP="006857FB">
            <w:pPr>
              <w:spacing w:line="360" w:lineRule="auto"/>
              <w:jc w:val="both"/>
            </w:pPr>
            <w:r w:rsidRPr="00D443EA">
              <w:t>CAEO / Academic Partners</w:t>
            </w:r>
          </w:p>
        </w:tc>
        <w:tc>
          <w:tcPr>
            <w:tcW w:w="1008"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1F4DDB33" w14:textId="77777777" w:rsidR="00B5243C" w:rsidRPr="00D443EA" w:rsidRDefault="00856726" w:rsidP="006857FB">
            <w:pPr>
              <w:spacing w:line="360" w:lineRule="auto"/>
              <w:jc w:val="both"/>
            </w:pPr>
            <w:r w:rsidRPr="00D443EA">
              <w:t>Standard adopted by 3+ peer institutions</w:t>
            </w:r>
          </w:p>
        </w:tc>
        <w:tc>
          <w:tcPr>
            <w:tcW w:w="961" w:type="pct"/>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08DEE3A3" w14:textId="77777777" w:rsidR="00B5243C" w:rsidRPr="00D443EA" w:rsidRDefault="00856726" w:rsidP="006857FB">
            <w:pPr>
              <w:spacing w:line="360" w:lineRule="auto"/>
              <w:jc w:val="both"/>
            </w:pPr>
            <w:r w:rsidRPr="00D443EA">
              <w:t>Proprietary lock-in risk: standard published as open resource to build industry credibility</w:t>
            </w:r>
          </w:p>
        </w:tc>
      </w:tr>
      <w:tr w:rsidR="00B5243C" w:rsidRPr="00D443EA" w14:paraId="3B277F27" w14:textId="77777777" w:rsidTr="00313D7A">
        <w:trPr>
          <w:trHeight w:val="1292"/>
        </w:trPr>
        <w:tc>
          <w:tcPr>
            <w:tcW w:w="594" w:type="pct"/>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59C20C94" w14:textId="77777777" w:rsidR="00B5243C" w:rsidRPr="00D443EA" w:rsidRDefault="00856726" w:rsidP="006857FB">
            <w:pPr>
              <w:spacing w:line="360" w:lineRule="auto"/>
              <w:jc w:val="both"/>
            </w:pPr>
            <w:r w:rsidRPr="00D443EA">
              <w:rPr>
                <w:b/>
                <w:bCs/>
              </w:rPr>
              <w:lastRenderedPageBreak/>
              <w:t>Long (3-5 yr)</w:t>
            </w:r>
          </w:p>
        </w:tc>
        <w:tc>
          <w:tcPr>
            <w:tcW w:w="1148"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04696D80" w14:textId="77777777" w:rsidR="00B5243C" w:rsidRPr="00D443EA" w:rsidRDefault="00856726" w:rsidP="006857FB">
            <w:pPr>
              <w:spacing w:line="360" w:lineRule="auto"/>
              <w:jc w:val="both"/>
            </w:pPr>
            <w:r w:rsidRPr="00D443EA">
              <w:t>AI Competitive Advantage Strategy</w:t>
            </w:r>
          </w:p>
        </w:tc>
        <w:tc>
          <w:tcPr>
            <w:tcW w:w="487"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5B9A71E8" w14:textId="77777777" w:rsidR="00B5243C" w:rsidRPr="00D443EA" w:rsidRDefault="00856726" w:rsidP="006857FB">
            <w:pPr>
              <w:spacing w:line="360" w:lineRule="auto"/>
              <w:jc w:val="both"/>
            </w:pPr>
            <w:r w:rsidRPr="00D443EA">
              <w:t>In capital plan</w:t>
            </w:r>
          </w:p>
        </w:tc>
        <w:tc>
          <w:tcPr>
            <w:tcW w:w="801"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4F10CA24" w14:textId="77777777" w:rsidR="00B5243C" w:rsidRPr="00D443EA" w:rsidRDefault="00856726" w:rsidP="006857FB">
            <w:pPr>
              <w:spacing w:line="360" w:lineRule="auto"/>
              <w:jc w:val="both"/>
            </w:pPr>
            <w:r w:rsidRPr="00D443EA">
              <w:t>Group CEO / Board</w:t>
            </w:r>
          </w:p>
        </w:tc>
        <w:tc>
          <w:tcPr>
            <w:tcW w:w="1008"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5227A064" w14:textId="77777777" w:rsidR="00B5243C" w:rsidRPr="00D443EA" w:rsidRDefault="00856726" w:rsidP="006857FB">
            <w:pPr>
              <w:spacing w:line="360" w:lineRule="auto"/>
              <w:jc w:val="both"/>
            </w:pPr>
            <w:r w:rsidRPr="00D443EA">
              <w:t>AI governance cited as differentiator in investor communications</w:t>
            </w:r>
          </w:p>
        </w:tc>
        <w:tc>
          <w:tcPr>
            <w:tcW w:w="961" w:type="pct"/>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554109F2" w14:textId="77777777" w:rsidR="00B5243C" w:rsidRPr="00D443EA" w:rsidRDefault="00856726" w:rsidP="006857FB">
            <w:pPr>
              <w:spacing w:line="360" w:lineRule="auto"/>
              <w:jc w:val="both"/>
            </w:pPr>
            <w:r w:rsidRPr="00D443EA">
              <w:t>Greenwashing-equivalent risk: governance claims independently verified before publication</w:t>
            </w:r>
          </w:p>
        </w:tc>
      </w:tr>
    </w:tbl>
    <w:p w14:paraId="10E757F9" w14:textId="77777777" w:rsidR="00B5243C" w:rsidRPr="00D443EA" w:rsidRDefault="00856726" w:rsidP="006857FB">
      <w:pPr>
        <w:spacing w:line="360" w:lineRule="auto"/>
        <w:jc w:val="both"/>
      </w:pPr>
      <w:r w:rsidRPr="00D443EA">
        <w:br w:type="page"/>
      </w:r>
    </w:p>
    <w:p w14:paraId="1626AE39" w14:textId="569F30D6" w:rsidR="00B5243C" w:rsidRPr="00D443EA" w:rsidRDefault="00856726" w:rsidP="006857FB">
      <w:pPr>
        <w:pStyle w:val="Heading1"/>
      </w:pPr>
      <w:bookmarkStart w:id="14" w:name="_Toc228040836"/>
      <w:r w:rsidRPr="00D443EA">
        <w:lastRenderedPageBreak/>
        <w:t>Conclusion</w:t>
      </w:r>
      <w:bookmarkEnd w:id="14"/>
    </w:p>
    <w:p w14:paraId="0060D74A" w14:textId="77777777" w:rsidR="00CE7A41" w:rsidRDefault="00CE7A41" w:rsidP="006857FB">
      <w:pPr>
        <w:spacing w:line="360" w:lineRule="auto"/>
        <w:jc w:val="both"/>
      </w:pPr>
      <w:r>
        <w:t>This report has led to the emergence of an argument that HSBC is in a crossroad in its AI governance journey. Section 3 re-defines governance investment as compounding strategic resource: Customer trust which is created by governance maturity creates commercial advantage which funds additional governance capability. The current state of HSBC, which demonstrates good intentions towards responsible AI, lacks full implementation of the intentions in the form of externally transparent governance architecture, which is verifiable in itself.</w:t>
      </w:r>
    </w:p>
    <w:p w14:paraId="1E2FE403" w14:textId="77777777" w:rsidR="00CE7A41" w:rsidRDefault="00CE7A41" w:rsidP="006857FB">
      <w:pPr>
        <w:spacing w:line="360" w:lineRule="auto"/>
        <w:jc w:val="both"/>
      </w:pPr>
      <w:r>
        <w:t>Peer benchmarking is supported by the fact that HSBC and DBS Bank are falling behind in published disclosures of algorithmic fairness and JPMorgan Chase in model risk governance transparency, although all three levels of AI investment are relatively equal in terms of their investment in AI. The structural interventions outlined in Section 4, the most glaring of which is the appointment of a CAEO, the introduction of the actually independent XAI infrastructure, and adherence to the MAS FEAT Principles and UK PRA SS1/23 as at least two-jurisdiction standard to seal this gap.</w:t>
      </w:r>
    </w:p>
    <w:p w14:paraId="4559D818" w14:textId="2E4B0E6D" w:rsidR="00B5243C" w:rsidRPr="00D443EA" w:rsidRDefault="00CE7A41" w:rsidP="006857FB">
      <w:pPr>
        <w:spacing w:line="360" w:lineRule="auto"/>
        <w:jc w:val="both"/>
      </w:pPr>
      <w:r>
        <w:t>The evidence base inconsistencies cannot be ignored: the benefits of AI in financial risk modelling are factual and publicly reported, but risks of model consolidation, algorithmic bias, and takeover of governance programme are also real. The recommendations in the report are that these tensions must be addressed structurally, as opposed to optimising towards an end. HSBC is big enough to possess the geographical presence and the institutional goodwill to be a world model on responsible AI in the banking sector. That and it needs the leadership in governance that the GTC framework defines.</w:t>
      </w:r>
      <w:r w:rsidRPr="00D443EA">
        <w:br w:type="page"/>
      </w:r>
    </w:p>
    <w:p w14:paraId="22C3ED2F" w14:textId="77777777" w:rsidR="00B5243C" w:rsidRPr="00D443EA" w:rsidRDefault="00856726" w:rsidP="006857FB">
      <w:pPr>
        <w:pStyle w:val="Heading1"/>
      </w:pPr>
      <w:bookmarkStart w:id="15" w:name="_Toc228040837"/>
      <w:r w:rsidRPr="00D443EA">
        <w:lastRenderedPageBreak/>
        <w:t>Bibliography</w:t>
      </w:r>
      <w:bookmarkEnd w:id="15"/>
    </w:p>
    <w:p w14:paraId="516EDD18" w14:textId="77777777" w:rsidR="00B5243C" w:rsidRPr="00D443EA" w:rsidRDefault="00856726" w:rsidP="006857FB">
      <w:pPr>
        <w:spacing w:line="360" w:lineRule="auto"/>
        <w:jc w:val="both"/>
      </w:pPr>
      <w:r w:rsidRPr="00D443EA">
        <w:t>Abbas, F., Chesterman, S., Taeihagh, A., Abbas, F., Chesterman, S. and Taeihagh, A. (2025). Building trust in the generative AI era: a systematic review of global regulatory frameworks to combat the risks of mis-, dis-, and mal-information. AI &amp; Society. doi:10.1007/s00146-025-02698-9.</w:t>
      </w:r>
    </w:p>
    <w:p w14:paraId="2524C454" w14:textId="77777777" w:rsidR="00B5243C" w:rsidRPr="00D443EA" w:rsidRDefault="00856726" w:rsidP="006857FB">
      <w:pPr>
        <w:spacing w:line="360" w:lineRule="auto"/>
        <w:jc w:val="both"/>
      </w:pPr>
      <w:r w:rsidRPr="00D443EA">
        <w:t>Abbas, S.K. (2025). Lending by Algorithm: Fair or Flawed? An Information-Theoretic View of Credit Decision Pipelines. SN Computer Science, 6(6). doi:10.1007/s42979-025-04222-8.</w:t>
      </w:r>
    </w:p>
    <w:p w14:paraId="0E8C7F7E" w14:textId="77777777" w:rsidR="00B5243C" w:rsidRPr="00D443EA" w:rsidRDefault="00856726" w:rsidP="006857FB">
      <w:pPr>
        <w:spacing w:line="360" w:lineRule="auto"/>
        <w:jc w:val="both"/>
      </w:pPr>
      <w:r w:rsidRPr="00D443EA">
        <w:t>Ahmed, I.E., Mehdi, R. and Mohamed, E.A. (2023). The role of artificial intelligence in developing a banking risk index: an application of Adaptive Neural Network-Based Fuzzy Inference System (ANFIS). Artificial Intelligence Review. doi:10.1007/s10462-023-10473-9.</w:t>
      </w:r>
    </w:p>
    <w:p w14:paraId="3F03C85C" w14:textId="77777777" w:rsidR="00B5243C" w:rsidRPr="00D443EA" w:rsidRDefault="00856726" w:rsidP="006857FB">
      <w:pPr>
        <w:spacing w:line="360" w:lineRule="auto"/>
        <w:jc w:val="both"/>
      </w:pPr>
      <w:r w:rsidRPr="00D443EA">
        <w:t>Aniceto, M.C., Barboza, F. and Kimura, H. (2020). Machine learning predictivity applied to consumer creditworthiness. Future Business Journal, 6(1). doi:10.1186/s43093-020-00041-w.</w:t>
      </w:r>
    </w:p>
    <w:p w14:paraId="0F2A451F" w14:textId="77777777" w:rsidR="00B5243C" w:rsidRPr="00D443EA" w:rsidRDefault="00856726" w:rsidP="006857FB">
      <w:pPr>
        <w:spacing w:line="360" w:lineRule="auto"/>
        <w:jc w:val="both"/>
      </w:pPr>
      <w:r w:rsidRPr="00D443EA">
        <w:t>Araya, F.T., Assefa, B.G., Mohapatra, S.K. and Nanda, C.B. (2025). Sustainable Credit Risk Prediction: Applying Machine Learning for Responsible Lending. Journal of Transformative Technologies and Sustainable Development, 9(1). doi:10.1007/s41314-025-00080-7.</w:t>
      </w:r>
    </w:p>
    <w:p w14:paraId="63AA659D" w14:textId="77777777" w:rsidR="00B5243C" w:rsidRPr="00D443EA" w:rsidRDefault="00856726" w:rsidP="006857FB">
      <w:pPr>
        <w:spacing w:line="360" w:lineRule="auto"/>
        <w:jc w:val="both"/>
      </w:pPr>
      <w:r w:rsidRPr="00D443EA">
        <w:t>Babaei, G., Giudici, P. and Wu, L. (2025). Explainable Fairness in Mortgage Lending. Communications in Computer and Information Science, pp.378-398. doi:10.1007/978-3-032-08330-2_18.</w:t>
      </w:r>
    </w:p>
    <w:p w14:paraId="1B093073" w14:textId="77777777" w:rsidR="00B5243C" w:rsidRPr="00D443EA" w:rsidRDefault="00856726" w:rsidP="006857FB">
      <w:pPr>
        <w:spacing w:line="360" w:lineRule="auto"/>
        <w:jc w:val="both"/>
      </w:pPr>
      <w:r w:rsidRPr="00D443EA">
        <w:t>Ballot Jones, L., Thornton, J. and De Silva, D. (2025). Limitations of risk-based artificial intelligence regulation: a structuration theory approach. Discover Artificial Intelligence, 5(1). doi:10.1007/s44163-025-00233-9.</w:t>
      </w:r>
    </w:p>
    <w:p w14:paraId="4A945B48" w14:textId="77777777" w:rsidR="00B5243C" w:rsidRPr="00D443EA" w:rsidRDefault="00856726" w:rsidP="006857FB">
      <w:pPr>
        <w:spacing w:line="360" w:lineRule="auto"/>
        <w:jc w:val="both"/>
      </w:pPr>
      <w:r w:rsidRPr="00D443EA">
        <w:t>Bank of England (2023). Model risk management principles for banks. Supervisory Statement SS1/23. London: Bank of England. Available at: https://www.bankofengland.co.uk/-/media/boe/files/prudential-regulation/supervisory-statement/2023/ss123.pdf [Accessed 1 March 2026].</w:t>
      </w:r>
    </w:p>
    <w:p w14:paraId="387EB924" w14:textId="77777777" w:rsidR="00B5243C" w:rsidRPr="00D443EA" w:rsidRDefault="00856726" w:rsidP="006857FB">
      <w:pPr>
        <w:spacing w:line="360" w:lineRule="auto"/>
        <w:jc w:val="both"/>
      </w:pPr>
      <w:r w:rsidRPr="00D443EA">
        <w:t>Bank of England (2024). Artificial Intelligence in UK Financial Services - 2024. London: Bank of England. Available at: https://www.bankofengland.co.uk/report/2024/artificial-intelligence-in-uk-financial-services-2024 [Accessed 1 March 2026].</w:t>
      </w:r>
    </w:p>
    <w:p w14:paraId="709167B4" w14:textId="77777777" w:rsidR="00B5243C" w:rsidRPr="00D443EA" w:rsidRDefault="00856726" w:rsidP="006857FB">
      <w:pPr>
        <w:spacing w:line="360" w:lineRule="auto"/>
        <w:jc w:val="both"/>
      </w:pPr>
      <w:r w:rsidRPr="00D443EA">
        <w:lastRenderedPageBreak/>
        <w:t>Batool, A., Zowghi, D. and Bano, M. (2025). AI governance: a systematic literature review. AI and Ethics, 5. doi:10.1007/s43681-024-00653-w.</w:t>
      </w:r>
    </w:p>
    <w:p w14:paraId="15444520" w14:textId="77777777" w:rsidR="00B5243C" w:rsidRPr="00D443EA" w:rsidRDefault="00856726" w:rsidP="006857FB">
      <w:pPr>
        <w:spacing w:line="360" w:lineRule="auto"/>
        <w:jc w:val="both"/>
      </w:pPr>
      <w:r w:rsidRPr="00D443EA">
        <w:t>Bueff, A.C., Cytryński, M., Calabrese, R., Jones, M., Roberts, J., Moore, J. and Brown, I. (2022). Machine learning interpretability for a stress scenario generation in credit scoring based on counterfactuals. Expert Systems with Applications, 202, p.117271. doi:10.1016/j.eswa.2022.117271.</w:t>
      </w:r>
    </w:p>
    <w:p w14:paraId="771CA348" w14:textId="77777777" w:rsidR="00B5243C" w:rsidRPr="00D443EA" w:rsidRDefault="00856726" w:rsidP="006857FB">
      <w:pPr>
        <w:spacing w:line="360" w:lineRule="auto"/>
        <w:jc w:val="both"/>
      </w:pPr>
      <w:r w:rsidRPr="00D443EA">
        <w:t>Bussmann, N., Giudici, P., Marinelli, D. and Papenbrock, J. (2020). Explainable Machine Learning in Credit Risk Management. Computational Economics, 57. doi:10.1007/s10614-020-10042-0.</w:t>
      </w:r>
    </w:p>
    <w:p w14:paraId="44144FC2" w14:textId="77777777" w:rsidR="00B5243C" w:rsidRPr="00D443EA" w:rsidRDefault="00856726" w:rsidP="006857FB">
      <w:pPr>
        <w:spacing w:line="360" w:lineRule="auto"/>
        <w:jc w:val="both"/>
      </w:pPr>
      <w:r w:rsidRPr="00D443EA">
        <w:t>Černevičienė, J. and Kabašinskas, A. (2024). Explainable artificial intelligence (XAI) in finance: a systematic literature review. Artificial Intelligence Review, 57(8). doi:10.1007/s10462-024-10854-8.</w:t>
      </w:r>
    </w:p>
    <w:p w14:paraId="5A449C2B" w14:textId="77777777" w:rsidR="00B5243C" w:rsidRPr="00D443EA" w:rsidRDefault="00856726" w:rsidP="006857FB">
      <w:pPr>
        <w:spacing w:line="360" w:lineRule="auto"/>
        <w:jc w:val="both"/>
      </w:pPr>
      <w:r w:rsidRPr="00D443EA">
        <w:t>Chang, V., Xu, Q.A., Akinloye, S.H., Benson, V. and Hall, K. (2024). Prediction of bank credit worthiness through credit risk analysis: an explainable machine learning study. Annals of Operations Research. doi:10.1007/s10479-024-06134-x.</w:t>
      </w:r>
    </w:p>
    <w:p w14:paraId="1527FD88" w14:textId="77777777" w:rsidR="00B5243C" w:rsidRPr="00D443EA" w:rsidRDefault="00856726" w:rsidP="006857FB">
      <w:pPr>
        <w:spacing w:line="360" w:lineRule="auto"/>
        <w:jc w:val="both"/>
      </w:pPr>
      <w:r w:rsidRPr="00D443EA">
        <w:t>Deloitte (2024). Responsible AI in Financial Services: Governance, Risk and the Path to Certification. London: Deloitte Insights. Available at: https://www2.deloitte.com/content/dam/Deloitte/uk/Documents/financial-services/deloitte-uk-responsible-ai-financial-services-2024.pdf [Accessed 2 March 2026].</w:t>
      </w:r>
    </w:p>
    <w:p w14:paraId="3A361110" w14:textId="77777777" w:rsidR="00B5243C" w:rsidRPr="00D443EA" w:rsidRDefault="00856726" w:rsidP="006857FB">
      <w:pPr>
        <w:spacing w:line="360" w:lineRule="auto"/>
        <w:jc w:val="both"/>
      </w:pPr>
      <w:r w:rsidRPr="00D443EA">
        <w:t>Federico, G. (2024). Risk and artificial general intelligence. AI &amp; Society. doi:10.1007/s00146-024-02004-z.</w:t>
      </w:r>
    </w:p>
    <w:p w14:paraId="473977AA" w14:textId="77777777" w:rsidR="00B5243C" w:rsidRPr="00D443EA" w:rsidRDefault="00856726" w:rsidP="006857FB">
      <w:pPr>
        <w:spacing w:line="360" w:lineRule="auto"/>
        <w:jc w:val="both"/>
      </w:pPr>
      <w:r w:rsidRPr="00D443EA">
        <w:t>Financial Conduct Authority (2025). AI and the FCA: our approach. London: FCA. Available at: https://www.fca.org.uk/firms/innovation/ai-approach [Accessed 1 March 2026].</w:t>
      </w:r>
    </w:p>
    <w:p w14:paraId="02B0A155" w14:textId="77777777" w:rsidR="00B5243C" w:rsidRPr="00D443EA" w:rsidRDefault="00856726" w:rsidP="006857FB">
      <w:pPr>
        <w:spacing w:line="360" w:lineRule="auto"/>
        <w:jc w:val="both"/>
      </w:pPr>
      <w:r w:rsidRPr="00D443EA">
        <w:t>Financial Stability Board (2022). Artificial Intelligence and Machine Learning in Financial Services. Basel: FSB. Available at: https://www.fsb.org/2022/11/artificial-intelligence-and-machine-learning-in-financial-services/ [Accessed 1 March 2026].</w:t>
      </w:r>
    </w:p>
    <w:p w14:paraId="4D29F4EC" w14:textId="77777777" w:rsidR="00B5243C" w:rsidRPr="00D443EA" w:rsidRDefault="00856726" w:rsidP="006857FB">
      <w:pPr>
        <w:spacing w:line="360" w:lineRule="auto"/>
        <w:jc w:val="both"/>
      </w:pPr>
      <w:r w:rsidRPr="00D443EA">
        <w:t>Financial Times (2024). Banks face mounting scrutiny over AI decision-making in lending. Financial Times, 14 November 2024. Available at: https://www.ft.com/content/ai-banking-lending-scrutiny-2024 [Accessed 5 March 2026].</w:t>
      </w:r>
    </w:p>
    <w:p w14:paraId="5DA5E0AB" w14:textId="77777777" w:rsidR="00B5243C" w:rsidRPr="00D443EA" w:rsidRDefault="00856726" w:rsidP="006857FB">
      <w:pPr>
        <w:spacing w:line="360" w:lineRule="auto"/>
        <w:jc w:val="both"/>
      </w:pPr>
      <w:r w:rsidRPr="00D443EA">
        <w:t>Greene, T., Goethals, S., Martens, D. and Shmueli, G. (2025). Monetization could corrupt algorithmic explanations. AI &amp; Society. doi:10.1007/s00146-025-02352-4.</w:t>
      </w:r>
    </w:p>
    <w:p w14:paraId="3FA8F649" w14:textId="77777777" w:rsidR="00B5243C" w:rsidRPr="00D443EA" w:rsidRDefault="00856726" w:rsidP="006857FB">
      <w:pPr>
        <w:spacing w:line="360" w:lineRule="auto"/>
        <w:jc w:val="both"/>
      </w:pPr>
      <w:r w:rsidRPr="00D443EA">
        <w:lastRenderedPageBreak/>
        <w:t>Gstrein, O.J., Haleem, N. and Zwitter, A. (2024). General-purpose AI regulation and the European Union AI Act. Internet Policy Review, 13(3). doi:10.14763/2024.3.1790.</w:t>
      </w:r>
    </w:p>
    <w:p w14:paraId="4FFD1327" w14:textId="77777777" w:rsidR="00B5243C" w:rsidRPr="00D443EA" w:rsidRDefault="00856726" w:rsidP="006857FB">
      <w:pPr>
        <w:spacing w:line="360" w:lineRule="auto"/>
        <w:jc w:val="both"/>
      </w:pPr>
      <w:r w:rsidRPr="00D443EA">
        <w:t>Hafez, I.Y., Hafez, A.Y., Saleh, A., El-Mageed, A.A.A. and Abohany, A.A. (2025). A systematic review of AI-enhanced techniques in credit card fraud detection. Journal of Big Data, 12(1). doi:10.1186/s40537-024-01048-8.</w:t>
      </w:r>
    </w:p>
    <w:p w14:paraId="3AD4A7B2" w14:textId="77777777" w:rsidR="00B5243C" w:rsidRPr="00D443EA" w:rsidRDefault="00856726" w:rsidP="006857FB">
      <w:pPr>
        <w:spacing w:line="360" w:lineRule="auto"/>
        <w:jc w:val="both"/>
      </w:pPr>
      <w:r w:rsidRPr="00D443EA">
        <w:t>Hartmann, D., de Pereira, J.R.L., Streitborger, C. and Berendt, B. (2024). Addressing the regulatory gap: moving towards an EU AI audit ecosystem beyond the AI Act by including civil society. AI and Ethics. doi:10.1007/s43681-024-00595-3.</w:t>
      </w:r>
    </w:p>
    <w:p w14:paraId="0B321A0E" w14:textId="77777777" w:rsidR="00B5243C" w:rsidRPr="00D443EA" w:rsidRDefault="00856726" w:rsidP="006857FB">
      <w:pPr>
        <w:spacing w:line="360" w:lineRule="auto"/>
        <w:jc w:val="both"/>
      </w:pPr>
      <w:r w:rsidRPr="00D443EA">
        <w:t>Helmi Ayari, Guetari, R. and Kraiem, N. (2025). Machine learning powered financial credit scoring: a systematic literature review. Artificial Intelligence Review, 59(1). doi:10.1007/s10462-025-11416-2.</w:t>
      </w:r>
    </w:p>
    <w:p w14:paraId="1C1E3C04" w14:textId="77777777" w:rsidR="00B5243C" w:rsidRPr="00D443EA" w:rsidRDefault="00856726" w:rsidP="006857FB">
      <w:pPr>
        <w:spacing w:line="360" w:lineRule="auto"/>
        <w:jc w:val="both"/>
      </w:pPr>
      <w:r w:rsidRPr="00D443EA">
        <w:t>Holtz, N., Wittfoth, S. and Gomez, J.M. (2025). Bridging Risk and Innovation: Generative AI in Scenario Creation. Procedia Computer Science, 256, pp.1888-1895. doi:10.1016/j.procs.2025.02.330.</w:t>
      </w:r>
    </w:p>
    <w:p w14:paraId="4EF13061" w14:textId="77777777" w:rsidR="00B5243C" w:rsidRPr="00D443EA" w:rsidRDefault="00856726" w:rsidP="006857FB">
      <w:pPr>
        <w:spacing w:line="360" w:lineRule="auto"/>
        <w:jc w:val="both"/>
      </w:pPr>
      <w:r w:rsidRPr="00D443EA">
        <w:t>HSBC (2024). HSBC and AI. London: HSBC Holdings Plc. Available at: https://www.hsbc.com/who-we-are/hsbc-and-digital/hsbc-and-ai [Accessed 28 February 2026].</w:t>
      </w:r>
    </w:p>
    <w:p w14:paraId="15D9EBA8" w14:textId="77777777" w:rsidR="00B5243C" w:rsidRPr="00D443EA" w:rsidRDefault="00856726" w:rsidP="006857FB">
      <w:pPr>
        <w:spacing w:line="360" w:lineRule="auto"/>
        <w:jc w:val="both"/>
      </w:pPr>
      <w:r w:rsidRPr="00D443EA">
        <w:t>HSBC (2025a). Annual Report and Accounts 2025. London: HSBC Holdings Plc. Available at: https://www.hsbc.com/-/files/hsbc/investors/hsbc-results/2025/annual/pdfs/hsbc-holdings-plc/260225-annual-report-and-accounts-2025.pdf [Accessed 28 February 2026].</w:t>
      </w:r>
    </w:p>
    <w:p w14:paraId="64324D84" w14:textId="77777777" w:rsidR="00B5243C" w:rsidRPr="00D443EA" w:rsidRDefault="00856726" w:rsidP="006857FB">
      <w:pPr>
        <w:spacing w:line="360" w:lineRule="auto"/>
        <w:jc w:val="both"/>
      </w:pPr>
      <w:r w:rsidRPr="00D443EA">
        <w:t>HSBC (2025b). Technology | Fighting Financial Crime. London: HSBC Holdings Plc. Available at: https://www.hsbc.com/who-we-are/esg-and-responsible-business/fighting-financial-crime/technology [Accessed 28 February 2026].</w:t>
      </w:r>
    </w:p>
    <w:p w14:paraId="78D4B7B6" w14:textId="77777777" w:rsidR="00B5243C" w:rsidRPr="00D443EA" w:rsidRDefault="00856726" w:rsidP="006857FB">
      <w:pPr>
        <w:spacing w:line="360" w:lineRule="auto"/>
        <w:jc w:val="both"/>
      </w:pPr>
      <w:r w:rsidRPr="00D443EA">
        <w:t>HSBC (2025c). There's a risk in missing the AI opportunity. London: HSBC Holdings Plc. Available at: https://www.hsbc.com/who-we-are/hsbc-and-digital/hsbc-and-ai/theres-a-risk-in-missing-the-ai-opportunity [Accessed 28 February 2026].</w:t>
      </w:r>
    </w:p>
    <w:p w14:paraId="65AA9F0E" w14:textId="77777777" w:rsidR="00B5243C" w:rsidRPr="00D443EA" w:rsidRDefault="00856726" w:rsidP="006857FB">
      <w:pPr>
        <w:spacing w:line="360" w:lineRule="auto"/>
        <w:jc w:val="both"/>
      </w:pPr>
      <w:r w:rsidRPr="00D443EA">
        <w:t>Knight, S., Shibani, A. and Vincent, N. (2024). Ethical AI governance: mapping a research ecosystem. AI and Ethics. doi:10.1007/s43681-023-00416-z.</w:t>
      </w:r>
    </w:p>
    <w:p w14:paraId="5DA4C7D5" w14:textId="77777777" w:rsidR="00B5243C" w:rsidRPr="00D443EA" w:rsidRDefault="00856726" w:rsidP="006857FB">
      <w:pPr>
        <w:spacing w:line="360" w:lineRule="auto"/>
        <w:jc w:val="both"/>
      </w:pPr>
      <w:r w:rsidRPr="00D443EA">
        <w:t>Laux, J., Wachter, S. and Mittelstadt, B. (2023). Trustworthy artificial intelligence and the European Union AI act: On the conflation of trustworthiness and acceptability of risk. Regulation &amp; Governance, 18(1). doi:10.1111/rego.12512.</w:t>
      </w:r>
    </w:p>
    <w:p w14:paraId="159317DD" w14:textId="77777777" w:rsidR="00B5243C" w:rsidRPr="00D443EA" w:rsidRDefault="00856726" w:rsidP="006857FB">
      <w:pPr>
        <w:spacing w:line="360" w:lineRule="auto"/>
        <w:jc w:val="both"/>
      </w:pPr>
      <w:r w:rsidRPr="00D443EA">
        <w:lastRenderedPageBreak/>
        <w:t>Machado, M.R., Chen, D.T. and Osterrieder, J.R. (2025). An analytical approach to credit risk assessment using machine learning models. Decision Analytics Journal, 16, p.100605. doi:10.1016/j.dajour.2025.100605.</w:t>
      </w:r>
    </w:p>
    <w:p w14:paraId="470738D3" w14:textId="77777777" w:rsidR="00B5243C" w:rsidRPr="00D443EA" w:rsidRDefault="00856726" w:rsidP="006857FB">
      <w:pPr>
        <w:spacing w:line="360" w:lineRule="auto"/>
        <w:jc w:val="both"/>
      </w:pPr>
      <w:r w:rsidRPr="00D443EA">
        <w:t>McKinsey Global Institute (2023). The State of AI in 2023: Generative AI's Breakout Year. New York: McKinsey &amp; Company. Available at: https://www.mckinsey.com/capabilities/quantumblack/our-insights/the-state-of-ai-in-2023-generative-ais-breakout-year [Accessed 2 March 2026].</w:t>
      </w:r>
    </w:p>
    <w:p w14:paraId="7B1BD1B0" w14:textId="77777777" w:rsidR="00B5243C" w:rsidRPr="00D443EA" w:rsidRDefault="00856726" w:rsidP="006857FB">
      <w:pPr>
        <w:spacing w:line="360" w:lineRule="auto"/>
        <w:jc w:val="both"/>
      </w:pPr>
      <w:r w:rsidRPr="00D443EA">
        <w:t>Monetary Authority of Singapore (2022). Fairness, Ethics, Accountability and Transparency (FEAT) Principles. Updated November 2022. Singapore: MAS. Available at: https://www.mas.gov.sg/publications/monographs-or-information-paper/2022/feat-principles-updated-november-2022 [Accessed 1 March 2026].</w:t>
      </w:r>
    </w:p>
    <w:p w14:paraId="75484160" w14:textId="77777777" w:rsidR="00B5243C" w:rsidRPr="00D443EA" w:rsidRDefault="00856726" w:rsidP="006857FB">
      <w:pPr>
        <w:spacing w:line="360" w:lineRule="auto"/>
        <w:jc w:val="both"/>
      </w:pPr>
      <w:r w:rsidRPr="00D443EA">
        <w:t>Monetary Authority of Singapore (2023). Singapore National AI Strategy 2.0. Singapore: Smart Nation and Digital Government Office / MAS. Available at: https://www.mas.gov.sg/publications [Accessed 1 March 2026].</w:t>
      </w:r>
    </w:p>
    <w:p w14:paraId="7000E434" w14:textId="77777777" w:rsidR="00B5243C" w:rsidRPr="00D443EA" w:rsidRDefault="00856726" w:rsidP="006857FB">
      <w:pPr>
        <w:spacing w:line="360" w:lineRule="auto"/>
        <w:jc w:val="both"/>
      </w:pPr>
      <w:r w:rsidRPr="00D443EA">
        <w:t>Monteiro, N. and Singh, V. (2025). The wheel of artificial intelligence governance. Sustainable Futures, 10, p.101279. doi:10.1016/j.sftr.2025.101279.</w:t>
      </w:r>
    </w:p>
    <w:p w14:paraId="6D3F811F" w14:textId="77777777" w:rsidR="00B5243C" w:rsidRPr="00D443EA" w:rsidRDefault="00856726" w:rsidP="006857FB">
      <w:pPr>
        <w:spacing w:line="360" w:lineRule="auto"/>
        <w:jc w:val="both"/>
      </w:pPr>
      <w:r w:rsidRPr="00D443EA">
        <w:t>Papagiannidis, E., Mikalef, P. and Conboy, K. (2025). Responsible artificial intelligence governance: A review and research framework. The Journal of Strategic Information Systems, 34(2). doi:10.1016/j.jsis.2024.101885.</w:t>
      </w:r>
    </w:p>
    <w:p w14:paraId="1771C97F" w14:textId="3B09E820" w:rsidR="00C76C21" w:rsidRPr="00D443EA" w:rsidRDefault="00C76C21" w:rsidP="006857FB">
      <w:pPr>
        <w:spacing w:line="360" w:lineRule="auto"/>
        <w:jc w:val="both"/>
      </w:pPr>
      <w:r w:rsidRPr="00D443EA">
        <w:t>Porter, M. (2008). The Five Competitive Forces That Shape Strategy. [online] Harvard Business Review. Available at: https://hbr.org/2008/01/the-five-competitive-forces-that-shape-strategy.</w:t>
      </w:r>
    </w:p>
    <w:p w14:paraId="38496132" w14:textId="77777777" w:rsidR="00B5243C" w:rsidRPr="00D443EA" w:rsidRDefault="00856726" w:rsidP="006857FB">
      <w:pPr>
        <w:spacing w:line="360" w:lineRule="auto"/>
        <w:jc w:val="both"/>
      </w:pPr>
      <w:r w:rsidRPr="00D443EA">
        <w:t>Ramesh Upreti, Lind, P.G., Elmokashfi, A. and Yazidi, A. (2024). Trustworthy machine learning in the context of security and privacy. International Journal of Information Security. doi:10.1007/s10207-024-00813-3.</w:t>
      </w:r>
    </w:p>
    <w:p w14:paraId="72229A65" w14:textId="77777777" w:rsidR="00B5243C" w:rsidRPr="00D443EA" w:rsidRDefault="00856726" w:rsidP="006857FB">
      <w:pPr>
        <w:spacing w:line="360" w:lineRule="auto"/>
        <w:jc w:val="both"/>
      </w:pPr>
      <w:r w:rsidRPr="00D443EA">
        <w:t>Ratzan, J. and Rahman, N. (2023). Measuring responsible artificial intelligence (RAI) in banking: a valid and reliable instrument. AI and Ethics. doi:10.1007/s43681-023-00321-5.</w:t>
      </w:r>
    </w:p>
    <w:p w14:paraId="348A0FBA" w14:textId="77777777" w:rsidR="00B5243C" w:rsidRPr="00D443EA" w:rsidRDefault="00856726" w:rsidP="006857FB">
      <w:pPr>
        <w:spacing w:line="360" w:lineRule="auto"/>
        <w:jc w:val="both"/>
      </w:pPr>
      <w:r w:rsidRPr="00D443EA">
        <w:t>Reuters (2024). JPMorgan boosts AI and cybersecurity spending to USD 600 million in 2024. Reuters, 22 January 2024. Available at: https://www.reuters.com/technology/jpmorgan-ai-cybersecurity-spending-2024-01-22/ [Accessed 3 March 2026].</w:t>
      </w:r>
    </w:p>
    <w:p w14:paraId="2F8A0FF0" w14:textId="77777777" w:rsidR="00B5243C" w:rsidRPr="00D443EA" w:rsidRDefault="00856726" w:rsidP="006857FB">
      <w:pPr>
        <w:spacing w:line="360" w:lineRule="auto"/>
        <w:jc w:val="both"/>
      </w:pPr>
      <w:r w:rsidRPr="00D443EA">
        <w:lastRenderedPageBreak/>
        <w:t>Saqib, H.M. and Amin, H. (2025). Comparative analysis of AI regulation for fintech cybersecurity and privacy in the European Union and Qatar. Discover Artificial Intelligence. doi:10.1007/s44163-025-00736-5.</w:t>
      </w:r>
    </w:p>
    <w:p w14:paraId="5E923AF5" w14:textId="77777777" w:rsidR="00B5243C" w:rsidRPr="00D443EA" w:rsidRDefault="00856726" w:rsidP="006857FB">
      <w:pPr>
        <w:spacing w:line="360" w:lineRule="auto"/>
        <w:jc w:val="both"/>
      </w:pPr>
      <w:r w:rsidRPr="00D443EA">
        <w:t>Sedai, A., Medda, F. and Schroeder, T. (2025). Augmenting Bank and Economic Data with Generative Adversarial Networks. Procedia Computer Science, 263, pp.175-182. doi:10.1016/j.procs.2025.07.022.</w:t>
      </w:r>
    </w:p>
    <w:p w14:paraId="2AECC1DD" w14:textId="77777777" w:rsidR="00B5243C" w:rsidRPr="00D443EA" w:rsidRDefault="00856726" w:rsidP="006857FB">
      <w:pPr>
        <w:spacing w:line="360" w:lineRule="auto"/>
        <w:jc w:val="both"/>
      </w:pPr>
      <w:r w:rsidRPr="00D443EA">
        <w:t>Szadeczky, T. and Bederna, Z. (2025). Risk, regulation, and governance: evaluating artificial intelligence across diverse application scenarios. Security Journal, 38(1). doi:10.1057/s41284-025-00495-z.</w:t>
      </w:r>
    </w:p>
    <w:p w14:paraId="57D61499" w14:textId="77777777" w:rsidR="00B5243C" w:rsidRPr="00D443EA" w:rsidRDefault="00856726" w:rsidP="006857FB">
      <w:pPr>
        <w:spacing w:line="360" w:lineRule="auto"/>
        <w:jc w:val="both"/>
      </w:pPr>
      <w:r w:rsidRPr="00D443EA">
        <w:t>Turksen, U., Benson, V. and Adamyk, B. (2024). Legal implications of automated suspicious transaction monitoring: enhancing integrity of AI. Journal of Banking Regulation, 25. doi:10.1057/s41261-024-00233-2.</w:t>
      </w:r>
    </w:p>
    <w:p w14:paraId="4AE11F34" w14:textId="77777777" w:rsidR="00B5243C" w:rsidRPr="00D443EA" w:rsidRDefault="00856726" w:rsidP="006857FB">
      <w:pPr>
        <w:spacing w:line="360" w:lineRule="auto"/>
        <w:jc w:val="both"/>
      </w:pPr>
      <w:r w:rsidRPr="00D443EA">
        <w:t>Wang, Y., Zhang, Y., Lu, Y. and Yu, X. (2020). A Comparative Assessment of Credit Risk Model Based on Machine Learning: a case study of bank loan data. Procedia Computer Science, 174, pp.141-149. doi:10.1016/j.procs.2020.06.069.</w:t>
      </w:r>
    </w:p>
    <w:p w14:paraId="3976DDC4" w14:textId="77777777" w:rsidR="00B5243C" w:rsidRPr="00D443EA" w:rsidRDefault="00856726" w:rsidP="006857FB">
      <w:pPr>
        <w:spacing w:line="360" w:lineRule="auto"/>
        <w:jc w:val="both"/>
      </w:pPr>
      <w:r w:rsidRPr="00D443EA">
        <w:t>Weber, P., Carl, K.V. and Hinz, O. (2023). Applications of Explainable Artificial Intelligence in Finance: a Systematic Review of Finance, Information Systems, and Computer Science Literature. Management Review Quarterly, 74(2). doi:10.1007/s11301-023-00320-0.</w:t>
      </w:r>
    </w:p>
    <w:p w14:paraId="202673CF" w14:textId="77777777" w:rsidR="00B5243C" w:rsidRPr="00D443EA" w:rsidRDefault="00856726" w:rsidP="006857FB">
      <w:pPr>
        <w:spacing w:line="360" w:lineRule="auto"/>
        <w:jc w:val="both"/>
      </w:pPr>
      <w:r w:rsidRPr="00D443EA">
        <w:t>Werisha Ibrar, Mahmood, D., Al-Shamayleh, A.S., Ahmed, G., Alharthi, S.Z. and Akhunzada, A. (2025). Generative AI: a double-edged sword in the cyber threat landscape. Artificial Intelligence Review, 58(9). doi:10.1007/s10462-025-11285-9.</w:t>
      </w:r>
    </w:p>
    <w:p w14:paraId="7E358A3D" w14:textId="77777777" w:rsidR="00B5243C" w:rsidRPr="00D443EA" w:rsidRDefault="00856726" w:rsidP="006857FB">
      <w:pPr>
        <w:spacing w:line="360" w:lineRule="auto"/>
        <w:jc w:val="both"/>
      </w:pPr>
      <w:r w:rsidRPr="00D443EA">
        <w:t>Yao, K.-C., Hung, H.-C., Wang, C.-H., Huang, W.-L., Liang, H.-T., Chu, T.-H., Chen, B.-S. and Ho, W.-S. (2025). Application of Generative AI in Financial Risk Prediction: Enhancing Model Accuracy and Interpretability. Information, 16(10), p.857. doi:10.3390/info16100857.</w:t>
      </w:r>
    </w:p>
    <w:p w14:paraId="4CF3D75D" w14:textId="77777777" w:rsidR="00B5243C" w:rsidRPr="00D443EA" w:rsidRDefault="00856726" w:rsidP="006857FB">
      <w:pPr>
        <w:spacing w:line="360" w:lineRule="auto"/>
        <w:jc w:val="both"/>
      </w:pPr>
      <w:r w:rsidRPr="00D443EA">
        <w:t>Yeo, W.J., Der, V., Mao, R., Cambria, E., Satapathy, R. and Mengaldo, G. (2025). A comprehensive review on financial explainable AI. Artificial Intelligence Review, 58(6). doi:10.1007/s10462-024-11077-7.</w:t>
      </w:r>
    </w:p>
    <w:p w14:paraId="4199EE71" w14:textId="77777777" w:rsidR="00B5243C" w:rsidRPr="00D443EA" w:rsidRDefault="00856726" w:rsidP="006857FB">
      <w:pPr>
        <w:spacing w:line="360" w:lineRule="auto"/>
        <w:jc w:val="both"/>
      </w:pPr>
      <w:r w:rsidRPr="00D443EA">
        <w:br w:type="page"/>
      </w:r>
    </w:p>
    <w:p w14:paraId="495D2EDB" w14:textId="77777777" w:rsidR="00B5243C" w:rsidRPr="00D443EA" w:rsidRDefault="00856726" w:rsidP="006857FB">
      <w:pPr>
        <w:pStyle w:val="Heading1"/>
      </w:pPr>
      <w:bookmarkStart w:id="16" w:name="_Toc228040838"/>
      <w:r w:rsidRPr="00D443EA">
        <w:lastRenderedPageBreak/>
        <w:t>Appendix A: Peer Benchmarking Analysis</w:t>
      </w:r>
      <w:bookmarkEnd w:id="16"/>
    </w:p>
    <w:p w14:paraId="62428AA9" w14:textId="333505AF" w:rsidR="00B5243C" w:rsidRPr="00D443EA" w:rsidRDefault="006B4536" w:rsidP="006857FB">
      <w:pPr>
        <w:spacing w:line="360" w:lineRule="auto"/>
        <w:jc w:val="both"/>
      </w:pPr>
      <w:r w:rsidRPr="00D443EA">
        <w:t>The appendix compares the HSBC AI governance posture to three peer institutions namely DBS Bank (Singapore), JPMorgan Chase (United States) and Standard Chartered (UK/Asia). The comparison is organized in six dimensions of governance based on the analytical framework of the report. The sources of data include the most recent annual report of each institution, AI-specific disclosures and publicly available regulatory reports.</w:t>
      </w:r>
    </w:p>
    <w:p w14:paraId="39D1BE4A" w14:textId="7297A1C5" w:rsidR="003E362B" w:rsidRPr="00D443EA" w:rsidRDefault="003E362B" w:rsidP="006857FB">
      <w:pPr>
        <w:pStyle w:val="Caption"/>
        <w:keepNext/>
        <w:spacing w:after="0" w:line="360" w:lineRule="auto"/>
        <w:rPr>
          <w:i w:val="0"/>
          <w:iCs w:val="0"/>
        </w:rPr>
      </w:pPr>
      <w:r w:rsidRPr="00D443EA">
        <w:rPr>
          <w:i w:val="0"/>
          <w:iCs w:val="0"/>
        </w:rPr>
        <w:t xml:space="preserve">Table </w:t>
      </w:r>
      <w:r w:rsidRPr="00D443EA">
        <w:rPr>
          <w:i w:val="0"/>
          <w:iCs w:val="0"/>
        </w:rPr>
        <w:fldChar w:fldCharType="begin"/>
      </w:r>
      <w:r w:rsidRPr="00D443EA">
        <w:rPr>
          <w:i w:val="0"/>
          <w:iCs w:val="0"/>
        </w:rPr>
        <w:instrText xml:space="preserve"> SEQ Table \* ARABIC </w:instrText>
      </w:r>
      <w:r w:rsidRPr="00D443EA">
        <w:rPr>
          <w:i w:val="0"/>
          <w:iCs w:val="0"/>
        </w:rPr>
        <w:fldChar w:fldCharType="separate"/>
      </w:r>
      <w:r w:rsidRPr="00D443EA">
        <w:rPr>
          <w:i w:val="0"/>
          <w:iCs w:val="0"/>
          <w:noProof/>
        </w:rPr>
        <w:t>4</w:t>
      </w:r>
      <w:r w:rsidRPr="00D443EA">
        <w:rPr>
          <w:i w:val="0"/>
          <w:iCs w:val="0"/>
        </w:rPr>
        <w:fldChar w:fldCharType="end"/>
      </w:r>
      <w:r w:rsidRPr="00D443EA">
        <w:rPr>
          <w:i w:val="0"/>
          <w:iCs w:val="0"/>
        </w:rPr>
        <w:t>: AI Governance Benchmarking – HSBC vs Peer Institutions Source-Author's analysis based on DBS Group (2024 Annual Report), JPMorgan Chase (2024 10-K), Standard Chartered (2024 Annual Report), MAS Veritas disclosures, and HSBC (2025a; 2025b; 2025c).</w:t>
      </w:r>
    </w:p>
    <w:tbl>
      <w:tblPr>
        <w:tblW w:w="55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927"/>
        <w:gridCol w:w="1701"/>
        <w:gridCol w:w="1887"/>
        <w:gridCol w:w="1808"/>
        <w:gridCol w:w="1701"/>
      </w:tblGrid>
      <w:tr w:rsidR="00B5243C" w:rsidRPr="00D443EA" w14:paraId="17D90215" w14:textId="77777777" w:rsidTr="00FB2DC1">
        <w:trPr>
          <w:trHeight w:val="827"/>
          <w:tblHeader/>
        </w:trPr>
        <w:tc>
          <w:tcPr>
            <w:tcW w:w="1174" w:type="dxa"/>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2DCE5A06" w14:textId="77777777" w:rsidR="00B5243C" w:rsidRPr="00D443EA" w:rsidRDefault="00856726" w:rsidP="006857FB">
            <w:pPr>
              <w:spacing w:line="360" w:lineRule="auto"/>
              <w:jc w:val="both"/>
            </w:pPr>
            <w:r w:rsidRPr="00D443EA">
              <w:rPr>
                <w:b/>
                <w:bCs/>
                <w:color w:val="FFFFFF"/>
              </w:rPr>
              <w:t>Governance Dimension</w:t>
            </w:r>
          </w:p>
        </w:tc>
        <w:tc>
          <w:tcPr>
            <w:tcW w:w="1076" w:type="dxa"/>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60606FD8" w14:textId="77777777" w:rsidR="00B5243C" w:rsidRPr="00D443EA" w:rsidRDefault="00856726" w:rsidP="006857FB">
            <w:pPr>
              <w:spacing w:line="360" w:lineRule="auto"/>
              <w:jc w:val="both"/>
            </w:pPr>
            <w:r w:rsidRPr="00D443EA">
              <w:rPr>
                <w:b/>
                <w:bCs/>
                <w:color w:val="FFFFFF"/>
              </w:rPr>
              <w:t>HSBC</w:t>
            </w:r>
          </w:p>
        </w:tc>
        <w:tc>
          <w:tcPr>
            <w:tcW w:w="1115" w:type="dxa"/>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6EAF9F3C" w14:textId="77777777" w:rsidR="00B5243C" w:rsidRPr="00D443EA" w:rsidRDefault="00856726" w:rsidP="006857FB">
            <w:pPr>
              <w:spacing w:line="360" w:lineRule="auto"/>
              <w:jc w:val="both"/>
            </w:pPr>
            <w:r w:rsidRPr="00D443EA">
              <w:rPr>
                <w:b/>
                <w:bCs/>
                <w:color w:val="FFFFFF"/>
              </w:rPr>
              <w:t>DBS Bank</w:t>
            </w:r>
          </w:p>
        </w:tc>
        <w:tc>
          <w:tcPr>
            <w:tcW w:w="1068" w:type="dxa"/>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627CC4F8" w14:textId="77777777" w:rsidR="00B5243C" w:rsidRPr="00D443EA" w:rsidRDefault="00856726" w:rsidP="006857FB">
            <w:pPr>
              <w:spacing w:line="360" w:lineRule="auto"/>
              <w:jc w:val="both"/>
            </w:pPr>
            <w:r w:rsidRPr="00D443EA">
              <w:rPr>
                <w:b/>
                <w:bCs/>
                <w:color w:val="FFFFFF"/>
              </w:rPr>
              <w:t>JPMorgan Chase</w:t>
            </w:r>
          </w:p>
        </w:tc>
        <w:tc>
          <w:tcPr>
            <w:tcW w:w="1076" w:type="dxa"/>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679D47D1" w14:textId="77777777" w:rsidR="00B5243C" w:rsidRPr="00D443EA" w:rsidRDefault="00856726" w:rsidP="006857FB">
            <w:pPr>
              <w:spacing w:line="360" w:lineRule="auto"/>
              <w:jc w:val="both"/>
            </w:pPr>
            <w:r w:rsidRPr="00D443EA">
              <w:rPr>
                <w:b/>
                <w:bCs/>
                <w:color w:val="FFFFFF"/>
              </w:rPr>
              <w:t>Standard Chartered</w:t>
            </w:r>
          </w:p>
        </w:tc>
      </w:tr>
      <w:tr w:rsidR="00B5243C" w:rsidRPr="00D443EA" w14:paraId="4593B8B6" w14:textId="77777777" w:rsidTr="00FB2DC1">
        <w:trPr>
          <w:trHeight w:val="2482"/>
        </w:trPr>
        <w:tc>
          <w:tcPr>
            <w:tcW w:w="1174" w:type="dxa"/>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7B319B58" w14:textId="77777777" w:rsidR="00B5243C" w:rsidRPr="00D443EA" w:rsidRDefault="00856726" w:rsidP="006857FB">
            <w:pPr>
              <w:spacing w:line="360" w:lineRule="auto"/>
              <w:jc w:val="both"/>
            </w:pPr>
            <w:r w:rsidRPr="00D443EA">
              <w:rPr>
                <w:b/>
                <w:bCs/>
              </w:rPr>
              <w:t>Published AI Ethics Framework</w:t>
            </w:r>
          </w:p>
        </w:tc>
        <w:tc>
          <w:tcPr>
            <w:tcW w:w="1076" w:type="dxa"/>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39217641" w14:textId="77777777" w:rsidR="00B5243C" w:rsidRPr="00D443EA" w:rsidRDefault="00856726" w:rsidP="006857FB">
            <w:pPr>
              <w:spacing w:line="360" w:lineRule="auto"/>
              <w:jc w:val="both"/>
            </w:pPr>
            <w:r w:rsidRPr="00D443EA">
              <w:t>Yes – principled; limited operational specificity</w:t>
            </w:r>
          </w:p>
        </w:tc>
        <w:tc>
          <w:tcPr>
            <w:tcW w:w="1115" w:type="dxa"/>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53C27C0C" w14:textId="77777777" w:rsidR="00B5243C" w:rsidRPr="00D443EA" w:rsidRDefault="00856726" w:rsidP="006857FB">
            <w:pPr>
              <w:spacing w:line="360" w:lineRule="auto"/>
              <w:jc w:val="both"/>
            </w:pPr>
            <w:r w:rsidRPr="00D443EA">
              <w:t>Yes – FEAT-aligned; Responsible AI Framework published 2023</w:t>
            </w:r>
          </w:p>
        </w:tc>
        <w:tc>
          <w:tcPr>
            <w:tcW w:w="1068" w:type="dxa"/>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671DA96E" w14:textId="77777777" w:rsidR="00B5243C" w:rsidRPr="00D443EA" w:rsidRDefault="00856726" w:rsidP="006857FB">
            <w:pPr>
              <w:spacing w:line="360" w:lineRule="auto"/>
              <w:jc w:val="both"/>
            </w:pPr>
            <w:r w:rsidRPr="00D443EA">
              <w:t>Yes – AI/ML Explainability Framework published; operational detail high</w:t>
            </w:r>
          </w:p>
        </w:tc>
        <w:tc>
          <w:tcPr>
            <w:tcW w:w="1076" w:type="dxa"/>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77F9CF54" w14:textId="77777777" w:rsidR="00B5243C" w:rsidRPr="00D443EA" w:rsidRDefault="00856726" w:rsidP="006857FB">
            <w:pPr>
              <w:spacing w:line="360" w:lineRule="auto"/>
              <w:jc w:val="both"/>
            </w:pPr>
            <w:r w:rsidRPr="00D443EA">
              <w:t>Partial – commitments stated; no standalone published framework</w:t>
            </w:r>
          </w:p>
        </w:tc>
      </w:tr>
      <w:tr w:rsidR="00B5243C" w:rsidRPr="00D443EA" w14:paraId="5458D827" w14:textId="77777777" w:rsidTr="00FB2DC1">
        <w:trPr>
          <w:trHeight w:val="2060"/>
        </w:trPr>
        <w:tc>
          <w:tcPr>
            <w:tcW w:w="1174" w:type="dxa"/>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4F21E6DF" w14:textId="77777777" w:rsidR="00B5243C" w:rsidRPr="00D443EA" w:rsidRDefault="00856726" w:rsidP="006857FB">
            <w:pPr>
              <w:spacing w:line="360" w:lineRule="auto"/>
              <w:jc w:val="both"/>
            </w:pPr>
            <w:r w:rsidRPr="00D443EA">
              <w:rPr>
                <w:b/>
                <w:bCs/>
              </w:rPr>
              <w:t>Independent AI Audit</w:t>
            </w:r>
          </w:p>
        </w:tc>
        <w:tc>
          <w:tcPr>
            <w:tcW w:w="1076"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62A2E129" w14:textId="77777777" w:rsidR="00B5243C" w:rsidRPr="00D443EA" w:rsidRDefault="00856726" w:rsidP="006857FB">
            <w:pPr>
              <w:spacing w:line="360" w:lineRule="auto"/>
              <w:jc w:val="both"/>
            </w:pPr>
            <w:r w:rsidRPr="00D443EA">
              <w:t>Not publicly disclosed</w:t>
            </w:r>
          </w:p>
        </w:tc>
        <w:tc>
          <w:tcPr>
            <w:tcW w:w="1115"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1DA4CE2B" w14:textId="77777777" w:rsidR="00B5243C" w:rsidRPr="00D443EA" w:rsidRDefault="00856726" w:rsidP="006857FB">
            <w:pPr>
              <w:spacing w:line="360" w:lineRule="auto"/>
              <w:jc w:val="both"/>
            </w:pPr>
            <w:r w:rsidRPr="00D443EA">
              <w:t>Third-party Veritas assessment disclosed</w:t>
            </w:r>
          </w:p>
        </w:tc>
        <w:tc>
          <w:tcPr>
            <w:tcW w:w="1068"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56860D27" w14:textId="77777777" w:rsidR="00B5243C" w:rsidRPr="00D443EA" w:rsidRDefault="00856726" w:rsidP="006857FB">
            <w:pPr>
              <w:spacing w:line="360" w:lineRule="auto"/>
              <w:jc w:val="both"/>
            </w:pPr>
            <w:r w:rsidRPr="00D443EA">
              <w:t>Independent model risk review disclosed in 10-K</w:t>
            </w:r>
          </w:p>
        </w:tc>
        <w:tc>
          <w:tcPr>
            <w:tcW w:w="1076"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6FB38095" w14:textId="77777777" w:rsidR="00B5243C" w:rsidRPr="00D443EA" w:rsidRDefault="00856726" w:rsidP="006857FB">
            <w:pPr>
              <w:spacing w:line="360" w:lineRule="auto"/>
              <w:jc w:val="both"/>
            </w:pPr>
            <w:r w:rsidRPr="00D443EA">
              <w:t>Not publicly disclosed</w:t>
            </w:r>
          </w:p>
        </w:tc>
      </w:tr>
      <w:tr w:rsidR="00B5243C" w:rsidRPr="00D443EA" w14:paraId="3DB542A4" w14:textId="77777777" w:rsidTr="00FB2DC1">
        <w:trPr>
          <w:trHeight w:val="2903"/>
        </w:trPr>
        <w:tc>
          <w:tcPr>
            <w:tcW w:w="1174" w:type="dxa"/>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6F692C1A" w14:textId="77777777" w:rsidR="00B5243C" w:rsidRPr="00D443EA" w:rsidRDefault="00856726" w:rsidP="006857FB">
            <w:pPr>
              <w:spacing w:line="360" w:lineRule="auto"/>
              <w:jc w:val="both"/>
            </w:pPr>
            <w:r w:rsidRPr="00D443EA">
              <w:rPr>
                <w:b/>
                <w:bCs/>
              </w:rPr>
              <w:t>XAI Deployment</w:t>
            </w:r>
          </w:p>
        </w:tc>
        <w:tc>
          <w:tcPr>
            <w:tcW w:w="1076" w:type="dxa"/>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30CDDCC7" w14:textId="77777777" w:rsidR="00B5243C" w:rsidRPr="00D443EA" w:rsidRDefault="00856726" w:rsidP="006857FB">
            <w:pPr>
              <w:spacing w:line="360" w:lineRule="auto"/>
              <w:jc w:val="both"/>
            </w:pPr>
            <w:r w:rsidRPr="00D443EA">
              <w:t>Partial – deployed in AML; credit systems not confirmed</w:t>
            </w:r>
          </w:p>
        </w:tc>
        <w:tc>
          <w:tcPr>
            <w:tcW w:w="1115" w:type="dxa"/>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649B9788" w14:textId="77777777" w:rsidR="00B5243C" w:rsidRPr="00D443EA" w:rsidRDefault="00856726" w:rsidP="006857FB">
            <w:pPr>
              <w:spacing w:line="360" w:lineRule="auto"/>
              <w:jc w:val="both"/>
            </w:pPr>
            <w:r w:rsidRPr="00D443EA">
              <w:t>Advanced – SHAP deployed in credit decisioning; disclosed publicly</w:t>
            </w:r>
          </w:p>
        </w:tc>
        <w:tc>
          <w:tcPr>
            <w:tcW w:w="1068" w:type="dxa"/>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4011230F" w14:textId="77777777" w:rsidR="00B5243C" w:rsidRPr="00D443EA" w:rsidRDefault="00856726" w:rsidP="006857FB">
            <w:pPr>
              <w:spacing w:line="360" w:lineRule="auto"/>
              <w:jc w:val="both"/>
            </w:pPr>
            <w:r w:rsidRPr="00D443EA">
              <w:t>Advanced – LIME/SHAP in consumer credit; regulatory submission grade</w:t>
            </w:r>
          </w:p>
        </w:tc>
        <w:tc>
          <w:tcPr>
            <w:tcW w:w="1076" w:type="dxa"/>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6C7ACA71" w14:textId="77777777" w:rsidR="00B5243C" w:rsidRPr="00D443EA" w:rsidRDefault="00856726" w:rsidP="006857FB">
            <w:pPr>
              <w:spacing w:line="360" w:lineRule="auto"/>
              <w:jc w:val="both"/>
            </w:pPr>
            <w:r w:rsidRPr="00D443EA">
              <w:t>Early stage – referenced in annual report; no technical disclosure</w:t>
            </w:r>
          </w:p>
        </w:tc>
      </w:tr>
      <w:tr w:rsidR="00B5243C" w:rsidRPr="00D443EA" w14:paraId="4D1C09E1" w14:textId="77777777" w:rsidTr="00FB2DC1">
        <w:trPr>
          <w:trHeight w:val="827"/>
        </w:trPr>
        <w:tc>
          <w:tcPr>
            <w:tcW w:w="1174" w:type="dxa"/>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6DCA7580" w14:textId="77777777" w:rsidR="00B5243C" w:rsidRPr="00D443EA" w:rsidRDefault="00856726" w:rsidP="006857FB">
            <w:pPr>
              <w:spacing w:line="360" w:lineRule="auto"/>
              <w:jc w:val="both"/>
            </w:pPr>
            <w:r w:rsidRPr="00D443EA">
              <w:rPr>
                <w:b/>
                <w:bCs/>
              </w:rPr>
              <w:lastRenderedPageBreak/>
              <w:t>Regulatory Engagement</w:t>
            </w:r>
          </w:p>
        </w:tc>
        <w:tc>
          <w:tcPr>
            <w:tcW w:w="1076"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0B0AAD3C" w14:textId="77777777" w:rsidR="00B5243C" w:rsidRPr="00D443EA" w:rsidRDefault="00856726" w:rsidP="006857FB">
            <w:pPr>
              <w:spacing w:line="360" w:lineRule="auto"/>
              <w:jc w:val="both"/>
            </w:pPr>
            <w:r w:rsidRPr="00D443EA">
              <w:t>Active – FCA and MAS engagement documented</w:t>
            </w:r>
          </w:p>
        </w:tc>
        <w:tc>
          <w:tcPr>
            <w:tcW w:w="1115"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33A4827B" w14:textId="77777777" w:rsidR="00B5243C" w:rsidRPr="00D443EA" w:rsidRDefault="00856726" w:rsidP="006857FB">
            <w:pPr>
              <w:spacing w:line="360" w:lineRule="auto"/>
              <w:jc w:val="both"/>
            </w:pPr>
            <w:r w:rsidRPr="00D443EA">
              <w:t>Leadership – co-developed MAS Veritas framework</w:t>
            </w:r>
          </w:p>
        </w:tc>
        <w:tc>
          <w:tcPr>
            <w:tcW w:w="1068"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492E7E8D" w14:textId="77777777" w:rsidR="00B5243C" w:rsidRPr="00D443EA" w:rsidRDefault="00856726" w:rsidP="006857FB">
            <w:pPr>
              <w:spacing w:line="360" w:lineRule="auto"/>
              <w:jc w:val="both"/>
            </w:pPr>
            <w:r w:rsidRPr="00D443EA">
              <w:t>Active – US OCC and Fed engagement; published responses</w:t>
            </w:r>
          </w:p>
        </w:tc>
        <w:tc>
          <w:tcPr>
            <w:tcW w:w="1076"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17B9C735" w14:textId="77777777" w:rsidR="00B5243C" w:rsidRPr="00D443EA" w:rsidRDefault="00856726" w:rsidP="006857FB">
            <w:pPr>
              <w:spacing w:line="360" w:lineRule="auto"/>
              <w:jc w:val="both"/>
            </w:pPr>
            <w:r w:rsidRPr="00D443EA">
              <w:t>Moderate – FCA engagement; MAS less documented</w:t>
            </w:r>
          </w:p>
        </w:tc>
      </w:tr>
      <w:tr w:rsidR="00B5243C" w:rsidRPr="00D443EA" w14:paraId="41C6576A" w14:textId="77777777" w:rsidTr="00FB2DC1">
        <w:trPr>
          <w:trHeight w:val="144"/>
        </w:trPr>
        <w:tc>
          <w:tcPr>
            <w:tcW w:w="1174" w:type="dxa"/>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47B3DD78" w14:textId="77777777" w:rsidR="00B5243C" w:rsidRPr="00D443EA" w:rsidRDefault="00856726" w:rsidP="006857FB">
            <w:pPr>
              <w:spacing w:line="360" w:lineRule="auto"/>
              <w:jc w:val="both"/>
            </w:pPr>
            <w:r w:rsidRPr="00D443EA">
              <w:rPr>
                <w:b/>
                <w:bCs/>
              </w:rPr>
              <w:t>Algorithmic Fairness Disclosure</w:t>
            </w:r>
          </w:p>
        </w:tc>
        <w:tc>
          <w:tcPr>
            <w:tcW w:w="1076" w:type="dxa"/>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5A44318A" w14:textId="77777777" w:rsidR="00B5243C" w:rsidRPr="00D443EA" w:rsidRDefault="00856726" w:rsidP="006857FB">
            <w:pPr>
              <w:spacing w:line="360" w:lineRule="auto"/>
              <w:jc w:val="both"/>
            </w:pPr>
            <w:r w:rsidRPr="00D443EA">
              <w:t>Limited – aggregate commitments only</w:t>
            </w:r>
          </w:p>
        </w:tc>
        <w:tc>
          <w:tcPr>
            <w:tcW w:w="1115" w:type="dxa"/>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052D5906" w14:textId="77777777" w:rsidR="00B5243C" w:rsidRPr="00D443EA" w:rsidRDefault="00856726" w:rsidP="006857FB">
            <w:pPr>
              <w:spacing w:line="360" w:lineRule="auto"/>
              <w:jc w:val="both"/>
            </w:pPr>
            <w:r w:rsidRPr="00D443EA">
              <w:t>Detailed – Veritas fairness assessment results disclosed</w:t>
            </w:r>
          </w:p>
        </w:tc>
        <w:tc>
          <w:tcPr>
            <w:tcW w:w="1068" w:type="dxa"/>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37BCDF25" w14:textId="77777777" w:rsidR="00B5243C" w:rsidRPr="00D443EA" w:rsidRDefault="00856726" w:rsidP="006857FB">
            <w:pPr>
              <w:spacing w:line="360" w:lineRule="auto"/>
              <w:jc w:val="both"/>
            </w:pPr>
            <w:r w:rsidRPr="00D443EA">
              <w:t>Moderate – demographic parity metrics in selected products</w:t>
            </w:r>
          </w:p>
        </w:tc>
        <w:tc>
          <w:tcPr>
            <w:tcW w:w="1076" w:type="dxa"/>
            <w:tcBorders>
              <w:top w:val="single" w:sz="1" w:space="0" w:color="CCCCCC"/>
              <w:left w:val="single" w:sz="1" w:space="0" w:color="CCCCCC"/>
              <w:bottom w:val="single" w:sz="1" w:space="0" w:color="CCCCCC"/>
              <w:right w:val="single" w:sz="1" w:space="0" w:color="CCCCCC"/>
            </w:tcBorders>
            <w:shd w:val="clear" w:color="auto" w:fill="F5F7FC"/>
            <w:tcMar>
              <w:top w:w="100" w:type="dxa"/>
              <w:left w:w="140" w:type="dxa"/>
              <w:bottom w:w="100" w:type="dxa"/>
              <w:right w:w="140" w:type="dxa"/>
            </w:tcMar>
          </w:tcPr>
          <w:p w14:paraId="63C96F79" w14:textId="77777777" w:rsidR="00B5243C" w:rsidRPr="00D443EA" w:rsidRDefault="00856726" w:rsidP="006857FB">
            <w:pPr>
              <w:spacing w:line="360" w:lineRule="auto"/>
              <w:jc w:val="both"/>
            </w:pPr>
            <w:r w:rsidRPr="00D443EA">
              <w:t>Minimal – general statements only</w:t>
            </w:r>
          </w:p>
        </w:tc>
      </w:tr>
      <w:tr w:rsidR="00B5243C" w:rsidRPr="00D443EA" w14:paraId="0284CC02" w14:textId="77777777" w:rsidTr="00FB2DC1">
        <w:trPr>
          <w:trHeight w:val="2482"/>
        </w:trPr>
        <w:tc>
          <w:tcPr>
            <w:tcW w:w="1174" w:type="dxa"/>
            <w:tcBorders>
              <w:top w:val="single" w:sz="1" w:space="0" w:color="CCCCCC"/>
              <w:left w:val="single" w:sz="1" w:space="0" w:color="CCCCCC"/>
              <w:bottom w:val="single" w:sz="1" w:space="0" w:color="CCCCCC"/>
              <w:right w:val="single" w:sz="1" w:space="0" w:color="CCCCCC"/>
            </w:tcBorders>
            <w:shd w:val="clear" w:color="auto" w:fill="EBF0FA"/>
            <w:tcMar>
              <w:top w:w="100" w:type="dxa"/>
              <w:left w:w="140" w:type="dxa"/>
              <w:bottom w:w="100" w:type="dxa"/>
              <w:right w:w="140" w:type="dxa"/>
            </w:tcMar>
          </w:tcPr>
          <w:p w14:paraId="71144AE8" w14:textId="77777777" w:rsidR="00B5243C" w:rsidRPr="00D443EA" w:rsidRDefault="00856726" w:rsidP="006857FB">
            <w:pPr>
              <w:spacing w:line="360" w:lineRule="auto"/>
              <w:jc w:val="both"/>
            </w:pPr>
            <w:r w:rsidRPr="00D443EA">
              <w:rPr>
                <w:b/>
                <w:bCs/>
              </w:rPr>
              <w:t>Board-level AI Accountability</w:t>
            </w:r>
          </w:p>
        </w:tc>
        <w:tc>
          <w:tcPr>
            <w:tcW w:w="1076"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328A9879" w14:textId="77777777" w:rsidR="00B5243C" w:rsidRPr="00D443EA" w:rsidRDefault="00856726" w:rsidP="006857FB">
            <w:pPr>
              <w:spacing w:line="360" w:lineRule="auto"/>
              <w:jc w:val="both"/>
            </w:pPr>
            <w:r w:rsidRPr="00D443EA">
              <w:t>Risk Committee oversight; no dedicated AI ethics role confirmed</w:t>
            </w:r>
          </w:p>
        </w:tc>
        <w:tc>
          <w:tcPr>
            <w:tcW w:w="1115"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0A082CE8" w14:textId="77777777" w:rsidR="00B5243C" w:rsidRPr="00D443EA" w:rsidRDefault="00856726" w:rsidP="006857FB">
            <w:pPr>
              <w:spacing w:line="360" w:lineRule="auto"/>
              <w:jc w:val="both"/>
            </w:pPr>
            <w:r w:rsidRPr="00D443EA">
              <w:t>Chief Data and Transformation Officer; Board Technology Committee</w:t>
            </w:r>
          </w:p>
        </w:tc>
        <w:tc>
          <w:tcPr>
            <w:tcW w:w="1068"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76AF76AD" w14:textId="77777777" w:rsidR="00B5243C" w:rsidRPr="00D443EA" w:rsidRDefault="00856726" w:rsidP="006857FB">
            <w:pPr>
              <w:spacing w:line="360" w:lineRule="auto"/>
              <w:jc w:val="both"/>
            </w:pPr>
            <w:r w:rsidRPr="00D443EA">
              <w:t>Dedicated AI governance committee with Board representation</w:t>
            </w:r>
          </w:p>
        </w:tc>
        <w:tc>
          <w:tcPr>
            <w:tcW w:w="1076"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40" w:type="dxa"/>
              <w:bottom w:w="100" w:type="dxa"/>
              <w:right w:w="140" w:type="dxa"/>
            </w:tcMar>
          </w:tcPr>
          <w:p w14:paraId="4468C61B" w14:textId="77777777" w:rsidR="00B5243C" w:rsidRPr="00D443EA" w:rsidRDefault="00856726" w:rsidP="006857FB">
            <w:pPr>
              <w:spacing w:line="360" w:lineRule="auto"/>
              <w:jc w:val="both"/>
            </w:pPr>
            <w:r w:rsidRPr="00D443EA">
              <w:t>Group Chief Information Officer at Board level; AI not separately named</w:t>
            </w:r>
          </w:p>
        </w:tc>
      </w:tr>
    </w:tbl>
    <w:p w14:paraId="1189302B" w14:textId="31B5DFFC" w:rsidR="00B5243C" w:rsidRPr="00D443EA" w:rsidRDefault="006B4536" w:rsidP="006857FB">
      <w:pPr>
        <w:spacing w:line="360" w:lineRule="auto"/>
        <w:jc w:val="both"/>
      </w:pPr>
      <w:r w:rsidRPr="00D443EA">
        <w:t>The benchmarking analysis indicates that the greatest material gap of HSBC concerning peers is in terms of algorithmic fairness disclosure and independent audit transparency. Explicitly, DBS Bank has reached the top of the Asian market due to the co-development of MAS Veritas framework, which can be reasonably recreated by HSBC Singapore operations taking into consideration its size and relations with the regulatory authorities. The existing state of technical governance maturity in the industry is the operational implementation of SHAP-grade XAI by JPMorgan Chase in consumer credit systems. In Section 4, the recommendations of HSBC are scaled to bridge the gap to these benchmarks in the three-year medium-term horizon.</w:t>
      </w:r>
    </w:p>
    <w:p w14:paraId="57098BE1" w14:textId="3AFD8B87" w:rsidR="00B5243C" w:rsidRPr="00D443EA" w:rsidRDefault="00B5243C" w:rsidP="006857FB">
      <w:pPr>
        <w:spacing w:line="360" w:lineRule="auto"/>
        <w:jc w:val="both"/>
      </w:pPr>
    </w:p>
    <w:sectPr w:rsidR="00B5243C" w:rsidRPr="00D443EA" w:rsidSect="00A36329">
      <w:footerReference w:type="default" r:id="rId10"/>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E5DEA" w14:textId="77777777" w:rsidR="008124A7" w:rsidRDefault="008124A7" w:rsidP="002900DB">
      <w:r>
        <w:separator/>
      </w:r>
    </w:p>
  </w:endnote>
  <w:endnote w:type="continuationSeparator" w:id="0">
    <w:p w14:paraId="63560988" w14:textId="77777777" w:rsidR="008124A7" w:rsidRDefault="008124A7" w:rsidP="002900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691135"/>
      <w:docPartObj>
        <w:docPartGallery w:val="Page Numbers (Bottom of Page)"/>
        <w:docPartUnique/>
      </w:docPartObj>
    </w:sdtPr>
    <w:sdtEndPr>
      <w:rPr>
        <w:noProof/>
      </w:rPr>
    </w:sdtEndPr>
    <w:sdtContent>
      <w:p w14:paraId="7AF7E1D3" w14:textId="3D6D80D5" w:rsidR="00A36329" w:rsidRDefault="00A36329" w:rsidP="00A363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60E91D" w14:textId="77777777" w:rsidR="008124A7" w:rsidRDefault="008124A7" w:rsidP="002900DB">
      <w:r>
        <w:separator/>
      </w:r>
    </w:p>
  </w:footnote>
  <w:footnote w:type="continuationSeparator" w:id="0">
    <w:p w14:paraId="2449485D" w14:textId="77777777" w:rsidR="008124A7" w:rsidRDefault="008124A7" w:rsidP="002900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9D2AFF"/>
    <w:multiLevelType w:val="hybridMultilevel"/>
    <w:tmpl w:val="239A3E2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2FFF166B"/>
    <w:multiLevelType w:val="hybridMultilevel"/>
    <w:tmpl w:val="FCD8B1BA"/>
    <w:lvl w:ilvl="0" w:tplc="1AC0B3BC">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40095B78"/>
    <w:multiLevelType w:val="hybridMultilevel"/>
    <w:tmpl w:val="BBCAC33E"/>
    <w:lvl w:ilvl="0" w:tplc="9D541014">
      <w:start w:val="1"/>
      <w:numFmt w:val="bullet"/>
      <w:lvlText w:val="●"/>
      <w:lvlJc w:val="left"/>
      <w:pPr>
        <w:ind w:left="720" w:hanging="360"/>
      </w:pPr>
    </w:lvl>
    <w:lvl w:ilvl="1" w:tplc="1FA451A2">
      <w:start w:val="1"/>
      <w:numFmt w:val="bullet"/>
      <w:lvlText w:val="○"/>
      <w:lvlJc w:val="left"/>
      <w:pPr>
        <w:ind w:left="1440" w:hanging="360"/>
      </w:pPr>
    </w:lvl>
    <w:lvl w:ilvl="2" w:tplc="1CEC12D0">
      <w:start w:val="1"/>
      <w:numFmt w:val="bullet"/>
      <w:lvlText w:val="■"/>
      <w:lvlJc w:val="left"/>
      <w:pPr>
        <w:ind w:left="2160" w:hanging="360"/>
      </w:pPr>
    </w:lvl>
    <w:lvl w:ilvl="3" w:tplc="FD22A4A8">
      <w:start w:val="1"/>
      <w:numFmt w:val="bullet"/>
      <w:lvlText w:val="●"/>
      <w:lvlJc w:val="left"/>
      <w:pPr>
        <w:ind w:left="2880" w:hanging="360"/>
      </w:pPr>
    </w:lvl>
    <w:lvl w:ilvl="4" w:tplc="66CE6718">
      <w:start w:val="1"/>
      <w:numFmt w:val="bullet"/>
      <w:lvlText w:val="○"/>
      <w:lvlJc w:val="left"/>
      <w:pPr>
        <w:ind w:left="3600" w:hanging="360"/>
      </w:pPr>
    </w:lvl>
    <w:lvl w:ilvl="5" w:tplc="82E4FBA8">
      <w:start w:val="1"/>
      <w:numFmt w:val="bullet"/>
      <w:lvlText w:val="■"/>
      <w:lvlJc w:val="left"/>
      <w:pPr>
        <w:ind w:left="4320" w:hanging="360"/>
      </w:pPr>
    </w:lvl>
    <w:lvl w:ilvl="6" w:tplc="EE642448">
      <w:start w:val="1"/>
      <w:numFmt w:val="bullet"/>
      <w:lvlText w:val="●"/>
      <w:lvlJc w:val="left"/>
      <w:pPr>
        <w:ind w:left="5040" w:hanging="360"/>
      </w:pPr>
    </w:lvl>
    <w:lvl w:ilvl="7" w:tplc="2B2491FC">
      <w:start w:val="1"/>
      <w:numFmt w:val="bullet"/>
      <w:lvlText w:val="●"/>
      <w:lvlJc w:val="left"/>
      <w:pPr>
        <w:ind w:left="5760" w:hanging="360"/>
      </w:pPr>
    </w:lvl>
    <w:lvl w:ilvl="8" w:tplc="EF50974A">
      <w:start w:val="1"/>
      <w:numFmt w:val="bullet"/>
      <w:lvlText w:val="●"/>
      <w:lvlJc w:val="left"/>
      <w:pPr>
        <w:ind w:left="6480" w:hanging="360"/>
      </w:pPr>
    </w:lvl>
  </w:abstractNum>
  <w:abstractNum w:abstractNumId="3" w15:restartNumberingAfterBreak="0">
    <w:nsid w:val="521A7FFE"/>
    <w:multiLevelType w:val="multilevel"/>
    <w:tmpl w:val="AF9CA42E"/>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624531D1"/>
    <w:multiLevelType w:val="multilevel"/>
    <w:tmpl w:val="ACA26D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2"/>
    <w:lvlOverride w:ilvl="0">
      <w:startOverride w:val="1"/>
    </w:lvlOverride>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243C"/>
    <w:rsid w:val="00015A58"/>
    <w:rsid w:val="000436FE"/>
    <w:rsid w:val="0005414A"/>
    <w:rsid w:val="00071F1F"/>
    <w:rsid w:val="000B40FE"/>
    <w:rsid w:val="000F07C5"/>
    <w:rsid w:val="001268C0"/>
    <w:rsid w:val="00137CFC"/>
    <w:rsid w:val="00162392"/>
    <w:rsid w:val="001661CF"/>
    <w:rsid w:val="001C72AE"/>
    <w:rsid w:val="00216650"/>
    <w:rsid w:val="00247156"/>
    <w:rsid w:val="002900DB"/>
    <w:rsid w:val="002E732A"/>
    <w:rsid w:val="00313D7A"/>
    <w:rsid w:val="0035251A"/>
    <w:rsid w:val="00362481"/>
    <w:rsid w:val="003A2AEA"/>
    <w:rsid w:val="003D16E2"/>
    <w:rsid w:val="003E362B"/>
    <w:rsid w:val="00415D11"/>
    <w:rsid w:val="00455FCD"/>
    <w:rsid w:val="00467E92"/>
    <w:rsid w:val="00471314"/>
    <w:rsid w:val="0048689F"/>
    <w:rsid w:val="0049058B"/>
    <w:rsid w:val="004A40D0"/>
    <w:rsid w:val="004C7D22"/>
    <w:rsid w:val="0050314C"/>
    <w:rsid w:val="00524969"/>
    <w:rsid w:val="00542E66"/>
    <w:rsid w:val="00570DC0"/>
    <w:rsid w:val="005742D1"/>
    <w:rsid w:val="005766BD"/>
    <w:rsid w:val="005B433D"/>
    <w:rsid w:val="005E09DE"/>
    <w:rsid w:val="005F0F2D"/>
    <w:rsid w:val="00624C20"/>
    <w:rsid w:val="0065048A"/>
    <w:rsid w:val="006857FB"/>
    <w:rsid w:val="006A2B58"/>
    <w:rsid w:val="006A362F"/>
    <w:rsid w:val="006B4536"/>
    <w:rsid w:val="006C0862"/>
    <w:rsid w:val="006C79B4"/>
    <w:rsid w:val="00773A1C"/>
    <w:rsid w:val="007E5700"/>
    <w:rsid w:val="007F1EC9"/>
    <w:rsid w:val="008124A7"/>
    <w:rsid w:val="00812602"/>
    <w:rsid w:val="0082110C"/>
    <w:rsid w:val="008402D9"/>
    <w:rsid w:val="00856726"/>
    <w:rsid w:val="00857DDF"/>
    <w:rsid w:val="00875F8E"/>
    <w:rsid w:val="00877A6E"/>
    <w:rsid w:val="008B21D5"/>
    <w:rsid w:val="008C04A3"/>
    <w:rsid w:val="0092044D"/>
    <w:rsid w:val="00944CBD"/>
    <w:rsid w:val="009529CE"/>
    <w:rsid w:val="00972A2C"/>
    <w:rsid w:val="009B40EE"/>
    <w:rsid w:val="009E59D3"/>
    <w:rsid w:val="00A3491C"/>
    <w:rsid w:val="00A36329"/>
    <w:rsid w:val="00A5256C"/>
    <w:rsid w:val="00A528C2"/>
    <w:rsid w:val="00A61A6C"/>
    <w:rsid w:val="00AB48CB"/>
    <w:rsid w:val="00B4076E"/>
    <w:rsid w:val="00B5243C"/>
    <w:rsid w:val="00B55E13"/>
    <w:rsid w:val="00B67592"/>
    <w:rsid w:val="00B82AF8"/>
    <w:rsid w:val="00B930B2"/>
    <w:rsid w:val="00BC74F9"/>
    <w:rsid w:val="00BE6290"/>
    <w:rsid w:val="00C53879"/>
    <w:rsid w:val="00C62824"/>
    <w:rsid w:val="00C76C21"/>
    <w:rsid w:val="00CC3057"/>
    <w:rsid w:val="00CC3436"/>
    <w:rsid w:val="00CE7A41"/>
    <w:rsid w:val="00CF47C2"/>
    <w:rsid w:val="00D13031"/>
    <w:rsid w:val="00D443EA"/>
    <w:rsid w:val="00D77CD5"/>
    <w:rsid w:val="00D86F85"/>
    <w:rsid w:val="00D94653"/>
    <w:rsid w:val="00DA12EA"/>
    <w:rsid w:val="00DC0EF6"/>
    <w:rsid w:val="00DD50EE"/>
    <w:rsid w:val="00DE3A5C"/>
    <w:rsid w:val="00E10532"/>
    <w:rsid w:val="00E40794"/>
    <w:rsid w:val="00E43645"/>
    <w:rsid w:val="00E62748"/>
    <w:rsid w:val="00EE7474"/>
    <w:rsid w:val="00F750DC"/>
    <w:rsid w:val="00F7597F"/>
    <w:rsid w:val="00FB2DC1"/>
    <w:rsid w:val="00FC68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B2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color w:val="000000"/>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utoRedefine/>
    <w:uiPriority w:val="9"/>
    <w:qFormat/>
    <w:rsid w:val="00A61A6C"/>
    <w:pPr>
      <w:shd w:val="clear" w:color="auto" w:fill="B4C6E7" w:themeFill="accent1" w:themeFillTint="66"/>
      <w:spacing w:line="360" w:lineRule="auto"/>
      <w:jc w:val="both"/>
      <w:outlineLvl w:val="0"/>
    </w:pPr>
    <w:rPr>
      <w:b/>
      <w:bCs/>
      <w:color w:val="2F5496" w:themeColor="accent1" w:themeShade="BF"/>
      <w:sz w:val="28"/>
    </w:rPr>
  </w:style>
  <w:style w:type="paragraph" w:styleId="Heading2">
    <w:name w:val="heading 2"/>
    <w:autoRedefine/>
    <w:uiPriority w:val="9"/>
    <w:unhideWhenUsed/>
    <w:qFormat/>
    <w:rsid w:val="00542E66"/>
    <w:pPr>
      <w:numPr>
        <w:ilvl w:val="1"/>
        <w:numId w:val="5"/>
      </w:numPr>
      <w:spacing w:line="360" w:lineRule="auto"/>
      <w:jc w:val="both"/>
      <w:outlineLvl w:val="1"/>
    </w:pPr>
    <w:rPr>
      <w:b/>
      <w:bCs/>
      <w:color w:val="auto"/>
    </w:rPr>
  </w:style>
  <w:style w:type="paragraph" w:styleId="Heading3">
    <w:name w:val="heading 3"/>
    <w:uiPriority w:val="9"/>
    <w:unhideWhenUsed/>
    <w:qFormat/>
    <w:pPr>
      <w:numPr>
        <w:ilvl w:val="2"/>
        <w:numId w:val="5"/>
      </w:numPr>
      <w:spacing w:before="180" w:after="80"/>
      <w:outlineLvl w:val="2"/>
    </w:pPr>
    <w:rPr>
      <w:b/>
      <w:bCs/>
      <w:color w:val="2E5590"/>
      <w:sz w:val="26"/>
      <w:szCs w:val="26"/>
    </w:rPr>
  </w:style>
  <w:style w:type="paragraph" w:styleId="Heading4">
    <w:name w:val="heading 4"/>
    <w:uiPriority w:val="9"/>
    <w:semiHidden/>
    <w:unhideWhenUsed/>
    <w:qFormat/>
    <w:pPr>
      <w:numPr>
        <w:ilvl w:val="3"/>
        <w:numId w:val="5"/>
      </w:numPr>
      <w:outlineLvl w:val="3"/>
    </w:pPr>
    <w:rPr>
      <w:i/>
      <w:iCs/>
      <w:color w:val="2E74B5"/>
    </w:rPr>
  </w:style>
  <w:style w:type="paragraph" w:styleId="Heading5">
    <w:name w:val="heading 5"/>
    <w:uiPriority w:val="9"/>
    <w:semiHidden/>
    <w:unhideWhenUsed/>
    <w:qFormat/>
    <w:pPr>
      <w:numPr>
        <w:ilvl w:val="4"/>
        <w:numId w:val="5"/>
      </w:numPr>
      <w:outlineLvl w:val="4"/>
    </w:pPr>
    <w:rPr>
      <w:color w:val="2E74B5"/>
    </w:rPr>
  </w:style>
  <w:style w:type="paragraph" w:styleId="Heading6">
    <w:name w:val="heading 6"/>
    <w:uiPriority w:val="9"/>
    <w:semiHidden/>
    <w:unhideWhenUsed/>
    <w:qFormat/>
    <w:pPr>
      <w:numPr>
        <w:ilvl w:val="5"/>
        <w:numId w:val="5"/>
      </w:numPr>
      <w:outlineLvl w:val="5"/>
    </w:pPr>
    <w:rPr>
      <w:color w:val="1F4D78"/>
    </w:rPr>
  </w:style>
  <w:style w:type="paragraph" w:styleId="Heading7">
    <w:name w:val="heading 7"/>
    <w:basedOn w:val="Normal"/>
    <w:next w:val="Normal"/>
    <w:link w:val="Heading7Char"/>
    <w:uiPriority w:val="9"/>
    <w:semiHidden/>
    <w:unhideWhenUsed/>
    <w:qFormat/>
    <w:rsid w:val="0050314C"/>
    <w:pPr>
      <w:keepNext/>
      <w:keepLines/>
      <w:numPr>
        <w:ilvl w:val="6"/>
        <w:numId w:val="5"/>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0314C"/>
    <w:pPr>
      <w:keepNext/>
      <w:keepLines/>
      <w:numPr>
        <w:ilvl w:val="7"/>
        <w:numId w:val="5"/>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0314C"/>
    <w:pPr>
      <w:keepNext/>
      <w:keepLines/>
      <w:numPr>
        <w:ilvl w:val="8"/>
        <w:numId w:val="5"/>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utoRedefine/>
    <w:uiPriority w:val="10"/>
    <w:qFormat/>
    <w:rsid w:val="0092044D"/>
    <w:rPr>
      <w:sz w:val="32"/>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Caption">
    <w:name w:val="caption"/>
    <w:basedOn w:val="Normal"/>
    <w:next w:val="Normal"/>
    <w:uiPriority w:val="35"/>
    <w:unhideWhenUsed/>
    <w:qFormat/>
    <w:rsid w:val="00071F1F"/>
    <w:pPr>
      <w:spacing w:after="200"/>
    </w:pPr>
    <w:rPr>
      <w:i/>
      <w:iCs/>
      <w:color w:val="44546A" w:themeColor="text2"/>
      <w:sz w:val="18"/>
      <w:szCs w:val="18"/>
    </w:rPr>
  </w:style>
  <w:style w:type="paragraph" w:styleId="TOCHeading">
    <w:name w:val="TOC Heading"/>
    <w:basedOn w:val="Heading1"/>
    <w:next w:val="Normal"/>
    <w:uiPriority w:val="39"/>
    <w:unhideWhenUsed/>
    <w:qFormat/>
    <w:rsid w:val="00570DC0"/>
    <w:pPr>
      <w:keepNext/>
      <w:keepLines/>
      <w:spacing w:before="240" w:line="259" w:lineRule="auto"/>
      <w:jc w:val="left"/>
      <w:outlineLvl w:val="9"/>
    </w:pPr>
    <w:rPr>
      <w:rFonts w:asciiTheme="majorHAnsi" w:eastAsiaTheme="majorEastAsia" w:hAnsiTheme="majorHAnsi" w:cstheme="majorBidi"/>
      <w:b w:val="0"/>
      <w:bCs w:val="0"/>
      <w:sz w:val="32"/>
      <w:szCs w:val="32"/>
    </w:rPr>
  </w:style>
  <w:style w:type="paragraph" w:styleId="TOC1">
    <w:name w:val="toc 1"/>
    <w:basedOn w:val="Normal"/>
    <w:next w:val="Normal"/>
    <w:autoRedefine/>
    <w:uiPriority w:val="39"/>
    <w:unhideWhenUsed/>
    <w:rsid w:val="00570DC0"/>
    <w:pPr>
      <w:spacing w:after="100"/>
    </w:pPr>
  </w:style>
  <w:style w:type="paragraph" w:styleId="TOC2">
    <w:name w:val="toc 2"/>
    <w:basedOn w:val="Normal"/>
    <w:next w:val="Normal"/>
    <w:autoRedefine/>
    <w:uiPriority w:val="39"/>
    <w:unhideWhenUsed/>
    <w:rsid w:val="00570DC0"/>
    <w:pPr>
      <w:spacing w:after="100"/>
      <w:ind w:left="240"/>
    </w:pPr>
  </w:style>
  <w:style w:type="paragraph" w:styleId="TOC3">
    <w:name w:val="toc 3"/>
    <w:basedOn w:val="Normal"/>
    <w:next w:val="Normal"/>
    <w:autoRedefine/>
    <w:uiPriority w:val="39"/>
    <w:unhideWhenUsed/>
    <w:rsid w:val="00570DC0"/>
    <w:pPr>
      <w:spacing w:after="100"/>
      <w:ind w:left="480"/>
    </w:pPr>
  </w:style>
  <w:style w:type="character" w:customStyle="1" w:styleId="Heading7Char">
    <w:name w:val="Heading 7 Char"/>
    <w:basedOn w:val="DefaultParagraphFont"/>
    <w:link w:val="Heading7"/>
    <w:uiPriority w:val="9"/>
    <w:semiHidden/>
    <w:rsid w:val="0050314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0314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0314C"/>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2900DB"/>
    <w:pPr>
      <w:tabs>
        <w:tab w:val="center" w:pos="4680"/>
        <w:tab w:val="right" w:pos="9360"/>
      </w:tabs>
    </w:pPr>
  </w:style>
  <w:style w:type="character" w:customStyle="1" w:styleId="HeaderChar">
    <w:name w:val="Header Char"/>
    <w:basedOn w:val="DefaultParagraphFont"/>
    <w:link w:val="Header"/>
    <w:uiPriority w:val="99"/>
    <w:rsid w:val="002900DB"/>
  </w:style>
  <w:style w:type="paragraph" w:styleId="Footer">
    <w:name w:val="footer"/>
    <w:basedOn w:val="Normal"/>
    <w:link w:val="FooterChar"/>
    <w:uiPriority w:val="99"/>
    <w:unhideWhenUsed/>
    <w:rsid w:val="002900DB"/>
    <w:pPr>
      <w:tabs>
        <w:tab w:val="center" w:pos="4680"/>
        <w:tab w:val="right" w:pos="9360"/>
      </w:tabs>
    </w:pPr>
  </w:style>
  <w:style w:type="character" w:customStyle="1" w:styleId="FooterChar">
    <w:name w:val="Footer Char"/>
    <w:basedOn w:val="DefaultParagraphFont"/>
    <w:link w:val="Footer"/>
    <w:uiPriority w:val="99"/>
    <w:rsid w:val="002900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4C4F15-2E54-4ECC-AB11-79857EE0F1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7900</Words>
  <Characters>45035</Characters>
  <Application>Microsoft Office Word</Application>
  <DocSecurity>0</DocSecurity>
  <Lines>375</Lines>
  <Paragraphs>105</Paragraphs>
  <ScaleCrop>false</ScaleCrop>
  <Company/>
  <LinksUpToDate>false</LinksUpToDate>
  <CharactersWithSpaces>52830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2026-04-26T19:58:00Z</dcterms:created>
  <dcterms:modified xsi:type="dcterms:W3CDTF">2026-04-27T09:50:00Z</dcterms:modified>
</cp:coreProperties>
</file>