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E276AA" w14:textId="77777777" w:rsidR="001A4401" w:rsidRDefault="001A4401" w:rsidP="001A4401">
      <w:pPr>
        <w:spacing w:after="160" w:line="360" w:lineRule="auto"/>
        <w:jc w:val="both"/>
        <w:rPr>
          <w:rFonts w:eastAsia="Arial"/>
          <w:b/>
          <w:bCs/>
        </w:rPr>
      </w:pPr>
    </w:p>
    <w:p w14:paraId="678809AA" w14:textId="68E7B8D0" w:rsidR="001A4401" w:rsidRDefault="001A4401" w:rsidP="001A4401">
      <w:pPr>
        <w:spacing w:after="160" w:line="360" w:lineRule="auto"/>
        <w:jc w:val="both"/>
        <w:rPr>
          <w:rFonts w:eastAsia="Arial"/>
          <w:b/>
          <w:bCs/>
        </w:rPr>
      </w:pPr>
      <w:r>
        <w:rPr>
          <w:rFonts w:ascii="Arial" w:eastAsia="Arial" w:hAnsi="Arial" w:cs="Arial"/>
          <w:noProof/>
        </w:rPr>
        <w:drawing>
          <wp:anchor distT="57150" distB="57150" distL="57150" distR="57150" simplePos="0" relativeHeight="251659264" behindDoc="0" locked="0" layoutInCell="1" allowOverlap="1" wp14:anchorId="1CA9FFA5" wp14:editId="40C12EFD">
            <wp:simplePos x="0" y="0"/>
            <wp:positionH relativeFrom="column">
              <wp:posOffset>0</wp:posOffset>
            </wp:positionH>
            <wp:positionV relativeFrom="line">
              <wp:posOffset>427990</wp:posOffset>
            </wp:positionV>
            <wp:extent cx="1809750" cy="723900"/>
            <wp:effectExtent l="0" t="0" r="0" b="0"/>
            <wp:wrapSquare wrapText="bothSides" distT="57150" distB="57150" distL="57150" distR="57150"/>
            <wp:docPr id="1073741825" name="officeArt object"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073741825" name="Discover University of Wales Trinity Saint David" descr="Discover University of Wales Trinity Saint David"/>
                    <pic:cNvPicPr>
                      <a:picLocks noChangeAspect="1"/>
                    </pic:cNvPicPr>
                  </pic:nvPicPr>
                  <pic:blipFill>
                    <a:blip r:embed="rId8"/>
                    <a:stretch>
                      <a:fillRect/>
                    </a:stretch>
                  </pic:blipFill>
                  <pic:spPr>
                    <a:xfrm>
                      <a:off x="0" y="0"/>
                      <a:ext cx="1809750" cy="723900"/>
                    </a:xfrm>
                    <a:prstGeom prst="rect">
                      <a:avLst/>
                    </a:prstGeom>
                    <a:ln w="12700" cap="flat">
                      <a:noFill/>
                      <a:miter lim="400000"/>
                    </a:ln>
                    <a:effectLst/>
                  </pic:spPr>
                </pic:pic>
              </a:graphicData>
            </a:graphic>
          </wp:anchor>
        </w:drawing>
      </w:r>
    </w:p>
    <w:p w14:paraId="06C5019B" w14:textId="77777777" w:rsidR="001A4401" w:rsidRDefault="001A4401" w:rsidP="001A4401">
      <w:pPr>
        <w:spacing w:after="160" w:line="360" w:lineRule="auto"/>
        <w:jc w:val="both"/>
        <w:rPr>
          <w:rFonts w:eastAsia="Arial"/>
          <w:b/>
          <w:bCs/>
        </w:rPr>
      </w:pPr>
    </w:p>
    <w:p w14:paraId="50ADD1B6" w14:textId="77777777" w:rsidR="001A4401" w:rsidRDefault="001A4401" w:rsidP="001A4401">
      <w:pPr>
        <w:spacing w:after="160" w:line="360" w:lineRule="auto"/>
        <w:jc w:val="both"/>
        <w:rPr>
          <w:rFonts w:eastAsia="Arial"/>
          <w:b/>
          <w:bCs/>
        </w:rPr>
      </w:pPr>
    </w:p>
    <w:p w14:paraId="0B919D3C" w14:textId="77777777" w:rsidR="001A4401" w:rsidRDefault="001A4401" w:rsidP="001A4401">
      <w:pPr>
        <w:spacing w:after="160" w:line="360" w:lineRule="auto"/>
        <w:jc w:val="both"/>
        <w:rPr>
          <w:rFonts w:eastAsia="Arial"/>
          <w:b/>
          <w:bCs/>
        </w:rPr>
      </w:pPr>
    </w:p>
    <w:p w14:paraId="64C6723A" w14:textId="77777777" w:rsidR="001A4401" w:rsidRDefault="001A4401" w:rsidP="001A4401">
      <w:pPr>
        <w:spacing w:after="160" w:line="360" w:lineRule="auto"/>
        <w:jc w:val="both"/>
        <w:rPr>
          <w:rFonts w:eastAsia="Arial"/>
          <w:b/>
          <w:bCs/>
        </w:rPr>
      </w:pPr>
    </w:p>
    <w:p w14:paraId="55E90036" w14:textId="77777777" w:rsidR="001A4401" w:rsidRPr="00A133B6" w:rsidRDefault="001A4401" w:rsidP="001A4401">
      <w:pPr>
        <w:spacing w:after="160" w:line="360" w:lineRule="auto"/>
        <w:jc w:val="both"/>
        <w:rPr>
          <w:b/>
          <w:bCs/>
          <w:sz w:val="28"/>
          <w:szCs w:val="28"/>
        </w:rPr>
      </w:pPr>
      <w:r w:rsidRPr="00A133B6">
        <w:rPr>
          <w:rFonts w:eastAsia="Arial"/>
          <w:b/>
          <w:bCs/>
          <w:sz w:val="28"/>
          <w:szCs w:val="28"/>
        </w:rPr>
        <w:t>Module: Global Business Challenges (BMMB7006)</w:t>
      </w:r>
    </w:p>
    <w:p w14:paraId="66B9F55A" w14:textId="5F9A7651" w:rsidR="001A4401" w:rsidRPr="00A133B6" w:rsidRDefault="001A4401" w:rsidP="001A4401">
      <w:pPr>
        <w:spacing w:after="160" w:line="360" w:lineRule="auto"/>
        <w:jc w:val="both"/>
        <w:rPr>
          <w:b/>
          <w:bCs/>
          <w:sz w:val="28"/>
          <w:szCs w:val="28"/>
        </w:rPr>
      </w:pPr>
      <w:proofErr w:type="spellStart"/>
      <w:r w:rsidRPr="00A133B6">
        <w:rPr>
          <w:rFonts w:eastAsia="Arial"/>
          <w:b/>
          <w:bCs/>
          <w:sz w:val="28"/>
          <w:szCs w:val="28"/>
        </w:rPr>
        <w:t>Programme</w:t>
      </w:r>
      <w:proofErr w:type="spellEnd"/>
      <w:r w:rsidRPr="00A133B6">
        <w:rPr>
          <w:rFonts w:eastAsia="Arial"/>
          <w:b/>
          <w:bCs/>
          <w:sz w:val="28"/>
          <w:szCs w:val="28"/>
        </w:rPr>
        <w:t>: MBA</w:t>
      </w:r>
    </w:p>
    <w:p w14:paraId="58217628" w14:textId="4761A56E" w:rsidR="001A4401" w:rsidRPr="00A133B6" w:rsidRDefault="001A4401" w:rsidP="001A4401">
      <w:pPr>
        <w:spacing w:after="160" w:line="360" w:lineRule="auto"/>
        <w:jc w:val="both"/>
        <w:rPr>
          <w:rFonts w:eastAsia="Arial"/>
          <w:b/>
          <w:bCs/>
          <w:sz w:val="28"/>
          <w:szCs w:val="28"/>
        </w:rPr>
      </w:pPr>
    </w:p>
    <w:p w14:paraId="7A47E19B" w14:textId="77777777" w:rsidR="00A133B6" w:rsidRPr="00A133B6" w:rsidRDefault="001A4401" w:rsidP="00A133B6">
      <w:pPr>
        <w:spacing w:after="160" w:line="360" w:lineRule="auto"/>
        <w:jc w:val="both"/>
        <w:rPr>
          <w:rFonts w:eastAsia="Arial"/>
          <w:b/>
          <w:bCs/>
          <w:sz w:val="28"/>
          <w:szCs w:val="28"/>
        </w:rPr>
      </w:pPr>
      <w:r w:rsidRPr="00A133B6">
        <w:rPr>
          <w:rFonts w:eastAsia="Arial"/>
          <w:b/>
          <w:bCs/>
          <w:sz w:val="28"/>
          <w:szCs w:val="28"/>
        </w:rPr>
        <w:t>Student Name:</w:t>
      </w:r>
      <w:r w:rsidR="00A133B6">
        <w:rPr>
          <w:rFonts w:eastAsia="Arial"/>
          <w:b/>
          <w:bCs/>
          <w:sz w:val="28"/>
          <w:szCs w:val="28"/>
        </w:rPr>
        <w:t xml:space="preserve"> </w:t>
      </w:r>
      <w:proofErr w:type="spellStart"/>
      <w:r w:rsidR="00A133B6" w:rsidRPr="00A133B6">
        <w:rPr>
          <w:rFonts w:eastAsia="Arial"/>
          <w:b/>
          <w:bCs/>
          <w:sz w:val="28"/>
          <w:szCs w:val="28"/>
        </w:rPr>
        <w:t>Mahbuba</w:t>
      </w:r>
      <w:proofErr w:type="spellEnd"/>
      <w:r w:rsidR="00A133B6" w:rsidRPr="00A133B6">
        <w:rPr>
          <w:rFonts w:eastAsia="Arial"/>
          <w:b/>
          <w:bCs/>
          <w:sz w:val="28"/>
          <w:szCs w:val="28"/>
        </w:rPr>
        <w:t xml:space="preserve"> </w:t>
      </w:r>
      <w:proofErr w:type="spellStart"/>
      <w:r w:rsidR="00A133B6" w:rsidRPr="00A133B6">
        <w:rPr>
          <w:rFonts w:eastAsia="Arial"/>
          <w:b/>
          <w:bCs/>
          <w:sz w:val="28"/>
          <w:szCs w:val="28"/>
        </w:rPr>
        <w:t>Akter</w:t>
      </w:r>
      <w:proofErr w:type="spellEnd"/>
      <w:r w:rsidR="00A133B6" w:rsidRPr="00A133B6">
        <w:rPr>
          <w:rFonts w:eastAsia="Arial"/>
          <w:b/>
          <w:bCs/>
          <w:sz w:val="28"/>
          <w:szCs w:val="28"/>
        </w:rPr>
        <w:t xml:space="preserve"> </w:t>
      </w:r>
      <w:proofErr w:type="spellStart"/>
      <w:r w:rsidR="00A133B6" w:rsidRPr="00A133B6">
        <w:rPr>
          <w:rFonts w:eastAsia="Arial"/>
          <w:b/>
          <w:bCs/>
          <w:sz w:val="28"/>
          <w:szCs w:val="28"/>
        </w:rPr>
        <w:t>Baly</w:t>
      </w:r>
      <w:proofErr w:type="spellEnd"/>
      <w:r w:rsidR="00A133B6" w:rsidRPr="00A133B6">
        <w:rPr>
          <w:rFonts w:eastAsia="Arial"/>
          <w:b/>
          <w:bCs/>
          <w:sz w:val="28"/>
          <w:szCs w:val="28"/>
        </w:rPr>
        <w:t xml:space="preserve"> </w:t>
      </w:r>
    </w:p>
    <w:p w14:paraId="76471400" w14:textId="149B27CB" w:rsidR="001A4401" w:rsidRPr="00A133B6" w:rsidRDefault="001A4401" w:rsidP="001A4401">
      <w:pPr>
        <w:spacing w:after="160" w:line="360" w:lineRule="auto"/>
        <w:jc w:val="both"/>
        <w:rPr>
          <w:rFonts w:eastAsia="Arial"/>
          <w:b/>
          <w:bCs/>
          <w:sz w:val="28"/>
          <w:szCs w:val="28"/>
        </w:rPr>
      </w:pPr>
      <w:r w:rsidRPr="00A133B6">
        <w:rPr>
          <w:rFonts w:eastAsia="Arial"/>
          <w:b/>
          <w:bCs/>
          <w:sz w:val="28"/>
          <w:szCs w:val="28"/>
        </w:rPr>
        <w:t>Student ID:</w:t>
      </w:r>
      <w:r w:rsidR="00A133B6">
        <w:rPr>
          <w:rFonts w:eastAsia="Arial"/>
          <w:b/>
          <w:bCs/>
          <w:sz w:val="28"/>
          <w:szCs w:val="28"/>
        </w:rPr>
        <w:t xml:space="preserve"> </w:t>
      </w:r>
      <w:r w:rsidR="00A133B6" w:rsidRPr="00A133B6">
        <w:rPr>
          <w:rFonts w:eastAsia="Arial"/>
          <w:b/>
          <w:bCs/>
          <w:sz w:val="28"/>
          <w:szCs w:val="28"/>
        </w:rPr>
        <w:t>2514693</w:t>
      </w:r>
    </w:p>
    <w:p w14:paraId="452D095E" w14:textId="77777777" w:rsidR="00A133B6" w:rsidRDefault="00A133B6" w:rsidP="001A4401">
      <w:pPr>
        <w:spacing w:after="160" w:line="360" w:lineRule="auto"/>
        <w:jc w:val="both"/>
        <w:rPr>
          <w:rFonts w:eastAsia="Arial"/>
          <w:b/>
          <w:bCs/>
          <w:sz w:val="28"/>
          <w:szCs w:val="28"/>
        </w:rPr>
      </w:pPr>
    </w:p>
    <w:p w14:paraId="3B8A932B" w14:textId="77777777" w:rsidR="00A133B6" w:rsidRDefault="00A133B6" w:rsidP="001A4401">
      <w:pPr>
        <w:spacing w:after="160" w:line="360" w:lineRule="auto"/>
        <w:jc w:val="both"/>
        <w:rPr>
          <w:rFonts w:eastAsia="Arial"/>
          <w:b/>
          <w:bCs/>
          <w:sz w:val="28"/>
          <w:szCs w:val="28"/>
        </w:rPr>
      </w:pPr>
    </w:p>
    <w:p w14:paraId="40DE9A71" w14:textId="6BCD3C2E" w:rsidR="0066666F" w:rsidRPr="00A133B6" w:rsidRDefault="008A7182" w:rsidP="001A4401">
      <w:pPr>
        <w:spacing w:after="160" w:line="360" w:lineRule="auto"/>
        <w:jc w:val="both"/>
        <w:rPr>
          <w:b/>
          <w:bCs/>
          <w:sz w:val="28"/>
          <w:szCs w:val="28"/>
        </w:rPr>
      </w:pPr>
      <w:r w:rsidRPr="00A133B6">
        <w:rPr>
          <w:rFonts w:eastAsia="Arial"/>
          <w:b/>
          <w:bCs/>
          <w:sz w:val="28"/>
          <w:szCs w:val="28"/>
        </w:rPr>
        <w:t>AI’s Impact on Risk Management for GlaxoSmithKline (GSK)</w:t>
      </w:r>
    </w:p>
    <w:p w14:paraId="36D7B0C6" w14:textId="53002813" w:rsidR="0066666F" w:rsidRPr="00A133B6" w:rsidRDefault="008A7182" w:rsidP="001A4401">
      <w:pPr>
        <w:spacing w:after="160" w:line="360" w:lineRule="auto"/>
        <w:jc w:val="both"/>
        <w:rPr>
          <w:b/>
          <w:bCs/>
          <w:sz w:val="28"/>
          <w:szCs w:val="28"/>
        </w:rPr>
      </w:pPr>
      <w:r w:rsidRPr="00A133B6">
        <w:rPr>
          <w:rFonts w:eastAsia="Arial"/>
          <w:b/>
          <w:bCs/>
          <w:sz w:val="28"/>
          <w:szCs w:val="28"/>
        </w:rPr>
        <w:t>Organization: GlaxoSmithKline (GSK)</w:t>
      </w:r>
    </w:p>
    <w:p w14:paraId="7BB8920E" w14:textId="72C82070" w:rsidR="001A4401" w:rsidRDefault="001A4401" w:rsidP="001A4401">
      <w:pPr>
        <w:spacing w:after="160" w:line="360" w:lineRule="auto"/>
        <w:jc w:val="both"/>
        <w:rPr>
          <w:rFonts w:eastAsia="Arial"/>
        </w:rPr>
      </w:pPr>
    </w:p>
    <w:p w14:paraId="2F0CAA16" w14:textId="248BBB4B" w:rsidR="001A4401" w:rsidRDefault="001A4401" w:rsidP="001A4401">
      <w:pPr>
        <w:spacing w:after="160" w:line="360" w:lineRule="auto"/>
        <w:jc w:val="both"/>
      </w:pPr>
    </w:p>
    <w:p w14:paraId="1F9D0530" w14:textId="65DCCD37" w:rsidR="001A4401" w:rsidRDefault="001A4401" w:rsidP="001A4401">
      <w:pPr>
        <w:spacing w:after="160" w:line="360" w:lineRule="auto"/>
        <w:jc w:val="both"/>
      </w:pPr>
    </w:p>
    <w:p w14:paraId="62B99B75" w14:textId="058DC79A" w:rsidR="001A4401" w:rsidRDefault="001A4401" w:rsidP="001A4401">
      <w:pPr>
        <w:spacing w:after="160" w:line="360" w:lineRule="auto"/>
      </w:pPr>
      <w:r>
        <w:br w:type="page"/>
      </w:r>
    </w:p>
    <w:p w14:paraId="2B2F083B" w14:textId="465B9C7F" w:rsidR="001A4401" w:rsidRDefault="001A4401" w:rsidP="001A4401">
      <w:pPr>
        <w:spacing w:after="160" w:line="360" w:lineRule="auto"/>
        <w:jc w:val="both"/>
      </w:pPr>
    </w:p>
    <w:p w14:paraId="7DA3FAC2" w14:textId="77777777" w:rsidR="001A4401" w:rsidRPr="005F27D2" w:rsidRDefault="001A4401" w:rsidP="001A4401">
      <w:pPr>
        <w:pStyle w:val="Heading1"/>
        <w:spacing w:after="160"/>
        <w:jc w:val="center"/>
        <w:rPr>
          <w:rFonts w:cs="Times New Roman"/>
          <w:color w:val="auto"/>
          <w:szCs w:val="24"/>
        </w:rPr>
      </w:pPr>
      <w:bookmarkStart w:id="0" w:name="_Toc228140453"/>
      <w:r w:rsidRPr="005F27D2">
        <w:rPr>
          <w:rFonts w:cs="Times New Roman"/>
          <w:color w:val="auto"/>
          <w:szCs w:val="24"/>
        </w:rPr>
        <w:t>EXECUTIVE SUMMARY</w:t>
      </w:r>
      <w:bookmarkEnd w:id="0"/>
    </w:p>
    <w:p w14:paraId="16D7F265" w14:textId="77777777" w:rsidR="001A4401" w:rsidRPr="005F27D2" w:rsidRDefault="001A4401" w:rsidP="001A4401">
      <w:pPr>
        <w:spacing w:after="160" w:line="360" w:lineRule="auto"/>
        <w:jc w:val="both"/>
      </w:pPr>
      <w:r w:rsidRPr="005F27D2">
        <w:t xml:space="preserve">This advisory was commissioned by GlaxoSmithKline (GSK) through RFD Global and focuses on the radical effect of Artificial Intelligence (AI) on risk management in the pharmaceutical industry. GSK, as one of the largest biopharmaceutical </w:t>
      </w:r>
      <w:proofErr w:type="spellStart"/>
      <w:r w:rsidRPr="005F27D2">
        <w:t>organisations</w:t>
      </w:r>
      <w:proofErr w:type="spellEnd"/>
      <w:r w:rsidRPr="005F27D2">
        <w:t xml:space="preserve"> in the world, is at a critical nexus point where technological innovation, regulatory scrutiny and patient safety meet. The accelerated development of AI in drug discovery, clinical operations, supply chain management, pharmacovigilance, and customer engagement </w:t>
      </w:r>
      <w:proofErr w:type="gramStart"/>
      <w:r w:rsidRPr="005F27D2">
        <w:t>requires</w:t>
      </w:r>
      <w:proofErr w:type="gramEnd"/>
      <w:r w:rsidRPr="005F27D2">
        <w:t xml:space="preserve"> a holistic approach to addressing the accompanying risks, which is future-proof. </w:t>
      </w:r>
    </w:p>
    <w:p w14:paraId="757AC15D" w14:textId="77777777" w:rsidR="001A4401" w:rsidRPr="005F27D2" w:rsidRDefault="001A4401" w:rsidP="001A4401">
      <w:pPr>
        <w:spacing w:after="160" w:line="360" w:lineRule="auto"/>
        <w:jc w:val="both"/>
      </w:pPr>
      <w:r w:rsidRPr="005F27D2">
        <w:t xml:space="preserve">The present report examines the political, technological, and regulatory shifts that define the operating environment of GSK with a major emphasis on the United Kingdom and the European Union as the two jurisdictions of interest. It illustrates that although AI offers truly remarkable opportunities to speed up innovation and increase its operational efficiency, it also poses multifaceted and dynamic risks associated with data regulation, algorithmic biasness, regulatory violations, and reputational harm. </w:t>
      </w:r>
    </w:p>
    <w:p w14:paraId="0159013A" w14:textId="77777777" w:rsidR="001A4401" w:rsidRPr="005F27D2" w:rsidRDefault="001A4401" w:rsidP="001A4401">
      <w:pPr>
        <w:spacing w:after="160" w:line="360" w:lineRule="auto"/>
        <w:jc w:val="both"/>
      </w:pPr>
      <w:r w:rsidRPr="005F27D2">
        <w:t xml:space="preserve">As a result of this report, key findings were: (1) the principles-based governance framework of AI, anchored by the ICO and informed by the National AI Strategy (DSIT, 2023), provides GSK with a certain level of operational flexibility, but presents uncertainty in comparison with the EU's prescriptive AI Act (European Parliament, 2024); (2) data governance failures are the single most major operational and reputational risk of GSK in the implementation of AI; (3) the use of AI ethically, especially, transparency, fairness. </w:t>
      </w:r>
    </w:p>
    <w:p w14:paraId="4E90CC09" w14:textId="77777777" w:rsidR="001A4401" w:rsidRPr="005F27D2" w:rsidRDefault="001A4401" w:rsidP="001A4401">
      <w:pPr>
        <w:spacing w:after="160" w:line="360" w:lineRule="auto"/>
        <w:jc w:val="both"/>
      </w:pPr>
      <w:r w:rsidRPr="005F27D2">
        <w:t>A comprehensive implementation plan finishes off the report, giving GSK future-proofed recommendations to manage risks related to AI and leverage competitive advantage. These suggestions include governance reorganization, regulatory harmonization, ethical AI models, workforce planning and tactics of stakeholder notification. The ultimate goal is to make GSK a world leader in responsible use of AI - to gain long-term trust among patients, regulators, investors, and general people.</w:t>
      </w:r>
    </w:p>
    <w:p w14:paraId="23F0576E" w14:textId="77777777" w:rsidR="001A4401" w:rsidRPr="005F27D2" w:rsidRDefault="001A4401" w:rsidP="001A4401">
      <w:pPr>
        <w:spacing w:after="160" w:line="360" w:lineRule="auto"/>
        <w:jc w:val="both"/>
      </w:pPr>
      <w:r w:rsidRPr="005F27D2">
        <w:br w:type="page"/>
      </w:r>
    </w:p>
    <w:p w14:paraId="2F4033A9" w14:textId="6536EC22" w:rsidR="0066666F" w:rsidRPr="005F27D2" w:rsidRDefault="0066666F" w:rsidP="001A4401">
      <w:pPr>
        <w:spacing w:after="160" w:line="360" w:lineRule="auto"/>
        <w:jc w:val="both"/>
      </w:pPr>
    </w:p>
    <w:sdt>
      <w:sdtPr>
        <w:rPr>
          <w:rFonts w:ascii="Times New Roman" w:eastAsia="Times New Roman" w:hAnsi="Times New Roman" w:cs="Times New Roman"/>
          <w:color w:val="auto"/>
          <w:sz w:val="24"/>
          <w:szCs w:val="24"/>
        </w:rPr>
        <w:id w:val="1892992134"/>
        <w:docPartObj>
          <w:docPartGallery w:val="Table of Contents"/>
          <w:docPartUnique/>
        </w:docPartObj>
      </w:sdtPr>
      <w:sdtEndPr>
        <w:rPr>
          <w:noProof/>
        </w:rPr>
      </w:sdtEndPr>
      <w:sdtContent>
        <w:p w14:paraId="0C9C830B" w14:textId="407A8C6F" w:rsidR="008A7182" w:rsidRPr="008A7182" w:rsidRDefault="008A7182" w:rsidP="001A4401">
          <w:pPr>
            <w:pStyle w:val="TOCHeading"/>
            <w:spacing w:before="0" w:after="160" w:line="360" w:lineRule="auto"/>
            <w:rPr>
              <w:rFonts w:ascii="Times New Roman" w:hAnsi="Times New Roman" w:cs="Times New Roman"/>
              <w:b/>
              <w:bCs/>
              <w:color w:val="auto"/>
            </w:rPr>
          </w:pPr>
          <w:r w:rsidRPr="008A7182">
            <w:rPr>
              <w:rFonts w:ascii="Times New Roman" w:hAnsi="Times New Roman" w:cs="Times New Roman"/>
              <w:b/>
              <w:bCs/>
              <w:color w:val="auto"/>
            </w:rPr>
            <w:t>Table of Contents</w:t>
          </w:r>
        </w:p>
        <w:p w14:paraId="498D5272" w14:textId="663296AE" w:rsidR="001A4401" w:rsidRDefault="008A7182" w:rsidP="001A4401">
          <w:pPr>
            <w:pStyle w:val="TOC1"/>
            <w:tabs>
              <w:tab w:val="right" w:leader="dot" w:pos="9196"/>
            </w:tabs>
            <w:spacing w:line="360" w:lineRule="auto"/>
            <w:rPr>
              <w:rFonts w:asciiTheme="minorHAnsi" w:eastAsiaTheme="minorEastAsia" w:hAnsiTheme="minorHAnsi" w:cstheme="minorBidi"/>
              <w:noProof/>
              <w:sz w:val="22"/>
              <w:szCs w:val="22"/>
              <w:lang w:val="en-GB" w:eastAsia="en-GB"/>
            </w:rPr>
          </w:pPr>
          <w:r w:rsidRPr="008A7182">
            <w:fldChar w:fldCharType="begin"/>
          </w:r>
          <w:r w:rsidRPr="008A7182">
            <w:instrText xml:space="preserve"> TOC \o "1-3" \h \z \u </w:instrText>
          </w:r>
          <w:r w:rsidRPr="008A7182">
            <w:fldChar w:fldCharType="separate"/>
          </w:r>
          <w:hyperlink w:anchor="_Toc228140453" w:history="1">
            <w:r w:rsidR="001A4401">
              <w:rPr>
                <w:rStyle w:val="Hyperlink"/>
                <w:noProof/>
              </w:rPr>
              <w:t>E</w:t>
            </w:r>
            <w:r w:rsidR="001A4401" w:rsidRPr="00050898">
              <w:rPr>
                <w:rStyle w:val="Hyperlink"/>
                <w:noProof/>
              </w:rPr>
              <w:t>xecutive Summary</w:t>
            </w:r>
            <w:r w:rsidR="001A4401">
              <w:rPr>
                <w:noProof/>
                <w:webHidden/>
              </w:rPr>
              <w:tab/>
            </w:r>
            <w:r w:rsidR="001A4401">
              <w:rPr>
                <w:noProof/>
                <w:webHidden/>
              </w:rPr>
              <w:fldChar w:fldCharType="begin"/>
            </w:r>
            <w:r w:rsidR="001A4401">
              <w:rPr>
                <w:noProof/>
                <w:webHidden/>
              </w:rPr>
              <w:instrText xml:space="preserve"> PAGEREF _Toc228140453 \h </w:instrText>
            </w:r>
            <w:r w:rsidR="001A4401">
              <w:rPr>
                <w:noProof/>
                <w:webHidden/>
              </w:rPr>
            </w:r>
            <w:r w:rsidR="001A4401">
              <w:rPr>
                <w:noProof/>
                <w:webHidden/>
              </w:rPr>
              <w:fldChar w:fldCharType="separate"/>
            </w:r>
            <w:r w:rsidR="00B619C2">
              <w:rPr>
                <w:noProof/>
                <w:webHidden/>
              </w:rPr>
              <w:t>2</w:t>
            </w:r>
            <w:r w:rsidR="001A4401">
              <w:rPr>
                <w:noProof/>
                <w:webHidden/>
              </w:rPr>
              <w:fldChar w:fldCharType="end"/>
            </w:r>
          </w:hyperlink>
        </w:p>
        <w:p w14:paraId="4DA0B61B" w14:textId="412F93E0" w:rsidR="001A4401" w:rsidRDefault="007A4418" w:rsidP="001A4401">
          <w:pPr>
            <w:pStyle w:val="TOC1"/>
            <w:tabs>
              <w:tab w:val="right" w:leader="dot" w:pos="9196"/>
            </w:tabs>
            <w:spacing w:line="360" w:lineRule="auto"/>
            <w:rPr>
              <w:rFonts w:asciiTheme="minorHAnsi" w:eastAsiaTheme="minorEastAsia" w:hAnsiTheme="minorHAnsi" w:cstheme="minorBidi"/>
              <w:noProof/>
              <w:sz w:val="22"/>
              <w:szCs w:val="22"/>
              <w:lang w:val="en-GB" w:eastAsia="en-GB"/>
            </w:rPr>
          </w:pPr>
          <w:hyperlink w:anchor="_Toc228140454" w:history="1">
            <w:r w:rsidR="001A4401" w:rsidRPr="00050898">
              <w:rPr>
                <w:rStyle w:val="Hyperlink"/>
                <w:noProof/>
              </w:rPr>
              <w:t>1. Introduction</w:t>
            </w:r>
            <w:r w:rsidR="001A4401">
              <w:rPr>
                <w:noProof/>
                <w:webHidden/>
              </w:rPr>
              <w:tab/>
            </w:r>
            <w:r w:rsidR="001A4401">
              <w:rPr>
                <w:noProof/>
                <w:webHidden/>
              </w:rPr>
              <w:fldChar w:fldCharType="begin"/>
            </w:r>
            <w:r w:rsidR="001A4401">
              <w:rPr>
                <w:noProof/>
                <w:webHidden/>
              </w:rPr>
              <w:instrText xml:space="preserve"> PAGEREF _Toc228140454 \h </w:instrText>
            </w:r>
            <w:r w:rsidR="001A4401">
              <w:rPr>
                <w:noProof/>
                <w:webHidden/>
              </w:rPr>
            </w:r>
            <w:r w:rsidR="001A4401">
              <w:rPr>
                <w:noProof/>
                <w:webHidden/>
              </w:rPr>
              <w:fldChar w:fldCharType="separate"/>
            </w:r>
            <w:r w:rsidR="00B619C2">
              <w:rPr>
                <w:noProof/>
                <w:webHidden/>
              </w:rPr>
              <w:t>5</w:t>
            </w:r>
            <w:r w:rsidR="001A4401">
              <w:rPr>
                <w:noProof/>
                <w:webHidden/>
              </w:rPr>
              <w:fldChar w:fldCharType="end"/>
            </w:r>
          </w:hyperlink>
        </w:p>
        <w:p w14:paraId="297709B8" w14:textId="5A45132F" w:rsidR="001A4401" w:rsidRDefault="007A4418" w:rsidP="001A4401">
          <w:pPr>
            <w:pStyle w:val="TOC2"/>
            <w:tabs>
              <w:tab w:val="right" w:leader="dot" w:pos="9196"/>
            </w:tabs>
            <w:spacing w:line="360" w:lineRule="auto"/>
            <w:rPr>
              <w:rFonts w:asciiTheme="minorHAnsi" w:eastAsiaTheme="minorEastAsia" w:hAnsiTheme="minorHAnsi" w:cstheme="minorBidi"/>
              <w:noProof/>
              <w:sz w:val="22"/>
              <w:szCs w:val="22"/>
              <w:lang w:val="en-GB" w:eastAsia="en-GB"/>
            </w:rPr>
          </w:pPr>
          <w:hyperlink w:anchor="_Toc228140455" w:history="1">
            <w:r w:rsidR="001A4401" w:rsidRPr="00050898">
              <w:rPr>
                <w:rStyle w:val="Hyperlink"/>
                <w:noProof/>
              </w:rPr>
              <w:t>1.1 Background: GlaxoSmithKline (GSK)</w:t>
            </w:r>
            <w:r w:rsidR="001A4401">
              <w:rPr>
                <w:noProof/>
                <w:webHidden/>
              </w:rPr>
              <w:tab/>
            </w:r>
            <w:r w:rsidR="001A4401">
              <w:rPr>
                <w:noProof/>
                <w:webHidden/>
              </w:rPr>
              <w:fldChar w:fldCharType="begin"/>
            </w:r>
            <w:r w:rsidR="001A4401">
              <w:rPr>
                <w:noProof/>
                <w:webHidden/>
              </w:rPr>
              <w:instrText xml:space="preserve"> PAGEREF _Toc228140455 \h </w:instrText>
            </w:r>
            <w:r w:rsidR="001A4401">
              <w:rPr>
                <w:noProof/>
                <w:webHidden/>
              </w:rPr>
            </w:r>
            <w:r w:rsidR="001A4401">
              <w:rPr>
                <w:noProof/>
                <w:webHidden/>
              </w:rPr>
              <w:fldChar w:fldCharType="separate"/>
            </w:r>
            <w:r w:rsidR="00B619C2">
              <w:rPr>
                <w:noProof/>
                <w:webHidden/>
              </w:rPr>
              <w:t>5</w:t>
            </w:r>
            <w:r w:rsidR="001A4401">
              <w:rPr>
                <w:noProof/>
                <w:webHidden/>
              </w:rPr>
              <w:fldChar w:fldCharType="end"/>
            </w:r>
          </w:hyperlink>
        </w:p>
        <w:p w14:paraId="56BC9E80" w14:textId="7510F8CF" w:rsidR="001A4401" w:rsidRDefault="007A4418" w:rsidP="001A4401">
          <w:pPr>
            <w:pStyle w:val="TOC2"/>
            <w:tabs>
              <w:tab w:val="right" w:leader="dot" w:pos="9196"/>
            </w:tabs>
            <w:spacing w:line="360" w:lineRule="auto"/>
            <w:rPr>
              <w:rFonts w:asciiTheme="minorHAnsi" w:eastAsiaTheme="minorEastAsia" w:hAnsiTheme="minorHAnsi" w:cstheme="minorBidi"/>
              <w:noProof/>
              <w:sz w:val="22"/>
              <w:szCs w:val="22"/>
              <w:lang w:val="en-GB" w:eastAsia="en-GB"/>
            </w:rPr>
          </w:pPr>
          <w:hyperlink w:anchor="_Toc228140456" w:history="1">
            <w:r w:rsidR="001A4401" w:rsidRPr="00050898">
              <w:rPr>
                <w:rStyle w:val="Hyperlink"/>
                <w:noProof/>
              </w:rPr>
              <w:t>1.2 Scope and Objective of the Report</w:t>
            </w:r>
            <w:r w:rsidR="001A4401">
              <w:rPr>
                <w:noProof/>
                <w:webHidden/>
              </w:rPr>
              <w:tab/>
            </w:r>
            <w:r w:rsidR="001A4401">
              <w:rPr>
                <w:noProof/>
                <w:webHidden/>
              </w:rPr>
              <w:fldChar w:fldCharType="begin"/>
            </w:r>
            <w:r w:rsidR="001A4401">
              <w:rPr>
                <w:noProof/>
                <w:webHidden/>
              </w:rPr>
              <w:instrText xml:space="preserve"> PAGEREF _Toc228140456 \h </w:instrText>
            </w:r>
            <w:r w:rsidR="001A4401">
              <w:rPr>
                <w:noProof/>
                <w:webHidden/>
              </w:rPr>
            </w:r>
            <w:r w:rsidR="001A4401">
              <w:rPr>
                <w:noProof/>
                <w:webHidden/>
              </w:rPr>
              <w:fldChar w:fldCharType="separate"/>
            </w:r>
            <w:r w:rsidR="00B619C2">
              <w:rPr>
                <w:noProof/>
                <w:webHidden/>
              </w:rPr>
              <w:t>5</w:t>
            </w:r>
            <w:r w:rsidR="001A4401">
              <w:rPr>
                <w:noProof/>
                <w:webHidden/>
              </w:rPr>
              <w:fldChar w:fldCharType="end"/>
            </w:r>
          </w:hyperlink>
        </w:p>
        <w:p w14:paraId="1D19795B" w14:textId="7C820751" w:rsidR="001A4401" w:rsidRDefault="007A4418" w:rsidP="001A4401">
          <w:pPr>
            <w:pStyle w:val="TOC2"/>
            <w:tabs>
              <w:tab w:val="right" w:leader="dot" w:pos="9196"/>
            </w:tabs>
            <w:spacing w:line="360" w:lineRule="auto"/>
            <w:rPr>
              <w:rFonts w:asciiTheme="minorHAnsi" w:eastAsiaTheme="minorEastAsia" w:hAnsiTheme="minorHAnsi" w:cstheme="minorBidi"/>
              <w:noProof/>
              <w:sz w:val="22"/>
              <w:szCs w:val="22"/>
              <w:lang w:val="en-GB" w:eastAsia="en-GB"/>
            </w:rPr>
          </w:pPr>
          <w:hyperlink w:anchor="_Toc228140457" w:history="1">
            <w:r w:rsidR="001A4401" w:rsidRPr="00050898">
              <w:rPr>
                <w:rStyle w:val="Hyperlink"/>
                <w:noProof/>
              </w:rPr>
              <w:t>1.3 Theoretical and Analytical Framework</w:t>
            </w:r>
            <w:r w:rsidR="001A4401">
              <w:rPr>
                <w:noProof/>
                <w:webHidden/>
              </w:rPr>
              <w:tab/>
            </w:r>
            <w:r w:rsidR="001A4401">
              <w:rPr>
                <w:noProof/>
                <w:webHidden/>
              </w:rPr>
              <w:fldChar w:fldCharType="begin"/>
            </w:r>
            <w:r w:rsidR="001A4401">
              <w:rPr>
                <w:noProof/>
                <w:webHidden/>
              </w:rPr>
              <w:instrText xml:space="preserve"> PAGEREF _Toc228140457 \h </w:instrText>
            </w:r>
            <w:r w:rsidR="001A4401">
              <w:rPr>
                <w:noProof/>
                <w:webHidden/>
              </w:rPr>
            </w:r>
            <w:r w:rsidR="001A4401">
              <w:rPr>
                <w:noProof/>
                <w:webHidden/>
              </w:rPr>
              <w:fldChar w:fldCharType="separate"/>
            </w:r>
            <w:r w:rsidR="00B619C2">
              <w:rPr>
                <w:noProof/>
                <w:webHidden/>
              </w:rPr>
              <w:t>6</w:t>
            </w:r>
            <w:r w:rsidR="001A4401">
              <w:rPr>
                <w:noProof/>
                <w:webHidden/>
              </w:rPr>
              <w:fldChar w:fldCharType="end"/>
            </w:r>
          </w:hyperlink>
        </w:p>
        <w:p w14:paraId="75515E43" w14:textId="279E94F7" w:rsidR="001A4401" w:rsidRDefault="007A4418" w:rsidP="001A4401">
          <w:pPr>
            <w:pStyle w:val="TOC1"/>
            <w:tabs>
              <w:tab w:val="right" w:leader="dot" w:pos="9196"/>
            </w:tabs>
            <w:spacing w:line="360" w:lineRule="auto"/>
            <w:rPr>
              <w:rFonts w:asciiTheme="minorHAnsi" w:eastAsiaTheme="minorEastAsia" w:hAnsiTheme="minorHAnsi" w:cstheme="minorBidi"/>
              <w:noProof/>
              <w:sz w:val="22"/>
              <w:szCs w:val="22"/>
              <w:lang w:val="en-GB" w:eastAsia="en-GB"/>
            </w:rPr>
          </w:pPr>
          <w:hyperlink w:anchor="_Toc228140458" w:history="1">
            <w:r w:rsidR="001A4401" w:rsidRPr="00050898">
              <w:rPr>
                <w:rStyle w:val="Hyperlink"/>
                <w:noProof/>
              </w:rPr>
              <w:t>2. The Impact of Political, Technological, and Regulatory Change on GSK</w:t>
            </w:r>
            <w:r w:rsidR="001A4401">
              <w:rPr>
                <w:noProof/>
                <w:webHidden/>
              </w:rPr>
              <w:tab/>
            </w:r>
            <w:r w:rsidR="001A4401">
              <w:rPr>
                <w:noProof/>
                <w:webHidden/>
              </w:rPr>
              <w:fldChar w:fldCharType="begin"/>
            </w:r>
            <w:r w:rsidR="001A4401">
              <w:rPr>
                <w:noProof/>
                <w:webHidden/>
              </w:rPr>
              <w:instrText xml:space="preserve"> PAGEREF _Toc228140458 \h </w:instrText>
            </w:r>
            <w:r w:rsidR="001A4401">
              <w:rPr>
                <w:noProof/>
                <w:webHidden/>
              </w:rPr>
            </w:r>
            <w:r w:rsidR="001A4401">
              <w:rPr>
                <w:noProof/>
                <w:webHidden/>
              </w:rPr>
              <w:fldChar w:fldCharType="separate"/>
            </w:r>
            <w:r w:rsidR="00B619C2">
              <w:rPr>
                <w:noProof/>
                <w:webHidden/>
              </w:rPr>
              <w:t>6</w:t>
            </w:r>
            <w:r w:rsidR="001A4401">
              <w:rPr>
                <w:noProof/>
                <w:webHidden/>
              </w:rPr>
              <w:fldChar w:fldCharType="end"/>
            </w:r>
          </w:hyperlink>
        </w:p>
        <w:p w14:paraId="4D9A381C" w14:textId="7BA968AB" w:rsidR="001A4401" w:rsidRDefault="007A4418" w:rsidP="001A4401">
          <w:pPr>
            <w:pStyle w:val="TOC2"/>
            <w:tabs>
              <w:tab w:val="right" w:leader="dot" w:pos="9196"/>
            </w:tabs>
            <w:spacing w:line="360" w:lineRule="auto"/>
            <w:rPr>
              <w:rFonts w:asciiTheme="minorHAnsi" w:eastAsiaTheme="minorEastAsia" w:hAnsiTheme="minorHAnsi" w:cstheme="minorBidi"/>
              <w:noProof/>
              <w:sz w:val="22"/>
              <w:szCs w:val="22"/>
              <w:lang w:val="en-GB" w:eastAsia="en-GB"/>
            </w:rPr>
          </w:pPr>
          <w:hyperlink w:anchor="_Toc228140459" w:history="1">
            <w:r w:rsidR="001A4401" w:rsidRPr="00050898">
              <w:rPr>
                <w:rStyle w:val="Hyperlink"/>
                <w:noProof/>
              </w:rPr>
              <w:t>2.1 Political Change and AI Strategy</w:t>
            </w:r>
            <w:r w:rsidR="001A4401">
              <w:rPr>
                <w:noProof/>
                <w:webHidden/>
              </w:rPr>
              <w:tab/>
            </w:r>
            <w:r w:rsidR="001A4401">
              <w:rPr>
                <w:noProof/>
                <w:webHidden/>
              </w:rPr>
              <w:fldChar w:fldCharType="begin"/>
            </w:r>
            <w:r w:rsidR="001A4401">
              <w:rPr>
                <w:noProof/>
                <w:webHidden/>
              </w:rPr>
              <w:instrText xml:space="preserve"> PAGEREF _Toc228140459 \h </w:instrText>
            </w:r>
            <w:r w:rsidR="001A4401">
              <w:rPr>
                <w:noProof/>
                <w:webHidden/>
              </w:rPr>
            </w:r>
            <w:r w:rsidR="001A4401">
              <w:rPr>
                <w:noProof/>
                <w:webHidden/>
              </w:rPr>
              <w:fldChar w:fldCharType="separate"/>
            </w:r>
            <w:r w:rsidR="00B619C2">
              <w:rPr>
                <w:noProof/>
                <w:webHidden/>
              </w:rPr>
              <w:t>6</w:t>
            </w:r>
            <w:r w:rsidR="001A4401">
              <w:rPr>
                <w:noProof/>
                <w:webHidden/>
              </w:rPr>
              <w:fldChar w:fldCharType="end"/>
            </w:r>
          </w:hyperlink>
        </w:p>
        <w:p w14:paraId="3067691B" w14:textId="7410FC51" w:rsidR="001A4401" w:rsidRDefault="007A4418" w:rsidP="001A4401">
          <w:pPr>
            <w:pStyle w:val="TOC2"/>
            <w:tabs>
              <w:tab w:val="right" w:leader="dot" w:pos="9196"/>
            </w:tabs>
            <w:spacing w:line="360" w:lineRule="auto"/>
            <w:rPr>
              <w:rFonts w:asciiTheme="minorHAnsi" w:eastAsiaTheme="minorEastAsia" w:hAnsiTheme="minorHAnsi" w:cstheme="minorBidi"/>
              <w:noProof/>
              <w:sz w:val="22"/>
              <w:szCs w:val="22"/>
              <w:lang w:val="en-GB" w:eastAsia="en-GB"/>
            </w:rPr>
          </w:pPr>
          <w:hyperlink w:anchor="_Toc228140460" w:history="1">
            <w:r w:rsidR="001A4401" w:rsidRPr="00050898">
              <w:rPr>
                <w:rStyle w:val="Hyperlink"/>
                <w:noProof/>
              </w:rPr>
              <w:t>2.2 Technological Change and AI Adoption in Pharmaceuticals</w:t>
            </w:r>
            <w:r w:rsidR="001A4401">
              <w:rPr>
                <w:noProof/>
                <w:webHidden/>
              </w:rPr>
              <w:tab/>
            </w:r>
            <w:r w:rsidR="001A4401">
              <w:rPr>
                <w:noProof/>
                <w:webHidden/>
              </w:rPr>
              <w:fldChar w:fldCharType="begin"/>
            </w:r>
            <w:r w:rsidR="001A4401">
              <w:rPr>
                <w:noProof/>
                <w:webHidden/>
              </w:rPr>
              <w:instrText xml:space="preserve"> PAGEREF _Toc228140460 \h </w:instrText>
            </w:r>
            <w:r w:rsidR="001A4401">
              <w:rPr>
                <w:noProof/>
                <w:webHidden/>
              </w:rPr>
            </w:r>
            <w:r w:rsidR="001A4401">
              <w:rPr>
                <w:noProof/>
                <w:webHidden/>
              </w:rPr>
              <w:fldChar w:fldCharType="separate"/>
            </w:r>
            <w:r w:rsidR="00B619C2">
              <w:rPr>
                <w:noProof/>
                <w:webHidden/>
              </w:rPr>
              <w:t>7</w:t>
            </w:r>
            <w:r w:rsidR="001A4401">
              <w:rPr>
                <w:noProof/>
                <w:webHidden/>
              </w:rPr>
              <w:fldChar w:fldCharType="end"/>
            </w:r>
          </w:hyperlink>
        </w:p>
        <w:p w14:paraId="0A380FF9" w14:textId="5A1D5060" w:rsidR="001A4401" w:rsidRDefault="007A4418" w:rsidP="001A4401">
          <w:pPr>
            <w:pStyle w:val="TOC2"/>
            <w:tabs>
              <w:tab w:val="right" w:leader="dot" w:pos="9196"/>
            </w:tabs>
            <w:spacing w:line="360" w:lineRule="auto"/>
            <w:rPr>
              <w:rFonts w:asciiTheme="minorHAnsi" w:eastAsiaTheme="minorEastAsia" w:hAnsiTheme="minorHAnsi" w:cstheme="minorBidi"/>
              <w:noProof/>
              <w:sz w:val="22"/>
              <w:szCs w:val="22"/>
              <w:lang w:val="en-GB" w:eastAsia="en-GB"/>
            </w:rPr>
          </w:pPr>
          <w:hyperlink w:anchor="_Toc228140461" w:history="1">
            <w:r w:rsidR="001A4401" w:rsidRPr="00050898">
              <w:rPr>
                <w:rStyle w:val="Hyperlink"/>
                <w:noProof/>
              </w:rPr>
              <w:t>2.3 Regulatory Change: AI Governance in the UK and EU</w:t>
            </w:r>
            <w:r w:rsidR="001A4401">
              <w:rPr>
                <w:noProof/>
                <w:webHidden/>
              </w:rPr>
              <w:tab/>
            </w:r>
            <w:r w:rsidR="001A4401">
              <w:rPr>
                <w:noProof/>
                <w:webHidden/>
              </w:rPr>
              <w:fldChar w:fldCharType="begin"/>
            </w:r>
            <w:r w:rsidR="001A4401">
              <w:rPr>
                <w:noProof/>
                <w:webHidden/>
              </w:rPr>
              <w:instrText xml:space="preserve"> PAGEREF _Toc228140461 \h </w:instrText>
            </w:r>
            <w:r w:rsidR="001A4401">
              <w:rPr>
                <w:noProof/>
                <w:webHidden/>
              </w:rPr>
            </w:r>
            <w:r w:rsidR="001A4401">
              <w:rPr>
                <w:noProof/>
                <w:webHidden/>
              </w:rPr>
              <w:fldChar w:fldCharType="separate"/>
            </w:r>
            <w:r w:rsidR="00B619C2">
              <w:rPr>
                <w:noProof/>
                <w:webHidden/>
              </w:rPr>
              <w:t>8</w:t>
            </w:r>
            <w:r w:rsidR="001A4401">
              <w:rPr>
                <w:noProof/>
                <w:webHidden/>
              </w:rPr>
              <w:fldChar w:fldCharType="end"/>
            </w:r>
          </w:hyperlink>
        </w:p>
        <w:p w14:paraId="23C96ACC" w14:textId="14BDF202" w:rsidR="001A4401" w:rsidRDefault="007A4418" w:rsidP="001A4401">
          <w:pPr>
            <w:pStyle w:val="TOC2"/>
            <w:tabs>
              <w:tab w:val="right" w:leader="dot" w:pos="9196"/>
            </w:tabs>
            <w:spacing w:line="360" w:lineRule="auto"/>
            <w:rPr>
              <w:rFonts w:asciiTheme="minorHAnsi" w:eastAsiaTheme="minorEastAsia" w:hAnsiTheme="minorHAnsi" w:cstheme="minorBidi"/>
              <w:noProof/>
              <w:sz w:val="22"/>
              <w:szCs w:val="22"/>
              <w:lang w:val="en-GB" w:eastAsia="en-GB"/>
            </w:rPr>
          </w:pPr>
          <w:hyperlink w:anchor="_Toc228140462" w:history="1">
            <w:r w:rsidR="001A4401" w:rsidRPr="00050898">
              <w:rPr>
                <w:rStyle w:val="Hyperlink"/>
                <w:noProof/>
              </w:rPr>
              <w:t>2.4 Impact on GSK's Risk Management Strategy</w:t>
            </w:r>
            <w:r w:rsidR="001A4401">
              <w:rPr>
                <w:noProof/>
                <w:webHidden/>
              </w:rPr>
              <w:tab/>
            </w:r>
            <w:r w:rsidR="001A4401">
              <w:rPr>
                <w:noProof/>
                <w:webHidden/>
              </w:rPr>
              <w:fldChar w:fldCharType="begin"/>
            </w:r>
            <w:r w:rsidR="001A4401">
              <w:rPr>
                <w:noProof/>
                <w:webHidden/>
              </w:rPr>
              <w:instrText xml:space="preserve"> PAGEREF _Toc228140462 \h </w:instrText>
            </w:r>
            <w:r w:rsidR="001A4401">
              <w:rPr>
                <w:noProof/>
                <w:webHidden/>
              </w:rPr>
            </w:r>
            <w:r w:rsidR="001A4401">
              <w:rPr>
                <w:noProof/>
                <w:webHidden/>
              </w:rPr>
              <w:fldChar w:fldCharType="separate"/>
            </w:r>
            <w:r w:rsidR="00B619C2">
              <w:rPr>
                <w:noProof/>
                <w:webHidden/>
              </w:rPr>
              <w:t>9</w:t>
            </w:r>
            <w:r w:rsidR="001A4401">
              <w:rPr>
                <w:noProof/>
                <w:webHidden/>
              </w:rPr>
              <w:fldChar w:fldCharType="end"/>
            </w:r>
          </w:hyperlink>
        </w:p>
        <w:p w14:paraId="0112D573" w14:textId="70DF6FF2" w:rsidR="001A4401" w:rsidRDefault="007A4418" w:rsidP="001A4401">
          <w:pPr>
            <w:pStyle w:val="TOC1"/>
            <w:tabs>
              <w:tab w:val="right" w:leader="dot" w:pos="9196"/>
            </w:tabs>
            <w:spacing w:line="360" w:lineRule="auto"/>
            <w:rPr>
              <w:rFonts w:asciiTheme="minorHAnsi" w:eastAsiaTheme="minorEastAsia" w:hAnsiTheme="minorHAnsi" w:cstheme="minorBidi"/>
              <w:noProof/>
              <w:sz w:val="22"/>
              <w:szCs w:val="22"/>
              <w:lang w:val="en-GB" w:eastAsia="en-GB"/>
            </w:rPr>
          </w:pPr>
          <w:hyperlink w:anchor="_Toc228140463" w:history="1">
            <w:r w:rsidR="001A4401" w:rsidRPr="00050898">
              <w:rPr>
                <w:rStyle w:val="Hyperlink"/>
                <w:noProof/>
              </w:rPr>
              <w:t>3. Global Business Environment: Macroeconomic Policy and AI</w:t>
            </w:r>
            <w:r w:rsidR="001A4401">
              <w:rPr>
                <w:noProof/>
                <w:webHidden/>
              </w:rPr>
              <w:tab/>
            </w:r>
            <w:r w:rsidR="001A4401">
              <w:rPr>
                <w:noProof/>
                <w:webHidden/>
              </w:rPr>
              <w:fldChar w:fldCharType="begin"/>
            </w:r>
            <w:r w:rsidR="001A4401">
              <w:rPr>
                <w:noProof/>
                <w:webHidden/>
              </w:rPr>
              <w:instrText xml:space="preserve"> PAGEREF _Toc228140463 \h </w:instrText>
            </w:r>
            <w:r w:rsidR="001A4401">
              <w:rPr>
                <w:noProof/>
                <w:webHidden/>
              </w:rPr>
            </w:r>
            <w:r w:rsidR="001A4401">
              <w:rPr>
                <w:noProof/>
                <w:webHidden/>
              </w:rPr>
              <w:fldChar w:fldCharType="separate"/>
            </w:r>
            <w:r w:rsidR="00B619C2">
              <w:rPr>
                <w:noProof/>
                <w:webHidden/>
              </w:rPr>
              <w:t>9</w:t>
            </w:r>
            <w:r w:rsidR="001A4401">
              <w:rPr>
                <w:noProof/>
                <w:webHidden/>
              </w:rPr>
              <w:fldChar w:fldCharType="end"/>
            </w:r>
          </w:hyperlink>
        </w:p>
        <w:p w14:paraId="4A935F3D" w14:textId="3092D5AE" w:rsidR="001A4401" w:rsidRDefault="007A4418" w:rsidP="001A4401">
          <w:pPr>
            <w:pStyle w:val="TOC2"/>
            <w:tabs>
              <w:tab w:val="right" w:leader="dot" w:pos="9196"/>
            </w:tabs>
            <w:spacing w:line="360" w:lineRule="auto"/>
            <w:rPr>
              <w:rFonts w:asciiTheme="minorHAnsi" w:eastAsiaTheme="minorEastAsia" w:hAnsiTheme="minorHAnsi" w:cstheme="minorBidi"/>
              <w:noProof/>
              <w:sz w:val="22"/>
              <w:szCs w:val="22"/>
              <w:lang w:val="en-GB" w:eastAsia="en-GB"/>
            </w:rPr>
          </w:pPr>
          <w:hyperlink w:anchor="_Toc228140464" w:history="1">
            <w:r w:rsidR="001A4401" w:rsidRPr="00050898">
              <w:rPr>
                <w:rStyle w:val="Hyperlink"/>
                <w:noProof/>
              </w:rPr>
              <w:t>3.1 Macroeconomic Overview and AI Investment</w:t>
            </w:r>
            <w:r w:rsidR="001A4401">
              <w:rPr>
                <w:noProof/>
                <w:webHidden/>
              </w:rPr>
              <w:tab/>
            </w:r>
            <w:r w:rsidR="001A4401">
              <w:rPr>
                <w:noProof/>
                <w:webHidden/>
              </w:rPr>
              <w:fldChar w:fldCharType="begin"/>
            </w:r>
            <w:r w:rsidR="001A4401">
              <w:rPr>
                <w:noProof/>
                <w:webHidden/>
              </w:rPr>
              <w:instrText xml:space="preserve"> PAGEREF _Toc228140464 \h </w:instrText>
            </w:r>
            <w:r w:rsidR="001A4401">
              <w:rPr>
                <w:noProof/>
                <w:webHidden/>
              </w:rPr>
            </w:r>
            <w:r w:rsidR="001A4401">
              <w:rPr>
                <w:noProof/>
                <w:webHidden/>
              </w:rPr>
              <w:fldChar w:fldCharType="separate"/>
            </w:r>
            <w:r w:rsidR="00B619C2">
              <w:rPr>
                <w:noProof/>
                <w:webHidden/>
              </w:rPr>
              <w:t>9</w:t>
            </w:r>
            <w:r w:rsidR="001A4401">
              <w:rPr>
                <w:noProof/>
                <w:webHidden/>
              </w:rPr>
              <w:fldChar w:fldCharType="end"/>
            </w:r>
          </w:hyperlink>
        </w:p>
        <w:p w14:paraId="12B9856D" w14:textId="32C0535B" w:rsidR="001A4401" w:rsidRDefault="007A4418" w:rsidP="001A4401">
          <w:pPr>
            <w:pStyle w:val="TOC2"/>
            <w:tabs>
              <w:tab w:val="right" w:leader="dot" w:pos="9196"/>
            </w:tabs>
            <w:spacing w:line="360" w:lineRule="auto"/>
            <w:rPr>
              <w:rFonts w:asciiTheme="minorHAnsi" w:eastAsiaTheme="minorEastAsia" w:hAnsiTheme="minorHAnsi" w:cstheme="minorBidi"/>
              <w:noProof/>
              <w:sz w:val="22"/>
              <w:szCs w:val="22"/>
              <w:lang w:val="en-GB" w:eastAsia="en-GB"/>
            </w:rPr>
          </w:pPr>
          <w:hyperlink w:anchor="_Toc228140465" w:history="1">
            <w:r w:rsidR="001A4401" w:rsidRPr="00050898">
              <w:rPr>
                <w:rStyle w:val="Hyperlink"/>
                <w:noProof/>
              </w:rPr>
              <w:t>3.2 Inflation, Trade Tariffs, and AI Supply Chain Risk</w:t>
            </w:r>
            <w:r w:rsidR="001A4401">
              <w:rPr>
                <w:noProof/>
                <w:webHidden/>
              </w:rPr>
              <w:tab/>
            </w:r>
            <w:r w:rsidR="001A4401">
              <w:rPr>
                <w:noProof/>
                <w:webHidden/>
              </w:rPr>
              <w:fldChar w:fldCharType="begin"/>
            </w:r>
            <w:r w:rsidR="001A4401">
              <w:rPr>
                <w:noProof/>
                <w:webHidden/>
              </w:rPr>
              <w:instrText xml:space="preserve"> PAGEREF _Toc228140465 \h </w:instrText>
            </w:r>
            <w:r w:rsidR="001A4401">
              <w:rPr>
                <w:noProof/>
                <w:webHidden/>
              </w:rPr>
            </w:r>
            <w:r w:rsidR="001A4401">
              <w:rPr>
                <w:noProof/>
                <w:webHidden/>
              </w:rPr>
              <w:fldChar w:fldCharType="separate"/>
            </w:r>
            <w:r w:rsidR="00B619C2">
              <w:rPr>
                <w:noProof/>
                <w:webHidden/>
              </w:rPr>
              <w:t>10</w:t>
            </w:r>
            <w:r w:rsidR="001A4401">
              <w:rPr>
                <w:noProof/>
                <w:webHidden/>
              </w:rPr>
              <w:fldChar w:fldCharType="end"/>
            </w:r>
          </w:hyperlink>
        </w:p>
        <w:p w14:paraId="72405281" w14:textId="23E372B9" w:rsidR="001A4401" w:rsidRDefault="007A4418" w:rsidP="001A4401">
          <w:pPr>
            <w:pStyle w:val="TOC2"/>
            <w:tabs>
              <w:tab w:val="right" w:leader="dot" w:pos="9196"/>
            </w:tabs>
            <w:spacing w:line="360" w:lineRule="auto"/>
            <w:rPr>
              <w:rFonts w:asciiTheme="minorHAnsi" w:eastAsiaTheme="minorEastAsia" w:hAnsiTheme="minorHAnsi" w:cstheme="minorBidi"/>
              <w:noProof/>
              <w:sz w:val="22"/>
              <w:szCs w:val="22"/>
              <w:lang w:val="en-GB" w:eastAsia="en-GB"/>
            </w:rPr>
          </w:pPr>
          <w:hyperlink w:anchor="_Toc228140466" w:history="1">
            <w:r w:rsidR="001A4401" w:rsidRPr="00050898">
              <w:rPr>
                <w:rStyle w:val="Hyperlink"/>
                <w:noProof/>
              </w:rPr>
              <w:t>3.3 AI as a Driver of Competitive Advantage in Pharmaceuticals</w:t>
            </w:r>
            <w:r w:rsidR="001A4401">
              <w:rPr>
                <w:noProof/>
                <w:webHidden/>
              </w:rPr>
              <w:tab/>
            </w:r>
            <w:r w:rsidR="001A4401">
              <w:rPr>
                <w:noProof/>
                <w:webHidden/>
              </w:rPr>
              <w:fldChar w:fldCharType="begin"/>
            </w:r>
            <w:r w:rsidR="001A4401">
              <w:rPr>
                <w:noProof/>
                <w:webHidden/>
              </w:rPr>
              <w:instrText xml:space="preserve"> PAGEREF _Toc228140466 \h </w:instrText>
            </w:r>
            <w:r w:rsidR="001A4401">
              <w:rPr>
                <w:noProof/>
                <w:webHidden/>
              </w:rPr>
            </w:r>
            <w:r w:rsidR="001A4401">
              <w:rPr>
                <w:noProof/>
                <w:webHidden/>
              </w:rPr>
              <w:fldChar w:fldCharType="separate"/>
            </w:r>
            <w:r w:rsidR="00B619C2">
              <w:rPr>
                <w:noProof/>
                <w:webHidden/>
              </w:rPr>
              <w:t>10</w:t>
            </w:r>
            <w:r w:rsidR="001A4401">
              <w:rPr>
                <w:noProof/>
                <w:webHidden/>
              </w:rPr>
              <w:fldChar w:fldCharType="end"/>
            </w:r>
          </w:hyperlink>
        </w:p>
        <w:p w14:paraId="28AA09A3" w14:textId="219F5219" w:rsidR="001A4401" w:rsidRDefault="007A4418" w:rsidP="001A4401">
          <w:pPr>
            <w:pStyle w:val="TOC2"/>
            <w:tabs>
              <w:tab w:val="right" w:leader="dot" w:pos="9196"/>
            </w:tabs>
            <w:spacing w:line="360" w:lineRule="auto"/>
            <w:rPr>
              <w:rFonts w:asciiTheme="minorHAnsi" w:eastAsiaTheme="minorEastAsia" w:hAnsiTheme="minorHAnsi" w:cstheme="minorBidi"/>
              <w:noProof/>
              <w:sz w:val="22"/>
              <w:szCs w:val="22"/>
              <w:lang w:val="en-GB" w:eastAsia="en-GB"/>
            </w:rPr>
          </w:pPr>
          <w:hyperlink w:anchor="_Toc228140467" w:history="1">
            <w:r w:rsidR="001A4401" w:rsidRPr="00050898">
              <w:rPr>
                <w:rStyle w:val="Hyperlink"/>
                <w:noProof/>
              </w:rPr>
              <w:t>3.4 Macroeconomic Policy Implications for GSK's AI Strategy</w:t>
            </w:r>
            <w:r w:rsidR="001A4401">
              <w:rPr>
                <w:noProof/>
                <w:webHidden/>
              </w:rPr>
              <w:tab/>
            </w:r>
            <w:r w:rsidR="001A4401">
              <w:rPr>
                <w:noProof/>
                <w:webHidden/>
              </w:rPr>
              <w:fldChar w:fldCharType="begin"/>
            </w:r>
            <w:r w:rsidR="001A4401">
              <w:rPr>
                <w:noProof/>
                <w:webHidden/>
              </w:rPr>
              <w:instrText xml:space="preserve"> PAGEREF _Toc228140467 \h </w:instrText>
            </w:r>
            <w:r w:rsidR="001A4401">
              <w:rPr>
                <w:noProof/>
                <w:webHidden/>
              </w:rPr>
            </w:r>
            <w:r w:rsidR="001A4401">
              <w:rPr>
                <w:noProof/>
                <w:webHidden/>
              </w:rPr>
              <w:fldChar w:fldCharType="separate"/>
            </w:r>
            <w:r w:rsidR="00B619C2">
              <w:rPr>
                <w:noProof/>
                <w:webHidden/>
              </w:rPr>
              <w:t>11</w:t>
            </w:r>
            <w:r w:rsidR="001A4401">
              <w:rPr>
                <w:noProof/>
                <w:webHidden/>
              </w:rPr>
              <w:fldChar w:fldCharType="end"/>
            </w:r>
          </w:hyperlink>
        </w:p>
        <w:p w14:paraId="1E4085EA" w14:textId="19073951" w:rsidR="001A4401" w:rsidRDefault="007A4418" w:rsidP="001A4401">
          <w:pPr>
            <w:pStyle w:val="TOC1"/>
            <w:tabs>
              <w:tab w:val="right" w:leader="dot" w:pos="9196"/>
            </w:tabs>
            <w:spacing w:line="360" w:lineRule="auto"/>
            <w:rPr>
              <w:rFonts w:asciiTheme="minorHAnsi" w:eastAsiaTheme="minorEastAsia" w:hAnsiTheme="minorHAnsi" w:cstheme="minorBidi"/>
              <w:noProof/>
              <w:sz w:val="22"/>
              <w:szCs w:val="22"/>
              <w:lang w:val="en-GB" w:eastAsia="en-GB"/>
            </w:rPr>
          </w:pPr>
          <w:hyperlink w:anchor="_Toc228140468" w:history="1">
            <w:r w:rsidR="001A4401" w:rsidRPr="00050898">
              <w:rPr>
                <w:rStyle w:val="Hyperlink"/>
                <w:noProof/>
              </w:rPr>
              <w:t>4. Risk Management in AI: Data Governance, Ethical AI Use, and Regulatory Compliance</w:t>
            </w:r>
            <w:r w:rsidR="001A4401">
              <w:rPr>
                <w:noProof/>
                <w:webHidden/>
              </w:rPr>
              <w:tab/>
            </w:r>
            <w:r w:rsidR="001A4401">
              <w:rPr>
                <w:noProof/>
                <w:webHidden/>
              </w:rPr>
              <w:fldChar w:fldCharType="begin"/>
            </w:r>
            <w:r w:rsidR="001A4401">
              <w:rPr>
                <w:noProof/>
                <w:webHidden/>
              </w:rPr>
              <w:instrText xml:space="preserve"> PAGEREF _Toc228140468 \h </w:instrText>
            </w:r>
            <w:r w:rsidR="001A4401">
              <w:rPr>
                <w:noProof/>
                <w:webHidden/>
              </w:rPr>
            </w:r>
            <w:r w:rsidR="001A4401">
              <w:rPr>
                <w:noProof/>
                <w:webHidden/>
              </w:rPr>
              <w:fldChar w:fldCharType="separate"/>
            </w:r>
            <w:r w:rsidR="00B619C2">
              <w:rPr>
                <w:noProof/>
                <w:webHidden/>
              </w:rPr>
              <w:t>12</w:t>
            </w:r>
            <w:r w:rsidR="001A4401">
              <w:rPr>
                <w:noProof/>
                <w:webHidden/>
              </w:rPr>
              <w:fldChar w:fldCharType="end"/>
            </w:r>
          </w:hyperlink>
        </w:p>
        <w:p w14:paraId="2C5E115D" w14:textId="26E4E124" w:rsidR="001A4401" w:rsidRDefault="007A4418" w:rsidP="001A4401">
          <w:pPr>
            <w:pStyle w:val="TOC2"/>
            <w:tabs>
              <w:tab w:val="right" w:leader="dot" w:pos="9196"/>
            </w:tabs>
            <w:spacing w:line="360" w:lineRule="auto"/>
            <w:rPr>
              <w:rFonts w:asciiTheme="minorHAnsi" w:eastAsiaTheme="minorEastAsia" w:hAnsiTheme="minorHAnsi" w:cstheme="minorBidi"/>
              <w:noProof/>
              <w:sz w:val="22"/>
              <w:szCs w:val="22"/>
              <w:lang w:val="en-GB" w:eastAsia="en-GB"/>
            </w:rPr>
          </w:pPr>
          <w:hyperlink w:anchor="_Toc228140469" w:history="1">
            <w:r w:rsidR="001A4401" w:rsidRPr="00050898">
              <w:rPr>
                <w:rStyle w:val="Hyperlink"/>
                <w:noProof/>
              </w:rPr>
              <w:t>4.1 Data Governance in AI</w:t>
            </w:r>
            <w:r w:rsidR="001A4401">
              <w:rPr>
                <w:noProof/>
                <w:webHidden/>
              </w:rPr>
              <w:tab/>
            </w:r>
            <w:r w:rsidR="001A4401">
              <w:rPr>
                <w:noProof/>
                <w:webHidden/>
              </w:rPr>
              <w:fldChar w:fldCharType="begin"/>
            </w:r>
            <w:r w:rsidR="001A4401">
              <w:rPr>
                <w:noProof/>
                <w:webHidden/>
              </w:rPr>
              <w:instrText xml:space="preserve"> PAGEREF _Toc228140469 \h </w:instrText>
            </w:r>
            <w:r w:rsidR="001A4401">
              <w:rPr>
                <w:noProof/>
                <w:webHidden/>
              </w:rPr>
            </w:r>
            <w:r w:rsidR="001A4401">
              <w:rPr>
                <w:noProof/>
                <w:webHidden/>
              </w:rPr>
              <w:fldChar w:fldCharType="separate"/>
            </w:r>
            <w:r w:rsidR="00B619C2">
              <w:rPr>
                <w:noProof/>
                <w:webHidden/>
              </w:rPr>
              <w:t>12</w:t>
            </w:r>
            <w:r w:rsidR="001A4401">
              <w:rPr>
                <w:noProof/>
                <w:webHidden/>
              </w:rPr>
              <w:fldChar w:fldCharType="end"/>
            </w:r>
          </w:hyperlink>
        </w:p>
        <w:p w14:paraId="2FCCEED5" w14:textId="07C80434" w:rsidR="001A4401" w:rsidRDefault="007A4418" w:rsidP="001A4401">
          <w:pPr>
            <w:pStyle w:val="TOC2"/>
            <w:tabs>
              <w:tab w:val="right" w:leader="dot" w:pos="9196"/>
            </w:tabs>
            <w:spacing w:line="360" w:lineRule="auto"/>
            <w:rPr>
              <w:rFonts w:asciiTheme="minorHAnsi" w:eastAsiaTheme="minorEastAsia" w:hAnsiTheme="minorHAnsi" w:cstheme="minorBidi"/>
              <w:noProof/>
              <w:sz w:val="22"/>
              <w:szCs w:val="22"/>
              <w:lang w:val="en-GB" w:eastAsia="en-GB"/>
            </w:rPr>
          </w:pPr>
          <w:hyperlink w:anchor="_Toc228140470" w:history="1">
            <w:r w:rsidR="001A4401" w:rsidRPr="00050898">
              <w:rPr>
                <w:rStyle w:val="Hyperlink"/>
                <w:noProof/>
              </w:rPr>
              <w:t>4.2 Ethical AI Use</w:t>
            </w:r>
            <w:r w:rsidR="001A4401">
              <w:rPr>
                <w:noProof/>
                <w:webHidden/>
              </w:rPr>
              <w:tab/>
            </w:r>
            <w:r w:rsidR="001A4401">
              <w:rPr>
                <w:noProof/>
                <w:webHidden/>
              </w:rPr>
              <w:fldChar w:fldCharType="begin"/>
            </w:r>
            <w:r w:rsidR="001A4401">
              <w:rPr>
                <w:noProof/>
                <w:webHidden/>
              </w:rPr>
              <w:instrText xml:space="preserve"> PAGEREF _Toc228140470 \h </w:instrText>
            </w:r>
            <w:r w:rsidR="001A4401">
              <w:rPr>
                <w:noProof/>
                <w:webHidden/>
              </w:rPr>
            </w:r>
            <w:r w:rsidR="001A4401">
              <w:rPr>
                <w:noProof/>
                <w:webHidden/>
              </w:rPr>
              <w:fldChar w:fldCharType="separate"/>
            </w:r>
            <w:r w:rsidR="00B619C2">
              <w:rPr>
                <w:noProof/>
                <w:webHidden/>
              </w:rPr>
              <w:t>13</w:t>
            </w:r>
            <w:r w:rsidR="001A4401">
              <w:rPr>
                <w:noProof/>
                <w:webHidden/>
              </w:rPr>
              <w:fldChar w:fldCharType="end"/>
            </w:r>
          </w:hyperlink>
        </w:p>
        <w:p w14:paraId="63F3373F" w14:textId="3FBE4C21" w:rsidR="001A4401" w:rsidRDefault="007A4418" w:rsidP="001A4401">
          <w:pPr>
            <w:pStyle w:val="TOC2"/>
            <w:tabs>
              <w:tab w:val="right" w:leader="dot" w:pos="9196"/>
            </w:tabs>
            <w:spacing w:line="360" w:lineRule="auto"/>
            <w:rPr>
              <w:rFonts w:asciiTheme="minorHAnsi" w:eastAsiaTheme="minorEastAsia" w:hAnsiTheme="minorHAnsi" w:cstheme="minorBidi"/>
              <w:noProof/>
              <w:sz w:val="22"/>
              <w:szCs w:val="22"/>
              <w:lang w:val="en-GB" w:eastAsia="en-GB"/>
            </w:rPr>
          </w:pPr>
          <w:hyperlink w:anchor="_Toc228140471" w:history="1">
            <w:r w:rsidR="001A4401" w:rsidRPr="00050898">
              <w:rPr>
                <w:rStyle w:val="Hyperlink"/>
                <w:noProof/>
              </w:rPr>
              <w:t>4.3 Regulatory Compliance: AI-Specific Requirements</w:t>
            </w:r>
            <w:r w:rsidR="001A4401">
              <w:rPr>
                <w:noProof/>
                <w:webHidden/>
              </w:rPr>
              <w:tab/>
            </w:r>
            <w:r w:rsidR="001A4401">
              <w:rPr>
                <w:noProof/>
                <w:webHidden/>
              </w:rPr>
              <w:fldChar w:fldCharType="begin"/>
            </w:r>
            <w:r w:rsidR="001A4401">
              <w:rPr>
                <w:noProof/>
                <w:webHidden/>
              </w:rPr>
              <w:instrText xml:space="preserve"> PAGEREF _Toc228140471 \h </w:instrText>
            </w:r>
            <w:r w:rsidR="001A4401">
              <w:rPr>
                <w:noProof/>
                <w:webHidden/>
              </w:rPr>
            </w:r>
            <w:r w:rsidR="001A4401">
              <w:rPr>
                <w:noProof/>
                <w:webHidden/>
              </w:rPr>
              <w:fldChar w:fldCharType="separate"/>
            </w:r>
            <w:r w:rsidR="00B619C2">
              <w:rPr>
                <w:noProof/>
                <w:webHidden/>
              </w:rPr>
              <w:t>14</w:t>
            </w:r>
            <w:r w:rsidR="001A4401">
              <w:rPr>
                <w:noProof/>
                <w:webHidden/>
              </w:rPr>
              <w:fldChar w:fldCharType="end"/>
            </w:r>
          </w:hyperlink>
        </w:p>
        <w:p w14:paraId="049B4BE0" w14:textId="54CC305B" w:rsidR="001A4401" w:rsidRDefault="007A4418" w:rsidP="001A4401">
          <w:pPr>
            <w:pStyle w:val="TOC2"/>
            <w:tabs>
              <w:tab w:val="right" w:leader="dot" w:pos="9196"/>
            </w:tabs>
            <w:spacing w:line="360" w:lineRule="auto"/>
            <w:rPr>
              <w:rFonts w:asciiTheme="minorHAnsi" w:eastAsiaTheme="minorEastAsia" w:hAnsiTheme="minorHAnsi" w:cstheme="minorBidi"/>
              <w:noProof/>
              <w:sz w:val="22"/>
              <w:szCs w:val="22"/>
              <w:lang w:val="en-GB" w:eastAsia="en-GB"/>
            </w:rPr>
          </w:pPr>
          <w:hyperlink w:anchor="_Toc228140472" w:history="1">
            <w:r w:rsidR="001A4401" w:rsidRPr="00050898">
              <w:rPr>
                <w:rStyle w:val="Hyperlink"/>
                <w:noProof/>
              </w:rPr>
              <w:t>4.4 Maintaining Customer and Patient Trust</w:t>
            </w:r>
            <w:r w:rsidR="001A4401">
              <w:rPr>
                <w:noProof/>
                <w:webHidden/>
              </w:rPr>
              <w:tab/>
            </w:r>
            <w:r w:rsidR="001A4401">
              <w:rPr>
                <w:noProof/>
                <w:webHidden/>
              </w:rPr>
              <w:fldChar w:fldCharType="begin"/>
            </w:r>
            <w:r w:rsidR="001A4401">
              <w:rPr>
                <w:noProof/>
                <w:webHidden/>
              </w:rPr>
              <w:instrText xml:space="preserve"> PAGEREF _Toc228140472 \h </w:instrText>
            </w:r>
            <w:r w:rsidR="001A4401">
              <w:rPr>
                <w:noProof/>
                <w:webHidden/>
              </w:rPr>
            </w:r>
            <w:r w:rsidR="001A4401">
              <w:rPr>
                <w:noProof/>
                <w:webHidden/>
              </w:rPr>
              <w:fldChar w:fldCharType="separate"/>
            </w:r>
            <w:r w:rsidR="00B619C2">
              <w:rPr>
                <w:noProof/>
                <w:webHidden/>
              </w:rPr>
              <w:t>14</w:t>
            </w:r>
            <w:r w:rsidR="001A4401">
              <w:rPr>
                <w:noProof/>
                <w:webHidden/>
              </w:rPr>
              <w:fldChar w:fldCharType="end"/>
            </w:r>
          </w:hyperlink>
        </w:p>
        <w:p w14:paraId="54BA77A3" w14:textId="0961F4EB" w:rsidR="001A4401" w:rsidRDefault="007A4418" w:rsidP="001A4401">
          <w:pPr>
            <w:pStyle w:val="TOC1"/>
            <w:tabs>
              <w:tab w:val="right" w:leader="dot" w:pos="9196"/>
            </w:tabs>
            <w:spacing w:line="360" w:lineRule="auto"/>
            <w:rPr>
              <w:rFonts w:asciiTheme="minorHAnsi" w:eastAsiaTheme="minorEastAsia" w:hAnsiTheme="minorHAnsi" w:cstheme="minorBidi"/>
              <w:noProof/>
              <w:sz w:val="22"/>
              <w:szCs w:val="22"/>
              <w:lang w:val="en-GB" w:eastAsia="en-GB"/>
            </w:rPr>
          </w:pPr>
          <w:hyperlink w:anchor="_Toc228140473" w:history="1">
            <w:r w:rsidR="001A4401" w:rsidRPr="00050898">
              <w:rPr>
                <w:rStyle w:val="Hyperlink"/>
                <w:noProof/>
              </w:rPr>
              <w:t>5. Region-Specific Insights: UK and European Union Perspectives</w:t>
            </w:r>
            <w:r w:rsidR="001A4401">
              <w:rPr>
                <w:noProof/>
                <w:webHidden/>
              </w:rPr>
              <w:tab/>
            </w:r>
            <w:r w:rsidR="001A4401">
              <w:rPr>
                <w:noProof/>
                <w:webHidden/>
              </w:rPr>
              <w:fldChar w:fldCharType="begin"/>
            </w:r>
            <w:r w:rsidR="001A4401">
              <w:rPr>
                <w:noProof/>
                <w:webHidden/>
              </w:rPr>
              <w:instrText xml:space="preserve"> PAGEREF _Toc228140473 \h </w:instrText>
            </w:r>
            <w:r w:rsidR="001A4401">
              <w:rPr>
                <w:noProof/>
                <w:webHidden/>
              </w:rPr>
            </w:r>
            <w:r w:rsidR="001A4401">
              <w:rPr>
                <w:noProof/>
                <w:webHidden/>
              </w:rPr>
              <w:fldChar w:fldCharType="separate"/>
            </w:r>
            <w:r w:rsidR="00B619C2">
              <w:rPr>
                <w:noProof/>
                <w:webHidden/>
              </w:rPr>
              <w:t>15</w:t>
            </w:r>
            <w:r w:rsidR="001A4401">
              <w:rPr>
                <w:noProof/>
                <w:webHidden/>
              </w:rPr>
              <w:fldChar w:fldCharType="end"/>
            </w:r>
          </w:hyperlink>
        </w:p>
        <w:p w14:paraId="108C88F3" w14:textId="53EAC62A" w:rsidR="001A4401" w:rsidRDefault="007A4418" w:rsidP="001A4401">
          <w:pPr>
            <w:pStyle w:val="TOC2"/>
            <w:tabs>
              <w:tab w:val="right" w:leader="dot" w:pos="9196"/>
            </w:tabs>
            <w:spacing w:line="360" w:lineRule="auto"/>
            <w:rPr>
              <w:rFonts w:asciiTheme="minorHAnsi" w:eastAsiaTheme="minorEastAsia" w:hAnsiTheme="minorHAnsi" w:cstheme="minorBidi"/>
              <w:noProof/>
              <w:sz w:val="22"/>
              <w:szCs w:val="22"/>
              <w:lang w:val="en-GB" w:eastAsia="en-GB"/>
            </w:rPr>
          </w:pPr>
          <w:hyperlink w:anchor="_Toc228140474" w:history="1">
            <w:r w:rsidR="001A4401" w:rsidRPr="00050898">
              <w:rPr>
                <w:rStyle w:val="Hyperlink"/>
                <w:noProof/>
              </w:rPr>
              <w:t>5.1 AI and Risk Management in the United Kingdom</w:t>
            </w:r>
            <w:r w:rsidR="001A4401">
              <w:rPr>
                <w:noProof/>
                <w:webHidden/>
              </w:rPr>
              <w:tab/>
            </w:r>
            <w:r w:rsidR="001A4401">
              <w:rPr>
                <w:noProof/>
                <w:webHidden/>
              </w:rPr>
              <w:fldChar w:fldCharType="begin"/>
            </w:r>
            <w:r w:rsidR="001A4401">
              <w:rPr>
                <w:noProof/>
                <w:webHidden/>
              </w:rPr>
              <w:instrText xml:space="preserve"> PAGEREF _Toc228140474 \h </w:instrText>
            </w:r>
            <w:r w:rsidR="001A4401">
              <w:rPr>
                <w:noProof/>
                <w:webHidden/>
              </w:rPr>
            </w:r>
            <w:r w:rsidR="001A4401">
              <w:rPr>
                <w:noProof/>
                <w:webHidden/>
              </w:rPr>
              <w:fldChar w:fldCharType="separate"/>
            </w:r>
            <w:r w:rsidR="00B619C2">
              <w:rPr>
                <w:noProof/>
                <w:webHidden/>
              </w:rPr>
              <w:t>15</w:t>
            </w:r>
            <w:r w:rsidR="001A4401">
              <w:rPr>
                <w:noProof/>
                <w:webHidden/>
              </w:rPr>
              <w:fldChar w:fldCharType="end"/>
            </w:r>
          </w:hyperlink>
        </w:p>
        <w:p w14:paraId="7A6E98DB" w14:textId="3E30E7C6" w:rsidR="001A4401" w:rsidRDefault="007A4418" w:rsidP="001A4401">
          <w:pPr>
            <w:pStyle w:val="TOC2"/>
            <w:tabs>
              <w:tab w:val="right" w:leader="dot" w:pos="9196"/>
            </w:tabs>
            <w:spacing w:line="360" w:lineRule="auto"/>
            <w:rPr>
              <w:rFonts w:asciiTheme="minorHAnsi" w:eastAsiaTheme="minorEastAsia" w:hAnsiTheme="minorHAnsi" w:cstheme="minorBidi"/>
              <w:noProof/>
              <w:sz w:val="22"/>
              <w:szCs w:val="22"/>
              <w:lang w:val="en-GB" w:eastAsia="en-GB"/>
            </w:rPr>
          </w:pPr>
          <w:hyperlink w:anchor="_Toc228140475" w:history="1">
            <w:r w:rsidR="001A4401" w:rsidRPr="00050898">
              <w:rPr>
                <w:rStyle w:val="Hyperlink"/>
                <w:noProof/>
              </w:rPr>
              <w:t>5.2 International Perspective: The European Union</w:t>
            </w:r>
            <w:r w:rsidR="001A4401">
              <w:rPr>
                <w:noProof/>
                <w:webHidden/>
              </w:rPr>
              <w:tab/>
            </w:r>
            <w:r w:rsidR="001A4401">
              <w:rPr>
                <w:noProof/>
                <w:webHidden/>
              </w:rPr>
              <w:fldChar w:fldCharType="begin"/>
            </w:r>
            <w:r w:rsidR="001A4401">
              <w:rPr>
                <w:noProof/>
                <w:webHidden/>
              </w:rPr>
              <w:instrText xml:space="preserve"> PAGEREF _Toc228140475 \h </w:instrText>
            </w:r>
            <w:r w:rsidR="001A4401">
              <w:rPr>
                <w:noProof/>
                <w:webHidden/>
              </w:rPr>
            </w:r>
            <w:r w:rsidR="001A4401">
              <w:rPr>
                <w:noProof/>
                <w:webHidden/>
              </w:rPr>
              <w:fldChar w:fldCharType="separate"/>
            </w:r>
            <w:r w:rsidR="00B619C2">
              <w:rPr>
                <w:noProof/>
                <w:webHidden/>
              </w:rPr>
              <w:t>16</w:t>
            </w:r>
            <w:r w:rsidR="001A4401">
              <w:rPr>
                <w:noProof/>
                <w:webHidden/>
              </w:rPr>
              <w:fldChar w:fldCharType="end"/>
            </w:r>
          </w:hyperlink>
        </w:p>
        <w:p w14:paraId="7FEB0DCE" w14:textId="12143E30" w:rsidR="001A4401" w:rsidRDefault="007A4418" w:rsidP="001A4401">
          <w:pPr>
            <w:pStyle w:val="TOC2"/>
            <w:tabs>
              <w:tab w:val="right" w:leader="dot" w:pos="9196"/>
            </w:tabs>
            <w:spacing w:line="360" w:lineRule="auto"/>
            <w:rPr>
              <w:rFonts w:asciiTheme="minorHAnsi" w:eastAsiaTheme="minorEastAsia" w:hAnsiTheme="minorHAnsi" w:cstheme="minorBidi"/>
              <w:noProof/>
              <w:sz w:val="22"/>
              <w:szCs w:val="22"/>
              <w:lang w:val="en-GB" w:eastAsia="en-GB"/>
            </w:rPr>
          </w:pPr>
          <w:hyperlink w:anchor="_Toc228140476" w:history="1">
            <w:r w:rsidR="001A4401" w:rsidRPr="00050898">
              <w:rPr>
                <w:rStyle w:val="Hyperlink"/>
                <w:noProof/>
              </w:rPr>
              <w:t>5.3 Comparative Analysis: UK versus EU Regulatory Approach</w:t>
            </w:r>
            <w:r w:rsidR="001A4401">
              <w:rPr>
                <w:noProof/>
                <w:webHidden/>
              </w:rPr>
              <w:tab/>
            </w:r>
            <w:r w:rsidR="001A4401">
              <w:rPr>
                <w:noProof/>
                <w:webHidden/>
              </w:rPr>
              <w:fldChar w:fldCharType="begin"/>
            </w:r>
            <w:r w:rsidR="001A4401">
              <w:rPr>
                <w:noProof/>
                <w:webHidden/>
              </w:rPr>
              <w:instrText xml:space="preserve"> PAGEREF _Toc228140476 \h </w:instrText>
            </w:r>
            <w:r w:rsidR="001A4401">
              <w:rPr>
                <w:noProof/>
                <w:webHidden/>
              </w:rPr>
            </w:r>
            <w:r w:rsidR="001A4401">
              <w:rPr>
                <w:noProof/>
                <w:webHidden/>
              </w:rPr>
              <w:fldChar w:fldCharType="separate"/>
            </w:r>
            <w:r w:rsidR="00B619C2">
              <w:rPr>
                <w:noProof/>
                <w:webHidden/>
              </w:rPr>
              <w:t>17</w:t>
            </w:r>
            <w:r w:rsidR="001A4401">
              <w:rPr>
                <w:noProof/>
                <w:webHidden/>
              </w:rPr>
              <w:fldChar w:fldCharType="end"/>
            </w:r>
          </w:hyperlink>
        </w:p>
        <w:p w14:paraId="777D889A" w14:textId="4D9E45A4" w:rsidR="001A4401" w:rsidRDefault="007A4418" w:rsidP="001A4401">
          <w:pPr>
            <w:pStyle w:val="TOC1"/>
            <w:tabs>
              <w:tab w:val="right" w:leader="dot" w:pos="9196"/>
            </w:tabs>
            <w:spacing w:line="360" w:lineRule="auto"/>
            <w:rPr>
              <w:rFonts w:asciiTheme="minorHAnsi" w:eastAsiaTheme="minorEastAsia" w:hAnsiTheme="minorHAnsi" w:cstheme="minorBidi"/>
              <w:noProof/>
              <w:sz w:val="22"/>
              <w:szCs w:val="22"/>
              <w:lang w:val="en-GB" w:eastAsia="en-GB"/>
            </w:rPr>
          </w:pPr>
          <w:hyperlink w:anchor="_Toc228140477" w:history="1">
            <w:r w:rsidR="001A4401" w:rsidRPr="00050898">
              <w:rPr>
                <w:rStyle w:val="Hyperlink"/>
                <w:noProof/>
              </w:rPr>
              <w:t>6. Conclusion</w:t>
            </w:r>
            <w:r w:rsidR="001A4401">
              <w:rPr>
                <w:noProof/>
                <w:webHidden/>
              </w:rPr>
              <w:tab/>
            </w:r>
            <w:r w:rsidR="001A4401">
              <w:rPr>
                <w:noProof/>
                <w:webHidden/>
              </w:rPr>
              <w:fldChar w:fldCharType="begin"/>
            </w:r>
            <w:r w:rsidR="001A4401">
              <w:rPr>
                <w:noProof/>
                <w:webHidden/>
              </w:rPr>
              <w:instrText xml:space="preserve"> PAGEREF _Toc228140477 \h </w:instrText>
            </w:r>
            <w:r w:rsidR="001A4401">
              <w:rPr>
                <w:noProof/>
                <w:webHidden/>
              </w:rPr>
            </w:r>
            <w:r w:rsidR="001A4401">
              <w:rPr>
                <w:noProof/>
                <w:webHidden/>
              </w:rPr>
              <w:fldChar w:fldCharType="separate"/>
            </w:r>
            <w:r w:rsidR="00B619C2">
              <w:rPr>
                <w:noProof/>
                <w:webHidden/>
              </w:rPr>
              <w:t>18</w:t>
            </w:r>
            <w:r w:rsidR="001A4401">
              <w:rPr>
                <w:noProof/>
                <w:webHidden/>
              </w:rPr>
              <w:fldChar w:fldCharType="end"/>
            </w:r>
          </w:hyperlink>
        </w:p>
        <w:p w14:paraId="25EE6406" w14:textId="4C4952D5" w:rsidR="001A4401" w:rsidRDefault="007A4418" w:rsidP="001A4401">
          <w:pPr>
            <w:pStyle w:val="TOC2"/>
            <w:tabs>
              <w:tab w:val="right" w:leader="dot" w:pos="9196"/>
            </w:tabs>
            <w:spacing w:line="360" w:lineRule="auto"/>
            <w:rPr>
              <w:rFonts w:asciiTheme="minorHAnsi" w:eastAsiaTheme="minorEastAsia" w:hAnsiTheme="minorHAnsi" w:cstheme="minorBidi"/>
              <w:noProof/>
              <w:sz w:val="22"/>
              <w:szCs w:val="22"/>
              <w:lang w:val="en-GB" w:eastAsia="en-GB"/>
            </w:rPr>
          </w:pPr>
          <w:hyperlink w:anchor="_Toc228140478" w:history="1">
            <w:r w:rsidR="001A4401" w:rsidRPr="00050898">
              <w:rPr>
                <w:rStyle w:val="Hyperlink"/>
                <w:noProof/>
              </w:rPr>
              <w:t>6.1 Summary of Key Findings</w:t>
            </w:r>
            <w:r w:rsidR="001A4401">
              <w:rPr>
                <w:noProof/>
                <w:webHidden/>
              </w:rPr>
              <w:tab/>
            </w:r>
            <w:r w:rsidR="001A4401">
              <w:rPr>
                <w:noProof/>
                <w:webHidden/>
              </w:rPr>
              <w:fldChar w:fldCharType="begin"/>
            </w:r>
            <w:r w:rsidR="001A4401">
              <w:rPr>
                <w:noProof/>
                <w:webHidden/>
              </w:rPr>
              <w:instrText xml:space="preserve"> PAGEREF _Toc228140478 \h </w:instrText>
            </w:r>
            <w:r w:rsidR="001A4401">
              <w:rPr>
                <w:noProof/>
                <w:webHidden/>
              </w:rPr>
            </w:r>
            <w:r w:rsidR="001A4401">
              <w:rPr>
                <w:noProof/>
                <w:webHidden/>
              </w:rPr>
              <w:fldChar w:fldCharType="separate"/>
            </w:r>
            <w:r w:rsidR="00B619C2">
              <w:rPr>
                <w:noProof/>
                <w:webHidden/>
              </w:rPr>
              <w:t>18</w:t>
            </w:r>
            <w:r w:rsidR="001A4401">
              <w:rPr>
                <w:noProof/>
                <w:webHidden/>
              </w:rPr>
              <w:fldChar w:fldCharType="end"/>
            </w:r>
          </w:hyperlink>
        </w:p>
        <w:p w14:paraId="457FF932" w14:textId="5827812F" w:rsidR="001A4401" w:rsidRDefault="007A4418" w:rsidP="001A4401">
          <w:pPr>
            <w:pStyle w:val="TOC2"/>
            <w:tabs>
              <w:tab w:val="right" w:leader="dot" w:pos="9196"/>
            </w:tabs>
            <w:spacing w:line="360" w:lineRule="auto"/>
            <w:rPr>
              <w:rFonts w:asciiTheme="minorHAnsi" w:eastAsiaTheme="minorEastAsia" w:hAnsiTheme="minorHAnsi" w:cstheme="minorBidi"/>
              <w:noProof/>
              <w:sz w:val="22"/>
              <w:szCs w:val="22"/>
              <w:lang w:val="en-GB" w:eastAsia="en-GB"/>
            </w:rPr>
          </w:pPr>
          <w:hyperlink w:anchor="_Toc228140479" w:history="1">
            <w:r w:rsidR="001A4401" w:rsidRPr="00050898">
              <w:rPr>
                <w:rStyle w:val="Hyperlink"/>
                <w:noProof/>
              </w:rPr>
              <w:t>6.2 Implementation Plan and Strategic Recommendations</w:t>
            </w:r>
            <w:r w:rsidR="001A4401">
              <w:rPr>
                <w:noProof/>
                <w:webHidden/>
              </w:rPr>
              <w:tab/>
            </w:r>
            <w:r w:rsidR="001A4401">
              <w:rPr>
                <w:noProof/>
                <w:webHidden/>
              </w:rPr>
              <w:fldChar w:fldCharType="begin"/>
            </w:r>
            <w:r w:rsidR="001A4401">
              <w:rPr>
                <w:noProof/>
                <w:webHidden/>
              </w:rPr>
              <w:instrText xml:space="preserve"> PAGEREF _Toc228140479 \h </w:instrText>
            </w:r>
            <w:r w:rsidR="001A4401">
              <w:rPr>
                <w:noProof/>
                <w:webHidden/>
              </w:rPr>
            </w:r>
            <w:r w:rsidR="001A4401">
              <w:rPr>
                <w:noProof/>
                <w:webHidden/>
              </w:rPr>
              <w:fldChar w:fldCharType="separate"/>
            </w:r>
            <w:r w:rsidR="00B619C2">
              <w:rPr>
                <w:noProof/>
                <w:webHidden/>
              </w:rPr>
              <w:t>19</w:t>
            </w:r>
            <w:r w:rsidR="001A4401">
              <w:rPr>
                <w:noProof/>
                <w:webHidden/>
              </w:rPr>
              <w:fldChar w:fldCharType="end"/>
            </w:r>
          </w:hyperlink>
        </w:p>
        <w:p w14:paraId="5987C3C9" w14:textId="04F34626" w:rsidR="001A4401" w:rsidRDefault="007A4418" w:rsidP="001A4401">
          <w:pPr>
            <w:pStyle w:val="TOC2"/>
            <w:tabs>
              <w:tab w:val="right" w:leader="dot" w:pos="9196"/>
            </w:tabs>
            <w:spacing w:line="360" w:lineRule="auto"/>
            <w:rPr>
              <w:rFonts w:asciiTheme="minorHAnsi" w:eastAsiaTheme="minorEastAsia" w:hAnsiTheme="minorHAnsi" w:cstheme="minorBidi"/>
              <w:noProof/>
              <w:sz w:val="22"/>
              <w:szCs w:val="22"/>
              <w:lang w:val="en-GB" w:eastAsia="en-GB"/>
            </w:rPr>
          </w:pPr>
          <w:hyperlink w:anchor="_Toc228140480" w:history="1">
            <w:r w:rsidR="001A4401" w:rsidRPr="00050898">
              <w:rPr>
                <w:rStyle w:val="Hyperlink"/>
                <w:noProof/>
              </w:rPr>
              <w:t>6.3 Future Outlook</w:t>
            </w:r>
            <w:r w:rsidR="001A4401">
              <w:rPr>
                <w:noProof/>
                <w:webHidden/>
              </w:rPr>
              <w:tab/>
            </w:r>
            <w:r w:rsidR="001A4401">
              <w:rPr>
                <w:noProof/>
                <w:webHidden/>
              </w:rPr>
              <w:fldChar w:fldCharType="begin"/>
            </w:r>
            <w:r w:rsidR="001A4401">
              <w:rPr>
                <w:noProof/>
                <w:webHidden/>
              </w:rPr>
              <w:instrText xml:space="preserve"> PAGEREF _Toc228140480 \h </w:instrText>
            </w:r>
            <w:r w:rsidR="001A4401">
              <w:rPr>
                <w:noProof/>
                <w:webHidden/>
              </w:rPr>
            </w:r>
            <w:r w:rsidR="001A4401">
              <w:rPr>
                <w:noProof/>
                <w:webHidden/>
              </w:rPr>
              <w:fldChar w:fldCharType="separate"/>
            </w:r>
            <w:r w:rsidR="00B619C2">
              <w:rPr>
                <w:noProof/>
                <w:webHidden/>
              </w:rPr>
              <w:t>20</w:t>
            </w:r>
            <w:r w:rsidR="001A4401">
              <w:rPr>
                <w:noProof/>
                <w:webHidden/>
              </w:rPr>
              <w:fldChar w:fldCharType="end"/>
            </w:r>
          </w:hyperlink>
        </w:p>
        <w:p w14:paraId="486EE0F1" w14:textId="65852B08" w:rsidR="001A4401" w:rsidRDefault="007A4418" w:rsidP="001A4401">
          <w:pPr>
            <w:pStyle w:val="TOC1"/>
            <w:tabs>
              <w:tab w:val="right" w:leader="dot" w:pos="9196"/>
            </w:tabs>
            <w:spacing w:line="360" w:lineRule="auto"/>
            <w:rPr>
              <w:rFonts w:asciiTheme="minorHAnsi" w:eastAsiaTheme="minorEastAsia" w:hAnsiTheme="minorHAnsi" w:cstheme="minorBidi"/>
              <w:noProof/>
              <w:sz w:val="22"/>
              <w:szCs w:val="22"/>
              <w:lang w:val="en-GB" w:eastAsia="en-GB"/>
            </w:rPr>
          </w:pPr>
          <w:hyperlink w:anchor="_Toc228140481" w:history="1">
            <w:r w:rsidR="001A4401" w:rsidRPr="00050898">
              <w:rPr>
                <w:rStyle w:val="Hyperlink"/>
                <w:noProof/>
              </w:rPr>
              <w:t>Bibliography</w:t>
            </w:r>
            <w:r w:rsidR="001A4401">
              <w:rPr>
                <w:noProof/>
                <w:webHidden/>
              </w:rPr>
              <w:tab/>
            </w:r>
            <w:r w:rsidR="001A4401">
              <w:rPr>
                <w:noProof/>
                <w:webHidden/>
              </w:rPr>
              <w:fldChar w:fldCharType="begin"/>
            </w:r>
            <w:r w:rsidR="001A4401">
              <w:rPr>
                <w:noProof/>
                <w:webHidden/>
              </w:rPr>
              <w:instrText xml:space="preserve"> PAGEREF _Toc228140481 \h </w:instrText>
            </w:r>
            <w:r w:rsidR="001A4401">
              <w:rPr>
                <w:noProof/>
                <w:webHidden/>
              </w:rPr>
            </w:r>
            <w:r w:rsidR="001A4401">
              <w:rPr>
                <w:noProof/>
                <w:webHidden/>
              </w:rPr>
              <w:fldChar w:fldCharType="separate"/>
            </w:r>
            <w:r w:rsidR="00B619C2">
              <w:rPr>
                <w:noProof/>
                <w:webHidden/>
              </w:rPr>
              <w:t>21</w:t>
            </w:r>
            <w:r w:rsidR="001A4401">
              <w:rPr>
                <w:noProof/>
                <w:webHidden/>
              </w:rPr>
              <w:fldChar w:fldCharType="end"/>
            </w:r>
          </w:hyperlink>
        </w:p>
        <w:p w14:paraId="6B5BF0D8" w14:textId="60B85F1B" w:rsidR="008A7182" w:rsidRPr="008A7182" w:rsidRDefault="008A7182" w:rsidP="001A4401">
          <w:pPr>
            <w:spacing w:after="160" w:line="360" w:lineRule="auto"/>
          </w:pPr>
          <w:r w:rsidRPr="008A7182">
            <w:rPr>
              <w:noProof/>
            </w:rPr>
            <w:fldChar w:fldCharType="end"/>
          </w:r>
        </w:p>
      </w:sdtContent>
    </w:sdt>
    <w:p w14:paraId="6E7E93B6" w14:textId="77777777" w:rsidR="008A7182" w:rsidRDefault="008A7182" w:rsidP="001A4401">
      <w:pPr>
        <w:spacing w:after="160" w:line="360" w:lineRule="auto"/>
        <w:rPr>
          <w:rFonts w:eastAsia="Arial"/>
          <w:b/>
          <w:bCs/>
        </w:rPr>
      </w:pPr>
      <w:r>
        <w:br w:type="page"/>
      </w:r>
    </w:p>
    <w:p w14:paraId="75D3C270" w14:textId="77777777" w:rsidR="0066666F" w:rsidRPr="005F27D2" w:rsidRDefault="00507C87" w:rsidP="001A4401">
      <w:pPr>
        <w:pStyle w:val="Heading1"/>
        <w:spacing w:after="160"/>
        <w:rPr>
          <w:rFonts w:cs="Times New Roman"/>
          <w:color w:val="auto"/>
          <w:szCs w:val="24"/>
        </w:rPr>
      </w:pPr>
      <w:bookmarkStart w:id="1" w:name="_Toc228140454"/>
      <w:r w:rsidRPr="005F27D2">
        <w:rPr>
          <w:rFonts w:cs="Times New Roman"/>
          <w:color w:val="auto"/>
          <w:szCs w:val="24"/>
        </w:rPr>
        <w:lastRenderedPageBreak/>
        <w:t>1. Introduction</w:t>
      </w:r>
      <w:bookmarkEnd w:id="1"/>
    </w:p>
    <w:p w14:paraId="57D73D58" w14:textId="77777777" w:rsidR="0066666F" w:rsidRPr="005F27D2" w:rsidRDefault="00507C87" w:rsidP="001A4401">
      <w:pPr>
        <w:pStyle w:val="Heading2"/>
        <w:spacing w:before="0" w:line="360" w:lineRule="auto"/>
        <w:jc w:val="both"/>
        <w:rPr>
          <w:rFonts w:cs="Times New Roman"/>
          <w:color w:val="auto"/>
          <w:szCs w:val="24"/>
        </w:rPr>
      </w:pPr>
      <w:bookmarkStart w:id="2" w:name="_Toc228140455"/>
      <w:r w:rsidRPr="005F27D2">
        <w:rPr>
          <w:rFonts w:cs="Times New Roman"/>
          <w:color w:val="auto"/>
          <w:szCs w:val="24"/>
        </w:rPr>
        <w:t>1.1 Background: GlaxoSmithKline (GSK)</w:t>
      </w:r>
      <w:bookmarkEnd w:id="2"/>
    </w:p>
    <w:p w14:paraId="0D3A2D0E" w14:textId="076A14BC" w:rsidR="004A3145" w:rsidRPr="005F27D2" w:rsidRDefault="004A3145" w:rsidP="001A4401">
      <w:pPr>
        <w:spacing w:after="160" w:line="360" w:lineRule="auto"/>
        <w:jc w:val="both"/>
      </w:pPr>
      <w:r w:rsidRPr="005F27D2">
        <w:t xml:space="preserve">GlaxoSmithKline (GSK) is a multinational biopharmaceutical firm based in London, the United Kingdom. GSK, with yearly revenues of over </w:t>
      </w:r>
      <w:r w:rsidR="005F27D2" w:rsidRPr="005F27D2">
        <w:rPr>
          <w:i/>
          <w:iCs/>
        </w:rPr>
        <w:t>£</w:t>
      </w:r>
      <w:r w:rsidRPr="005F27D2">
        <w:t xml:space="preserve">30 billion and around 70,000 employees spread over </w:t>
      </w:r>
      <w:proofErr w:type="spellStart"/>
      <w:r w:rsidRPr="005F27D2">
        <w:t>over</w:t>
      </w:r>
      <w:proofErr w:type="spellEnd"/>
      <w:r w:rsidRPr="005F27D2">
        <w:t xml:space="preserve"> 75 countries, is at the pentagon of world healthcare (GSK Annual Report, 2023). Innovative Medicines, Vaccines, and Consumer Healthcare (since spin-off, </w:t>
      </w:r>
      <w:proofErr w:type="spellStart"/>
      <w:r w:rsidRPr="005F27D2">
        <w:t>Haleon</w:t>
      </w:r>
      <w:proofErr w:type="spellEnd"/>
      <w:r w:rsidRPr="005F27D2">
        <w:t xml:space="preserve">) are the three core businesses that the company has in its global presence. GSK operates in the full pharmaceutical value chain, including early-stage drug discovery and clinical trials, manufacturing, distribution, and after sales monitoring. </w:t>
      </w:r>
    </w:p>
    <w:p w14:paraId="1FE5C07A" w14:textId="070DAF05" w:rsidR="00B46847" w:rsidRDefault="004A3145" w:rsidP="001A4401">
      <w:pPr>
        <w:spacing w:after="160" w:line="360" w:lineRule="auto"/>
        <w:jc w:val="both"/>
      </w:pPr>
      <w:r w:rsidRPr="005F27D2">
        <w:t xml:space="preserve">GSK has over the last few years specifically identified AI and digital health technologies as the focus of its long-term competitive strategy. The company has put a significant financial investment in AI-driven drug discovery solutions, including its collaboration with Isomorphic Labs of Alphabet and its own AI platform, the AI/ML Centre of Excellence (GSK, 2024). The CEO of GSK Emma Walmsley has already defined GSK as a science-based, technology-enabled company, which indicates that the use of AI is not something temporary but fundamental to the future positioning of the </w:t>
      </w:r>
      <w:proofErr w:type="spellStart"/>
      <w:r w:rsidRPr="005F27D2">
        <w:t>organisation</w:t>
      </w:r>
      <w:proofErr w:type="spellEnd"/>
      <w:r w:rsidRPr="005F27D2">
        <w:t xml:space="preserve"> (Financial Times, 2023).</w:t>
      </w:r>
    </w:p>
    <w:p w14:paraId="32FFFE0D" w14:textId="77777777" w:rsidR="001A4401" w:rsidRPr="005F27D2" w:rsidRDefault="001A4401" w:rsidP="001A4401">
      <w:pPr>
        <w:spacing w:after="160" w:line="360" w:lineRule="auto"/>
        <w:jc w:val="both"/>
      </w:pPr>
    </w:p>
    <w:p w14:paraId="05C6E4F1" w14:textId="77777777" w:rsidR="0066666F" w:rsidRPr="005F27D2" w:rsidRDefault="00507C87" w:rsidP="001A4401">
      <w:pPr>
        <w:pStyle w:val="Heading2"/>
        <w:spacing w:before="0" w:line="360" w:lineRule="auto"/>
        <w:jc w:val="both"/>
        <w:rPr>
          <w:rFonts w:cs="Times New Roman"/>
          <w:color w:val="auto"/>
          <w:szCs w:val="24"/>
        </w:rPr>
      </w:pPr>
      <w:bookmarkStart w:id="3" w:name="_Toc228140456"/>
      <w:r w:rsidRPr="005F27D2">
        <w:rPr>
          <w:rFonts w:cs="Times New Roman"/>
          <w:color w:val="auto"/>
          <w:szCs w:val="24"/>
        </w:rPr>
        <w:t>1.2 Scope and Objective of the Report</w:t>
      </w:r>
      <w:bookmarkEnd w:id="3"/>
    </w:p>
    <w:p w14:paraId="250BB095" w14:textId="77777777" w:rsidR="004A3145" w:rsidRPr="005F27D2" w:rsidRDefault="004A3145" w:rsidP="001A4401">
      <w:pPr>
        <w:spacing w:after="160" w:line="360" w:lineRule="auto"/>
        <w:jc w:val="both"/>
      </w:pPr>
      <w:r w:rsidRPr="005F27D2">
        <w:t xml:space="preserve">RFD Global has been commissioned to write this report as part of the internship application process at GSK and to advise its senior leadership on the complex risks presented by the rapid expansion of AI through its business. In particular, the report will cover four connected areas: data control, ethical use of AI, regulatory compliance, and ensuring customer and patient faith. This analysis is based on the both academic theory and modern industry practice, basing on the empirical data, regulatory documents and peer-reviewed literature. </w:t>
      </w:r>
    </w:p>
    <w:p w14:paraId="38CDD260" w14:textId="00F07D83" w:rsidR="0066666F" w:rsidRPr="005F27D2" w:rsidRDefault="004A3145" w:rsidP="001A4401">
      <w:pPr>
        <w:spacing w:after="160" w:line="360" w:lineRule="auto"/>
        <w:jc w:val="both"/>
      </w:pPr>
      <w:r w:rsidRPr="005F27D2">
        <w:t>The report takes a comparative global approach, analyzing the risk environment of GSK AI in the United Kingdom and the European Union, two jurisdictions in which the GSK has high activity and where the regulatory environment is unique but overlapping. The reason why the EU is chosen over other global comparator regions is because the EU AI Act (European Parliament, 2024), the first global-type legislation on AI, will have a material effect on GSK operations in Europe because of its landmark importance.</w:t>
      </w:r>
    </w:p>
    <w:p w14:paraId="4B0C87FD" w14:textId="77777777" w:rsidR="0066666F" w:rsidRPr="005F27D2" w:rsidRDefault="00507C87" w:rsidP="001A4401">
      <w:pPr>
        <w:pStyle w:val="Heading2"/>
        <w:spacing w:before="0" w:line="360" w:lineRule="auto"/>
        <w:jc w:val="both"/>
        <w:rPr>
          <w:rFonts w:cs="Times New Roman"/>
          <w:color w:val="auto"/>
          <w:szCs w:val="24"/>
        </w:rPr>
      </w:pPr>
      <w:bookmarkStart w:id="4" w:name="_Toc228140457"/>
      <w:r w:rsidRPr="005F27D2">
        <w:rPr>
          <w:rFonts w:cs="Times New Roman"/>
          <w:color w:val="auto"/>
          <w:szCs w:val="24"/>
        </w:rPr>
        <w:lastRenderedPageBreak/>
        <w:t>1.3 Theoretical and Analytical Framework</w:t>
      </w:r>
      <w:bookmarkEnd w:id="4"/>
    </w:p>
    <w:p w14:paraId="7C6A2965" w14:textId="21C20B25" w:rsidR="00B46847" w:rsidRDefault="004A3145" w:rsidP="001A4401">
      <w:pPr>
        <w:spacing w:after="160" w:line="360" w:lineRule="auto"/>
        <w:jc w:val="both"/>
      </w:pPr>
      <w:r w:rsidRPr="005F27D2">
        <w:t xml:space="preserve">The analysis has been based on various theoretical models that can be applied to international business and risk management. The investigation of the macroeconomic and regulatory forces is organized through PESTLE analysis (Political, Economic, Social, Technological, Legal, Environmental) (Johnson et al., 2017). The Porters Five Forces and Value Chain Analysis educate on the competitiveness and the effects of AI on either building or destroying strategic advantage (Porter, 1985). The risk </w:t>
      </w:r>
      <w:proofErr w:type="spellStart"/>
      <w:r w:rsidRPr="005F27D2">
        <w:t>categorisation</w:t>
      </w:r>
      <w:proofErr w:type="spellEnd"/>
      <w:r w:rsidRPr="005F27D2">
        <w:t xml:space="preserve"> and mitigation suggestions are informed by Enterprise Risk Management (ERM) structures, especially those that are consistent with ISO 31000:2018. These frameworks are contextually applied to the specific operating profile of GSK, as opposed to being general, and make the analysis both academically sound and practical.</w:t>
      </w:r>
    </w:p>
    <w:p w14:paraId="2C325CCA" w14:textId="4F0A1CBB" w:rsidR="001A4401" w:rsidRDefault="001A4401" w:rsidP="001A4401">
      <w:pPr>
        <w:spacing w:after="160" w:line="360" w:lineRule="auto"/>
        <w:jc w:val="both"/>
      </w:pPr>
    </w:p>
    <w:p w14:paraId="51FD0494" w14:textId="77777777" w:rsidR="001A4401" w:rsidRPr="005F27D2" w:rsidRDefault="001A4401" w:rsidP="001A4401">
      <w:pPr>
        <w:spacing w:after="160" w:line="360" w:lineRule="auto"/>
        <w:jc w:val="both"/>
      </w:pPr>
    </w:p>
    <w:p w14:paraId="6A5575B2" w14:textId="77777777" w:rsidR="0066666F" w:rsidRPr="005F27D2" w:rsidRDefault="00507C87" w:rsidP="001A4401">
      <w:pPr>
        <w:pStyle w:val="Heading1"/>
        <w:spacing w:after="160"/>
        <w:rPr>
          <w:rFonts w:cs="Times New Roman"/>
          <w:color w:val="auto"/>
          <w:szCs w:val="24"/>
        </w:rPr>
      </w:pPr>
      <w:bookmarkStart w:id="5" w:name="_Toc228140458"/>
      <w:r w:rsidRPr="005F27D2">
        <w:rPr>
          <w:rFonts w:cs="Times New Roman"/>
          <w:color w:val="auto"/>
          <w:szCs w:val="24"/>
        </w:rPr>
        <w:t>2. The Impact of Political, Technological, and Regulatory Change on GSK</w:t>
      </w:r>
      <w:bookmarkEnd w:id="5"/>
    </w:p>
    <w:p w14:paraId="6B91289E" w14:textId="77777777" w:rsidR="0066666F" w:rsidRPr="005F27D2" w:rsidRDefault="00507C87" w:rsidP="001A4401">
      <w:pPr>
        <w:pStyle w:val="Heading2"/>
        <w:spacing w:before="0" w:line="360" w:lineRule="auto"/>
        <w:jc w:val="both"/>
        <w:rPr>
          <w:rFonts w:cs="Times New Roman"/>
          <w:color w:val="auto"/>
          <w:szCs w:val="24"/>
        </w:rPr>
      </w:pPr>
      <w:bookmarkStart w:id="6" w:name="_Toc228140459"/>
      <w:r w:rsidRPr="005F27D2">
        <w:rPr>
          <w:rFonts w:cs="Times New Roman"/>
          <w:color w:val="auto"/>
          <w:szCs w:val="24"/>
        </w:rPr>
        <w:t>2.1 Political Change and AI Strategy</w:t>
      </w:r>
      <w:bookmarkEnd w:id="6"/>
    </w:p>
    <w:p w14:paraId="39276D42" w14:textId="77777777" w:rsidR="004A3145" w:rsidRPr="005F27D2" w:rsidRDefault="004A3145" w:rsidP="001A4401">
      <w:pPr>
        <w:spacing w:after="160" w:line="360" w:lineRule="auto"/>
        <w:jc w:val="both"/>
      </w:pPr>
      <w:r w:rsidRPr="005F27D2">
        <w:t xml:space="preserve">The political landscape that GSK is now working in has shifted radically since 2016 with direct impact on its AI strategy and risk management positioning. The most disruption event in the UK operations of GSK has been Brexit. The UK leaving the European Union has generated high tension in three areas that are of importance to GSK, including the cross-regional recognition of medication approvals, the transfer of clinical trial information across borders, and standardization of AI governance (Maclean et al., 2022). </w:t>
      </w:r>
    </w:p>
    <w:p w14:paraId="610F81D5" w14:textId="5E3883DC" w:rsidR="0066666F" w:rsidRPr="005F27D2" w:rsidRDefault="004A3145" w:rsidP="001A4401">
      <w:pPr>
        <w:spacing w:after="160" w:line="360" w:lineRule="auto"/>
        <w:jc w:val="both"/>
      </w:pPr>
      <w:r w:rsidRPr="005F27D2">
        <w:t xml:space="preserve">Since Brexit, the Medicines and Healthcare products Regulatory Agency (MHRA) has been keen to develop its own regulatory identity but in the awareness that it has to work well with the European Medicines Agency (EMA) on interoperability. Part of the reason why the MHRA has created the Innovative Licensing and Access Pathway (ILAP) is to make the UK a </w:t>
      </w:r>
      <w:proofErr w:type="spellStart"/>
      <w:r w:rsidRPr="005F27D2">
        <w:t>favourable</w:t>
      </w:r>
      <w:proofErr w:type="spellEnd"/>
      <w:r w:rsidRPr="005F27D2">
        <w:t xml:space="preserve"> destination to develop novel medicines technologies, such as AI-assisted diagnostics and drug discovery (MHRA, 2023). Nevertheless, the disconnect between UK and EU AI regulations, especially since the introduction of the EU AI Act, creates complexity in the way GSK operates, as it has to meet two sets of requirements at the same time.</w:t>
      </w:r>
    </w:p>
    <w:p w14:paraId="49D0C634" w14:textId="77777777" w:rsidR="007C52EF" w:rsidRPr="005F27D2" w:rsidRDefault="007C52EF" w:rsidP="001A4401">
      <w:pPr>
        <w:spacing w:after="160" w:line="360" w:lineRule="auto"/>
        <w:jc w:val="both"/>
      </w:pPr>
      <w:r w:rsidRPr="005F27D2">
        <w:t xml:space="preserve">The precautionary and risk-tiered approach has </w:t>
      </w:r>
      <w:proofErr w:type="spellStart"/>
      <w:r w:rsidRPr="005F27D2">
        <w:t>characterised</w:t>
      </w:r>
      <w:proofErr w:type="spellEnd"/>
      <w:r w:rsidRPr="005F27D2">
        <w:t xml:space="preserve"> the political direction on AI in the European Union. Placing AI as an important technology that will need strong governance by the </w:t>
      </w:r>
      <w:r w:rsidRPr="005F27D2">
        <w:lastRenderedPageBreak/>
        <w:t xml:space="preserve">European Commission has led to the first global AI law. The AI systems in medical devices and healthcare are defined as high-risk systems (EU AI Act, which was formally adopted in 2024) and have to undergo severe conformity testing, transparency requirements, and post-market surveillance requirements (European Parliament, 2024). Immediate operational implications in the case of GSK: By the latest, by 2026, any AI system used in clinical decision support, drug safety monitoring, or patient stratification must fulfill the provisions of the Act in EU member states. </w:t>
      </w:r>
    </w:p>
    <w:p w14:paraId="06142F1D" w14:textId="60E51313" w:rsidR="0066666F" w:rsidRDefault="007C52EF" w:rsidP="001A4401">
      <w:pPr>
        <w:spacing w:after="160" w:line="360" w:lineRule="auto"/>
        <w:jc w:val="both"/>
      </w:pPr>
      <w:r w:rsidRPr="005F27D2">
        <w:t>The global AI landscape is also being transformed by geopolitical issues, especially between the Western economies and China, which apply to GSK. Export limits on the high-end semiconductors, limits on sharing data with Chinese actors, and de-coupling of technology chains are all systemic risks GSK needs to include in its AI risk framework (Economist Intelligence Unit, 2023). Training AI models, especially those that require patient genomic data gathered through a variety of international populations, could be limited to GSK due to emerging geopolitical trends.</w:t>
      </w:r>
    </w:p>
    <w:p w14:paraId="4F19B1CB" w14:textId="77777777" w:rsidR="001A4401" w:rsidRPr="005F27D2" w:rsidRDefault="001A4401" w:rsidP="001A4401">
      <w:pPr>
        <w:spacing w:after="160" w:line="360" w:lineRule="auto"/>
        <w:jc w:val="both"/>
      </w:pPr>
    </w:p>
    <w:p w14:paraId="4F602814" w14:textId="77777777" w:rsidR="0066666F" w:rsidRPr="005F27D2" w:rsidRDefault="00507C87" w:rsidP="001A4401">
      <w:pPr>
        <w:pStyle w:val="Heading2"/>
        <w:spacing w:before="0" w:line="360" w:lineRule="auto"/>
        <w:jc w:val="both"/>
        <w:rPr>
          <w:rFonts w:cs="Times New Roman"/>
          <w:color w:val="auto"/>
          <w:szCs w:val="24"/>
        </w:rPr>
      </w:pPr>
      <w:bookmarkStart w:id="7" w:name="_Toc228140460"/>
      <w:r w:rsidRPr="005F27D2">
        <w:rPr>
          <w:rFonts w:cs="Times New Roman"/>
          <w:color w:val="auto"/>
          <w:szCs w:val="24"/>
        </w:rPr>
        <w:t>2.2 Technological Change and AI Adoption in Pharmaceuticals</w:t>
      </w:r>
      <w:bookmarkEnd w:id="7"/>
    </w:p>
    <w:p w14:paraId="307A1270" w14:textId="77777777" w:rsidR="007C52EF" w:rsidRPr="005F27D2" w:rsidRDefault="007C52EF" w:rsidP="001A4401">
      <w:pPr>
        <w:spacing w:after="160" w:line="360" w:lineRule="auto"/>
        <w:jc w:val="both"/>
      </w:pPr>
      <w:r w:rsidRPr="005F27D2">
        <w:t xml:space="preserve">The wave of AI revolution is taking the pharmaceutical industry by storm in a way never experienced before. Even AI in drug discovery alone has been projected to save up to 50 years between the target discovery and clinical candidate selection, with McKinsey &amp; Company estimating that AI will bring between 60 billion and 110 billion dollars in value a year to the pharmaceutical industry as a whole (McKinsey Global Institute, 2022). The collaboration between GSK and Isomorphic Labs, the offspring of Google DeepMind, represents the strategic necessity to make AI the central part of the R&amp;D value chain (GSK, 2024). </w:t>
      </w:r>
    </w:p>
    <w:p w14:paraId="759AA52A" w14:textId="77777777" w:rsidR="007C52EF" w:rsidRPr="005F27D2" w:rsidRDefault="007C52EF" w:rsidP="001A4401">
      <w:pPr>
        <w:spacing w:after="160" w:line="360" w:lineRule="auto"/>
        <w:jc w:val="both"/>
      </w:pPr>
      <w:r w:rsidRPr="005F27D2">
        <w:t xml:space="preserve">The main areas of AI application at GSK and the sector are: (1) generative AI in protein structure prediction and molecule design; (2) machine learning in patient stratification and adaptive clinical trial design; (3) natural language processing (NLP) in pharmacovigilance signal detection in adverse event reports; (4) AI-enhanced supply chain </w:t>
      </w:r>
      <w:proofErr w:type="spellStart"/>
      <w:r w:rsidRPr="005F27D2">
        <w:t>optimisation</w:t>
      </w:r>
      <w:proofErr w:type="spellEnd"/>
      <w:r w:rsidRPr="005F27D2">
        <w:t xml:space="preserve"> and demand forecasting; and (5) conversational AI and digital health tools in patient engagement and support of adherence. All these applications have a different risk profile, which should be managed properly. </w:t>
      </w:r>
    </w:p>
    <w:p w14:paraId="3DD31732" w14:textId="24143D67" w:rsidR="0066666F" w:rsidRDefault="007C52EF" w:rsidP="001A4401">
      <w:pPr>
        <w:spacing w:after="160" w:line="360" w:lineRule="auto"/>
        <w:jc w:val="both"/>
      </w:pPr>
      <w:r w:rsidRPr="005F27D2">
        <w:lastRenderedPageBreak/>
        <w:t xml:space="preserve">Workforce and </w:t>
      </w:r>
      <w:proofErr w:type="spellStart"/>
      <w:r w:rsidRPr="005F27D2">
        <w:t>organisational</w:t>
      </w:r>
      <w:proofErr w:type="spellEnd"/>
      <w:r w:rsidRPr="005F27D2">
        <w:t xml:space="preserve"> risks are also posed by the increased pace of AI adoption. In a survey of pharmaceutical executives conducted by Deloitte (2024), the most common answer to the question of the specific barrier to scaling AI initiatives was a lack of AI skills and talent (62%). In the case of GSK, it would mean not only a recruitment issue, as it would have to compete with technology giants to find AI talent but also a change management issue since employees in clinical, regulatory, and commercial areas would need to be retrained to operate efficiently with AI systems. Lack of proper management of this transition may lead to operational failures and employee disengagement which will increase risk exposure.</w:t>
      </w:r>
    </w:p>
    <w:p w14:paraId="37845243" w14:textId="77777777" w:rsidR="001A4401" w:rsidRPr="005F27D2" w:rsidRDefault="001A4401" w:rsidP="001A4401">
      <w:pPr>
        <w:spacing w:after="160" w:line="360" w:lineRule="auto"/>
        <w:jc w:val="both"/>
      </w:pPr>
    </w:p>
    <w:p w14:paraId="662DA0DE" w14:textId="77777777" w:rsidR="0066666F" w:rsidRPr="005F27D2" w:rsidRDefault="00507C87" w:rsidP="001A4401">
      <w:pPr>
        <w:pStyle w:val="Heading2"/>
        <w:spacing w:before="0" w:line="360" w:lineRule="auto"/>
        <w:jc w:val="both"/>
        <w:rPr>
          <w:rFonts w:cs="Times New Roman"/>
          <w:color w:val="auto"/>
          <w:szCs w:val="24"/>
        </w:rPr>
      </w:pPr>
      <w:bookmarkStart w:id="8" w:name="_Toc228140461"/>
      <w:r w:rsidRPr="005F27D2">
        <w:rPr>
          <w:rFonts w:cs="Times New Roman"/>
          <w:color w:val="auto"/>
          <w:szCs w:val="24"/>
        </w:rPr>
        <w:t>2.3 Regulatory Change: AI Governance in the UK and EU</w:t>
      </w:r>
      <w:bookmarkEnd w:id="8"/>
    </w:p>
    <w:p w14:paraId="24C2817F" w14:textId="77777777" w:rsidR="007C52EF" w:rsidRPr="005F27D2" w:rsidRDefault="007C52EF" w:rsidP="001A4401">
      <w:pPr>
        <w:spacing w:after="160" w:line="360" w:lineRule="auto"/>
        <w:jc w:val="both"/>
      </w:pPr>
      <w:r w:rsidRPr="005F27D2">
        <w:t xml:space="preserve">The regulatory landscape on AI is developing dynamically and provides not only compliance issues but also strategic opportunities to companies such as GSK. The UK government has avoided being prescriptive in AI regulation. The Bletchley Park AI Safety Summit with Prime Minister Rishi Sunak in the chair has placed the UK in a position of AI safety and governance thought leadership with the release of the Bletchley Declaration, signed by 28 governments (including the United States and China, and the EU) (UK Government, 2023). The UK, however, has instead chosen not to pass sector-agnostic AI-related legislation, but give existing regulators, such as the ICO, MHRA, and the Competition and Markets Authority (CMA), the power to apply their current frameworks to AI applications within their jurisdictions. </w:t>
      </w:r>
    </w:p>
    <w:p w14:paraId="60840F27" w14:textId="77777777" w:rsidR="007C52EF" w:rsidRPr="005F27D2" w:rsidRDefault="007C52EF" w:rsidP="001A4401">
      <w:pPr>
        <w:spacing w:after="160" w:line="360" w:lineRule="auto"/>
        <w:jc w:val="both"/>
      </w:pPr>
      <w:r w:rsidRPr="005F27D2">
        <w:t xml:space="preserve">The Information Commissioner Office (ICO) in the UK has already issued voluminous guidance on the implementation of the UK GDPR to AI, specifically on automated decision-making in respect of Article 22, data </w:t>
      </w:r>
      <w:proofErr w:type="spellStart"/>
      <w:r w:rsidRPr="005F27D2">
        <w:t>minimisation</w:t>
      </w:r>
      <w:proofErr w:type="spellEnd"/>
      <w:r w:rsidRPr="005F27D2">
        <w:t xml:space="preserve"> principles, and the need of </w:t>
      </w:r>
      <w:proofErr w:type="spellStart"/>
      <w:r w:rsidRPr="005F27D2">
        <w:t>explainability</w:t>
      </w:r>
      <w:proofErr w:type="spellEnd"/>
      <w:r w:rsidRPr="005F27D2">
        <w:t xml:space="preserve"> of AI-driven decisions involving individuals (ICO, 2023). In the case of GSK, where the AI systems used process large amounts of patient and employee personal data, compliance with UK GDPR is mandatory. The ICO (2023) audit of AI application in health-related </w:t>
      </w:r>
      <w:proofErr w:type="spellStart"/>
      <w:r w:rsidRPr="005F27D2">
        <w:t>organisations</w:t>
      </w:r>
      <w:proofErr w:type="spellEnd"/>
      <w:r w:rsidRPr="005F27D2">
        <w:t xml:space="preserve"> found systemic weaknesses in lawful basis documentation, data retention policy, and transparency notices, areas in which the GSK needs to lead in its internal governance. </w:t>
      </w:r>
    </w:p>
    <w:p w14:paraId="60D47F92" w14:textId="2923404F" w:rsidR="00B46847" w:rsidRDefault="007C52EF" w:rsidP="001A4401">
      <w:pPr>
        <w:spacing w:after="160" w:line="360" w:lineRule="auto"/>
        <w:jc w:val="both"/>
      </w:pPr>
      <w:r w:rsidRPr="005F27D2">
        <w:t xml:space="preserve">The EU AI Act, on its part, is the most ambitious piece of legislation that regulates AI so far. The risk-based </w:t>
      </w:r>
      <w:proofErr w:type="spellStart"/>
      <w:r w:rsidRPr="005F27D2">
        <w:t>categorisation</w:t>
      </w:r>
      <w:proofErr w:type="spellEnd"/>
      <w:r w:rsidRPr="005F27D2">
        <w:t xml:space="preserve"> of the Act is especially applicable to GSK: AI systems as safety devices in medical devices or as clinical devices are classified as high-risk, which entails such requirements as: mandatory risk management systems; high-quality training data requirements with bias testing; technical documentation and logging requirements; human oversight </w:t>
      </w:r>
      <w:r w:rsidRPr="005F27D2">
        <w:lastRenderedPageBreak/>
        <w:t>provisions; and post-market monitoring plans (European Parliament, 2024). The EU-facing AI systems used by GSK need to be fully aligned with these requirements, which is an expensive compliance investment but also a chance to introduce best practice that sets GSK apart.</w:t>
      </w:r>
    </w:p>
    <w:p w14:paraId="4866EA05" w14:textId="77777777" w:rsidR="001A4401" w:rsidRPr="005F27D2" w:rsidRDefault="001A4401" w:rsidP="001A4401">
      <w:pPr>
        <w:spacing w:after="160" w:line="360" w:lineRule="auto"/>
        <w:jc w:val="both"/>
      </w:pPr>
    </w:p>
    <w:p w14:paraId="23402217" w14:textId="77777777" w:rsidR="0066666F" w:rsidRPr="005F27D2" w:rsidRDefault="00507C87" w:rsidP="001A4401">
      <w:pPr>
        <w:pStyle w:val="Heading2"/>
        <w:spacing w:before="0" w:line="360" w:lineRule="auto"/>
        <w:jc w:val="both"/>
        <w:rPr>
          <w:rFonts w:cs="Times New Roman"/>
          <w:color w:val="auto"/>
          <w:szCs w:val="24"/>
        </w:rPr>
      </w:pPr>
      <w:bookmarkStart w:id="9" w:name="_Toc228140462"/>
      <w:r w:rsidRPr="005F27D2">
        <w:rPr>
          <w:rFonts w:cs="Times New Roman"/>
          <w:color w:val="auto"/>
          <w:szCs w:val="24"/>
        </w:rPr>
        <w:t>2.4 Impact on GSK's Risk Management Strategy</w:t>
      </w:r>
      <w:bookmarkEnd w:id="9"/>
    </w:p>
    <w:p w14:paraId="23673BD5" w14:textId="77777777" w:rsidR="007C52EF" w:rsidRPr="005F27D2" w:rsidRDefault="007C52EF" w:rsidP="001A4401">
      <w:pPr>
        <w:spacing w:after="160" w:line="360" w:lineRule="auto"/>
        <w:jc w:val="both"/>
      </w:pPr>
      <w:r w:rsidRPr="005F27D2">
        <w:t xml:space="preserve">A combination of political instability, a rapid pace of technology, and regulatory change has resulted in a complicated risk environment that the current risk management frameworks at GSK were not made to handle. Historical pharmaceutical risk management has focused on clinical risk testing, safety signal identification, and operational quality - fields where good methodology and regulatory precedent exist. AI brings in a novel type of systemic digital risk that borders across </w:t>
      </w:r>
      <w:proofErr w:type="spellStart"/>
      <w:r w:rsidRPr="005F27D2">
        <w:t>organisational</w:t>
      </w:r>
      <w:proofErr w:type="spellEnd"/>
      <w:r w:rsidRPr="005F27D2">
        <w:t xml:space="preserve"> boundaries and cannot be handled by a single functional unit. </w:t>
      </w:r>
    </w:p>
    <w:p w14:paraId="38E587E7" w14:textId="46EA7CA8" w:rsidR="00B46847" w:rsidRDefault="007C52EF" w:rsidP="001A4401">
      <w:pPr>
        <w:spacing w:after="160" w:line="360" w:lineRule="auto"/>
        <w:jc w:val="both"/>
      </w:pPr>
      <w:r w:rsidRPr="005F27D2">
        <w:t>In its 2023 Annual Report, AI-related risk is already recognized by GSK as part of its category of Emerging Risks, which includes the possibility of regulatory non-conformity, reputational harm, and data breaches related to the use of AI (GSK, 2023). Nevertheless, its present level of risk disclosure is rather abstract, which is not a practical way of managing operational risk. The report is a plea that GSK should no longer treat AI risk as an emergent or horizon issue, but as a fundamental component of its enterprise risk management process with risk owners, risk appetite levels and periodic reporting to the board.</w:t>
      </w:r>
    </w:p>
    <w:p w14:paraId="2CBD0443" w14:textId="6B48BA6A" w:rsidR="001A4401" w:rsidRDefault="001A4401" w:rsidP="001A4401">
      <w:pPr>
        <w:spacing w:after="160" w:line="360" w:lineRule="auto"/>
        <w:jc w:val="both"/>
      </w:pPr>
    </w:p>
    <w:p w14:paraId="602462E0" w14:textId="77777777" w:rsidR="001A4401" w:rsidRPr="005F27D2" w:rsidRDefault="001A4401" w:rsidP="001A4401">
      <w:pPr>
        <w:spacing w:after="160" w:line="360" w:lineRule="auto"/>
        <w:jc w:val="both"/>
      </w:pPr>
    </w:p>
    <w:p w14:paraId="12F5C7A8" w14:textId="77777777" w:rsidR="0066666F" w:rsidRPr="005F27D2" w:rsidRDefault="00507C87" w:rsidP="001A4401">
      <w:pPr>
        <w:pStyle w:val="Heading1"/>
        <w:spacing w:after="160"/>
        <w:rPr>
          <w:rFonts w:cs="Times New Roman"/>
          <w:color w:val="auto"/>
          <w:szCs w:val="24"/>
        </w:rPr>
      </w:pPr>
      <w:bookmarkStart w:id="10" w:name="_Toc228140463"/>
      <w:r w:rsidRPr="005F27D2">
        <w:rPr>
          <w:rFonts w:cs="Times New Roman"/>
          <w:color w:val="auto"/>
          <w:szCs w:val="24"/>
        </w:rPr>
        <w:t>3. Global Business Environment: Macroeconomic Policy and AI</w:t>
      </w:r>
      <w:bookmarkEnd w:id="10"/>
    </w:p>
    <w:p w14:paraId="79F92609" w14:textId="77777777" w:rsidR="0066666F" w:rsidRPr="005F27D2" w:rsidRDefault="00507C87" w:rsidP="001A4401">
      <w:pPr>
        <w:pStyle w:val="Heading2"/>
        <w:spacing w:before="0" w:line="360" w:lineRule="auto"/>
        <w:jc w:val="both"/>
        <w:rPr>
          <w:rFonts w:cs="Times New Roman"/>
          <w:color w:val="auto"/>
          <w:szCs w:val="24"/>
        </w:rPr>
      </w:pPr>
      <w:bookmarkStart w:id="11" w:name="_Toc228140464"/>
      <w:r w:rsidRPr="005F27D2">
        <w:rPr>
          <w:rFonts w:cs="Times New Roman"/>
          <w:color w:val="auto"/>
          <w:szCs w:val="24"/>
        </w:rPr>
        <w:t>3.1 Macroeconomic Overview and AI Investment</w:t>
      </w:r>
      <w:bookmarkEnd w:id="11"/>
    </w:p>
    <w:p w14:paraId="2F9AB22C" w14:textId="380906E0" w:rsidR="00FB57BF" w:rsidRPr="005F27D2" w:rsidRDefault="00FB57BF" w:rsidP="001A4401">
      <w:pPr>
        <w:spacing w:after="160" w:line="360" w:lineRule="auto"/>
        <w:jc w:val="both"/>
      </w:pPr>
      <w:r w:rsidRPr="005F27D2">
        <w:t xml:space="preserve">The macroeconomic landscape of the world in 2024-2026 to invest in AI in the pharmaceutical industry is complex and even contradictory. On the one hand, UK and eurozone interest rates are rising, albeit not up to the same ultra-low rates as those of the 2010s, and this makes large-scale investment in technology more expensive (Bank of England, 2024). In the case of GSK, with such a high R&amp;D cost (over </w:t>
      </w:r>
      <w:r w:rsidR="005F27D2" w:rsidRPr="005F27D2">
        <w:rPr>
          <w:i/>
          <w:iCs/>
        </w:rPr>
        <w:t>£</w:t>
      </w:r>
      <w:r w:rsidRPr="005F27D2">
        <w:t xml:space="preserve">5 billion yearly), the macroeconomic environment would affect the internal distribution of capital between traditional drug development and AI-enabled innovation </w:t>
      </w:r>
      <w:proofErr w:type="spellStart"/>
      <w:r w:rsidRPr="005F27D2">
        <w:t>programmes</w:t>
      </w:r>
      <w:proofErr w:type="spellEnd"/>
      <w:r w:rsidRPr="005F27D2">
        <w:t xml:space="preserve">. </w:t>
      </w:r>
    </w:p>
    <w:p w14:paraId="48FCE729" w14:textId="49678CC9" w:rsidR="00B46847" w:rsidRDefault="00FB57BF" w:rsidP="001A4401">
      <w:pPr>
        <w:spacing w:after="160" w:line="360" w:lineRule="auto"/>
        <w:jc w:val="both"/>
      </w:pPr>
      <w:r w:rsidRPr="005F27D2">
        <w:lastRenderedPageBreak/>
        <w:t xml:space="preserve">Conversely, the strategic necessity of implementing AI is mounting the competition pressure that </w:t>
      </w:r>
      <w:proofErr w:type="spellStart"/>
      <w:r w:rsidRPr="005F27D2">
        <w:t>can not</w:t>
      </w:r>
      <w:proofErr w:type="spellEnd"/>
      <w:r w:rsidRPr="005F27D2">
        <w:t xml:space="preserve"> be disregarded by any major pharmaceutical company. The appearance of AI-native </w:t>
      </w:r>
      <w:proofErr w:type="spellStart"/>
      <w:r w:rsidRPr="005F27D2">
        <w:t>biotechs</w:t>
      </w:r>
      <w:proofErr w:type="spellEnd"/>
      <w:r w:rsidRPr="005F27D2">
        <w:t xml:space="preserve"> with substantial funding, such as Recursion Pharmaceuticals, </w:t>
      </w:r>
      <w:proofErr w:type="spellStart"/>
      <w:r w:rsidRPr="005F27D2">
        <w:t>Exscientia</w:t>
      </w:r>
      <w:proofErr w:type="spellEnd"/>
      <w:r w:rsidRPr="005F27D2">
        <w:t xml:space="preserve">, and </w:t>
      </w:r>
      <w:proofErr w:type="spellStart"/>
      <w:r w:rsidRPr="005F27D2">
        <w:t>BenevolentAI</w:t>
      </w:r>
      <w:proofErr w:type="spellEnd"/>
      <w:r w:rsidRPr="005F27D2">
        <w:t xml:space="preserve">, are shaking the traditional pharmaceutical model of R&amp;D and pushing even established companies, like GSK, to show investors and partners how they can use AI (Nature, 2023). Such a dynamic provides an incentive system where the risks of going to slow on AI may, in terms of competitiveness, be greater than the risks of going </w:t>
      </w:r>
      <w:proofErr w:type="spellStart"/>
      <w:r w:rsidRPr="005F27D2">
        <w:t>to</w:t>
      </w:r>
      <w:proofErr w:type="spellEnd"/>
      <w:r w:rsidRPr="005F27D2">
        <w:t xml:space="preserve"> fast.</w:t>
      </w:r>
    </w:p>
    <w:p w14:paraId="2490E7AB" w14:textId="77777777" w:rsidR="001A4401" w:rsidRPr="005F27D2" w:rsidRDefault="001A4401" w:rsidP="001A4401">
      <w:pPr>
        <w:spacing w:after="160" w:line="360" w:lineRule="auto"/>
        <w:jc w:val="both"/>
      </w:pPr>
    </w:p>
    <w:p w14:paraId="656EA635" w14:textId="77777777" w:rsidR="0066666F" w:rsidRPr="005F27D2" w:rsidRDefault="00507C87" w:rsidP="001A4401">
      <w:pPr>
        <w:pStyle w:val="Heading2"/>
        <w:spacing w:before="0" w:line="360" w:lineRule="auto"/>
        <w:jc w:val="both"/>
        <w:rPr>
          <w:rFonts w:cs="Times New Roman"/>
          <w:color w:val="auto"/>
          <w:szCs w:val="24"/>
        </w:rPr>
      </w:pPr>
      <w:bookmarkStart w:id="12" w:name="_Toc228140465"/>
      <w:r w:rsidRPr="005F27D2">
        <w:rPr>
          <w:rFonts w:cs="Times New Roman"/>
          <w:color w:val="auto"/>
          <w:szCs w:val="24"/>
        </w:rPr>
        <w:t>3.2 Inflation, Trade Tariffs, and AI Supply Chain Risk</w:t>
      </w:r>
      <w:bookmarkEnd w:id="12"/>
    </w:p>
    <w:p w14:paraId="2B326536" w14:textId="77777777" w:rsidR="00FB57BF" w:rsidRPr="005F27D2" w:rsidRDefault="00FB57BF" w:rsidP="001A4401">
      <w:pPr>
        <w:spacing w:after="160" w:line="360" w:lineRule="auto"/>
        <w:jc w:val="both"/>
      </w:pPr>
      <w:r w:rsidRPr="005F27D2">
        <w:t xml:space="preserve">GSK technology infrastructure investment has been directly affected by macroeconomic inflation. Cloud computing, </w:t>
      </w:r>
      <w:proofErr w:type="spellStart"/>
      <w:r w:rsidRPr="005F27D2">
        <w:t>specialised</w:t>
      </w:r>
      <w:proofErr w:type="spellEnd"/>
      <w:r w:rsidRPr="005F27D2">
        <w:t xml:space="preserve"> AI hardware (especially NVIDIA GPUs and similar accelerator chips), and AI talent have become significantly more expensive, making the business case of AI deployment projects more challenging (PricewaterhouseCoopers, 2024). GSK and other large multinationals have been grappling with whether to invest in proprietary AI infrastructure or use third-party cloud AI platforms, as a choice that has substantial data sovereignty and vendor dependency risk implications. </w:t>
      </w:r>
    </w:p>
    <w:p w14:paraId="1ED19AA3" w14:textId="3073E6CB" w:rsidR="00B46847" w:rsidRDefault="00FB57BF" w:rsidP="001A4401">
      <w:pPr>
        <w:spacing w:after="160" w:line="360" w:lineRule="auto"/>
        <w:jc w:val="both"/>
      </w:pPr>
      <w:r w:rsidRPr="005F27D2">
        <w:t>Another macroeconomic risk to the technology infrastructure of GSK is US trade tariffs and export of advanced semiconductors, which affect global supply chains indirectly but are mainly directed at China. The failure in the supply of AI compute may slow the implementation of AI-dependent operational systems such as real-time pharmacovigilance platforms and AI-assisted manufacturing quality control systems (Economist Intelligence Unit, 2023). GSK should thus factor in AI infrastructure resilience in its supply chain risk management model, having redundancy in its compute capacity and diversification in its vendors.</w:t>
      </w:r>
    </w:p>
    <w:p w14:paraId="6969C3EC" w14:textId="77777777" w:rsidR="001A4401" w:rsidRPr="005F27D2" w:rsidRDefault="001A4401" w:rsidP="001A4401">
      <w:pPr>
        <w:spacing w:after="160" w:line="360" w:lineRule="auto"/>
        <w:jc w:val="both"/>
      </w:pPr>
    </w:p>
    <w:p w14:paraId="28C1F409" w14:textId="77777777" w:rsidR="0066666F" w:rsidRPr="005F27D2" w:rsidRDefault="00507C87" w:rsidP="001A4401">
      <w:pPr>
        <w:pStyle w:val="Heading2"/>
        <w:spacing w:before="0" w:line="360" w:lineRule="auto"/>
        <w:jc w:val="both"/>
        <w:rPr>
          <w:rFonts w:cs="Times New Roman"/>
          <w:color w:val="auto"/>
          <w:szCs w:val="24"/>
        </w:rPr>
      </w:pPr>
      <w:bookmarkStart w:id="13" w:name="_Toc228140466"/>
      <w:r w:rsidRPr="005F27D2">
        <w:rPr>
          <w:rFonts w:cs="Times New Roman"/>
          <w:color w:val="auto"/>
          <w:szCs w:val="24"/>
        </w:rPr>
        <w:t>3.3 AI as a Driver of Competitive Advantage in Pharmaceuticals</w:t>
      </w:r>
      <w:bookmarkEnd w:id="13"/>
    </w:p>
    <w:p w14:paraId="555F572A" w14:textId="4DE01327" w:rsidR="00B46847" w:rsidRDefault="00FB57BF" w:rsidP="001A4401">
      <w:pPr>
        <w:spacing w:after="160" w:line="360" w:lineRule="auto"/>
        <w:jc w:val="both"/>
      </w:pPr>
      <w:r w:rsidRPr="005F27D2">
        <w:t>With macroeconomic headwinds, industry observers and academic researchers appear unanimous that AI will be a source of competitive advantage in the pharmaceutical sector in the coming decade. The capacity to use AI to discover drugs faster, cheaper, and more accurately is a paradigm change in the productivity frontier of the industry (</w:t>
      </w:r>
      <w:proofErr w:type="spellStart"/>
      <w:r w:rsidRPr="005F27D2">
        <w:t>Topol</w:t>
      </w:r>
      <w:proofErr w:type="spellEnd"/>
      <w:r w:rsidRPr="005F27D2">
        <w:t xml:space="preserve">, 2019). AI investment by GSK is thus a risk management necessity and a strategic value creation. The partnership with academic institutions and its structure-based drug design with Isomorphic Labs is an example of </w:t>
      </w:r>
      <w:r w:rsidRPr="005F27D2">
        <w:lastRenderedPageBreak/>
        <w:t xml:space="preserve">how the most prominent pharma companies are establishing AI fame through both internal investment and acquisition (GSK, 2024). An institutional commitment to AI adoption beyond the level of project-scale experimentation is the AI Centre of Excellence of the company, which is supposed to scale AI applications in R&amp;D, manufacturing, and commercial activities. The success of such investments, however, is dependent on how these risks are managed: an AI-related scandal, a data leak, or an administrative enforcement measure might not only hurt particular initiatives but also hurt the </w:t>
      </w:r>
      <w:proofErr w:type="spellStart"/>
      <w:r w:rsidRPr="005F27D2">
        <w:t>organisational</w:t>
      </w:r>
      <w:proofErr w:type="spellEnd"/>
      <w:r w:rsidRPr="005F27D2">
        <w:t xml:space="preserve"> legitimacy required to draw AI expertise and partners.</w:t>
      </w:r>
    </w:p>
    <w:p w14:paraId="284B921E" w14:textId="77777777" w:rsidR="001A4401" w:rsidRPr="005F27D2" w:rsidRDefault="001A4401" w:rsidP="001A4401">
      <w:pPr>
        <w:spacing w:after="160" w:line="360" w:lineRule="auto"/>
        <w:jc w:val="both"/>
      </w:pPr>
    </w:p>
    <w:p w14:paraId="3216215F" w14:textId="77777777" w:rsidR="0066666F" w:rsidRPr="005F27D2" w:rsidRDefault="00507C87" w:rsidP="001A4401">
      <w:pPr>
        <w:pStyle w:val="Heading2"/>
        <w:spacing w:before="0" w:line="360" w:lineRule="auto"/>
        <w:jc w:val="both"/>
        <w:rPr>
          <w:rFonts w:cs="Times New Roman"/>
          <w:color w:val="auto"/>
          <w:szCs w:val="24"/>
        </w:rPr>
      </w:pPr>
      <w:bookmarkStart w:id="14" w:name="_Toc228140467"/>
      <w:r w:rsidRPr="005F27D2">
        <w:rPr>
          <w:rFonts w:cs="Times New Roman"/>
          <w:color w:val="auto"/>
          <w:szCs w:val="24"/>
        </w:rPr>
        <w:t>3.4 Macroeconomic Policy Implications for GSK's AI Strategy</w:t>
      </w:r>
      <w:bookmarkEnd w:id="14"/>
    </w:p>
    <w:p w14:paraId="463B9175" w14:textId="77777777" w:rsidR="00FB57BF" w:rsidRPr="005F27D2" w:rsidRDefault="00FB57BF" w:rsidP="001A4401">
      <w:pPr>
        <w:spacing w:after="160" w:line="360" w:lineRule="auto"/>
        <w:jc w:val="both"/>
      </w:pPr>
      <w:r w:rsidRPr="005F27D2">
        <w:t xml:space="preserve">Both the UK and the EU are moving towards developing national industrial strategies that will rapidly accept AI in strategic areas, such as healthcare. In 2023, the updated Life Sciences Vision of UK indicated directly AI and data analytics as priorities of public-private investment and the potential of the NHS as an evidence platform to train AI is at the center of the plan (DHSC, 2023). In the case of GSK, this policy landscape presents both opportunities of pre-competitive data partnership with NHS - gaining access to longitudinal patient data at scale - and responsibilities to show good data stewardship as a prerequisite to access. </w:t>
      </w:r>
    </w:p>
    <w:p w14:paraId="4111FF74" w14:textId="3469F610" w:rsidR="0066666F" w:rsidRDefault="00FB57BF" w:rsidP="001A4401">
      <w:pPr>
        <w:spacing w:after="160" w:line="360" w:lineRule="auto"/>
        <w:jc w:val="both"/>
      </w:pPr>
      <w:r w:rsidRPr="005F27D2">
        <w:t xml:space="preserve">The so-called European Health Data Space (EHDS) is a regulatory framework aimed at supporting secondary use of health data to support research and AI development in the EU, which is likely to be operationalized fully by 2027 (European Commission, 2022). The EHDS will allow GSK to have access to </w:t>
      </w:r>
      <w:proofErr w:type="spellStart"/>
      <w:r w:rsidRPr="005F27D2">
        <w:t>harmonised</w:t>
      </w:r>
      <w:proofErr w:type="spellEnd"/>
      <w:r w:rsidRPr="005F27D2">
        <w:t xml:space="preserve"> health data in EU member states to train AI models, but under strong governance conditions. Proactive involvement in the EHDS early on is a business opportunity, as well as a risk management necessity to GSK, so its AI data practices will be aligned with the framework prior to the enforcement measures being implemented.</w:t>
      </w:r>
    </w:p>
    <w:p w14:paraId="60118141" w14:textId="617BF444" w:rsidR="001A4401" w:rsidRDefault="001A4401" w:rsidP="001A4401">
      <w:pPr>
        <w:spacing w:after="160" w:line="360" w:lineRule="auto"/>
        <w:jc w:val="both"/>
      </w:pPr>
    </w:p>
    <w:p w14:paraId="6B56BDAD" w14:textId="79B7820A" w:rsidR="00B619C2" w:rsidRDefault="00B619C2" w:rsidP="001A4401">
      <w:pPr>
        <w:spacing w:after="160" w:line="360" w:lineRule="auto"/>
        <w:jc w:val="both"/>
      </w:pPr>
    </w:p>
    <w:p w14:paraId="1004C4EE" w14:textId="2203855A" w:rsidR="00B619C2" w:rsidRDefault="00B619C2" w:rsidP="001A4401">
      <w:pPr>
        <w:spacing w:after="160" w:line="360" w:lineRule="auto"/>
        <w:jc w:val="both"/>
      </w:pPr>
    </w:p>
    <w:p w14:paraId="7C1F8B95" w14:textId="77777777" w:rsidR="00B619C2" w:rsidRDefault="00B619C2" w:rsidP="001A4401">
      <w:pPr>
        <w:spacing w:after="160" w:line="360" w:lineRule="auto"/>
        <w:jc w:val="both"/>
      </w:pPr>
    </w:p>
    <w:p w14:paraId="05655C31" w14:textId="77777777" w:rsidR="001A4401" w:rsidRPr="005F27D2" w:rsidRDefault="001A4401" w:rsidP="001A4401">
      <w:pPr>
        <w:spacing w:after="160" w:line="360" w:lineRule="auto"/>
        <w:jc w:val="both"/>
      </w:pPr>
    </w:p>
    <w:p w14:paraId="6A81ED10" w14:textId="77777777" w:rsidR="0066666F" w:rsidRPr="005F27D2" w:rsidRDefault="00507C87" w:rsidP="001A4401">
      <w:pPr>
        <w:pStyle w:val="Heading1"/>
        <w:spacing w:after="160"/>
        <w:rPr>
          <w:rFonts w:cs="Times New Roman"/>
          <w:color w:val="auto"/>
          <w:szCs w:val="24"/>
        </w:rPr>
      </w:pPr>
      <w:bookmarkStart w:id="15" w:name="_Toc228140468"/>
      <w:r w:rsidRPr="005F27D2">
        <w:rPr>
          <w:rFonts w:cs="Times New Roman"/>
          <w:color w:val="auto"/>
          <w:szCs w:val="24"/>
        </w:rPr>
        <w:lastRenderedPageBreak/>
        <w:t>4. Risk Management in AI: Data Governance, Ethical AI Use, and Regulatory Compliance</w:t>
      </w:r>
      <w:bookmarkEnd w:id="15"/>
    </w:p>
    <w:p w14:paraId="15707C8C" w14:textId="77777777" w:rsidR="0066666F" w:rsidRPr="005F27D2" w:rsidRDefault="00507C87" w:rsidP="001A4401">
      <w:pPr>
        <w:pStyle w:val="Heading2"/>
        <w:spacing w:before="0" w:line="360" w:lineRule="auto"/>
        <w:jc w:val="both"/>
        <w:rPr>
          <w:rFonts w:cs="Times New Roman"/>
          <w:color w:val="auto"/>
          <w:szCs w:val="24"/>
        </w:rPr>
      </w:pPr>
      <w:bookmarkStart w:id="16" w:name="_Toc228140469"/>
      <w:r w:rsidRPr="005F27D2">
        <w:rPr>
          <w:rFonts w:cs="Times New Roman"/>
          <w:color w:val="auto"/>
          <w:szCs w:val="24"/>
        </w:rPr>
        <w:t>4.1 Data Governance in AI</w:t>
      </w:r>
      <w:bookmarkEnd w:id="16"/>
    </w:p>
    <w:p w14:paraId="641D9E7F" w14:textId="77777777" w:rsidR="00FB57BF" w:rsidRPr="005F27D2" w:rsidRDefault="00FB57BF" w:rsidP="001A4401">
      <w:pPr>
        <w:spacing w:after="160" w:line="360" w:lineRule="auto"/>
        <w:jc w:val="both"/>
      </w:pPr>
      <w:r w:rsidRPr="005F27D2">
        <w:t xml:space="preserve">The first input to AI systems is data, the quality and provenance of data is what directly influences the performance of AI applications and the legal compliance of AI applications. In the case of GSK, handling some of the most sensitive types of personal information, patient health records, genomic sequences, clinical trial participants, and adverse events reports, data governance is both strategic asset and critical vulnerability. </w:t>
      </w:r>
    </w:p>
    <w:p w14:paraId="59D6949F" w14:textId="2AFDC28E" w:rsidR="0066666F" w:rsidRPr="005F27D2" w:rsidRDefault="00FB57BF" w:rsidP="001A4401">
      <w:pPr>
        <w:spacing w:after="160" w:line="360" w:lineRule="auto"/>
        <w:jc w:val="both"/>
      </w:pPr>
      <w:r w:rsidRPr="005F27D2">
        <w:t xml:space="preserve">Successful AI data governance must have a comprehensive framework that includes: data provenance documentation (understanding where training data comes, whether or not consent to AI use was obtained); data quality assurance (the training data should be representative, accurate and free of systematic biases); data </w:t>
      </w:r>
      <w:proofErr w:type="spellStart"/>
      <w:r w:rsidRPr="005F27D2">
        <w:t>minimisation</w:t>
      </w:r>
      <w:proofErr w:type="spellEnd"/>
      <w:r w:rsidRPr="005F27D2">
        <w:t xml:space="preserve"> and purpose limitation (only data required by the specific AI application should be collected, and it must be collected in accordance with the purpose of its collection); data retention and deletion policies (data should not be held longer than the purpose it was collected) (ICO, 2023; UK GDPR Article 5).</w:t>
      </w:r>
    </w:p>
    <w:p w14:paraId="26909887" w14:textId="77777777" w:rsidR="002206D9" w:rsidRPr="005F27D2" w:rsidRDefault="002206D9" w:rsidP="001A4401">
      <w:pPr>
        <w:spacing w:after="160" w:line="360" w:lineRule="auto"/>
        <w:jc w:val="both"/>
      </w:pPr>
      <w:r w:rsidRPr="005F27D2">
        <w:t xml:space="preserve">The AI systems used by GSK use various data sources, such as NHS real-world evidence datasets, published scientific literature (through NLP extraction), and commercially purchased patient registry data. Every source of data has a unique provenance and consent implication. The NHS Digital Data Access Request Service regulates the use of NHS patient data to train AI and must specify data processing agreements on what is allowed to be done with the data. Any unauthorized use, even unintentional, may be a UK GDPR breach, and may result in both enforcement by the ICO and reputational harm of considerable scale (ICO, 2023). </w:t>
      </w:r>
    </w:p>
    <w:p w14:paraId="1F14942D" w14:textId="1D53A340" w:rsidR="00B46847" w:rsidRDefault="002206D9" w:rsidP="001A4401">
      <w:pPr>
        <w:spacing w:after="160" w:line="360" w:lineRule="auto"/>
        <w:jc w:val="both"/>
      </w:pPr>
      <w:r w:rsidRPr="005F27D2">
        <w:t>The EU AI Act creates new data governance requirements on high-risk AI systems within the EU. Article 10 of the Act states that training, validation, and testing datasets include appropriate data governance and management practices, such as analysis of potential biases and mitigation strategies to deal with those biases (European Parliament, 2024). In the case of GSK, this would involve formal bias auditing of AI training datasets, which must not be added to the AI development life cycle as an after-effect.</w:t>
      </w:r>
    </w:p>
    <w:p w14:paraId="2CAA9D13" w14:textId="613AD4AE" w:rsidR="001A4401" w:rsidRDefault="001A4401" w:rsidP="001A4401">
      <w:pPr>
        <w:spacing w:after="160" w:line="360" w:lineRule="auto"/>
        <w:jc w:val="both"/>
      </w:pPr>
    </w:p>
    <w:p w14:paraId="28FDF34D" w14:textId="77777777" w:rsidR="00B619C2" w:rsidRPr="005F27D2" w:rsidRDefault="00B619C2" w:rsidP="001A4401">
      <w:pPr>
        <w:spacing w:after="160" w:line="360" w:lineRule="auto"/>
        <w:jc w:val="both"/>
      </w:pPr>
    </w:p>
    <w:p w14:paraId="5751DBCB" w14:textId="77777777" w:rsidR="0066666F" w:rsidRPr="005F27D2" w:rsidRDefault="00507C87" w:rsidP="001A4401">
      <w:pPr>
        <w:pStyle w:val="Heading2"/>
        <w:spacing w:before="0" w:line="360" w:lineRule="auto"/>
        <w:jc w:val="both"/>
        <w:rPr>
          <w:rFonts w:cs="Times New Roman"/>
          <w:color w:val="auto"/>
          <w:szCs w:val="24"/>
        </w:rPr>
      </w:pPr>
      <w:bookmarkStart w:id="17" w:name="_Toc228140470"/>
      <w:r w:rsidRPr="005F27D2">
        <w:rPr>
          <w:rFonts w:cs="Times New Roman"/>
          <w:color w:val="auto"/>
          <w:szCs w:val="24"/>
        </w:rPr>
        <w:lastRenderedPageBreak/>
        <w:t>4.2 Ethical AI Use</w:t>
      </w:r>
      <w:bookmarkEnd w:id="17"/>
    </w:p>
    <w:p w14:paraId="03B00C0F" w14:textId="77777777" w:rsidR="002206D9" w:rsidRPr="005F27D2" w:rsidRDefault="002206D9" w:rsidP="001A4401">
      <w:pPr>
        <w:spacing w:after="160" w:line="360" w:lineRule="auto"/>
        <w:jc w:val="both"/>
      </w:pPr>
      <w:r w:rsidRPr="005F27D2">
        <w:t xml:space="preserve">Ethical aspects of AI application to pharmaceuticals are vast and complex. An error in pharmaceutical AI applications may directly cause harm to patients, which is not the case in many other industries where AI errors could be compensated by financial loss or a damaged reputation (Obermeyer et al., 2019). The GSK stakes in ethical AI failure are thus less qualitative than in the majority of other sectors. </w:t>
      </w:r>
    </w:p>
    <w:p w14:paraId="79A56B82" w14:textId="77777777" w:rsidR="002206D9" w:rsidRPr="005F27D2" w:rsidRDefault="002206D9" w:rsidP="001A4401">
      <w:pPr>
        <w:spacing w:after="160" w:line="360" w:lineRule="auto"/>
        <w:jc w:val="both"/>
      </w:pPr>
      <w:r w:rsidRPr="005F27D2">
        <w:t xml:space="preserve">The urgent ethical issue in the use of AI in GSK relates to algorithmic bias. It is inevitable that AI models trained on historical pharmaceutical and clinical data will also have all the historical biases in that data, such as the systematic under-representation of women, elderly patients, and non-white ethnic groups in clinical trials. When an AI system is trained on mostly male and European-descent patient data, the provided recommendations can be less than optimal or even damaging to other demographics (Obermeyer et al., 2019; Char et al., 2018). GSK has publicly made a commitment to better diversity and inclusion in clinical research but this should be </w:t>
      </w:r>
      <w:proofErr w:type="spellStart"/>
      <w:r w:rsidRPr="005F27D2">
        <w:t>operationalised</w:t>
      </w:r>
      <w:proofErr w:type="spellEnd"/>
      <w:r w:rsidRPr="005F27D2">
        <w:t xml:space="preserve"> in its AI governance framework by requiring demographic disaggregation of AI performance measures. </w:t>
      </w:r>
    </w:p>
    <w:p w14:paraId="3EBE8EB6" w14:textId="77777777" w:rsidR="002206D9" w:rsidRPr="005F27D2" w:rsidRDefault="002206D9" w:rsidP="001A4401">
      <w:pPr>
        <w:spacing w:after="160" w:line="360" w:lineRule="auto"/>
        <w:jc w:val="both"/>
      </w:pPr>
      <w:r w:rsidRPr="005F27D2">
        <w:t xml:space="preserve">A second big ethical frontier is transparency and </w:t>
      </w:r>
      <w:proofErr w:type="spellStart"/>
      <w:r w:rsidRPr="005F27D2">
        <w:t>explainability</w:t>
      </w:r>
      <w:proofErr w:type="spellEnd"/>
      <w:r w:rsidRPr="005F27D2">
        <w:t>. Numerous high-performance AI systems, especially deep learning models, are black boxes, i.e. they provide output without any human interpretable explanation of their decisions. Opacity is not only an ethical issue in clinical settings, but also poses a patient safety risk, because physicians who receive AI advice must interpret it and consider it (</w:t>
      </w:r>
      <w:proofErr w:type="spellStart"/>
      <w:r w:rsidRPr="005F27D2">
        <w:t>Topol</w:t>
      </w:r>
      <w:proofErr w:type="spellEnd"/>
      <w:r w:rsidRPr="005F27D2">
        <w:t xml:space="preserve">, 2019). The EU AI Act requires the high-risk AI systems to deliver outputs that are sufficiently transparent to permit human supervision (European Parliament, 2024). GSK needs to thus implement explainable AI (XAI) techniques like SHAP (SHapley Additive explanations) values or LIME (Local Interpretable Model-agnostic Explanations) as the normative use of clinical-facing AI systems. </w:t>
      </w:r>
    </w:p>
    <w:p w14:paraId="59DBC0E6" w14:textId="42F76E3E" w:rsidR="00B46847" w:rsidRDefault="002206D9" w:rsidP="001A4401">
      <w:pPr>
        <w:spacing w:after="160" w:line="360" w:lineRule="auto"/>
        <w:jc w:val="both"/>
      </w:pPr>
      <w:r w:rsidRPr="005F27D2">
        <w:t>A third ethical requirement is accountability structures of AI decision-making. In the case of patient harm due to AI-aided clinical decision, the issue of legal and moral responsibility is tricky: should it be the developer of the AI, the pharmaceutical company that implemented it, the doctor, who relied on its input, or the regulatory authority, which approved it? GSK will have to create transparent internal governance frameworks, which place responsibility of AI-related decisions to specific AI Risk Officer and protocols on how to escalate AI-related incidents (ISO 31000:2018).</w:t>
      </w:r>
    </w:p>
    <w:p w14:paraId="294D1F4F" w14:textId="77777777" w:rsidR="001A4401" w:rsidRPr="005F27D2" w:rsidRDefault="001A4401" w:rsidP="001A4401">
      <w:pPr>
        <w:spacing w:after="160" w:line="360" w:lineRule="auto"/>
        <w:jc w:val="both"/>
      </w:pPr>
    </w:p>
    <w:p w14:paraId="1760202B" w14:textId="77777777" w:rsidR="0066666F" w:rsidRPr="005F27D2" w:rsidRDefault="00507C87" w:rsidP="001A4401">
      <w:pPr>
        <w:pStyle w:val="Heading2"/>
        <w:spacing w:before="0" w:line="360" w:lineRule="auto"/>
        <w:jc w:val="both"/>
        <w:rPr>
          <w:rFonts w:cs="Times New Roman"/>
          <w:color w:val="auto"/>
          <w:szCs w:val="24"/>
        </w:rPr>
      </w:pPr>
      <w:bookmarkStart w:id="18" w:name="_Toc228140471"/>
      <w:r w:rsidRPr="005F27D2">
        <w:rPr>
          <w:rFonts w:cs="Times New Roman"/>
          <w:color w:val="auto"/>
          <w:szCs w:val="24"/>
        </w:rPr>
        <w:lastRenderedPageBreak/>
        <w:t>4.3 Regulatory Compliance: AI-Specific Requirements</w:t>
      </w:r>
      <w:bookmarkEnd w:id="18"/>
    </w:p>
    <w:p w14:paraId="683D39E2" w14:textId="77777777" w:rsidR="002206D9" w:rsidRPr="005F27D2" w:rsidRDefault="002206D9" w:rsidP="001A4401">
      <w:pPr>
        <w:spacing w:after="160" w:line="360" w:lineRule="auto"/>
        <w:jc w:val="both"/>
      </w:pPr>
      <w:r w:rsidRPr="005F27D2">
        <w:t>Regulatory compliance in AI in the pharmaceutical field is rapidly changing, and GSK must manage its compliance with various jurisdictions with different and emerging needs. The main regulatory frameworks the AI in the context of GSK deals with in the UK include: UK GDPR and the Data Protection Act 2018 (data privacy in AI systems); the MHRA guidance on AI-as-a-Medical-Device (</w:t>
      </w:r>
      <w:proofErr w:type="spellStart"/>
      <w:r w:rsidRPr="005F27D2">
        <w:t>AIaMD</w:t>
      </w:r>
      <w:proofErr w:type="spellEnd"/>
      <w:r w:rsidRPr="005F27D2">
        <w:t>); the ICO guidance on explaining AI decisions; and the current UK AI regulation framework under development by the AI Safety Institute (AISI) and the Digital Regulation Cooperation Forum (DRCF) (MHRA, 2023; ICO, 2023; DSIT, 202. The MHRA regulatory guidance on AI-as-a-Medical-Device is of particular significance to the AI uses of GSK in clinical decision support and diagnostics. The MHRA has stated that it plans to be more or less consistent with the international standards, such as the FDA model of AI/ML-based Software as a Medical Device (</w:t>
      </w:r>
      <w:proofErr w:type="spellStart"/>
      <w:r w:rsidRPr="005F27D2">
        <w:t>SaMD</w:t>
      </w:r>
      <w:proofErr w:type="spellEnd"/>
      <w:r w:rsidRPr="005F27D2">
        <w:t xml:space="preserve">) and the norms that are under development by ISO and IEC technical groups (MHRA, 2023). GSK will need to keep these changes under watch and be proactive in terms of the MHRA to conduct public meetings so that its AI applications will fit within the regulatory framework rather than ahead of it. </w:t>
      </w:r>
    </w:p>
    <w:p w14:paraId="2926C0DB" w14:textId="519B14CC" w:rsidR="00B46847" w:rsidRDefault="002206D9" w:rsidP="001A4401">
      <w:pPr>
        <w:spacing w:after="160" w:line="360" w:lineRule="auto"/>
        <w:jc w:val="both"/>
      </w:pPr>
      <w:r w:rsidRPr="005F27D2">
        <w:t>The AI Act in the EU establishes an extensive system of compliance with high-risk AI systems that GSK needs to tackle systematically. Some of the compliance requirements are: a mandatory Conformity Assessment before the high-risk AI systems are put on the EU market; a registration in the EU-wide AI database; quality management systems which correspond to the requirements of the AI Act; post-market monitoring plans; reporting serious incidents of AI systems to the national competent authorities (European Parliament, 2024). These requirements are complex and new, so GSK is recommended to start preparing much earlier than the relevant compliance dates.</w:t>
      </w:r>
    </w:p>
    <w:p w14:paraId="4579C5FA" w14:textId="77777777" w:rsidR="001A4401" w:rsidRPr="005F27D2" w:rsidRDefault="001A4401" w:rsidP="001A4401">
      <w:pPr>
        <w:spacing w:after="160" w:line="360" w:lineRule="auto"/>
        <w:jc w:val="both"/>
      </w:pPr>
    </w:p>
    <w:p w14:paraId="28D219F5" w14:textId="77777777" w:rsidR="0066666F" w:rsidRPr="005F27D2" w:rsidRDefault="00507C87" w:rsidP="001A4401">
      <w:pPr>
        <w:pStyle w:val="Heading2"/>
        <w:spacing w:before="0" w:line="360" w:lineRule="auto"/>
        <w:jc w:val="both"/>
        <w:rPr>
          <w:rFonts w:cs="Times New Roman"/>
          <w:color w:val="auto"/>
          <w:szCs w:val="24"/>
        </w:rPr>
      </w:pPr>
      <w:bookmarkStart w:id="19" w:name="_Toc228140472"/>
      <w:r w:rsidRPr="005F27D2">
        <w:rPr>
          <w:rFonts w:cs="Times New Roman"/>
          <w:color w:val="auto"/>
          <w:szCs w:val="24"/>
        </w:rPr>
        <w:t>4.4 Maintaining Customer and Patient Trust</w:t>
      </w:r>
      <w:bookmarkEnd w:id="19"/>
    </w:p>
    <w:p w14:paraId="340C0110" w14:textId="77777777" w:rsidR="001506BB" w:rsidRPr="005F27D2" w:rsidRDefault="001506BB" w:rsidP="001A4401">
      <w:pPr>
        <w:spacing w:after="160" w:line="360" w:lineRule="auto"/>
        <w:jc w:val="both"/>
      </w:pPr>
      <w:r w:rsidRPr="005F27D2">
        <w:t xml:space="preserve">Perhaps the most commercially vital, yet most elusive aspect of AIs risk in GSK is patient and customer trust. Pharmaceutical trust is inherently relational: this is established over many decades by showing a willingness to prioritize patient safety, adherence to science and open communication. The AI is bringing new vectors by which that trust can be harmed, and also new weapons by which it can be reinforced. The </w:t>
      </w:r>
      <w:proofErr w:type="spellStart"/>
      <w:r w:rsidRPr="005F27D2">
        <w:t>Wellcome</w:t>
      </w:r>
      <w:proofErr w:type="spellEnd"/>
      <w:r w:rsidRPr="005F27D2">
        <w:t xml:space="preserve"> Trust (2021) study discovered that public trust in using AI in healthcare depends on four parameters, such as transparency with regard to AI usage and its objective; positive proof that AI enhances, but does not reduce quality of care; </w:t>
      </w:r>
      <w:r w:rsidRPr="005F27D2">
        <w:lastRenderedPageBreak/>
        <w:t xml:space="preserve">that human judgment is the core of clinical decisions; and effective data privacy measures. All these aspects directly map to the above-described governance and ethical AI practices. The patient trust strategy of GSK should be thus conceptualized as not a communication but an operational pledge to responsible deployment of AI, and external communication should be used to explain and showcase, not to replace, actual governance content. </w:t>
      </w:r>
    </w:p>
    <w:p w14:paraId="0D9BCA59" w14:textId="75F09F08" w:rsidR="00B46847" w:rsidRDefault="001506BB" w:rsidP="001A4401">
      <w:pPr>
        <w:spacing w:after="160" w:line="360" w:lineRule="auto"/>
        <w:jc w:val="both"/>
      </w:pPr>
      <w:r w:rsidRPr="005F27D2">
        <w:t xml:space="preserve">The business implications of the erosion of trust in the realm of AI may be dire indeed. The occurrence of a high-profile AI-related event, like a patient genomic data </w:t>
      </w:r>
      <w:proofErr w:type="spellStart"/>
      <w:r w:rsidRPr="005F27D2">
        <w:t>data</w:t>
      </w:r>
      <w:proofErr w:type="spellEnd"/>
      <w:r w:rsidRPr="005F27D2">
        <w:t xml:space="preserve"> breach to train a GSK AI model, or a publicly-reported instance of algorithmic bias within a GSK clinical AI system could initiate regulatory action, a class action lawsuit, and lasting reputational harm to the GSK stock price, talent acquisition, and collaboration opportunity. Such an event market </w:t>
      </w:r>
      <w:proofErr w:type="spellStart"/>
      <w:r w:rsidRPr="005F27D2">
        <w:t>capitalisation</w:t>
      </w:r>
      <w:proofErr w:type="spellEnd"/>
      <w:r w:rsidRPr="005F27D2">
        <w:t xml:space="preserve"> effect would be much greater than the cost of the preventative governance investments suggested in this report.</w:t>
      </w:r>
    </w:p>
    <w:p w14:paraId="2B11EF71" w14:textId="15E5DBE3" w:rsidR="001A4401" w:rsidRDefault="001A4401" w:rsidP="001A4401">
      <w:pPr>
        <w:spacing w:after="160" w:line="360" w:lineRule="auto"/>
        <w:jc w:val="both"/>
      </w:pPr>
    </w:p>
    <w:p w14:paraId="2E314020" w14:textId="77777777" w:rsidR="001A4401" w:rsidRPr="005F27D2" w:rsidRDefault="001A4401" w:rsidP="001A4401">
      <w:pPr>
        <w:spacing w:after="160" w:line="360" w:lineRule="auto"/>
        <w:jc w:val="both"/>
      </w:pPr>
    </w:p>
    <w:p w14:paraId="2388221C" w14:textId="77777777" w:rsidR="0066666F" w:rsidRPr="005F27D2" w:rsidRDefault="00507C87" w:rsidP="001A4401">
      <w:pPr>
        <w:pStyle w:val="Heading1"/>
        <w:spacing w:after="160"/>
        <w:rPr>
          <w:rFonts w:cs="Times New Roman"/>
          <w:color w:val="auto"/>
          <w:szCs w:val="24"/>
        </w:rPr>
      </w:pPr>
      <w:bookmarkStart w:id="20" w:name="_Toc228140473"/>
      <w:r w:rsidRPr="005F27D2">
        <w:rPr>
          <w:rFonts w:cs="Times New Roman"/>
          <w:color w:val="auto"/>
          <w:szCs w:val="24"/>
        </w:rPr>
        <w:t>5. Region-Specific Insights: UK and European Union Perspectives</w:t>
      </w:r>
      <w:bookmarkEnd w:id="20"/>
    </w:p>
    <w:p w14:paraId="389162B7" w14:textId="77777777" w:rsidR="0066666F" w:rsidRPr="005F27D2" w:rsidRDefault="00507C87" w:rsidP="001A4401">
      <w:pPr>
        <w:pStyle w:val="Heading2"/>
        <w:spacing w:before="0" w:line="360" w:lineRule="auto"/>
        <w:jc w:val="both"/>
        <w:rPr>
          <w:rFonts w:cs="Times New Roman"/>
          <w:color w:val="auto"/>
          <w:szCs w:val="24"/>
        </w:rPr>
      </w:pPr>
      <w:bookmarkStart w:id="21" w:name="_Toc228140474"/>
      <w:r w:rsidRPr="005F27D2">
        <w:rPr>
          <w:rFonts w:cs="Times New Roman"/>
          <w:color w:val="auto"/>
          <w:szCs w:val="24"/>
        </w:rPr>
        <w:t>5.1 AI and Risk Management in the United Kingdom</w:t>
      </w:r>
      <w:bookmarkEnd w:id="21"/>
    </w:p>
    <w:p w14:paraId="2DFB5032" w14:textId="77777777" w:rsidR="001506BB" w:rsidRPr="005F27D2" w:rsidRDefault="001506BB" w:rsidP="001A4401">
      <w:pPr>
        <w:spacing w:after="160" w:line="360" w:lineRule="auto"/>
        <w:jc w:val="both"/>
      </w:pPr>
      <w:r w:rsidRPr="005F27D2">
        <w:t xml:space="preserve">The United Kingdom is an interesting example of AI governance, with a pragmatic approach to regulation, industry experience, and a selected policy approach towards no overarching AI regulation and instead localization of regulatory approaches. The results of the AI Safety Summit and the National AI Strategy of the UK (DSIT, 2023) make the country a responsible AI development and deployment </w:t>
      </w:r>
      <w:proofErr w:type="spellStart"/>
      <w:r w:rsidRPr="005F27D2">
        <w:t>centre</w:t>
      </w:r>
      <w:proofErr w:type="spellEnd"/>
      <w:r w:rsidRPr="005F27D2">
        <w:t xml:space="preserve">, and the AI Safety Institute (AISI) is a globally influential </w:t>
      </w:r>
      <w:proofErr w:type="spellStart"/>
      <w:r w:rsidRPr="005F27D2">
        <w:t>centre</w:t>
      </w:r>
      <w:proofErr w:type="spellEnd"/>
      <w:r w:rsidRPr="005F27D2">
        <w:t xml:space="preserve"> of AI safety research and international standards development. </w:t>
      </w:r>
    </w:p>
    <w:p w14:paraId="4795A60F" w14:textId="77777777" w:rsidR="001506BB" w:rsidRPr="005F27D2" w:rsidRDefault="001506BB" w:rsidP="001A4401">
      <w:pPr>
        <w:spacing w:after="160" w:line="360" w:lineRule="auto"/>
        <w:jc w:val="both"/>
      </w:pPr>
      <w:r w:rsidRPr="005F27D2">
        <w:t xml:space="preserve">The UK regulatory environment presents opportunities and risks to GSK. The adaptive regulatory methods of MHRA, such as the ILAP and the AI/Digital Technology Assessment Criteria (DTAC) are meant to offer early regulatory interaction on novel technology-enabled medical product to lessen uncertainty linked with AI-enabled clinical use (MHRA, 2023). The UK location of GSK gives the company a privilege of these pre-submission regulatory interactions which must be leveraged in a systematic approach to develop regulatory intelligence and influence emerging standards. </w:t>
      </w:r>
    </w:p>
    <w:p w14:paraId="34DEF002" w14:textId="77777777" w:rsidR="001506BB" w:rsidRPr="005F27D2" w:rsidRDefault="001506BB" w:rsidP="001A4401">
      <w:pPr>
        <w:spacing w:after="160" w:line="360" w:lineRule="auto"/>
        <w:jc w:val="both"/>
      </w:pPr>
      <w:r w:rsidRPr="005F27D2">
        <w:lastRenderedPageBreak/>
        <w:t xml:space="preserve">The NHS is the most complex and significant AI governance issue in health across the UK. The NHS has a rich longitudinal resource, such as GP data, hospital data, diagnostic images, genome data, and social care data, which when properly managed and released would be the basis of AI applications in drug discovery and precision medicine on a global scale (The Lancet, 2023). The interaction between GSK and NHS Digital (now NHS England) and the UK Biobank should be framed by stringent data processing agreements that ensure patient privacy but allow both partners in the scientific collaboration to take place. </w:t>
      </w:r>
    </w:p>
    <w:p w14:paraId="39A73EAA" w14:textId="551263DB" w:rsidR="00B46847" w:rsidRDefault="001506BB" w:rsidP="001A4401">
      <w:pPr>
        <w:spacing w:after="160" w:line="360" w:lineRule="auto"/>
        <w:jc w:val="both"/>
      </w:pPr>
      <w:r w:rsidRPr="005F27D2">
        <w:t>The UK-EU regulatory drift after Brexit also poses certain risks to the UK activities of GSK. When AI systems developed in the UK have to be used in EU markets or when EU-regulated AI systems require UK approval, GSK has to deal with two compliance procedures - adding to the cost and time-to-market. The lack of an official UK-EU mutual recognition of the medical devices and AI regulation further complicates this issue and implies that GSK ought to invest in regulatory activities expertise in each jurisdiction to effectively coordinate the process.</w:t>
      </w:r>
    </w:p>
    <w:p w14:paraId="3D8DA1F3" w14:textId="77777777" w:rsidR="001A4401" w:rsidRPr="005F27D2" w:rsidRDefault="001A4401" w:rsidP="001A4401">
      <w:pPr>
        <w:spacing w:after="160" w:line="360" w:lineRule="auto"/>
        <w:jc w:val="both"/>
      </w:pPr>
    </w:p>
    <w:p w14:paraId="2A5819E6" w14:textId="77777777" w:rsidR="0066666F" w:rsidRPr="005F27D2" w:rsidRDefault="00507C87" w:rsidP="001A4401">
      <w:pPr>
        <w:pStyle w:val="Heading2"/>
        <w:spacing w:before="0" w:line="360" w:lineRule="auto"/>
        <w:jc w:val="both"/>
        <w:rPr>
          <w:rFonts w:cs="Times New Roman"/>
          <w:color w:val="auto"/>
          <w:szCs w:val="24"/>
        </w:rPr>
      </w:pPr>
      <w:bookmarkStart w:id="22" w:name="_Toc228140475"/>
      <w:r w:rsidRPr="005F27D2">
        <w:rPr>
          <w:rFonts w:cs="Times New Roman"/>
          <w:color w:val="auto"/>
          <w:szCs w:val="24"/>
        </w:rPr>
        <w:t>5.2 International Perspective: The European Union</w:t>
      </w:r>
      <w:bookmarkEnd w:id="22"/>
    </w:p>
    <w:p w14:paraId="621685A6" w14:textId="77777777" w:rsidR="001506BB" w:rsidRPr="005F27D2" w:rsidRDefault="001506BB" w:rsidP="001A4401">
      <w:pPr>
        <w:spacing w:after="160" w:line="360" w:lineRule="auto"/>
        <w:jc w:val="both"/>
      </w:pPr>
      <w:r w:rsidRPr="005F27D2">
        <w:t xml:space="preserve">The European Union method of AI governance is the most extensive regulation effort in AI so far, and the EU AI Act represents a detailed, legally binding regulation that will shape the global pattern of AI regulation. The risk-based architecture of the Act divides AI applications into four levels unacceptable risk (prohibited), high-risk, limited risk, and minimal risk and regulates the obligations according to them (European Parliament, 2024). In the case of GSK, where AI applications in drug development, clinical decision support, and pharmacovigilance are practically categorized as high-risk, the EU AI Act is the most substantive regulatory compliance burden of any AI governance system. The EU AI Act has a tight schedule to meet. By February 2025, banned AI practices (including social scoring systems) should be stopped. By August 2026, high-risk AI system requirements, such as those that apply to GSK clinical AI applications, should be in place. By August 2025, the governance requirements of general-purpose AI models deployed in systems of GSK have to be met (European Parliament, 2024). As a large corporation, with an intricate AI portfolio, GSK must have by now initiated a systematic AI Act gap analysis and create a cross-functional implementation </w:t>
      </w:r>
      <w:proofErr w:type="spellStart"/>
      <w:r w:rsidRPr="005F27D2">
        <w:t>programme</w:t>
      </w:r>
      <w:proofErr w:type="spellEnd"/>
      <w:r w:rsidRPr="005F27D2">
        <w:t xml:space="preserve">. </w:t>
      </w:r>
    </w:p>
    <w:p w14:paraId="53A1F535" w14:textId="35503BE5" w:rsidR="0066666F" w:rsidRPr="005F27D2" w:rsidRDefault="001506BB" w:rsidP="001A4401">
      <w:pPr>
        <w:spacing w:after="160" w:line="360" w:lineRule="auto"/>
        <w:jc w:val="both"/>
      </w:pPr>
      <w:r w:rsidRPr="005F27D2">
        <w:t xml:space="preserve">The General Data Protection Regulation (GDPR) of EU is still the foundation of data management of GSK in Europe. The maximum fines are EUR20 million or 4% of the global yearly turnover (whichever is higher), which is a significant risk to be taken into account when </w:t>
      </w:r>
      <w:r w:rsidRPr="005F27D2">
        <w:lastRenderedPageBreak/>
        <w:t>implementing GDPR. European Data Protection Board (EDPB) has provided the guidance on the intersection of GDPR and AI, which should be clear that AI training on personal data has to be in line with the usual lawful bases in the GDPR Article 6, and automated decision-making affecting a person significantly should have a clear consent or special legal authorization in the GDPR Article 22 (EDPB, 2023). The legal and compliance teams at GSK should make sure that any AI application that uses EU personal data has a registered legal underpinning and is backed by suitable Data Protection Impact Assessments (DPIAs).</w:t>
      </w:r>
    </w:p>
    <w:p w14:paraId="6C8A0200" w14:textId="55535E27" w:rsidR="00B46847" w:rsidRPr="005F27D2" w:rsidRDefault="005F27D2" w:rsidP="001A4401">
      <w:pPr>
        <w:spacing w:after="160" w:line="360" w:lineRule="auto"/>
        <w:jc w:val="both"/>
      </w:pPr>
      <w:r w:rsidRPr="005F27D2">
        <w:t xml:space="preserve">Other than the AI Act and GDPR, there are the EU Medical Devices Regulation (MDR 2017/745) and its related measures of AI-as-a-Medical-Device, and the changing policy of using AI in clinical trials and regulatory submissions (EMA, 2023). The EMA has released reflection papers on synthetic data and AI use in drug development prefiguring expectations of the quality and validation of AI-generated evidence provided in marketing </w:t>
      </w:r>
      <w:proofErr w:type="spellStart"/>
      <w:r w:rsidRPr="005F27D2">
        <w:t>authorisation</w:t>
      </w:r>
      <w:proofErr w:type="spellEnd"/>
      <w:r w:rsidRPr="005F27D2">
        <w:t xml:space="preserve"> applications - expectations that GSK R&amp;D teams will need to </w:t>
      </w:r>
      <w:proofErr w:type="spellStart"/>
      <w:r w:rsidRPr="005F27D2">
        <w:t>internalise</w:t>
      </w:r>
      <w:proofErr w:type="spellEnd"/>
      <w:r w:rsidRPr="005F27D2">
        <w:t>.</w:t>
      </w:r>
    </w:p>
    <w:p w14:paraId="0E128EAC" w14:textId="77777777" w:rsidR="0066666F" w:rsidRPr="005F27D2" w:rsidRDefault="00507C87" w:rsidP="001A4401">
      <w:pPr>
        <w:pStyle w:val="Heading2"/>
        <w:spacing w:before="0" w:line="360" w:lineRule="auto"/>
        <w:jc w:val="both"/>
        <w:rPr>
          <w:rFonts w:cs="Times New Roman"/>
          <w:color w:val="auto"/>
          <w:szCs w:val="24"/>
        </w:rPr>
      </w:pPr>
      <w:bookmarkStart w:id="23" w:name="_Toc228140476"/>
      <w:r w:rsidRPr="005F27D2">
        <w:rPr>
          <w:rFonts w:cs="Times New Roman"/>
          <w:color w:val="auto"/>
          <w:szCs w:val="24"/>
        </w:rPr>
        <w:t>5.3 Comparative Analysis: UK versus EU Regulatory Approach</w:t>
      </w:r>
      <w:bookmarkEnd w:id="23"/>
    </w:p>
    <w:p w14:paraId="0E207FCC" w14:textId="77777777" w:rsidR="005F27D2" w:rsidRPr="005F27D2" w:rsidRDefault="005F27D2" w:rsidP="001A4401">
      <w:pPr>
        <w:spacing w:after="160" w:line="360" w:lineRule="auto"/>
        <w:jc w:val="both"/>
      </w:pPr>
      <w:r w:rsidRPr="005F27D2">
        <w:t xml:space="preserve">Comparative analysis of UK and EU regulatory environment reveals convergences and divergences which have strategic implications to GSK. Both jurisdictions are similar in the sense they believe in risk-based AI regulation, openness, and human accountability of high-risk applications of AI, and strong data protection. They however vary greatly in terms of their legislative strategy (principles-based in the UK and rules-based in the EU), the range of their regulatory mandates and institutional enforcement machinery. </w:t>
      </w:r>
    </w:p>
    <w:p w14:paraId="3E45DE4F" w14:textId="77777777" w:rsidR="005F27D2" w:rsidRPr="005F27D2" w:rsidRDefault="005F27D2" w:rsidP="001A4401">
      <w:pPr>
        <w:spacing w:after="160" w:line="360" w:lineRule="auto"/>
        <w:jc w:val="both"/>
      </w:pPr>
      <w:r w:rsidRPr="005F27D2">
        <w:t xml:space="preserve">GSK faces the greatest practical divergence of compliance obligations. The legal and regulatory teams at GSK will be able to use the EU AI Act to define a list of specific requirements that every high-risk AI system will have to achieve. In the principles-based approach adopted by the UK, compliance involves interpreting general principles - a task that relies on regulatory guidance documents (by the ICO, MHRA, and others) that might be behind the technological curve. This ambiguity is risky itself: GSK might invest in AI governance that the regulator will find inadequate, or it might invest too heavily in compliance where more lenient methods will be adequate. </w:t>
      </w:r>
    </w:p>
    <w:p w14:paraId="75D9F7B0" w14:textId="3C54AEE6" w:rsidR="00B46847" w:rsidRDefault="005F27D2" w:rsidP="001A4401">
      <w:pPr>
        <w:spacing w:after="160" w:line="360" w:lineRule="auto"/>
        <w:jc w:val="both"/>
      </w:pPr>
      <w:r w:rsidRPr="005F27D2">
        <w:t xml:space="preserve">The strategic action based on these comparative analyses is, GSK should use the high-risk AI system requirements of the EU AI Act as its global baseline in AI governance and apply these to its UK and international activities. This gives the most regulation protection, gives the UK operations already attains obligations in the condemnation of the event of UK regulation </w:t>
      </w:r>
      <w:r w:rsidRPr="005F27D2">
        <w:lastRenderedPageBreak/>
        <w:t>converges to the EU pattern, and conveys to international partners and regulators that GSK is working to a global-class AI governance standard.</w:t>
      </w:r>
    </w:p>
    <w:p w14:paraId="17C67411" w14:textId="335F60BB" w:rsidR="001A4401" w:rsidRDefault="001A4401" w:rsidP="001A4401">
      <w:pPr>
        <w:spacing w:after="160" w:line="360" w:lineRule="auto"/>
        <w:jc w:val="both"/>
      </w:pPr>
    </w:p>
    <w:p w14:paraId="1AF77EFD" w14:textId="77777777" w:rsidR="001A4401" w:rsidRPr="005F27D2" w:rsidRDefault="001A4401" w:rsidP="001A4401">
      <w:pPr>
        <w:spacing w:after="160" w:line="360" w:lineRule="auto"/>
        <w:jc w:val="both"/>
      </w:pPr>
    </w:p>
    <w:p w14:paraId="4861CD36" w14:textId="77777777" w:rsidR="0066666F" w:rsidRPr="005F27D2" w:rsidRDefault="00507C87" w:rsidP="001A4401">
      <w:pPr>
        <w:pStyle w:val="Heading1"/>
        <w:spacing w:after="160"/>
        <w:rPr>
          <w:rFonts w:cs="Times New Roman"/>
          <w:color w:val="auto"/>
          <w:szCs w:val="24"/>
        </w:rPr>
      </w:pPr>
      <w:bookmarkStart w:id="24" w:name="_Toc228140477"/>
      <w:r w:rsidRPr="005F27D2">
        <w:rPr>
          <w:rFonts w:cs="Times New Roman"/>
          <w:color w:val="auto"/>
          <w:szCs w:val="24"/>
        </w:rPr>
        <w:t>6. Conclusion</w:t>
      </w:r>
      <w:bookmarkEnd w:id="24"/>
    </w:p>
    <w:p w14:paraId="6B0A6CB4" w14:textId="77777777" w:rsidR="0066666F" w:rsidRPr="005F27D2" w:rsidRDefault="00507C87" w:rsidP="001A4401">
      <w:pPr>
        <w:pStyle w:val="Heading2"/>
        <w:spacing w:before="0" w:line="360" w:lineRule="auto"/>
        <w:jc w:val="both"/>
        <w:rPr>
          <w:rFonts w:cs="Times New Roman"/>
          <w:color w:val="auto"/>
          <w:szCs w:val="24"/>
        </w:rPr>
      </w:pPr>
      <w:bookmarkStart w:id="25" w:name="_Toc228140478"/>
      <w:r w:rsidRPr="005F27D2">
        <w:rPr>
          <w:rFonts w:cs="Times New Roman"/>
          <w:color w:val="auto"/>
          <w:szCs w:val="24"/>
        </w:rPr>
        <w:t>6.1 Summary of Key Findings</w:t>
      </w:r>
      <w:bookmarkEnd w:id="25"/>
    </w:p>
    <w:p w14:paraId="0BE9C273" w14:textId="77777777" w:rsidR="005F27D2" w:rsidRPr="005F27D2" w:rsidRDefault="005F27D2" w:rsidP="001A4401">
      <w:pPr>
        <w:spacing w:after="160" w:line="360" w:lineRule="auto"/>
        <w:jc w:val="both"/>
      </w:pPr>
      <w:r w:rsidRPr="005F27D2">
        <w:t xml:space="preserve">This report has clarified that the proliferation of AI in the activities of GSK, including their drug discovery, clinical development, manufacturing, pharmacovigilance, and commercial functions, presents both unprecedented opportunities and important threats that must be managed systematically. As it has been analyzed, GSK AI risk environment is conditioned by four forces that interact: political and geopolitical uncertainty; increasing technological change; speeding up and increasingly challenging regulatory demands; and changing stakeholder expectations of AI ethical and responsible use. </w:t>
      </w:r>
    </w:p>
    <w:p w14:paraId="0B54FA51" w14:textId="3CF79796" w:rsidR="00B46847" w:rsidRDefault="005F27D2" w:rsidP="001A4401">
      <w:pPr>
        <w:spacing w:after="160" w:line="360" w:lineRule="auto"/>
        <w:jc w:val="both"/>
      </w:pPr>
      <w:r w:rsidRPr="005F27D2">
        <w:t xml:space="preserve">The substantive findings are as follows. First, the difference between British and EU AI regulatory regimes poses a twofold compliance challenge to GSK, which should be actively addressed, with the EU AI Act becoming the functioning global benchmark. Second, data governance is the most tangible and imminent risk - the inability to manage data provenance, bias, and consent might put GSK at risk of regulatory action, lawsuits, and reputational harm. Third, ethical use of AI, specifically transparency, fairness, and </w:t>
      </w:r>
      <w:proofErr w:type="spellStart"/>
      <w:r w:rsidRPr="005F27D2">
        <w:t>explainability</w:t>
      </w:r>
      <w:proofErr w:type="spellEnd"/>
      <w:r w:rsidRPr="005F27D2">
        <w:t xml:space="preserve">, is not only a reputational issue but also a patient safety requirement with a direct impact on business. Fourth, macroeconomic pressures are placing strains on the rate of AI investment and the financial limits of a post-pandemic high-interest-rate world, where AI risk management investments need to be </w:t>
      </w:r>
      <w:proofErr w:type="spellStart"/>
      <w:r w:rsidRPr="005F27D2">
        <w:t>prioritised</w:t>
      </w:r>
      <w:proofErr w:type="spellEnd"/>
      <w:r w:rsidRPr="005F27D2">
        <w:t xml:space="preserve"> with discipline.</w:t>
      </w:r>
    </w:p>
    <w:p w14:paraId="017F21C6" w14:textId="316B8D84" w:rsidR="001A4401" w:rsidRDefault="001A4401" w:rsidP="001A4401">
      <w:pPr>
        <w:spacing w:after="160" w:line="360" w:lineRule="auto"/>
        <w:jc w:val="both"/>
      </w:pPr>
    </w:p>
    <w:p w14:paraId="0620D1CE" w14:textId="341D7EF0" w:rsidR="00B619C2" w:rsidRDefault="00B619C2" w:rsidP="001A4401">
      <w:pPr>
        <w:spacing w:after="160" w:line="360" w:lineRule="auto"/>
        <w:jc w:val="both"/>
      </w:pPr>
    </w:p>
    <w:p w14:paraId="6A9B9261" w14:textId="7B7E3A3D" w:rsidR="00B619C2" w:rsidRDefault="00B619C2" w:rsidP="001A4401">
      <w:pPr>
        <w:spacing w:after="160" w:line="360" w:lineRule="auto"/>
        <w:jc w:val="both"/>
      </w:pPr>
    </w:p>
    <w:p w14:paraId="348D2368" w14:textId="743083E5" w:rsidR="00B619C2" w:rsidRDefault="00B619C2" w:rsidP="001A4401">
      <w:pPr>
        <w:spacing w:after="160" w:line="360" w:lineRule="auto"/>
        <w:jc w:val="both"/>
      </w:pPr>
    </w:p>
    <w:p w14:paraId="0440E3AD" w14:textId="1877F0CD" w:rsidR="00B619C2" w:rsidRDefault="00B619C2" w:rsidP="001A4401">
      <w:pPr>
        <w:spacing w:after="160" w:line="360" w:lineRule="auto"/>
        <w:jc w:val="both"/>
      </w:pPr>
    </w:p>
    <w:p w14:paraId="4C5DABE8" w14:textId="77777777" w:rsidR="00B619C2" w:rsidRPr="005F27D2" w:rsidRDefault="00B619C2" w:rsidP="001A4401">
      <w:pPr>
        <w:spacing w:after="160" w:line="360" w:lineRule="auto"/>
        <w:jc w:val="both"/>
      </w:pPr>
    </w:p>
    <w:p w14:paraId="2DED1DF8" w14:textId="77777777" w:rsidR="0066666F" w:rsidRPr="005F27D2" w:rsidRDefault="00507C87" w:rsidP="001A4401">
      <w:pPr>
        <w:pStyle w:val="Heading2"/>
        <w:spacing w:before="0" w:line="360" w:lineRule="auto"/>
        <w:jc w:val="both"/>
        <w:rPr>
          <w:rFonts w:cs="Times New Roman"/>
          <w:color w:val="auto"/>
          <w:szCs w:val="24"/>
        </w:rPr>
      </w:pPr>
      <w:bookmarkStart w:id="26" w:name="_Toc228140479"/>
      <w:r w:rsidRPr="005F27D2">
        <w:rPr>
          <w:rFonts w:cs="Times New Roman"/>
          <w:color w:val="auto"/>
          <w:szCs w:val="24"/>
        </w:rPr>
        <w:lastRenderedPageBreak/>
        <w:t>6.2 Implementation Plan and Strategic Recommendations</w:t>
      </w:r>
      <w:bookmarkEnd w:id="26"/>
    </w:p>
    <w:p w14:paraId="4BA81310" w14:textId="2BE80410" w:rsidR="00B46847" w:rsidRPr="005F27D2" w:rsidRDefault="005F27D2" w:rsidP="001A4401">
      <w:pPr>
        <w:spacing w:after="160" w:line="360" w:lineRule="auto"/>
        <w:jc w:val="both"/>
      </w:pPr>
      <w:r w:rsidRPr="005F27D2">
        <w:t>As described in the analysis above, RFD Global would recommend the following strategic recommendations to the senior leadership of GSK in the form of a roll out plan:</w:t>
      </w:r>
    </w:p>
    <w:p w14:paraId="28B04684" w14:textId="77777777" w:rsidR="0066666F" w:rsidRPr="005F27D2" w:rsidRDefault="00507C87" w:rsidP="001A4401">
      <w:pPr>
        <w:spacing w:after="160" w:line="360" w:lineRule="auto"/>
        <w:jc w:val="both"/>
        <w:rPr>
          <w:b/>
          <w:bCs/>
        </w:rPr>
      </w:pPr>
      <w:r w:rsidRPr="005F27D2">
        <w:rPr>
          <w:rFonts w:eastAsia="Arial"/>
          <w:b/>
          <w:bCs/>
        </w:rPr>
        <w:t>Phase 1: Foundation (0–6 months)</w:t>
      </w:r>
    </w:p>
    <w:p w14:paraId="4AA3609B" w14:textId="77777777" w:rsidR="005F27D2" w:rsidRPr="005F27D2" w:rsidRDefault="005F27D2" w:rsidP="001A4401">
      <w:pPr>
        <w:pStyle w:val="ListParagraph"/>
        <w:numPr>
          <w:ilvl w:val="0"/>
          <w:numId w:val="5"/>
        </w:numPr>
        <w:spacing w:after="160" w:line="360" w:lineRule="auto"/>
        <w:jc w:val="both"/>
      </w:pPr>
      <w:r w:rsidRPr="005F27D2">
        <w:t xml:space="preserve">Carry out an AI Systems Inventory and Risk Classification exercise and map all existing and envisaged AI uses onto the three risk categories of the EU AI Act and determine which of these will be under high-risk obligations. Have an AI Risk Owner assigned to each high-risk </w:t>
      </w:r>
      <w:proofErr w:type="gramStart"/>
      <w:r w:rsidRPr="005F27D2">
        <w:t>system.</w:t>
      </w:r>
      <w:proofErr w:type="gramEnd"/>
      <w:r w:rsidRPr="005F27D2">
        <w:t xml:space="preserve"> </w:t>
      </w:r>
    </w:p>
    <w:p w14:paraId="2A660650" w14:textId="77777777" w:rsidR="005F27D2" w:rsidRPr="005F27D2" w:rsidRDefault="005F27D2" w:rsidP="001A4401">
      <w:pPr>
        <w:pStyle w:val="ListParagraph"/>
        <w:numPr>
          <w:ilvl w:val="0"/>
          <w:numId w:val="5"/>
        </w:numPr>
        <w:spacing w:after="160" w:line="360" w:lineRule="auto"/>
        <w:jc w:val="both"/>
      </w:pPr>
      <w:r w:rsidRPr="005F27D2">
        <w:t xml:space="preserve">Have an independent Data Governance Audit of all data sources utilized to train AI including provenance, consent record, bias testing, and lawful basis of GDPR. Correct any shortcomings found within specified timeframe. Create cross-functional AI Ethics Committee (legal, medical affairs, research and development, commercial, IT, and patient representative) and make it required that all new high-risk applications of AI must pass through the AI Ethics Committee before being implemented. </w:t>
      </w:r>
    </w:p>
    <w:p w14:paraId="5E57F735" w14:textId="78BDF4D2" w:rsidR="00B46847" w:rsidRPr="005F27D2" w:rsidRDefault="005F27D2" w:rsidP="001A4401">
      <w:pPr>
        <w:pStyle w:val="ListParagraph"/>
        <w:numPr>
          <w:ilvl w:val="0"/>
          <w:numId w:val="5"/>
        </w:numPr>
        <w:spacing w:after="160" w:line="360" w:lineRule="auto"/>
        <w:jc w:val="both"/>
      </w:pPr>
      <w:r w:rsidRPr="005F27D2">
        <w:t>Have a Chief AI Risk Officer (or similar) at the level of the Executive Committee who will report straight to the Risk Committee of the Board and provide senior supervision to AI risk.</w:t>
      </w:r>
    </w:p>
    <w:p w14:paraId="17727203" w14:textId="77777777" w:rsidR="0066666F" w:rsidRPr="005F27D2" w:rsidRDefault="00507C87" w:rsidP="001A4401">
      <w:pPr>
        <w:spacing w:after="160" w:line="360" w:lineRule="auto"/>
        <w:jc w:val="both"/>
        <w:rPr>
          <w:b/>
          <w:bCs/>
        </w:rPr>
      </w:pPr>
      <w:r w:rsidRPr="005F27D2">
        <w:rPr>
          <w:rFonts w:eastAsia="Arial"/>
          <w:b/>
          <w:bCs/>
        </w:rPr>
        <w:t>Phase 2: Compliance Build-Out (6–18 months)</w:t>
      </w:r>
    </w:p>
    <w:p w14:paraId="7D91A51B" w14:textId="77777777" w:rsidR="005F27D2" w:rsidRPr="005F27D2" w:rsidRDefault="005F27D2" w:rsidP="001A4401">
      <w:pPr>
        <w:pStyle w:val="ListParagraph"/>
        <w:numPr>
          <w:ilvl w:val="0"/>
          <w:numId w:val="6"/>
        </w:numPr>
        <w:spacing w:after="160" w:line="360" w:lineRule="auto"/>
        <w:jc w:val="both"/>
      </w:pPr>
      <w:r w:rsidRPr="005F27D2">
        <w:t xml:space="preserve">Establish EU AI Act adaptability schemes on all high-incidents AI frameworks deployed in EU markets including Conformity Assessment plans, technical </w:t>
      </w:r>
      <w:proofErr w:type="spellStart"/>
      <w:r w:rsidRPr="005F27D2">
        <w:t>documentufiles</w:t>
      </w:r>
      <w:proofErr w:type="spellEnd"/>
      <w:r w:rsidRPr="005F27D2">
        <w:t xml:space="preserve">, and post-market observational plans. Be proactive in terms of dealing with national competent authorities. </w:t>
      </w:r>
    </w:p>
    <w:p w14:paraId="32F85967" w14:textId="77777777" w:rsidR="005F27D2" w:rsidRPr="005F27D2" w:rsidRDefault="005F27D2" w:rsidP="001A4401">
      <w:pPr>
        <w:pStyle w:val="ListParagraph"/>
        <w:numPr>
          <w:ilvl w:val="0"/>
          <w:numId w:val="6"/>
        </w:numPr>
        <w:spacing w:after="160" w:line="360" w:lineRule="auto"/>
        <w:jc w:val="both"/>
      </w:pPr>
      <w:r w:rsidRPr="005F27D2">
        <w:t xml:space="preserve">Create and implement an Explainable AI (XAI) standard to all clinical-facing AI applications so that AI recommendations should be provided with human intelligible reasoning that aids physician decision-making. Introduce AI Literacy and Upskilling </w:t>
      </w:r>
      <w:proofErr w:type="spellStart"/>
      <w:r w:rsidRPr="005F27D2">
        <w:t>Programme</w:t>
      </w:r>
      <w:proofErr w:type="spellEnd"/>
      <w:r w:rsidRPr="005F27D2">
        <w:t xml:space="preserve"> to 10,000+ employees in clinical, regulatory, and commercial functions, so that employees that engage with AI systems know their restrictions, oversight roles, and escalation practices. </w:t>
      </w:r>
    </w:p>
    <w:p w14:paraId="57961C96" w14:textId="577808D9" w:rsidR="00B46847" w:rsidRPr="005F27D2" w:rsidRDefault="005F27D2" w:rsidP="001A4401">
      <w:pPr>
        <w:pStyle w:val="ListParagraph"/>
        <w:numPr>
          <w:ilvl w:val="0"/>
          <w:numId w:val="6"/>
        </w:numPr>
        <w:spacing w:after="160" w:line="360" w:lineRule="auto"/>
        <w:jc w:val="both"/>
      </w:pPr>
      <w:r w:rsidRPr="005F27D2">
        <w:t>Publish a Data Ethics Charter that specifies GSK commitments in the field of data governance and AI bias mitigation, transparency, and patient data custodianship. The AI Ethics Committee is expected to review this annually and conduct external audits after every three years.</w:t>
      </w:r>
    </w:p>
    <w:p w14:paraId="2849CD4D" w14:textId="77777777" w:rsidR="0066666F" w:rsidRPr="005F27D2" w:rsidRDefault="00507C87" w:rsidP="001A4401">
      <w:pPr>
        <w:spacing w:after="160" w:line="360" w:lineRule="auto"/>
        <w:jc w:val="both"/>
        <w:rPr>
          <w:b/>
          <w:bCs/>
        </w:rPr>
      </w:pPr>
      <w:r w:rsidRPr="005F27D2">
        <w:rPr>
          <w:rFonts w:eastAsia="Arial"/>
          <w:b/>
          <w:bCs/>
        </w:rPr>
        <w:lastRenderedPageBreak/>
        <w:t>Phase 3: Future-Proofing and Continuous Improvement (18 months+)</w:t>
      </w:r>
    </w:p>
    <w:p w14:paraId="33208EB1" w14:textId="77777777" w:rsidR="005F27D2" w:rsidRPr="005F27D2" w:rsidRDefault="005F27D2" w:rsidP="001A4401">
      <w:pPr>
        <w:pStyle w:val="ListParagraph"/>
        <w:numPr>
          <w:ilvl w:val="0"/>
          <w:numId w:val="7"/>
        </w:numPr>
        <w:spacing w:after="160" w:line="360" w:lineRule="auto"/>
        <w:jc w:val="both"/>
      </w:pPr>
      <w:r w:rsidRPr="005F27D2">
        <w:t xml:space="preserve">Create a Regulatory Intelligence department that tracks AI regulation in major jurisdictions (UK, EU, USA, China, Japan) and converts regulatory change into operational risk management advice on AI task forces at GSK. </w:t>
      </w:r>
    </w:p>
    <w:p w14:paraId="6BC9E581" w14:textId="77777777" w:rsidR="005F27D2" w:rsidRPr="005F27D2" w:rsidRDefault="005F27D2" w:rsidP="001A4401">
      <w:pPr>
        <w:pStyle w:val="ListParagraph"/>
        <w:numPr>
          <w:ilvl w:val="0"/>
          <w:numId w:val="7"/>
        </w:numPr>
        <w:spacing w:after="160" w:line="360" w:lineRule="auto"/>
        <w:jc w:val="both"/>
      </w:pPr>
      <w:r w:rsidRPr="005F27D2">
        <w:t xml:space="preserve">Establish a Patient Trust and Transparency </w:t>
      </w:r>
      <w:proofErr w:type="spellStart"/>
      <w:r w:rsidRPr="005F27D2">
        <w:t>Programme</w:t>
      </w:r>
      <w:proofErr w:type="spellEnd"/>
      <w:r w:rsidRPr="005F27D2">
        <w:t xml:space="preserve"> and patient-facing messages about the application of AI in GSK business, and visible ways patients can raise concerns regarding AI-based decision making in regard to their treatment. </w:t>
      </w:r>
    </w:p>
    <w:p w14:paraId="4A0E24F0" w14:textId="77777777" w:rsidR="005F27D2" w:rsidRPr="005F27D2" w:rsidRDefault="005F27D2" w:rsidP="001A4401">
      <w:pPr>
        <w:pStyle w:val="ListParagraph"/>
        <w:numPr>
          <w:ilvl w:val="0"/>
          <w:numId w:val="7"/>
        </w:numPr>
        <w:spacing w:after="160" w:line="360" w:lineRule="auto"/>
        <w:jc w:val="both"/>
      </w:pPr>
      <w:r w:rsidRPr="005F27D2">
        <w:t xml:space="preserve">Invest in AI safety and participate in pre-competitive industry consortia (ex: the Pistoia Alliance, IMI, and the Innovative Medicines Initiative) to aid in setting new AI standards in pharmaceuticals, and make GSK a leader in responsible AI governance. </w:t>
      </w:r>
    </w:p>
    <w:p w14:paraId="3053D589" w14:textId="2122A491" w:rsidR="00B46847" w:rsidRDefault="005F27D2" w:rsidP="001A4401">
      <w:pPr>
        <w:pStyle w:val="ListParagraph"/>
        <w:numPr>
          <w:ilvl w:val="0"/>
          <w:numId w:val="7"/>
        </w:numPr>
        <w:spacing w:after="160" w:line="360" w:lineRule="auto"/>
        <w:jc w:val="both"/>
      </w:pPr>
      <w:r w:rsidRPr="005F27D2">
        <w:t>Add bilateral planning and AI risk stress-testing to the GSK annual risk management cycle, simulating how possible AI incidents (such as data breaches, algorithm malfunction, and regulatory fines) could affect the financial position and strategic goals of the company.</w:t>
      </w:r>
    </w:p>
    <w:p w14:paraId="7991929B" w14:textId="77777777" w:rsidR="001A4401" w:rsidRPr="005F27D2" w:rsidRDefault="001A4401" w:rsidP="001A4401">
      <w:pPr>
        <w:spacing w:after="160" w:line="360" w:lineRule="auto"/>
        <w:jc w:val="both"/>
      </w:pPr>
    </w:p>
    <w:p w14:paraId="1DEB77E1" w14:textId="77777777" w:rsidR="0066666F" w:rsidRPr="005F27D2" w:rsidRDefault="00507C87" w:rsidP="001A4401">
      <w:pPr>
        <w:pStyle w:val="Heading2"/>
        <w:spacing w:before="0" w:line="360" w:lineRule="auto"/>
        <w:jc w:val="both"/>
        <w:rPr>
          <w:rFonts w:cs="Times New Roman"/>
          <w:color w:val="auto"/>
          <w:szCs w:val="24"/>
        </w:rPr>
      </w:pPr>
      <w:bookmarkStart w:id="27" w:name="_Toc228140480"/>
      <w:r w:rsidRPr="005F27D2">
        <w:rPr>
          <w:rFonts w:cs="Times New Roman"/>
          <w:color w:val="auto"/>
          <w:szCs w:val="24"/>
        </w:rPr>
        <w:t>6.3 Future Outlook</w:t>
      </w:r>
      <w:bookmarkEnd w:id="27"/>
    </w:p>
    <w:p w14:paraId="472C7070" w14:textId="77777777" w:rsidR="005F27D2" w:rsidRPr="005F27D2" w:rsidRDefault="005F27D2" w:rsidP="001A4401">
      <w:pPr>
        <w:spacing w:after="160" w:line="360" w:lineRule="auto"/>
        <w:jc w:val="both"/>
      </w:pPr>
      <w:r w:rsidRPr="005F27D2">
        <w:t xml:space="preserve">The trend of AI evolution indicates that the obstacles that this report has identified will not become less severe in the next decade. The rise of more and more capable foundation models and autonomous AI agents - able to perform multi-step tasks with little human supervision - will demand more sophisticated governance structures than those already envisioned by the current regulations. GSK needs to invest today in the governance infrastructure it would need to responsibly roll out these more capable systems in the future. </w:t>
      </w:r>
    </w:p>
    <w:p w14:paraId="2A873A50" w14:textId="0753267A" w:rsidR="00B46847" w:rsidRDefault="005F27D2" w:rsidP="001A4401">
      <w:pPr>
        <w:spacing w:after="160" w:line="360" w:lineRule="auto"/>
        <w:jc w:val="both"/>
      </w:pPr>
      <w:r w:rsidRPr="005F27D2">
        <w:t xml:space="preserve">Finally, those </w:t>
      </w:r>
      <w:proofErr w:type="spellStart"/>
      <w:r w:rsidRPr="005F27D2">
        <w:t>organisations</w:t>
      </w:r>
      <w:proofErr w:type="spellEnd"/>
      <w:r w:rsidRPr="005F27D2">
        <w:t xml:space="preserve"> will thrive in the AI age that do not see responsible AI governance as a cost burden but as competitive advantage. In the case of GSK, the vision ought to be to be the pharmaceutical company that patients, regulators and partners are most confident to use AI responsibly - and to be in a position to show, using visible governance and quantifiable results, that this trust has been justified. This report offers suggestions that will guide us on the path to that dream.</w:t>
      </w:r>
    </w:p>
    <w:p w14:paraId="1BF7C574" w14:textId="0B5EB049" w:rsidR="001A4401" w:rsidRDefault="001A4401" w:rsidP="001A4401">
      <w:pPr>
        <w:spacing w:after="160" w:line="360" w:lineRule="auto"/>
        <w:jc w:val="both"/>
      </w:pPr>
    </w:p>
    <w:p w14:paraId="209C12C0" w14:textId="77777777" w:rsidR="00B46847" w:rsidRPr="005F27D2" w:rsidRDefault="00B46847" w:rsidP="001A4401">
      <w:pPr>
        <w:spacing w:after="160" w:line="360" w:lineRule="auto"/>
        <w:jc w:val="both"/>
        <w:rPr>
          <w:rFonts w:eastAsia="Arial"/>
          <w:b/>
          <w:bCs/>
        </w:rPr>
      </w:pPr>
      <w:r w:rsidRPr="005F27D2">
        <w:br w:type="page"/>
      </w:r>
    </w:p>
    <w:p w14:paraId="54488626" w14:textId="20D4D92B" w:rsidR="0066666F" w:rsidRPr="005F27D2" w:rsidRDefault="00507C87" w:rsidP="001A4401">
      <w:pPr>
        <w:pStyle w:val="Heading1"/>
        <w:spacing w:after="160"/>
        <w:rPr>
          <w:rFonts w:cs="Times New Roman"/>
          <w:color w:val="auto"/>
          <w:szCs w:val="24"/>
        </w:rPr>
      </w:pPr>
      <w:bookmarkStart w:id="28" w:name="_Toc228140481"/>
      <w:r w:rsidRPr="005F27D2">
        <w:rPr>
          <w:rFonts w:cs="Times New Roman"/>
          <w:color w:val="auto"/>
          <w:szCs w:val="24"/>
        </w:rPr>
        <w:lastRenderedPageBreak/>
        <w:t>Bibliography</w:t>
      </w:r>
      <w:bookmarkEnd w:id="28"/>
    </w:p>
    <w:p w14:paraId="632A1E62" w14:textId="0860CBF2" w:rsidR="005F27D2" w:rsidRPr="005F27D2" w:rsidRDefault="005F27D2" w:rsidP="001A4401">
      <w:pPr>
        <w:spacing w:after="160" w:line="360" w:lineRule="auto"/>
        <w:jc w:val="both"/>
      </w:pPr>
      <w:r w:rsidRPr="005F27D2">
        <w:t xml:space="preserve">Bank of England (2024) Monetary Policy Report, February 2024. London: Bank of England. Available at: </w:t>
      </w:r>
      <w:hyperlink r:id="rId9" w:history="1">
        <w:r w:rsidRPr="005F27D2">
          <w:rPr>
            <w:rStyle w:val="Hyperlink"/>
            <w:color w:val="auto"/>
          </w:rPr>
          <w:t>https://www.bankofengland.co.uk</w:t>
        </w:r>
      </w:hyperlink>
      <w:r w:rsidRPr="005F27D2">
        <w:t xml:space="preserve">. </w:t>
      </w:r>
    </w:p>
    <w:p w14:paraId="61DC713D" w14:textId="77777777" w:rsidR="005F27D2" w:rsidRPr="005F27D2" w:rsidRDefault="005F27D2" w:rsidP="001A4401">
      <w:pPr>
        <w:spacing w:after="160" w:line="360" w:lineRule="auto"/>
        <w:jc w:val="both"/>
      </w:pPr>
      <w:r w:rsidRPr="005F27D2">
        <w:t>Char, D.S., Shah, N.H. and Magnus, D. (2018) 'Implementing Machine Learning in Health Care - Addressing Ethical Challenges', New England Journal of Medicine, 378(11), pp. 981–983.</w:t>
      </w:r>
    </w:p>
    <w:p w14:paraId="60F1109E" w14:textId="77777777" w:rsidR="005F27D2" w:rsidRPr="005F27D2" w:rsidRDefault="005F27D2" w:rsidP="001A4401">
      <w:pPr>
        <w:spacing w:after="160" w:line="360" w:lineRule="auto"/>
        <w:jc w:val="both"/>
      </w:pPr>
      <w:r w:rsidRPr="005F27D2">
        <w:t>Deloitte (2024) Global Life Sciences Outlook 2024: Navigating Complexity with Technology and Innovation. London: Deloitte Insights.</w:t>
      </w:r>
    </w:p>
    <w:p w14:paraId="1B1766FA" w14:textId="77777777" w:rsidR="005F27D2" w:rsidRPr="005F27D2" w:rsidRDefault="005F27D2" w:rsidP="001A4401">
      <w:pPr>
        <w:spacing w:after="160" w:line="360" w:lineRule="auto"/>
        <w:jc w:val="both"/>
      </w:pPr>
      <w:r w:rsidRPr="005F27D2">
        <w:t xml:space="preserve">DHSC – Department of Health and Social Care (2023) Life Sciences Vision 2023. London: HMSO. Available at: </w:t>
      </w:r>
      <w:hyperlink r:id="rId10" w:history="1">
        <w:r w:rsidRPr="005F27D2">
          <w:rPr>
            <w:rStyle w:val="Hyperlink"/>
            <w:color w:val="auto"/>
          </w:rPr>
          <w:t>https://www.gov.uk/government/publications/life-sciences-vision</w:t>
        </w:r>
      </w:hyperlink>
      <w:r w:rsidRPr="005F27D2">
        <w:t xml:space="preserve">. </w:t>
      </w:r>
    </w:p>
    <w:p w14:paraId="6BD635AC" w14:textId="77777777" w:rsidR="005F27D2" w:rsidRPr="005F27D2" w:rsidRDefault="005F27D2" w:rsidP="001A4401">
      <w:pPr>
        <w:spacing w:after="160" w:line="360" w:lineRule="auto"/>
        <w:jc w:val="both"/>
      </w:pPr>
      <w:r w:rsidRPr="005F27D2">
        <w:t xml:space="preserve">DSIT – Department for Science, Innovation and Technology (2023) A Pro-Innovation Approach to AI Regulation. London: HMSO. Available at: </w:t>
      </w:r>
      <w:hyperlink r:id="rId11" w:history="1">
        <w:r w:rsidRPr="005F27D2">
          <w:rPr>
            <w:rStyle w:val="Hyperlink"/>
            <w:color w:val="auto"/>
          </w:rPr>
          <w:t>https://www.gov.uk/government/publications/ai-regulation-a-pro-innovation-approach</w:t>
        </w:r>
      </w:hyperlink>
      <w:r w:rsidRPr="005F27D2">
        <w:t xml:space="preserve">. </w:t>
      </w:r>
    </w:p>
    <w:p w14:paraId="13D5F1D0" w14:textId="77777777" w:rsidR="005F27D2" w:rsidRPr="005F27D2" w:rsidRDefault="005F27D2" w:rsidP="001A4401">
      <w:pPr>
        <w:spacing w:after="160" w:line="360" w:lineRule="auto"/>
        <w:jc w:val="both"/>
      </w:pPr>
      <w:r w:rsidRPr="005F27D2">
        <w:t>Economist Intelligence Unit (2023) The Geopolitics of AI: How US-China Tensions are Reshaping the Global Technology Landscape. London: EIU.</w:t>
      </w:r>
    </w:p>
    <w:p w14:paraId="11AA6273" w14:textId="77777777" w:rsidR="005F27D2" w:rsidRPr="005F27D2" w:rsidRDefault="005F27D2" w:rsidP="001A4401">
      <w:pPr>
        <w:spacing w:after="160" w:line="360" w:lineRule="auto"/>
        <w:jc w:val="both"/>
      </w:pPr>
      <w:r w:rsidRPr="005F27D2">
        <w:t xml:space="preserve">EDPB – European Data Protection Board (2023) Guidelines 02/2023 on Technical Scope of Article 5(3) of the </w:t>
      </w:r>
      <w:proofErr w:type="spellStart"/>
      <w:r w:rsidRPr="005F27D2">
        <w:t>ePrivacy</w:t>
      </w:r>
      <w:proofErr w:type="spellEnd"/>
      <w:r w:rsidRPr="005F27D2">
        <w:t xml:space="preserve"> Directive. Brussels: EDPB.</w:t>
      </w:r>
    </w:p>
    <w:p w14:paraId="508F9DDC" w14:textId="77777777" w:rsidR="005F27D2" w:rsidRPr="005F27D2" w:rsidRDefault="005F27D2" w:rsidP="001A4401">
      <w:pPr>
        <w:spacing w:after="160" w:line="360" w:lineRule="auto"/>
        <w:jc w:val="both"/>
      </w:pPr>
      <w:r w:rsidRPr="005F27D2">
        <w:t xml:space="preserve">EMA – European Medicines Agency (2023) Reflection Paper on the Use of Artificial Intelligence (AI) in the Lifecycle of Medicines. Amsterdam: EMA. Available at: </w:t>
      </w:r>
      <w:hyperlink r:id="rId12" w:history="1">
        <w:r w:rsidRPr="005F27D2">
          <w:rPr>
            <w:rStyle w:val="Hyperlink"/>
            <w:color w:val="auto"/>
          </w:rPr>
          <w:t>https://www.ema.europa.eu</w:t>
        </w:r>
      </w:hyperlink>
      <w:r w:rsidRPr="005F27D2">
        <w:t xml:space="preserve">. </w:t>
      </w:r>
    </w:p>
    <w:p w14:paraId="30A7D0B9" w14:textId="77777777" w:rsidR="005F27D2" w:rsidRPr="005F27D2" w:rsidRDefault="005F27D2" w:rsidP="001A4401">
      <w:pPr>
        <w:spacing w:after="160" w:line="360" w:lineRule="auto"/>
        <w:jc w:val="both"/>
      </w:pPr>
      <w:r w:rsidRPr="005F27D2">
        <w:t>European Commission (2022) Proposal for a Regulation on the European Health Data Space. Brussels: European Commission COM(2022) 197 final.</w:t>
      </w:r>
    </w:p>
    <w:p w14:paraId="30FF0DD8" w14:textId="77777777" w:rsidR="005F27D2" w:rsidRPr="005F27D2" w:rsidRDefault="005F27D2" w:rsidP="001A4401">
      <w:pPr>
        <w:spacing w:after="160" w:line="360" w:lineRule="auto"/>
        <w:jc w:val="both"/>
      </w:pPr>
      <w:r w:rsidRPr="005F27D2">
        <w:t xml:space="preserve">European Parliament (2024) Regulation (EU) 2024/1689 of the European Parliament and of the Council Laying Down </w:t>
      </w:r>
      <w:proofErr w:type="spellStart"/>
      <w:r w:rsidRPr="005F27D2">
        <w:t>Harmonised</w:t>
      </w:r>
      <w:proofErr w:type="spellEnd"/>
      <w:r w:rsidRPr="005F27D2">
        <w:t xml:space="preserve"> Rules on Artificial Intelligence (Artificial Intelligence Act). Official Journal of the European Union, L, 12 July 2024.</w:t>
      </w:r>
    </w:p>
    <w:p w14:paraId="43C2D9A1" w14:textId="77777777" w:rsidR="005F27D2" w:rsidRPr="005F27D2" w:rsidRDefault="005F27D2" w:rsidP="001A4401">
      <w:pPr>
        <w:spacing w:after="160" w:line="360" w:lineRule="auto"/>
        <w:jc w:val="both"/>
      </w:pPr>
      <w:r w:rsidRPr="005F27D2">
        <w:t>Financial Times (2023) 'GSK Bets on Technology to Revive Its Drug Pipeline', Financial Times, 23 September 2023.</w:t>
      </w:r>
    </w:p>
    <w:p w14:paraId="2523DE3D" w14:textId="64B9839E" w:rsidR="005F27D2" w:rsidRPr="005F27D2" w:rsidRDefault="005F27D2" w:rsidP="001A4401">
      <w:pPr>
        <w:spacing w:after="160" w:line="360" w:lineRule="auto"/>
        <w:jc w:val="both"/>
      </w:pPr>
      <w:r w:rsidRPr="005F27D2">
        <w:t xml:space="preserve">GSK </w:t>
      </w:r>
      <w:r w:rsidR="007823E2">
        <w:t>-</w:t>
      </w:r>
      <w:r w:rsidRPr="005F27D2">
        <w:t xml:space="preserve"> GlaxoSmithKline (2023) Annual Report and Form 20-F 2023. London: GSK plc.</w:t>
      </w:r>
    </w:p>
    <w:p w14:paraId="6C11A173" w14:textId="1A7A0AFF" w:rsidR="005F27D2" w:rsidRPr="005F27D2" w:rsidRDefault="005F27D2" w:rsidP="001A4401">
      <w:pPr>
        <w:spacing w:after="160" w:line="360" w:lineRule="auto"/>
        <w:jc w:val="both"/>
      </w:pPr>
      <w:r w:rsidRPr="005F27D2">
        <w:lastRenderedPageBreak/>
        <w:t xml:space="preserve">GSK </w:t>
      </w:r>
      <w:r w:rsidR="007823E2">
        <w:t>-</w:t>
      </w:r>
      <w:r w:rsidRPr="005F27D2">
        <w:t xml:space="preserve"> GlaxoSmithKline (2024) 'GSK and Isomorphic Labs Announce Collaboration to Accelerate Drug Discovery'. GSK Press Release, 4 January 2024. Available at: </w:t>
      </w:r>
      <w:hyperlink r:id="rId13" w:history="1">
        <w:r w:rsidRPr="005F27D2">
          <w:rPr>
            <w:rStyle w:val="Hyperlink"/>
            <w:color w:val="auto"/>
          </w:rPr>
          <w:t>https://www.gsk.com</w:t>
        </w:r>
      </w:hyperlink>
      <w:r w:rsidRPr="005F27D2">
        <w:t xml:space="preserve">. </w:t>
      </w:r>
    </w:p>
    <w:p w14:paraId="7B6BAA11" w14:textId="3495995D" w:rsidR="005F27D2" w:rsidRPr="005F27D2" w:rsidRDefault="005F27D2" w:rsidP="001A4401">
      <w:pPr>
        <w:spacing w:after="160" w:line="360" w:lineRule="auto"/>
        <w:jc w:val="both"/>
      </w:pPr>
      <w:r w:rsidRPr="005F27D2">
        <w:t xml:space="preserve">ICO </w:t>
      </w:r>
      <w:r w:rsidR="007823E2">
        <w:t>-</w:t>
      </w:r>
      <w:r w:rsidRPr="005F27D2">
        <w:t xml:space="preserve"> Information Commissioner's Office (2023) Guidance on AI and Data Protection. </w:t>
      </w:r>
      <w:proofErr w:type="spellStart"/>
      <w:r w:rsidRPr="005F27D2">
        <w:t>Wilmslow</w:t>
      </w:r>
      <w:proofErr w:type="spellEnd"/>
      <w:r w:rsidRPr="005F27D2">
        <w:t xml:space="preserve">: ICO. Available at: </w:t>
      </w:r>
      <w:hyperlink r:id="rId14" w:history="1">
        <w:r w:rsidRPr="005F27D2">
          <w:rPr>
            <w:rStyle w:val="Hyperlink"/>
            <w:color w:val="auto"/>
          </w:rPr>
          <w:t>https://ico.org.uk/for-organisations/uk-gdpr-guidance-and-resources/artificial-intelligence/</w:t>
        </w:r>
      </w:hyperlink>
      <w:r w:rsidRPr="005F27D2">
        <w:t xml:space="preserve"> </w:t>
      </w:r>
    </w:p>
    <w:p w14:paraId="6C684097" w14:textId="77777777" w:rsidR="005F27D2" w:rsidRPr="005F27D2" w:rsidRDefault="005F27D2" w:rsidP="001A4401">
      <w:pPr>
        <w:spacing w:after="160" w:line="360" w:lineRule="auto"/>
        <w:jc w:val="both"/>
      </w:pPr>
      <w:r w:rsidRPr="005F27D2">
        <w:t xml:space="preserve">ISO (2018) ISO 31000:2018 - Risk Management: Guidelines. Geneva: International </w:t>
      </w:r>
      <w:proofErr w:type="spellStart"/>
      <w:r w:rsidRPr="005F27D2">
        <w:t>Organisation</w:t>
      </w:r>
      <w:proofErr w:type="spellEnd"/>
      <w:r w:rsidRPr="005F27D2">
        <w:t xml:space="preserve"> for </w:t>
      </w:r>
      <w:proofErr w:type="spellStart"/>
      <w:r w:rsidRPr="005F27D2">
        <w:t>Standardisation</w:t>
      </w:r>
      <w:proofErr w:type="spellEnd"/>
      <w:r w:rsidRPr="005F27D2">
        <w:t>.</w:t>
      </w:r>
    </w:p>
    <w:p w14:paraId="7682C8C7" w14:textId="77777777" w:rsidR="005F27D2" w:rsidRPr="005F27D2" w:rsidRDefault="005F27D2" w:rsidP="001A4401">
      <w:pPr>
        <w:spacing w:after="160" w:line="360" w:lineRule="auto"/>
        <w:jc w:val="both"/>
      </w:pPr>
      <w:r w:rsidRPr="005F27D2">
        <w:t xml:space="preserve">Johnson, G., Whittington, R., Scholes, K., Angwin, D. and </w:t>
      </w:r>
      <w:proofErr w:type="spellStart"/>
      <w:r w:rsidRPr="005F27D2">
        <w:t>Regnér</w:t>
      </w:r>
      <w:proofErr w:type="spellEnd"/>
      <w:r w:rsidRPr="005F27D2">
        <w:t xml:space="preserve">, P. (2017) Exploring Strategy: Text and Cases. 11th </w:t>
      </w:r>
      <w:proofErr w:type="spellStart"/>
      <w:r w:rsidRPr="005F27D2">
        <w:t>edn</w:t>
      </w:r>
      <w:proofErr w:type="spellEnd"/>
      <w:r w:rsidRPr="005F27D2">
        <w:t>. Harlow: Pearson Education.</w:t>
      </w:r>
    </w:p>
    <w:p w14:paraId="125D781A" w14:textId="77777777" w:rsidR="005F27D2" w:rsidRPr="005F27D2" w:rsidRDefault="005F27D2" w:rsidP="001A4401">
      <w:pPr>
        <w:spacing w:after="160" w:line="360" w:lineRule="auto"/>
        <w:jc w:val="both"/>
      </w:pPr>
      <w:r w:rsidRPr="005F27D2">
        <w:t>Maclean, M., Harvey, C. and Clegg, S. (2022) 'Brexit and the Pharmaceutical Sector: Regulatory Fragmentation and Strategic Response', Journal of International Business Policy, 5(2), pp. 189–208.</w:t>
      </w:r>
    </w:p>
    <w:p w14:paraId="26D53006" w14:textId="77777777" w:rsidR="005F27D2" w:rsidRPr="005F27D2" w:rsidRDefault="005F27D2" w:rsidP="001A4401">
      <w:pPr>
        <w:spacing w:after="160" w:line="360" w:lineRule="auto"/>
        <w:jc w:val="both"/>
      </w:pPr>
      <w:r w:rsidRPr="005F27D2">
        <w:t>McKinsey Global Institute (2022) The Bio Revolution: Innovations Transforming Economies, Societies, and Our Lives. New York: McKinsey &amp; Company.</w:t>
      </w:r>
    </w:p>
    <w:p w14:paraId="5BA020F5" w14:textId="4F95F801" w:rsidR="005F27D2" w:rsidRPr="005F27D2" w:rsidRDefault="005F27D2" w:rsidP="001A4401">
      <w:pPr>
        <w:spacing w:after="160" w:line="360" w:lineRule="auto"/>
        <w:jc w:val="both"/>
      </w:pPr>
      <w:r w:rsidRPr="005F27D2">
        <w:t xml:space="preserve">MHRA </w:t>
      </w:r>
      <w:r w:rsidR="007823E2">
        <w:t>-</w:t>
      </w:r>
      <w:r w:rsidRPr="005F27D2">
        <w:t xml:space="preserve"> Medicines and Healthcare products Regulatory Agency (2023) Guidance: Software and AI as a Medical Device. London: MHRA. Available at: https://www.gov.uk/guidance/software-and-ai-as-a-medical-device </w:t>
      </w:r>
    </w:p>
    <w:p w14:paraId="291D3B7C" w14:textId="77777777" w:rsidR="005F27D2" w:rsidRPr="005F27D2" w:rsidRDefault="005F27D2" w:rsidP="001A4401">
      <w:pPr>
        <w:spacing w:after="160" w:line="360" w:lineRule="auto"/>
        <w:jc w:val="both"/>
      </w:pPr>
      <w:r w:rsidRPr="005F27D2">
        <w:t>Nature (2023) 'AI Biopharma: How Artificial Intelligence is Transforming Drug Discovery', Nature Biotechnology, 41(8), pp. 1123–1131.</w:t>
      </w:r>
    </w:p>
    <w:p w14:paraId="617FCDC6" w14:textId="77777777" w:rsidR="005F27D2" w:rsidRPr="005F27D2" w:rsidRDefault="005F27D2" w:rsidP="001A4401">
      <w:pPr>
        <w:spacing w:after="160" w:line="360" w:lineRule="auto"/>
        <w:jc w:val="both"/>
      </w:pPr>
      <w:r w:rsidRPr="005F27D2">
        <w:t xml:space="preserve">Obermeyer, Z., Powers, B., </w:t>
      </w:r>
      <w:proofErr w:type="spellStart"/>
      <w:r w:rsidRPr="005F27D2">
        <w:t>Vogeli</w:t>
      </w:r>
      <w:proofErr w:type="spellEnd"/>
      <w:r w:rsidRPr="005F27D2">
        <w:t>, C. and Mullainathan, S. (2019) 'Dissecting Racial Bias in an Algorithm Used to Manage the Health of Populations', Science, 366(6464), pp. 447–453.</w:t>
      </w:r>
    </w:p>
    <w:p w14:paraId="7F061AF0" w14:textId="77777777" w:rsidR="005F27D2" w:rsidRPr="005F27D2" w:rsidRDefault="005F27D2" w:rsidP="001A4401">
      <w:pPr>
        <w:spacing w:after="160" w:line="360" w:lineRule="auto"/>
        <w:jc w:val="both"/>
      </w:pPr>
      <w:r w:rsidRPr="005F27D2">
        <w:t>Porter, M.E. (1985) Competitive Advantage: Creating and Sustaining Superior Performance. New York: Free Press.</w:t>
      </w:r>
    </w:p>
    <w:p w14:paraId="28446C9D" w14:textId="77777777" w:rsidR="005F27D2" w:rsidRPr="005F27D2" w:rsidRDefault="005F27D2" w:rsidP="001A4401">
      <w:pPr>
        <w:spacing w:after="160" w:line="360" w:lineRule="auto"/>
        <w:jc w:val="both"/>
      </w:pPr>
      <w:r w:rsidRPr="005F27D2">
        <w:t xml:space="preserve">PricewaterhouseCoopers (2024) PwC Global AI Jobs Barometer 2024. London: PwC. Available at: </w:t>
      </w:r>
      <w:hyperlink r:id="rId15" w:history="1">
        <w:r w:rsidRPr="005F27D2">
          <w:rPr>
            <w:rStyle w:val="Hyperlink"/>
            <w:color w:val="auto"/>
          </w:rPr>
          <w:t>https://www.pwc.com/gx/en/issues/artificial-intelligence/ai-jobs-barometer.html</w:t>
        </w:r>
      </w:hyperlink>
      <w:r w:rsidRPr="005F27D2">
        <w:t xml:space="preserve">  </w:t>
      </w:r>
    </w:p>
    <w:p w14:paraId="64078D96" w14:textId="77777777" w:rsidR="005F27D2" w:rsidRPr="005F27D2" w:rsidRDefault="005F27D2" w:rsidP="001A4401">
      <w:pPr>
        <w:spacing w:after="160" w:line="360" w:lineRule="auto"/>
        <w:jc w:val="both"/>
      </w:pPr>
      <w:r w:rsidRPr="005F27D2">
        <w:t xml:space="preserve">The Lancet (2023) 'NHS Data: </w:t>
      </w:r>
      <w:proofErr w:type="spellStart"/>
      <w:r w:rsidRPr="005F27D2">
        <w:t>Realising</w:t>
      </w:r>
      <w:proofErr w:type="spellEnd"/>
      <w:r w:rsidRPr="005F27D2">
        <w:t xml:space="preserve"> the Potential of Health Data for Research and Planning', The Lancet, 401(10379), pp. 797–799.</w:t>
      </w:r>
    </w:p>
    <w:p w14:paraId="10CFA96F" w14:textId="77777777" w:rsidR="005F27D2" w:rsidRPr="005F27D2" w:rsidRDefault="005F27D2" w:rsidP="001A4401">
      <w:pPr>
        <w:spacing w:after="160" w:line="360" w:lineRule="auto"/>
        <w:jc w:val="both"/>
      </w:pPr>
      <w:proofErr w:type="spellStart"/>
      <w:r w:rsidRPr="005F27D2">
        <w:lastRenderedPageBreak/>
        <w:t>Topol</w:t>
      </w:r>
      <w:proofErr w:type="spellEnd"/>
      <w:r w:rsidRPr="005F27D2">
        <w:t>, E.J. (2019) Deep Medicine: How Artificial Intelligence Can Make Healthcare Human Again. New York: Basic Books.</w:t>
      </w:r>
    </w:p>
    <w:p w14:paraId="09A3B70F" w14:textId="77777777" w:rsidR="005F27D2" w:rsidRPr="005F27D2" w:rsidRDefault="005F27D2" w:rsidP="001A4401">
      <w:pPr>
        <w:spacing w:after="160" w:line="360" w:lineRule="auto"/>
        <w:jc w:val="both"/>
      </w:pPr>
      <w:r w:rsidRPr="005F27D2">
        <w:t xml:space="preserve">UK Government (2023) 'The Bletchley Declaration by Countries Attending the AI Safety Summit, 1–2 November 2023'. London: Cabinet Office. Available at: </w:t>
      </w:r>
      <w:hyperlink r:id="rId16" w:history="1">
        <w:r w:rsidRPr="005F27D2">
          <w:rPr>
            <w:rStyle w:val="Hyperlink"/>
            <w:color w:val="auto"/>
          </w:rPr>
          <w:t>https://www.gov.uk/government/publications/ai-safety-summit-2023-the-bletchley-declaration</w:t>
        </w:r>
      </w:hyperlink>
      <w:r w:rsidRPr="005F27D2">
        <w:t xml:space="preserve">  </w:t>
      </w:r>
    </w:p>
    <w:p w14:paraId="68B2629C" w14:textId="77777777" w:rsidR="005F27D2" w:rsidRPr="005F27D2" w:rsidRDefault="005F27D2" w:rsidP="001A4401">
      <w:pPr>
        <w:spacing w:after="160" w:line="360" w:lineRule="auto"/>
        <w:jc w:val="both"/>
      </w:pPr>
      <w:proofErr w:type="spellStart"/>
      <w:r w:rsidRPr="005F27D2">
        <w:t>Wellcome</w:t>
      </w:r>
      <w:proofErr w:type="spellEnd"/>
      <w:r w:rsidRPr="005F27D2">
        <w:t xml:space="preserve"> Trust (2021) Understanding Patient Data: Public Attitudes to the Use of Health Data in Research and Healthcare. London: </w:t>
      </w:r>
      <w:proofErr w:type="spellStart"/>
      <w:r w:rsidRPr="005F27D2">
        <w:t>Wellcome</w:t>
      </w:r>
      <w:proofErr w:type="spellEnd"/>
      <w:r w:rsidRPr="005F27D2">
        <w:t xml:space="preserve"> Trust.</w:t>
      </w:r>
    </w:p>
    <w:sectPr w:rsidR="005F27D2" w:rsidRPr="005F27D2" w:rsidSect="001A4401">
      <w:footerReference w:type="default" r:id="rId17"/>
      <w:pgSz w:w="11906" w:h="16838"/>
      <w:pgMar w:top="1440" w:right="1260" w:bottom="1440" w:left="1440"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C2DF1F" w14:textId="77777777" w:rsidR="007A4418" w:rsidRDefault="007A4418">
      <w:r>
        <w:separator/>
      </w:r>
    </w:p>
  </w:endnote>
  <w:endnote w:type="continuationSeparator" w:id="0">
    <w:p w14:paraId="3194630A" w14:textId="77777777" w:rsidR="007A4418" w:rsidRDefault="007A4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6617595"/>
      <w:docPartObj>
        <w:docPartGallery w:val="Page Numbers (Bottom of Page)"/>
        <w:docPartUnique/>
      </w:docPartObj>
    </w:sdtPr>
    <w:sdtEndPr>
      <w:rPr>
        <w:noProof/>
      </w:rPr>
    </w:sdtEndPr>
    <w:sdtContent>
      <w:p w14:paraId="0F9480FE" w14:textId="063D8FD1" w:rsidR="0066666F" w:rsidRDefault="001A4401" w:rsidP="001A4401">
        <w:pPr>
          <w:pStyle w:val="Footer"/>
          <w:jc w:val="right"/>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2E860" w14:textId="77777777" w:rsidR="007A4418" w:rsidRDefault="007A4418">
      <w:r>
        <w:separator/>
      </w:r>
    </w:p>
  </w:footnote>
  <w:footnote w:type="continuationSeparator" w:id="0">
    <w:p w14:paraId="64084E16" w14:textId="77777777" w:rsidR="007A4418" w:rsidRDefault="007A44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A6C4F"/>
    <w:multiLevelType w:val="hybridMultilevel"/>
    <w:tmpl w:val="D3CA9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8A2A3C"/>
    <w:multiLevelType w:val="hybridMultilevel"/>
    <w:tmpl w:val="0CE06B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6C40164"/>
    <w:multiLevelType w:val="hybridMultilevel"/>
    <w:tmpl w:val="12DE4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EF4ACA"/>
    <w:multiLevelType w:val="hybridMultilevel"/>
    <w:tmpl w:val="DE6A3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F0E68D1"/>
    <w:multiLevelType w:val="hybridMultilevel"/>
    <w:tmpl w:val="CFF45C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60AD08E7"/>
    <w:multiLevelType w:val="hybridMultilevel"/>
    <w:tmpl w:val="E7C2B18A"/>
    <w:lvl w:ilvl="0" w:tplc="A544BA08">
      <w:start w:val="1"/>
      <w:numFmt w:val="bullet"/>
      <w:lvlText w:val="●"/>
      <w:lvlJc w:val="left"/>
      <w:pPr>
        <w:ind w:left="720" w:hanging="360"/>
      </w:pPr>
    </w:lvl>
    <w:lvl w:ilvl="1" w:tplc="41A49D20">
      <w:start w:val="1"/>
      <w:numFmt w:val="bullet"/>
      <w:lvlText w:val="○"/>
      <w:lvlJc w:val="left"/>
      <w:pPr>
        <w:ind w:left="1440" w:hanging="360"/>
      </w:pPr>
    </w:lvl>
    <w:lvl w:ilvl="2" w:tplc="773A7576">
      <w:start w:val="1"/>
      <w:numFmt w:val="bullet"/>
      <w:lvlText w:val="■"/>
      <w:lvlJc w:val="left"/>
      <w:pPr>
        <w:ind w:left="2160" w:hanging="360"/>
      </w:pPr>
    </w:lvl>
    <w:lvl w:ilvl="3" w:tplc="953EE1EE">
      <w:start w:val="1"/>
      <w:numFmt w:val="bullet"/>
      <w:lvlText w:val="●"/>
      <w:lvlJc w:val="left"/>
      <w:pPr>
        <w:ind w:left="2880" w:hanging="360"/>
      </w:pPr>
    </w:lvl>
    <w:lvl w:ilvl="4" w:tplc="0A64F0FA">
      <w:start w:val="1"/>
      <w:numFmt w:val="bullet"/>
      <w:lvlText w:val="○"/>
      <w:lvlJc w:val="left"/>
      <w:pPr>
        <w:ind w:left="3600" w:hanging="360"/>
      </w:pPr>
    </w:lvl>
    <w:lvl w:ilvl="5" w:tplc="6B50684C">
      <w:start w:val="1"/>
      <w:numFmt w:val="bullet"/>
      <w:lvlText w:val="■"/>
      <w:lvlJc w:val="left"/>
      <w:pPr>
        <w:ind w:left="4320" w:hanging="360"/>
      </w:pPr>
    </w:lvl>
    <w:lvl w:ilvl="6" w:tplc="9FDC46AA">
      <w:start w:val="1"/>
      <w:numFmt w:val="bullet"/>
      <w:lvlText w:val="●"/>
      <w:lvlJc w:val="left"/>
      <w:pPr>
        <w:ind w:left="5040" w:hanging="360"/>
      </w:pPr>
    </w:lvl>
    <w:lvl w:ilvl="7" w:tplc="6BFE84D8">
      <w:start w:val="1"/>
      <w:numFmt w:val="bullet"/>
      <w:lvlText w:val="●"/>
      <w:lvlJc w:val="left"/>
      <w:pPr>
        <w:ind w:left="5760" w:hanging="360"/>
      </w:pPr>
    </w:lvl>
    <w:lvl w:ilvl="8" w:tplc="E1A2A8EC">
      <w:start w:val="1"/>
      <w:numFmt w:val="bullet"/>
      <w:lvlText w:val="●"/>
      <w:lvlJc w:val="left"/>
      <w:pPr>
        <w:ind w:left="6480" w:hanging="360"/>
      </w:pPr>
    </w:lvl>
  </w:abstractNum>
  <w:abstractNum w:abstractNumId="6" w15:restartNumberingAfterBreak="0">
    <w:nsid w:val="6F764D47"/>
    <w:multiLevelType w:val="hybridMultilevel"/>
    <w:tmpl w:val="BD1208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lvlOverride w:ilvl="0">
      <w:startOverride w:val="1"/>
    </w:lvlOverride>
  </w:num>
  <w:num w:numId="2">
    <w:abstractNumId w:val="3"/>
  </w:num>
  <w:num w:numId="3">
    <w:abstractNumId w:val="2"/>
  </w:num>
  <w:num w:numId="4">
    <w:abstractNumId w:val="0"/>
  </w:num>
  <w:num w:numId="5">
    <w:abstractNumId w:val="1"/>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666F"/>
    <w:rsid w:val="00016937"/>
    <w:rsid w:val="00032930"/>
    <w:rsid w:val="00052500"/>
    <w:rsid w:val="00146ADA"/>
    <w:rsid w:val="001506BB"/>
    <w:rsid w:val="001A4401"/>
    <w:rsid w:val="002206D9"/>
    <w:rsid w:val="004A3145"/>
    <w:rsid w:val="00507C87"/>
    <w:rsid w:val="005F27D2"/>
    <w:rsid w:val="0066666F"/>
    <w:rsid w:val="007823E2"/>
    <w:rsid w:val="007A4418"/>
    <w:rsid w:val="007C52EF"/>
    <w:rsid w:val="007E44E2"/>
    <w:rsid w:val="008A7182"/>
    <w:rsid w:val="00A133B6"/>
    <w:rsid w:val="00B46847"/>
    <w:rsid w:val="00B619C2"/>
    <w:rsid w:val="00ED4A9F"/>
    <w:rsid w:val="00FB57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287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link w:val="Heading1Char"/>
    <w:uiPriority w:val="9"/>
    <w:qFormat/>
    <w:rsid w:val="00B619C2"/>
    <w:pPr>
      <w:spacing w:after="200" w:line="360" w:lineRule="auto"/>
      <w:jc w:val="both"/>
      <w:outlineLvl w:val="0"/>
    </w:pPr>
    <w:rPr>
      <w:rFonts w:eastAsia="Arial" w:cs="Arial"/>
      <w:b/>
      <w:bCs/>
      <w:color w:val="000000" w:themeColor="text1"/>
      <w:sz w:val="28"/>
      <w:szCs w:val="36"/>
    </w:rPr>
  </w:style>
  <w:style w:type="paragraph" w:styleId="Heading2">
    <w:name w:val="heading 2"/>
    <w:uiPriority w:val="9"/>
    <w:unhideWhenUsed/>
    <w:qFormat/>
    <w:rsid w:val="00B46847"/>
    <w:pPr>
      <w:spacing w:before="280" w:after="160"/>
      <w:outlineLvl w:val="1"/>
    </w:pPr>
    <w:rPr>
      <w:rFonts w:eastAsia="Arial" w:cs="Arial"/>
      <w:b/>
      <w:bCs/>
      <w:i/>
      <w:color w:val="000000" w:themeColor="text1"/>
      <w:szCs w:val="28"/>
    </w:rPr>
  </w:style>
  <w:style w:type="paragraph" w:styleId="Heading3">
    <w:name w:val="heading 3"/>
    <w:uiPriority w:val="9"/>
    <w:semiHidden/>
    <w:unhideWhenUsed/>
    <w:qFormat/>
    <w:pPr>
      <w:spacing w:before="200" w:after="120"/>
      <w:outlineLvl w:val="2"/>
    </w:pPr>
    <w:rPr>
      <w:rFonts w:ascii="Arial" w:eastAsia="Arial" w:hAnsi="Arial" w:cs="Arial"/>
      <w:b/>
      <w:bCs/>
      <w:color w:val="2E5FA3"/>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B46847"/>
    <w:pPr>
      <w:tabs>
        <w:tab w:val="center" w:pos="4680"/>
        <w:tab w:val="right" w:pos="9360"/>
      </w:tabs>
    </w:pPr>
  </w:style>
  <w:style w:type="character" w:customStyle="1" w:styleId="HeaderChar">
    <w:name w:val="Header Char"/>
    <w:basedOn w:val="DefaultParagraphFont"/>
    <w:link w:val="Header"/>
    <w:uiPriority w:val="99"/>
    <w:rsid w:val="00B46847"/>
  </w:style>
  <w:style w:type="paragraph" w:styleId="Footer">
    <w:name w:val="footer"/>
    <w:basedOn w:val="Normal"/>
    <w:link w:val="FooterChar"/>
    <w:uiPriority w:val="99"/>
    <w:unhideWhenUsed/>
    <w:rsid w:val="00B46847"/>
    <w:pPr>
      <w:tabs>
        <w:tab w:val="center" w:pos="4680"/>
        <w:tab w:val="right" w:pos="9360"/>
      </w:tabs>
    </w:pPr>
  </w:style>
  <w:style w:type="character" w:customStyle="1" w:styleId="FooterChar">
    <w:name w:val="Footer Char"/>
    <w:basedOn w:val="DefaultParagraphFont"/>
    <w:link w:val="Footer"/>
    <w:uiPriority w:val="99"/>
    <w:rsid w:val="00B46847"/>
  </w:style>
  <w:style w:type="character" w:styleId="UnresolvedMention">
    <w:name w:val="Unresolved Mention"/>
    <w:basedOn w:val="DefaultParagraphFont"/>
    <w:uiPriority w:val="99"/>
    <w:semiHidden/>
    <w:unhideWhenUsed/>
    <w:rsid w:val="005F27D2"/>
    <w:rPr>
      <w:color w:val="605E5C"/>
      <w:shd w:val="clear" w:color="auto" w:fill="E1DFDD"/>
    </w:rPr>
  </w:style>
  <w:style w:type="paragraph" w:styleId="TOCHeading">
    <w:name w:val="TOC Heading"/>
    <w:basedOn w:val="Heading1"/>
    <w:next w:val="Normal"/>
    <w:uiPriority w:val="39"/>
    <w:unhideWhenUsed/>
    <w:qFormat/>
    <w:rsid w:val="008A7182"/>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8A7182"/>
    <w:pPr>
      <w:spacing w:after="100"/>
    </w:pPr>
  </w:style>
  <w:style w:type="paragraph" w:styleId="TOC2">
    <w:name w:val="toc 2"/>
    <w:basedOn w:val="Normal"/>
    <w:next w:val="Normal"/>
    <w:autoRedefine/>
    <w:uiPriority w:val="39"/>
    <w:unhideWhenUsed/>
    <w:rsid w:val="008A7182"/>
    <w:pPr>
      <w:spacing w:after="100"/>
      <w:ind w:left="240"/>
    </w:pPr>
  </w:style>
  <w:style w:type="character" w:customStyle="1" w:styleId="Heading1Char">
    <w:name w:val="Heading 1 Char"/>
    <w:basedOn w:val="DefaultParagraphFont"/>
    <w:link w:val="Heading1"/>
    <w:uiPriority w:val="9"/>
    <w:rsid w:val="00B619C2"/>
    <w:rPr>
      <w:rFonts w:eastAsia="Arial" w:cs="Arial"/>
      <w:b/>
      <w:bCs/>
      <w:color w:val="000000" w:themeColor="text1"/>
      <w:sz w:val="28"/>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sk.co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ma.europa.e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v.uk/government/publications/ai-safety-summit-2023-the-bletchley-declar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ai-regulation-a-pro-innovation-approach" TargetMode="External"/><Relationship Id="rId5" Type="http://schemas.openxmlformats.org/officeDocument/2006/relationships/webSettings" Target="webSettings.xml"/><Relationship Id="rId15" Type="http://schemas.openxmlformats.org/officeDocument/2006/relationships/hyperlink" Target="https://www.pwc.com/gx/en/issues/artificial-intelligence/ai-jobs-barometer.html" TargetMode="External"/><Relationship Id="rId10" Type="http://schemas.openxmlformats.org/officeDocument/2006/relationships/hyperlink" Target="https://www.gov.uk/government/publications/life-sciences-vis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ankofengland.co.uk" TargetMode="External"/><Relationship Id="rId14" Type="http://schemas.openxmlformats.org/officeDocument/2006/relationships/hyperlink" Target="https://ico.org.uk/for-organisations/uk-gdpr-guidance-and-resources/artificial-intellig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CFD1B5-B405-42EF-B432-B593E8C74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7242</Words>
  <Characters>41285</Characters>
  <Application>Microsoft Office Word</Application>
  <DocSecurity>0</DocSecurity>
  <Lines>344</Lines>
  <Paragraphs>96</Paragraphs>
  <ScaleCrop>false</ScaleCrop>
  <Company/>
  <LinksUpToDate>false</LinksUpToDate>
  <CharactersWithSpaces>48431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2026-04-26T18:01:00Z</dcterms:created>
  <dcterms:modified xsi:type="dcterms:W3CDTF">2026-04-26T20:22:00Z</dcterms:modified>
</cp:coreProperties>
</file>