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E6BC7D" w14:textId="77777777" w:rsidR="00C43359" w:rsidRPr="003E30B6" w:rsidRDefault="00C43359" w:rsidP="00C43359">
      <w:pPr>
        <w:rPr>
          <w:rFonts w:ascii="Arial" w:hAnsi="Arial" w:cs="Arial"/>
        </w:rPr>
      </w:pPr>
      <w:r w:rsidRPr="003E30B6">
        <w:rPr>
          <w:rFonts w:ascii="Arial" w:hAnsi="Arial" w:cs="Arial"/>
          <w:noProof/>
        </w:rPr>
        <w:drawing>
          <wp:anchor distT="0" distB="0" distL="114300" distR="114300" simplePos="0" relativeHeight="251659264" behindDoc="0" locked="0" layoutInCell="1" hidden="0" allowOverlap="1" wp14:anchorId="44F7456E" wp14:editId="5D2F7317">
            <wp:simplePos x="0" y="0"/>
            <wp:positionH relativeFrom="column">
              <wp:posOffset>789304</wp:posOffset>
            </wp:positionH>
            <wp:positionV relativeFrom="paragraph">
              <wp:posOffset>11430</wp:posOffset>
            </wp:positionV>
            <wp:extent cx="4152900" cy="1328420"/>
            <wp:effectExtent l="0" t="0" r="0" b="0"/>
            <wp:wrapSquare wrapText="bothSides" distT="0" distB="0" distL="114300" distR="114300"/>
            <wp:docPr id="1"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5"/>
                    <a:srcRect r="23643"/>
                    <a:stretch>
                      <a:fillRect/>
                    </a:stretch>
                  </pic:blipFill>
                  <pic:spPr>
                    <a:xfrm>
                      <a:off x="0" y="0"/>
                      <a:ext cx="4152900" cy="1328420"/>
                    </a:xfrm>
                    <a:prstGeom prst="rect">
                      <a:avLst/>
                    </a:prstGeom>
                    <a:ln/>
                  </pic:spPr>
                </pic:pic>
              </a:graphicData>
            </a:graphic>
          </wp:anchor>
        </w:drawing>
      </w:r>
    </w:p>
    <w:p w14:paraId="3ED9F88D" w14:textId="77777777" w:rsidR="00C43359" w:rsidRPr="003E30B6" w:rsidRDefault="00C43359" w:rsidP="00C43359">
      <w:pPr>
        <w:rPr>
          <w:rFonts w:ascii="Arial" w:hAnsi="Arial" w:cs="Arial"/>
        </w:rPr>
      </w:pPr>
    </w:p>
    <w:p w14:paraId="4B211DB3" w14:textId="77777777" w:rsidR="00C43359" w:rsidRPr="003E30B6" w:rsidRDefault="00C43359" w:rsidP="00C43359">
      <w:pPr>
        <w:rPr>
          <w:rFonts w:ascii="Arial" w:hAnsi="Arial" w:cs="Arial"/>
        </w:rPr>
      </w:pPr>
    </w:p>
    <w:p w14:paraId="507D4C1F" w14:textId="77777777" w:rsidR="00C43359" w:rsidRPr="003E30B6" w:rsidRDefault="00C43359" w:rsidP="00C43359">
      <w:pPr>
        <w:rPr>
          <w:rFonts w:ascii="Arial" w:hAnsi="Arial" w:cs="Arial"/>
        </w:rPr>
      </w:pPr>
    </w:p>
    <w:p w14:paraId="71DE10E8" w14:textId="77777777" w:rsidR="00C43359" w:rsidRPr="003E30B6" w:rsidRDefault="00C43359" w:rsidP="00C43359">
      <w:pPr>
        <w:ind w:right="1229"/>
        <w:rPr>
          <w:rFonts w:ascii="Arial" w:hAnsi="Arial" w:cs="Arial"/>
        </w:rPr>
      </w:pPr>
    </w:p>
    <w:p w14:paraId="6F3B97B4" w14:textId="77777777" w:rsidR="00C43359" w:rsidRPr="003E30B6" w:rsidRDefault="00C43359" w:rsidP="00C43359">
      <w:pPr>
        <w:ind w:right="1229"/>
        <w:jc w:val="center"/>
        <w:rPr>
          <w:rFonts w:ascii="Arial" w:hAnsi="Arial" w:cs="Arial"/>
          <w:color w:val="000000"/>
          <w:sz w:val="20"/>
          <w:szCs w:val="20"/>
        </w:rPr>
      </w:pPr>
      <w:r w:rsidRPr="003E30B6">
        <w:rPr>
          <w:rFonts w:ascii="Arial" w:hAnsi="Arial" w:cs="Arial"/>
          <w:sz w:val="60"/>
          <w:szCs w:val="60"/>
        </w:rPr>
        <w:t>Institute of Inner-City Learning Birmingham Campus</w:t>
      </w:r>
    </w:p>
    <w:p w14:paraId="5C37C528" w14:textId="77777777" w:rsidR="00C43359" w:rsidRPr="003E30B6" w:rsidRDefault="00C43359" w:rsidP="00C43359">
      <w:pPr>
        <w:jc w:val="center"/>
        <w:rPr>
          <w:rFonts w:ascii="Arial" w:hAnsi="Arial" w:cs="Arial"/>
          <w:sz w:val="60"/>
          <w:szCs w:val="60"/>
        </w:rPr>
      </w:pPr>
      <w:r w:rsidRPr="003E30B6">
        <w:rPr>
          <w:rFonts w:ascii="Arial" w:hAnsi="Arial" w:cs="Arial"/>
          <w:sz w:val="60"/>
          <w:szCs w:val="60"/>
        </w:rPr>
        <w:t>BSc (Hons) Health and Social Care</w:t>
      </w:r>
      <w:r w:rsidRPr="003E30B6">
        <w:rPr>
          <w:rFonts w:ascii="Arial" w:hAnsi="Arial" w:cs="Arial"/>
          <w:sz w:val="60"/>
          <w:szCs w:val="60"/>
        </w:rPr>
        <w:br/>
      </w:r>
    </w:p>
    <w:p w14:paraId="6293779B" w14:textId="77777777" w:rsidR="00C43359" w:rsidRPr="003E30B6" w:rsidRDefault="00C43359" w:rsidP="00C43359">
      <w:pPr>
        <w:pStyle w:val="Heading1"/>
        <w:spacing w:line="360" w:lineRule="auto"/>
        <w:rPr>
          <w:rFonts w:eastAsia="Aptos"/>
        </w:rPr>
      </w:pPr>
    </w:p>
    <w:p w14:paraId="699C4EFB" w14:textId="77777777" w:rsidR="00F918D1" w:rsidRDefault="00F918D1" w:rsidP="00BA170A">
      <w:pPr>
        <w:pStyle w:val="Heading1"/>
        <w:spacing w:line="360" w:lineRule="auto"/>
        <w:rPr>
          <w:rFonts w:ascii="Arial" w:eastAsia="Arial" w:hAnsi="Arial" w:cs="Arial"/>
          <w:b/>
          <w:bCs/>
          <w:sz w:val="32"/>
          <w:szCs w:val="32"/>
        </w:rPr>
      </w:pPr>
    </w:p>
    <w:p w14:paraId="002510C8" w14:textId="77777777" w:rsidR="00F918D1" w:rsidRDefault="00F918D1" w:rsidP="00BA170A">
      <w:pPr>
        <w:pStyle w:val="Heading1"/>
        <w:spacing w:line="360" w:lineRule="auto"/>
        <w:rPr>
          <w:rFonts w:ascii="Arial" w:eastAsia="Arial" w:hAnsi="Arial" w:cs="Arial"/>
          <w:b/>
          <w:bCs/>
          <w:sz w:val="32"/>
          <w:szCs w:val="32"/>
        </w:rPr>
      </w:pPr>
    </w:p>
    <w:p w14:paraId="6AF4344C" w14:textId="644B0F11" w:rsidR="006E3B73" w:rsidRPr="003A2FDF" w:rsidRDefault="00EE1DF8" w:rsidP="006E3B73">
      <w:pPr>
        <w:spacing w:line="360" w:lineRule="auto"/>
        <w:jc w:val="center"/>
        <w:rPr>
          <w:rFonts w:ascii="Aptos" w:hAnsi="Aptos" w:cs="Arial"/>
          <w:b/>
          <w:bCs/>
          <w:sz w:val="28"/>
          <w:szCs w:val="28"/>
        </w:rPr>
      </w:pPr>
      <w:r>
        <w:rPr>
          <w:rFonts w:ascii="Arial" w:eastAsia="Arial" w:hAnsi="Arial" w:cs="Arial"/>
          <w:b/>
          <w:bCs/>
          <w:sz w:val="32"/>
          <w:szCs w:val="32"/>
        </w:rPr>
        <w:br/>
      </w:r>
      <w:r>
        <w:rPr>
          <w:rFonts w:ascii="Arial" w:eastAsia="Arial" w:hAnsi="Arial" w:cs="Arial"/>
          <w:b/>
          <w:bCs/>
          <w:sz w:val="32"/>
          <w:szCs w:val="32"/>
        </w:rPr>
        <w:br/>
      </w:r>
    </w:p>
    <w:p w14:paraId="1796BFE9" w14:textId="77777777" w:rsidR="006E3B73" w:rsidRDefault="006E3B73" w:rsidP="006E3B73">
      <w:pPr>
        <w:spacing w:line="360" w:lineRule="auto"/>
        <w:jc w:val="center"/>
        <w:rPr>
          <w:rFonts w:ascii="Aptos" w:hAnsi="Aptos" w:cs="Arial"/>
          <w:b/>
          <w:bCs/>
          <w:sz w:val="28"/>
          <w:szCs w:val="28"/>
        </w:rPr>
      </w:pPr>
    </w:p>
    <w:p w14:paraId="5D845BB1" w14:textId="77777777" w:rsidR="006E3B73" w:rsidRDefault="006E3B73" w:rsidP="006E3B73">
      <w:pPr>
        <w:spacing w:line="360" w:lineRule="auto"/>
        <w:jc w:val="center"/>
        <w:rPr>
          <w:rFonts w:ascii="Aptos" w:hAnsi="Aptos" w:cs="Arial"/>
          <w:b/>
          <w:bCs/>
          <w:sz w:val="28"/>
          <w:szCs w:val="28"/>
        </w:rPr>
      </w:pPr>
    </w:p>
    <w:p w14:paraId="5C38AD0A" w14:textId="77777777" w:rsidR="006E3B73" w:rsidRDefault="006E3B73" w:rsidP="006E3B73">
      <w:pPr>
        <w:spacing w:line="360" w:lineRule="auto"/>
        <w:jc w:val="center"/>
        <w:rPr>
          <w:rFonts w:ascii="Aptos" w:hAnsi="Aptos" w:cs="Arial"/>
          <w:b/>
          <w:bCs/>
          <w:sz w:val="28"/>
          <w:szCs w:val="28"/>
        </w:rPr>
      </w:pPr>
    </w:p>
    <w:p w14:paraId="64931451" w14:textId="77777777" w:rsidR="006E3B73" w:rsidRDefault="006E3B73" w:rsidP="006E3B73">
      <w:pPr>
        <w:spacing w:line="360" w:lineRule="auto"/>
        <w:jc w:val="center"/>
        <w:rPr>
          <w:rFonts w:ascii="Aptos" w:hAnsi="Aptos" w:cs="Arial"/>
          <w:b/>
          <w:bCs/>
          <w:sz w:val="28"/>
          <w:szCs w:val="28"/>
        </w:rPr>
      </w:pPr>
    </w:p>
    <w:p w14:paraId="236D4E91" w14:textId="77777777" w:rsidR="006E3B73" w:rsidRDefault="006E3B73" w:rsidP="006E3B73">
      <w:pPr>
        <w:spacing w:line="360" w:lineRule="auto"/>
        <w:jc w:val="center"/>
        <w:rPr>
          <w:rFonts w:ascii="Aptos" w:hAnsi="Aptos" w:cs="Arial"/>
          <w:b/>
          <w:bCs/>
          <w:sz w:val="28"/>
          <w:szCs w:val="28"/>
        </w:rPr>
      </w:pPr>
    </w:p>
    <w:p w14:paraId="48735C4A" w14:textId="77777777" w:rsidR="006E3B73" w:rsidRDefault="006E3B73" w:rsidP="006E3B73">
      <w:pPr>
        <w:spacing w:line="360" w:lineRule="auto"/>
        <w:jc w:val="center"/>
        <w:rPr>
          <w:rFonts w:ascii="Aptos" w:hAnsi="Aptos" w:cs="Arial"/>
          <w:b/>
          <w:bCs/>
          <w:sz w:val="28"/>
          <w:szCs w:val="28"/>
        </w:rPr>
      </w:pPr>
    </w:p>
    <w:p w14:paraId="3587469D" w14:textId="336BC50D" w:rsidR="006E3B73" w:rsidRPr="007B0BE6" w:rsidRDefault="006E3B73" w:rsidP="006E3B73">
      <w:pPr>
        <w:spacing w:line="360" w:lineRule="auto"/>
        <w:jc w:val="center"/>
        <w:rPr>
          <w:rFonts w:ascii="Arial" w:hAnsi="Arial" w:cs="Arial"/>
          <w:b/>
          <w:bCs/>
          <w:sz w:val="28"/>
          <w:szCs w:val="28"/>
        </w:rPr>
      </w:pPr>
      <w:r w:rsidRPr="007B0BE6">
        <w:rPr>
          <w:rFonts w:ascii="Arial" w:hAnsi="Arial" w:cs="Arial"/>
          <w:b/>
          <w:bCs/>
          <w:sz w:val="28"/>
          <w:szCs w:val="28"/>
        </w:rPr>
        <w:lastRenderedPageBreak/>
        <w:t>Module: Independent Project (BMHP6020_BIRM)</w:t>
      </w:r>
    </w:p>
    <w:p w14:paraId="21ACCA61" w14:textId="77777777" w:rsidR="006E3B73" w:rsidRPr="007B0BE6" w:rsidRDefault="006E3B73" w:rsidP="006E3B73">
      <w:pPr>
        <w:spacing w:line="360" w:lineRule="auto"/>
        <w:jc w:val="center"/>
        <w:rPr>
          <w:rFonts w:ascii="Arial" w:hAnsi="Arial" w:cs="Arial"/>
          <w:sz w:val="28"/>
          <w:szCs w:val="28"/>
        </w:rPr>
      </w:pPr>
    </w:p>
    <w:p w14:paraId="7CDCC0CE" w14:textId="07560930" w:rsidR="006E3B73" w:rsidRPr="007B0BE6" w:rsidRDefault="006E3B73" w:rsidP="00D8381E">
      <w:pPr>
        <w:spacing w:line="360" w:lineRule="auto"/>
        <w:rPr>
          <w:rFonts w:ascii="Arial" w:hAnsi="Arial" w:cs="Arial"/>
          <w:sz w:val="28"/>
          <w:szCs w:val="28"/>
        </w:rPr>
      </w:pPr>
    </w:p>
    <w:p w14:paraId="105444F3" w14:textId="7F87770D" w:rsidR="00FE4228" w:rsidRPr="007B0BE6" w:rsidRDefault="00D8381E" w:rsidP="00A81843">
      <w:pPr>
        <w:spacing w:line="360" w:lineRule="auto"/>
        <w:jc w:val="center"/>
        <w:rPr>
          <w:rFonts w:ascii="Arial" w:hAnsi="Arial" w:cs="Arial"/>
          <w:b/>
          <w:bCs/>
          <w:sz w:val="28"/>
          <w:szCs w:val="28"/>
        </w:rPr>
      </w:pPr>
      <w:r w:rsidRPr="007B0BE6">
        <w:rPr>
          <w:rFonts w:ascii="Arial" w:hAnsi="Arial" w:cs="Arial"/>
          <w:b/>
          <w:bCs/>
          <w:sz w:val="28"/>
          <w:szCs w:val="28"/>
        </w:rPr>
        <w:t>DRAFT CHAPTER 1 &amp; 2 - Element 3</w:t>
      </w:r>
    </w:p>
    <w:p w14:paraId="0AF4878E" w14:textId="77777777" w:rsidR="00FE4228" w:rsidRPr="007B0BE6" w:rsidRDefault="00FE4228" w:rsidP="00AA0298">
      <w:pPr>
        <w:spacing w:line="360" w:lineRule="auto"/>
        <w:rPr>
          <w:rFonts w:ascii="Arial" w:hAnsi="Arial" w:cs="Arial"/>
          <w:sz w:val="28"/>
          <w:szCs w:val="28"/>
        </w:rPr>
      </w:pPr>
    </w:p>
    <w:p w14:paraId="5E0FF170" w14:textId="77777777" w:rsidR="00FE4228" w:rsidRPr="007B0BE6" w:rsidRDefault="00FE4228" w:rsidP="00AA0298">
      <w:pPr>
        <w:spacing w:line="360" w:lineRule="auto"/>
        <w:rPr>
          <w:rFonts w:ascii="Arial" w:hAnsi="Arial" w:cs="Arial"/>
          <w:sz w:val="28"/>
          <w:szCs w:val="28"/>
        </w:rPr>
      </w:pPr>
    </w:p>
    <w:p w14:paraId="6F18706D" w14:textId="77777777" w:rsidR="009C6FA1" w:rsidRPr="007B0BE6" w:rsidRDefault="009C6FA1" w:rsidP="00AA0298">
      <w:pPr>
        <w:spacing w:line="360" w:lineRule="auto"/>
        <w:rPr>
          <w:rFonts w:ascii="Arial" w:hAnsi="Arial" w:cs="Arial"/>
          <w:sz w:val="28"/>
          <w:szCs w:val="28"/>
        </w:rPr>
      </w:pPr>
    </w:p>
    <w:p w14:paraId="562C662F" w14:textId="3FC3174F" w:rsidR="009C6FA1" w:rsidRPr="007B0BE6" w:rsidRDefault="00AA0298" w:rsidP="00AA0298">
      <w:pPr>
        <w:spacing w:line="360" w:lineRule="auto"/>
        <w:rPr>
          <w:rFonts w:ascii="Arial" w:hAnsi="Arial" w:cs="Arial"/>
          <w:b/>
          <w:bCs/>
          <w:sz w:val="28"/>
          <w:szCs w:val="28"/>
        </w:rPr>
      </w:pPr>
      <w:r w:rsidRPr="007B0BE6">
        <w:rPr>
          <w:rFonts w:ascii="Arial" w:hAnsi="Arial" w:cs="Arial"/>
          <w:b/>
          <w:bCs/>
          <w:sz w:val="28"/>
          <w:szCs w:val="28"/>
        </w:rPr>
        <w:t>Title:</w:t>
      </w:r>
    </w:p>
    <w:p w14:paraId="58C70599" w14:textId="35BAF6CE" w:rsidR="00117DCC" w:rsidRPr="007B0BE6" w:rsidRDefault="00117DCC" w:rsidP="009A36E7">
      <w:pPr>
        <w:pStyle w:val="Heading1"/>
        <w:spacing w:line="360" w:lineRule="auto"/>
        <w:jc w:val="center"/>
        <w:rPr>
          <w:rFonts w:ascii="Arial" w:eastAsia="Aptos" w:hAnsi="Arial" w:cs="Arial"/>
          <w:sz w:val="28"/>
          <w:szCs w:val="28"/>
        </w:rPr>
      </w:pPr>
      <w:r w:rsidRPr="007B0BE6">
        <w:rPr>
          <w:rFonts w:ascii="Arial" w:eastAsia="Arial" w:hAnsi="Arial" w:cs="Arial"/>
          <w:b/>
          <w:bCs/>
          <w:sz w:val="28"/>
          <w:szCs w:val="28"/>
        </w:rPr>
        <w:t>THE IMPACT OF ADVERSE CHILDHOOD EXPERIENCES ON LONG-TERM PHYSICAL HEALTH OUTCOMES IN ADULTHOOD: A COMPREHENSIVE ANALYSIS</w:t>
      </w:r>
    </w:p>
    <w:p w14:paraId="3BDD894F" w14:textId="77777777" w:rsidR="006E3B73" w:rsidRPr="007B0BE6" w:rsidRDefault="006E3B73" w:rsidP="006E3B73">
      <w:pPr>
        <w:spacing w:line="360" w:lineRule="auto"/>
        <w:jc w:val="center"/>
        <w:rPr>
          <w:rFonts w:ascii="Arial" w:hAnsi="Arial" w:cs="Arial"/>
          <w:sz w:val="28"/>
          <w:szCs w:val="28"/>
        </w:rPr>
      </w:pPr>
    </w:p>
    <w:p w14:paraId="275D3B83" w14:textId="77777777" w:rsidR="00AC3735" w:rsidRPr="007B0BE6" w:rsidRDefault="00AC3735" w:rsidP="00FA3831">
      <w:pPr>
        <w:rPr>
          <w:rFonts w:ascii="Arial" w:hAnsi="Arial" w:cs="Arial"/>
          <w:b/>
          <w:bCs/>
          <w:sz w:val="28"/>
          <w:szCs w:val="28"/>
        </w:rPr>
      </w:pPr>
    </w:p>
    <w:p w14:paraId="0581C297" w14:textId="77777777" w:rsidR="00AC3735" w:rsidRPr="007B0BE6" w:rsidRDefault="00AC3735" w:rsidP="00FA3831">
      <w:pPr>
        <w:rPr>
          <w:rFonts w:ascii="Arial" w:hAnsi="Arial" w:cs="Arial"/>
          <w:b/>
          <w:bCs/>
          <w:sz w:val="28"/>
          <w:szCs w:val="28"/>
        </w:rPr>
      </w:pPr>
    </w:p>
    <w:p w14:paraId="144E4FDD" w14:textId="77777777" w:rsidR="00AC3735" w:rsidRPr="007B0BE6" w:rsidRDefault="00AC3735" w:rsidP="00FA3831">
      <w:pPr>
        <w:rPr>
          <w:rFonts w:ascii="Arial" w:hAnsi="Arial" w:cs="Arial"/>
          <w:b/>
          <w:bCs/>
          <w:sz w:val="28"/>
          <w:szCs w:val="28"/>
        </w:rPr>
      </w:pPr>
    </w:p>
    <w:p w14:paraId="797ECBB3" w14:textId="77777777" w:rsidR="00AC3735" w:rsidRPr="007B0BE6" w:rsidRDefault="00AC3735" w:rsidP="00FA3831">
      <w:pPr>
        <w:rPr>
          <w:rFonts w:ascii="Arial" w:hAnsi="Arial" w:cs="Arial"/>
          <w:b/>
          <w:bCs/>
          <w:sz w:val="28"/>
          <w:szCs w:val="28"/>
        </w:rPr>
      </w:pPr>
    </w:p>
    <w:p w14:paraId="56FB36CD" w14:textId="77777777" w:rsidR="00AC3735" w:rsidRPr="007B0BE6" w:rsidRDefault="00AC3735" w:rsidP="00FA3831">
      <w:pPr>
        <w:rPr>
          <w:rFonts w:ascii="Arial" w:hAnsi="Arial" w:cs="Arial"/>
          <w:b/>
          <w:bCs/>
          <w:sz w:val="28"/>
          <w:szCs w:val="28"/>
        </w:rPr>
      </w:pPr>
    </w:p>
    <w:p w14:paraId="7EB9D2F6" w14:textId="77777777" w:rsidR="00AC3735" w:rsidRPr="007B0BE6" w:rsidRDefault="00AC3735" w:rsidP="00FA3831">
      <w:pPr>
        <w:rPr>
          <w:rFonts w:ascii="Arial" w:hAnsi="Arial" w:cs="Arial"/>
          <w:b/>
          <w:bCs/>
          <w:sz w:val="28"/>
          <w:szCs w:val="28"/>
        </w:rPr>
      </w:pPr>
    </w:p>
    <w:p w14:paraId="02D5BBA5" w14:textId="77777777" w:rsidR="009C6FA1" w:rsidRPr="007B0BE6" w:rsidRDefault="009C6FA1" w:rsidP="00FA3831">
      <w:pPr>
        <w:rPr>
          <w:rFonts w:ascii="Arial" w:hAnsi="Arial" w:cs="Arial"/>
          <w:b/>
          <w:bCs/>
          <w:sz w:val="28"/>
          <w:szCs w:val="28"/>
        </w:rPr>
      </w:pPr>
    </w:p>
    <w:p w14:paraId="109F9C97" w14:textId="77777777" w:rsidR="009C6FA1" w:rsidRPr="007B0BE6" w:rsidRDefault="009C6FA1" w:rsidP="00FA3831">
      <w:pPr>
        <w:rPr>
          <w:rFonts w:ascii="Arial" w:hAnsi="Arial" w:cs="Arial"/>
          <w:b/>
          <w:bCs/>
          <w:sz w:val="28"/>
          <w:szCs w:val="28"/>
        </w:rPr>
      </w:pPr>
    </w:p>
    <w:p w14:paraId="6862ACD4" w14:textId="7E723720" w:rsidR="00AA0298" w:rsidRPr="007B0BE6" w:rsidRDefault="00AA0298" w:rsidP="00FA3831">
      <w:pPr>
        <w:rPr>
          <w:rFonts w:ascii="Arial" w:hAnsi="Arial" w:cs="Arial"/>
          <w:sz w:val="28"/>
          <w:szCs w:val="28"/>
        </w:rPr>
      </w:pPr>
      <w:r w:rsidRPr="007B0BE6">
        <w:rPr>
          <w:rFonts w:ascii="Arial" w:hAnsi="Arial" w:cs="Arial"/>
          <w:b/>
          <w:bCs/>
          <w:sz w:val="28"/>
          <w:szCs w:val="28"/>
        </w:rPr>
        <w:t>Student Name</w:t>
      </w:r>
      <w:r w:rsidRPr="007B0BE6">
        <w:rPr>
          <w:rFonts w:ascii="Arial" w:hAnsi="Arial" w:cs="Arial"/>
          <w:sz w:val="28"/>
          <w:szCs w:val="28"/>
        </w:rPr>
        <w:t>:  Rozilene Araujo</w:t>
      </w:r>
    </w:p>
    <w:p w14:paraId="3CE979E2" w14:textId="77777777" w:rsidR="006E3B73" w:rsidRPr="007B0BE6" w:rsidRDefault="006E3B73" w:rsidP="00FA3831">
      <w:pPr>
        <w:rPr>
          <w:rFonts w:ascii="Arial" w:hAnsi="Arial" w:cs="Arial"/>
          <w:sz w:val="28"/>
          <w:szCs w:val="28"/>
        </w:rPr>
      </w:pPr>
    </w:p>
    <w:p w14:paraId="63F5B94D" w14:textId="77777777" w:rsidR="006E3B73" w:rsidRPr="007B0BE6" w:rsidRDefault="006E3B73" w:rsidP="00FA3831">
      <w:pPr>
        <w:rPr>
          <w:rFonts w:ascii="Arial" w:hAnsi="Arial" w:cs="Arial"/>
          <w:sz w:val="28"/>
          <w:szCs w:val="28"/>
        </w:rPr>
      </w:pPr>
      <w:r w:rsidRPr="007B0BE6">
        <w:rPr>
          <w:rFonts w:ascii="Arial" w:hAnsi="Arial" w:cs="Arial"/>
          <w:b/>
          <w:bCs/>
          <w:sz w:val="28"/>
          <w:szCs w:val="28"/>
        </w:rPr>
        <w:t>Student ID</w:t>
      </w:r>
      <w:r w:rsidRPr="007B0BE6">
        <w:rPr>
          <w:rFonts w:ascii="Arial" w:hAnsi="Arial" w:cs="Arial"/>
          <w:sz w:val="28"/>
          <w:szCs w:val="28"/>
        </w:rPr>
        <w:t>:  2319163</w:t>
      </w:r>
    </w:p>
    <w:p w14:paraId="64D2B5E2" w14:textId="77777777" w:rsidR="006E3B73" w:rsidRPr="007B0BE6" w:rsidRDefault="006E3B73" w:rsidP="00FA3831">
      <w:pPr>
        <w:rPr>
          <w:rFonts w:ascii="Arial" w:hAnsi="Arial" w:cs="Arial"/>
          <w:sz w:val="28"/>
          <w:szCs w:val="28"/>
        </w:rPr>
      </w:pPr>
    </w:p>
    <w:p w14:paraId="5CB1A8EC" w14:textId="7F1A6DC9" w:rsidR="00E54FDB" w:rsidRPr="007B0BE6" w:rsidRDefault="00355BF7" w:rsidP="00FA3831">
      <w:pPr>
        <w:rPr>
          <w:rFonts w:ascii="Arial" w:hAnsi="Arial" w:cs="Arial"/>
          <w:sz w:val="28"/>
          <w:szCs w:val="28"/>
        </w:rPr>
      </w:pPr>
      <w:r w:rsidRPr="007B0BE6">
        <w:rPr>
          <w:rFonts w:ascii="Arial" w:hAnsi="Arial" w:cs="Arial"/>
          <w:b/>
          <w:bCs/>
          <w:sz w:val="28"/>
          <w:szCs w:val="28"/>
        </w:rPr>
        <w:t>Lecturer</w:t>
      </w:r>
      <w:r w:rsidR="00B01788" w:rsidRPr="007B0BE6">
        <w:rPr>
          <w:rFonts w:ascii="Arial" w:hAnsi="Arial" w:cs="Arial"/>
          <w:b/>
          <w:bCs/>
          <w:sz w:val="28"/>
          <w:szCs w:val="28"/>
        </w:rPr>
        <w:t xml:space="preserve"> name: </w:t>
      </w:r>
      <w:r w:rsidR="00ED6E2A" w:rsidRPr="007B0BE6">
        <w:rPr>
          <w:rFonts w:ascii="Arial" w:hAnsi="Arial" w:cs="Arial"/>
          <w:sz w:val="28"/>
          <w:szCs w:val="28"/>
        </w:rPr>
        <w:t>Joa</w:t>
      </w:r>
      <w:r w:rsidR="005C4536" w:rsidRPr="007B0BE6">
        <w:rPr>
          <w:rFonts w:ascii="Arial" w:hAnsi="Arial" w:cs="Arial"/>
          <w:sz w:val="28"/>
          <w:szCs w:val="28"/>
        </w:rPr>
        <w:t>nne Davies</w:t>
      </w:r>
    </w:p>
    <w:p w14:paraId="2FE895C4" w14:textId="77777777" w:rsidR="006E3B73" w:rsidRPr="007B0BE6" w:rsidRDefault="006E3B73" w:rsidP="006E3B73">
      <w:pPr>
        <w:spacing w:line="360" w:lineRule="auto"/>
        <w:rPr>
          <w:rFonts w:ascii="Arial" w:hAnsi="Arial" w:cs="Arial"/>
          <w:sz w:val="28"/>
          <w:szCs w:val="28"/>
        </w:rPr>
      </w:pPr>
    </w:p>
    <w:p w14:paraId="5DCC0587" w14:textId="77777777" w:rsidR="00696AD9" w:rsidRDefault="00696AD9" w:rsidP="00750624">
      <w:pPr>
        <w:pStyle w:val="Heading1"/>
        <w:spacing w:line="360" w:lineRule="auto"/>
        <w:rPr>
          <w:rFonts w:ascii="Arial" w:eastAsia="Arial" w:hAnsi="Arial" w:cs="Arial"/>
          <w:b/>
          <w:bCs/>
          <w:sz w:val="32"/>
          <w:szCs w:val="32"/>
        </w:rPr>
      </w:pPr>
    </w:p>
    <w:p w14:paraId="4AF23DEB" w14:textId="77777777" w:rsidR="00F61DAB" w:rsidRDefault="00F61DAB" w:rsidP="00F61DAB"/>
    <w:p w14:paraId="15205F02" w14:textId="77777777" w:rsidR="00F61DAB" w:rsidRPr="00F61DAB" w:rsidRDefault="00F61DAB" w:rsidP="00F61DAB"/>
    <w:p w14:paraId="3145C47A" w14:textId="5321521E" w:rsidR="00BC6FC6" w:rsidRPr="00750624" w:rsidRDefault="00F61DAB" w:rsidP="00750624">
      <w:pPr>
        <w:pStyle w:val="Heading1"/>
        <w:spacing w:line="360" w:lineRule="auto"/>
        <w:rPr>
          <w:rFonts w:ascii="Arial" w:hAnsi="Arial" w:cs="Arial"/>
          <w:b/>
          <w:bCs/>
          <w:sz w:val="56"/>
          <w:szCs w:val="56"/>
        </w:rPr>
      </w:pPr>
      <w:r>
        <w:rPr>
          <w:rFonts w:ascii="Arial" w:hAnsi="Arial" w:cs="Arial"/>
          <w:b/>
          <w:bCs/>
          <w:color w:val="000000"/>
          <w:sz w:val="22"/>
          <w:szCs w:val="22"/>
        </w:rPr>
        <w:br/>
      </w:r>
      <w:r w:rsidR="00BC6FC6" w:rsidRPr="00867E06">
        <w:rPr>
          <w:rFonts w:ascii="Arial" w:hAnsi="Arial" w:cs="Arial"/>
          <w:b/>
          <w:bCs/>
          <w:color w:val="000000"/>
          <w:sz w:val="22"/>
          <w:szCs w:val="22"/>
        </w:rPr>
        <w:t>Chapter 1</w:t>
      </w:r>
    </w:p>
    <w:p w14:paraId="1D765E32" w14:textId="77777777" w:rsidR="00E366B0" w:rsidRDefault="00E366B0" w:rsidP="00BC6FC6">
      <w:pPr>
        <w:spacing w:line="360" w:lineRule="auto"/>
        <w:jc w:val="both"/>
        <w:rPr>
          <w:rFonts w:ascii="Arial" w:hAnsi="Arial" w:cs="Arial"/>
          <w:b/>
          <w:bCs/>
          <w:color w:val="000000"/>
          <w:sz w:val="22"/>
          <w:szCs w:val="22"/>
        </w:rPr>
      </w:pPr>
    </w:p>
    <w:p w14:paraId="5C8F39C3" w14:textId="3049E22B" w:rsidR="00BC6FC6" w:rsidRPr="000145CE" w:rsidRDefault="00BC6FC6" w:rsidP="00BC6FC6">
      <w:pPr>
        <w:spacing w:line="360" w:lineRule="auto"/>
        <w:jc w:val="both"/>
        <w:rPr>
          <w:rFonts w:ascii="Arial" w:hAnsi="Arial" w:cs="Arial"/>
          <w:b/>
          <w:bCs/>
          <w:color w:val="000000"/>
          <w:sz w:val="22"/>
          <w:szCs w:val="22"/>
        </w:rPr>
      </w:pPr>
      <w:r w:rsidRPr="00867E06">
        <w:rPr>
          <w:rFonts w:ascii="Arial" w:hAnsi="Arial" w:cs="Arial"/>
          <w:b/>
          <w:bCs/>
          <w:color w:val="000000"/>
          <w:sz w:val="22"/>
          <w:szCs w:val="22"/>
        </w:rPr>
        <w:lastRenderedPageBreak/>
        <w:t>1.1 Introduction</w:t>
      </w:r>
    </w:p>
    <w:p w14:paraId="2853B381" w14:textId="403EC3EC" w:rsidR="00BC6FC6" w:rsidRPr="000145CE" w:rsidRDefault="00BC6FC6" w:rsidP="00BC6FC6">
      <w:pPr>
        <w:spacing w:line="360" w:lineRule="auto"/>
        <w:jc w:val="both"/>
        <w:rPr>
          <w:rFonts w:ascii="Arial" w:hAnsi="Arial" w:cs="Arial"/>
          <w:color w:val="000000"/>
          <w:sz w:val="22"/>
          <w:szCs w:val="22"/>
        </w:rPr>
      </w:pPr>
      <w:r w:rsidRPr="000145CE">
        <w:rPr>
          <w:rFonts w:ascii="Arial" w:hAnsi="Arial" w:cs="Arial"/>
          <w:color w:val="000000"/>
          <w:sz w:val="22"/>
          <w:szCs w:val="22"/>
        </w:rPr>
        <w:t xml:space="preserve">Adverse Childhood Experiences (ACEs) have become a significant public health concern due to their long-term impact on health and well-being across the lifespan. ACEs refer to potentially traumatic events occurring before the age of 18, including physical, emotional and sexual abuse, neglect, domestic violence, parental substance misuse, mental illness within the household, parental separation and incarceration of a family member (Arnold </w:t>
      </w:r>
      <w:r w:rsidRPr="006E1702">
        <w:rPr>
          <w:rFonts w:ascii="Arial" w:hAnsi="Arial" w:cs="Arial"/>
          <w:i/>
          <w:iCs/>
          <w:color w:val="000000"/>
          <w:sz w:val="22"/>
          <w:szCs w:val="22"/>
        </w:rPr>
        <w:t>et al.,</w:t>
      </w:r>
      <w:r w:rsidRPr="000145CE">
        <w:rPr>
          <w:rFonts w:ascii="Arial" w:hAnsi="Arial" w:cs="Arial"/>
          <w:color w:val="000000"/>
          <w:sz w:val="22"/>
          <w:szCs w:val="22"/>
        </w:rPr>
        <w:t xml:space="preserve"> 2023). These experiences can disrupt healthy development and increase the risk of poor outcomes in adulthood.</w:t>
      </w:r>
    </w:p>
    <w:p w14:paraId="2E1A358E" w14:textId="77777777" w:rsidR="00BC6FC6" w:rsidRPr="000145CE" w:rsidRDefault="00BC6FC6" w:rsidP="00BC6FC6">
      <w:pPr>
        <w:spacing w:line="360" w:lineRule="auto"/>
        <w:jc w:val="both"/>
        <w:rPr>
          <w:rFonts w:ascii="Arial" w:hAnsi="Arial" w:cs="Arial"/>
          <w:color w:val="000000"/>
          <w:sz w:val="22"/>
          <w:szCs w:val="22"/>
        </w:rPr>
      </w:pPr>
      <w:r w:rsidRPr="000145CE">
        <w:rPr>
          <w:rFonts w:ascii="Arial" w:hAnsi="Arial" w:cs="Arial"/>
          <w:color w:val="000000"/>
          <w:sz w:val="22"/>
          <w:szCs w:val="22"/>
        </w:rPr>
        <w:t xml:space="preserve">The relationship between ACEs and adult health was first highlighted by the landmark ACE Study conducted by </w:t>
      </w:r>
      <w:proofErr w:type="spellStart"/>
      <w:r w:rsidRPr="000145CE">
        <w:rPr>
          <w:rFonts w:ascii="Arial" w:hAnsi="Arial" w:cs="Arial"/>
          <w:color w:val="000000"/>
          <w:sz w:val="22"/>
          <w:szCs w:val="22"/>
        </w:rPr>
        <w:t>Felitti</w:t>
      </w:r>
      <w:proofErr w:type="spellEnd"/>
      <w:r w:rsidRPr="000145CE">
        <w:rPr>
          <w:rFonts w:ascii="Arial" w:hAnsi="Arial" w:cs="Arial"/>
          <w:color w:val="000000"/>
          <w:sz w:val="22"/>
          <w:szCs w:val="22"/>
        </w:rPr>
        <w:t xml:space="preserve"> </w:t>
      </w:r>
      <w:r w:rsidRPr="006E1702">
        <w:rPr>
          <w:rFonts w:ascii="Arial" w:hAnsi="Arial" w:cs="Arial"/>
          <w:i/>
          <w:iCs/>
          <w:color w:val="000000"/>
          <w:sz w:val="22"/>
          <w:szCs w:val="22"/>
        </w:rPr>
        <w:t>et al.</w:t>
      </w:r>
      <w:r w:rsidRPr="000145CE">
        <w:rPr>
          <w:rFonts w:ascii="Arial" w:hAnsi="Arial" w:cs="Arial"/>
          <w:color w:val="000000"/>
          <w:sz w:val="22"/>
          <w:szCs w:val="22"/>
        </w:rPr>
        <w:t xml:space="preserve"> (1998), which identified a strong association between childhood adversity and chronic disease in later life. More recent research continues to show links between multiple ACEs and increased risks of cardiovascular disease, diabetes, obesity and respiratory disorders (Cheng </w:t>
      </w:r>
      <w:r w:rsidRPr="006E1702">
        <w:rPr>
          <w:rFonts w:ascii="Arial" w:hAnsi="Arial" w:cs="Arial"/>
          <w:i/>
          <w:iCs/>
          <w:color w:val="000000"/>
          <w:sz w:val="22"/>
          <w:szCs w:val="22"/>
        </w:rPr>
        <w:t>et al.,</w:t>
      </w:r>
      <w:r w:rsidRPr="000145CE">
        <w:rPr>
          <w:rFonts w:ascii="Arial" w:hAnsi="Arial" w:cs="Arial"/>
          <w:color w:val="000000"/>
          <w:sz w:val="22"/>
          <w:szCs w:val="22"/>
        </w:rPr>
        <w:t xml:space="preserve"> 2025). However, there remains ongoing debate about the mechanisms through which childhood trauma influences long-term physical health, including biological, psychological and social pathways.</w:t>
      </w:r>
    </w:p>
    <w:p w14:paraId="3E854C52" w14:textId="77777777" w:rsidR="00BC6FC6" w:rsidRPr="000145CE" w:rsidRDefault="00BC6FC6" w:rsidP="00BC6FC6">
      <w:pPr>
        <w:spacing w:line="360" w:lineRule="auto"/>
        <w:jc w:val="both"/>
        <w:rPr>
          <w:rFonts w:ascii="Arial" w:hAnsi="Arial" w:cs="Arial"/>
          <w:color w:val="000000"/>
          <w:sz w:val="22"/>
          <w:szCs w:val="22"/>
        </w:rPr>
      </w:pPr>
      <w:r w:rsidRPr="000145CE">
        <w:rPr>
          <w:rFonts w:ascii="Arial" w:hAnsi="Arial" w:cs="Arial"/>
          <w:color w:val="000000"/>
          <w:sz w:val="22"/>
          <w:szCs w:val="22"/>
        </w:rPr>
        <w:t>This dissertation explores the impact of ACEs on long-term physical health outcomes in adulthood through a comprehensive literature review. It will examine current evidence, identify key themes and gaps in knowledge, and discuss implications for health and social care practice, policy development and future research.</w:t>
      </w:r>
    </w:p>
    <w:p w14:paraId="1ACDC76C" w14:textId="77777777" w:rsidR="00BC6FC6" w:rsidRPr="000145CE" w:rsidRDefault="00BC6FC6" w:rsidP="00BC6FC6">
      <w:pPr>
        <w:pStyle w:val="ListParagraph"/>
        <w:spacing w:line="360" w:lineRule="auto"/>
        <w:ind w:left="380"/>
        <w:jc w:val="both"/>
        <w:rPr>
          <w:rFonts w:ascii="Arial" w:hAnsi="Arial" w:cs="Arial"/>
          <w:sz w:val="22"/>
          <w:szCs w:val="22"/>
        </w:rPr>
      </w:pPr>
    </w:p>
    <w:p w14:paraId="3293E3EA" w14:textId="77777777" w:rsidR="00BC6FC6" w:rsidRPr="000145CE" w:rsidRDefault="00BC6FC6" w:rsidP="00BC6FC6">
      <w:pPr>
        <w:spacing w:line="360" w:lineRule="auto"/>
        <w:jc w:val="both"/>
        <w:rPr>
          <w:rFonts w:ascii="Arial" w:hAnsi="Arial" w:cs="Arial"/>
          <w:b/>
          <w:bCs/>
          <w:sz w:val="22"/>
          <w:szCs w:val="22"/>
        </w:rPr>
      </w:pPr>
      <w:r w:rsidRPr="00867E06">
        <w:rPr>
          <w:rFonts w:ascii="Arial" w:hAnsi="Arial" w:cs="Arial"/>
          <w:b/>
          <w:bCs/>
          <w:sz w:val="22"/>
          <w:szCs w:val="22"/>
        </w:rPr>
        <w:t>1.2 Definitions and Terminology</w:t>
      </w:r>
    </w:p>
    <w:p w14:paraId="6E9B56D4"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To ensure clarity and consistency throughout this dissertation, key concepts related to Adverse Childhood Experiences and long-term physical health outcomes are defined below.</w:t>
      </w:r>
    </w:p>
    <w:p w14:paraId="585F0683"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 xml:space="preserve">Adverse Childhood Experiences (ACEs): Potentially traumatic events occurring before the age of 18, including abuse, neglect, domestic violence, household dysfunction, parental substance misuse, mental illness or incarceration (Daníelsdóttir </w:t>
      </w:r>
      <w:r w:rsidRPr="006E1702">
        <w:rPr>
          <w:rFonts w:ascii="Arial" w:hAnsi="Arial" w:cs="Arial"/>
          <w:i/>
          <w:iCs/>
          <w:sz w:val="22"/>
          <w:szCs w:val="22"/>
        </w:rPr>
        <w:t>et al.,</w:t>
      </w:r>
      <w:r w:rsidRPr="000145CE">
        <w:rPr>
          <w:rFonts w:ascii="Arial" w:hAnsi="Arial" w:cs="Arial"/>
          <w:sz w:val="22"/>
          <w:szCs w:val="22"/>
        </w:rPr>
        <w:t xml:space="preserve"> 2024).</w:t>
      </w:r>
    </w:p>
    <w:p w14:paraId="5089C766"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 xml:space="preserve">Childhood Trauma: Distressing emotional, psychological or physical experiences during childhood that may negatively affect development, wellbeing and later health outcomes (Vu </w:t>
      </w:r>
      <w:r w:rsidRPr="006E1702">
        <w:rPr>
          <w:rFonts w:ascii="Arial" w:hAnsi="Arial" w:cs="Arial"/>
          <w:i/>
          <w:iCs/>
          <w:sz w:val="22"/>
          <w:szCs w:val="22"/>
        </w:rPr>
        <w:t>et al.,</w:t>
      </w:r>
      <w:r w:rsidRPr="000145CE">
        <w:rPr>
          <w:rFonts w:ascii="Arial" w:hAnsi="Arial" w:cs="Arial"/>
          <w:sz w:val="22"/>
          <w:szCs w:val="22"/>
        </w:rPr>
        <w:t xml:space="preserve"> 2022).</w:t>
      </w:r>
    </w:p>
    <w:p w14:paraId="50B37EE7"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 xml:space="preserve">Toxic Stress: Prolonged activation of the body’s stress-response system caused by severe or repeated adversity without adequate protective support from adults (Shonkoff </w:t>
      </w:r>
      <w:r w:rsidRPr="006E1702">
        <w:rPr>
          <w:rFonts w:ascii="Arial" w:hAnsi="Arial" w:cs="Arial"/>
          <w:i/>
          <w:iCs/>
          <w:sz w:val="22"/>
          <w:szCs w:val="22"/>
        </w:rPr>
        <w:t>et al.,</w:t>
      </w:r>
      <w:r w:rsidRPr="000145CE">
        <w:rPr>
          <w:rFonts w:ascii="Arial" w:hAnsi="Arial" w:cs="Arial"/>
          <w:sz w:val="22"/>
          <w:szCs w:val="22"/>
        </w:rPr>
        <w:t xml:space="preserve"> 2021).</w:t>
      </w:r>
    </w:p>
    <w:p w14:paraId="11183E82"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 xml:space="preserve">Long-Term Physical Health Outcomes: Physical health consequences that emerge or persist into adulthood, including chronic disease, disability, reduced quality of life and increased healthcare needs (Cheng </w:t>
      </w:r>
      <w:r w:rsidRPr="006E1702">
        <w:rPr>
          <w:rFonts w:ascii="Arial" w:hAnsi="Arial" w:cs="Arial"/>
          <w:i/>
          <w:iCs/>
          <w:sz w:val="22"/>
          <w:szCs w:val="22"/>
        </w:rPr>
        <w:t>et al.,</w:t>
      </w:r>
      <w:r w:rsidRPr="000145CE">
        <w:rPr>
          <w:rFonts w:ascii="Arial" w:hAnsi="Arial" w:cs="Arial"/>
          <w:sz w:val="22"/>
          <w:szCs w:val="22"/>
        </w:rPr>
        <w:t xml:space="preserve"> 2025).</w:t>
      </w:r>
    </w:p>
    <w:p w14:paraId="6A22CBDA"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Chronic Disease: Long-term health conditions requiring ongoing management, such as cardiovascular disease, diabetes, obesity and respiratory illness (World Health Organi</w:t>
      </w:r>
      <w:r>
        <w:rPr>
          <w:rFonts w:ascii="Arial" w:hAnsi="Arial" w:cs="Arial"/>
          <w:sz w:val="22"/>
          <w:szCs w:val="22"/>
        </w:rPr>
        <w:t>s</w:t>
      </w:r>
      <w:r w:rsidRPr="000145CE">
        <w:rPr>
          <w:rFonts w:ascii="Arial" w:hAnsi="Arial" w:cs="Arial"/>
          <w:sz w:val="22"/>
          <w:szCs w:val="22"/>
        </w:rPr>
        <w:t>ation, 2024).</w:t>
      </w:r>
    </w:p>
    <w:p w14:paraId="53F3671A" w14:textId="77777777" w:rsidR="00BC6FC6" w:rsidRPr="000145CE" w:rsidRDefault="00BC6FC6" w:rsidP="00BC6FC6">
      <w:pPr>
        <w:spacing w:line="360" w:lineRule="auto"/>
        <w:jc w:val="both"/>
        <w:rPr>
          <w:rFonts w:ascii="Arial" w:hAnsi="Arial" w:cs="Arial"/>
          <w:sz w:val="22"/>
          <w:szCs w:val="22"/>
        </w:rPr>
      </w:pPr>
      <w:r w:rsidRPr="00BA6055">
        <w:rPr>
          <w:rFonts w:ascii="Arial" w:hAnsi="Arial" w:cs="Arial"/>
          <w:sz w:val="22"/>
          <w:szCs w:val="22"/>
        </w:rPr>
        <w:lastRenderedPageBreak/>
        <w:t>Adulthood is the stage of life that follows adolescence, generally beginning at 18 years of age, and is characterised by physical, psychological and social maturity. This dissertation focuses on the physical health consequences of ACEs that emerge or persist during adulthood (World Health Organi</w:t>
      </w:r>
      <w:r>
        <w:rPr>
          <w:rFonts w:ascii="Arial" w:hAnsi="Arial" w:cs="Arial"/>
          <w:sz w:val="22"/>
          <w:szCs w:val="22"/>
        </w:rPr>
        <w:t>s</w:t>
      </w:r>
      <w:r w:rsidRPr="00BA6055">
        <w:rPr>
          <w:rFonts w:ascii="Arial" w:hAnsi="Arial" w:cs="Arial"/>
          <w:sz w:val="22"/>
          <w:szCs w:val="22"/>
        </w:rPr>
        <w:t>ation, 2024).</w:t>
      </w:r>
    </w:p>
    <w:p w14:paraId="3BC7226B"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Trauma-Informed Care (TIC): A practice approach that recognises the impact of trauma and promotes safe, supportive and person-centred care (Rokach and Clayton, 2023).</w:t>
      </w:r>
    </w:p>
    <w:p w14:paraId="618031C5"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Acronyms: ACEs, WHO, NHS and TIC.</w:t>
      </w:r>
    </w:p>
    <w:p w14:paraId="0E0236AD" w14:textId="77777777" w:rsidR="00BC6FC6" w:rsidRPr="000145CE" w:rsidRDefault="00BC6FC6" w:rsidP="00BC6FC6">
      <w:pPr>
        <w:spacing w:line="360" w:lineRule="auto"/>
        <w:jc w:val="both"/>
        <w:rPr>
          <w:rFonts w:ascii="Arial" w:hAnsi="Arial" w:cs="Arial"/>
          <w:sz w:val="22"/>
          <w:szCs w:val="22"/>
        </w:rPr>
      </w:pPr>
    </w:p>
    <w:p w14:paraId="0C78456A" w14:textId="77777777" w:rsidR="00BC6FC6" w:rsidRPr="000145CE" w:rsidRDefault="00BC6FC6" w:rsidP="00BC6FC6">
      <w:pPr>
        <w:spacing w:line="360" w:lineRule="auto"/>
        <w:jc w:val="both"/>
        <w:rPr>
          <w:rFonts w:ascii="Arial" w:hAnsi="Arial" w:cs="Arial"/>
          <w:b/>
          <w:bCs/>
          <w:sz w:val="22"/>
          <w:szCs w:val="22"/>
        </w:rPr>
      </w:pPr>
      <w:r w:rsidRPr="004A2FE9">
        <w:rPr>
          <w:rFonts w:ascii="Arial" w:hAnsi="Arial" w:cs="Arial"/>
          <w:b/>
          <w:bCs/>
          <w:sz w:val="22"/>
          <w:szCs w:val="22"/>
        </w:rPr>
        <w:t>1.3 Background and Current Context</w:t>
      </w:r>
    </w:p>
    <w:p w14:paraId="7D0BA927" w14:textId="77777777" w:rsidR="00BC6FC6" w:rsidRPr="00DF192D" w:rsidRDefault="00BC6FC6" w:rsidP="00BC6FC6">
      <w:pPr>
        <w:spacing w:line="360" w:lineRule="auto"/>
        <w:jc w:val="both"/>
        <w:rPr>
          <w:rFonts w:ascii="Arial" w:hAnsi="Arial" w:cs="Arial"/>
          <w:b/>
          <w:bCs/>
          <w:sz w:val="22"/>
          <w:szCs w:val="22"/>
        </w:rPr>
      </w:pPr>
      <w:r w:rsidRPr="00DF192D">
        <w:rPr>
          <w:rFonts w:ascii="Arial" w:hAnsi="Arial" w:cs="Arial"/>
          <w:b/>
          <w:bCs/>
          <w:sz w:val="22"/>
          <w:szCs w:val="22"/>
        </w:rPr>
        <w:t>1.3.1 Background</w:t>
      </w:r>
    </w:p>
    <w:p w14:paraId="43653F78"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 xml:space="preserve">Interest in the long-term effects of childhood adversity has increased significantly over the past three decades. Adverse Childhood Experiences (ACEs), including abuse, neglect and household dysfunction, became widely recognised following the landmark ACE Study by </w:t>
      </w:r>
      <w:proofErr w:type="spellStart"/>
      <w:r w:rsidRPr="000145CE">
        <w:rPr>
          <w:rFonts w:ascii="Arial" w:hAnsi="Arial" w:cs="Arial"/>
          <w:sz w:val="22"/>
          <w:szCs w:val="22"/>
        </w:rPr>
        <w:t>Felitti</w:t>
      </w:r>
      <w:proofErr w:type="spellEnd"/>
      <w:r w:rsidRPr="000145CE">
        <w:rPr>
          <w:rFonts w:ascii="Arial" w:hAnsi="Arial" w:cs="Arial"/>
          <w:sz w:val="22"/>
          <w:szCs w:val="22"/>
        </w:rPr>
        <w:t xml:space="preserve"> </w:t>
      </w:r>
      <w:r w:rsidRPr="004F359B">
        <w:rPr>
          <w:rFonts w:ascii="Arial" w:hAnsi="Arial" w:cs="Arial"/>
          <w:i/>
          <w:iCs/>
          <w:sz w:val="22"/>
          <w:szCs w:val="22"/>
        </w:rPr>
        <w:t>et al.</w:t>
      </w:r>
      <w:r w:rsidRPr="000145CE">
        <w:rPr>
          <w:rFonts w:ascii="Arial" w:hAnsi="Arial" w:cs="Arial"/>
          <w:sz w:val="22"/>
          <w:szCs w:val="22"/>
        </w:rPr>
        <w:t xml:space="preserve"> (1998), which identified a strong relationship between childhood trauma and poor adult health outcomes. The study found that individuals exposed to multiple ACEs were at greater risk of chronic illness, health-risk behaviours and reduced life expectancy. Since then, research has expanded understanding of how prolonged childhood adversity can affect physical and psychological development. Evidence suggests that exposure to adversity can disrupt neurological, endocrine and immune system functioning, increasing vulnerability to chronic diseases later in life (Hughes </w:t>
      </w:r>
      <w:r w:rsidRPr="004F359B">
        <w:rPr>
          <w:rFonts w:ascii="Arial" w:hAnsi="Arial" w:cs="Arial"/>
          <w:i/>
          <w:iCs/>
          <w:sz w:val="22"/>
          <w:szCs w:val="22"/>
        </w:rPr>
        <w:t>et al.,</w:t>
      </w:r>
      <w:r w:rsidRPr="000145CE">
        <w:rPr>
          <w:rFonts w:ascii="Arial" w:hAnsi="Arial" w:cs="Arial"/>
          <w:sz w:val="22"/>
          <w:szCs w:val="22"/>
        </w:rPr>
        <w:t xml:space="preserve"> 2017). Consequently, ACEs are now recognised as a significant public health issue and an important social determinant of health.</w:t>
      </w:r>
    </w:p>
    <w:p w14:paraId="1E40B3A4" w14:textId="77777777" w:rsidR="00BC6FC6" w:rsidRPr="00DF192D" w:rsidRDefault="00BC6FC6" w:rsidP="00BC6FC6">
      <w:pPr>
        <w:spacing w:line="360" w:lineRule="auto"/>
        <w:jc w:val="both"/>
        <w:rPr>
          <w:rFonts w:ascii="Arial" w:hAnsi="Arial" w:cs="Arial"/>
          <w:b/>
          <w:bCs/>
          <w:sz w:val="22"/>
          <w:szCs w:val="22"/>
        </w:rPr>
      </w:pPr>
      <w:r w:rsidRPr="00DF192D">
        <w:rPr>
          <w:rFonts w:ascii="Arial" w:hAnsi="Arial" w:cs="Arial"/>
          <w:b/>
          <w:bCs/>
          <w:sz w:val="22"/>
          <w:szCs w:val="22"/>
        </w:rPr>
        <w:t>1.3.2 Current Context</w:t>
      </w:r>
    </w:p>
    <w:p w14:paraId="33385446" w14:textId="77777777"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 xml:space="preserve">Currently, ACEs remain a major public health concern worldwide. Recent research indicates that many adults report experiencing at least one ACE, with some exposed to multiple forms of adversity (Daníelsdóttir </w:t>
      </w:r>
      <w:r w:rsidRPr="004F359B">
        <w:rPr>
          <w:rFonts w:ascii="Arial" w:hAnsi="Arial" w:cs="Arial"/>
          <w:i/>
          <w:iCs/>
          <w:sz w:val="22"/>
          <w:szCs w:val="22"/>
        </w:rPr>
        <w:t>et al.,</w:t>
      </w:r>
      <w:r w:rsidRPr="000145CE">
        <w:rPr>
          <w:rFonts w:ascii="Arial" w:hAnsi="Arial" w:cs="Arial"/>
          <w:sz w:val="22"/>
          <w:szCs w:val="22"/>
        </w:rPr>
        <w:t xml:space="preserve"> 2024). Contemporary studies continue to associate ACE exposure with increased risks of cardiovascular disease, diabetes, obesity and respiratory illness in adulthood (Cheng </w:t>
      </w:r>
      <w:r w:rsidRPr="004F359B">
        <w:rPr>
          <w:rFonts w:ascii="Arial" w:hAnsi="Arial" w:cs="Arial"/>
          <w:i/>
          <w:iCs/>
          <w:sz w:val="22"/>
          <w:szCs w:val="22"/>
        </w:rPr>
        <w:t>et al.,</w:t>
      </w:r>
      <w:r w:rsidRPr="000145CE">
        <w:rPr>
          <w:rFonts w:ascii="Arial" w:hAnsi="Arial" w:cs="Arial"/>
          <w:sz w:val="22"/>
          <w:szCs w:val="22"/>
        </w:rPr>
        <w:t xml:space="preserve"> 2025). In response, organisations such as the World Health Organization (WHO) and National Health Service (NHS) have promoted trauma-informed care and early intervention. Despite growing awareness, challenges remain in preventing childhood adversity and addressing its long-term consequences. This links directly to the research question by showing that ACEs are important predictors of adult physical health outcomes and health inequalities.</w:t>
      </w:r>
    </w:p>
    <w:p w14:paraId="1305D607" w14:textId="77777777" w:rsidR="00BC6FC6" w:rsidRPr="000145CE" w:rsidRDefault="00BC6FC6" w:rsidP="00BC6FC6">
      <w:pPr>
        <w:pStyle w:val="ListParagraph"/>
        <w:spacing w:line="360" w:lineRule="auto"/>
        <w:ind w:left="380"/>
        <w:jc w:val="both"/>
        <w:rPr>
          <w:rFonts w:ascii="Arial" w:hAnsi="Arial" w:cs="Arial"/>
          <w:sz w:val="22"/>
          <w:szCs w:val="22"/>
        </w:rPr>
      </w:pPr>
    </w:p>
    <w:p w14:paraId="57997DC1" w14:textId="77777777" w:rsidR="00BC6FC6" w:rsidRPr="000145CE" w:rsidRDefault="00BC6FC6" w:rsidP="00BC6FC6">
      <w:pPr>
        <w:spacing w:line="360" w:lineRule="auto"/>
        <w:jc w:val="both"/>
        <w:rPr>
          <w:rFonts w:ascii="Arial" w:hAnsi="Arial" w:cs="Arial"/>
          <w:b/>
          <w:bCs/>
          <w:color w:val="000000"/>
          <w:sz w:val="22"/>
          <w:szCs w:val="22"/>
        </w:rPr>
      </w:pPr>
      <w:r w:rsidRPr="004A2FE9">
        <w:rPr>
          <w:rFonts w:ascii="Arial" w:hAnsi="Arial" w:cs="Arial"/>
          <w:b/>
          <w:bCs/>
          <w:color w:val="000000"/>
          <w:sz w:val="22"/>
          <w:szCs w:val="22"/>
        </w:rPr>
        <w:t>1.4 Rationale for Research / Problem Statement</w:t>
      </w:r>
    </w:p>
    <w:p w14:paraId="367A3133" w14:textId="77777777" w:rsidR="00BC6FC6" w:rsidRPr="000145CE" w:rsidRDefault="00BC6FC6" w:rsidP="00BC6FC6">
      <w:pPr>
        <w:spacing w:line="360" w:lineRule="auto"/>
        <w:jc w:val="both"/>
        <w:rPr>
          <w:rFonts w:ascii="Arial" w:hAnsi="Arial" w:cs="Arial"/>
          <w:color w:val="000000"/>
          <w:sz w:val="22"/>
          <w:szCs w:val="22"/>
        </w:rPr>
      </w:pPr>
      <w:r w:rsidRPr="000145CE">
        <w:rPr>
          <w:rFonts w:ascii="Arial" w:hAnsi="Arial" w:cs="Arial"/>
          <w:color w:val="000000"/>
          <w:sz w:val="22"/>
          <w:szCs w:val="22"/>
        </w:rPr>
        <w:t xml:space="preserve">Research into Adverse Childhood Experiences (ACEs) is important because growing evidence suggests that childhood adversity can have lasting effects on adult physical health. While genetics, lifestyle and environment have traditionally been used to explain chronic </w:t>
      </w:r>
      <w:r w:rsidRPr="000145CE">
        <w:rPr>
          <w:rFonts w:ascii="Arial" w:hAnsi="Arial" w:cs="Arial"/>
          <w:color w:val="000000"/>
          <w:sz w:val="22"/>
          <w:szCs w:val="22"/>
        </w:rPr>
        <w:lastRenderedPageBreak/>
        <w:t xml:space="preserve">disease, increasing attention is now being given to early-life adversity as a key social determinant of health (Fujiwara, 2022). ACEs have been associated with long-term conditions such as cardiovascular disease, diabetes, obesity and immune-related disorders, making this topic highly relevant to health and social care practice (Johnson </w:t>
      </w:r>
      <w:r w:rsidRPr="00501645">
        <w:rPr>
          <w:rFonts w:ascii="Arial" w:hAnsi="Arial" w:cs="Arial"/>
          <w:i/>
          <w:iCs/>
          <w:color w:val="000000"/>
          <w:sz w:val="22"/>
          <w:szCs w:val="22"/>
        </w:rPr>
        <w:t>et al.,</w:t>
      </w:r>
      <w:r w:rsidRPr="000145CE">
        <w:rPr>
          <w:rFonts w:ascii="Arial" w:hAnsi="Arial" w:cs="Arial"/>
          <w:color w:val="000000"/>
          <w:sz w:val="22"/>
          <w:szCs w:val="22"/>
        </w:rPr>
        <w:t xml:space="preserve"> 2023).</w:t>
      </w:r>
    </w:p>
    <w:p w14:paraId="08BE5470" w14:textId="77777777" w:rsidR="00BC6FC6" w:rsidRPr="000145CE" w:rsidRDefault="00BC6FC6" w:rsidP="00BC6FC6">
      <w:pPr>
        <w:spacing w:line="360" w:lineRule="auto"/>
        <w:jc w:val="both"/>
        <w:rPr>
          <w:rFonts w:ascii="Arial" w:hAnsi="Arial" w:cs="Arial"/>
          <w:color w:val="000000"/>
          <w:sz w:val="22"/>
          <w:szCs w:val="22"/>
        </w:rPr>
      </w:pPr>
      <w:r w:rsidRPr="000145CE">
        <w:rPr>
          <w:rFonts w:ascii="Arial" w:hAnsi="Arial" w:cs="Arial"/>
          <w:color w:val="000000"/>
          <w:sz w:val="22"/>
          <w:szCs w:val="22"/>
        </w:rPr>
        <w:t>Despite growing awareness, much existing research focuses on the psychological consequences of ACEs, while the physical health impacts and biological pathways require further exploration. This dissertation therefore aims to examine current secondary evidence on the relationship between ACEs and adult physical health outcomes. The findings may help inform prevention, early intervention, trauma-informed care, policy development and future research.</w:t>
      </w:r>
    </w:p>
    <w:p w14:paraId="08B9F72D" w14:textId="77777777" w:rsidR="00BC6FC6" w:rsidRPr="000145CE" w:rsidRDefault="00BC6FC6" w:rsidP="00BC6FC6">
      <w:pPr>
        <w:pStyle w:val="ListParagraph"/>
        <w:spacing w:line="360" w:lineRule="auto"/>
        <w:ind w:left="380"/>
        <w:jc w:val="both"/>
        <w:rPr>
          <w:rFonts w:ascii="Arial" w:hAnsi="Arial" w:cs="Arial"/>
          <w:sz w:val="22"/>
          <w:szCs w:val="22"/>
        </w:rPr>
      </w:pPr>
    </w:p>
    <w:p w14:paraId="42520CF9" w14:textId="77777777" w:rsidR="00BC6FC6" w:rsidRPr="000145CE" w:rsidRDefault="00BC6FC6" w:rsidP="00BC6FC6">
      <w:pPr>
        <w:spacing w:line="360" w:lineRule="auto"/>
        <w:jc w:val="both"/>
        <w:rPr>
          <w:rFonts w:ascii="Arial" w:eastAsia="Arial" w:hAnsi="Arial" w:cs="Arial"/>
          <w:b/>
          <w:bCs/>
          <w:sz w:val="22"/>
          <w:szCs w:val="22"/>
        </w:rPr>
      </w:pPr>
      <w:r w:rsidRPr="004A2FE9">
        <w:rPr>
          <w:rFonts w:ascii="Arial" w:eastAsia="Arial" w:hAnsi="Arial" w:cs="Arial"/>
          <w:b/>
          <w:bCs/>
          <w:sz w:val="22"/>
          <w:szCs w:val="22"/>
        </w:rPr>
        <w:t>1.5 Aim and Objectives</w:t>
      </w:r>
    </w:p>
    <w:p w14:paraId="60C87416" w14:textId="77777777" w:rsidR="00BC6FC6" w:rsidRPr="000145CE" w:rsidRDefault="00BC6FC6" w:rsidP="00BC6FC6">
      <w:pPr>
        <w:spacing w:line="360" w:lineRule="auto"/>
        <w:jc w:val="both"/>
        <w:rPr>
          <w:rFonts w:ascii="Arial" w:eastAsia="Arial" w:hAnsi="Arial" w:cs="Arial"/>
          <w:sz w:val="22"/>
          <w:szCs w:val="22"/>
        </w:rPr>
      </w:pPr>
      <w:r w:rsidRPr="000145CE">
        <w:rPr>
          <w:rFonts w:ascii="Arial" w:eastAsia="Arial" w:hAnsi="Arial" w:cs="Arial"/>
          <w:sz w:val="22"/>
          <w:szCs w:val="22"/>
        </w:rPr>
        <w:t>This study aims to investigate the impact of Adverse Childhood Experiences (ACEs) on long-term physical health outcomes in adulthood through a comprehensive literature review.</w:t>
      </w:r>
    </w:p>
    <w:p w14:paraId="051A62B6" w14:textId="77777777" w:rsidR="00BC6FC6" w:rsidRPr="000145CE" w:rsidRDefault="00BC6FC6" w:rsidP="00BC6FC6">
      <w:pPr>
        <w:spacing w:line="360" w:lineRule="auto"/>
        <w:jc w:val="both"/>
        <w:rPr>
          <w:rFonts w:ascii="Arial" w:eastAsia="Arial" w:hAnsi="Arial" w:cs="Arial"/>
          <w:sz w:val="22"/>
          <w:szCs w:val="22"/>
        </w:rPr>
      </w:pPr>
    </w:p>
    <w:p w14:paraId="6049971D" w14:textId="77777777" w:rsidR="00BC6FC6" w:rsidRPr="000145CE" w:rsidRDefault="00BC6FC6" w:rsidP="00BC6FC6">
      <w:pPr>
        <w:spacing w:line="360" w:lineRule="auto"/>
        <w:jc w:val="both"/>
        <w:rPr>
          <w:rFonts w:ascii="Arial" w:eastAsia="Arial" w:hAnsi="Arial" w:cs="Arial"/>
          <w:b/>
          <w:bCs/>
          <w:sz w:val="22"/>
          <w:szCs w:val="22"/>
        </w:rPr>
      </w:pPr>
      <w:r w:rsidRPr="000145CE">
        <w:rPr>
          <w:rFonts w:ascii="Arial" w:eastAsia="Arial" w:hAnsi="Arial" w:cs="Arial"/>
          <w:b/>
          <w:bCs/>
          <w:sz w:val="22"/>
          <w:szCs w:val="22"/>
        </w:rPr>
        <w:t>Aim</w:t>
      </w:r>
    </w:p>
    <w:p w14:paraId="023719D1" w14:textId="77777777" w:rsidR="00BC6FC6" w:rsidRPr="000145CE" w:rsidRDefault="00BC6FC6" w:rsidP="00BC6FC6">
      <w:pPr>
        <w:spacing w:line="360" w:lineRule="auto"/>
        <w:jc w:val="both"/>
        <w:rPr>
          <w:rFonts w:ascii="Arial" w:eastAsia="Arial" w:hAnsi="Arial" w:cs="Arial"/>
          <w:sz w:val="22"/>
          <w:szCs w:val="22"/>
        </w:rPr>
      </w:pPr>
      <w:r w:rsidRPr="000145CE">
        <w:rPr>
          <w:rFonts w:ascii="Arial" w:eastAsia="Arial" w:hAnsi="Arial" w:cs="Arial"/>
          <w:sz w:val="22"/>
          <w:szCs w:val="22"/>
        </w:rPr>
        <w:t>The aim of this research is to explore the relationship between ACEs and adult physical health outcomes, with a focus on how early-life trauma may contribute to the development of chronic illness and the need for early intervention and trauma-informed care.</w:t>
      </w:r>
    </w:p>
    <w:p w14:paraId="16E61815" w14:textId="77777777" w:rsidR="00BC6FC6" w:rsidRPr="000145CE" w:rsidRDefault="00BC6FC6" w:rsidP="00BC6FC6">
      <w:pPr>
        <w:spacing w:line="360" w:lineRule="auto"/>
        <w:jc w:val="both"/>
        <w:rPr>
          <w:rFonts w:ascii="Arial" w:eastAsia="Arial" w:hAnsi="Arial" w:cs="Arial"/>
          <w:sz w:val="22"/>
          <w:szCs w:val="22"/>
        </w:rPr>
      </w:pPr>
    </w:p>
    <w:p w14:paraId="1436971B" w14:textId="77777777" w:rsidR="00BC6FC6" w:rsidRPr="000145CE" w:rsidRDefault="00BC6FC6" w:rsidP="00BC6FC6">
      <w:pPr>
        <w:spacing w:line="360" w:lineRule="auto"/>
        <w:jc w:val="both"/>
        <w:rPr>
          <w:rFonts w:ascii="Arial" w:eastAsia="Arial" w:hAnsi="Arial" w:cs="Arial"/>
          <w:b/>
          <w:bCs/>
          <w:sz w:val="22"/>
          <w:szCs w:val="22"/>
        </w:rPr>
      </w:pPr>
      <w:r w:rsidRPr="000145CE">
        <w:rPr>
          <w:rFonts w:ascii="Arial" w:eastAsia="Arial" w:hAnsi="Arial" w:cs="Arial"/>
          <w:b/>
          <w:bCs/>
          <w:sz w:val="22"/>
          <w:szCs w:val="22"/>
        </w:rPr>
        <w:t>Objectives</w:t>
      </w:r>
    </w:p>
    <w:p w14:paraId="0D4F9724" w14:textId="77777777" w:rsidR="00BC6FC6" w:rsidRPr="000145CE" w:rsidRDefault="00BC6FC6" w:rsidP="00BC6FC6">
      <w:pPr>
        <w:pStyle w:val="ListParagraph"/>
        <w:numPr>
          <w:ilvl w:val="0"/>
          <w:numId w:val="1"/>
        </w:numPr>
        <w:spacing w:line="360" w:lineRule="auto"/>
        <w:jc w:val="both"/>
        <w:rPr>
          <w:rFonts w:ascii="Arial" w:eastAsia="Arial" w:hAnsi="Arial" w:cs="Arial"/>
          <w:sz w:val="22"/>
          <w:szCs w:val="22"/>
        </w:rPr>
      </w:pPr>
      <w:r w:rsidRPr="000145CE">
        <w:rPr>
          <w:rFonts w:ascii="Arial" w:eastAsia="Arial" w:hAnsi="Arial" w:cs="Arial"/>
          <w:sz w:val="22"/>
          <w:szCs w:val="22"/>
        </w:rPr>
        <w:t>To define and examine ACEs, including common forms of early-life trauma such as abuse, neglect and household dysfunction.</w:t>
      </w:r>
    </w:p>
    <w:p w14:paraId="4165F9A0" w14:textId="77777777" w:rsidR="00BC6FC6" w:rsidRPr="000145CE" w:rsidRDefault="00BC6FC6" w:rsidP="00BC6FC6">
      <w:pPr>
        <w:pStyle w:val="ListParagraph"/>
        <w:numPr>
          <w:ilvl w:val="0"/>
          <w:numId w:val="1"/>
        </w:numPr>
        <w:spacing w:line="360" w:lineRule="auto"/>
        <w:jc w:val="both"/>
        <w:rPr>
          <w:rFonts w:ascii="Arial" w:eastAsia="Arial" w:hAnsi="Arial" w:cs="Arial"/>
          <w:sz w:val="22"/>
          <w:szCs w:val="22"/>
        </w:rPr>
      </w:pPr>
      <w:r w:rsidRPr="000145CE">
        <w:rPr>
          <w:rFonts w:ascii="Arial" w:eastAsia="Arial" w:hAnsi="Arial" w:cs="Arial"/>
          <w:sz w:val="22"/>
          <w:szCs w:val="22"/>
        </w:rPr>
        <w:t>To analyse the relationship between ACEs and adult physical health conditions, such as cardiovascular disease, diabetes, obesity and immune-related disorders.</w:t>
      </w:r>
    </w:p>
    <w:p w14:paraId="002635C9" w14:textId="77777777" w:rsidR="00BC6FC6" w:rsidRPr="000145CE" w:rsidRDefault="00BC6FC6" w:rsidP="00BC6FC6">
      <w:pPr>
        <w:pStyle w:val="ListParagraph"/>
        <w:numPr>
          <w:ilvl w:val="0"/>
          <w:numId w:val="1"/>
        </w:numPr>
        <w:spacing w:line="360" w:lineRule="auto"/>
        <w:jc w:val="both"/>
        <w:rPr>
          <w:rFonts w:ascii="Arial" w:eastAsia="Arial" w:hAnsi="Arial" w:cs="Arial"/>
          <w:sz w:val="22"/>
          <w:szCs w:val="22"/>
        </w:rPr>
      </w:pPr>
      <w:r w:rsidRPr="000145CE">
        <w:rPr>
          <w:rFonts w:ascii="Arial" w:eastAsia="Arial" w:hAnsi="Arial" w:cs="Arial"/>
          <w:sz w:val="22"/>
          <w:szCs w:val="22"/>
        </w:rPr>
        <w:t>To evaluate evidence on how prolonged stress exposure may affect biological systems and long-term health outcomes.</w:t>
      </w:r>
    </w:p>
    <w:p w14:paraId="54EA1E82" w14:textId="77777777" w:rsidR="00BC6FC6" w:rsidRPr="000145CE" w:rsidRDefault="00BC6FC6" w:rsidP="00BC6FC6">
      <w:pPr>
        <w:pStyle w:val="ListParagraph"/>
        <w:numPr>
          <w:ilvl w:val="0"/>
          <w:numId w:val="1"/>
        </w:numPr>
        <w:spacing w:line="360" w:lineRule="auto"/>
        <w:jc w:val="both"/>
        <w:rPr>
          <w:rFonts w:ascii="Arial" w:hAnsi="Arial" w:cs="Arial"/>
          <w:color w:val="000000"/>
          <w:sz w:val="22"/>
          <w:szCs w:val="22"/>
        </w:rPr>
      </w:pPr>
      <w:r w:rsidRPr="000145CE">
        <w:rPr>
          <w:rFonts w:ascii="Arial" w:eastAsia="Arial" w:hAnsi="Arial" w:cs="Arial"/>
          <w:sz w:val="22"/>
          <w:szCs w:val="22"/>
        </w:rPr>
        <w:t>To provide recommendations for health and social care professionals to support prevention, early intervention and trauma-informed practice.</w:t>
      </w:r>
    </w:p>
    <w:p w14:paraId="34A14DCD" w14:textId="77777777" w:rsidR="00BC6FC6" w:rsidRPr="000145CE" w:rsidRDefault="00BC6FC6" w:rsidP="00BC6FC6">
      <w:pPr>
        <w:pStyle w:val="ListParagraph"/>
        <w:spacing w:line="360" w:lineRule="auto"/>
        <w:ind w:left="380"/>
        <w:jc w:val="both"/>
        <w:rPr>
          <w:rFonts w:ascii="Arial" w:hAnsi="Arial" w:cs="Arial"/>
          <w:sz w:val="22"/>
          <w:szCs w:val="22"/>
        </w:rPr>
      </w:pPr>
    </w:p>
    <w:p w14:paraId="2B327AE7" w14:textId="77777777" w:rsidR="00BC6FC6" w:rsidRPr="000145CE" w:rsidRDefault="00BC6FC6" w:rsidP="00BC6FC6">
      <w:pPr>
        <w:pStyle w:val="Heading2"/>
        <w:spacing w:line="360" w:lineRule="auto"/>
        <w:jc w:val="both"/>
        <w:rPr>
          <w:rFonts w:ascii="Arial" w:hAnsi="Arial" w:cs="Arial"/>
          <w:b/>
          <w:bCs/>
          <w:color w:val="000000" w:themeColor="text1"/>
          <w:sz w:val="22"/>
          <w:szCs w:val="22"/>
        </w:rPr>
      </w:pPr>
      <w:bookmarkStart w:id="0" w:name="_Toc231213480"/>
      <w:r w:rsidRPr="00224FC1">
        <w:rPr>
          <w:rFonts w:ascii="Arial" w:hAnsi="Arial" w:cs="Arial"/>
          <w:b/>
          <w:bCs/>
          <w:color w:val="000000" w:themeColor="text1"/>
          <w:sz w:val="22"/>
          <w:szCs w:val="22"/>
        </w:rPr>
        <w:t>1.6 Conclusion</w:t>
      </w:r>
      <w:bookmarkEnd w:id="0"/>
      <w:r w:rsidRPr="000145CE">
        <w:rPr>
          <w:rFonts w:ascii="Arial" w:hAnsi="Arial" w:cs="Arial"/>
          <w:b/>
          <w:bCs/>
          <w:color w:val="000000" w:themeColor="text1"/>
          <w:sz w:val="22"/>
          <w:szCs w:val="22"/>
        </w:rPr>
        <w:t xml:space="preserve"> </w:t>
      </w:r>
    </w:p>
    <w:p w14:paraId="0ED77F31" w14:textId="77777777" w:rsidR="00175977" w:rsidRDefault="00BC6FC6" w:rsidP="00BC6FC6">
      <w:pPr>
        <w:spacing w:line="360" w:lineRule="auto"/>
        <w:jc w:val="both"/>
        <w:rPr>
          <w:rFonts w:ascii="Arial" w:eastAsia="Arial" w:hAnsi="Arial" w:cs="Arial"/>
          <w:sz w:val="22"/>
          <w:szCs w:val="22"/>
        </w:rPr>
      </w:pPr>
      <w:r w:rsidRPr="000145CE">
        <w:rPr>
          <w:rFonts w:ascii="Arial" w:eastAsia="Arial" w:hAnsi="Arial" w:cs="Arial"/>
          <w:sz w:val="22"/>
          <w:szCs w:val="22"/>
        </w:rPr>
        <w:t xml:space="preserve">This chapter has brought the concept of adverse childhood experiences (ACEs) and the connection they have to lifelong physical health consequences in adulthood. It has set an aim for the study, clarified key concepts and terminology, explained the reason for the research and the objectives of the research. All of these make for a straightforward structure of the dissertation and point to the importance of being aware of the impact of childhood adversity. </w:t>
      </w:r>
      <w:r w:rsidRPr="000145CE">
        <w:rPr>
          <w:rFonts w:ascii="Arial" w:eastAsia="Arial" w:hAnsi="Arial" w:cs="Arial"/>
          <w:sz w:val="22"/>
          <w:szCs w:val="22"/>
        </w:rPr>
        <w:lastRenderedPageBreak/>
        <w:t>The next chapter will offer background and analysis, detailing the historical and theoretical context and the international and UK context of ACEs and adult physical health outcomes.</w:t>
      </w:r>
    </w:p>
    <w:p w14:paraId="6CB2030E" w14:textId="77777777" w:rsidR="00175977" w:rsidRDefault="00175977" w:rsidP="00BC6FC6">
      <w:pPr>
        <w:spacing w:line="360" w:lineRule="auto"/>
        <w:jc w:val="both"/>
        <w:rPr>
          <w:rFonts w:ascii="Arial" w:eastAsia="Arial" w:hAnsi="Arial" w:cs="Arial"/>
          <w:sz w:val="22"/>
          <w:szCs w:val="22"/>
        </w:rPr>
      </w:pPr>
    </w:p>
    <w:p w14:paraId="042C3098" w14:textId="77777777" w:rsidR="00175977" w:rsidRPr="0030352A" w:rsidRDefault="00175977" w:rsidP="00175977">
      <w:pPr>
        <w:pStyle w:val="Heading1"/>
        <w:spacing w:line="360" w:lineRule="auto"/>
        <w:jc w:val="both"/>
        <w:rPr>
          <w:rFonts w:ascii="Arial" w:eastAsia="Aptos" w:hAnsi="Arial" w:cs="Arial"/>
          <w:b/>
          <w:bCs/>
          <w:color w:val="000000" w:themeColor="text1"/>
          <w:sz w:val="22"/>
          <w:szCs w:val="22"/>
        </w:rPr>
      </w:pPr>
      <w:r w:rsidRPr="0030352A">
        <w:rPr>
          <w:rFonts w:ascii="Arial" w:eastAsia="Aptos" w:hAnsi="Arial" w:cs="Arial"/>
          <w:b/>
          <w:bCs/>
          <w:color w:val="000000" w:themeColor="text1"/>
          <w:sz w:val="22"/>
          <w:szCs w:val="22"/>
        </w:rPr>
        <w:t>CHAPTER 2 – Background Information and Analysis</w:t>
      </w:r>
    </w:p>
    <w:p w14:paraId="6E7FA068" w14:textId="77777777" w:rsidR="00175977" w:rsidRPr="0030352A" w:rsidRDefault="00175977" w:rsidP="00175977">
      <w:pPr>
        <w:pStyle w:val="Heading2"/>
        <w:spacing w:line="360" w:lineRule="auto"/>
        <w:jc w:val="both"/>
        <w:rPr>
          <w:rFonts w:ascii="Arial" w:hAnsi="Arial" w:cs="Arial"/>
          <w:b/>
          <w:bCs/>
          <w:color w:val="000000" w:themeColor="text1"/>
          <w:sz w:val="22"/>
          <w:szCs w:val="22"/>
        </w:rPr>
      </w:pPr>
      <w:r w:rsidRPr="0030352A">
        <w:rPr>
          <w:rFonts w:ascii="Arial" w:hAnsi="Arial" w:cs="Arial"/>
          <w:b/>
          <w:bCs/>
          <w:color w:val="000000" w:themeColor="text1"/>
          <w:sz w:val="22"/>
          <w:szCs w:val="22"/>
        </w:rPr>
        <w:t xml:space="preserve">2.1 Introduction </w:t>
      </w:r>
    </w:p>
    <w:p w14:paraId="3139A7C0" w14:textId="77777777" w:rsidR="00175977" w:rsidRPr="009343E1" w:rsidRDefault="00175977" w:rsidP="00175977">
      <w:pPr>
        <w:spacing w:line="360" w:lineRule="auto"/>
        <w:jc w:val="both"/>
        <w:rPr>
          <w:rFonts w:ascii="Arial" w:eastAsia="Arial" w:hAnsi="Arial" w:cs="Arial"/>
          <w:sz w:val="22"/>
          <w:szCs w:val="22"/>
        </w:rPr>
      </w:pPr>
      <w:r w:rsidRPr="009343E1">
        <w:rPr>
          <w:rFonts w:ascii="Arial" w:eastAsia="Arial" w:hAnsi="Arial" w:cs="Arial"/>
          <w:sz w:val="22"/>
          <w:szCs w:val="22"/>
        </w:rPr>
        <w:t>This chapter's purpose is to offer a detailed overview of the research looking at how adverse childhood experiences (ACEs) may influence long-term health outcomes in adulthood. This chapter provides the essential background information necessary to conduct the research by looking at its historical genesis, how it has developed over time in health/social care policy and practice, and how it relates to both the larger international (non-UK) and UK contexts. This chapter also looks at how ACEs are addressed within various country/regional health care systems through policy and service delivery, including examples of best practices through various British umbrella organisations as models of best practice.</w:t>
      </w:r>
    </w:p>
    <w:p w14:paraId="0BE52EDE" w14:textId="77777777" w:rsidR="00175977" w:rsidRPr="003A321F" w:rsidRDefault="00175977" w:rsidP="00175977">
      <w:pPr>
        <w:pStyle w:val="Heading2"/>
        <w:spacing w:line="360" w:lineRule="auto"/>
        <w:jc w:val="both"/>
        <w:rPr>
          <w:rFonts w:ascii="Arial" w:hAnsi="Arial" w:cs="Arial"/>
          <w:b/>
          <w:bCs/>
          <w:color w:val="000000" w:themeColor="text1"/>
          <w:sz w:val="22"/>
          <w:szCs w:val="22"/>
        </w:rPr>
      </w:pPr>
      <w:r w:rsidRPr="000A747B">
        <w:rPr>
          <w:rFonts w:ascii="Arial" w:hAnsi="Arial" w:cs="Arial"/>
          <w:b/>
          <w:bCs/>
          <w:color w:val="000000" w:themeColor="text1"/>
          <w:sz w:val="22"/>
          <w:szCs w:val="22"/>
        </w:rPr>
        <w:t>2.2 Historical Background</w:t>
      </w:r>
      <w:r w:rsidRPr="003A321F">
        <w:rPr>
          <w:rFonts w:ascii="Arial" w:hAnsi="Arial" w:cs="Arial"/>
          <w:b/>
          <w:bCs/>
          <w:color w:val="000000" w:themeColor="text1"/>
          <w:sz w:val="22"/>
          <w:szCs w:val="22"/>
        </w:rPr>
        <w:t xml:space="preserve"> </w:t>
      </w:r>
    </w:p>
    <w:p w14:paraId="7243C460" w14:textId="46AAF3E0" w:rsidR="00175977" w:rsidRPr="009343E1" w:rsidRDefault="00175977" w:rsidP="00175977">
      <w:pPr>
        <w:spacing w:line="360" w:lineRule="auto"/>
        <w:jc w:val="both"/>
        <w:rPr>
          <w:rFonts w:ascii="Arial" w:eastAsia="Arial" w:hAnsi="Arial" w:cs="Arial"/>
          <w:sz w:val="22"/>
          <w:szCs w:val="22"/>
        </w:rPr>
      </w:pPr>
      <w:r w:rsidRPr="009343E1">
        <w:rPr>
          <w:rFonts w:ascii="Arial" w:eastAsia="Arial" w:hAnsi="Arial" w:cs="Arial"/>
          <w:sz w:val="22"/>
          <w:szCs w:val="22"/>
        </w:rPr>
        <w:t xml:space="preserve">Adverse childhood experiences (ACEs) are based on a growing awareness of the impact of childhood settings on health and well-being across the lifespan. Historically, child abuse, neglect and family dysfunction were often viewed as a family issue as opposed to a public health issue. While little attention was paid to the long-term impacts of childhood trauma before the 19th and 20th centuries, growing interest in the welfare and mental health of children has led to a body of research and advocacy that examines the impact of adverse experiences on children (Afifi </w:t>
      </w:r>
      <w:r w:rsidRPr="009343E1">
        <w:rPr>
          <w:rFonts w:ascii="Arial" w:eastAsia="Arial" w:hAnsi="Arial" w:cs="Arial"/>
          <w:i/>
          <w:iCs/>
          <w:sz w:val="22"/>
          <w:szCs w:val="22"/>
        </w:rPr>
        <w:t xml:space="preserve">et al., </w:t>
      </w:r>
      <w:r w:rsidRPr="009343E1">
        <w:rPr>
          <w:rFonts w:ascii="Arial" w:eastAsia="Arial" w:hAnsi="Arial" w:cs="Arial"/>
          <w:sz w:val="22"/>
          <w:szCs w:val="22"/>
        </w:rPr>
        <w:t>20</w:t>
      </w:r>
      <w:r>
        <w:rPr>
          <w:rFonts w:ascii="Arial" w:eastAsia="Arial" w:hAnsi="Arial" w:cs="Arial"/>
          <w:sz w:val="22"/>
          <w:szCs w:val="22"/>
        </w:rPr>
        <w:t>22</w:t>
      </w:r>
      <w:r w:rsidRPr="009343E1">
        <w:rPr>
          <w:rFonts w:ascii="Arial" w:eastAsia="Arial" w:hAnsi="Arial" w:cs="Arial"/>
          <w:sz w:val="22"/>
          <w:szCs w:val="22"/>
        </w:rPr>
        <w:t xml:space="preserve">). A major turning point occurred in the 1960s when medical professionals began to recognise child abuse as a social issue with public health consequences. </w:t>
      </w:r>
      <w:proofErr w:type="gramStart"/>
      <w:r w:rsidRPr="009343E1">
        <w:rPr>
          <w:rFonts w:ascii="Arial" w:eastAsia="Arial" w:hAnsi="Arial" w:cs="Arial"/>
          <w:sz w:val="22"/>
          <w:szCs w:val="22"/>
        </w:rPr>
        <w:t>In particular, paediatrician</w:t>
      </w:r>
      <w:proofErr w:type="gramEnd"/>
      <w:r w:rsidRPr="009343E1">
        <w:rPr>
          <w:rFonts w:ascii="Arial" w:eastAsia="Arial" w:hAnsi="Arial" w:cs="Arial"/>
          <w:sz w:val="22"/>
          <w:szCs w:val="22"/>
        </w:rPr>
        <w:t xml:space="preserve"> C. Henry Kempe's publication of research on battered child syndrome helped to illuminate the extent and severity of child maltreatment and enhance public recognition of its existence, leading to the development of child protection systems in many nations (Almeida </w:t>
      </w:r>
      <w:r w:rsidRPr="009343E1">
        <w:rPr>
          <w:rFonts w:ascii="Arial" w:eastAsia="Arial" w:hAnsi="Arial" w:cs="Arial"/>
          <w:i/>
          <w:iCs/>
          <w:sz w:val="22"/>
          <w:szCs w:val="22"/>
        </w:rPr>
        <w:t>et al.,</w:t>
      </w:r>
      <w:r w:rsidRPr="009343E1">
        <w:rPr>
          <w:rFonts w:ascii="Arial" w:eastAsia="Arial" w:hAnsi="Arial" w:cs="Arial"/>
          <w:sz w:val="22"/>
          <w:szCs w:val="22"/>
        </w:rPr>
        <w:t xml:space="preserve"> 2024). The evidence base for child maltreatment expanded to include emotional maltreatment, neglect, domestic violence, parental substance misuse, and other forms of household dysfunction.</w:t>
      </w:r>
    </w:p>
    <w:p w14:paraId="2CD18CE3" w14:textId="30A2D0EE" w:rsidR="00175977" w:rsidRPr="009343E1" w:rsidRDefault="00175977" w:rsidP="00175977">
      <w:pPr>
        <w:spacing w:line="360" w:lineRule="auto"/>
        <w:jc w:val="both"/>
        <w:rPr>
          <w:rFonts w:ascii="Arial" w:eastAsia="Arial" w:hAnsi="Arial" w:cs="Arial"/>
          <w:sz w:val="22"/>
          <w:szCs w:val="22"/>
        </w:rPr>
      </w:pPr>
      <w:r w:rsidRPr="009343E1">
        <w:rPr>
          <w:rFonts w:ascii="Arial" w:eastAsia="Arial" w:hAnsi="Arial" w:cs="Arial"/>
          <w:sz w:val="22"/>
          <w:szCs w:val="22"/>
        </w:rPr>
        <w:t xml:space="preserve">The most significant advancement occurred in the </w:t>
      </w:r>
      <w:r w:rsidR="007B5A60">
        <w:rPr>
          <w:rFonts w:ascii="Arial" w:eastAsia="Arial" w:hAnsi="Arial" w:cs="Arial"/>
          <w:sz w:val="22"/>
          <w:szCs w:val="22"/>
        </w:rPr>
        <w:t>1990s, when the Adverse Childhood Experiences Study was conducted by the Centres for Disease Control and Prevention (CDC) and Kaiser Permanente, which examined</w:t>
      </w:r>
      <w:r w:rsidRPr="009343E1">
        <w:rPr>
          <w:rFonts w:ascii="Arial" w:eastAsia="Arial" w:hAnsi="Arial" w:cs="Arial"/>
          <w:sz w:val="22"/>
          <w:szCs w:val="22"/>
        </w:rPr>
        <w:t xml:space="preserve"> the relationship between childhood trauma and the health outcomes of over 17,000 adults. This study, led by Drs. Vincent Felitti and Robert Anda, found high levels of childhood trauma were associated with an increased likelihood of chronic health conditions, including heart disease, diabetes, obesity and cancer (Deneault </w:t>
      </w:r>
      <w:r w:rsidRPr="009343E1">
        <w:rPr>
          <w:rFonts w:ascii="Arial" w:eastAsia="Arial" w:hAnsi="Arial" w:cs="Arial"/>
          <w:i/>
          <w:iCs/>
          <w:sz w:val="22"/>
          <w:szCs w:val="22"/>
        </w:rPr>
        <w:t>et al.,</w:t>
      </w:r>
      <w:r w:rsidRPr="009343E1">
        <w:rPr>
          <w:rFonts w:ascii="Arial" w:eastAsia="Arial" w:hAnsi="Arial" w:cs="Arial"/>
          <w:sz w:val="22"/>
          <w:szCs w:val="22"/>
        </w:rPr>
        <w:t xml:space="preserve"> </w:t>
      </w:r>
      <w:r w:rsidRPr="009343E1">
        <w:rPr>
          <w:rFonts w:ascii="Arial" w:eastAsia="Arial" w:hAnsi="Arial" w:cs="Arial"/>
          <w:sz w:val="22"/>
          <w:szCs w:val="22"/>
        </w:rPr>
        <w:lastRenderedPageBreak/>
        <w:t>2025)</w:t>
      </w:r>
      <w:proofErr w:type="gramStart"/>
      <w:r w:rsidRPr="009343E1">
        <w:rPr>
          <w:rFonts w:ascii="Arial" w:eastAsia="Arial" w:hAnsi="Arial" w:cs="Arial"/>
          <w:sz w:val="22"/>
          <w:szCs w:val="22"/>
        </w:rPr>
        <w:t xml:space="preserve">.  </w:t>
      </w:r>
      <w:proofErr w:type="gramEnd"/>
      <w:r w:rsidRPr="009343E1">
        <w:rPr>
          <w:rFonts w:ascii="Arial" w:eastAsia="Arial" w:hAnsi="Arial" w:cs="Arial"/>
          <w:sz w:val="22"/>
          <w:szCs w:val="22"/>
        </w:rPr>
        <w:t>This study influenced many people's view of trauma from childhood as a public health issue, not just a social welfare issue.</w:t>
      </w:r>
    </w:p>
    <w:p w14:paraId="7E16BD99" w14:textId="5F944AAC" w:rsidR="00175977" w:rsidRPr="009343E1" w:rsidRDefault="00175977" w:rsidP="00175977">
      <w:pPr>
        <w:spacing w:line="360" w:lineRule="auto"/>
        <w:jc w:val="both"/>
        <w:rPr>
          <w:rFonts w:ascii="Arial" w:eastAsia="Arial" w:hAnsi="Arial" w:cs="Arial"/>
          <w:sz w:val="22"/>
          <w:szCs w:val="22"/>
        </w:rPr>
      </w:pPr>
      <w:r w:rsidRPr="009343E1">
        <w:rPr>
          <w:rFonts w:ascii="Arial" w:eastAsia="Arial" w:hAnsi="Arial" w:cs="Arial"/>
          <w:sz w:val="22"/>
          <w:szCs w:val="22"/>
        </w:rPr>
        <w:t xml:space="preserve">The other point of influence was from an organisation, </w:t>
      </w:r>
      <w:r w:rsidR="004F6167">
        <w:rPr>
          <w:rFonts w:ascii="Arial" w:eastAsia="Arial" w:hAnsi="Arial" w:cs="Arial"/>
          <w:sz w:val="22"/>
          <w:szCs w:val="22"/>
        </w:rPr>
        <w:t>such as</w:t>
      </w:r>
      <w:r w:rsidRPr="009343E1">
        <w:rPr>
          <w:rFonts w:ascii="Arial" w:eastAsia="Arial" w:hAnsi="Arial" w:cs="Arial"/>
          <w:sz w:val="22"/>
          <w:szCs w:val="22"/>
        </w:rPr>
        <w:t xml:space="preserve"> the CDC or the World Health Organisation (WHO), wh</w:t>
      </w:r>
      <w:r w:rsidR="004F6167">
        <w:rPr>
          <w:rFonts w:ascii="Arial" w:eastAsia="Arial" w:hAnsi="Arial" w:cs="Arial"/>
          <w:sz w:val="22"/>
          <w:szCs w:val="22"/>
        </w:rPr>
        <w:t>ich</w:t>
      </w:r>
      <w:r w:rsidRPr="009343E1">
        <w:rPr>
          <w:rFonts w:ascii="Arial" w:eastAsia="Arial" w:hAnsi="Arial" w:cs="Arial"/>
          <w:sz w:val="22"/>
          <w:szCs w:val="22"/>
        </w:rPr>
        <w:t xml:space="preserve"> ha</w:t>
      </w:r>
      <w:r w:rsidR="004F6167">
        <w:rPr>
          <w:rFonts w:ascii="Arial" w:eastAsia="Arial" w:hAnsi="Arial" w:cs="Arial"/>
          <w:sz w:val="22"/>
          <w:szCs w:val="22"/>
        </w:rPr>
        <w:t>s</w:t>
      </w:r>
      <w:r w:rsidRPr="009343E1">
        <w:rPr>
          <w:rFonts w:ascii="Arial" w:eastAsia="Arial" w:hAnsi="Arial" w:cs="Arial"/>
          <w:sz w:val="22"/>
          <w:szCs w:val="22"/>
        </w:rPr>
        <w:t xml:space="preserve"> been instrumental in providing education to the </w:t>
      </w:r>
      <w:proofErr w:type="gramStart"/>
      <w:r w:rsidRPr="009343E1">
        <w:rPr>
          <w:rFonts w:ascii="Arial" w:eastAsia="Arial" w:hAnsi="Arial" w:cs="Arial"/>
          <w:sz w:val="22"/>
          <w:szCs w:val="22"/>
        </w:rPr>
        <w:t>general public</w:t>
      </w:r>
      <w:proofErr w:type="gramEnd"/>
      <w:r w:rsidRPr="009343E1">
        <w:rPr>
          <w:rFonts w:ascii="Arial" w:eastAsia="Arial" w:hAnsi="Arial" w:cs="Arial"/>
          <w:sz w:val="22"/>
          <w:szCs w:val="22"/>
        </w:rPr>
        <w:t xml:space="preserve"> regarding childhood trauma, its effects and its treatment. The WHO has emphasised the importance of childhood trauma early on in a child's life (WHO, 2020). Both organisations are working with governments and other health providers in providing evidence-based strategies for the treatment of childhood trauma and its long-lasting effects.</w:t>
      </w:r>
    </w:p>
    <w:p w14:paraId="49748E51" w14:textId="51C3B80E" w:rsidR="00175977" w:rsidRPr="007F175F" w:rsidRDefault="00175977" w:rsidP="00175977">
      <w:pPr>
        <w:spacing w:line="360" w:lineRule="auto"/>
        <w:jc w:val="both"/>
        <w:rPr>
          <w:rFonts w:ascii="Arial" w:eastAsia="Arial" w:hAnsi="Arial" w:cs="Arial"/>
          <w:sz w:val="22"/>
          <w:szCs w:val="22"/>
        </w:rPr>
      </w:pPr>
      <w:r w:rsidRPr="009343E1">
        <w:rPr>
          <w:rFonts w:ascii="Arial" w:eastAsia="Arial" w:hAnsi="Arial" w:cs="Arial"/>
          <w:sz w:val="22"/>
          <w:szCs w:val="22"/>
        </w:rPr>
        <w:t xml:space="preserve">Understanding of ACEs has also grown with theoretical developments. The study of the neuroscience </w:t>
      </w:r>
      <w:r w:rsidR="004F6167">
        <w:rPr>
          <w:rFonts w:ascii="Arial" w:eastAsia="Arial" w:hAnsi="Arial" w:cs="Arial"/>
          <w:sz w:val="22"/>
          <w:szCs w:val="22"/>
        </w:rPr>
        <w:t>of</w:t>
      </w:r>
      <w:r w:rsidRPr="009343E1">
        <w:rPr>
          <w:rFonts w:ascii="Arial" w:eastAsia="Arial" w:hAnsi="Arial" w:cs="Arial"/>
          <w:sz w:val="22"/>
          <w:szCs w:val="22"/>
        </w:rPr>
        <w:t xml:space="preserve"> prolonged </w:t>
      </w:r>
      <w:r w:rsidR="004F6167">
        <w:rPr>
          <w:rFonts w:ascii="Arial" w:eastAsia="Arial" w:hAnsi="Arial" w:cs="Arial"/>
          <w:sz w:val="22"/>
          <w:szCs w:val="22"/>
        </w:rPr>
        <w:t>childhood</w:t>
      </w:r>
      <w:r w:rsidRPr="009343E1">
        <w:rPr>
          <w:rFonts w:ascii="Arial" w:eastAsia="Arial" w:hAnsi="Arial" w:cs="Arial"/>
          <w:sz w:val="22"/>
          <w:szCs w:val="22"/>
        </w:rPr>
        <w:t xml:space="preserve"> stress has revealed that this disruption affects brain development and physiological functioning. Toxic stress (as defined by child development researchers), </w:t>
      </w:r>
      <w:r w:rsidR="000C4D85">
        <w:rPr>
          <w:rFonts w:ascii="Arial" w:eastAsia="Arial" w:hAnsi="Arial" w:cs="Arial"/>
          <w:sz w:val="22"/>
          <w:szCs w:val="22"/>
        </w:rPr>
        <w:t>in which</w:t>
      </w:r>
      <w:r w:rsidRPr="009343E1">
        <w:rPr>
          <w:rFonts w:ascii="Arial" w:eastAsia="Arial" w:hAnsi="Arial" w:cs="Arial"/>
          <w:sz w:val="22"/>
          <w:szCs w:val="22"/>
        </w:rPr>
        <w:t xml:space="preserve"> chronic stress response systems are activated, has the potential to damage the cardiovascular, immune, and endocrine systems (Public Health England, 2019). These developments have made ACEs a significant focus of research in the field of health and social care, which now informs current policy, prevention strategies, and trauma- informed interventions on a global scale.</w:t>
      </w:r>
    </w:p>
    <w:p w14:paraId="17849D4F" w14:textId="77777777" w:rsidR="00175977" w:rsidRPr="005E0E99" w:rsidRDefault="00175977" w:rsidP="00175977">
      <w:pPr>
        <w:pStyle w:val="Heading2"/>
        <w:spacing w:line="360" w:lineRule="auto"/>
        <w:jc w:val="both"/>
        <w:rPr>
          <w:rFonts w:ascii="Arial" w:hAnsi="Arial" w:cs="Arial"/>
          <w:b/>
          <w:bCs/>
          <w:color w:val="000000" w:themeColor="text1"/>
          <w:sz w:val="22"/>
          <w:szCs w:val="22"/>
        </w:rPr>
      </w:pPr>
      <w:r w:rsidRPr="00C97396">
        <w:rPr>
          <w:rFonts w:ascii="Arial" w:hAnsi="Arial" w:cs="Arial"/>
          <w:b/>
          <w:bCs/>
          <w:color w:val="000000" w:themeColor="text1"/>
          <w:sz w:val="22"/>
          <w:szCs w:val="22"/>
        </w:rPr>
        <w:t>2.3 Theoretical Background</w:t>
      </w:r>
      <w:r w:rsidRPr="003A321F">
        <w:rPr>
          <w:rFonts w:ascii="Arial" w:hAnsi="Arial" w:cs="Arial"/>
          <w:b/>
          <w:bCs/>
          <w:color w:val="000000" w:themeColor="text1"/>
          <w:sz w:val="22"/>
          <w:szCs w:val="22"/>
        </w:rPr>
        <w:t xml:space="preserve"> </w:t>
      </w:r>
    </w:p>
    <w:p w14:paraId="5593980B" w14:textId="77777777" w:rsidR="00175977" w:rsidRPr="00EF57AB" w:rsidRDefault="00175977" w:rsidP="00175977">
      <w:pPr>
        <w:spacing w:line="360" w:lineRule="auto"/>
        <w:jc w:val="both"/>
        <w:rPr>
          <w:rFonts w:ascii="Arial" w:eastAsia="Arial" w:hAnsi="Arial" w:cs="Arial"/>
          <w:color w:val="000000" w:themeColor="text1"/>
          <w:sz w:val="22"/>
          <w:szCs w:val="22"/>
        </w:rPr>
      </w:pPr>
      <w:r w:rsidRPr="00EF57AB">
        <w:rPr>
          <w:rFonts w:ascii="Arial" w:eastAsia="Arial" w:hAnsi="Arial" w:cs="Arial"/>
          <w:color w:val="000000" w:themeColor="text1"/>
          <w:sz w:val="22"/>
          <w:szCs w:val="22"/>
        </w:rPr>
        <w:t>Several theories and concepts help explain how Adverse Childhood Experiences (ACEs) may influence long-term physical health outcomes in adulthood. These theories provide a framework for understanding the relationship between early adversity, emotional development, stress regulation and health across the life course.</w:t>
      </w:r>
    </w:p>
    <w:p w14:paraId="1A3CCE9E" w14:textId="77777777" w:rsidR="00175977" w:rsidRPr="00EF57AB" w:rsidRDefault="00175977" w:rsidP="00175977">
      <w:pPr>
        <w:spacing w:line="360" w:lineRule="auto"/>
        <w:jc w:val="both"/>
        <w:rPr>
          <w:rFonts w:ascii="Arial" w:eastAsia="Arial" w:hAnsi="Arial" w:cs="Arial"/>
          <w:color w:val="000000" w:themeColor="text1"/>
          <w:sz w:val="22"/>
          <w:szCs w:val="22"/>
        </w:rPr>
      </w:pPr>
      <w:r w:rsidRPr="00EF57AB">
        <w:rPr>
          <w:rFonts w:ascii="Arial" w:eastAsia="Arial" w:hAnsi="Arial" w:cs="Arial"/>
          <w:color w:val="000000" w:themeColor="text1"/>
          <w:sz w:val="22"/>
          <w:szCs w:val="22"/>
        </w:rPr>
        <w:t>Attachment Theory, originally developed by Bowlby (1969), suggests that children’s emotional and social development is strongly shaped by the quality of early relationships with caregivers. Secure attachments can support emotional safety, trust and healthy stress regulation, while inconsistent, neglectful or harmful caregiving may contribute to insecure attachment patterns (</w:t>
      </w:r>
      <w:proofErr w:type="spellStart"/>
      <w:r w:rsidRPr="00EF57AB">
        <w:rPr>
          <w:rFonts w:ascii="Arial" w:eastAsia="Arial" w:hAnsi="Arial" w:cs="Arial"/>
          <w:color w:val="000000" w:themeColor="text1"/>
          <w:sz w:val="22"/>
          <w:szCs w:val="22"/>
        </w:rPr>
        <w:t>Eruyar</w:t>
      </w:r>
      <w:proofErr w:type="spellEnd"/>
      <w:r w:rsidRPr="00EF57AB">
        <w:rPr>
          <w:rFonts w:ascii="Arial" w:eastAsia="Arial" w:hAnsi="Arial" w:cs="Arial"/>
          <w:color w:val="000000" w:themeColor="text1"/>
          <w:sz w:val="22"/>
          <w:szCs w:val="22"/>
        </w:rPr>
        <w:t xml:space="preserve">, Yılmaz and </w:t>
      </w:r>
      <w:proofErr w:type="spellStart"/>
      <w:r w:rsidRPr="00EF57AB">
        <w:rPr>
          <w:rFonts w:ascii="Arial" w:eastAsia="Arial" w:hAnsi="Arial" w:cs="Arial"/>
          <w:color w:val="000000" w:themeColor="text1"/>
          <w:sz w:val="22"/>
          <w:szCs w:val="22"/>
        </w:rPr>
        <w:t>Vostanis</w:t>
      </w:r>
      <w:proofErr w:type="spellEnd"/>
      <w:r w:rsidRPr="00EF57AB">
        <w:rPr>
          <w:rFonts w:ascii="Arial" w:eastAsia="Arial" w:hAnsi="Arial" w:cs="Arial"/>
          <w:color w:val="000000" w:themeColor="text1"/>
          <w:sz w:val="22"/>
          <w:szCs w:val="22"/>
        </w:rPr>
        <w:t>, 2023). In relation to ACEs, this theory is useful because experiences such as abuse, neglect or household dysfunction may disrupt early attachment relationships. This can affect how children manage emotions, respond to stress and form relationships later in life, which may indirectly influence adult physical health through stress-related behaviours and reduced access to supportive relationships.</w:t>
      </w:r>
    </w:p>
    <w:p w14:paraId="29CF371A" w14:textId="64BFD97B" w:rsidR="00175977" w:rsidRPr="00EF57AB" w:rsidRDefault="00175977" w:rsidP="00175977">
      <w:pPr>
        <w:spacing w:line="360" w:lineRule="auto"/>
        <w:jc w:val="both"/>
        <w:rPr>
          <w:rFonts w:ascii="Arial" w:eastAsia="Arial" w:hAnsi="Arial" w:cs="Arial"/>
          <w:color w:val="000000" w:themeColor="text1"/>
          <w:sz w:val="22"/>
          <w:szCs w:val="22"/>
        </w:rPr>
      </w:pPr>
      <w:r w:rsidRPr="00EF57AB">
        <w:rPr>
          <w:rFonts w:ascii="Arial" w:eastAsia="Arial" w:hAnsi="Arial" w:cs="Arial"/>
          <w:color w:val="000000" w:themeColor="text1"/>
          <w:sz w:val="22"/>
          <w:szCs w:val="22"/>
        </w:rPr>
        <w:t xml:space="preserve">Life Course Theory is also relevant because it suggests that health outcomes are shaped by experiences across the lifespan, particularly during sensitive periods of development (Elder, 1998; Zhang et al., 2024). From this perspective, ACEs can create </w:t>
      </w:r>
      <w:r w:rsidR="00D00817">
        <w:rPr>
          <w:rFonts w:ascii="Arial" w:eastAsia="Arial" w:hAnsi="Arial" w:cs="Arial"/>
          <w:color w:val="000000" w:themeColor="text1"/>
          <w:sz w:val="22"/>
          <w:szCs w:val="22"/>
        </w:rPr>
        <w:t xml:space="preserve">an </w:t>
      </w:r>
      <w:r w:rsidRPr="00EF57AB">
        <w:rPr>
          <w:rFonts w:ascii="Arial" w:eastAsia="Arial" w:hAnsi="Arial" w:cs="Arial"/>
          <w:color w:val="000000" w:themeColor="text1"/>
          <w:sz w:val="22"/>
          <w:szCs w:val="22"/>
        </w:rPr>
        <w:t xml:space="preserve">early disadvantage that accumulates over time, increasing vulnerability to chronic illness in adulthood. This closely </w:t>
      </w:r>
      <w:r w:rsidR="00D00817">
        <w:rPr>
          <w:rFonts w:ascii="Arial" w:eastAsia="Arial" w:hAnsi="Arial" w:cs="Arial"/>
          <w:color w:val="000000" w:themeColor="text1"/>
          <w:sz w:val="22"/>
          <w:szCs w:val="22"/>
        </w:rPr>
        <w:t xml:space="preserve">aligns </w:t>
      </w:r>
      <w:r w:rsidRPr="00EF57AB">
        <w:rPr>
          <w:rFonts w:ascii="Arial" w:eastAsia="Arial" w:hAnsi="Arial" w:cs="Arial"/>
          <w:color w:val="000000" w:themeColor="text1"/>
          <w:sz w:val="22"/>
          <w:szCs w:val="22"/>
        </w:rPr>
        <w:t xml:space="preserve">with the original ACE Study by </w:t>
      </w:r>
      <w:proofErr w:type="spellStart"/>
      <w:r w:rsidRPr="00EF57AB">
        <w:rPr>
          <w:rFonts w:ascii="Arial" w:eastAsia="Arial" w:hAnsi="Arial" w:cs="Arial"/>
          <w:color w:val="000000" w:themeColor="text1"/>
          <w:sz w:val="22"/>
          <w:szCs w:val="22"/>
        </w:rPr>
        <w:t>Felitti</w:t>
      </w:r>
      <w:proofErr w:type="spellEnd"/>
      <w:r w:rsidRPr="00EF57AB">
        <w:rPr>
          <w:rFonts w:ascii="Arial" w:eastAsia="Arial" w:hAnsi="Arial" w:cs="Arial"/>
          <w:color w:val="000000" w:themeColor="text1"/>
          <w:sz w:val="22"/>
          <w:szCs w:val="22"/>
        </w:rPr>
        <w:t xml:space="preserve"> et al. (1998), which found a graded relationship between the number of adverse childhood experiences and later health-risk behaviours, </w:t>
      </w:r>
      <w:r w:rsidRPr="00EF57AB">
        <w:rPr>
          <w:rFonts w:ascii="Arial" w:eastAsia="Arial" w:hAnsi="Arial" w:cs="Arial"/>
          <w:color w:val="000000" w:themeColor="text1"/>
          <w:sz w:val="22"/>
          <w:szCs w:val="22"/>
        </w:rPr>
        <w:lastRenderedPageBreak/>
        <w:t>chronic disease</w:t>
      </w:r>
      <w:r w:rsidR="00D00817">
        <w:rPr>
          <w:rFonts w:ascii="Arial" w:eastAsia="Arial" w:hAnsi="Arial" w:cs="Arial"/>
          <w:color w:val="000000" w:themeColor="text1"/>
          <w:sz w:val="22"/>
          <w:szCs w:val="22"/>
        </w:rPr>
        <w:t>,</w:t>
      </w:r>
      <w:r w:rsidRPr="00EF57AB">
        <w:rPr>
          <w:rFonts w:ascii="Arial" w:eastAsia="Arial" w:hAnsi="Arial" w:cs="Arial"/>
          <w:color w:val="000000" w:themeColor="text1"/>
          <w:sz w:val="22"/>
          <w:szCs w:val="22"/>
        </w:rPr>
        <w:t xml:space="preserve"> and premature mortality. Therefore, Life Course Theory helps explain why childhood adversity should not be viewed as an isolated event, but as part of a longer pathway affecting adult health.</w:t>
      </w:r>
    </w:p>
    <w:p w14:paraId="0D81A0AA" w14:textId="2F072910" w:rsidR="00175977" w:rsidRPr="00EF57AB" w:rsidRDefault="00175977" w:rsidP="00175977">
      <w:pPr>
        <w:spacing w:line="360" w:lineRule="auto"/>
        <w:jc w:val="both"/>
        <w:rPr>
          <w:rFonts w:ascii="Arial" w:eastAsia="Arial" w:hAnsi="Arial" w:cs="Arial"/>
          <w:color w:val="000000" w:themeColor="text1"/>
          <w:sz w:val="22"/>
          <w:szCs w:val="22"/>
        </w:rPr>
      </w:pPr>
      <w:r w:rsidRPr="00EF57AB">
        <w:rPr>
          <w:rFonts w:ascii="Arial" w:eastAsia="Arial" w:hAnsi="Arial" w:cs="Arial"/>
          <w:color w:val="000000" w:themeColor="text1"/>
          <w:sz w:val="22"/>
          <w:szCs w:val="22"/>
        </w:rPr>
        <w:t>The Biopsychosocial Model, proposed by Engel (1977), argues that health is influenced by biological, psychological and social factors rather than medical factors alone. This model is particularly useful for understanding ACEs because childhood trauma may affect the body’s stress response systems, emotional well</w:t>
      </w:r>
      <w:r w:rsidR="00D00817">
        <w:rPr>
          <w:rFonts w:ascii="Arial" w:eastAsia="Arial" w:hAnsi="Arial" w:cs="Arial"/>
          <w:color w:val="000000" w:themeColor="text1"/>
          <w:sz w:val="22"/>
          <w:szCs w:val="22"/>
        </w:rPr>
        <w:t>-</w:t>
      </w:r>
      <w:r w:rsidRPr="00EF57AB">
        <w:rPr>
          <w:rFonts w:ascii="Arial" w:eastAsia="Arial" w:hAnsi="Arial" w:cs="Arial"/>
          <w:color w:val="000000" w:themeColor="text1"/>
          <w:sz w:val="22"/>
          <w:szCs w:val="22"/>
        </w:rPr>
        <w:t xml:space="preserve">being, coping behaviours, social relationships and access to support (Werthman, </w:t>
      </w:r>
      <w:proofErr w:type="spellStart"/>
      <w:r w:rsidRPr="00EF57AB">
        <w:rPr>
          <w:rFonts w:ascii="Arial" w:eastAsia="Arial" w:hAnsi="Arial" w:cs="Arial"/>
          <w:color w:val="000000" w:themeColor="text1"/>
          <w:sz w:val="22"/>
          <w:szCs w:val="22"/>
        </w:rPr>
        <w:t>Colloca</w:t>
      </w:r>
      <w:proofErr w:type="spellEnd"/>
      <w:r w:rsidRPr="00EF57AB">
        <w:rPr>
          <w:rFonts w:ascii="Arial" w:eastAsia="Arial" w:hAnsi="Arial" w:cs="Arial"/>
          <w:color w:val="000000" w:themeColor="text1"/>
          <w:sz w:val="22"/>
          <w:szCs w:val="22"/>
        </w:rPr>
        <w:t xml:space="preserve"> and Oswald, 2022). For example, individuals exposed to ACEs may experience long-term stress, anxiety, social isolation or unhealthy coping strategies, all of which can contribute to poorer physical health outcomes.</w:t>
      </w:r>
    </w:p>
    <w:p w14:paraId="40FD406C" w14:textId="08FE7E75" w:rsidR="00175977" w:rsidRPr="00EF57AB" w:rsidRDefault="00175977" w:rsidP="00175977">
      <w:pPr>
        <w:spacing w:line="360" w:lineRule="auto"/>
        <w:jc w:val="both"/>
        <w:rPr>
          <w:rFonts w:ascii="Arial" w:eastAsia="Arial" w:hAnsi="Arial" w:cs="Arial"/>
          <w:color w:val="000000" w:themeColor="text1"/>
          <w:sz w:val="22"/>
          <w:szCs w:val="22"/>
        </w:rPr>
      </w:pPr>
      <w:r w:rsidRPr="00EF57AB">
        <w:rPr>
          <w:rFonts w:ascii="Arial" w:eastAsia="Arial" w:hAnsi="Arial" w:cs="Arial"/>
          <w:color w:val="000000" w:themeColor="text1"/>
          <w:sz w:val="22"/>
          <w:szCs w:val="22"/>
        </w:rPr>
        <w:t xml:space="preserve">Toxic Stress Theory further explains the biological mechanisms linking ACEs to adult illness. </w:t>
      </w:r>
      <w:r w:rsidRPr="005E2FD9">
        <w:rPr>
          <w:rFonts w:ascii="Arial" w:eastAsia="Arial" w:hAnsi="Arial" w:cs="Arial"/>
          <w:color w:val="000000" w:themeColor="text1"/>
          <w:sz w:val="22"/>
          <w:szCs w:val="22"/>
        </w:rPr>
        <w:t>Garner</w:t>
      </w:r>
      <w:r w:rsidR="00F11B6B" w:rsidRPr="005E2FD9">
        <w:rPr>
          <w:rFonts w:ascii="Arial" w:eastAsia="Arial" w:hAnsi="Arial" w:cs="Arial"/>
          <w:color w:val="000000" w:themeColor="text1"/>
          <w:sz w:val="22"/>
          <w:szCs w:val="22"/>
        </w:rPr>
        <w:t xml:space="preserve"> </w:t>
      </w:r>
      <w:r w:rsidR="006B2EC1" w:rsidRPr="005E2FD9">
        <w:rPr>
          <w:rFonts w:ascii="Arial" w:eastAsia="Arial" w:hAnsi="Arial" w:cs="Arial"/>
          <w:i/>
          <w:iCs/>
          <w:color w:val="000000" w:themeColor="text1"/>
          <w:sz w:val="22"/>
          <w:szCs w:val="22"/>
        </w:rPr>
        <w:t>et al.,</w:t>
      </w:r>
      <w:r w:rsidRPr="005E2FD9">
        <w:rPr>
          <w:rFonts w:ascii="Arial" w:eastAsia="Arial" w:hAnsi="Arial" w:cs="Arial"/>
          <w:color w:val="000000" w:themeColor="text1"/>
          <w:sz w:val="22"/>
          <w:szCs w:val="22"/>
        </w:rPr>
        <w:t xml:space="preserve"> (2012)</w:t>
      </w:r>
      <w:r w:rsidRPr="00EF57AB">
        <w:rPr>
          <w:rFonts w:ascii="Arial" w:eastAsia="Arial" w:hAnsi="Arial" w:cs="Arial"/>
          <w:color w:val="000000" w:themeColor="text1"/>
          <w:sz w:val="22"/>
          <w:szCs w:val="22"/>
        </w:rPr>
        <w:t xml:space="preserve"> argue that repeated or prolonged exposure to adversity without supportive adult relationships can over-activate the body’s stress-response system. Over time, this may affect brain development, immune functioning and hormonal regulation, increasing the risk of chronic conditions such as cardiovascular disease and diabetes. This links with Allostatic Load Theory, which describes the physiological “wear and tear” caused by repeated exposure to stress (McEwen, 1998).</w:t>
      </w:r>
    </w:p>
    <w:p w14:paraId="4E9D3E95" w14:textId="77777777" w:rsidR="00175977" w:rsidRPr="00EF57AB" w:rsidRDefault="00175977" w:rsidP="00175977">
      <w:pPr>
        <w:spacing w:line="360" w:lineRule="auto"/>
        <w:jc w:val="both"/>
        <w:rPr>
          <w:rFonts w:ascii="Arial" w:eastAsia="Arial" w:hAnsi="Arial" w:cs="Arial"/>
          <w:color w:val="000000" w:themeColor="text1"/>
          <w:sz w:val="22"/>
          <w:szCs w:val="22"/>
        </w:rPr>
      </w:pPr>
      <w:r w:rsidRPr="00EF57AB">
        <w:rPr>
          <w:rFonts w:ascii="Arial" w:eastAsia="Arial" w:hAnsi="Arial" w:cs="Arial"/>
          <w:color w:val="000000" w:themeColor="text1"/>
          <w:sz w:val="22"/>
          <w:szCs w:val="22"/>
        </w:rPr>
        <w:t>Although these theories are valuable, they also have limitations. Attachment Theory may focus too strongly on caregiver relationships and may not fully consider wider structural factors such as poverty, housing instability or social inequality. Life Course Theory is useful for understanding cumulative disadvantage, but it can be broad and difficult to measure. Toxic Stress and Allostatic Load theories explain biological pathways well, but they may not account for why some individuals exposed to ACEs do not develop poor health outcomes. This highlights the importance of resilience, protective relationships and early intervention. Overall, these theories suggest that ACEs influence adult physical health through interconnected emotional, social and biological pathways.</w:t>
      </w:r>
    </w:p>
    <w:p w14:paraId="0176C1AF" w14:textId="77777777" w:rsidR="00175977" w:rsidRPr="00EF57AB" w:rsidRDefault="00175977" w:rsidP="00175977">
      <w:pPr>
        <w:spacing w:line="360" w:lineRule="auto"/>
        <w:jc w:val="both"/>
        <w:rPr>
          <w:rFonts w:ascii="Arial" w:eastAsia="Arial" w:hAnsi="Arial" w:cs="Arial"/>
          <w:color w:val="000000" w:themeColor="text1"/>
          <w:sz w:val="22"/>
          <w:szCs w:val="22"/>
        </w:rPr>
      </w:pPr>
    </w:p>
    <w:p w14:paraId="6B0DE003" w14:textId="77777777" w:rsidR="00175977" w:rsidRPr="0037093A" w:rsidRDefault="00175977" w:rsidP="00175977">
      <w:pPr>
        <w:spacing w:line="360" w:lineRule="auto"/>
        <w:jc w:val="both"/>
        <w:rPr>
          <w:rFonts w:ascii="Arial" w:eastAsia="Arial" w:hAnsi="Arial" w:cs="Arial"/>
          <w:b/>
          <w:bCs/>
          <w:sz w:val="22"/>
          <w:szCs w:val="22"/>
        </w:rPr>
      </w:pPr>
      <w:r w:rsidRPr="0037093A">
        <w:rPr>
          <w:rFonts w:ascii="Arial" w:eastAsia="Arial" w:hAnsi="Arial" w:cs="Arial"/>
          <w:b/>
          <w:bCs/>
          <w:sz w:val="22"/>
          <w:szCs w:val="22"/>
        </w:rPr>
        <w:t>2.4 International Context</w:t>
      </w:r>
    </w:p>
    <w:p w14:paraId="0E57C4E9" w14:textId="77777777" w:rsidR="00175977" w:rsidRDefault="00175977" w:rsidP="00175977">
      <w:pPr>
        <w:spacing w:line="360" w:lineRule="auto"/>
        <w:jc w:val="both"/>
        <w:rPr>
          <w:rFonts w:ascii="Arial" w:eastAsia="Arial" w:hAnsi="Arial" w:cs="Arial"/>
          <w:sz w:val="22"/>
          <w:szCs w:val="22"/>
        </w:rPr>
      </w:pPr>
    </w:p>
    <w:p w14:paraId="5829CED3" w14:textId="77777777" w:rsidR="00175977" w:rsidRPr="00254B57" w:rsidRDefault="00175977" w:rsidP="00175977">
      <w:pPr>
        <w:spacing w:line="360" w:lineRule="auto"/>
        <w:jc w:val="both"/>
        <w:rPr>
          <w:rFonts w:ascii="Arial" w:eastAsia="Arial" w:hAnsi="Arial" w:cs="Arial"/>
          <w:sz w:val="22"/>
          <w:szCs w:val="22"/>
        </w:rPr>
      </w:pPr>
      <w:r w:rsidRPr="00254B57">
        <w:rPr>
          <w:rFonts w:ascii="Arial" w:eastAsia="Arial" w:hAnsi="Arial" w:cs="Arial"/>
          <w:sz w:val="22"/>
          <w:szCs w:val="22"/>
        </w:rPr>
        <w:t xml:space="preserve">Childhood adversity has become recognised as a global public health issue due to its significant effect on overall health and well-being throughout the lifespan. Global health organisations like the World Health Organisation (WHO), the United Nations Children’s Fund (UNICEF), and the Centres for Disease Control and Prevention (CDC) have focused attention on childhood adversity and encouraged countries to develop prevention policies (UK Government Legislation, 2022). Evidence from a range of countries consistently shows that exposure to abuse, neglect, and household dysfunction during childhood is associated with </w:t>
      </w:r>
      <w:r w:rsidRPr="00254B57">
        <w:rPr>
          <w:rFonts w:ascii="Arial" w:eastAsia="Arial" w:hAnsi="Arial" w:cs="Arial"/>
          <w:sz w:val="22"/>
          <w:szCs w:val="22"/>
        </w:rPr>
        <w:lastRenderedPageBreak/>
        <w:t>an increased risk of developing chronic disease, poorer health behaviours and lower quality of life as an adult.</w:t>
      </w:r>
    </w:p>
    <w:p w14:paraId="56F0469F" w14:textId="77777777" w:rsidR="00175977" w:rsidRPr="00254B57" w:rsidRDefault="00175977" w:rsidP="00175977">
      <w:pPr>
        <w:spacing w:line="360" w:lineRule="auto"/>
        <w:jc w:val="both"/>
        <w:rPr>
          <w:rFonts w:ascii="Arial" w:eastAsia="Arial" w:hAnsi="Arial" w:cs="Arial"/>
          <w:sz w:val="22"/>
          <w:szCs w:val="22"/>
        </w:rPr>
      </w:pPr>
      <w:r w:rsidRPr="00254B57">
        <w:rPr>
          <w:rFonts w:ascii="Arial" w:eastAsia="Arial" w:hAnsi="Arial" w:cs="Arial"/>
          <w:sz w:val="22"/>
          <w:szCs w:val="22"/>
        </w:rPr>
        <w:t>Many high-income countries have embedded awareness of ACEs into their healthcare and social care sectors. In the United States, it operated in multiple states to help identify individuals at risk of being impacted by ACEs and to provide access to early intervention services. Healthcare professionals are being trained to assess the impact of ACEs on the physical and/or psychological well-being of these individuals (Public Health Wales, 2023). Similarly, Canada has developed and implemented trauma-informed practices across the sectors that provide health, education, and social services to assist individuals who are impacted by ACEs.</w:t>
      </w:r>
    </w:p>
    <w:p w14:paraId="5AD23706" w14:textId="77777777" w:rsidR="00175977" w:rsidRPr="00254B57" w:rsidRDefault="00175977" w:rsidP="00175977">
      <w:pPr>
        <w:spacing w:line="360" w:lineRule="auto"/>
        <w:jc w:val="both"/>
        <w:rPr>
          <w:rFonts w:ascii="Arial" w:eastAsia="Arial" w:hAnsi="Arial" w:cs="Arial"/>
          <w:sz w:val="22"/>
          <w:szCs w:val="22"/>
        </w:rPr>
      </w:pPr>
      <w:r w:rsidRPr="00254B57">
        <w:rPr>
          <w:rFonts w:ascii="Arial" w:eastAsia="Arial" w:hAnsi="Arial" w:cs="Arial"/>
          <w:sz w:val="22"/>
          <w:szCs w:val="22"/>
        </w:rPr>
        <w:t xml:space="preserve">Different methods were taken by European Nations. In Sweden and Norway, the focus is on building child welfare systems, giving good family assistance, and using preventative methods like early intervention programmes to promote a child-friendly culture, which will lower severe child abuse rates and increase incidences of positive outcomes in the long term. On the other hand, many Eastern European areas still struggle due to the issues with inequality and the lack of specialised assistance </w:t>
      </w:r>
      <w:r w:rsidRPr="000B4887">
        <w:rPr>
          <w:rFonts w:ascii="Arial" w:eastAsia="Arial" w:hAnsi="Arial" w:cs="Arial"/>
          <w:sz w:val="22"/>
          <w:szCs w:val="22"/>
        </w:rPr>
        <w:t>(UNICEF, 2023).</w:t>
      </w:r>
      <w:r w:rsidRPr="00254B57">
        <w:rPr>
          <w:rFonts w:ascii="Arial" w:eastAsia="Arial" w:hAnsi="Arial" w:cs="Arial"/>
          <w:sz w:val="22"/>
          <w:szCs w:val="22"/>
        </w:rPr>
        <w:t xml:space="preserve"> With poverty, political instability, and insufficient medical support, low- and middle-income countries can be seen to experience additional difficulties in addressing child maltreatment, or what many people call</w:t>
      </w:r>
      <w:r>
        <w:rPr>
          <w:rFonts w:ascii="Arial" w:eastAsia="Arial" w:hAnsi="Arial" w:cs="Arial"/>
          <w:sz w:val="22"/>
          <w:szCs w:val="22"/>
        </w:rPr>
        <w:t xml:space="preserve"> </w:t>
      </w:r>
      <w:r w:rsidRPr="00254B57">
        <w:rPr>
          <w:rFonts w:ascii="Arial" w:eastAsia="Arial" w:hAnsi="Arial" w:cs="Arial"/>
          <w:sz w:val="22"/>
          <w:szCs w:val="22"/>
        </w:rPr>
        <w:t>childhood adversity.</w:t>
      </w:r>
    </w:p>
    <w:p w14:paraId="4D95C549" w14:textId="77777777" w:rsidR="00175977" w:rsidRPr="00254B57" w:rsidRDefault="00175977" w:rsidP="00175977">
      <w:pPr>
        <w:spacing w:line="360" w:lineRule="auto"/>
        <w:jc w:val="both"/>
        <w:rPr>
          <w:rFonts w:ascii="Arial" w:hAnsi="Arial" w:cs="Arial"/>
          <w:sz w:val="22"/>
          <w:szCs w:val="22"/>
        </w:rPr>
      </w:pPr>
      <w:r w:rsidRPr="00254B57">
        <w:rPr>
          <w:rFonts w:ascii="Arial" w:eastAsia="Arial" w:hAnsi="Arial" w:cs="Arial"/>
          <w:sz w:val="22"/>
          <w:szCs w:val="22"/>
        </w:rPr>
        <w:t>In many parts of Africa/Asia, and Latin America, some of these children may also experience more severe childhood adversities due to conflict, displacement, and poor national social protection systems. There are many activities, however, by different non-governmental international organisations today that are helping to improve child protection and/or access to healthcare and education for all children. The WHO INSPIRE framework is one such example of an international initiative that helps prevent violence against children by using research-based intervention methods (WHO, 2023). It is designed to encourage cooperation among individuals and entities such as governments, health care systems, schools, and community organisations</w:t>
      </w:r>
      <w:proofErr w:type="gramStart"/>
      <w:r w:rsidRPr="00254B57">
        <w:rPr>
          <w:rFonts w:ascii="Arial" w:eastAsia="Arial" w:hAnsi="Arial" w:cs="Arial"/>
          <w:sz w:val="22"/>
          <w:szCs w:val="22"/>
        </w:rPr>
        <w:t xml:space="preserve">. </w:t>
      </w:r>
      <w:r w:rsidRPr="00254B57">
        <w:rPr>
          <w:rFonts w:ascii="Arial" w:hAnsi="Arial" w:cs="Arial"/>
          <w:sz w:val="22"/>
          <w:szCs w:val="22"/>
        </w:rPr>
        <w:t> </w:t>
      </w:r>
      <w:proofErr w:type="gramEnd"/>
    </w:p>
    <w:p w14:paraId="05BE4EC6" w14:textId="77777777" w:rsidR="00175977" w:rsidRPr="00A34378" w:rsidRDefault="00175977" w:rsidP="00175977">
      <w:pPr>
        <w:pStyle w:val="Heading2"/>
        <w:spacing w:line="360" w:lineRule="auto"/>
        <w:jc w:val="both"/>
        <w:rPr>
          <w:rFonts w:ascii="Arial" w:hAnsi="Arial" w:cs="Arial"/>
          <w:b/>
          <w:bCs/>
          <w:color w:val="000000" w:themeColor="text1"/>
          <w:sz w:val="22"/>
          <w:szCs w:val="22"/>
        </w:rPr>
      </w:pPr>
      <w:r w:rsidRPr="006A113F">
        <w:rPr>
          <w:rFonts w:ascii="Arial" w:hAnsi="Arial" w:cs="Arial"/>
          <w:b/>
          <w:bCs/>
          <w:color w:val="000000" w:themeColor="text1"/>
          <w:sz w:val="22"/>
          <w:szCs w:val="22"/>
        </w:rPr>
        <w:t>2.5 National/Local UK Context</w:t>
      </w:r>
    </w:p>
    <w:p w14:paraId="70E0BFD1" w14:textId="77777777" w:rsidR="00175977" w:rsidRPr="00254B57" w:rsidRDefault="00175977" w:rsidP="00175977">
      <w:pPr>
        <w:spacing w:line="360" w:lineRule="auto"/>
        <w:jc w:val="both"/>
        <w:rPr>
          <w:rFonts w:ascii="Arial" w:eastAsia="Arial" w:hAnsi="Arial" w:cs="Arial"/>
          <w:sz w:val="22"/>
          <w:szCs w:val="22"/>
        </w:rPr>
      </w:pPr>
      <w:r w:rsidRPr="00254B57">
        <w:rPr>
          <w:rFonts w:ascii="Arial" w:eastAsia="Arial" w:hAnsi="Arial" w:cs="Arial"/>
          <w:sz w:val="22"/>
          <w:szCs w:val="22"/>
        </w:rPr>
        <w:t xml:space="preserve">According to many studies from England, Scotland, Wales, and Northern Ireland, ACEs are a major public health issue that has negative impacts on health, social care, education, and criminal justice. Because studies show a clear link between ACEs in childhood and negative adult health outcomes, increasing awareness of ACEs provides an opportunity for policymakers and practitioners to implement preventive, trauma-informed strategies to utilise the connections of ACEs to childhood resilience/equity and create change through policies aiming to decrease long-term health inequalities (Austin, 2024). The UK government, along </w:t>
      </w:r>
      <w:r w:rsidRPr="00254B57">
        <w:rPr>
          <w:rFonts w:ascii="Arial" w:eastAsia="Arial" w:hAnsi="Arial" w:cs="Arial"/>
          <w:sz w:val="22"/>
          <w:szCs w:val="22"/>
        </w:rPr>
        <w:lastRenderedPageBreak/>
        <w:t xml:space="preserve">with public health agencies, is using early intervention strategies </w:t>
      </w:r>
      <w:proofErr w:type="gramStart"/>
      <w:r w:rsidRPr="00254B57">
        <w:rPr>
          <w:rFonts w:ascii="Arial" w:eastAsia="Arial" w:hAnsi="Arial" w:cs="Arial"/>
          <w:sz w:val="22"/>
          <w:szCs w:val="22"/>
        </w:rPr>
        <w:t>as a means to</w:t>
      </w:r>
      <w:proofErr w:type="gramEnd"/>
      <w:r w:rsidRPr="00254B57">
        <w:rPr>
          <w:rFonts w:ascii="Arial" w:eastAsia="Arial" w:hAnsi="Arial" w:cs="Arial"/>
          <w:sz w:val="22"/>
          <w:szCs w:val="22"/>
        </w:rPr>
        <w:t xml:space="preserve"> address childhood adversity and build resilience within at-risk children and families. Public health agencies have compiled extensive amounts of research evidence showing the connection between ACEs and chronic health problems, such as heart disease, diabetes, lung diseases, and mental health conditions (Amos </w:t>
      </w:r>
      <w:r w:rsidRPr="00254B57">
        <w:rPr>
          <w:rFonts w:ascii="Arial" w:eastAsia="Arial" w:hAnsi="Arial" w:cs="Arial"/>
          <w:i/>
          <w:iCs/>
          <w:sz w:val="22"/>
          <w:szCs w:val="22"/>
        </w:rPr>
        <w:t xml:space="preserve">et al., </w:t>
      </w:r>
      <w:r w:rsidRPr="00254B57">
        <w:rPr>
          <w:rFonts w:ascii="Arial" w:eastAsia="Arial" w:hAnsi="Arial" w:cs="Arial"/>
          <w:sz w:val="22"/>
          <w:szCs w:val="22"/>
        </w:rPr>
        <w:t xml:space="preserve">2023). This research evidence is being used to develop policies designed to assist at-risk children and families and promote the overall well-being and resilience of these children. </w:t>
      </w:r>
    </w:p>
    <w:p w14:paraId="792BB679" w14:textId="77777777" w:rsidR="00175977" w:rsidRPr="00254B57" w:rsidRDefault="00175977" w:rsidP="00175977">
      <w:pPr>
        <w:spacing w:line="360" w:lineRule="auto"/>
        <w:jc w:val="both"/>
        <w:rPr>
          <w:rFonts w:ascii="Arial" w:eastAsia="Arial" w:hAnsi="Arial" w:cs="Arial"/>
          <w:sz w:val="22"/>
          <w:szCs w:val="22"/>
        </w:rPr>
      </w:pPr>
      <w:r w:rsidRPr="00254B57">
        <w:rPr>
          <w:rFonts w:ascii="Arial" w:eastAsia="Arial" w:hAnsi="Arial" w:cs="Arial"/>
          <w:sz w:val="22"/>
          <w:szCs w:val="22"/>
        </w:rPr>
        <w:t xml:space="preserve">There are multiple legislative frameworks in place to help ensure that children are protected and that they experience minimal adverse effects in their lives. The two key statutes are the Children Act 1989 and the Children Act 2004, which detail the key responsibilities of individuals and public bodies to protect children from suffering and to promote their welfare. Another important piece of legislation is the Care Act 2014, which emphasises vulnerable people having legal protections when it comes to safeguarding (Marczak </w:t>
      </w:r>
      <w:r w:rsidRPr="00254B57">
        <w:rPr>
          <w:rFonts w:ascii="Arial" w:eastAsia="Arial" w:hAnsi="Arial" w:cs="Arial"/>
          <w:i/>
          <w:iCs/>
          <w:sz w:val="22"/>
          <w:szCs w:val="22"/>
        </w:rPr>
        <w:t>et al.,</w:t>
      </w:r>
      <w:r w:rsidRPr="00254B57">
        <w:rPr>
          <w:rFonts w:ascii="Arial" w:eastAsia="Arial" w:hAnsi="Arial" w:cs="Arial"/>
          <w:sz w:val="22"/>
          <w:szCs w:val="22"/>
        </w:rPr>
        <w:t xml:space="preserve"> 2022). These three legislative frameworks provide the basis for identifying and responding to instances where children have suffered from abuse and/or neglect and/or are in households where there is dysfunction. The Health and Care Act 2022 encourage the provision of integrated services to support prevention and early intervention related to health and care for children and young people.</w:t>
      </w:r>
    </w:p>
    <w:p w14:paraId="1D044269" w14:textId="77777777" w:rsidR="00175977" w:rsidRPr="00254B57" w:rsidRDefault="00175977" w:rsidP="00175977">
      <w:pPr>
        <w:spacing w:line="360" w:lineRule="auto"/>
        <w:jc w:val="both"/>
        <w:rPr>
          <w:rFonts w:ascii="Arial" w:hAnsi="Arial" w:cs="Arial"/>
          <w:sz w:val="22"/>
          <w:szCs w:val="22"/>
        </w:rPr>
      </w:pPr>
      <w:r w:rsidRPr="00254B57">
        <w:rPr>
          <w:rFonts w:ascii="Arial" w:eastAsia="Arial" w:hAnsi="Arial" w:cs="Arial"/>
          <w:sz w:val="22"/>
          <w:szCs w:val="22"/>
        </w:rPr>
        <w:t>Trauma-informed approaches to practice are becoming increasingly important across the UK health and social care contexts. The NHS has initiated initiatives that look to develop an understanding of the long-term impacts of trauma on physical and mental health in both current and past health interventions by Healthcare Providers. Training programmes have been put in place to assist practitioners in recognising indicators of trauma and providing support in delivering person-centred care with sensitivity</w:t>
      </w:r>
      <w:proofErr w:type="gramStart"/>
      <w:r w:rsidRPr="00254B57">
        <w:rPr>
          <w:rFonts w:ascii="Arial" w:eastAsia="Arial" w:hAnsi="Arial" w:cs="Arial"/>
          <w:sz w:val="22"/>
          <w:szCs w:val="22"/>
        </w:rPr>
        <w:t xml:space="preserve">.  </w:t>
      </w:r>
      <w:proofErr w:type="gramEnd"/>
      <w:r w:rsidRPr="00254B57">
        <w:rPr>
          <w:rFonts w:ascii="Arial" w:eastAsia="Arial" w:hAnsi="Arial" w:cs="Arial"/>
          <w:sz w:val="22"/>
          <w:szCs w:val="22"/>
        </w:rPr>
        <w:t xml:space="preserve">The UK is experiencing regional differences regarding ACEs (NHS England, 2023). Specifically, Wales has led the development of ACE Policies using Public Health Wales to conduct research and implement campaigns that raise awareness. Scotland has created a range of workforce development programmes that use trauma-informed practice to improve service delivery for health and social care needs by creating a trained group of workers who deliver services based on trauma-informed practice. </w:t>
      </w:r>
    </w:p>
    <w:p w14:paraId="477472C3" w14:textId="77777777" w:rsidR="00175977" w:rsidRPr="00C15463" w:rsidRDefault="00175977" w:rsidP="00175977">
      <w:pPr>
        <w:pStyle w:val="Heading2"/>
        <w:spacing w:line="360" w:lineRule="auto"/>
        <w:jc w:val="both"/>
        <w:rPr>
          <w:rFonts w:ascii="Arial" w:hAnsi="Arial" w:cs="Arial"/>
          <w:b/>
          <w:bCs/>
          <w:color w:val="000000" w:themeColor="text1"/>
          <w:sz w:val="22"/>
          <w:szCs w:val="22"/>
        </w:rPr>
      </w:pPr>
      <w:r w:rsidRPr="00C15463">
        <w:rPr>
          <w:rFonts w:ascii="Arial" w:hAnsi="Arial" w:cs="Arial"/>
          <w:b/>
          <w:bCs/>
          <w:color w:val="000000" w:themeColor="text1"/>
          <w:sz w:val="22"/>
          <w:szCs w:val="22"/>
        </w:rPr>
        <w:t xml:space="preserve">2.6 Conclusion </w:t>
      </w:r>
    </w:p>
    <w:p w14:paraId="59637AA8" w14:textId="77777777" w:rsidR="00175977" w:rsidRDefault="00175977" w:rsidP="00A40DB1">
      <w:pPr>
        <w:spacing w:line="360" w:lineRule="auto"/>
        <w:jc w:val="both"/>
        <w:rPr>
          <w:rFonts w:ascii="Arial" w:eastAsia="Arial" w:hAnsi="Arial" w:cs="Arial"/>
          <w:sz w:val="22"/>
          <w:szCs w:val="22"/>
        </w:rPr>
      </w:pPr>
      <w:r w:rsidRPr="00254B57">
        <w:rPr>
          <w:rFonts w:ascii="Arial" w:eastAsia="Arial" w:hAnsi="Arial" w:cs="Arial"/>
          <w:sz w:val="22"/>
          <w:szCs w:val="22"/>
        </w:rPr>
        <w:t xml:space="preserve">It is crucial to understand the previous information to assess and understand how childhood trauma relates to adult physical health. The prior analysis shows how, over time, awareness of childhood trauma has evolved from being a little-known and unnoticed situation to being a global health priority. Many researchers, health care providers, and large international organisations have contributed to the increased knowledge regarding the long-term effects of </w:t>
      </w:r>
      <w:r w:rsidRPr="00254B57">
        <w:rPr>
          <w:rFonts w:ascii="Arial" w:eastAsia="Arial" w:hAnsi="Arial" w:cs="Arial"/>
          <w:sz w:val="22"/>
          <w:szCs w:val="22"/>
        </w:rPr>
        <w:lastRenderedPageBreak/>
        <w:t xml:space="preserve">trauma </w:t>
      </w:r>
      <w:proofErr w:type="gramStart"/>
      <w:r w:rsidRPr="00254B57">
        <w:rPr>
          <w:rFonts w:ascii="Arial" w:eastAsia="Arial" w:hAnsi="Arial" w:cs="Arial"/>
          <w:sz w:val="22"/>
          <w:szCs w:val="22"/>
        </w:rPr>
        <w:t>as a result of</w:t>
      </w:r>
      <w:proofErr w:type="gramEnd"/>
      <w:r w:rsidRPr="00254B57">
        <w:rPr>
          <w:rFonts w:ascii="Arial" w:eastAsia="Arial" w:hAnsi="Arial" w:cs="Arial"/>
          <w:sz w:val="22"/>
          <w:szCs w:val="22"/>
        </w:rPr>
        <w:t xml:space="preserve"> ACEs. The analysis of multiple countries and regions suggested that there are many differences in how these countries and regions implement their interventions and provide care to those who experience trauma. </w:t>
      </w:r>
    </w:p>
    <w:p w14:paraId="727A0E32" w14:textId="77777777" w:rsidR="00CE72D8" w:rsidRDefault="00CE72D8" w:rsidP="00175977">
      <w:pPr>
        <w:spacing w:line="360" w:lineRule="auto"/>
        <w:jc w:val="both"/>
        <w:rPr>
          <w:rFonts w:ascii="Arial" w:eastAsia="Arial" w:hAnsi="Arial" w:cs="Arial"/>
          <w:sz w:val="22"/>
          <w:szCs w:val="22"/>
        </w:rPr>
      </w:pPr>
    </w:p>
    <w:p w14:paraId="67E26024" w14:textId="77777777" w:rsidR="00CE72D8" w:rsidRDefault="00CE72D8" w:rsidP="00175977">
      <w:pPr>
        <w:spacing w:line="360" w:lineRule="auto"/>
        <w:jc w:val="both"/>
        <w:rPr>
          <w:rFonts w:ascii="Arial" w:eastAsia="Arial" w:hAnsi="Arial" w:cs="Arial"/>
          <w:sz w:val="22"/>
          <w:szCs w:val="22"/>
        </w:rPr>
      </w:pPr>
    </w:p>
    <w:p w14:paraId="2F5F7DA4" w14:textId="77777777" w:rsidR="00CE72D8" w:rsidRDefault="00CE72D8" w:rsidP="00175977">
      <w:pPr>
        <w:spacing w:line="360" w:lineRule="auto"/>
        <w:jc w:val="both"/>
        <w:rPr>
          <w:rFonts w:ascii="Arial" w:eastAsia="Arial" w:hAnsi="Arial" w:cs="Arial"/>
          <w:sz w:val="22"/>
          <w:szCs w:val="22"/>
        </w:rPr>
      </w:pPr>
    </w:p>
    <w:p w14:paraId="7AB55213" w14:textId="77777777" w:rsidR="00CE72D8" w:rsidRDefault="00CE72D8" w:rsidP="00175977">
      <w:pPr>
        <w:spacing w:line="360" w:lineRule="auto"/>
        <w:jc w:val="both"/>
        <w:rPr>
          <w:rFonts w:ascii="Arial" w:eastAsia="Arial" w:hAnsi="Arial" w:cs="Arial"/>
          <w:sz w:val="22"/>
          <w:szCs w:val="22"/>
        </w:rPr>
      </w:pPr>
    </w:p>
    <w:p w14:paraId="2BBCADE8" w14:textId="77777777" w:rsidR="00CE72D8" w:rsidRDefault="00CE72D8" w:rsidP="00175977">
      <w:pPr>
        <w:spacing w:line="360" w:lineRule="auto"/>
        <w:jc w:val="both"/>
        <w:rPr>
          <w:rFonts w:ascii="Arial" w:eastAsia="Arial" w:hAnsi="Arial" w:cs="Arial"/>
          <w:sz w:val="22"/>
          <w:szCs w:val="22"/>
        </w:rPr>
      </w:pPr>
    </w:p>
    <w:p w14:paraId="3E398547" w14:textId="77777777" w:rsidR="00CE72D8" w:rsidRDefault="00CE72D8" w:rsidP="00175977">
      <w:pPr>
        <w:spacing w:line="360" w:lineRule="auto"/>
        <w:jc w:val="both"/>
        <w:rPr>
          <w:rFonts w:ascii="Arial" w:eastAsia="Arial" w:hAnsi="Arial" w:cs="Arial"/>
          <w:sz w:val="22"/>
          <w:szCs w:val="22"/>
        </w:rPr>
      </w:pPr>
    </w:p>
    <w:p w14:paraId="7A7C7517" w14:textId="77777777" w:rsidR="00CE72D8" w:rsidRDefault="00CE72D8" w:rsidP="00175977">
      <w:pPr>
        <w:spacing w:line="360" w:lineRule="auto"/>
        <w:jc w:val="both"/>
        <w:rPr>
          <w:rFonts w:ascii="Arial" w:eastAsia="Arial" w:hAnsi="Arial" w:cs="Arial"/>
          <w:sz w:val="22"/>
          <w:szCs w:val="22"/>
        </w:rPr>
      </w:pPr>
    </w:p>
    <w:p w14:paraId="39D8A9DB" w14:textId="77777777" w:rsidR="00CE72D8" w:rsidRDefault="00CE72D8" w:rsidP="00175977">
      <w:pPr>
        <w:spacing w:line="360" w:lineRule="auto"/>
        <w:jc w:val="both"/>
        <w:rPr>
          <w:rFonts w:ascii="Arial" w:eastAsia="Arial" w:hAnsi="Arial" w:cs="Arial"/>
          <w:sz w:val="22"/>
          <w:szCs w:val="22"/>
        </w:rPr>
      </w:pPr>
    </w:p>
    <w:p w14:paraId="3716E053" w14:textId="77777777" w:rsidR="00CE72D8" w:rsidRDefault="00CE72D8" w:rsidP="00175977">
      <w:pPr>
        <w:spacing w:line="360" w:lineRule="auto"/>
        <w:jc w:val="both"/>
        <w:rPr>
          <w:rFonts w:ascii="Arial" w:eastAsia="Arial" w:hAnsi="Arial" w:cs="Arial"/>
          <w:sz w:val="22"/>
          <w:szCs w:val="22"/>
        </w:rPr>
      </w:pPr>
    </w:p>
    <w:p w14:paraId="7823EBBA" w14:textId="77777777" w:rsidR="00CE72D8" w:rsidRDefault="00CE72D8" w:rsidP="00175977">
      <w:pPr>
        <w:spacing w:line="360" w:lineRule="auto"/>
        <w:jc w:val="both"/>
        <w:rPr>
          <w:rFonts w:ascii="Arial" w:eastAsia="Arial" w:hAnsi="Arial" w:cs="Arial"/>
          <w:sz w:val="22"/>
          <w:szCs w:val="22"/>
        </w:rPr>
      </w:pPr>
    </w:p>
    <w:p w14:paraId="477E2782"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21E3F326"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61EDF7C1"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0ACD8B4C"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75782FF5"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627F8A6B"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37B837EE"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780D2476"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540EC6FB"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1A789881"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6FBFFC2E" w14:textId="77777777" w:rsidR="0037093A" w:rsidRDefault="0037093A" w:rsidP="00BD16F4">
      <w:pPr>
        <w:pStyle w:val="NormalWeb"/>
        <w:shd w:val="clear" w:color="auto" w:fill="FFFFFF"/>
        <w:spacing w:before="0" w:beforeAutospacing="0" w:after="173" w:afterAutospacing="0"/>
        <w:rPr>
          <w:rFonts w:ascii="Roboto" w:hAnsi="Roboto"/>
          <w:color w:val="000000"/>
          <w:sz w:val="21"/>
          <w:szCs w:val="21"/>
        </w:rPr>
      </w:pPr>
    </w:p>
    <w:p w14:paraId="67837855" w14:textId="77777777" w:rsidR="001F17B4" w:rsidRDefault="001F17B4" w:rsidP="00BD16F4">
      <w:pPr>
        <w:pStyle w:val="NormalWeb"/>
        <w:shd w:val="clear" w:color="auto" w:fill="FFFFFF"/>
        <w:spacing w:before="0" w:beforeAutospacing="0" w:after="173" w:afterAutospacing="0"/>
        <w:rPr>
          <w:rFonts w:ascii="Arial" w:hAnsi="Arial" w:cs="Arial"/>
          <w:b/>
          <w:bCs/>
          <w:color w:val="000000"/>
          <w:sz w:val="22"/>
          <w:szCs w:val="22"/>
        </w:rPr>
      </w:pPr>
    </w:p>
    <w:p w14:paraId="21BC2A26" w14:textId="77777777" w:rsidR="001F17B4" w:rsidRDefault="001F17B4" w:rsidP="00BD16F4">
      <w:pPr>
        <w:pStyle w:val="NormalWeb"/>
        <w:shd w:val="clear" w:color="auto" w:fill="FFFFFF"/>
        <w:spacing w:before="0" w:beforeAutospacing="0" w:after="173" w:afterAutospacing="0"/>
        <w:rPr>
          <w:rFonts w:ascii="Arial" w:hAnsi="Arial" w:cs="Arial"/>
          <w:b/>
          <w:bCs/>
          <w:color w:val="000000"/>
          <w:sz w:val="22"/>
          <w:szCs w:val="22"/>
        </w:rPr>
      </w:pPr>
    </w:p>
    <w:p w14:paraId="6E2F1107" w14:textId="77777777" w:rsidR="001F17B4" w:rsidRDefault="001F17B4" w:rsidP="00BD16F4">
      <w:pPr>
        <w:pStyle w:val="NormalWeb"/>
        <w:shd w:val="clear" w:color="auto" w:fill="FFFFFF"/>
        <w:spacing w:before="0" w:beforeAutospacing="0" w:after="173" w:afterAutospacing="0"/>
        <w:rPr>
          <w:rFonts w:ascii="Arial" w:hAnsi="Arial" w:cs="Arial"/>
          <w:b/>
          <w:bCs/>
          <w:color w:val="000000"/>
          <w:sz w:val="22"/>
          <w:szCs w:val="22"/>
        </w:rPr>
      </w:pPr>
    </w:p>
    <w:p w14:paraId="7288146E" w14:textId="77777777" w:rsidR="001F17B4" w:rsidRDefault="001F17B4" w:rsidP="00BD16F4">
      <w:pPr>
        <w:pStyle w:val="NormalWeb"/>
        <w:shd w:val="clear" w:color="auto" w:fill="FFFFFF"/>
        <w:spacing w:before="0" w:beforeAutospacing="0" w:after="173" w:afterAutospacing="0"/>
        <w:rPr>
          <w:rFonts w:ascii="Arial" w:hAnsi="Arial" w:cs="Arial"/>
          <w:b/>
          <w:bCs/>
          <w:color w:val="000000"/>
          <w:sz w:val="22"/>
          <w:szCs w:val="22"/>
        </w:rPr>
      </w:pPr>
    </w:p>
    <w:p w14:paraId="22A7D5A2" w14:textId="77777777" w:rsidR="001F17B4" w:rsidRDefault="001F17B4" w:rsidP="00BD16F4">
      <w:pPr>
        <w:pStyle w:val="NormalWeb"/>
        <w:shd w:val="clear" w:color="auto" w:fill="FFFFFF"/>
        <w:spacing w:before="0" w:beforeAutospacing="0" w:after="173" w:afterAutospacing="0"/>
        <w:rPr>
          <w:rFonts w:ascii="Arial" w:hAnsi="Arial" w:cs="Arial"/>
          <w:b/>
          <w:bCs/>
          <w:color w:val="000000"/>
          <w:sz w:val="22"/>
          <w:szCs w:val="22"/>
        </w:rPr>
      </w:pPr>
    </w:p>
    <w:p w14:paraId="72EDBF9D" w14:textId="6984B1DA" w:rsidR="00EC30FB" w:rsidRPr="009B699D" w:rsidRDefault="009B699D" w:rsidP="00BD16F4">
      <w:pPr>
        <w:pStyle w:val="NormalWeb"/>
        <w:shd w:val="clear" w:color="auto" w:fill="FFFFFF"/>
        <w:spacing w:before="0" w:beforeAutospacing="0" w:after="173" w:afterAutospacing="0"/>
        <w:rPr>
          <w:rFonts w:ascii="Arial" w:hAnsi="Arial" w:cs="Arial"/>
          <w:b/>
          <w:bCs/>
          <w:color w:val="000000"/>
          <w:sz w:val="22"/>
          <w:szCs w:val="22"/>
        </w:rPr>
      </w:pPr>
      <w:r w:rsidRPr="009B699D">
        <w:rPr>
          <w:rFonts w:ascii="Arial" w:hAnsi="Arial" w:cs="Arial"/>
          <w:b/>
          <w:bCs/>
          <w:color w:val="000000"/>
          <w:sz w:val="22"/>
          <w:szCs w:val="22"/>
        </w:rPr>
        <w:t>Reference:</w:t>
      </w:r>
    </w:p>
    <w:p w14:paraId="092CA101" w14:textId="77777777" w:rsidR="00EC30FB" w:rsidRDefault="00EC30FB" w:rsidP="00BD16F4">
      <w:pPr>
        <w:pStyle w:val="NormalWeb"/>
        <w:shd w:val="clear" w:color="auto" w:fill="FFFFFF"/>
        <w:spacing w:before="0" w:beforeAutospacing="0" w:after="173" w:afterAutospacing="0"/>
        <w:rPr>
          <w:rFonts w:ascii="Roboto" w:hAnsi="Roboto"/>
          <w:color w:val="000000"/>
          <w:sz w:val="21"/>
          <w:szCs w:val="21"/>
        </w:rPr>
      </w:pPr>
    </w:p>
    <w:p w14:paraId="337D4B35" w14:textId="0FB40B92"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Afifi, T.O., Salmon, S., Stewart-Tufescu, A. and Taillieu, T. (2022) 'An examination of parents’ adverse childhood experiences (ACEs) history and reported spanking of their child: Informing child maltreatment prevention efforts', </w:t>
      </w:r>
      <w:r w:rsidRPr="00A960F2">
        <w:rPr>
          <w:rFonts w:ascii="Arial" w:hAnsi="Arial" w:cs="Arial"/>
          <w:i/>
          <w:iCs/>
          <w:color w:val="000000"/>
          <w:sz w:val="22"/>
          <w:szCs w:val="22"/>
        </w:rPr>
        <w:t xml:space="preserve">International Journal of Environmental </w:t>
      </w:r>
      <w:r w:rsidRPr="00A960F2">
        <w:rPr>
          <w:rFonts w:ascii="Arial" w:hAnsi="Arial" w:cs="Arial"/>
          <w:i/>
          <w:iCs/>
          <w:color w:val="000000"/>
          <w:sz w:val="22"/>
          <w:szCs w:val="22"/>
        </w:rPr>
        <w:lastRenderedPageBreak/>
        <w:t>Research and Public Health,</w:t>
      </w:r>
      <w:r w:rsidRPr="00A960F2">
        <w:rPr>
          <w:rFonts w:ascii="Arial" w:hAnsi="Arial" w:cs="Arial"/>
          <w:color w:val="000000"/>
          <w:sz w:val="22"/>
          <w:szCs w:val="22"/>
        </w:rPr>
        <w:t> 19(17), pp. 10580. Available at: </w:t>
      </w:r>
      <w:hyperlink r:id="rId6" w:tgtFrame="_blank" w:history="1">
        <w:r w:rsidRPr="00A960F2">
          <w:rPr>
            <w:rStyle w:val="Hyperlink"/>
            <w:rFonts w:ascii="Arial" w:hAnsi="Arial" w:cs="Arial"/>
            <w:color w:val="0066CC"/>
            <w:sz w:val="22"/>
            <w:szCs w:val="22"/>
          </w:rPr>
          <w:t>https://doi.org/10.3390/ijerph191710580</w:t>
        </w:r>
      </w:hyperlink>
      <w:r w:rsidRPr="00A960F2">
        <w:rPr>
          <w:rFonts w:ascii="Arial" w:hAnsi="Arial" w:cs="Arial"/>
          <w:color w:val="000000"/>
          <w:sz w:val="22"/>
          <w:szCs w:val="22"/>
        </w:rPr>
        <w:t>.</w:t>
      </w:r>
    </w:p>
    <w:p w14:paraId="68BB036C"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 xml:space="preserve">Almeida, T.C., Cardoso, J., Matos, A.F., </w:t>
      </w:r>
      <w:proofErr w:type="spellStart"/>
      <w:r w:rsidRPr="00A960F2">
        <w:rPr>
          <w:rFonts w:ascii="Arial" w:hAnsi="Arial" w:cs="Arial"/>
          <w:color w:val="000000"/>
          <w:sz w:val="22"/>
          <w:szCs w:val="22"/>
        </w:rPr>
        <w:t>Murça</w:t>
      </w:r>
      <w:proofErr w:type="spellEnd"/>
      <w:r w:rsidRPr="00A960F2">
        <w:rPr>
          <w:rFonts w:ascii="Arial" w:hAnsi="Arial" w:cs="Arial"/>
          <w:color w:val="000000"/>
          <w:sz w:val="22"/>
          <w:szCs w:val="22"/>
        </w:rPr>
        <w:t>, A. and Cunha, O. (2024) 'Adverse childhood experiences and aggression in adulthood: The moderating role of positive childhood experiences', </w:t>
      </w:r>
      <w:r w:rsidRPr="00A960F2">
        <w:rPr>
          <w:rFonts w:ascii="Arial" w:hAnsi="Arial" w:cs="Arial"/>
          <w:i/>
          <w:iCs/>
          <w:color w:val="000000"/>
          <w:sz w:val="22"/>
          <w:szCs w:val="22"/>
        </w:rPr>
        <w:t>Child Abuse &amp; Neglect,</w:t>
      </w:r>
      <w:r w:rsidRPr="00A960F2">
        <w:rPr>
          <w:rFonts w:ascii="Arial" w:hAnsi="Arial" w:cs="Arial"/>
          <w:color w:val="000000"/>
          <w:sz w:val="22"/>
          <w:szCs w:val="22"/>
        </w:rPr>
        <w:t> 154, pp. 106929. Available at: </w:t>
      </w:r>
      <w:hyperlink r:id="rId7" w:tgtFrame="_blank" w:history="1">
        <w:r w:rsidRPr="00A960F2">
          <w:rPr>
            <w:rStyle w:val="Hyperlink"/>
            <w:rFonts w:ascii="Arial" w:hAnsi="Arial" w:cs="Arial"/>
            <w:color w:val="0066CC"/>
            <w:sz w:val="22"/>
            <w:szCs w:val="22"/>
          </w:rPr>
          <w:t>https://doi.org/10.1016/j.chiabu.2024.106929</w:t>
        </w:r>
      </w:hyperlink>
      <w:r w:rsidRPr="00A960F2">
        <w:rPr>
          <w:rFonts w:ascii="Arial" w:hAnsi="Arial" w:cs="Arial"/>
          <w:color w:val="000000"/>
          <w:sz w:val="22"/>
          <w:szCs w:val="22"/>
        </w:rPr>
        <w:t>.</w:t>
      </w:r>
    </w:p>
    <w:p w14:paraId="697F37E6"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Amos, R.L.M., Cresswell, K., Hughes, K. and Bellis, M.A. (2023) '</w:t>
      </w:r>
      <w:proofErr w:type="spellStart"/>
      <w:r w:rsidRPr="00A960F2">
        <w:rPr>
          <w:rFonts w:ascii="Arial" w:hAnsi="Arial" w:cs="Arial"/>
          <w:color w:val="000000"/>
          <w:sz w:val="22"/>
          <w:szCs w:val="22"/>
        </w:rPr>
        <w:t>ACEtimation</w:t>
      </w:r>
      <w:proofErr w:type="spellEnd"/>
      <w:r w:rsidRPr="00A960F2">
        <w:rPr>
          <w:rFonts w:ascii="Arial" w:hAnsi="Arial" w:cs="Arial"/>
          <w:color w:val="000000"/>
          <w:sz w:val="22"/>
          <w:szCs w:val="22"/>
        </w:rPr>
        <w:t xml:space="preserve">—The combined effect of adverse childhood experiences on violence, health-harming </w:t>
      </w:r>
      <w:proofErr w:type="spellStart"/>
      <w:r w:rsidRPr="00A960F2">
        <w:rPr>
          <w:rFonts w:ascii="Arial" w:hAnsi="Arial" w:cs="Arial"/>
          <w:color w:val="000000"/>
          <w:sz w:val="22"/>
          <w:szCs w:val="22"/>
        </w:rPr>
        <w:t>behaviors</w:t>
      </w:r>
      <w:proofErr w:type="spellEnd"/>
      <w:r w:rsidRPr="00A960F2">
        <w:rPr>
          <w:rFonts w:ascii="Arial" w:hAnsi="Arial" w:cs="Arial"/>
          <w:color w:val="000000"/>
          <w:sz w:val="22"/>
          <w:szCs w:val="22"/>
        </w:rPr>
        <w:t xml:space="preserve">, and mental ill-health: Findings across </w:t>
      </w:r>
      <w:proofErr w:type="spellStart"/>
      <w:r w:rsidRPr="00A960F2">
        <w:rPr>
          <w:rFonts w:ascii="Arial" w:hAnsi="Arial" w:cs="Arial"/>
          <w:color w:val="000000"/>
          <w:sz w:val="22"/>
          <w:szCs w:val="22"/>
        </w:rPr>
        <w:t>england</w:t>
      </w:r>
      <w:proofErr w:type="spellEnd"/>
      <w:r w:rsidRPr="00A960F2">
        <w:rPr>
          <w:rFonts w:ascii="Arial" w:hAnsi="Arial" w:cs="Arial"/>
          <w:color w:val="000000"/>
          <w:sz w:val="22"/>
          <w:szCs w:val="22"/>
        </w:rPr>
        <w:t xml:space="preserve"> and </w:t>
      </w:r>
      <w:proofErr w:type="spellStart"/>
      <w:r w:rsidRPr="00A960F2">
        <w:rPr>
          <w:rFonts w:ascii="Arial" w:hAnsi="Arial" w:cs="Arial"/>
          <w:color w:val="000000"/>
          <w:sz w:val="22"/>
          <w:szCs w:val="22"/>
        </w:rPr>
        <w:t>wales</w:t>
      </w:r>
      <w:proofErr w:type="spellEnd"/>
      <w:r w:rsidRPr="00A960F2">
        <w:rPr>
          <w:rFonts w:ascii="Arial" w:hAnsi="Arial" w:cs="Arial"/>
          <w:color w:val="000000"/>
          <w:sz w:val="22"/>
          <w:szCs w:val="22"/>
        </w:rPr>
        <w:t>', </w:t>
      </w:r>
      <w:r w:rsidRPr="00A960F2">
        <w:rPr>
          <w:rFonts w:ascii="Arial" w:hAnsi="Arial" w:cs="Arial"/>
          <w:i/>
          <w:iCs/>
          <w:color w:val="000000"/>
          <w:sz w:val="22"/>
          <w:szCs w:val="22"/>
        </w:rPr>
        <w:t>International Journal of Environmental Research and Public Health,</w:t>
      </w:r>
      <w:r w:rsidRPr="00A960F2">
        <w:rPr>
          <w:rFonts w:ascii="Arial" w:hAnsi="Arial" w:cs="Arial"/>
          <w:color w:val="000000"/>
          <w:sz w:val="22"/>
          <w:szCs w:val="22"/>
        </w:rPr>
        <w:t> 20(17), pp. 6633. Available at: </w:t>
      </w:r>
      <w:hyperlink r:id="rId8" w:tgtFrame="_blank" w:history="1">
        <w:r w:rsidRPr="00A960F2">
          <w:rPr>
            <w:rStyle w:val="Hyperlink"/>
            <w:rFonts w:ascii="Arial" w:hAnsi="Arial" w:cs="Arial"/>
            <w:color w:val="0066CC"/>
            <w:sz w:val="22"/>
            <w:szCs w:val="22"/>
          </w:rPr>
          <w:t>https://doi.org/10.3390/ijerph20176633</w:t>
        </w:r>
      </w:hyperlink>
      <w:r w:rsidRPr="00A960F2">
        <w:rPr>
          <w:rFonts w:ascii="Arial" w:hAnsi="Arial" w:cs="Arial"/>
          <w:color w:val="000000"/>
          <w:sz w:val="22"/>
          <w:szCs w:val="22"/>
        </w:rPr>
        <w:t>.</w:t>
      </w:r>
    </w:p>
    <w:p w14:paraId="50906173"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 xml:space="preserve">Arnold, R., Ahmed, F., Clarke, A., Quinn, N., </w:t>
      </w:r>
      <w:proofErr w:type="spellStart"/>
      <w:r w:rsidRPr="00A960F2">
        <w:rPr>
          <w:rFonts w:ascii="Arial" w:hAnsi="Arial" w:cs="Arial"/>
          <w:color w:val="000000"/>
          <w:sz w:val="22"/>
          <w:szCs w:val="22"/>
        </w:rPr>
        <w:t>Beenstock</w:t>
      </w:r>
      <w:proofErr w:type="spellEnd"/>
      <w:r w:rsidRPr="00A960F2">
        <w:rPr>
          <w:rFonts w:ascii="Arial" w:hAnsi="Arial" w:cs="Arial"/>
          <w:color w:val="000000"/>
          <w:sz w:val="22"/>
          <w:szCs w:val="22"/>
        </w:rPr>
        <w:t>, J. and Holland, P. (2023) 'The relationship between parental adverse childhood experiences and the health, well-being and development outcomes of their children: A systematic review', </w:t>
      </w:r>
      <w:r w:rsidRPr="00A960F2">
        <w:rPr>
          <w:rFonts w:ascii="Arial" w:hAnsi="Arial" w:cs="Arial"/>
          <w:i/>
          <w:iCs/>
          <w:color w:val="000000"/>
          <w:sz w:val="22"/>
          <w:szCs w:val="22"/>
        </w:rPr>
        <w:t>Public Health (London),</w:t>
      </w:r>
      <w:r w:rsidRPr="00A960F2">
        <w:rPr>
          <w:rFonts w:ascii="Arial" w:hAnsi="Arial" w:cs="Arial"/>
          <w:color w:val="000000"/>
          <w:sz w:val="22"/>
          <w:szCs w:val="22"/>
        </w:rPr>
        <w:t> 219, pp. 146–153. Available at: </w:t>
      </w:r>
      <w:hyperlink r:id="rId9" w:tgtFrame="_blank" w:history="1">
        <w:r w:rsidRPr="00A960F2">
          <w:rPr>
            <w:rStyle w:val="Hyperlink"/>
            <w:rFonts w:ascii="Arial" w:hAnsi="Arial" w:cs="Arial"/>
            <w:color w:val="0066CC"/>
            <w:sz w:val="22"/>
            <w:szCs w:val="22"/>
          </w:rPr>
          <w:t>https://doi.org/10.1016/j.puhe.2023.03.025</w:t>
        </w:r>
      </w:hyperlink>
      <w:r w:rsidRPr="00A960F2">
        <w:rPr>
          <w:rFonts w:ascii="Arial" w:hAnsi="Arial" w:cs="Arial"/>
          <w:color w:val="000000"/>
          <w:sz w:val="22"/>
          <w:szCs w:val="22"/>
        </w:rPr>
        <w:t>.</w:t>
      </w:r>
    </w:p>
    <w:p w14:paraId="4DF74C06"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 xml:space="preserve">Austin, A.E., Anderson, K.N., Goodson, M., </w:t>
      </w:r>
      <w:proofErr w:type="spellStart"/>
      <w:r w:rsidRPr="00A960F2">
        <w:rPr>
          <w:rFonts w:ascii="Arial" w:hAnsi="Arial" w:cs="Arial"/>
          <w:color w:val="000000"/>
          <w:sz w:val="22"/>
          <w:szCs w:val="22"/>
        </w:rPr>
        <w:t>Niolon</w:t>
      </w:r>
      <w:proofErr w:type="spellEnd"/>
      <w:r w:rsidRPr="00A960F2">
        <w:rPr>
          <w:rFonts w:ascii="Arial" w:hAnsi="Arial" w:cs="Arial"/>
          <w:color w:val="000000"/>
          <w:sz w:val="22"/>
          <w:szCs w:val="22"/>
        </w:rPr>
        <w:t>, P.H., Swedo, E.A., Terranella, A. and Bacon, S. (2024) 'Screening for adverse childhood experiences: A critical appraisal', </w:t>
      </w:r>
      <w:proofErr w:type="spellStart"/>
      <w:r w:rsidRPr="00A960F2">
        <w:rPr>
          <w:rFonts w:ascii="Arial" w:hAnsi="Arial" w:cs="Arial"/>
          <w:i/>
          <w:iCs/>
          <w:color w:val="000000"/>
          <w:sz w:val="22"/>
          <w:szCs w:val="22"/>
        </w:rPr>
        <w:t>Pediatrics</w:t>
      </w:r>
      <w:proofErr w:type="spellEnd"/>
      <w:r w:rsidRPr="00A960F2">
        <w:rPr>
          <w:rFonts w:ascii="Arial" w:hAnsi="Arial" w:cs="Arial"/>
          <w:i/>
          <w:iCs/>
          <w:color w:val="000000"/>
          <w:sz w:val="22"/>
          <w:szCs w:val="22"/>
        </w:rPr>
        <w:t xml:space="preserve"> (Evanston),</w:t>
      </w:r>
      <w:r w:rsidRPr="00A960F2">
        <w:rPr>
          <w:rFonts w:ascii="Arial" w:hAnsi="Arial" w:cs="Arial"/>
          <w:color w:val="000000"/>
          <w:sz w:val="22"/>
          <w:szCs w:val="22"/>
        </w:rPr>
        <w:t> 154(6), pp. 1. Available at: </w:t>
      </w:r>
      <w:hyperlink r:id="rId10" w:tgtFrame="_blank" w:history="1">
        <w:r w:rsidRPr="00A960F2">
          <w:rPr>
            <w:rStyle w:val="Hyperlink"/>
            <w:rFonts w:ascii="Arial" w:hAnsi="Arial" w:cs="Arial"/>
            <w:color w:val="0066CC"/>
            <w:sz w:val="22"/>
            <w:szCs w:val="22"/>
          </w:rPr>
          <w:t>https://doi.org/10.1542/peds.2024-067307</w:t>
        </w:r>
      </w:hyperlink>
      <w:r w:rsidRPr="00A960F2">
        <w:rPr>
          <w:rFonts w:ascii="Arial" w:hAnsi="Arial" w:cs="Arial"/>
          <w:color w:val="000000"/>
          <w:sz w:val="22"/>
          <w:szCs w:val="22"/>
        </w:rPr>
        <w:t>.</w:t>
      </w:r>
    </w:p>
    <w:p w14:paraId="232C5474" w14:textId="13CA7279"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836719">
        <w:rPr>
          <w:rFonts w:ascii="Arial" w:hAnsi="Arial" w:cs="Arial"/>
          <w:color w:val="000000"/>
          <w:sz w:val="22"/>
          <w:szCs w:val="22"/>
        </w:rPr>
        <w:t>B</w:t>
      </w:r>
      <w:r w:rsidR="00836719" w:rsidRPr="00836719">
        <w:rPr>
          <w:rFonts w:ascii="Arial" w:hAnsi="Arial" w:cs="Arial"/>
          <w:color w:val="000000"/>
          <w:sz w:val="22"/>
          <w:szCs w:val="22"/>
        </w:rPr>
        <w:t>owlby,</w:t>
      </w:r>
      <w:r w:rsidRPr="00836719">
        <w:rPr>
          <w:rFonts w:ascii="Arial" w:hAnsi="Arial" w:cs="Arial"/>
          <w:color w:val="000000"/>
          <w:sz w:val="22"/>
          <w:szCs w:val="22"/>
        </w:rPr>
        <w:t xml:space="preserve"> J.</w:t>
      </w:r>
      <w:r w:rsidRPr="00A960F2">
        <w:rPr>
          <w:rFonts w:ascii="Arial" w:hAnsi="Arial" w:cs="Arial"/>
          <w:color w:val="000000"/>
          <w:sz w:val="22"/>
          <w:szCs w:val="22"/>
        </w:rPr>
        <w:t xml:space="preserve"> (1969) 'Attachment and loss', </w:t>
      </w:r>
      <w:r w:rsidRPr="00A960F2">
        <w:rPr>
          <w:rFonts w:ascii="Arial" w:hAnsi="Arial" w:cs="Arial"/>
          <w:i/>
          <w:iCs/>
          <w:color w:val="000000"/>
          <w:sz w:val="22"/>
          <w:szCs w:val="22"/>
        </w:rPr>
        <w:t>Attachment,</w:t>
      </w:r>
      <w:r w:rsidRPr="00A960F2">
        <w:rPr>
          <w:rFonts w:ascii="Arial" w:hAnsi="Arial" w:cs="Arial"/>
          <w:color w:val="000000"/>
          <w:sz w:val="22"/>
          <w:szCs w:val="22"/>
        </w:rPr>
        <w:t> 1 Available at: </w:t>
      </w:r>
      <w:hyperlink r:id="rId11" w:tgtFrame="_blank" w:history="1">
        <w:r w:rsidRPr="00A960F2">
          <w:rPr>
            <w:rStyle w:val="Hyperlink"/>
            <w:rFonts w:ascii="Arial" w:hAnsi="Arial" w:cs="Arial"/>
            <w:color w:val="0066CC"/>
            <w:sz w:val="22"/>
            <w:szCs w:val="22"/>
          </w:rPr>
          <w:t>https://cir.nii.ac.jp/crid/1570009749826203008</w:t>
        </w:r>
      </w:hyperlink>
      <w:r w:rsidRPr="00A960F2">
        <w:rPr>
          <w:rFonts w:ascii="Arial" w:hAnsi="Arial" w:cs="Arial"/>
          <w:color w:val="000000"/>
          <w:sz w:val="22"/>
          <w:szCs w:val="22"/>
        </w:rPr>
        <w:t>.</w:t>
      </w:r>
    </w:p>
    <w:p w14:paraId="76B0AA8C"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Burke Harris, N. (2018) </w:t>
      </w:r>
      <w:r w:rsidRPr="00A960F2">
        <w:rPr>
          <w:rFonts w:ascii="Arial" w:hAnsi="Arial" w:cs="Arial"/>
          <w:i/>
          <w:iCs/>
          <w:color w:val="000000"/>
          <w:sz w:val="22"/>
          <w:szCs w:val="22"/>
        </w:rPr>
        <w:t xml:space="preserve">The deepest </w:t>
      </w:r>
      <w:proofErr w:type="gramStart"/>
      <w:r w:rsidRPr="00A960F2">
        <w:rPr>
          <w:rFonts w:ascii="Arial" w:hAnsi="Arial" w:cs="Arial"/>
          <w:i/>
          <w:iCs/>
          <w:color w:val="000000"/>
          <w:sz w:val="22"/>
          <w:szCs w:val="22"/>
        </w:rPr>
        <w:t>well :</w:t>
      </w:r>
      <w:proofErr w:type="gramEnd"/>
      <w:r w:rsidRPr="00A960F2">
        <w:rPr>
          <w:rFonts w:ascii="Arial" w:hAnsi="Arial" w:cs="Arial"/>
          <w:i/>
          <w:iCs/>
          <w:color w:val="000000"/>
          <w:sz w:val="22"/>
          <w:szCs w:val="22"/>
        </w:rPr>
        <w:t xml:space="preserve"> healing the long-term effects of childhood </w:t>
      </w:r>
      <w:proofErr w:type="gramStart"/>
      <w:r w:rsidRPr="00A960F2">
        <w:rPr>
          <w:rFonts w:ascii="Arial" w:hAnsi="Arial" w:cs="Arial"/>
          <w:i/>
          <w:iCs/>
          <w:color w:val="000000"/>
          <w:sz w:val="22"/>
          <w:szCs w:val="22"/>
        </w:rPr>
        <w:t>adversity :</w:t>
      </w:r>
      <w:proofErr w:type="gramEnd"/>
      <w:r w:rsidRPr="00A960F2">
        <w:rPr>
          <w:rFonts w:ascii="Arial" w:hAnsi="Arial" w:cs="Arial"/>
          <w:i/>
          <w:iCs/>
          <w:color w:val="000000"/>
          <w:sz w:val="22"/>
          <w:szCs w:val="22"/>
        </w:rPr>
        <w:t xml:space="preserve"> [</w:t>
      </w:r>
      <w:proofErr w:type="spellStart"/>
      <w:r w:rsidRPr="00A960F2">
        <w:rPr>
          <w:rFonts w:ascii="Arial" w:hAnsi="Arial" w:cs="Arial"/>
          <w:i/>
          <w:iCs/>
          <w:color w:val="000000"/>
          <w:sz w:val="22"/>
          <w:szCs w:val="22"/>
        </w:rPr>
        <w:t>pbk</w:t>
      </w:r>
      <w:proofErr w:type="spellEnd"/>
      <w:r w:rsidRPr="00A960F2">
        <w:rPr>
          <w:rFonts w:ascii="Arial" w:hAnsi="Arial" w:cs="Arial"/>
          <w:i/>
          <w:iCs/>
          <w:color w:val="000000"/>
          <w:sz w:val="22"/>
          <w:szCs w:val="22"/>
        </w:rPr>
        <w:t>.]. </w:t>
      </w:r>
      <w:r w:rsidRPr="00A960F2">
        <w:rPr>
          <w:rFonts w:ascii="Arial" w:hAnsi="Arial" w:cs="Arial"/>
          <w:color w:val="000000"/>
          <w:sz w:val="22"/>
          <w:szCs w:val="22"/>
        </w:rPr>
        <w:t>Bluebird.</w:t>
      </w:r>
    </w:p>
    <w:p w14:paraId="416A77E9" w14:textId="77777777" w:rsidR="00D961CB" w:rsidRPr="00A960F2" w:rsidRDefault="00395C2B" w:rsidP="00297521">
      <w:pPr>
        <w:pStyle w:val="NormalWeb"/>
        <w:spacing w:line="360" w:lineRule="auto"/>
        <w:rPr>
          <w:rFonts w:ascii="Arial" w:hAnsi="Arial" w:cs="Arial"/>
          <w:sz w:val="22"/>
          <w:szCs w:val="22"/>
        </w:rPr>
      </w:pPr>
      <w:r w:rsidRPr="00A960F2">
        <w:rPr>
          <w:rFonts w:ascii="Arial" w:hAnsi="Arial" w:cs="Arial"/>
          <w:sz w:val="22"/>
          <w:szCs w:val="22"/>
        </w:rPr>
        <w:t>Care Act 2014. (2014) c.23. London: The Stationery Office.</w:t>
      </w:r>
      <w:r w:rsidR="00A14072" w:rsidRPr="00A960F2">
        <w:rPr>
          <w:rFonts w:ascii="Arial" w:hAnsi="Arial" w:cs="Arial"/>
          <w:sz w:val="22"/>
          <w:szCs w:val="22"/>
        </w:rPr>
        <w:br/>
      </w:r>
    </w:p>
    <w:p w14:paraId="2B14E2DA" w14:textId="4DF660D2" w:rsidR="00395C2B" w:rsidRPr="00A960F2" w:rsidRDefault="00395C2B" w:rsidP="00297521">
      <w:pPr>
        <w:pStyle w:val="NormalWeb"/>
        <w:spacing w:line="360" w:lineRule="auto"/>
        <w:rPr>
          <w:rFonts w:ascii="Arial" w:hAnsi="Arial" w:cs="Arial"/>
          <w:sz w:val="22"/>
          <w:szCs w:val="22"/>
        </w:rPr>
      </w:pPr>
      <w:r w:rsidRPr="00A960F2">
        <w:rPr>
          <w:rFonts w:ascii="Arial" w:hAnsi="Arial" w:cs="Arial"/>
          <w:sz w:val="22"/>
          <w:szCs w:val="22"/>
        </w:rPr>
        <w:t>Cent</w:t>
      </w:r>
      <w:r w:rsidR="00004A36" w:rsidRPr="00A960F2">
        <w:rPr>
          <w:rFonts w:ascii="Arial" w:hAnsi="Arial" w:cs="Arial"/>
          <w:sz w:val="22"/>
          <w:szCs w:val="22"/>
        </w:rPr>
        <w:t>re</w:t>
      </w:r>
      <w:r w:rsidRPr="00A960F2">
        <w:rPr>
          <w:rFonts w:ascii="Arial" w:hAnsi="Arial" w:cs="Arial"/>
          <w:sz w:val="22"/>
          <w:szCs w:val="22"/>
        </w:rPr>
        <w:t xml:space="preserve"> on the Developing Child (2024) </w:t>
      </w:r>
      <w:r w:rsidRPr="00A960F2">
        <w:rPr>
          <w:rStyle w:val="Emphasis"/>
          <w:rFonts w:ascii="Arial" w:hAnsi="Arial" w:cs="Arial"/>
          <w:sz w:val="22"/>
          <w:szCs w:val="22"/>
        </w:rPr>
        <w:t>Understanding Toxic Stress</w:t>
      </w:r>
      <w:r w:rsidRPr="00A960F2">
        <w:rPr>
          <w:rFonts w:ascii="Arial" w:hAnsi="Arial" w:cs="Arial"/>
          <w:sz w:val="22"/>
          <w:szCs w:val="22"/>
        </w:rPr>
        <w:t xml:space="preserve">. Cambridge, MA: Harvard University. Available at: </w:t>
      </w:r>
      <w:hyperlink r:id="rId12" w:history="1">
        <w:r w:rsidRPr="00A960F2">
          <w:rPr>
            <w:rStyle w:val="Hyperlink"/>
            <w:rFonts w:ascii="Arial" w:hAnsi="Arial" w:cs="Arial"/>
            <w:sz w:val="22"/>
            <w:szCs w:val="22"/>
          </w:rPr>
          <w:t>https://developingchild.harvard.edu</w:t>
        </w:r>
      </w:hyperlink>
      <w:r w:rsidRPr="00A960F2">
        <w:rPr>
          <w:rFonts w:ascii="Arial" w:hAnsi="Arial" w:cs="Arial"/>
          <w:sz w:val="22"/>
          <w:szCs w:val="22"/>
        </w:rPr>
        <w:t xml:space="preserve"> (Accessed: 1 June 2026).</w:t>
      </w:r>
    </w:p>
    <w:p w14:paraId="728BB6D7" w14:textId="47BD63C6"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 xml:space="preserve">Cheng, C., Wang, X., Huang, M., He, J., Li, Y. and Cui, Y. (2025) 'The association between adverse childhood experiences and chronic respiratory diseases in the </w:t>
      </w:r>
      <w:r w:rsidR="00004A36" w:rsidRPr="00A960F2">
        <w:rPr>
          <w:rFonts w:ascii="Arial" w:hAnsi="Arial" w:cs="Arial"/>
          <w:color w:val="000000"/>
          <w:sz w:val="22"/>
          <w:szCs w:val="22"/>
        </w:rPr>
        <w:t>C</w:t>
      </w:r>
      <w:r w:rsidRPr="00A960F2">
        <w:rPr>
          <w:rFonts w:ascii="Arial" w:hAnsi="Arial" w:cs="Arial"/>
          <w:color w:val="000000"/>
          <w:sz w:val="22"/>
          <w:szCs w:val="22"/>
        </w:rPr>
        <w:t>hinese middle-aged and elderly population', </w:t>
      </w:r>
      <w:r w:rsidRPr="00A960F2">
        <w:rPr>
          <w:rFonts w:ascii="Arial" w:hAnsi="Arial" w:cs="Arial"/>
          <w:i/>
          <w:iCs/>
          <w:color w:val="000000"/>
          <w:sz w:val="22"/>
          <w:szCs w:val="22"/>
        </w:rPr>
        <w:t>BMC Public Health,</w:t>
      </w:r>
      <w:r w:rsidRPr="00A960F2">
        <w:rPr>
          <w:rFonts w:ascii="Arial" w:hAnsi="Arial" w:cs="Arial"/>
          <w:color w:val="000000"/>
          <w:sz w:val="22"/>
          <w:szCs w:val="22"/>
        </w:rPr>
        <w:t> 25(1), pp. 2942–10. Available at: </w:t>
      </w:r>
      <w:hyperlink r:id="rId13" w:tgtFrame="_blank" w:history="1">
        <w:r w:rsidRPr="00A960F2">
          <w:rPr>
            <w:rStyle w:val="Hyperlink"/>
            <w:rFonts w:ascii="Arial" w:hAnsi="Arial" w:cs="Arial"/>
            <w:color w:val="0066CC"/>
            <w:sz w:val="22"/>
            <w:szCs w:val="22"/>
          </w:rPr>
          <w:t>https://doi.org/10.1186/s12889-025-24405-5</w:t>
        </w:r>
      </w:hyperlink>
      <w:r w:rsidRPr="00A960F2">
        <w:rPr>
          <w:rFonts w:ascii="Arial" w:hAnsi="Arial" w:cs="Arial"/>
          <w:color w:val="000000"/>
          <w:sz w:val="22"/>
          <w:szCs w:val="22"/>
        </w:rPr>
        <w:t>.</w:t>
      </w:r>
    </w:p>
    <w:p w14:paraId="613F9720" w14:textId="77777777" w:rsidR="0021656E" w:rsidRPr="00A960F2" w:rsidRDefault="0021656E" w:rsidP="00297521">
      <w:pPr>
        <w:pStyle w:val="NormalWeb"/>
        <w:spacing w:line="360" w:lineRule="auto"/>
        <w:rPr>
          <w:rFonts w:ascii="Arial" w:hAnsi="Arial" w:cs="Arial"/>
          <w:sz w:val="22"/>
          <w:szCs w:val="22"/>
        </w:rPr>
      </w:pPr>
      <w:r w:rsidRPr="00A960F2">
        <w:rPr>
          <w:rFonts w:ascii="Arial" w:hAnsi="Arial" w:cs="Arial"/>
          <w:sz w:val="22"/>
          <w:szCs w:val="22"/>
        </w:rPr>
        <w:lastRenderedPageBreak/>
        <w:t>Children Act 1989. (1989) c.41. London: The Stationery Office.</w:t>
      </w:r>
    </w:p>
    <w:p w14:paraId="5F95907F" w14:textId="77777777" w:rsidR="0021656E" w:rsidRPr="00A960F2" w:rsidRDefault="0021656E" w:rsidP="00297521">
      <w:pPr>
        <w:pStyle w:val="NormalWeb"/>
        <w:spacing w:line="360" w:lineRule="auto"/>
        <w:rPr>
          <w:rFonts w:ascii="Arial" w:hAnsi="Arial" w:cs="Arial"/>
          <w:sz w:val="22"/>
          <w:szCs w:val="22"/>
        </w:rPr>
      </w:pPr>
      <w:r w:rsidRPr="00A960F2">
        <w:rPr>
          <w:rFonts w:ascii="Arial" w:hAnsi="Arial" w:cs="Arial"/>
          <w:sz w:val="22"/>
          <w:szCs w:val="22"/>
        </w:rPr>
        <w:t>Children Act 2004. (2004) c.31. London: The Stationery Office.</w:t>
      </w:r>
    </w:p>
    <w:p w14:paraId="74F24B37" w14:textId="4E354B71"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Crawford, A.D., McGlothen</w:t>
      </w:r>
      <w:r w:rsidRPr="00A960F2">
        <w:rPr>
          <w:rFonts w:ascii="Cambria Math" w:hAnsi="Cambria Math" w:cs="Cambria Math"/>
          <w:color w:val="000000"/>
          <w:sz w:val="22"/>
          <w:szCs w:val="22"/>
        </w:rPr>
        <w:t>‐</w:t>
      </w:r>
      <w:r w:rsidRPr="00A960F2">
        <w:rPr>
          <w:rFonts w:ascii="Arial" w:hAnsi="Arial" w:cs="Arial"/>
          <w:color w:val="000000"/>
          <w:sz w:val="22"/>
          <w:szCs w:val="22"/>
        </w:rPr>
        <w:t xml:space="preserve">Bell, K., Testa, A., McGrath, J.M. and Cleveland, L. (2024) 'Exploration of the effects of incarceration on the health of </w:t>
      </w:r>
      <w:r w:rsidR="00004A36" w:rsidRPr="00A960F2">
        <w:rPr>
          <w:rFonts w:ascii="Arial" w:hAnsi="Arial" w:cs="Arial"/>
          <w:color w:val="000000"/>
          <w:sz w:val="22"/>
          <w:szCs w:val="22"/>
        </w:rPr>
        <w:t>L</w:t>
      </w:r>
      <w:r w:rsidRPr="00A960F2">
        <w:rPr>
          <w:rFonts w:ascii="Arial" w:hAnsi="Arial" w:cs="Arial"/>
          <w:color w:val="000000"/>
          <w:sz w:val="22"/>
          <w:szCs w:val="22"/>
        </w:rPr>
        <w:t>atina women and their children using the life course theory', </w:t>
      </w:r>
      <w:r w:rsidRPr="00A960F2">
        <w:rPr>
          <w:rFonts w:ascii="Arial" w:hAnsi="Arial" w:cs="Arial"/>
          <w:i/>
          <w:iCs/>
          <w:color w:val="000000"/>
          <w:sz w:val="22"/>
          <w:szCs w:val="22"/>
        </w:rPr>
        <w:t>Public Health Nursing,</w:t>
      </w:r>
      <w:r w:rsidRPr="00A960F2">
        <w:rPr>
          <w:rFonts w:ascii="Arial" w:hAnsi="Arial" w:cs="Arial"/>
          <w:color w:val="000000"/>
          <w:sz w:val="22"/>
          <w:szCs w:val="22"/>
        </w:rPr>
        <w:t> 41(2), pp. 264–273. Available at: </w:t>
      </w:r>
      <w:hyperlink r:id="rId14" w:tgtFrame="_blank" w:history="1">
        <w:r w:rsidRPr="00A960F2">
          <w:rPr>
            <w:rStyle w:val="Hyperlink"/>
            <w:rFonts w:ascii="Arial" w:hAnsi="Arial" w:cs="Arial"/>
            <w:color w:val="0066CC"/>
            <w:sz w:val="22"/>
            <w:szCs w:val="22"/>
          </w:rPr>
          <w:t>https://doi.org/10.1111/phn.13273</w:t>
        </w:r>
      </w:hyperlink>
      <w:r w:rsidRPr="00A960F2">
        <w:rPr>
          <w:rFonts w:ascii="Arial" w:hAnsi="Arial" w:cs="Arial"/>
          <w:color w:val="000000"/>
          <w:sz w:val="22"/>
          <w:szCs w:val="22"/>
        </w:rPr>
        <w:t>.</w:t>
      </w:r>
    </w:p>
    <w:p w14:paraId="0E3C7997"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Daníelsdóttir, H.B., Aspelund, T., Shen, Q., Halldorsdottir, T., Jakobsdóttir, J., Song, H., Lu, D., Kuja-</w:t>
      </w:r>
      <w:proofErr w:type="spellStart"/>
      <w:r w:rsidRPr="00A960F2">
        <w:rPr>
          <w:rFonts w:ascii="Arial" w:hAnsi="Arial" w:cs="Arial"/>
          <w:color w:val="000000"/>
          <w:sz w:val="22"/>
          <w:szCs w:val="22"/>
        </w:rPr>
        <w:t>Halkola</w:t>
      </w:r>
      <w:proofErr w:type="spellEnd"/>
      <w:r w:rsidRPr="00A960F2">
        <w:rPr>
          <w:rFonts w:ascii="Arial" w:hAnsi="Arial" w:cs="Arial"/>
          <w:color w:val="000000"/>
          <w:sz w:val="22"/>
          <w:szCs w:val="22"/>
        </w:rPr>
        <w:t>, R., Larsson, H., Fall, K., Magnusson, P.K.E., Fang, F., Bergstedt, J. and Valdimarsdóttir, U.A. (2024) 'Adverse childhood experiences and adult mental health outcomes', </w:t>
      </w:r>
      <w:r w:rsidRPr="00A960F2">
        <w:rPr>
          <w:rFonts w:ascii="Arial" w:hAnsi="Arial" w:cs="Arial"/>
          <w:i/>
          <w:iCs/>
          <w:color w:val="000000"/>
          <w:sz w:val="22"/>
          <w:szCs w:val="22"/>
        </w:rPr>
        <w:t>JAMA Psychiatry (Chicago, Ill.),</w:t>
      </w:r>
      <w:r w:rsidRPr="00A960F2">
        <w:rPr>
          <w:rFonts w:ascii="Arial" w:hAnsi="Arial" w:cs="Arial"/>
          <w:color w:val="000000"/>
          <w:sz w:val="22"/>
          <w:szCs w:val="22"/>
        </w:rPr>
        <w:t> 81(6), pp. 586. Available at: </w:t>
      </w:r>
      <w:hyperlink r:id="rId15" w:tgtFrame="_blank" w:history="1">
        <w:r w:rsidRPr="00A960F2">
          <w:rPr>
            <w:rStyle w:val="Hyperlink"/>
            <w:rFonts w:ascii="Arial" w:hAnsi="Arial" w:cs="Arial"/>
            <w:color w:val="0066CC"/>
            <w:sz w:val="22"/>
            <w:szCs w:val="22"/>
          </w:rPr>
          <w:t>https://doi.org/10.1001/jamapsychiatry.2024.0039</w:t>
        </w:r>
      </w:hyperlink>
      <w:r w:rsidRPr="00A960F2">
        <w:rPr>
          <w:rFonts w:ascii="Arial" w:hAnsi="Arial" w:cs="Arial"/>
          <w:color w:val="000000"/>
          <w:sz w:val="22"/>
          <w:szCs w:val="22"/>
        </w:rPr>
        <w:t>.</w:t>
      </w:r>
    </w:p>
    <w:p w14:paraId="41114C07"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Deneault, A., Laquerre, D., Beaulieu, L., Myre, G., Racine, N. and Madigan, S. (2025) 'Prevalence and correlates of adverse childhood experiences in fathers: A systematic review and meta-analysis', </w:t>
      </w:r>
      <w:r w:rsidRPr="00A960F2">
        <w:rPr>
          <w:rFonts w:ascii="Arial" w:hAnsi="Arial" w:cs="Arial"/>
          <w:i/>
          <w:iCs/>
          <w:color w:val="000000"/>
          <w:sz w:val="22"/>
          <w:szCs w:val="22"/>
        </w:rPr>
        <w:t>Child Abuse &amp; Neglect,</w:t>
      </w:r>
      <w:r w:rsidRPr="00A960F2">
        <w:rPr>
          <w:rFonts w:ascii="Arial" w:hAnsi="Arial" w:cs="Arial"/>
          <w:color w:val="000000"/>
          <w:sz w:val="22"/>
          <w:szCs w:val="22"/>
        </w:rPr>
        <w:t> 169(Pt 2), pp. 107651. Available at: </w:t>
      </w:r>
      <w:hyperlink r:id="rId16" w:tgtFrame="_blank" w:history="1">
        <w:r w:rsidRPr="00A960F2">
          <w:rPr>
            <w:rStyle w:val="Hyperlink"/>
            <w:rFonts w:ascii="Arial" w:hAnsi="Arial" w:cs="Arial"/>
            <w:color w:val="0066CC"/>
            <w:sz w:val="22"/>
            <w:szCs w:val="22"/>
          </w:rPr>
          <w:t>https://doi.org/10.1016/j.chiabu.2025.107651</w:t>
        </w:r>
      </w:hyperlink>
      <w:r w:rsidRPr="00A960F2">
        <w:rPr>
          <w:rFonts w:ascii="Arial" w:hAnsi="Arial" w:cs="Arial"/>
          <w:color w:val="000000"/>
          <w:sz w:val="22"/>
          <w:szCs w:val="22"/>
        </w:rPr>
        <w:t>.</w:t>
      </w:r>
    </w:p>
    <w:p w14:paraId="4F9E8EE5"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Elder, G.H. (1998) 'The life course as developmental theory', </w:t>
      </w:r>
      <w:r w:rsidRPr="00A960F2">
        <w:rPr>
          <w:rFonts w:ascii="Arial" w:hAnsi="Arial" w:cs="Arial"/>
          <w:i/>
          <w:iCs/>
          <w:color w:val="000000"/>
          <w:sz w:val="22"/>
          <w:szCs w:val="22"/>
        </w:rPr>
        <w:t>Child Development,</w:t>
      </w:r>
      <w:r w:rsidRPr="00A960F2">
        <w:rPr>
          <w:rFonts w:ascii="Arial" w:hAnsi="Arial" w:cs="Arial"/>
          <w:color w:val="000000"/>
          <w:sz w:val="22"/>
          <w:szCs w:val="22"/>
        </w:rPr>
        <w:t> 69(1), pp. 1–12. Available at: </w:t>
      </w:r>
      <w:hyperlink r:id="rId17" w:tgtFrame="_blank" w:history="1">
        <w:r w:rsidRPr="00A960F2">
          <w:rPr>
            <w:rStyle w:val="Hyperlink"/>
            <w:rFonts w:ascii="Arial" w:hAnsi="Arial" w:cs="Arial"/>
            <w:color w:val="0066CC"/>
            <w:sz w:val="22"/>
            <w:szCs w:val="22"/>
          </w:rPr>
          <w:t>https://doi.org/10.1111/j.1467-8624.1998.tb06128.x</w:t>
        </w:r>
      </w:hyperlink>
      <w:r w:rsidRPr="00A960F2">
        <w:rPr>
          <w:rFonts w:ascii="Arial" w:hAnsi="Arial" w:cs="Arial"/>
          <w:color w:val="000000"/>
          <w:sz w:val="22"/>
          <w:szCs w:val="22"/>
        </w:rPr>
        <w:t>.</w:t>
      </w:r>
    </w:p>
    <w:p w14:paraId="10DCC5AE" w14:textId="2F725723"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E</w:t>
      </w:r>
      <w:r w:rsidR="00416953" w:rsidRPr="00A960F2">
        <w:rPr>
          <w:rFonts w:ascii="Arial" w:hAnsi="Arial" w:cs="Arial"/>
          <w:color w:val="000000"/>
          <w:sz w:val="22"/>
          <w:szCs w:val="22"/>
        </w:rPr>
        <w:t>ngel</w:t>
      </w:r>
      <w:r w:rsidR="005D772B" w:rsidRPr="00A960F2">
        <w:rPr>
          <w:rFonts w:ascii="Arial" w:hAnsi="Arial" w:cs="Arial"/>
          <w:color w:val="000000"/>
          <w:sz w:val="22"/>
          <w:szCs w:val="22"/>
        </w:rPr>
        <w:t>,</w:t>
      </w:r>
      <w:r w:rsidR="00416953" w:rsidRPr="00A960F2">
        <w:rPr>
          <w:rFonts w:ascii="Arial" w:hAnsi="Arial" w:cs="Arial"/>
          <w:color w:val="000000"/>
          <w:sz w:val="22"/>
          <w:szCs w:val="22"/>
        </w:rPr>
        <w:t xml:space="preserve"> </w:t>
      </w:r>
      <w:r w:rsidR="005D772B" w:rsidRPr="00A960F2">
        <w:rPr>
          <w:rFonts w:ascii="Arial" w:hAnsi="Arial" w:cs="Arial"/>
          <w:color w:val="000000"/>
          <w:sz w:val="22"/>
          <w:szCs w:val="22"/>
        </w:rPr>
        <w:t>G</w:t>
      </w:r>
      <w:r w:rsidR="009026E7" w:rsidRPr="00A960F2">
        <w:rPr>
          <w:rFonts w:ascii="Arial" w:hAnsi="Arial" w:cs="Arial"/>
          <w:color w:val="000000"/>
          <w:sz w:val="22"/>
          <w:szCs w:val="22"/>
        </w:rPr>
        <w:t>.</w:t>
      </w:r>
      <w:r w:rsidR="005D772B" w:rsidRPr="00A960F2">
        <w:rPr>
          <w:rFonts w:ascii="Arial" w:hAnsi="Arial" w:cs="Arial"/>
          <w:color w:val="000000"/>
          <w:sz w:val="22"/>
          <w:szCs w:val="22"/>
        </w:rPr>
        <w:t>L.</w:t>
      </w:r>
      <w:r w:rsidRPr="00A960F2">
        <w:rPr>
          <w:rFonts w:ascii="Arial" w:hAnsi="Arial" w:cs="Arial"/>
          <w:color w:val="000000"/>
          <w:sz w:val="22"/>
          <w:szCs w:val="22"/>
        </w:rPr>
        <w:t xml:space="preserve"> (1977) 'The need for a new medical </w:t>
      </w:r>
      <w:proofErr w:type="gramStart"/>
      <w:r w:rsidRPr="00A960F2">
        <w:rPr>
          <w:rFonts w:ascii="Arial" w:hAnsi="Arial" w:cs="Arial"/>
          <w:color w:val="000000"/>
          <w:sz w:val="22"/>
          <w:szCs w:val="22"/>
        </w:rPr>
        <w:t>model :</w:t>
      </w:r>
      <w:proofErr w:type="gramEnd"/>
      <w:r w:rsidRPr="00A960F2">
        <w:rPr>
          <w:rFonts w:ascii="Arial" w:hAnsi="Arial" w:cs="Arial"/>
          <w:color w:val="000000"/>
          <w:sz w:val="22"/>
          <w:szCs w:val="22"/>
        </w:rPr>
        <w:t xml:space="preserve"> A challenge for biomedicine', </w:t>
      </w:r>
      <w:r w:rsidRPr="00A960F2">
        <w:rPr>
          <w:rFonts w:ascii="Arial" w:hAnsi="Arial" w:cs="Arial"/>
          <w:i/>
          <w:iCs/>
          <w:color w:val="000000"/>
          <w:sz w:val="22"/>
          <w:szCs w:val="22"/>
        </w:rPr>
        <w:t>Science,</w:t>
      </w:r>
      <w:r w:rsidRPr="00A960F2">
        <w:rPr>
          <w:rFonts w:ascii="Arial" w:hAnsi="Arial" w:cs="Arial"/>
          <w:color w:val="000000"/>
          <w:sz w:val="22"/>
          <w:szCs w:val="22"/>
        </w:rPr>
        <w:t> 196(4286), pp. 129–</w:t>
      </w:r>
      <w:proofErr w:type="gramStart"/>
      <w:r w:rsidRPr="00A960F2">
        <w:rPr>
          <w:rFonts w:ascii="Arial" w:hAnsi="Arial" w:cs="Arial"/>
          <w:color w:val="000000"/>
          <w:sz w:val="22"/>
          <w:szCs w:val="22"/>
        </w:rPr>
        <w:t>136..</w:t>
      </w:r>
      <w:proofErr w:type="gramEnd"/>
    </w:p>
    <w:p w14:paraId="00985990" w14:textId="04685976"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proofErr w:type="spellStart"/>
      <w:r w:rsidRPr="00A960F2">
        <w:rPr>
          <w:rFonts w:ascii="Arial" w:hAnsi="Arial" w:cs="Arial"/>
          <w:color w:val="000000"/>
          <w:sz w:val="22"/>
          <w:szCs w:val="22"/>
        </w:rPr>
        <w:t>E</w:t>
      </w:r>
      <w:r w:rsidR="006975F0" w:rsidRPr="00A960F2">
        <w:rPr>
          <w:rFonts w:ascii="Arial" w:hAnsi="Arial" w:cs="Arial"/>
          <w:color w:val="000000"/>
          <w:sz w:val="22"/>
          <w:szCs w:val="22"/>
        </w:rPr>
        <w:t>ruyar</w:t>
      </w:r>
      <w:proofErr w:type="spellEnd"/>
      <w:r w:rsidRPr="00A960F2">
        <w:rPr>
          <w:rFonts w:ascii="Arial" w:hAnsi="Arial" w:cs="Arial"/>
          <w:color w:val="000000"/>
          <w:sz w:val="22"/>
          <w:szCs w:val="22"/>
        </w:rPr>
        <w:t>, Ş</w:t>
      </w:r>
      <w:r w:rsidR="00A170AE" w:rsidRPr="00A960F2">
        <w:rPr>
          <w:rFonts w:ascii="Arial" w:hAnsi="Arial" w:cs="Arial"/>
          <w:color w:val="000000"/>
          <w:sz w:val="22"/>
          <w:szCs w:val="22"/>
        </w:rPr>
        <w:t>.</w:t>
      </w:r>
      <w:r w:rsidRPr="00A960F2">
        <w:rPr>
          <w:rFonts w:ascii="Arial" w:hAnsi="Arial" w:cs="Arial"/>
          <w:color w:val="000000"/>
          <w:sz w:val="22"/>
          <w:szCs w:val="22"/>
        </w:rPr>
        <w:t>, Y</w:t>
      </w:r>
      <w:r w:rsidR="00A170AE" w:rsidRPr="00A960F2">
        <w:rPr>
          <w:rFonts w:ascii="Arial" w:hAnsi="Arial" w:cs="Arial"/>
          <w:color w:val="000000"/>
          <w:sz w:val="22"/>
          <w:szCs w:val="22"/>
        </w:rPr>
        <w:t>ilmaz</w:t>
      </w:r>
      <w:r w:rsidRPr="00A960F2">
        <w:rPr>
          <w:rFonts w:ascii="Arial" w:hAnsi="Arial" w:cs="Arial"/>
          <w:color w:val="000000"/>
          <w:sz w:val="22"/>
          <w:szCs w:val="22"/>
        </w:rPr>
        <w:t xml:space="preserve">, M. and </w:t>
      </w:r>
      <w:proofErr w:type="spellStart"/>
      <w:r w:rsidRPr="00A960F2">
        <w:rPr>
          <w:rFonts w:ascii="Arial" w:hAnsi="Arial" w:cs="Arial"/>
          <w:color w:val="000000"/>
          <w:sz w:val="22"/>
          <w:szCs w:val="22"/>
        </w:rPr>
        <w:t>V</w:t>
      </w:r>
      <w:r w:rsidR="0080060B" w:rsidRPr="00A960F2">
        <w:rPr>
          <w:rFonts w:ascii="Arial" w:hAnsi="Arial" w:cs="Arial"/>
          <w:color w:val="000000"/>
          <w:sz w:val="22"/>
          <w:szCs w:val="22"/>
        </w:rPr>
        <w:t>ostanis</w:t>
      </w:r>
      <w:proofErr w:type="spellEnd"/>
      <w:r w:rsidRPr="00A960F2">
        <w:rPr>
          <w:rFonts w:ascii="Arial" w:hAnsi="Arial" w:cs="Arial"/>
          <w:color w:val="000000"/>
          <w:sz w:val="22"/>
          <w:szCs w:val="22"/>
        </w:rPr>
        <w:t>, P. (2023) 'Understanding adverse childhood experiences (aces) and subsequent adult psychopathologies through the lens of attachment theory: A position paper', </w:t>
      </w:r>
      <w:r w:rsidRPr="00A960F2">
        <w:rPr>
          <w:rFonts w:ascii="Arial" w:hAnsi="Arial" w:cs="Arial"/>
          <w:i/>
          <w:iCs/>
          <w:color w:val="000000"/>
          <w:sz w:val="22"/>
          <w:szCs w:val="22"/>
        </w:rPr>
        <w:t xml:space="preserve">Karatay </w:t>
      </w:r>
      <w:proofErr w:type="spellStart"/>
      <w:r w:rsidRPr="00A960F2">
        <w:rPr>
          <w:rFonts w:ascii="Arial" w:hAnsi="Arial" w:cs="Arial"/>
          <w:i/>
          <w:iCs/>
          <w:color w:val="000000"/>
          <w:sz w:val="22"/>
          <w:szCs w:val="22"/>
        </w:rPr>
        <w:t>Sosyal</w:t>
      </w:r>
      <w:proofErr w:type="spellEnd"/>
      <w:r w:rsidRPr="00A960F2">
        <w:rPr>
          <w:rFonts w:ascii="Arial" w:hAnsi="Arial" w:cs="Arial"/>
          <w:i/>
          <w:iCs/>
          <w:color w:val="000000"/>
          <w:sz w:val="22"/>
          <w:szCs w:val="22"/>
        </w:rPr>
        <w:t xml:space="preserve"> </w:t>
      </w:r>
      <w:proofErr w:type="spellStart"/>
      <w:r w:rsidRPr="00A960F2">
        <w:rPr>
          <w:rFonts w:ascii="Arial" w:hAnsi="Arial" w:cs="Arial"/>
          <w:i/>
          <w:iCs/>
          <w:color w:val="000000"/>
          <w:sz w:val="22"/>
          <w:szCs w:val="22"/>
        </w:rPr>
        <w:t>Araştırmalar</w:t>
      </w:r>
      <w:proofErr w:type="spellEnd"/>
      <w:r w:rsidRPr="00A960F2">
        <w:rPr>
          <w:rFonts w:ascii="Arial" w:hAnsi="Arial" w:cs="Arial"/>
          <w:i/>
          <w:iCs/>
          <w:color w:val="000000"/>
          <w:sz w:val="22"/>
          <w:szCs w:val="22"/>
        </w:rPr>
        <w:t xml:space="preserve"> </w:t>
      </w:r>
      <w:proofErr w:type="spellStart"/>
      <w:proofErr w:type="gramStart"/>
      <w:r w:rsidRPr="00A960F2">
        <w:rPr>
          <w:rFonts w:ascii="Arial" w:hAnsi="Arial" w:cs="Arial"/>
          <w:i/>
          <w:iCs/>
          <w:color w:val="000000"/>
          <w:sz w:val="22"/>
          <w:szCs w:val="22"/>
        </w:rPr>
        <w:t>Dergisi</w:t>
      </w:r>
      <w:proofErr w:type="spellEnd"/>
      <w:r w:rsidRPr="00A960F2">
        <w:rPr>
          <w:rFonts w:ascii="Arial" w:hAnsi="Arial" w:cs="Arial"/>
          <w:i/>
          <w:iCs/>
          <w:color w:val="000000"/>
          <w:sz w:val="22"/>
          <w:szCs w:val="22"/>
        </w:rPr>
        <w:t>,</w:t>
      </w:r>
      <w:r w:rsidRPr="00A960F2">
        <w:rPr>
          <w:rFonts w:ascii="Arial" w:hAnsi="Arial" w:cs="Arial"/>
          <w:color w:val="000000"/>
          <w:sz w:val="22"/>
          <w:szCs w:val="22"/>
        </w:rPr>
        <w:t>(</w:t>
      </w:r>
      <w:proofErr w:type="gramEnd"/>
      <w:r w:rsidRPr="00A960F2">
        <w:rPr>
          <w:rFonts w:ascii="Arial" w:hAnsi="Arial" w:cs="Arial"/>
          <w:color w:val="000000"/>
          <w:sz w:val="22"/>
          <w:szCs w:val="22"/>
        </w:rPr>
        <w:t>11), pp. 309–333. Available at: </w:t>
      </w:r>
      <w:hyperlink r:id="rId18" w:tgtFrame="_blank" w:history="1">
        <w:r w:rsidRPr="00A960F2">
          <w:rPr>
            <w:rStyle w:val="Hyperlink"/>
            <w:rFonts w:ascii="Arial" w:hAnsi="Arial" w:cs="Arial"/>
            <w:color w:val="0066CC"/>
            <w:sz w:val="22"/>
            <w:szCs w:val="22"/>
          </w:rPr>
          <w:t>https://doi.org/10.54557/karataysad.1348004</w:t>
        </w:r>
      </w:hyperlink>
      <w:r w:rsidRPr="00A960F2">
        <w:rPr>
          <w:rFonts w:ascii="Arial" w:hAnsi="Arial" w:cs="Arial"/>
          <w:color w:val="000000"/>
          <w:sz w:val="22"/>
          <w:szCs w:val="22"/>
        </w:rPr>
        <w:t>.</w:t>
      </w:r>
    </w:p>
    <w:p w14:paraId="6FB0A960"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Felitti, V.J., Anda, R.F., Nordenberg, D., Williamson, D.F., Spitz, A.M., Edwards, V., Koss, M.P. and Marks, J.S. (1998) 'Relationship of childhood abuse and household dysfunction to many of the leading causes of death in adults: The adverse childhood experiences (ACE) study', </w:t>
      </w:r>
      <w:r w:rsidRPr="00A960F2">
        <w:rPr>
          <w:rFonts w:ascii="Arial" w:hAnsi="Arial" w:cs="Arial"/>
          <w:i/>
          <w:iCs/>
          <w:color w:val="000000"/>
          <w:sz w:val="22"/>
          <w:szCs w:val="22"/>
        </w:rPr>
        <w:t>American Journal of Preventive Medicine,</w:t>
      </w:r>
      <w:r w:rsidRPr="00A960F2">
        <w:rPr>
          <w:rFonts w:ascii="Arial" w:hAnsi="Arial" w:cs="Arial"/>
          <w:color w:val="000000"/>
          <w:sz w:val="22"/>
          <w:szCs w:val="22"/>
        </w:rPr>
        <w:t> 14(4), pp. 245–258. Available at: </w:t>
      </w:r>
      <w:hyperlink r:id="rId19" w:tgtFrame="_blank" w:history="1">
        <w:r w:rsidRPr="00A960F2">
          <w:rPr>
            <w:rStyle w:val="Hyperlink"/>
            <w:rFonts w:ascii="Arial" w:hAnsi="Arial" w:cs="Arial"/>
            <w:color w:val="0066CC"/>
            <w:sz w:val="22"/>
            <w:szCs w:val="22"/>
          </w:rPr>
          <w:t>https://doi.org/10.1016/S0749-3797(98)00017-8</w:t>
        </w:r>
      </w:hyperlink>
      <w:r w:rsidRPr="00A960F2">
        <w:rPr>
          <w:rFonts w:ascii="Arial" w:hAnsi="Arial" w:cs="Arial"/>
          <w:color w:val="000000"/>
          <w:sz w:val="22"/>
          <w:szCs w:val="22"/>
        </w:rPr>
        <w:t>.</w:t>
      </w:r>
    </w:p>
    <w:p w14:paraId="675EAD54"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Fujiwara, T. (2022) 'Impact of adverse childhood experience on physical and mental health: A life</w:t>
      </w:r>
      <w:r w:rsidRPr="00A960F2">
        <w:rPr>
          <w:rFonts w:ascii="Cambria Math" w:hAnsi="Cambria Math" w:cs="Cambria Math"/>
          <w:color w:val="000000"/>
          <w:sz w:val="22"/>
          <w:szCs w:val="22"/>
        </w:rPr>
        <w:t>‐</w:t>
      </w:r>
      <w:r w:rsidRPr="00A960F2">
        <w:rPr>
          <w:rFonts w:ascii="Arial" w:hAnsi="Arial" w:cs="Arial"/>
          <w:color w:val="000000"/>
          <w:sz w:val="22"/>
          <w:szCs w:val="22"/>
        </w:rPr>
        <w:t>course epidemiology perspective', </w:t>
      </w:r>
      <w:r w:rsidRPr="00A960F2">
        <w:rPr>
          <w:rFonts w:ascii="Arial" w:hAnsi="Arial" w:cs="Arial"/>
          <w:i/>
          <w:iCs/>
          <w:color w:val="000000"/>
          <w:sz w:val="22"/>
          <w:szCs w:val="22"/>
        </w:rPr>
        <w:t>Psychiatry and Clinical Neurosciences,</w:t>
      </w:r>
      <w:r w:rsidRPr="00A960F2">
        <w:rPr>
          <w:rFonts w:ascii="Arial" w:hAnsi="Arial" w:cs="Arial"/>
          <w:color w:val="000000"/>
          <w:sz w:val="22"/>
          <w:szCs w:val="22"/>
        </w:rPr>
        <w:t> 76(11), pp. 544–551. Available at: </w:t>
      </w:r>
      <w:hyperlink r:id="rId20" w:tgtFrame="_blank" w:history="1">
        <w:r w:rsidRPr="00A960F2">
          <w:rPr>
            <w:rStyle w:val="Hyperlink"/>
            <w:rFonts w:ascii="Arial" w:hAnsi="Arial" w:cs="Arial"/>
            <w:color w:val="0066CC"/>
            <w:sz w:val="22"/>
            <w:szCs w:val="22"/>
          </w:rPr>
          <w:t>https://doi.org/10.1111/pcn.13464</w:t>
        </w:r>
      </w:hyperlink>
      <w:r w:rsidRPr="00A960F2">
        <w:rPr>
          <w:rFonts w:ascii="Arial" w:hAnsi="Arial" w:cs="Arial"/>
          <w:color w:val="000000"/>
          <w:sz w:val="22"/>
          <w:szCs w:val="22"/>
        </w:rPr>
        <w:t>.</w:t>
      </w:r>
    </w:p>
    <w:p w14:paraId="362C52A6"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lastRenderedPageBreak/>
        <w:t xml:space="preserve">Garner, A.S., Shonkoff, J.P., Siegel, B.S., Dobbins, M.I., Earls, M.F., McGuinn, L., Pascoe, J. and Wood, D.L. (2012) 'Early childhood adversity, toxic stress, and the role of the </w:t>
      </w:r>
      <w:proofErr w:type="spellStart"/>
      <w:r w:rsidRPr="00A960F2">
        <w:rPr>
          <w:rFonts w:ascii="Arial" w:hAnsi="Arial" w:cs="Arial"/>
          <w:color w:val="000000"/>
          <w:sz w:val="22"/>
          <w:szCs w:val="22"/>
        </w:rPr>
        <w:t>pediatrician</w:t>
      </w:r>
      <w:proofErr w:type="spellEnd"/>
      <w:r w:rsidRPr="00A960F2">
        <w:rPr>
          <w:rFonts w:ascii="Arial" w:hAnsi="Arial" w:cs="Arial"/>
          <w:color w:val="000000"/>
          <w:sz w:val="22"/>
          <w:szCs w:val="22"/>
        </w:rPr>
        <w:t>: Translating developmental science into lifelong health', </w:t>
      </w:r>
      <w:proofErr w:type="spellStart"/>
      <w:r w:rsidRPr="00A960F2">
        <w:rPr>
          <w:rFonts w:ascii="Arial" w:hAnsi="Arial" w:cs="Arial"/>
          <w:i/>
          <w:iCs/>
          <w:color w:val="000000"/>
          <w:sz w:val="22"/>
          <w:szCs w:val="22"/>
        </w:rPr>
        <w:t>Pediatrics</w:t>
      </w:r>
      <w:proofErr w:type="spellEnd"/>
      <w:r w:rsidRPr="00A960F2">
        <w:rPr>
          <w:rFonts w:ascii="Arial" w:hAnsi="Arial" w:cs="Arial"/>
          <w:i/>
          <w:iCs/>
          <w:color w:val="000000"/>
          <w:sz w:val="22"/>
          <w:szCs w:val="22"/>
        </w:rPr>
        <w:t xml:space="preserve"> (Evanston),</w:t>
      </w:r>
      <w:r w:rsidRPr="00A960F2">
        <w:rPr>
          <w:rFonts w:ascii="Arial" w:hAnsi="Arial" w:cs="Arial"/>
          <w:color w:val="000000"/>
          <w:sz w:val="22"/>
          <w:szCs w:val="22"/>
        </w:rPr>
        <w:t> 129(1), pp. e224–e231. Available at: </w:t>
      </w:r>
      <w:hyperlink r:id="rId21" w:tgtFrame="_blank" w:history="1">
        <w:r w:rsidRPr="00A960F2">
          <w:rPr>
            <w:rStyle w:val="Hyperlink"/>
            <w:rFonts w:ascii="Arial" w:hAnsi="Arial" w:cs="Arial"/>
            <w:color w:val="0066CC"/>
            <w:sz w:val="22"/>
            <w:szCs w:val="22"/>
          </w:rPr>
          <w:t>https://doi.org/10.1542/peds.2011-2662</w:t>
        </w:r>
      </w:hyperlink>
      <w:r w:rsidRPr="00A960F2">
        <w:rPr>
          <w:rFonts w:ascii="Arial" w:hAnsi="Arial" w:cs="Arial"/>
          <w:color w:val="000000"/>
          <w:sz w:val="22"/>
          <w:szCs w:val="22"/>
        </w:rPr>
        <w:t>.</w:t>
      </w:r>
    </w:p>
    <w:p w14:paraId="72BAF3F3" w14:textId="602EE769" w:rsidR="00606736" w:rsidRPr="00A960F2" w:rsidRDefault="00606736" w:rsidP="00297521">
      <w:pPr>
        <w:pStyle w:val="NormalWeb"/>
        <w:spacing w:line="360" w:lineRule="auto"/>
        <w:rPr>
          <w:rFonts w:ascii="Arial" w:hAnsi="Arial" w:cs="Arial"/>
          <w:sz w:val="22"/>
          <w:szCs w:val="22"/>
        </w:rPr>
      </w:pPr>
      <w:proofErr w:type="spellStart"/>
      <w:r w:rsidRPr="00A960F2">
        <w:rPr>
          <w:rFonts w:ascii="Arial" w:hAnsi="Arial" w:cs="Arial"/>
          <w:sz w:val="22"/>
          <w:szCs w:val="22"/>
        </w:rPr>
        <w:t>Harahap</w:t>
      </w:r>
      <w:proofErr w:type="spellEnd"/>
      <w:r w:rsidRPr="00A960F2">
        <w:rPr>
          <w:rFonts w:ascii="Arial" w:hAnsi="Arial" w:cs="Arial"/>
          <w:sz w:val="22"/>
          <w:szCs w:val="22"/>
        </w:rPr>
        <w:t xml:space="preserve">, R.K. and </w:t>
      </w:r>
      <w:proofErr w:type="spellStart"/>
      <w:r w:rsidRPr="00A960F2">
        <w:rPr>
          <w:rFonts w:ascii="Arial" w:hAnsi="Arial" w:cs="Arial"/>
          <w:sz w:val="22"/>
          <w:szCs w:val="22"/>
        </w:rPr>
        <w:t>Daulay</w:t>
      </w:r>
      <w:proofErr w:type="spellEnd"/>
      <w:r w:rsidRPr="00A960F2">
        <w:rPr>
          <w:rFonts w:ascii="Arial" w:hAnsi="Arial" w:cs="Arial"/>
          <w:sz w:val="22"/>
          <w:szCs w:val="22"/>
        </w:rPr>
        <w:t xml:space="preserve">, A.A. (2023) ‘Toxic parenting and its impact on children’s language ethics’, </w:t>
      </w:r>
      <w:proofErr w:type="spellStart"/>
      <w:r w:rsidRPr="00A960F2">
        <w:rPr>
          <w:rStyle w:val="Emphasis"/>
          <w:rFonts w:ascii="Arial" w:hAnsi="Arial" w:cs="Arial"/>
          <w:sz w:val="22"/>
          <w:szCs w:val="22"/>
        </w:rPr>
        <w:t>Counsenesia</w:t>
      </w:r>
      <w:proofErr w:type="spellEnd"/>
      <w:r w:rsidRPr="00A960F2">
        <w:rPr>
          <w:rStyle w:val="Emphasis"/>
          <w:rFonts w:ascii="Arial" w:hAnsi="Arial" w:cs="Arial"/>
          <w:sz w:val="22"/>
          <w:szCs w:val="22"/>
        </w:rPr>
        <w:t xml:space="preserve"> Indonesian Journal of Guidance and </w:t>
      </w:r>
      <w:proofErr w:type="spellStart"/>
      <w:r w:rsidRPr="00A960F2">
        <w:rPr>
          <w:rStyle w:val="Emphasis"/>
          <w:rFonts w:ascii="Arial" w:hAnsi="Arial" w:cs="Arial"/>
          <w:sz w:val="22"/>
          <w:szCs w:val="22"/>
        </w:rPr>
        <w:t>Counseling</w:t>
      </w:r>
      <w:proofErr w:type="spellEnd"/>
      <w:r w:rsidRPr="00A960F2">
        <w:rPr>
          <w:rFonts w:ascii="Arial" w:hAnsi="Arial" w:cs="Arial"/>
          <w:sz w:val="22"/>
          <w:szCs w:val="22"/>
        </w:rPr>
        <w:t>, 4(1), pp. 41–52.</w:t>
      </w:r>
    </w:p>
    <w:p w14:paraId="1EA35616" w14:textId="45F6F4D2" w:rsidR="007E2CE6" w:rsidRPr="00A960F2" w:rsidRDefault="00E8131C" w:rsidP="00297521">
      <w:pPr>
        <w:pStyle w:val="NormalWeb"/>
        <w:spacing w:line="360" w:lineRule="auto"/>
        <w:rPr>
          <w:rFonts w:ascii="Arial" w:hAnsi="Arial" w:cs="Arial"/>
          <w:sz w:val="22"/>
          <w:szCs w:val="22"/>
        </w:rPr>
      </w:pPr>
      <w:r w:rsidRPr="00A960F2">
        <w:rPr>
          <w:rFonts w:ascii="Arial" w:hAnsi="Arial" w:cs="Arial"/>
          <w:sz w:val="22"/>
          <w:szCs w:val="22"/>
        </w:rPr>
        <w:t xml:space="preserve">Health and Care Act 2022. (2022) c.31. London: The Stationery Office. Available at: </w:t>
      </w:r>
      <w:hyperlink r:id="rId22" w:history="1">
        <w:r w:rsidRPr="00A960F2">
          <w:rPr>
            <w:rStyle w:val="Hyperlink"/>
            <w:rFonts w:ascii="Arial" w:hAnsi="Arial" w:cs="Arial"/>
            <w:sz w:val="22"/>
            <w:szCs w:val="22"/>
          </w:rPr>
          <w:t>https://www.legislation.gov.uk/ukpga/2022/31</w:t>
        </w:r>
      </w:hyperlink>
      <w:r w:rsidRPr="00A960F2">
        <w:rPr>
          <w:rFonts w:ascii="Arial" w:hAnsi="Arial" w:cs="Arial"/>
          <w:sz w:val="22"/>
          <w:szCs w:val="22"/>
        </w:rPr>
        <w:t xml:space="preserve"> (Accessed: 16 July 2026).</w:t>
      </w:r>
    </w:p>
    <w:p w14:paraId="5D6B69B1"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 xml:space="preserve">Hughes, K., Bellis, M.A., Hardcastle, K.A., Sethi, D., Butchart, A., </w:t>
      </w:r>
      <w:proofErr w:type="spellStart"/>
      <w:r w:rsidRPr="00A960F2">
        <w:rPr>
          <w:rFonts w:ascii="Arial" w:hAnsi="Arial" w:cs="Arial"/>
          <w:color w:val="000000"/>
          <w:sz w:val="22"/>
          <w:szCs w:val="22"/>
        </w:rPr>
        <w:t>Mikton</w:t>
      </w:r>
      <w:proofErr w:type="spellEnd"/>
      <w:r w:rsidRPr="00A960F2">
        <w:rPr>
          <w:rFonts w:ascii="Arial" w:hAnsi="Arial" w:cs="Arial"/>
          <w:color w:val="000000"/>
          <w:sz w:val="22"/>
          <w:szCs w:val="22"/>
        </w:rPr>
        <w:t>, C., Jones, L. and Dunne, M.P. (2017) 'The effect of multiple adverse childhood experiences on health: A systematic review and meta-analysis', </w:t>
      </w:r>
      <w:r w:rsidRPr="00A960F2">
        <w:rPr>
          <w:rFonts w:ascii="Arial" w:hAnsi="Arial" w:cs="Arial"/>
          <w:i/>
          <w:iCs/>
          <w:color w:val="000000"/>
          <w:sz w:val="22"/>
          <w:szCs w:val="22"/>
        </w:rPr>
        <w:t>The Lancet Public Health,</w:t>
      </w:r>
      <w:r w:rsidRPr="00A960F2">
        <w:rPr>
          <w:rFonts w:ascii="Arial" w:hAnsi="Arial" w:cs="Arial"/>
          <w:color w:val="000000"/>
          <w:sz w:val="22"/>
          <w:szCs w:val="22"/>
        </w:rPr>
        <w:t> 2(8), pp. e356–e366. Available at: </w:t>
      </w:r>
      <w:hyperlink r:id="rId23" w:tgtFrame="_blank" w:history="1">
        <w:r w:rsidRPr="00A960F2">
          <w:rPr>
            <w:rStyle w:val="Hyperlink"/>
            <w:rFonts w:ascii="Arial" w:hAnsi="Arial" w:cs="Arial"/>
            <w:color w:val="0066CC"/>
            <w:sz w:val="22"/>
            <w:szCs w:val="22"/>
          </w:rPr>
          <w:t>https://doi.org/10.1016/S2468-2667(17)30118-4</w:t>
        </w:r>
      </w:hyperlink>
      <w:r w:rsidRPr="00A960F2">
        <w:rPr>
          <w:rFonts w:ascii="Arial" w:hAnsi="Arial" w:cs="Arial"/>
          <w:color w:val="000000"/>
          <w:sz w:val="22"/>
          <w:szCs w:val="22"/>
        </w:rPr>
        <w:t>.</w:t>
      </w:r>
    </w:p>
    <w:p w14:paraId="7CC29EC3"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 xml:space="preserve">Hunt, J. (2024) 'Holistic or harmful? examining socio-structural factors in the biopsychosocial model of chronic illness, 'medically unexplained </w:t>
      </w:r>
      <w:proofErr w:type="gramStart"/>
      <w:r w:rsidRPr="00A960F2">
        <w:rPr>
          <w:rFonts w:ascii="Arial" w:hAnsi="Arial" w:cs="Arial"/>
          <w:color w:val="000000"/>
          <w:sz w:val="22"/>
          <w:szCs w:val="22"/>
        </w:rPr>
        <w:t>symptoms'</w:t>
      </w:r>
      <w:proofErr w:type="gramEnd"/>
      <w:r w:rsidRPr="00A960F2">
        <w:rPr>
          <w:rFonts w:ascii="Arial" w:hAnsi="Arial" w:cs="Arial"/>
          <w:color w:val="000000"/>
          <w:sz w:val="22"/>
          <w:szCs w:val="22"/>
        </w:rPr>
        <w:t xml:space="preserve"> and disability', </w:t>
      </w:r>
      <w:r w:rsidRPr="00A960F2">
        <w:rPr>
          <w:rFonts w:ascii="Arial" w:hAnsi="Arial" w:cs="Arial"/>
          <w:i/>
          <w:iCs/>
          <w:color w:val="000000"/>
          <w:sz w:val="22"/>
          <w:szCs w:val="22"/>
        </w:rPr>
        <w:t>Disability &amp; Society,</w:t>
      </w:r>
      <w:r w:rsidRPr="00A960F2">
        <w:rPr>
          <w:rFonts w:ascii="Arial" w:hAnsi="Arial" w:cs="Arial"/>
          <w:color w:val="000000"/>
          <w:sz w:val="22"/>
          <w:szCs w:val="22"/>
        </w:rPr>
        <w:t> 39(4), pp. 1032–1061. Available at: </w:t>
      </w:r>
      <w:hyperlink r:id="rId24" w:tgtFrame="_blank" w:history="1">
        <w:r w:rsidRPr="00A960F2">
          <w:rPr>
            <w:rStyle w:val="Hyperlink"/>
            <w:rFonts w:ascii="Arial" w:hAnsi="Arial" w:cs="Arial"/>
            <w:color w:val="0066CC"/>
            <w:sz w:val="22"/>
            <w:szCs w:val="22"/>
          </w:rPr>
          <w:t>https://doi.org/10.1080/09687599.2022.2099250</w:t>
        </w:r>
      </w:hyperlink>
      <w:r w:rsidRPr="00A960F2">
        <w:rPr>
          <w:rFonts w:ascii="Arial" w:hAnsi="Arial" w:cs="Arial"/>
          <w:color w:val="000000"/>
          <w:sz w:val="22"/>
          <w:szCs w:val="22"/>
        </w:rPr>
        <w:t>.</w:t>
      </w:r>
    </w:p>
    <w:p w14:paraId="51519B85"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Johnson, S., Kasparian, N.A., Cullum, A.S., Flanagan, T., Ponting, C., Kowalewski, L. and Main, E.K. (2023) 'Addressing adverse childhood and adult experiences during prenatal care', </w:t>
      </w:r>
      <w:r w:rsidRPr="00A960F2">
        <w:rPr>
          <w:rFonts w:ascii="Arial" w:hAnsi="Arial" w:cs="Arial"/>
          <w:i/>
          <w:iCs/>
          <w:color w:val="000000"/>
          <w:sz w:val="22"/>
          <w:szCs w:val="22"/>
        </w:rPr>
        <w:t xml:space="preserve">Obstetrics and </w:t>
      </w:r>
      <w:proofErr w:type="spellStart"/>
      <w:r w:rsidRPr="00A960F2">
        <w:rPr>
          <w:rFonts w:ascii="Arial" w:hAnsi="Arial" w:cs="Arial"/>
          <w:i/>
          <w:iCs/>
          <w:color w:val="000000"/>
          <w:sz w:val="22"/>
          <w:szCs w:val="22"/>
        </w:rPr>
        <w:t>Gynecology</w:t>
      </w:r>
      <w:proofErr w:type="spellEnd"/>
      <w:r w:rsidRPr="00A960F2">
        <w:rPr>
          <w:rFonts w:ascii="Arial" w:hAnsi="Arial" w:cs="Arial"/>
          <w:i/>
          <w:iCs/>
          <w:color w:val="000000"/>
          <w:sz w:val="22"/>
          <w:szCs w:val="22"/>
        </w:rPr>
        <w:t>,</w:t>
      </w:r>
      <w:r w:rsidRPr="00A960F2">
        <w:rPr>
          <w:rFonts w:ascii="Arial" w:hAnsi="Arial" w:cs="Arial"/>
          <w:color w:val="000000"/>
          <w:sz w:val="22"/>
          <w:szCs w:val="22"/>
        </w:rPr>
        <w:t> 141(6), pp. 1072–1087. Available at: </w:t>
      </w:r>
      <w:hyperlink r:id="rId25" w:tgtFrame="_blank" w:history="1">
        <w:r w:rsidRPr="00A960F2">
          <w:rPr>
            <w:rStyle w:val="Hyperlink"/>
            <w:rFonts w:ascii="Arial" w:hAnsi="Arial" w:cs="Arial"/>
            <w:color w:val="0066CC"/>
            <w:sz w:val="22"/>
            <w:szCs w:val="22"/>
          </w:rPr>
          <w:t>https://escholarship.org/uc/item/5gg2h7fs</w:t>
        </w:r>
      </w:hyperlink>
      <w:r w:rsidRPr="00A960F2">
        <w:rPr>
          <w:rFonts w:ascii="Arial" w:hAnsi="Arial" w:cs="Arial"/>
          <w:color w:val="000000"/>
          <w:sz w:val="22"/>
          <w:szCs w:val="22"/>
        </w:rPr>
        <w:t>.</w:t>
      </w:r>
    </w:p>
    <w:p w14:paraId="42C820BF"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Marczak, J., Fernandez, J., Manthorpe, J., Brimblecombe, N., Moriarty, J., Knapp, M. and Snell, T. (2022) 'How have the care act 2014 ambitions to support carers translated into local practice? findings from a process evaluation study of local stakeholders' perceptions of care act implementation', </w:t>
      </w:r>
      <w:r w:rsidRPr="00A960F2">
        <w:rPr>
          <w:rFonts w:ascii="Arial" w:hAnsi="Arial" w:cs="Arial"/>
          <w:i/>
          <w:iCs/>
          <w:color w:val="000000"/>
          <w:sz w:val="22"/>
          <w:szCs w:val="22"/>
        </w:rPr>
        <w:t>Health &amp; Social Care in the Community,</w:t>
      </w:r>
      <w:r w:rsidRPr="00A960F2">
        <w:rPr>
          <w:rFonts w:ascii="Arial" w:hAnsi="Arial" w:cs="Arial"/>
          <w:color w:val="000000"/>
          <w:sz w:val="22"/>
          <w:szCs w:val="22"/>
        </w:rPr>
        <w:t> 30(5), pp. e1711–e1720. Available at: </w:t>
      </w:r>
      <w:hyperlink r:id="rId26" w:tgtFrame="_blank" w:history="1">
        <w:r w:rsidRPr="00A960F2">
          <w:rPr>
            <w:rStyle w:val="Hyperlink"/>
            <w:rFonts w:ascii="Arial" w:hAnsi="Arial" w:cs="Arial"/>
            <w:color w:val="0066CC"/>
            <w:sz w:val="22"/>
            <w:szCs w:val="22"/>
          </w:rPr>
          <w:t>https://doi.org/10.1111/hsc.13599</w:t>
        </w:r>
      </w:hyperlink>
      <w:r w:rsidRPr="00A960F2">
        <w:rPr>
          <w:rFonts w:ascii="Arial" w:hAnsi="Arial" w:cs="Arial"/>
          <w:color w:val="000000"/>
          <w:sz w:val="22"/>
          <w:szCs w:val="22"/>
        </w:rPr>
        <w:t>.</w:t>
      </w:r>
    </w:p>
    <w:p w14:paraId="129D1AA7"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McEwen, B.S. (1998) 'Protective and damaging effects of stress mediators', </w:t>
      </w:r>
      <w:r w:rsidRPr="00A960F2">
        <w:rPr>
          <w:rFonts w:ascii="Arial" w:hAnsi="Arial" w:cs="Arial"/>
          <w:i/>
          <w:iCs/>
          <w:color w:val="000000"/>
          <w:sz w:val="22"/>
          <w:szCs w:val="22"/>
        </w:rPr>
        <w:t>New England Journal of Medicine,</w:t>
      </w:r>
      <w:r w:rsidRPr="00A960F2">
        <w:rPr>
          <w:rFonts w:ascii="Arial" w:hAnsi="Arial" w:cs="Arial"/>
          <w:color w:val="000000"/>
          <w:sz w:val="22"/>
          <w:szCs w:val="22"/>
        </w:rPr>
        <w:t> 338(3), pp. 171–179. Available at: </w:t>
      </w:r>
      <w:hyperlink r:id="rId27" w:tgtFrame="_blank" w:history="1">
        <w:r w:rsidRPr="00A960F2">
          <w:rPr>
            <w:rStyle w:val="Hyperlink"/>
            <w:rFonts w:ascii="Arial" w:hAnsi="Arial" w:cs="Arial"/>
            <w:color w:val="0066CC"/>
            <w:sz w:val="22"/>
            <w:szCs w:val="22"/>
          </w:rPr>
          <w:t>https://doi.org/10.1056/NEJM199801153380307</w:t>
        </w:r>
      </w:hyperlink>
      <w:r w:rsidRPr="00A960F2">
        <w:rPr>
          <w:rFonts w:ascii="Arial" w:hAnsi="Arial" w:cs="Arial"/>
          <w:color w:val="000000"/>
          <w:sz w:val="22"/>
          <w:szCs w:val="22"/>
        </w:rPr>
        <w:t>.</w:t>
      </w:r>
    </w:p>
    <w:p w14:paraId="30143549"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proofErr w:type="spellStart"/>
      <w:r w:rsidRPr="00A960F2">
        <w:rPr>
          <w:rFonts w:ascii="Arial" w:hAnsi="Arial" w:cs="Arial"/>
          <w:color w:val="000000"/>
          <w:sz w:val="22"/>
          <w:szCs w:val="22"/>
        </w:rPr>
        <w:t>Mescouto</w:t>
      </w:r>
      <w:proofErr w:type="spellEnd"/>
      <w:r w:rsidRPr="00A960F2">
        <w:rPr>
          <w:rFonts w:ascii="Arial" w:hAnsi="Arial" w:cs="Arial"/>
          <w:color w:val="000000"/>
          <w:sz w:val="22"/>
          <w:szCs w:val="22"/>
        </w:rPr>
        <w:t>, K., Olson, R.E., Hodges, P.W. and Setchell, J. (2022) 'A critical review of the biopsychosocial model of low back pain care: Time for a new approach?', </w:t>
      </w:r>
      <w:r w:rsidRPr="00A960F2">
        <w:rPr>
          <w:rFonts w:ascii="Arial" w:hAnsi="Arial" w:cs="Arial"/>
          <w:i/>
          <w:iCs/>
          <w:color w:val="000000"/>
          <w:sz w:val="22"/>
          <w:szCs w:val="22"/>
        </w:rPr>
        <w:t xml:space="preserve">Disability and </w:t>
      </w:r>
      <w:r w:rsidRPr="00A960F2">
        <w:rPr>
          <w:rFonts w:ascii="Arial" w:hAnsi="Arial" w:cs="Arial"/>
          <w:i/>
          <w:iCs/>
          <w:color w:val="000000"/>
          <w:sz w:val="22"/>
          <w:szCs w:val="22"/>
        </w:rPr>
        <w:lastRenderedPageBreak/>
        <w:t>Rehabilitation,</w:t>
      </w:r>
      <w:r w:rsidRPr="00A960F2">
        <w:rPr>
          <w:rFonts w:ascii="Arial" w:hAnsi="Arial" w:cs="Arial"/>
          <w:color w:val="000000"/>
          <w:sz w:val="22"/>
          <w:szCs w:val="22"/>
        </w:rPr>
        <w:t> 44(13), pp. 3270–3284. Available at: </w:t>
      </w:r>
      <w:hyperlink r:id="rId28" w:tgtFrame="_blank" w:history="1">
        <w:r w:rsidRPr="00A960F2">
          <w:rPr>
            <w:rStyle w:val="Hyperlink"/>
            <w:rFonts w:ascii="Arial" w:hAnsi="Arial" w:cs="Arial"/>
            <w:color w:val="0066CC"/>
            <w:sz w:val="22"/>
            <w:szCs w:val="22"/>
          </w:rPr>
          <w:t>https://doi.org/10.1080/09638288.2020.1851783</w:t>
        </w:r>
      </w:hyperlink>
      <w:r w:rsidRPr="00A960F2">
        <w:rPr>
          <w:rFonts w:ascii="Arial" w:hAnsi="Arial" w:cs="Arial"/>
          <w:color w:val="000000"/>
          <w:sz w:val="22"/>
          <w:szCs w:val="22"/>
        </w:rPr>
        <w:t>.</w:t>
      </w:r>
    </w:p>
    <w:p w14:paraId="4CFD4B29" w14:textId="77777777" w:rsidR="0063266B" w:rsidRPr="00A960F2" w:rsidRDefault="0063266B" w:rsidP="00297521">
      <w:pPr>
        <w:pStyle w:val="NormalWeb"/>
        <w:spacing w:line="360" w:lineRule="auto"/>
        <w:rPr>
          <w:rFonts w:ascii="Arial" w:hAnsi="Arial" w:cs="Arial"/>
          <w:sz w:val="22"/>
          <w:szCs w:val="22"/>
        </w:rPr>
      </w:pPr>
      <w:r w:rsidRPr="00A960F2">
        <w:rPr>
          <w:rFonts w:ascii="Arial" w:hAnsi="Arial" w:cs="Arial"/>
          <w:sz w:val="22"/>
          <w:szCs w:val="22"/>
        </w:rPr>
        <w:t xml:space="preserve">NHS England (2023) </w:t>
      </w:r>
      <w:r w:rsidRPr="00A960F2">
        <w:rPr>
          <w:rStyle w:val="Emphasis"/>
          <w:rFonts w:ascii="Arial" w:hAnsi="Arial" w:cs="Arial"/>
          <w:sz w:val="22"/>
          <w:szCs w:val="22"/>
        </w:rPr>
        <w:t>Trauma-Informed Practice Toolkit and Guidance</w:t>
      </w:r>
      <w:r w:rsidRPr="00A960F2">
        <w:rPr>
          <w:rFonts w:ascii="Arial" w:hAnsi="Arial" w:cs="Arial"/>
          <w:sz w:val="22"/>
          <w:szCs w:val="22"/>
        </w:rPr>
        <w:t xml:space="preserve">. Available at: </w:t>
      </w:r>
      <w:hyperlink r:id="rId29" w:history="1">
        <w:r w:rsidRPr="00A960F2">
          <w:rPr>
            <w:rStyle w:val="Hyperlink"/>
            <w:rFonts w:ascii="Arial" w:hAnsi="Arial" w:cs="Arial"/>
            <w:sz w:val="22"/>
            <w:szCs w:val="22"/>
          </w:rPr>
          <w:t>https://www.england.nhs.uk</w:t>
        </w:r>
      </w:hyperlink>
      <w:r w:rsidRPr="00A960F2">
        <w:rPr>
          <w:rFonts w:ascii="Arial" w:hAnsi="Arial" w:cs="Arial"/>
          <w:sz w:val="22"/>
          <w:szCs w:val="22"/>
        </w:rPr>
        <w:t xml:space="preserve"> (Accessed: 1 June 2026).</w:t>
      </w:r>
    </w:p>
    <w:p w14:paraId="2C3940E2" w14:textId="77777777" w:rsidR="0063266B" w:rsidRPr="00A960F2" w:rsidRDefault="0063266B" w:rsidP="00297521">
      <w:pPr>
        <w:pStyle w:val="NormalWeb"/>
        <w:spacing w:line="360" w:lineRule="auto"/>
        <w:rPr>
          <w:rFonts w:ascii="Arial" w:hAnsi="Arial" w:cs="Arial"/>
          <w:sz w:val="22"/>
          <w:szCs w:val="22"/>
        </w:rPr>
      </w:pPr>
      <w:r w:rsidRPr="00A960F2">
        <w:rPr>
          <w:rFonts w:ascii="Arial" w:hAnsi="Arial" w:cs="Arial"/>
          <w:sz w:val="22"/>
          <w:szCs w:val="22"/>
        </w:rPr>
        <w:t xml:space="preserve">Public Health England (2019) </w:t>
      </w:r>
      <w:r w:rsidRPr="00A960F2">
        <w:rPr>
          <w:rStyle w:val="Emphasis"/>
          <w:rFonts w:ascii="Arial" w:hAnsi="Arial" w:cs="Arial"/>
          <w:sz w:val="22"/>
          <w:szCs w:val="22"/>
        </w:rPr>
        <w:t>Adverse Childhood Experiences (ACEs): Evidence Briefing</w:t>
      </w:r>
      <w:r w:rsidRPr="00A960F2">
        <w:rPr>
          <w:rFonts w:ascii="Arial" w:hAnsi="Arial" w:cs="Arial"/>
          <w:sz w:val="22"/>
          <w:szCs w:val="22"/>
        </w:rPr>
        <w:t xml:space="preserve">. London: Public Health England. Available at: </w:t>
      </w:r>
      <w:hyperlink r:id="rId30" w:history="1">
        <w:r w:rsidRPr="00A960F2">
          <w:rPr>
            <w:rStyle w:val="Hyperlink"/>
            <w:rFonts w:ascii="Arial" w:hAnsi="Arial" w:cs="Arial"/>
            <w:sz w:val="22"/>
            <w:szCs w:val="22"/>
          </w:rPr>
          <w:t>https://www.gov.uk</w:t>
        </w:r>
      </w:hyperlink>
      <w:r w:rsidRPr="00A960F2">
        <w:rPr>
          <w:rFonts w:ascii="Arial" w:hAnsi="Arial" w:cs="Arial"/>
          <w:sz w:val="22"/>
          <w:szCs w:val="22"/>
        </w:rPr>
        <w:t xml:space="preserve"> (Accessed: 15 May 2026).</w:t>
      </w:r>
    </w:p>
    <w:p w14:paraId="2B7AE18A" w14:textId="77777777" w:rsidR="0063266B" w:rsidRPr="00A960F2" w:rsidRDefault="0063266B" w:rsidP="00297521">
      <w:pPr>
        <w:pStyle w:val="NormalWeb"/>
        <w:spacing w:line="360" w:lineRule="auto"/>
        <w:rPr>
          <w:rFonts w:ascii="Arial" w:hAnsi="Arial" w:cs="Arial"/>
          <w:sz w:val="22"/>
          <w:szCs w:val="22"/>
        </w:rPr>
      </w:pPr>
      <w:r w:rsidRPr="00A960F2">
        <w:rPr>
          <w:rFonts w:ascii="Arial" w:hAnsi="Arial" w:cs="Arial"/>
          <w:sz w:val="22"/>
          <w:szCs w:val="22"/>
        </w:rPr>
        <w:t xml:space="preserve">Public Health England (2019) Adverse Childhood Experiences (ACEs): Evidence Briefing. London: Public Health England. Available at: </w:t>
      </w:r>
      <w:hyperlink r:id="rId31" w:history="1">
        <w:r w:rsidRPr="00A960F2">
          <w:rPr>
            <w:rStyle w:val="Hyperlink"/>
            <w:rFonts w:ascii="Arial" w:hAnsi="Arial" w:cs="Arial"/>
            <w:sz w:val="22"/>
            <w:szCs w:val="22"/>
          </w:rPr>
          <w:t>https://phw.nhs.wales</w:t>
        </w:r>
      </w:hyperlink>
      <w:r w:rsidRPr="00A960F2">
        <w:rPr>
          <w:rFonts w:ascii="Arial" w:hAnsi="Arial" w:cs="Arial"/>
          <w:sz w:val="22"/>
          <w:szCs w:val="22"/>
        </w:rPr>
        <w:t xml:space="preserve"> (Accessed: 1 June 2026).</w:t>
      </w:r>
    </w:p>
    <w:p w14:paraId="306BFD96"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Rokach, A. and Clayton, S. (2023) </w:t>
      </w:r>
      <w:r w:rsidRPr="00A960F2">
        <w:rPr>
          <w:rFonts w:ascii="Arial" w:hAnsi="Arial" w:cs="Arial"/>
          <w:i/>
          <w:iCs/>
          <w:color w:val="000000"/>
          <w:sz w:val="22"/>
          <w:szCs w:val="22"/>
        </w:rPr>
        <w:t>Adverse childhood experiences and their life-long impact. </w:t>
      </w:r>
      <w:r w:rsidRPr="00A960F2">
        <w:rPr>
          <w:rFonts w:ascii="Arial" w:hAnsi="Arial" w:cs="Arial"/>
          <w:color w:val="000000"/>
          <w:sz w:val="22"/>
          <w:szCs w:val="22"/>
        </w:rPr>
        <w:t xml:space="preserve">1st </w:t>
      </w:r>
      <w:proofErr w:type="spellStart"/>
      <w:r w:rsidRPr="00A960F2">
        <w:rPr>
          <w:rFonts w:ascii="Arial" w:hAnsi="Arial" w:cs="Arial"/>
          <w:color w:val="000000"/>
          <w:sz w:val="22"/>
          <w:szCs w:val="22"/>
        </w:rPr>
        <w:t>edn</w:t>
      </w:r>
      <w:proofErr w:type="spellEnd"/>
      <w:r w:rsidRPr="00A960F2">
        <w:rPr>
          <w:rFonts w:ascii="Arial" w:hAnsi="Arial" w:cs="Arial"/>
          <w:color w:val="000000"/>
          <w:sz w:val="22"/>
          <w:szCs w:val="22"/>
        </w:rPr>
        <w:t>. Academic Press, an imprint of Elsevier.</w:t>
      </w:r>
    </w:p>
    <w:p w14:paraId="3B7855C7" w14:textId="77777777" w:rsidR="004F4230" w:rsidRPr="00A960F2" w:rsidRDefault="004F4230" w:rsidP="00297521">
      <w:pPr>
        <w:pStyle w:val="NormalWeb"/>
        <w:spacing w:line="360" w:lineRule="auto"/>
        <w:rPr>
          <w:rFonts w:ascii="Arial" w:hAnsi="Arial" w:cs="Arial"/>
          <w:sz w:val="22"/>
          <w:szCs w:val="22"/>
        </w:rPr>
      </w:pPr>
      <w:r w:rsidRPr="00A960F2">
        <w:rPr>
          <w:rFonts w:ascii="Arial" w:hAnsi="Arial" w:cs="Arial"/>
          <w:sz w:val="22"/>
          <w:szCs w:val="22"/>
        </w:rPr>
        <w:t xml:space="preserve">United Nations Children’s Fund (UNICEF) (2023) </w:t>
      </w:r>
      <w:r w:rsidRPr="00A960F2">
        <w:rPr>
          <w:rStyle w:val="Emphasis"/>
          <w:rFonts w:ascii="Arial" w:hAnsi="Arial" w:cs="Arial"/>
          <w:sz w:val="22"/>
          <w:szCs w:val="22"/>
        </w:rPr>
        <w:t>Child Protection and Adverse Childhood Experiences</w:t>
      </w:r>
      <w:r w:rsidRPr="00A960F2">
        <w:rPr>
          <w:rFonts w:ascii="Arial" w:hAnsi="Arial" w:cs="Arial"/>
          <w:sz w:val="22"/>
          <w:szCs w:val="22"/>
        </w:rPr>
        <w:t xml:space="preserve">. Available at: </w:t>
      </w:r>
      <w:hyperlink r:id="rId32" w:history="1">
        <w:r w:rsidRPr="00A960F2">
          <w:rPr>
            <w:rStyle w:val="Hyperlink"/>
            <w:rFonts w:ascii="Arial" w:hAnsi="Arial" w:cs="Arial"/>
            <w:sz w:val="22"/>
            <w:szCs w:val="22"/>
          </w:rPr>
          <w:t>https://www.unicef.org</w:t>
        </w:r>
      </w:hyperlink>
      <w:r w:rsidRPr="00A960F2">
        <w:rPr>
          <w:rFonts w:ascii="Arial" w:hAnsi="Arial" w:cs="Arial"/>
          <w:sz w:val="22"/>
          <w:szCs w:val="22"/>
        </w:rPr>
        <w:t xml:space="preserve"> (Accessed: 1 June 2026).</w:t>
      </w:r>
    </w:p>
    <w:p w14:paraId="39EC3910"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 xml:space="preserve">Valiente-Gómez, A., Bücker, J., Fontana-McNally, M., Gatto, D.L., </w:t>
      </w:r>
      <w:proofErr w:type="spellStart"/>
      <w:r w:rsidRPr="00A960F2">
        <w:rPr>
          <w:rFonts w:ascii="Arial" w:hAnsi="Arial" w:cs="Arial"/>
          <w:color w:val="000000"/>
          <w:sz w:val="22"/>
          <w:szCs w:val="22"/>
        </w:rPr>
        <w:t>Guinart</w:t>
      </w:r>
      <w:proofErr w:type="spellEnd"/>
      <w:r w:rsidRPr="00A960F2">
        <w:rPr>
          <w:rFonts w:ascii="Arial" w:hAnsi="Arial" w:cs="Arial"/>
          <w:color w:val="000000"/>
          <w:sz w:val="22"/>
          <w:szCs w:val="22"/>
        </w:rPr>
        <w:t xml:space="preserve">, D., Moreno-Alcázar, A., Rodríguez, C.C., de Córdoba Gil, C., Padberg, F., Torner, H.P., </w:t>
      </w:r>
      <w:proofErr w:type="spellStart"/>
      <w:r w:rsidRPr="00A960F2">
        <w:rPr>
          <w:rFonts w:ascii="Arial" w:hAnsi="Arial" w:cs="Arial"/>
          <w:color w:val="000000"/>
          <w:sz w:val="22"/>
          <w:szCs w:val="22"/>
        </w:rPr>
        <w:t>Radua</w:t>
      </w:r>
      <w:proofErr w:type="spellEnd"/>
      <w:r w:rsidRPr="00A960F2">
        <w:rPr>
          <w:rFonts w:ascii="Arial" w:hAnsi="Arial" w:cs="Arial"/>
          <w:color w:val="000000"/>
          <w:sz w:val="22"/>
          <w:szCs w:val="22"/>
        </w:rPr>
        <w:t>, J., Pérez-</w:t>
      </w:r>
      <w:proofErr w:type="spellStart"/>
      <w:r w:rsidRPr="00A960F2">
        <w:rPr>
          <w:rFonts w:ascii="Arial" w:hAnsi="Arial" w:cs="Arial"/>
          <w:color w:val="000000"/>
          <w:sz w:val="22"/>
          <w:szCs w:val="22"/>
        </w:rPr>
        <w:t>Solà</w:t>
      </w:r>
      <w:proofErr w:type="spellEnd"/>
      <w:r w:rsidRPr="00A960F2">
        <w:rPr>
          <w:rFonts w:ascii="Arial" w:hAnsi="Arial" w:cs="Arial"/>
          <w:color w:val="000000"/>
          <w:sz w:val="22"/>
          <w:szCs w:val="22"/>
        </w:rPr>
        <w:t xml:space="preserve">, V., </w:t>
      </w:r>
      <w:proofErr w:type="spellStart"/>
      <w:r w:rsidRPr="00A960F2">
        <w:rPr>
          <w:rFonts w:ascii="Arial" w:hAnsi="Arial" w:cs="Arial"/>
          <w:color w:val="000000"/>
          <w:sz w:val="22"/>
          <w:szCs w:val="22"/>
        </w:rPr>
        <w:t>Fusar</w:t>
      </w:r>
      <w:proofErr w:type="spellEnd"/>
      <w:r w:rsidRPr="00A960F2">
        <w:rPr>
          <w:rFonts w:ascii="Arial" w:hAnsi="Arial" w:cs="Arial"/>
          <w:color w:val="000000"/>
          <w:sz w:val="22"/>
          <w:szCs w:val="22"/>
        </w:rPr>
        <w:t xml:space="preserve">-Poli, P., </w:t>
      </w:r>
      <w:proofErr w:type="spellStart"/>
      <w:r w:rsidRPr="00A960F2">
        <w:rPr>
          <w:rFonts w:ascii="Arial" w:hAnsi="Arial" w:cs="Arial"/>
          <w:color w:val="000000"/>
          <w:sz w:val="22"/>
          <w:szCs w:val="22"/>
        </w:rPr>
        <w:t>Vilajosana</w:t>
      </w:r>
      <w:proofErr w:type="spellEnd"/>
      <w:r w:rsidRPr="00A960F2">
        <w:rPr>
          <w:rFonts w:ascii="Arial" w:hAnsi="Arial" w:cs="Arial"/>
          <w:color w:val="000000"/>
          <w:sz w:val="22"/>
          <w:szCs w:val="22"/>
        </w:rPr>
        <w:t>, E., Hogg, B., Rosa, A.R. and Amann, B.L. (2026) 'Adverse childhood experiences and risk of non-mental medical diseases in adulthood: An umbrella review', </w:t>
      </w:r>
      <w:proofErr w:type="spellStart"/>
      <w:r w:rsidRPr="00A960F2">
        <w:rPr>
          <w:rFonts w:ascii="Arial" w:hAnsi="Arial" w:cs="Arial"/>
          <w:i/>
          <w:iCs/>
          <w:color w:val="000000"/>
          <w:sz w:val="22"/>
          <w:szCs w:val="22"/>
        </w:rPr>
        <w:t>EClinicalMedicine</w:t>
      </w:r>
      <w:proofErr w:type="spellEnd"/>
      <w:r w:rsidRPr="00A960F2">
        <w:rPr>
          <w:rFonts w:ascii="Arial" w:hAnsi="Arial" w:cs="Arial"/>
          <w:i/>
          <w:iCs/>
          <w:color w:val="000000"/>
          <w:sz w:val="22"/>
          <w:szCs w:val="22"/>
        </w:rPr>
        <w:t>,</w:t>
      </w:r>
      <w:r w:rsidRPr="00A960F2">
        <w:rPr>
          <w:rFonts w:ascii="Arial" w:hAnsi="Arial" w:cs="Arial"/>
          <w:color w:val="000000"/>
          <w:sz w:val="22"/>
          <w:szCs w:val="22"/>
        </w:rPr>
        <w:t> 96, pp. 103987. Available at: </w:t>
      </w:r>
      <w:hyperlink r:id="rId33" w:tgtFrame="_blank" w:history="1">
        <w:r w:rsidRPr="00A960F2">
          <w:rPr>
            <w:rStyle w:val="Hyperlink"/>
            <w:rFonts w:ascii="Arial" w:hAnsi="Arial" w:cs="Arial"/>
            <w:color w:val="0066CC"/>
            <w:sz w:val="22"/>
            <w:szCs w:val="22"/>
          </w:rPr>
          <w:t>https://doi.org/10.1016/j.eclinm.2026.103987</w:t>
        </w:r>
      </w:hyperlink>
      <w:r w:rsidRPr="00A960F2">
        <w:rPr>
          <w:rFonts w:ascii="Arial" w:hAnsi="Arial" w:cs="Arial"/>
          <w:color w:val="000000"/>
          <w:sz w:val="22"/>
          <w:szCs w:val="22"/>
        </w:rPr>
        <w:t>.</w:t>
      </w:r>
    </w:p>
    <w:p w14:paraId="3655DEEC" w14:textId="77777777" w:rsidR="00BD16F4" w:rsidRPr="00A960F2" w:rsidRDefault="00BD16F4" w:rsidP="00297521">
      <w:pPr>
        <w:pStyle w:val="NormalWeb"/>
        <w:shd w:val="clear" w:color="auto" w:fill="FFFFFF"/>
        <w:spacing w:before="0" w:beforeAutospacing="0" w:after="173" w:afterAutospacing="0" w:line="360" w:lineRule="auto"/>
        <w:rPr>
          <w:rFonts w:ascii="Arial" w:hAnsi="Arial" w:cs="Arial"/>
          <w:color w:val="000000"/>
          <w:sz w:val="22"/>
          <w:szCs w:val="22"/>
        </w:rPr>
      </w:pPr>
      <w:r w:rsidRPr="00A960F2">
        <w:rPr>
          <w:rFonts w:ascii="Arial" w:hAnsi="Arial" w:cs="Arial"/>
          <w:color w:val="000000"/>
          <w:sz w:val="22"/>
          <w:szCs w:val="22"/>
        </w:rPr>
        <w:t xml:space="preserve">Vu, T.H., Bishop, J., McGill, L., </w:t>
      </w:r>
      <w:proofErr w:type="spellStart"/>
      <w:r w:rsidRPr="00A960F2">
        <w:rPr>
          <w:rFonts w:ascii="Arial" w:hAnsi="Arial" w:cs="Arial"/>
          <w:color w:val="000000"/>
          <w:sz w:val="22"/>
          <w:szCs w:val="22"/>
        </w:rPr>
        <w:t>Valmadrid</w:t>
      </w:r>
      <w:proofErr w:type="spellEnd"/>
      <w:r w:rsidRPr="00A960F2">
        <w:rPr>
          <w:rFonts w:ascii="Arial" w:hAnsi="Arial" w:cs="Arial"/>
          <w:color w:val="000000"/>
          <w:sz w:val="22"/>
          <w:szCs w:val="22"/>
        </w:rPr>
        <w:t xml:space="preserve">, L., Golden, S., Emmerling, D. and </w:t>
      </w:r>
      <w:proofErr w:type="spellStart"/>
      <w:r w:rsidRPr="00A960F2">
        <w:rPr>
          <w:rFonts w:ascii="Arial" w:hAnsi="Arial" w:cs="Arial"/>
          <w:color w:val="000000"/>
          <w:sz w:val="22"/>
          <w:szCs w:val="22"/>
        </w:rPr>
        <w:t>Saeugling</w:t>
      </w:r>
      <w:proofErr w:type="spellEnd"/>
      <w:r w:rsidRPr="00A960F2">
        <w:rPr>
          <w:rFonts w:ascii="Arial" w:hAnsi="Arial" w:cs="Arial"/>
          <w:color w:val="000000"/>
          <w:sz w:val="22"/>
          <w:szCs w:val="22"/>
        </w:rPr>
        <w:t>, S. (2022) 'Using systems-mapping to address adverse childhood experiences (ACEs) and trauma: A qualitative study of stakeholder experiences', </w:t>
      </w:r>
      <w:proofErr w:type="spellStart"/>
      <w:r w:rsidRPr="00A960F2">
        <w:rPr>
          <w:rFonts w:ascii="Arial" w:hAnsi="Arial" w:cs="Arial"/>
          <w:i/>
          <w:iCs/>
          <w:color w:val="000000"/>
          <w:sz w:val="22"/>
          <w:szCs w:val="22"/>
        </w:rPr>
        <w:t>PloS</w:t>
      </w:r>
      <w:proofErr w:type="spellEnd"/>
      <w:r w:rsidRPr="00A960F2">
        <w:rPr>
          <w:rFonts w:ascii="Arial" w:hAnsi="Arial" w:cs="Arial"/>
          <w:i/>
          <w:iCs/>
          <w:color w:val="000000"/>
          <w:sz w:val="22"/>
          <w:szCs w:val="22"/>
        </w:rPr>
        <w:t xml:space="preserve"> One,</w:t>
      </w:r>
      <w:r w:rsidRPr="00A960F2">
        <w:rPr>
          <w:rFonts w:ascii="Arial" w:hAnsi="Arial" w:cs="Arial"/>
          <w:color w:val="000000"/>
          <w:sz w:val="22"/>
          <w:szCs w:val="22"/>
        </w:rPr>
        <w:t> 17(8), pp. e0273361. Available at: </w:t>
      </w:r>
      <w:hyperlink r:id="rId34" w:tgtFrame="_blank" w:history="1">
        <w:r w:rsidRPr="00A960F2">
          <w:rPr>
            <w:rStyle w:val="Hyperlink"/>
            <w:rFonts w:ascii="Arial" w:hAnsi="Arial" w:cs="Arial"/>
            <w:color w:val="0066CC"/>
            <w:sz w:val="22"/>
            <w:szCs w:val="22"/>
          </w:rPr>
          <w:t>https://doi.org/10.1371/journal.pone.0273361</w:t>
        </w:r>
      </w:hyperlink>
      <w:r w:rsidRPr="00A960F2">
        <w:rPr>
          <w:rFonts w:ascii="Arial" w:hAnsi="Arial" w:cs="Arial"/>
          <w:color w:val="000000"/>
          <w:sz w:val="22"/>
          <w:szCs w:val="22"/>
        </w:rPr>
        <w:t>.</w:t>
      </w:r>
    </w:p>
    <w:p w14:paraId="45F07F9B" w14:textId="250297EB" w:rsidR="00FE148A" w:rsidRPr="00A960F2" w:rsidRDefault="00FE148A" w:rsidP="00297521">
      <w:pPr>
        <w:pStyle w:val="NormalWeb"/>
        <w:spacing w:line="360" w:lineRule="auto"/>
        <w:rPr>
          <w:rFonts w:ascii="Arial" w:hAnsi="Arial" w:cs="Arial"/>
          <w:sz w:val="22"/>
          <w:szCs w:val="22"/>
        </w:rPr>
      </w:pPr>
      <w:r w:rsidRPr="00A960F2">
        <w:rPr>
          <w:rFonts w:ascii="Arial" w:hAnsi="Arial" w:cs="Arial"/>
          <w:sz w:val="22"/>
          <w:szCs w:val="22"/>
        </w:rPr>
        <w:t xml:space="preserve">World Health Organization (2020) </w:t>
      </w:r>
      <w:r w:rsidRPr="00A960F2">
        <w:rPr>
          <w:rStyle w:val="Emphasis"/>
          <w:rFonts w:ascii="Arial" w:hAnsi="Arial" w:cs="Arial"/>
          <w:sz w:val="22"/>
          <w:szCs w:val="22"/>
        </w:rPr>
        <w:t>Adverse Childhood Experiences International Questionnaire (ACE-IQ)</w:t>
      </w:r>
      <w:r w:rsidRPr="00A960F2">
        <w:rPr>
          <w:rFonts w:ascii="Arial" w:hAnsi="Arial" w:cs="Arial"/>
          <w:sz w:val="22"/>
          <w:szCs w:val="22"/>
        </w:rPr>
        <w:t xml:space="preserve">. Available at: </w:t>
      </w:r>
      <w:hyperlink r:id="rId35" w:history="1">
        <w:r w:rsidRPr="00A960F2">
          <w:rPr>
            <w:rStyle w:val="Hyperlink"/>
            <w:rFonts w:ascii="Arial" w:hAnsi="Arial" w:cs="Arial"/>
            <w:sz w:val="22"/>
            <w:szCs w:val="22"/>
          </w:rPr>
          <w:t>https://www.who.int</w:t>
        </w:r>
      </w:hyperlink>
      <w:r w:rsidRPr="00A960F2">
        <w:rPr>
          <w:rFonts w:ascii="Arial" w:hAnsi="Arial" w:cs="Arial"/>
          <w:sz w:val="22"/>
          <w:szCs w:val="22"/>
        </w:rPr>
        <w:t xml:space="preserve"> (Accessed: 15 May 2026)</w:t>
      </w:r>
    </w:p>
    <w:p w14:paraId="365C2D68" w14:textId="6F8AE3F7" w:rsidR="00FE148A" w:rsidRPr="00A960F2" w:rsidRDefault="00FE148A" w:rsidP="00297521">
      <w:pPr>
        <w:pStyle w:val="NormalWeb"/>
        <w:spacing w:line="360" w:lineRule="auto"/>
        <w:rPr>
          <w:rFonts w:ascii="Arial" w:hAnsi="Arial" w:cs="Arial"/>
          <w:sz w:val="22"/>
          <w:szCs w:val="22"/>
        </w:rPr>
      </w:pPr>
      <w:r w:rsidRPr="00A960F2">
        <w:rPr>
          <w:rFonts w:ascii="Arial" w:hAnsi="Arial" w:cs="Arial"/>
          <w:sz w:val="22"/>
          <w:szCs w:val="22"/>
        </w:rPr>
        <w:t xml:space="preserve">World Health Organization (2022) </w:t>
      </w:r>
      <w:r w:rsidRPr="00A960F2">
        <w:rPr>
          <w:rStyle w:val="Emphasis"/>
          <w:rFonts w:ascii="Arial" w:hAnsi="Arial" w:cs="Arial"/>
          <w:sz w:val="22"/>
          <w:szCs w:val="22"/>
        </w:rPr>
        <w:t>INSPIRE: Seven Strategies for Ending Violence Against Children: Uptake Between 2016 and 2021</w:t>
      </w:r>
      <w:r w:rsidRPr="00A960F2">
        <w:rPr>
          <w:rFonts w:ascii="Arial" w:hAnsi="Arial" w:cs="Arial"/>
          <w:sz w:val="22"/>
          <w:szCs w:val="22"/>
        </w:rPr>
        <w:t xml:space="preserve">. Geneva: World Health Organization. Available at: </w:t>
      </w:r>
      <w:hyperlink r:id="rId36" w:history="1">
        <w:r w:rsidRPr="00A960F2">
          <w:rPr>
            <w:rStyle w:val="Hyperlink"/>
            <w:rFonts w:ascii="Arial" w:hAnsi="Arial" w:cs="Arial"/>
            <w:sz w:val="22"/>
            <w:szCs w:val="22"/>
          </w:rPr>
          <w:t>https://www.who.int/publications/i/item/9789240046689</w:t>
        </w:r>
      </w:hyperlink>
      <w:r w:rsidRPr="00A960F2">
        <w:rPr>
          <w:rFonts w:ascii="Arial" w:hAnsi="Arial" w:cs="Arial"/>
          <w:sz w:val="22"/>
          <w:szCs w:val="22"/>
        </w:rPr>
        <w:t xml:space="preserve"> (Accessed: 1 June 2026)</w:t>
      </w:r>
    </w:p>
    <w:p w14:paraId="0946CF4B" w14:textId="6911E2FC" w:rsidR="00FE148A" w:rsidRPr="00A960F2" w:rsidRDefault="00FE148A" w:rsidP="00297521">
      <w:pPr>
        <w:pStyle w:val="NormalWeb"/>
        <w:spacing w:line="360" w:lineRule="auto"/>
        <w:rPr>
          <w:rFonts w:ascii="Arial" w:hAnsi="Arial" w:cs="Arial"/>
          <w:sz w:val="22"/>
          <w:szCs w:val="22"/>
        </w:rPr>
      </w:pPr>
      <w:r w:rsidRPr="00A960F2">
        <w:rPr>
          <w:rFonts w:ascii="Arial" w:hAnsi="Arial" w:cs="Arial"/>
          <w:sz w:val="22"/>
          <w:szCs w:val="22"/>
        </w:rPr>
        <w:t xml:space="preserve">World Health Organization (2023) </w:t>
      </w:r>
      <w:r w:rsidRPr="00A960F2">
        <w:rPr>
          <w:rStyle w:val="Emphasis"/>
          <w:rFonts w:ascii="Arial" w:hAnsi="Arial" w:cs="Arial"/>
          <w:sz w:val="22"/>
          <w:szCs w:val="22"/>
        </w:rPr>
        <w:t>Violence Against Children and Adverse Childhood Experiences</w:t>
      </w:r>
      <w:r w:rsidRPr="00A960F2">
        <w:rPr>
          <w:rFonts w:ascii="Arial" w:hAnsi="Arial" w:cs="Arial"/>
          <w:sz w:val="22"/>
          <w:szCs w:val="22"/>
        </w:rPr>
        <w:t xml:space="preserve">. Available at: </w:t>
      </w:r>
      <w:hyperlink r:id="rId37" w:history="1">
        <w:r w:rsidRPr="00A960F2">
          <w:rPr>
            <w:rStyle w:val="Hyperlink"/>
            <w:rFonts w:ascii="Arial" w:hAnsi="Arial" w:cs="Arial"/>
            <w:sz w:val="22"/>
            <w:szCs w:val="22"/>
          </w:rPr>
          <w:t>https://www.who.int/publications</w:t>
        </w:r>
      </w:hyperlink>
      <w:r w:rsidRPr="00A960F2">
        <w:rPr>
          <w:rFonts w:ascii="Arial" w:hAnsi="Arial" w:cs="Arial"/>
          <w:sz w:val="22"/>
          <w:szCs w:val="22"/>
        </w:rPr>
        <w:t xml:space="preserve"> (Accessed: 1 June 2026)</w:t>
      </w:r>
    </w:p>
    <w:p w14:paraId="2562F32F" w14:textId="77777777" w:rsidR="00AA5633" w:rsidRPr="00A960F2" w:rsidRDefault="00FE148A" w:rsidP="00297521">
      <w:pPr>
        <w:pStyle w:val="NormalWeb"/>
        <w:spacing w:line="360" w:lineRule="auto"/>
        <w:rPr>
          <w:rFonts w:ascii="Arial" w:hAnsi="Arial" w:cs="Arial"/>
          <w:sz w:val="22"/>
          <w:szCs w:val="22"/>
        </w:rPr>
      </w:pPr>
      <w:r w:rsidRPr="00A960F2">
        <w:rPr>
          <w:rFonts w:ascii="Arial" w:hAnsi="Arial" w:cs="Arial"/>
          <w:sz w:val="22"/>
          <w:szCs w:val="22"/>
        </w:rPr>
        <w:lastRenderedPageBreak/>
        <w:t xml:space="preserve">World Health Organization (2024) </w:t>
      </w:r>
      <w:r w:rsidRPr="00A960F2">
        <w:rPr>
          <w:rStyle w:val="Emphasis"/>
          <w:rFonts w:ascii="Arial" w:hAnsi="Arial" w:cs="Arial"/>
          <w:sz w:val="22"/>
          <w:szCs w:val="22"/>
        </w:rPr>
        <w:t>World Health Statistics 2024: Monitoring Health for the Sustainable Development Goals (SDGs)</w:t>
      </w:r>
      <w:r w:rsidRPr="00A960F2">
        <w:rPr>
          <w:rFonts w:ascii="Arial" w:hAnsi="Arial" w:cs="Arial"/>
          <w:sz w:val="22"/>
          <w:szCs w:val="22"/>
        </w:rPr>
        <w:t>. Geneva: World Health Organization.</w:t>
      </w:r>
    </w:p>
    <w:p w14:paraId="159F5821" w14:textId="77777777" w:rsidR="00AA5633" w:rsidRPr="00A960F2" w:rsidRDefault="00AA5633" w:rsidP="00297521">
      <w:pPr>
        <w:pStyle w:val="NormalWeb"/>
        <w:spacing w:line="360" w:lineRule="auto"/>
        <w:rPr>
          <w:rFonts w:ascii="Arial" w:hAnsi="Arial" w:cs="Arial"/>
          <w:sz w:val="22"/>
          <w:szCs w:val="22"/>
        </w:rPr>
      </w:pPr>
    </w:p>
    <w:p w14:paraId="30777F51" w14:textId="77777777" w:rsidR="00AA5633" w:rsidRDefault="00AA5633" w:rsidP="00AA5633">
      <w:pPr>
        <w:pStyle w:val="NormalWeb"/>
        <w:spacing w:line="300" w:lineRule="atLeast"/>
        <w:rPr>
          <w:rFonts w:ascii="Segoe UI" w:hAnsi="Segoe UI" w:cs="Segoe UI"/>
          <w:sz w:val="21"/>
          <w:szCs w:val="21"/>
        </w:rPr>
      </w:pPr>
    </w:p>
    <w:p w14:paraId="5321D180" w14:textId="77777777" w:rsidR="00E45C95" w:rsidRDefault="00E45C95" w:rsidP="00FE148A">
      <w:pPr>
        <w:pStyle w:val="NormalWeb"/>
        <w:spacing w:line="300" w:lineRule="atLeast"/>
        <w:rPr>
          <w:rFonts w:ascii="Segoe UI" w:hAnsi="Segoe UI" w:cs="Segoe UI"/>
          <w:sz w:val="21"/>
          <w:szCs w:val="21"/>
        </w:rPr>
      </w:pPr>
    </w:p>
    <w:p w14:paraId="6CCB14F9" w14:textId="77777777" w:rsidR="00FE148A" w:rsidRPr="002E37B7" w:rsidRDefault="00FE148A" w:rsidP="00CE72D8">
      <w:pPr>
        <w:spacing w:line="360" w:lineRule="auto"/>
        <w:jc w:val="both"/>
        <w:rPr>
          <w:rFonts w:ascii="Arial" w:hAnsi="Arial" w:cs="Arial"/>
          <w:b/>
          <w:bCs/>
          <w:sz w:val="22"/>
          <w:szCs w:val="22"/>
        </w:rPr>
      </w:pPr>
    </w:p>
    <w:p w14:paraId="7424A96B" w14:textId="77777777" w:rsidR="00CE72D8" w:rsidRPr="002E37B7" w:rsidRDefault="00CE72D8" w:rsidP="00CE72D8">
      <w:pPr>
        <w:spacing w:line="360" w:lineRule="auto"/>
        <w:jc w:val="both"/>
        <w:rPr>
          <w:rFonts w:ascii="Arial" w:hAnsi="Arial" w:cs="Arial"/>
          <w:sz w:val="22"/>
          <w:szCs w:val="22"/>
        </w:rPr>
      </w:pPr>
    </w:p>
    <w:p w14:paraId="3799660F" w14:textId="77777777" w:rsidR="00CE72D8" w:rsidRPr="00254B57" w:rsidRDefault="00CE72D8" w:rsidP="00175977">
      <w:pPr>
        <w:spacing w:line="360" w:lineRule="auto"/>
        <w:jc w:val="both"/>
        <w:rPr>
          <w:rFonts w:ascii="Arial" w:eastAsia="Arial" w:hAnsi="Arial" w:cs="Arial"/>
          <w:b/>
          <w:bCs/>
          <w:sz w:val="22"/>
          <w:szCs w:val="22"/>
        </w:rPr>
      </w:pPr>
    </w:p>
    <w:p w14:paraId="58655460" w14:textId="77777777" w:rsidR="00175977" w:rsidRPr="00254B57" w:rsidRDefault="00175977" w:rsidP="00175977">
      <w:pPr>
        <w:pBdr>
          <w:top w:val="nil"/>
          <w:left w:val="nil"/>
          <w:bottom w:val="nil"/>
          <w:right w:val="nil"/>
          <w:between w:val="nil"/>
        </w:pBdr>
        <w:spacing w:line="360" w:lineRule="auto"/>
        <w:jc w:val="both"/>
        <w:rPr>
          <w:rFonts w:ascii="Arial" w:hAnsi="Arial" w:cs="Arial"/>
          <w:sz w:val="22"/>
          <w:szCs w:val="22"/>
        </w:rPr>
      </w:pPr>
    </w:p>
    <w:p w14:paraId="4262BC71" w14:textId="77777777" w:rsidR="00175977" w:rsidRPr="00254B57" w:rsidRDefault="00175977" w:rsidP="00175977">
      <w:pPr>
        <w:spacing w:line="360" w:lineRule="auto"/>
        <w:jc w:val="both"/>
        <w:rPr>
          <w:rFonts w:ascii="Arial" w:hAnsi="Arial" w:cs="Arial"/>
          <w:sz w:val="22"/>
          <w:szCs w:val="22"/>
        </w:rPr>
      </w:pPr>
    </w:p>
    <w:p w14:paraId="60E42586" w14:textId="77777777" w:rsidR="00175977" w:rsidRPr="009343E1" w:rsidRDefault="00175977" w:rsidP="00175977">
      <w:pPr>
        <w:spacing w:line="360" w:lineRule="auto"/>
        <w:jc w:val="both"/>
        <w:rPr>
          <w:rFonts w:ascii="Arial" w:hAnsi="Arial" w:cs="Arial"/>
          <w:color w:val="000000"/>
          <w:sz w:val="22"/>
          <w:szCs w:val="22"/>
        </w:rPr>
      </w:pPr>
    </w:p>
    <w:p w14:paraId="2B8063CB" w14:textId="77777777" w:rsidR="00175977" w:rsidRPr="009343E1" w:rsidRDefault="00175977" w:rsidP="00175977">
      <w:pPr>
        <w:pStyle w:val="ListParagraph"/>
        <w:spacing w:line="360" w:lineRule="auto"/>
        <w:ind w:left="380"/>
        <w:jc w:val="both"/>
        <w:rPr>
          <w:rFonts w:ascii="Arial" w:hAnsi="Arial" w:cs="Arial"/>
          <w:sz w:val="22"/>
          <w:szCs w:val="22"/>
        </w:rPr>
      </w:pPr>
    </w:p>
    <w:p w14:paraId="4AA1CA0E" w14:textId="7C373325" w:rsidR="00BC6FC6" w:rsidRPr="000145CE" w:rsidRDefault="00BC6FC6" w:rsidP="00BC6FC6">
      <w:pPr>
        <w:spacing w:line="360" w:lineRule="auto"/>
        <w:jc w:val="both"/>
        <w:rPr>
          <w:rFonts w:ascii="Arial" w:hAnsi="Arial" w:cs="Arial"/>
          <w:sz w:val="22"/>
          <w:szCs w:val="22"/>
        </w:rPr>
      </w:pPr>
      <w:r w:rsidRPr="000145CE">
        <w:rPr>
          <w:rFonts w:ascii="Arial" w:hAnsi="Arial" w:cs="Arial"/>
          <w:sz w:val="22"/>
          <w:szCs w:val="22"/>
        </w:rPr>
        <w:t xml:space="preserve"> </w:t>
      </w:r>
    </w:p>
    <w:p w14:paraId="3BD168A2" w14:textId="77777777" w:rsidR="00BC6FC6" w:rsidRPr="000145CE" w:rsidRDefault="00BC6FC6" w:rsidP="00BC6FC6">
      <w:pPr>
        <w:spacing w:line="360" w:lineRule="auto"/>
        <w:jc w:val="both"/>
        <w:rPr>
          <w:rFonts w:ascii="Arial" w:hAnsi="Arial" w:cs="Arial"/>
          <w:sz w:val="22"/>
          <w:szCs w:val="22"/>
        </w:rPr>
      </w:pPr>
    </w:p>
    <w:p w14:paraId="6BA7D7C1" w14:textId="77777777" w:rsidR="00BC6FC6" w:rsidRPr="000145CE" w:rsidRDefault="00BC6FC6" w:rsidP="00BC6FC6">
      <w:pPr>
        <w:spacing w:line="360" w:lineRule="auto"/>
        <w:jc w:val="both"/>
        <w:rPr>
          <w:rFonts w:ascii="Arial" w:hAnsi="Arial" w:cs="Arial"/>
          <w:sz w:val="22"/>
          <w:szCs w:val="22"/>
        </w:rPr>
      </w:pPr>
    </w:p>
    <w:p w14:paraId="210CFD34" w14:textId="77777777" w:rsidR="00BC6FC6" w:rsidRDefault="00BC6FC6" w:rsidP="00BC6FC6">
      <w:pPr>
        <w:spacing w:line="360" w:lineRule="auto"/>
        <w:jc w:val="both"/>
      </w:pPr>
    </w:p>
    <w:p w14:paraId="3A9AED8B" w14:textId="77777777" w:rsidR="00F54965" w:rsidRDefault="00F54965"/>
    <w:sectPr w:rsidR="00F54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D940B6B"/>
    <w:multiLevelType w:val="hybridMultilevel"/>
    <w:tmpl w:val="455A004C"/>
    <w:lvl w:ilvl="0" w:tplc="77A8F818">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819450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FC6"/>
    <w:rsid w:val="00004A36"/>
    <w:rsid w:val="000110B5"/>
    <w:rsid w:val="00027712"/>
    <w:rsid w:val="00064305"/>
    <w:rsid w:val="000B15D7"/>
    <w:rsid w:val="000C4D85"/>
    <w:rsid w:val="00117DCC"/>
    <w:rsid w:val="00125A09"/>
    <w:rsid w:val="001667DD"/>
    <w:rsid w:val="00174084"/>
    <w:rsid w:val="00175977"/>
    <w:rsid w:val="001963A4"/>
    <w:rsid w:val="001966AC"/>
    <w:rsid w:val="001A3A1C"/>
    <w:rsid w:val="001F17B4"/>
    <w:rsid w:val="0021656E"/>
    <w:rsid w:val="00247A84"/>
    <w:rsid w:val="00251C7E"/>
    <w:rsid w:val="00271A4E"/>
    <w:rsid w:val="00297521"/>
    <w:rsid w:val="002D1123"/>
    <w:rsid w:val="002F471B"/>
    <w:rsid w:val="00302BEA"/>
    <w:rsid w:val="00312585"/>
    <w:rsid w:val="00323655"/>
    <w:rsid w:val="00333D85"/>
    <w:rsid w:val="00355BF7"/>
    <w:rsid w:val="003679F3"/>
    <w:rsid w:val="0037093A"/>
    <w:rsid w:val="003870F0"/>
    <w:rsid w:val="00395C2B"/>
    <w:rsid w:val="00416953"/>
    <w:rsid w:val="004549EF"/>
    <w:rsid w:val="0046197C"/>
    <w:rsid w:val="004B4F2B"/>
    <w:rsid w:val="004C7759"/>
    <w:rsid w:val="004D41CD"/>
    <w:rsid w:val="004F2AF4"/>
    <w:rsid w:val="004F4230"/>
    <w:rsid w:val="004F6167"/>
    <w:rsid w:val="005121CE"/>
    <w:rsid w:val="0052443D"/>
    <w:rsid w:val="005479F4"/>
    <w:rsid w:val="00573B47"/>
    <w:rsid w:val="005C4536"/>
    <w:rsid w:val="005C6614"/>
    <w:rsid w:val="005D72DF"/>
    <w:rsid w:val="005D772B"/>
    <w:rsid w:val="005E2FD9"/>
    <w:rsid w:val="00606736"/>
    <w:rsid w:val="0063266B"/>
    <w:rsid w:val="00652C52"/>
    <w:rsid w:val="00657EDB"/>
    <w:rsid w:val="006871A3"/>
    <w:rsid w:val="00696AD9"/>
    <w:rsid w:val="006975F0"/>
    <w:rsid w:val="006B2EC1"/>
    <w:rsid w:val="006E3B73"/>
    <w:rsid w:val="0070510A"/>
    <w:rsid w:val="00750624"/>
    <w:rsid w:val="00796530"/>
    <w:rsid w:val="007B0BE6"/>
    <w:rsid w:val="007B5A60"/>
    <w:rsid w:val="007E2CE6"/>
    <w:rsid w:val="0080060B"/>
    <w:rsid w:val="00820114"/>
    <w:rsid w:val="00836719"/>
    <w:rsid w:val="008C635E"/>
    <w:rsid w:val="008E15B0"/>
    <w:rsid w:val="009026E7"/>
    <w:rsid w:val="009104F7"/>
    <w:rsid w:val="009419A2"/>
    <w:rsid w:val="00994EF7"/>
    <w:rsid w:val="009A013A"/>
    <w:rsid w:val="009A36E7"/>
    <w:rsid w:val="009B699D"/>
    <w:rsid w:val="009B7284"/>
    <w:rsid w:val="009C6FA1"/>
    <w:rsid w:val="009D0124"/>
    <w:rsid w:val="00A14072"/>
    <w:rsid w:val="00A170AE"/>
    <w:rsid w:val="00A40DB1"/>
    <w:rsid w:val="00A81843"/>
    <w:rsid w:val="00A960F2"/>
    <w:rsid w:val="00AA0298"/>
    <w:rsid w:val="00AA5633"/>
    <w:rsid w:val="00AB73C7"/>
    <w:rsid w:val="00AC3735"/>
    <w:rsid w:val="00AD7D3C"/>
    <w:rsid w:val="00B01788"/>
    <w:rsid w:val="00B462DF"/>
    <w:rsid w:val="00B86657"/>
    <w:rsid w:val="00BA0392"/>
    <w:rsid w:val="00BA170A"/>
    <w:rsid w:val="00BC6FC6"/>
    <w:rsid w:val="00BD16F4"/>
    <w:rsid w:val="00C248F6"/>
    <w:rsid w:val="00C43359"/>
    <w:rsid w:val="00C46B83"/>
    <w:rsid w:val="00CB3EFF"/>
    <w:rsid w:val="00CE72D8"/>
    <w:rsid w:val="00D00817"/>
    <w:rsid w:val="00D8381E"/>
    <w:rsid w:val="00D91C9B"/>
    <w:rsid w:val="00D961CB"/>
    <w:rsid w:val="00DC176F"/>
    <w:rsid w:val="00DD75EB"/>
    <w:rsid w:val="00DF192D"/>
    <w:rsid w:val="00E366B0"/>
    <w:rsid w:val="00E45657"/>
    <w:rsid w:val="00E45C95"/>
    <w:rsid w:val="00E54FDB"/>
    <w:rsid w:val="00E65683"/>
    <w:rsid w:val="00E8131C"/>
    <w:rsid w:val="00E96E5C"/>
    <w:rsid w:val="00EC30FB"/>
    <w:rsid w:val="00ED6E2A"/>
    <w:rsid w:val="00EE1DF8"/>
    <w:rsid w:val="00F11B6B"/>
    <w:rsid w:val="00F54965"/>
    <w:rsid w:val="00F61DAB"/>
    <w:rsid w:val="00F759DA"/>
    <w:rsid w:val="00F918D1"/>
    <w:rsid w:val="00FA3831"/>
    <w:rsid w:val="00FB4F57"/>
    <w:rsid w:val="00FC5CAA"/>
    <w:rsid w:val="00FE148A"/>
    <w:rsid w:val="00FE4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A86556"/>
  <w15:chartTrackingRefBased/>
  <w15:docId w15:val="{57B3B98F-1060-D944-A544-5EFAA805B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FC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C6F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6F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F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F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F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FC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FC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FC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FC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F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6F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F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F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F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FC6"/>
    <w:rPr>
      <w:rFonts w:eastAsiaTheme="majorEastAsia" w:cstheme="majorBidi"/>
      <w:color w:val="272727" w:themeColor="text1" w:themeTint="D8"/>
    </w:rPr>
  </w:style>
  <w:style w:type="paragraph" w:styleId="Title">
    <w:name w:val="Title"/>
    <w:basedOn w:val="Normal"/>
    <w:next w:val="Normal"/>
    <w:link w:val="TitleChar"/>
    <w:uiPriority w:val="10"/>
    <w:qFormat/>
    <w:rsid w:val="00BC6FC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FC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FC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6FC6"/>
    <w:rPr>
      <w:i/>
      <w:iCs/>
      <w:color w:val="404040" w:themeColor="text1" w:themeTint="BF"/>
    </w:rPr>
  </w:style>
  <w:style w:type="paragraph" w:styleId="ListParagraph">
    <w:name w:val="List Paragraph"/>
    <w:basedOn w:val="Normal"/>
    <w:uiPriority w:val="34"/>
    <w:qFormat/>
    <w:rsid w:val="00BC6FC6"/>
    <w:pPr>
      <w:ind w:left="720"/>
      <w:contextualSpacing/>
    </w:pPr>
  </w:style>
  <w:style w:type="character" w:styleId="IntenseEmphasis">
    <w:name w:val="Intense Emphasis"/>
    <w:basedOn w:val="DefaultParagraphFont"/>
    <w:uiPriority w:val="21"/>
    <w:qFormat/>
    <w:rsid w:val="00BC6FC6"/>
    <w:rPr>
      <w:i/>
      <w:iCs/>
      <w:color w:val="0F4761" w:themeColor="accent1" w:themeShade="BF"/>
    </w:rPr>
  </w:style>
  <w:style w:type="paragraph" w:styleId="IntenseQuote">
    <w:name w:val="Intense Quote"/>
    <w:basedOn w:val="Normal"/>
    <w:next w:val="Normal"/>
    <w:link w:val="IntenseQuoteChar"/>
    <w:uiPriority w:val="30"/>
    <w:qFormat/>
    <w:rsid w:val="00BC6F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FC6"/>
    <w:rPr>
      <w:i/>
      <w:iCs/>
      <w:color w:val="0F4761" w:themeColor="accent1" w:themeShade="BF"/>
    </w:rPr>
  </w:style>
  <w:style w:type="character" w:styleId="IntenseReference">
    <w:name w:val="Intense Reference"/>
    <w:basedOn w:val="DefaultParagraphFont"/>
    <w:uiPriority w:val="32"/>
    <w:qFormat/>
    <w:rsid w:val="00BC6FC6"/>
    <w:rPr>
      <w:b/>
      <w:bCs/>
      <w:smallCaps/>
      <w:color w:val="0F4761" w:themeColor="accent1" w:themeShade="BF"/>
      <w:spacing w:val="5"/>
    </w:rPr>
  </w:style>
  <w:style w:type="paragraph" w:styleId="NormalWeb">
    <w:name w:val="Normal (Web)"/>
    <w:basedOn w:val="Normal"/>
    <w:uiPriority w:val="99"/>
    <w:unhideWhenUsed/>
    <w:rsid w:val="00CE72D8"/>
    <w:pPr>
      <w:spacing w:before="100" w:beforeAutospacing="1" w:after="100" w:afterAutospacing="1"/>
    </w:pPr>
  </w:style>
  <w:style w:type="character" w:styleId="Emphasis">
    <w:name w:val="Emphasis"/>
    <w:basedOn w:val="DefaultParagraphFont"/>
    <w:uiPriority w:val="20"/>
    <w:qFormat/>
    <w:rsid w:val="00CE72D8"/>
    <w:rPr>
      <w:i/>
      <w:iCs/>
    </w:rPr>
  </w:style>
  <w:style w:type="character" w:styleId="Hyperlink">
    <w:name w:val="Hyperlink"/>
    <w:basedOn w:val="DefaultParagraphFont"/>
    <w:uiPriority w:val="99"/>
    <w:unhideWhenUsed/>
    <w:rsid w:val="00CE72D8"/>
    <w:rPr>
      <w:strike w:val="0"/>
      <w:dstrike w:val="0"/>
      <w:color w:val="464FEB"/>
      <w:u w:val="none"/>
      <w:effect w:val="none"/>
    </w:rPr>
  </w:style>
  <w:style w:type="character" w:styleId="UnresolvedMention">
    <w:name w:val="Unresolved Mention"/>
    <w:basedOn w:val="DefaultParagraphFont"/>
    <w:uiPriority w:val="99"/>
    <w:semiHidden/>
    <w:unhideWhenUsed/>
    <w:rsid w:val="00A14072"/>
    <w:rPr>
      <w:color w:val="605E5C"/>
      <w:shd w:val="clear" w:color="auto" w:fill="E1DFDD"/>
    </w:rPr>
  </w:style>
  <w:style w:type="character" w:styleId="FollowedHyperlink">
    <w:name w:val="FollowedHyperlink"/>
    <w:basedOn w:val="DefaultParagraphFont"/>
    <w:uiPriority w:val="99"/>
    <w:semiHidden/>
    <w:unhideWhenUsed/>
    <w:rsid w:val="00A1407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889-025-24405-5" TargetMode="External"/><Relationship Id="rId18" Type="http://schemas.openxmlformats.org/officeDocument/2006/relationships/hyperlink" Target="https://doi.org/10.54557/karataysad.1348004" TargetMode="External"/><Relationship Id="rId26" Type="http://schemas.openxmlformats.org/officeDocument/2006/relationships/hyperlink" Target="https://doi.org/10.1111/hsc.13599" TargetMode="External"/><Relationship Id="rId39" Type="http://schemas.openxmlformats.org/officeDocument/2006/relationships/theme" Target="theme/theme1.xml"/><Relationship Id="rId21" Type="http://schemas.openxmlformats.org/officeDocument/2006/relationships/hyperlink" Target="https://doi.org/10.1542/peds.2011-2662" TargetMode="External"/><Relationship Id="rId34" Type="http://schemas.openxmlformats.org/officeDocument/2006/relationships/hyperlink" Target="https://doi.org/10.1371/journal.pone.0273361" TargetMode="External"/><Relationship Id="rId7" Type="http://schemas.openxmlformats.org/officeDocument/2006/relationships/hyperlink" Target="https://doi.org/10.1016/j.chiabu.2024.106929" TargetMode="External"/><Relationship Id="rId12" Type="http://schemas.openxmlformats.org/officeDocument/2006/relationships/hyperlink" Target="https://developingchild.harvard.edu/" TargetMode="External"/><Relationship Id="rId17" Type="http://schemas.openxmlformats.org/officeDocument/2006/relationships/hyperlink" Target="https://doi.org/10.1111/j.1467-8624.1998.tb06128.x" TargetMode="External"/><Relationship Id="rId25" Type="http://schemas.openxmlformats.org/officeDocument/2006/relationships/hyperlink" Target="https://escholarship.org/uc/item/5gg2h7fs" TargetMode="External"/><Relationship Id="rId33" Type="http://schemas.openxmlformats.org/officeDocument/2006/relationships/hyperlink" Target="https://doi.org/10.1016/j.eclinm.2026.103987"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chiabu.2025.107651" TargetMode="External"/><Relationship Id="rId20" Type="http://schemas.openxmlformats.org/officeDocument/2006/relationships/hyperlink" Target="https://doi.org/10.1111/pcn.13464" TargetMode="External"/><Relationship Id="rId29" Type="http://schemas.openxmlformats.org/officeDocument/2006/relationships/hyperlink" Target="https://www.england.nhs.uk/" TargetMode="External"/><Relationship Id="rId1" Type="http://schemas.openxmlformats.org/officeDocument/2006/relationships/numbering" Target="numbering.xml"/><Relationship Id="rId6" Type="http://schemas.openxmlformats.org/officeDocument/2006/relationships/hyperlink" Target="https://doi.org/10.3390/ijerph191710580" TargetMode="External"/><Relationship Id="rId11" Type="http://schemas.openxmlformats.org/officeDocument/2006/relationships/hyperlink" Target="https://cir.nii.ac.jp/crid/1570009749826203008" TargetMode="External"/><Relationship Id="rId24" Type="http://schemas.openxmlformats.org/officeDocument/2006/relationships/hyperlink" Target="https://doi.org/10.1080/09687599.2022.2099250" TargetMode="External"/><Relationship Id="rId32" Type="http://schemas.openxmlformats.org/officeDocument/2006/relationships/hyperlink" Target="https://www.unicef.org/" TargetMode="External"/><Relationship Id="rId37" Type="http://schemas.openxmlformats.org/officeDocument/2006/relationships/hyperlink" Target="https://www.who.int/publications" TargetMode="External"/><Relationship Id="rId5" Type="http://schemas.openxmlformats.org/officeDocument/2006/relationships/image" Target="media/image1.png"/><Relationship Id="rId15" Type="http://schemas.openxmlformats.org/officeDocument/2006/relationships/hyperlink" Target="https://doi.org/10.1001/jamapsychiatry.2024.0039" TargetMode="External"/><Relationship Id="rId23" Type="http://schemas.openxmlformats.org/officeDocument/2006/relationships/hyperlink" Target="https://doi.org/10.1016/S2468-2667(17)30118-4" TargetMode="External"/><Relationship Id="rId28" Type="http://schemas.openxmlformats.org/officeDocument/2006/relationships/hyperlink" Target="https://doi.org/10.1080/09638288.2020.1851783" TargetMode="External"/><Relationship Id="rId36" Type="http://schemas.openxmlformats.org/officeDocument/2006/relationships/hyperlink" Target="https://www.who.int/publications/i/item/9789240046689" TargetMode="External"/><Relationship Id="rId10" Type="http://schemas.openxmlformats.org/officeDocument/2006/relationships/hyperlink" Target="https://doi.org/10.1542/peds.2024-067307" TargetMode="External"/><Relationship Id="rId19" Type="http://schemas.openxmlformats.org/officeDocument/2006/relationships/hyperlink" Target="https://doi.org/10.1016/S0749-3797(98)00017-8" TargetMode="External"/><Relationship Id="rId31" Type="http://schemas.openxmlformats.org/officeDocument/2006/relationships/hyperlink" Target="https://phw.nhs.wales/" TargetMode="External"/><Relationship Id="rId4" Type="http://schemas.openxmlformats.org/officeDocument/2006/relationships/webSettings" Target="webSettings.xml"/><Relationship Id="rId9" Type="http://schemas.openxmlformats.org/officeDocument/2006/relationships/hyperlink" Target="https://doi.org/10.1016/j.puhe.2023.03.025" TargetMode="External"/><Relationship Id="rId14" Type="http://schemas.openxmlformats.org/officeDocument/2006/relationships/hyperlink" Target="https://doi.org/10.1111/phn.13273" TargetMode="External"/><Relationship Id="rId22" Type="http://schemas.openxmlformats.org/officeDocument/2006/relationships/hyperlink" Target="https://www.legislation.gov.uk/ukpga/2022/31" TargetMode="External"/><Relationship Id="rId27" Type="http://schemas.openxmlformats.org/officeDocument/2006/relationships/hyperlink" Target="https://doi.org/10.1056/NEJM199801153380307" TargetMode="External"/><Relationship Id="rId30" Type="http://schemas.openxmlformats.org/officeDocument/2006/relationships/hyperlink" Target="https://www.gov.uk/" TargetMode="External"/><Relationship Id="rId35" Type="http://schemas.openxmlformats.org/officeDocument/2006/relationships/hyperlink" Target="https://www.who.int/" TargetMode="External"/><Relationship Id="rId8" Type="http://schemas.openxmlformats.org/officeDocument/2006/relationships/hyperlink" Target="https://doi.org/10.3390/ijerph2017663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16</Pages>
  <Words>5151</Words>
  <Characters>29367</Characters>
  <Application>Microsoft Office Word</Application>
  <DocSecurity>0</DocSecurity>
  <Lines>244</Lines>
  <Paragraphs>68</Paragraphs>
  <ScaleCrop>false</ScaleCrop>
  <Company/>
  <LinksUpToDate>false</LinksUpToDate>
  <CharactersWithSpaces>34450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Rozilene Brandao De Araujo (2319163)</dc:creator>
  <cp:keywords/>
  <dc:description/>
  <cp:lastModifiedBy>Rose Araujo</cp:lastModifiedBy>
  <cp:revision>124</cp:revision>
  <dcterms:created xsi:type="dcterms:W3CDTF">2026-07-16T12:04:00Z</dcterms:created>
  <dcterms:modified xsi:type="dcterms:W3CDTF">2026-07-17T10:50:00Z</dcterms:modified>
</cp:coreProperties>
</file>