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3B19" w:rsidRDefault="00653B19">
      <w:pPr>
        <w:pStyle w:val="TOCHeading"/>
        <w:rPr>
          <w:rFonts w:asciiTheme="minorHAnsi" w:eastAsiaTheme="minorHAnsi" w:hAnsiTheme="minorHAnsi" w:cstheme="minorBidi"/>
          <w:color w:val="auto"/>
          <w:sz w:val="22"/>
          <w:szCs w:val="22"/>
          <w:lang w:val="en-GB"/>
        </w:rPr>
      </w:pPr>
      <w:r>
        <w:rPr>
          <w:noProof/>
        </w:rPr>
        <w:drawing>
          <wp:anchor distT="0" distB="0" distL="114300" distR="114300" simplePos="0" relativeHeight="251658240" behindDoc="0" locked="0" layoutInCell="1" allowOverlap="1" wp14:anchorId="4EFC4A16">
            <wp:simplePos x="0" y="0"/>
            <wp:positionH relativeFrom="column">
              <wp:posOffset>1292356</wp:posOffset>
            </wp:positionH>
            <wp:positionV relativeFrom="paragraph">
              <wp:posOffset>172720</wp:posOffset>
            </wp:positionV>
            <wp:extent cx="2886075" cy="1133475"/>
            <wp:effectExtent l="0" t="0" r="9525" b="952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p>
    <w:p w:rsidR="00653B19" w:rsidRDefault="00653B19">
      <w:pPr>
        <w:pStyle w:val="TOCHeading"/>
        <w:rPr>
          <w:rFonts w:asciiTheme="minorHAnsi" w:eastAsiaTheme="minorHAnsi" w:hAnsiTheme="minorHAnsi" w:cstheme="minorBidi"/>
          <w:color w:val="auto"/>
          <w:sz w:val="22"/>
          <w:szCs w:val="22"/>
          <w:lang w:val="en-GB"/>
        </w:rPr>
      </w:pPr>
    </w:p>
    <w:p w:rsidR="00653B19" w:rsidRDefault="00653B19" w:rsidP="00653B19">
      <w:pPr>
        <w:spacing w:after="0" w:line="256" w:lineRule="auto"/>
        <w:jc w:val="center"/>
        <w:rPr>
          <w:rFonts w:ascii="Arial" w:eastAsia="Times New Roman" w:hAnsi="Arial" w:cs="Arial"/>
          <w:b/>
          <w:sz w:val="32"/>
          <w:szCs w:val="32"/>
          <w:u w:val="single"/>
          <w:lang w:eastAsia="en-GB"/>
        </w:rPr>
      </w:pPr>
    </w:p>
    <w:p w:rsidR="00653B19" w:rsidRDefault="00653B19" w:rsidP="00653B19">
      <w:pPr>
        <w:spacing w:after="0" w:line="256" w:lineRule="auto"/>
        <w:jc w:val="center"/>
        <w:rPr>
          <w:rFonts w:ascii="Arial" w:eastAsia="Times New Roman" w:hAnsi="Arial" w:cs="Arial"/>
          <w:b/>
          <w:sz w:val="40"/>
          <w:szCs w:val="40"/>
          <w:u w:val="single"/>
          <w:lang w:eastAsia="en-GB"/>
        </w:rPr>
      </w:pPr>
    </w:p>
    <w:p w:rsidR="00653B19" w:rsidRDefault="00653B19" w:rsidP="00653B19">
      <w:pPr>
        <w:spacing w:after="0" w:line="256" w:lineRule="auto"/>
        <w:jc w:val="center"/>
        <w:rPr>
          <w:rFonts w:ascii="Arial" w:eastAsia="Times New Roman" w:hAnsi="Arial" w:cs="Arial"/>
          <w:b/>
          <w:sz w:val="40"/>
          <w:szCs w:val="40"/>
          <w:u w:val="single"/>
          <w:lang w:eastAsia="en-GB"/>
        </w:rPr>
      </w:pPr>
    </w:p>
    <w:p w:rsidR="00653B19" w:rsidRDefault="00653B19" w:rsidP="00653B19">
      <w:pPr>
        <w:spacing w:after="0" w:line="256" w:lineRule="auto"/>
        <w:jc w:val="center"/>
        <w:rPr>
          <w:rFonts w:ascii="Arial" w:eastAsia="Times New Roman" w:hAnsi="Arial" w:cs="Arial"/>
          <w:b/>
          <w:sz w:val="40"/>
          <w:szCs w:val="40"/>
          <w:u w:val="single"/>
          <w:lang w:eastAsia="en-GB"/>
        </w:rPr>
      </w:pPr>
      <w:r>
        <w:rPr>
          <w:rFonts w:ascii="Arial" w:eastAsia="Times New Roman" w:hAnsi="Arial" w:cs="Arial"/>
          <w:b/>
          <w:sz w:val="40"/>
          <w:szCs w:val="40"/>
          <w:u w:val="single"/>
          <w:lang w:eastAsia="en-GB"/>
        </w:rPr>
        <w:t>Kayleigh Davies P149186</w:t>
      </w:r>
    </w:p>
    <w:p w:rsidR="00653B19" w:rsidRDefault="00653B19" w:rsidP="00653B19">
      <w:pPr>
        <w:spacing w:after="0" w:line="256" w:lineRule="auto"/>
        <w:jc w:val="center"/>
        <w:rPr>
          <w:rFonts w:ascii="Arial" w:eastAsia="Times New Roman" w:hAnsi="Arial" w:cs="Arial"/>
          <w:b/>
          <w:sz w:val="40"/>
          <w:szCs w:val="40"/>
          <w:u w:val="single"/>
          <w:lang w:eastAsia="en-GB"/>
        </w:rPr>
      </w:pPr>
      <w:r>
        <w:rPr>
          <w:rFonts w:ascii="Arial" w:eastAsia="Times New Roman" w:hAnsi="Arial" w:cs="Arial"/>
          <w:b/>
          <w:sz w:val="40"/>
          <w:szCs w:val="40"/>
          <w:lang w:eastAsia="en-GB"/>
        </w:rPr>
        <w:t>M6X02114</w:t>
      </w:r>
    </w:p>
    <w:p w:rsidR="00653B19" w:rsidRDefault="00653B19" w:rsidP="00653B19">
      <w:pPr>
        <w:spacing w:after="0" w:line="256" w:lineRule="auto"/>
        <w:jc w:val="center"/>
        <w:rPr>
          <w:rFonts w:ascii="Arial" w:eastAsia="Times New Roman" w:hAnsi="Arial" w:cs="Arial"/>
          <w:b/>
          <w:sz w:val="40"/>
          <w:szCs w:val="40"/>
          <w:u w:val="single"/>
          <w:lang w:eastAsia="en-GB"/>
        </w:rPr>
      </w:pPr>
      <w:r>
        <w:rPr>
          <w:rFonts w:ascii="Arial" w:eastAsia="Times New Roman" w:hAnsi="Arial" w:cs="Arial"/>
          <w:b/>
          <w:sz w:val="40"/>
          <w:szCs w:val="40"/>
          <w:lang w:eastAsia="en-GB"/>
        </w:rPr>
        <w:t>Culture and Heritage Tourism Management</w:t>
      </w:r>
    </w:p>
    <w:p w:rsidR="00653B19" w:rsidRDefault="00653B19">
      <w:pPr>
        <w:pStyle w:val="TOCHeading"/>
        <w:rPr>
          <w:rFonts w:asciiTheme="minorHAnsi" w:eastAsiaTheme="minorHAnsi" w:hAnsiTheme="minorHAnsi" w:cstheme="minorBidi"/>
          <w:color w:val="auto"/>
          <w:sz w:val="22"/>
          <w:szCs w:val="22"/>
          <w:lang w:val="en-GB"/>
        </w:rPr>
      </w:pPr>
    </w:p>
    <w:p w:rsidR="00653B19" w:rsidRDefault="00653B19">
      <w:pPr>
        <w:pStyle w:val="TOCHeading"/>
        <w:rPr>
          <w:rFonts w:asciiTheme="minorHAnsi" w:eastAsiaTheme="minorHAnsi" w:hAnsiTheme="minorHAnsi" w:cstheme="minorBidi"/>
          <w:color w:val="auto"/>
          <w:sz w:val="22"/>
          <w:szCs w:val="22"/>
          <w:lang w:val="en-GB"/>
        </w:rPr>
      </w:pPr>
    </w:p>
    <w:p w:rsidR="00653B19" w:rsidRDefault="00653B19">
      <w:pPr>
        <w:pStyle w:val="TOCHeading"/>
        <w:rPr>
          <w:rFonts w:asciiTheme="minorHAnsi" w:eastAsiaTheme="minorHAnsi" w:hAnsiTheme="minorHAnsi" w:cstheme="minorBidi"/>
          <w:color w:val="auto"/>
          <w:sz w:val="22"/>
          <w:szCs w:val="22"/>
          <w:lang w:val="en-GB"/>
        </w:rPr>
      </w:pPr>
    </w:p>
    <w:p w:rsidR="00653B19" w:rsidRDefault="00653B19">
      <w:pPr>
        <w:pStyle w:val="TOCHeading"/>
        <w:rPr>
          <w:rFonts w:asciiTheme="minorHAnsi" w:eastAsiaTheme="minorHAnsi" w:hAnsiTheme="minorHAnsi" w:cstheme="minorBidi"/>
          <w:color w:val="auto"/>
          <w:sz w:val="22"/>
          <w:szCs w:val="22"/>
          <w:lang w:val="en-GB"/>
        </w:rPr>
      </w:pPr>
    </w:p>
    <w:p w:rsidR="00653B19" w:rsidRDefault="00653B19">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979602600"/>
        <w:docPartObj>
          <w:docPartGallery w:val="Table of Contents"/>
          <w:docPartUnique/>
        </w:docPartObj>
      </w:sdtPr>
      <w:sdtEndPr>
        <w:rPr>
          <w:b/>
          <w:bCs/>
          <w:noProof/>
        </w:rPr>
      </w:sdtEndPr>
      <w:sdtContent>
        <w:p w:rsidR="00FE062D" w:rsidRDefault="00FE062D">
          <w:pPr>
            <w:pStyle w:val="TOCHeading"/>
          </w:pPr>
          <w:r>
            <w:t>Table of Contents</w:t>
          </w:r>
        </w:p>
        <w:p w:rsidR="00C46416" w:rsidRDefault="00FE062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019175" w:history="1">
            <w:r w:rsidR="00C46416" w:rsidRPr="0077660D">
              <w:rPr>
                <w:rStyle w:val="Hyperlink"/>
                <w:noProof/>
              </w:rPr>
              <w:t>Introduction</w:t>
            </w:r>
            <w:r w:rsidR="00C46416">
              <w:rPr>
                <w:noProof/>
                <w:webHidden/>
              </w:rPr>
              <w:tab/>
            </w:r>
            <w:r w:rsidR="00C46416">
              <w:rPr>
                <w:noProof/>
                <w:webHidden/>
              </w:rPr>
              <w:fldChar w:fldCharType="begin"/>
            </w:r>
            <w:r w:rsidR="00C46416">
              <w:rPr>
                <w:noProof/>
                <w:webHidden/>
              </w:rPr>
              <w:instrText xml:space="preserve"> PAGEREF _Toc4019175 \h </w:instrText>
            </w:r>
            <w:r w:rsidR="00C46416">
              <w:rPr>
                <w:noProof/>
                <w:webHidden/>
              </w:rPr>
            </w:r>
            <w:r w:rsidR="00C46416">
              <w:rPr>
                <w:noProof/>
                <w:webHidden/>
              </w:rPr>
              <w:fldChar w:fldCharType="separate"/>
            </w:r>
            <w:r w:rsidR="00C46416">
              <w:rPr>
                <w:noProof/>
                <w:webHidden/>
              </w:rPr>
              <w:t>1</w:t>
            </w:r>
            <w:r w:rsidR="00C46416">
              <w:rPr>
                <w:noProof/>
                <w:webHidden/>
              </w:rPr>
              <w:fldChar w:fldCharType="end"/>
            </w:r>
          </w:hyperlink>
        </w:p>
        <w:p w:rsidR="00C46416" w:rsidRDefault="00C46416">
          <w:pPr>
            <w:pStyle w:val="TOC2"/>
            <w:tabs>
              <w:tab w:val="right" w:leader="dot" w:pos="9016"/>
            </w:tabs>
            <w:rPr>
              <w:rFonts w:eastAsiaTheme="minorEastAsia"/>
              <w:noProof/>
              <w:lang w:eastAsia="en-GB"/>
            </w:rPr>
          </w:pPr>
          <w:hyperlink w:anchor="_Toc4019176" w:history="1">
            <w:r w:rsidRPr="0077660D">
              <w:rPr>
                <w:rStyle w:val="Hyperlink"/>
                <w:noProof/>
              </w:rPr>
              <w:t>Defining Culture</w:t>
            </w:r>
            <w:r>
              <w:rPr>
                <w:noProof/>
                <w:webHidden/>
              </w:rPr>
              <w:tab/>
            </w:r>
            <w:r>
              <w:rPr>
                <w:noProof/>
                <w:webHidden/>
              </w:rPr>
              <w:fldChar w:fldCharType="begin"/>
            </w:r>
            <w:r>
              <w:rPr>
                <w:noProof/>
                <w:webHidden/>
              </w:rPr>
              <w:instrText xml:space="preserve"> PAGEREF _Toc4019176 \h </w:instrText>
            </w:r>
            <w:r>
              <w:rPr>
                <w:noProof/>
                <w:webHidden/>
              </w:rPr>
            </w:r>
            <w:r>
              <w:rPr>
                <w:noProof/>
                <w:webHidden/>
              </w:rPr>
              <w:fldChar w:fldCharType="separate"/>
            </w:r>
            <w:r>
              <w:rPr>
                <w:noProof/>
                <w:webHidden/>
              </w:rPr>
              <w:t>1</w:t>
            </w:r>
            <w:r>
              <w:rPr>
                <w:noProof/>
                <w:webHidden/>
              </w:rPr>
              <w:fldChar w:fldCharType="end"/>
            </w:r>
          </w:hyperlink>
        </w:p>
        <w:p w:rsidR="00C46416" w:rsidRDefault="00C46416">
          <w:pPr>
            <w:pStyle w:val="TOC2"/>
            <w:tabs>
              <w:tab w:val="right" w:leader="dot" w:pos="9016"/>
            </w:tabs>
            <w:rPr>
              <w:rFonts w:eastAsiaTheme="minorEastAsia"/>
              <w:noProof/>
              <w:lang w:eastAsia="en-GB"/>
            </w:rPr>
          </w:pPr>
          <w:hyperlink w:anchor="_Toc4019177" w:history="1">
            <w:r w:rsidRPr="0077660D">
              <w:rPr>
                <w:rStyle w:val="Hyperlink"/>
                <w:noProof/>
              </w:rPr>
              <w:t>Defining Heritage</w:t>
            </w:r>
            <w:r>
              <w:rPr>
                <w:noProof/>
                <w:webHidden/>
              </w:rPr>
              <w:tab/>
            </w:r>
            <w:r>
              <w:rPr>
                <w:noProof/>
                <w:webHidden/>
              </w:rPr>
              <w:fldChar w:fldCharType="begin"/>
            </w:r>
            <w:r>
              <w:rPr>
                <w:noProof/>
                <w:webHidden/>
              </w:rPr>
              <w:instrText xml:space="preserve"> PAGEREF _Toc4019177 \h </w:instrText>
            </w:r>
            <w:r>
              <w:rPr>
                <w:noProof/>
                <w:webHidden/>
              </w:rPr>
            </w:r>
            <w:r>
              <w:rPr>
                <w:noProof/>
                <w:webHidden/>
              </w:rPr>
              <w:fldChar w:fldCharType="separate"/>
            </w:r>
            <w:r>
              <w:rPr>
                <w:noProof/>
                <w:webHidden/>
              </w:rPr>
              <w:t>2</w:t>
            </w:r>
            <w:r>
              <w:rPr>
                <w:noProof/>
                <w:webHidden/>
              </w:rPr>
              <w:fldChar w:fldCharType="end"/>
            </w:r>
          </w:hyperlink>
        </w:p>
        <w:p w:rsidR="00C46416" w:rsidRDefault="00C46416">
          <w:pPr>
            <w:pStyle w:val="TOC2"/>
            <w:tabs>
              <w:tab w:val="right" w:leader="dot" w:pos="9016"/>
            </w:tabs>
            <w:rPr>
              <w:rFonts w:eastAsiaTheme="minorEastAsia"/>
              <w:noProof/>
              <w:lang w:eastAsia="en-GB"/>
            </w:rPr>
          </w:pPr>
          <w:hyperlink w:anchor="_Toc4019178" w:history="1">
            <w:r w:rsidRPr="0077660D">
              <w:rPr>
                <w:rStyle w:val="Hyperlink"/>
                <w:noProof/>
              </w:rPr>
              <w:t>World Heritage Sites</w:t>
            </w:r>
            <w:r>
              <w:rPr>
                <w:noProof/>
                <w:webHidden/>
              </w:rPr>
              <w:tab/>
            </w:r>
            <w:r>
              <w:rPr>
                <w:noProof/>
                <w:webHidden/>
              </w:rPr>
              <w:fldChar w:fldCharType="begin"/>
            </w:r>
            <w:r>
              <w:rPr>
                <w:noProof/>
                <w:webHidden/>
              </w:rPr>
              <w:instrText xml:space="preserve"> PAGEREF _Toc4019178 \h </w:instrText>
            </w:r>
            <w:r>
              <w:rPr>
                <w:noProof/>
                <w:webHidden/>
              </w:rPr>
            </w:r>
            <w:r>
              <w:rPr>
                <w:noProof/>
                <w:webHidden/>
              </w:rPr>
              <w:fldChar w:fldCharType="separate"/>
            </w:r>
            <w:r>
              <w:rPr>
                <w:noProof/>
                <w:webHidden/>
              </w:rPr>
              <w:t>2</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79" w:history="1">
            <w:r w:rsidRPr="0077660D">
              <w:rPr>
                <w:rStyle w:val="Hyperlink"/>
                <w:noProof/>
              </w:rPr>
              <w:t>Welsh Culture and Heritage</w:t>
            </w:r>
            <w:r>
              <w:rPr>
                <w:noProof/>
                <w:webHidden/>
              </w:rPr>
              <w:tab/>
            </w:r>
            <w:r>
              <w:rPr>
                <w:noProof/>
                <w:webHidden/>
              </w:rPr>
              <w:fldChar w:fldCharType="begin"/>
            </w:r>
            <w:r>
              <w:rPr>
                <w:noProof/>
                <w:webHidden/>
              </w:rPr>
              <w:instrText xml:space="preserve"> PAGEREF _Toc4019179 \h </w:instrText>
            </w:r>
            <w:r>
              <w:rPr>
                <w:noProof/>
                <w:webHidden/>
              </w:rPr>
            </w:r>
            <w:r>
              <w:rPr>
                <w:noProof/>
                <w:webHidden/>
              </w:rPr>
              <w:fldChar w:fldCharType="separate"/>
            </w:r>
            <w:r>
              <w:rPr>
                <w:noProof/>
                <w:webHidden/>
              </w:rPr>
              <w:t>3</w:t>
            </w:r>
            <w:r>
              <w:rPr>
                <w:noProof/>
                <w:webHidden/>
              </w:rPr>
              <w:fldChar w:fldCharType="end"/>
            </w:r>
          </w:hyperlink>
        </w:p>
        <w:p w:rsidR="00C46416" w:rsidRDefault="00C46416">
          <w:pPr>
            <w:pStyle w:val="TOC2"/>
            <w:tabs>
              <w:tab w:val="right" w:leader="dot" w:pos="9016"/>
            </w:tabs>
            <w:rPr>
              <w:rFonts w:eastAsiaTheme="minorEastAsia"/>
              <w:noProof/>
              <w:lang w:eastAsia="en-GB"/>
            </w:rPr>
          </w:pPr>
          <w:hyperlink w:anchor="_Toc4019180" w:history="1">
            <w:r w:rsidRPr="0077660D">
              <w:rPr>
                <w:rStyle w:val="Hyperlink"/>
                <w:noProof/>
              </w:rPr>
              <w:t>Voluntary, Public and Private Sector</w:t>
            </w:r>
            <w:r>
              <w:rPr>
                <w:noProof/>
                <w:webHidden/>
              </w:rPr>
              <w:tab/>
            </w:r>
            <w:r>
              <w:rPr>
                <w:noProof/>
                <w:webHidden/>
              </w:rPr>
              <w:fldChar w:fldCharType="begin"/>
            </w:r>
            <w:r>
              <w:rPr>
                <w:noProof/>
                <w:webHidden/>
              </w:rPr>
              <w:instrText xml:space="preserve"> PAGEREF _Toc4019180 \h </w:instrText>
            </w:r>
            <w:r>
              <w:rPr>
                <w:noProof/>
                <w:webHidden/>
              </w:rPr>
            </w:r>
            <w:r>
              <w:rPr>
                <w:noProof/>
                <w:webHidden/>
              </w:rPr>
              <w:fldChar w:fldCharType="separate"/>
            </w:r>
            <w:r>
              <w:rPr>
                <w:noProof/>
                <w:webHidden/>
              </w:rPr>
              <w:t>4</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1" w:history="1">
            <w:r w:rsidRPr="0077660D">
              <w:rPr>
                <w:rStyle w:val="Hyperlink"/>
                <w:noProof/>
              </w:rPr>
              <w:t>Authenticity</w:t>
            </w:r>
            <w:r>
              <w:rPr>
                <w:noProof/>
                <w:webHidden/>
              </w:rPr>
              <w:tab/>
            </w:r>
            <w:r>
              <w:rPr>
                <w:noProof/>
                <w:webHidden/>
              </w:rPr>
              <w:fldChar w:fldCharType="begin"/>
            </w:r>
            <w:r>
              <w:rPr>
                <w:noProof/>
                <w:webHidden/>
              </w:rPr>
              <w:instrText xml:space="preserve"> PAGEREF _Toc4019181 \h </w:instrText>
            </w:r>
            <w:r>
              <w:rPr>
                <w:noProof/>
                <w:webHidden/>
              </w:rPr>
            </w:r>
            <w:r>
              <w:rPr>
                <w:noProof/>
                <w:webHidden/>
              </w:rPr>
              <w:fldChar w:fldCharType="separate"/>
            </w:r>
            <w:r>
              <w:rPr>
                <w:noProof/>
                <w:webHidden/>
              </w:rPr>
              <w:t>5</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2" w:history="1">
            <w:r w:rsidRPr="0077660D">
              <w:rPr>
                <w:rStyle w:val="Hyperlink"/>
                <w:noProof/>
              </w:rPr>
              <w:t>Interpretation</w:t>
            </w:r>
            <w:r>
              <w:rPr>
                <w:noProof/>
                <w:webHidden/>
              </w:rPr>
              <w:tab/>
            </w:r>
            <w:r>
              <w:rPr>
                <w:noProof/>
                <w:webHidden/>
              </w:rPr>
              <w:fldChar w:fldCharType="begin"/>
            </w:r>
            <w:r>
              <w:rPr>
                <w:noProof/>
                <w:webHidden/>
              </w:rPr>
              <w:instrText xml:space="preserve"> PAGEREF _Toc4019182 \h </w:instrText>
            </w:r>
            <w:r>
              <w:rPr>
                <w:noProof/>
                <w:webHidden/>
              </w:rPr>
            </w:r>
            <w:r>
              <w:rPr>
                <w:noProof/>
                <w:webHidden/>
              </w:rPr>
              <w:fldChar w:fldCharType="separate"/>
            </w:r>
            <w:r>
              <w:rPr>
                <w:noProof/>
                <w:webHidden/>
              </w:rPr>
              <w:t>6</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3" w:history="1">
            <w:r w:rsidRPr="0077660D">
              <w:rPr>
                <w:rStyle w:val="Hyperlink"/>
                <w:noProof/>
              </w:rPr>
              <w:t>Education vs Entertainment</w:t>
            </w:r>
            <w:r>
              <w:rPr>
                <w:noProof/>
                <w:webHidden/>
              </w:rPr>
              <w:tab/>
            </w:r>
            <w:r>
              <w:rPr>
                <w:noProof/>
                <w:webHidden/>
              </w:rPr>
              <w:fldChar w:fldCharType="begin"/>
            </w:r>
            <w:r>
              <w:rPr>
                <w:noProof/>
                <w:webHidden/>
              </w:rPr>
              <w:instrText xml:space="preserve"> PAGEREF _Toc4019183 \h </w:instrText>
            </w:r>
            <w:r>
              <w:rPr>
                <w:noProof/>
                <w:webHidden/>
              </w:rPr>
            </w:r>
            <w:r>
              <w:rPr>
                <w:noProof/>
                <w:webHidden/>
              </w:rPr>
              <w:fldChar w:fldCharType="separate"/>
            </w:r>
            <w:r>
              <w:rPr>
                <w:noProof/>
                <w:webHidden/>
              </w:rPr>
              <w:t>6</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4" w:history="1">
            <w:r w:rsidRPr="0077660D">
              <w:rPr>
                <w:rStyle w:val="Hyperlink"/>
                <w:noProof/>
              </w:rPr>
              <w:t>Commodification vs Commercialisation</w:t>
            </w:r>
            <w:r>
              <w:rPr>
                <w:noProof/>
                <w:webHidden/>
              </w:rPr>
              <w:tab/>
            </w:r>
            <w:r>
              <w:rPr>
                <w:noProof/>
                <w:webHidden/>
              </w:rPr>
              <w:fldChar w:fldCharType="begin"/>
            </w:r>
            <w:r>
              <w:rPr>
                <w:noProof/>
                <w:webHidden/>
              </w:rPr>
              <w:instrText xml:space="preserve"> PAGEREF _Toc4019184 \h </w:instrText>
            </w:r>
            <w:r>
              <w:rPr>
                <w:noProof/>
                <w:webHidden/>
              </w:rPr>
            </w:r>
            <w:r>
              <w:rPr>
                <w:noProof/>
                <w:webHidden/>
              </w:rPr>
              <w:fldChar w:fldCharType="separate"/>
            </w:r>
            <w:r>
              <w:rPr>
                <w:noProof/>
                <w:webHidden/>
              </w:rPr>
              <w:t>6</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5" w:history="1">
            <w:r w:rsidRPr="0077660D">
              <w:rPr>
                <w:rStyle w:val="Hyperlink"/>
                <w:noProof/>
              </w:rPr>
              <w:t>Case Study: The Great Barrier Reef</w:t>
            </w:r>
            <w:r>
              <w:rPr>
                <w:noProof/>
                <w:webHidden/>
              </w:rPr>
              <w:tab/>
            </w:r>
            <w:r>
              <w:rPr>
                <w:noProof/>
                <w:webHidden/>
              </w:rPr>
              <w:fldChar w:fldCharType="begin"/>
            </w:r>
            <w:r>
              <w:rPr>
                <w:noProof/>
                <w:webHidden/>
              </w:rPr>
              <w:instrText xml:space="preserve"> PAGEREF _Toc4019185 \h </w:instrText>
            </w:r>
            <w:r>
              <w:rPr>
                <w:noProof/>
                <w:webHidden/>
              </w:rPr>
            </w:r>
            <w:r>
              <w:rPr>
                <w:noProof/>
                <w:webHidden/>
              </w:rPr>
              <w:fldChar w:fldCharType="separate"/>
            </w:r>
            <w:r>
              <w:rPr>
                <w:noProof/>
                <w:webHidden/>
              </w:rPr>
              <w:t>7</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6" w:history="1">
            <w:r w:rsidRPr="0077660D">
              <w:rPr>
                <w:rStyle w:val="Hyperlink"/>
                <w:noProof/>
              </w:rPr>
              <w:t>The Management of Future Heritage Sites</w:t>
            </w:r>
            <w:r>
              <w:rPr>
                <w:noProof/>
                <w:webHidden/>
              </w:rPr>
              <w:tab/>
            </w:r>
            <w:r>
              <w:rPr>
                <w:noProof/>
                <w:webHidden/>
              </w:rPr>
              <w:fldChar w:fldCharType="begin"/>
            </w:r>
            <w:r>
              <w:rPr>
                <w:noProof/>
                <w:webHidden/>
              </w:rPr>
              <w:instrText xml:space="preserve"> PAGEREF _Toc4019186 \h </w:instrText>
            </w:r>
            <w:r>
              <w:rPr>
                <w:noProof/>
                <w:webHidden/>
              </w:rPr>
            </w:r>
            <w:r>
              <w:rPr>
                <w:noProof/>
                <w:webHidden/>
              </w:rPr>
              <w:fldChar w:fldCharType="separate"/>
            </w:r>
            <w:r>
              <w:rPr>
                <w:noProof/>
                <w:webHidden/>
              </w:rPr>
              <w:t>8</w:t>
            </w:r>
            <w:r>
              <w:rPr>
                <w:noProof/>
                <w:webHidden/>
              </w:rPr>
              <w:fldChar w:fldCharType="end"/>
            </w:r>
          </w:hyperlink>
        </w:p>
        <w:p w:rsidR="00C46416" w:rsidRDefault="00C46416">
          <w:pPr>
            <w:pStyle w:val="TOC1"/>
            <w:tabs>
              <w:tab w:val="right" w:leader="dot" w:pos="9016"/>
            </w:tabs>
            <w:rPr>
              <w:rFonts w:eastAsiaTheme="minorEastAsia"/>
              <w:noProof/>
              <w:lang w:eastAsia="en-GB"/>
            </w:rPr>
          </w:pPr>
          <w:hyperlink w:anchor="_Toc4019187" w:history="1">
            <w:r w:rsidRPr="0077660D">
              <w:rPr>
                <w:rStyle w:val="Hyperlink"/>
                <w:noProof/>
              </w:rPr>
              <w:t>References</w:t>
            </w:r>
            <w:r>
              <w:rPr>
                <w:noProof/>
                <w:webHidden/>
              </w:rPr>
              <w:tab/>
            </w:r>
            <w:r>
              <w:rPr>
                <w:noProof/>
                <w:webHidden/>
              </w:rPr>
              <w:fldChar w:fldCharType="begin"/>
            </w:r>
            <w:r>
              <w:rPr>
                <w:noProof/>
                <w:webHidden/>
              </w:rPr>
              <w:instrText xml:space="preserve"> PAGEREF _Toc4019187 \h </w:instrText>
            </w:r>
            <w:r>
              <w:rPr>
                <w:noProof/>
                <w:webHidden/>
              </w:rPr>
            </w:r>
            <w:r>
              <w:rPr>
                <w:noProof/>
                <w:webHidden/>
              </w:rPr>
              <w:fldChar w:fldCharType="separate"/>
            </w:r>
            <w:r>
              <w:rPr>
                <w:noProof/>
                <w:webHidden/>
              </w:rPr>
              <w:t>9</w:t>
            </w:r>
            <w:r>
              <w:rPr>
                <w:noProof/>
                <w:webHidden/>
              </w:rPr>
              <w:fldChar w:fldCharType="end"/>
            </w:r>
          </w:hyperlink>
        </w:p>
        <w:p w:rsidR="00813D9B" w:rsidRDefault="00FE062D" w:rsidP="00FE062D">
          <w:pPr>
            <w:rPr>
              <w:b/>
              <w:bCs/>
              <w:noProof/>
            </w:rPr>
          </w:pPr>
          <w:r>
            <w:rPr>
              <w:b/>
              <w:bCs/>
              <w:noProof/>
            </w:rPr>
            <w:fldChar w:fldCharType="end"/>
          </w:r>
        </w:p>
      </w:sdtContent>
    </w:sdt>
    <w:p w:rsidR="009A3FDD" w:rsidRDefault="00FE062D" w:rsidP="00653B19">
      <w:pPr>
        <w:pStyle w:val="Heading1"/>
      </w:pPr>
      <w:r>
        <w:lastRenderedPageBreak/>
        <w:br/>
      </w:r>
      <w:bookmarkStart w:id="0" w:name="_Toc4019175"/>
      <w:r w:rsidR="00862412">
        <w:t>Introduction</w:t>
      </w:r>
      <w:bookmarkEnd w:id="0"/>
    </w:p>
    <w:p w:rsidR="00000EFD" w:rsidRPr="00862412" w:rsidRDefault="00862412" w:rsidP="00C46416">
      <w:pPr>
        <w:spacing w:line="360" w:lineRule="auto"/>
        <w:ind w:firstLine="720"/>
        <w:rPr>
          <w:rFonts w:ascii="Arial" w:hAnsi="Arial" w:cs="Arial"/>
        </w:rPr>
      </w:pPr>
      <w:r w:rsidRPr="002A1141">
        <w:rPr>
          <w:rFonts w:ascii="Arial" w:hAnsi="Arial" w:cs="Arial"/>
        </w:rPr>
        <w:t xml:space="preserve">This </w:t>
      </w:r>
      <w:r>
        <w:rPr>
          <w:rFonts w:ascii="Arial" w:hAnsi="Arial" w:cs="Arial"/>
        </w:rPr>
        <w:t xml:space="preserve">paper </w:t>
      </w:r>
      <w:r w:rsidRPr="002A1141">
        <w:rPr>
          <w:rFonts w:ascii="Arial" w:hAnsi="Arial" w:cs="Arial"/>
        </w:rPr>
        <w:t>will explore an array of literature relevant to the study</w:t>
      </w:r>
      <w:r>
        <w:rPr>
          <w:rFonts w:ascii="Arial" w:hAnsi="Arial" w:cs="Arial"/>
        </w:rPr>
        <w:t xml:space="preserve"> beginning focus on definitions to gain clear understanding of the culture and heritage industry. The aim of the study is to systematically review the commodification and commercialisation issues associated within the culture and heritage industry. International and national case studies will be mentioned throughout to highlight examples of positive work practices to contextualise the study further. This piece of text will end on constructive management approaches for future development for culture and heritage sites to alleviate negative and enrich positive impacts. </w:t>
      </w:r>
    </w:p>
    <w:p w:rsidR="00FE062D" w:rsidRPr="00FE062D" w:rsidRDefault="00F02CCD" w:rsidP="00FE062D">
      <w:pPr>
        <w:pStyle w:val="Heading2"/>
      </w:pPr>
      <w:bookmarkStart w:id="1" w:name="_Toc4019176"/>
      <w:r>
        <w:t xml:space="preserve">Defining </w:t>
      </w:r>
      <w:r w:rsidR="00C46416">
        <w:t>C</w:t>
      </w:r>
      <w:r>
        <w:t>ulture</w:t>
      </w:r>
      <w:bookmarkEnd w:id="1"/>
    </w:p>
    <w:p w:rsidR="00604235" w:rsidRDefault="00604235" w:rsidP="00604235">
      <w:pPr>
        <w:spacing w:line="360" w:lineRule="auto"/>
        <w:rPr>
          <w:rFonts w:ascii="Arial" w:hAnsi="Arial" w:cs="Arial"/>
        </w:rPr>
      </w:pPr>
      <w:r>
        <w:rPr>
          <w:rFonts w:ascii="Arial" w:hAnsi="Arial" w:cs="Arial"/>
        </w:rPr>
        <w:br/>
      </w:r>
      <w:r w:rsidR="00FE062D" w:rsidRPr="001377E9">
        <w:rPr>
          <w:rFonts w:ascii="Arial" w:hAnsi="Arial" w:cs="Arial"/>
        </w:rPr>
        <w:t xml:space="preserve">Culture is stated as the way of life of a specific group of people consisting of activities such as art and philosophy or the idea customs and social behaviour of a society (Cambridge, 2019; Collins, 2019). </w:t>
      </w:r>
      <w:r w:rsidR="00FE062D">
        <w:rPr>
          <w:rFonts w:ascii="Arial" w:hAnsi="Arial" w:cs="Arial"/>
        </w:rPr>
        <w:t xml:space="preserve">It has been stressed by </w:t>
      </w:r>
      <w:r w:rsidR="00AB094E" w:rsidRPr="004633C6">
        <w:rPr>
          <w:rFonts w:ascii="Arial" w:hAnsi="Arial" w:cs="Arial"/>
        </w:rPr>
        <w:t>Lloyd and Thomas (1998</w:t>
      </w:r>
      <w:r>
        <w:rPr>
          <w:rFonts w:ascii="Arial" w:hAnsi="Arial" w:cs="Arial"/>
        </w:rPr>
        <w:t>:2</w:t>
      </w:r>
      <w:r w:rsidR="00AB094E" w:rsidRPr="004633C6">
        <w:rPr>
          <w:rFonts w:ascii="Arial" w:hAnsi="Arial" w:cs="Arial"/>
        </w:rPr>
        <w:t xml:space="preserve">) </w:t>
      </w:r>
      <w:r w:rsidR="00FE062D">
        <w:rPr>
          <w:rFonts w:ascii="Arial" w:hAnsi="Arial" w:cs="Arial"/>
        </w:rPr>
        <w:t>that</w:t>
      </w:r>
      <w:r w:rsidR="00AB094E" w:rsidRPr="004633C6">
        <w:rPr>
          <w:rFonts w:ascii="Arial" w:hAnsi="Arial" w:cs="Arial"/>
        </w:rPr>
        <w:t xml:space="preserve"> culture </w:t>
      </w:r>
      <w:r w:rsidR="00FE062D">
        <w:rPr>
          <w:rFonts w:ascii="Arial" w:hAnsi="Arial" w:cs="Arial"/>
        </w:rPr>
        <w:t>is</w:t>
      </w:r>
      <w:r w:rsidR="00AB094E" w:rsidRPr="004633C6">
        <w:rPr>
          <w:rFonts w:ascii="Arial" w:hAnsi="Arial" w:cs="Arial"/>
        </w:rPr>
        <w:t xml:space="preserve"> “ “the ensemble of artefacts and aesthetic practices of a developed civilisation”.</w:t>
      </w:r>
      <w:r w:rsidR="00AB094E">
        <w:rPr>
          <w:rFonts w:ascii="Arial" w:hAnsi="Arial" w:cs="Arial"/>
        </w:rPr>
        <w:t xml:space="preserve"> </w:t>
      </w:r>
      <w:r w:rsidR="00B84A61" w:rsidRPr="00B84A61">
        <w:rPr>
          <w:rFonts w:ascii="Arial" w:hAnsi="Arial" w:cs="Arial"/>
        </w:rPr>
        <w:t>Culture changes over</w:t>
      </w:r>
      <w:r w:rsidR="00E56612">
        <w:rPr>
          <w:rFonts w:ascii="Arial" w:hAnsi="Arial" w:cs="Arial"/>
        </w:rPr>
        <w:t xml:space="preserve"> </w:t>
      </w:r>
      <w:r w:rsidR="00B84A61" w:rsidRPr="00B84A61">
        <w:rPr>
          <w:rFonts w:ascii="Arial" w:hAnsi="Arial" w:cs="Arial"/>
        </w:rPr>
        <w:t xml:space="preserve">time from exchanges of values and practices through business, travel and education across populations (Jenks, 1995). </w:t>
      </w:r>
      <w:r w:rsidR="00AB094E" w:rsidRPr="00AB094E">
        <w:rPr>
          <w:rFonts w:ascii="Arial" w:hAnsi="Arial" w:cs="Arial"/>
        </w:rPr>
        <w:t>It is</w:t>
      </w:r>
      <w:r w:rsidR="000338F8" w:rsidRPr="00AB094E">
        <w:rPr>
          <w:rFonts w:ascii="Arial" w:hAnsi="Arial" w:cs="Arial"/>
        </w:rPr>
        <w:t xml:space="preserve"> promoted as commodities of difference to satisfy </w:t>
      </w:r>
      <w:r w:rsidR="00C46416">
        <w:rPr>
          <w:rFonts w:ascii="Arial" w:hAnsi="Arial" w:cs="Arial"/>
        </w:rPr>
        <w:t xml:space="preserve">the </w:t>
      </w:r>
      <w:r w:rsidR="000338F8" w:rsidRPr="00AB094E">
        <w:rPr>
          <w:rFonts w:ascii="Arial" w:hAnsi="Arial" w:cs="Arial"/>
        </w:rPr>
        <w:t>commercial need of authenticity seeking tourist( Weaver and Lawton, 2006)</w:t>
      </w:r>
    </w:p>
    <w:p w:rsidR="00604235" w:rsidRDefault="000338F8" w:rsidP="00604235">
      <w:pPr>
        <w:spacing w:line="360" w:lineRule="auto"/>
        <w:rPr>
          <w:rFonts w:ascii="Arial" w:hAnsi="Arial" w:cs="Arial"/>
        </w:rPr>
      </w:pPr>
      <w:r>
        <w:rPr>
          <w:rFonts w:ascii="Arial" w:hAnsi="Arial" w:cs="Arial"/>
        </w:rPr>
        <w:t xml:space="preserve">Page and Connell (2009) distinguish that cultural tourism is a quest for authenticity where destinations </w:t>
      </w:r>
      <w:r w:rsidR="00862412">
        <w:rPr>
          <w:rFonts w:ascii="Arial" w:hAnsi="Arial" w:cs="Arial"/>
        </w:rPr>
        <w:t>have no</w:t>
      </w:r>
      <w:r>
        <w:rPr>
          <w:rFonts w:ascii="Arial" w:hAnsi="Arial" w:cs="Arial"/>
        </w:rPr>
        <w:t xml:space="preserve">t been altered by modernity or western culture. </w:t>
      </w:r>
      <w:r w:rsidR="009A3FDD" w:rsidRPr="001377E9">
        <w:rPr>
          <w:rFonts w:ascii="Arial" w:hAnsi="Arial" w:cs="Arial"/>
        </w:rPr>
        <w:t>The World tourism organisation reports cultural tourism as one of the strongest segments of the tourism industry with culture and heritage accounting for 40% of all international trips taken (</w:t>
      </w:r>
      <w:r w:rsidR="009A3FDD">
        <w:rPr>
          <w:rFonts w:ascii="Arial" w:hAnsi="Arial" w:cs="Arial"/>
        </w:rPr>
        <w:t>UNWTO</w:t>
      </w:r>
      <w:r w:rsidR="009A3FDD" w:rsidRPr="001377E9">
        <w:rPr>
          <w:rFonts w:ascii="Arial" w:hAnsi="Arial" w:cs="Arial"/>
        </w:rPr>
        <w:t>, 2011)</w:t>
      </w:r>
      <w:r w:rsidR="009A3FDD">
        <w:rPr>
          <w:rFonts w:ascii="Arial" w:hAnsi="Arial" w:cs="Arial"/>
        </w:rPr>
        <w:t xml:space="preserve">. </w:t>
      </w:r>
      <w:r w:rsidR="009A3FDD" w:rsidRPr="001377E9">
        <w:rPr>
          <w:rFonts w:ascii="Arial" w:hAnsi="Arial" w:cs="Arial"/>
        </w:rPr>
        <w:t>Cultural tourism is the movement of people essentially for cultural motivations encompassing heritage and cultural products. The emergence of cultural tourism is now linked with tourist activity accessible to mainstream travellers with 20 % of travellers to Europe responding to cultural motives (WTO, 2004). This experimental based tourism is stimulated by the performing arts and festivals, very similar to heritage tourism that seeks encounters with nature and sense of a historical place.  Tourism is the vehicle of cultural exchange reaching homogeneous cultures through visiting historical significance places and generating revenue to such sites.</w:t>
      </w:r>
    </w:p>
    <w:p w:rsidR="009A3FDD" w:rsidRPr="00F02CCD" w:rsidRDefault="009A3FDD" w:rsidP="00604235">
      <w:pPr>
        <w:spacing w:line="360" w:lineRule="auto"/>
        <w:rPr>
          <w:rFonts w:ascii="Arial" w:hAnsi="Arial" w:cs="Arial"/>
        </w:rPr>
      </w:pPr>
      <w:r w:rsidRPr="001377E9">
        <w:rPr>
          <w:rFonts w:ascii="Arial" w:hAnsi="Arial" w:cs="Arial"/>
        </w:rPr>
        <w:t xml:space="preserve">The united nations define cultural heritage as “a legacy of physical artefacts and intangible attributes of a society inherited from past generations, maintained in the present and bestowed for the benefit of future generations”( UNESCO, 2017). Cultural heritage is a </w:t>
      </w:r>
      <w:r w:rsidRPr="001377E9">
        <w:rPr>
          <w:rFonts w:ascii="Arial" w:hAnsi="Arial" w:cs="Arial"/>
        </w:rPr>
        <w:lastRenderedPageBreak/>
        <w:t xml:space="preserve">crucial compound to preserving tangible and intangible elements to keep the authentic nature of the world’s diversity. </w:t>
      </w:r>
    </w:p>
    <w:p w:rsidR="00604235" w:rsidRPr="00604235" w:rsidRDefault="00F02CCD" w:rsidP="00604235">
      <w:pPr>
        <w:pStyle w:val="Heading2"/>
      </w:pPr>
      <w:bookmarkStart w:id="2" w:name="_Toc4019177"/>
      <w:r>
        <w:t xml:space="preserve">Defining </w:t>
      </w:r>
      <w:r w:rsidR="00C46416">
        <w:t>H</w:t>
      </w:r>
      <w:r>
        <w:t>eritage</w:t>
      </w:r>
      <w:bookmarkEnd w:id="2"/>
      <w:r w:rsidR="00604235">
        <w:br/>
      </w:r>
    </w:p>
    <w:p w:rsidR="009A3FDD" w:rsidRPr="00726836" w:rsidRDefault="009A3FDD" w:rsidP="00FE062D">
      <w:pPr>
        <w:spacing w:line="360" w:lineRule="auto"/>
        <w:ind w:firstLine="720"/>
        <w:rPr>
          <w:rFonts w:ascii="Arial" w:hAnsi="Arial" w:cs="Arial"/>
        </w:rPr>
      </w:pPr>
      <w:r w:rsidRPr="00726836">
        <w:rPr>
          <w:rFonts w:ascii="Arial" w:hAnsi="Arial" w:cs="Arial"/>
        </w:rPr>
        <w:t xml:space="preserve">The term heritage is used to label set of values or principals relating to the past. Oxford outlines heritage as  “relating to things of historic or cultural value that are worthy of preservation”(Oxford, 2019). The contemporary linkages to the past illustrate interpretation of history through to modern day. Heritage exists at different levels from world, national and local to personal. (Timothy,1997). </w:t>
      </w:r>
    </w:p>
    <w:p w:rsidR="009A3FDD" w:rsidRPr="00FE062D" w:rsidRDefault="009A3FDD" w:rsidP="00FE062D">
      <w:pPr>
        <w:spacing w:line="360" w:lineRule="auto"/>
        <w:rPr>
          <w:rFonts w:ascii="Arial" w:hAnsi="Arial" w:cs="Arial"/>
        </w:rPr>
      </w:pPr>
      <w:r w:rsidRPr="00D40224">
        <w:rPr>
          <w:rFonts w:ascii="Arial" w:hAnsi="Arial" w:cs="Arial"/>
        </w:rPr>
        <w:t xml:space="preserve">Heritage tourism describes commercial activity that entails the use of inherited assets to entice tourists (Fyall &amp; Garrod, 1998). The world tourism organisation describes heritage tourism as “ an immersion in the natural history, human heritage, arts, philosophy and institutions’ of another region or country”(WTO, 2017). </w:t>
      </w:r>
      <w:r w:rsidRPr="00726836">
        <w:rPr>
          <w:rFonts w:ascii="Arial" w:hAnsi="Arial" w:cs="Arial"/>
        </w:rPr>
        <w:t xml:space="preserve">Heritage and tourism are related in the economic aspect where a heritage site attracts the tourist and tourism disburses the promotion and maintenance. The complex relationship between tourism and heritage reveal tensions between traditional and modernity. Thus,  Increased tourist demand creates economic justification to expand conservation to these heritage sites, but enhanced visitation and commodification of the same asset poses threat to consistency. </w:t>
      </w:r>
    </w:p>
    <w:p w:rsidR="009A3FDD" w:rsidRDefault="009A3FDD" w:rsidP="009A3FDD">
      <w:pPr>
        <w:pStyle w:val="Heading2"/>
      </w:pPr>
      <w:bookmarkStart w:id="3" w:name="_Toc4019178"/>
      <w:r>
        <w:t xml:space="preserve">World Heritage </w:t>
      </w:r>
      <w:r w:rsidR="00C46416">
        <w:t>S</w:t>
      </w:r>
      <w:r>
        <w:t>ites</w:t>
      </w:r>
      <w:bookmarkEnd w:id="3"/>
      <w:r w:rsidR="00604235">
        <w:br/>
      </w:r>
    </w:p>
    <w:p w:rsidR="009A3FDD" w:rsidRDefault="009A3FDD" w:rsidP="00FE062D">
      <w:pPr>
        <w:spacing w:line="360" w:lineRule="auto"/>
        <w:ind w:firstLine="720"/>
        <w:rPr>
          <w:rFonts w:ascii="Arial" w:hAnsi="Arial" w:cs="Arial"/>
        </w:rPr>
      </w:pPr>
      <w:r w:rsidRPr="00D40ED0">
        <w:rPr>
          <w:rFonts w:ascii="Arial" w:hAnsi="Arial" w:cs="Arial"/>
        </w:rPr>
        <w:t xml:space="preserve">According to the national trust (2019), a world heritage site is a cultural or natural landmark recognised by the united nations educational, scientific and cultural organisation. These universal sites of outstanding value are to be preserved for tomorrow’s consumers. World heritage sites are among the globes symbolic tourist destinations enduring numerous challenges from influx of tourist activity through cultural motive. </w:t>
      </w:r>
    </w:p>
    <w:p w:rsidR="00D340B5" w:rsidRPr="00D40ED0" w:rsidRDefault="00D340B5" w:rsidP="00FE062D">
      <w:pPr>
        <w:spacing w:line="360" w:lineRule="auto"/>
        <w:rPr>
          <w:rFonts w:ascii="Arial" w:hAnsi="Arial" w:cs="Arial"/>
        </w:rPr>
      </w:pPr>
      <w:r w:rsidRPr="00DA4600">
        <w:rPr>
          <w:rFonts w:ascii="Arial" w:hAnsi="Arial" w:cs="Arial"/>
        </w:rPr>
        <w:t>Big pit is an industrial heritage museum situated in the Blaenavon world heritage site</w:t>
      </w:r>
      <w:r>
        <w:rPr>
          <w:rFonts w:ascii="Arial" w:hAnsi="Arial" w:cs="Arial"/>
        </w:rPr>
        <w:t xml:space="preserve"> in South Wales</w:t>
      </w:r>
      <w:r w:rsidRPr="00DA4600">
        <w:rPr>
          <w:rFonts w:ascii="Arial" w:hAnsi="Arial" w:cs="Arial"/>
        </w:rPr>
        <w:t>. It reopened in 1983 to showcase working life of the late 18</w:t>
      </w:r>
      <w:r w:rsidRPr="00DA4600">
        <w:rPr>
          <w:rFonts w:ascii="Arial" w:hAnsi="Arial" w:cs="Arial"/>
          <w:vertAlign w:val="superscript"/>
        </w:rPr>
        <w:t>th</w:t>
      </w:r>
      <w:r w:rsidRPr="00DA4600">
        <w:rPr>
          <w:rFonts w:ascii="Arial" w:hAnsi="Arial" w:cs="Arial"/>
        </w:rPr>
        <w:t xml:space="preserve"> century. The site is dedicated to preservation of welsh heritage coal mining. Since receiving the UNESCO world heritage title, the site has been recognised for international importance drawing in 148,000 visitors in 2017 (Museum wales, 2018). Big pit utilises interpretive skills well by showing living life of miners on the underground tour that is the original setting from the past. An ex miner will distribute mining equipment to wear including a hat, lamp and gloves before descending 300ft into the old colliery. This authentic experience is free admission with parking facilities, and gift shop on site where secondary spend is made. The sharing of real-life experiences by the miners Is a living reminder of when historic wales powered the worlds </w:t>
      </w:r>
      <w:r w:rsidRPr="00DA4600">
        <w:rPr>
          <w:rFonts w:ascii="Arial" w:hAnsi="Arial" w:cs="Arial"/>
        </w:rPr>
        <w:lastRenderedPageBreak/>
        <w:t xml:space="preserve">coal industry. </w:t>
      </w:r>
      <w:r w:rsidR="00CB45E5" w:rsidRPr="006E764D">
        <w:rPr>
          <w:rFonts w:ascii="Arial" w:hAnsi="Arial" w:cs="Arial"/>
        </w:rPr>
        <w:t xml:space="preserve">Big pit is a prime national example of a heritage site that demonstrates positive authenticity. On the other hand, concerns are growing regarding the authentic nature of a tour where ex miners are replaced with tour guides who hold no coal mining experience to voice. Despite potential tour guides trained to high standard that may deliver exceptional interpretation through the uses of new media forms can still stimulus the false representation. The staging of authenticity to provide a commercialised product means cultural values have been compromised for marketable gain for easy consumption by tourists. </w:t>
      </w:r>
      <w:proofErr w:type="spellStart"/>
      <w:r w:rsidR="00CB45E5" w:rsidRPr="006E764D">
        <w:rPr>
          <w:rFonts w:ascii="Arial" w:hAnsi="Arial" w:cs="Arial"/>
        </w:rPr>
        <w:t>Pye</w:t>
      </w:r>
      <w:proofErr w:type="spellEnd"/>
      <w:r w:rsidR="00CB45E5" w:rsidRPr="006E764D">
        <w:rPr>
          <w:rFonts w:ascii="Arial" w:hAnsi="Arial" w:cs="Arial"/>
        </w:rPr>
        <w:t xml:space="preserve"> (2001</w:t>
      </w:r>
      <w:r w:rsidR="00604235">
        <w:rPr>
          <w:rFonts w:ascii="Arial" w:hAnsi="Arial" w:cs="Arial"/>
        </w:rPr>
        <w:t>:</w:t>
      </w:r>
      <w:r w:rsidR="00CB45E5" w:rsidRPr="006E764D">
        <w:rPr>
          <w:rFonts w:ascii="Arial" w:hAnsi="Arial" w:cs="Arial"/>
        </w:rPr>
        <w:t>58) debates that authenticity has been associated with notions of the ‘original’ and the ‘genuine’ but the emphasis of originality in this heritage site will be exploited and classed as an attraction opposed to a living reminder of the past.</w:t>
      </w:r>
    </w:p>
    <w:p w:rsidR="00A27277" w:rsidRPr="00EC50FD" w:rsidRDefault="00F02CCD" w:rsidP="00F02CCD">
      <w:pPr>
        <w:pStyle w:val="Heading1"/>
      </w:pPr>
      <w:bookmarkStart w:id="4" w:name="_Toc4019179"/>
      <w:r>
        <w:t xml:space="preserve">Welsh </w:t>
      </w:r>
      <w:r w:rsidR="00C46416">
        <w:t>C</w:t>
      </w:r>
      <w:r>
        <w:t>ulture and Heritage</w:t>
      </w:r>
      <w:bookmarkEnd w:id="4"/>
      <w:r w:rsidR="00604235">
        <w:br/>
      </w:r>
    </w:p>
    <w:p w:rsidR="00A27277" w:rsidRPr="00EC50FD" w:rsidRDefault="00A27277" w:rsidP="00FE062D">
      <w:pPr>
        <w:spacing w:line="360" w:lineRule="auto"/>
        <w:ind w:firstLine="720"/>
        <w:rPr>
          <w:rFonts w:ascii="Arial" w:hAnsi="Arial" w:cs="Arial"/>
        </w:rPr>
      </w:pPr>
      <w:r w:rsidRPr="00EC50FD">
        <w:rPr>
          <w:rFonts w:ascii="Arial" w:hAnsi="Arial" w:cs="Arial"/>
        </w:rPr>
        <w:t>Welsh culture has modern and traditional foundations with strong presence of customs such as the welsh language that boasts sense of unity holding title to Britain’s oldest dialect. There is great interest to preserve wales as a distinctive nation, with treasured history available at a glance.  Celtic myths and legends promoted nationally through the thematic years as part of the tourism strategy by visit wales. Traditions and festivities tie modern wales to the past where St David’s’ day and Eisteddfod highlight the welsh cultural calendar (Wales.com, 2018).</w:t>
      </w:r>
    </w:p>
    <w:p w:rsidR="00A27277" w:rsidRPr="00EC50FD" w:rsidRDefault="00A27277" w:rsidP="00FE062D">
      <w:pPr>
        <w:spacing w:line="360" w:lineRule="auto"/>
        <w:rPr>
          <w:rFonts w:ascii="Arial" w:hAnsi="Arial" w:cs="Arial"/>
        </w:rPr>
      </w:pPr>
      <w:r w:rsidRPr="00EC50FD">
        <w:rPr>
          <w:rFonts w:ascii="Arial" w:hAnsi="Arial" w:cs="Arial"/>
        </w:rPr>
        <w:t xml:space="preserve">Wales’ strong national identity is dated back to Celtic roots.  Most of the welsh heritage is tangible with over 600 castles surrounded by historical remains that dominate welsh soil. Wales is home to 3 UNESCO heritage sites that range from ancient fortresses to centres of industrial innovation (visitwales, 2019). </w:t>
      </w:r>
      <w:r w:rsidR="00EC50FD" w:rsidRPr="00EC50FD">
        <w:rPr>
          <w:rFonts w:ascii="Arial" w:hAnsi="Arial" w:cs="Arial"/>
        </w:rPr>
        <w:t xml:space="preserve">Heritage tourism is estimated to have generated £983 million each year into the welsh economy (GOV.UK, 2017). This major achievement has stemmed from the success of year of legend and adventure drawing in international visitors. Historic parts of welsh towns offer forces for social and economic activity. </w:t>
      </w:r>
    </w:p>
    <w:p w:rsidR="00F05FC6" w:rsidRPr="00EC50FD" w:rsidRDefault="00EC50FD" w:rsidP="00604235">
      <w:pPr>
        <w:spacing w:line="360" w:lineRule="auto"/>
        <w:rPr>
          <w:rFonts w:ascii="Arial" w:hAnsi="Arial" w:cs="Arial"/>
        </w:rPr>
      </w:pPr>
      <w:r w:rsidRPr="00AB2B28">
        <w:rPr>
          <w:rFonts w:ascii="Arial" w:hAnsi="Arial" w:cs="Arial"/>
        </w:rPr>
        <w:t>Wales introduced the historic environment act 2016 after passing by the national assembly in February of 2016 with legislation against the protection of the past for the wales of tomorrow (Cadw, 2016). The framework ensures the historic environment is protected and listed buildings and monuments sustainably managed. The public, private and voluntary sectors play central positions in developing a successful heritage management system.</w:t>
      </w:r>
      <w:r>
        <w:rPr>
          <w:rFonts w:ascii="Arial" w:hAnsi="Arial" w:cs="Arial"/>
        </w:rPr>
        <w:t xml:space="preserve"> In  </w:t>
      </w:r>
      <w:r w:rsidRPr="00AB2B28">
        <w:rPr>
          <w:rFonts w:ascii="Arial" w:hAnsi="Arial" w:cs="Arial"/>
        </w:rPr>
        <w:t>2018</w:t>
      </w:r>
      <w:r>
        <w:rPr>
          <w:rFonts w:ascii="Arial" w:hAnsi="Arial" w:cs="Arial"/>
        </w:rPr>
        <w:t xml:space="preserve">, the </w:t>
      </w:r>
      <w:r w:rsidRPr="00AB2B28">
        <w:rPr>
          <w:rFonts w:ascii="Arial" w:hAnsi="Arial" w:cs="Arial"/>
        </w:rPr>
        <w:t>launch of European year of the cultural heritage expected to draw in opportunities for wales. The European heritage (2018) will display the individual character of wales’ hidden treasure with chance to see significance of intangible heritage and its influences.</w:t>
      </w:r>
    </w:p>
    <w:p w:rsidR="009A3FDD" w:rsidRPr="00F02CCD" w:rsidRDefault="009A3FDD" w:rsidP="00F02CCD">
      <w:pPr>
        <w:pStyle w:val="Heading2"/>
      </w:pPr>
      <w:bookmarkStart w:id="5" w:name="_Toc4019180"/>
      <w:r w:rsidRPr="00F02CCD">
        <w:lastRenderedPageBreak/>
        <w:t xml:space="preserve">Voluntary, Public and Private </w:t>
      </w:r>
      <w:r w:rsidR="00C46416">
        <w:t>S</w:t>
      </w:r>
      <w:r w:rsidRPr="00F02CCD">
        <w:t>ector</w:t>
      </w:r>
      <w:bookmarkEnd w:id="5"/>
      <w:r w:rsidRPr="00F02CCD">
        <w:t xml:space="preserve"> </w:t>
      </w:r>
      <w:r w:rsidR="00604235">
        <w:br/>
      </w:r>
    </w:p>
    <w:p w:rsidR="00EC50FD" w:rsidRPr="00EC50FD" w:rsidRDefault="00EC50FD" w:rsidP="00FE062D">
      <w:pPr>
        <w:spacing w:line="360" w:lineRule="auto"/>
        <w:ind w:firstLine="720"/>
        <w:rPr>
          <w:rFonts w:ascii="Arial" w:hAnsi="Arial" w:cs="Arial"/>
        </w:rPr>
      </w:pPr>
      <w:r w:rsidRPr="00EC50FD">
        <w:rPr>
          <w:rFonts w:ascii="Arial" w:hAnsi="Arial" w:cs="Arial"/>
        </w:rPr>
        <w:t>Cadw is the governing body of Wales that protects historic sites and safeguards welsh heritage through good conservation practice. The definition meaning to keep, cares for 127 monuments across Wales representing a small percentage of historic sites to showcase ( Cadw, 2019). In early of 2008, a grant of £50,000 was contributed towards the restoration of sites repaired for enjoyment of future generations. The organisation’s access strategy improves the visitor experience with determination to bring the monuments alive through technological development, mobility access and interpretive techniques. Implementing dynamic vision to conserve the historic environment and interpret welsh history for visitors and residents to Cadw owned properties (walesonline,2014).</w:t>
      </w:r>
      <w:r w:rsidR="00206F6F" w:rsidRPr="00206F6F">
        <w:rPr>
          <w:rFonts w:ascii="Arial" w:hAnsi="Arial" w:cs="Arial"/>
        </w:rPr>
        <w:t xml:space="preserve"> </w:t>
      </w:r>
      <w:r w:rsidR="00206F6F" w:rsidRPr="00EC50FD">
        <w:rPr>
          <w:rFonts w:ascii="Arial" w:hAnsi="Arial" w:cs="Arial"/>
        </w:rPr>
        <w:t>The welsh local government association concentrates the exi</w:t>
      </w:r>
      <w:r w:rsidR="00206F6F">
        <w:rPr>
          <w:rFonts w:ascii="Arial" w:hAnsi="Arial" w:cs="Arial"/>
        </w:rPr>
        <w:t>s</w:t>
      </w:r>
      <w:r w:rsidR="00206F6F" w:rsidRPr="00EC50FD">
        <w:rPr>
          <w:rFonts w:ascii="Arial" w:hAnsi="Arial" w:cs="Arial"/>
        </w:rPr>
        <w:t>ting resources wales has to offer on support local culture and heritage service to protect communities as part of wales’ preventative healthcare agenda.  Wales is reliant on world heritage sites but there are growing political concerns with Brexit affecting the EU funding of these sites.</w:t>
      </w:r>
    </w:p>
    <w:p w:rsidR="00EC50FD" w:rsidRPr="00EC50FD" w:rsidRDefault="00EC50FD" w:rsidP="00FE062D">
      <w:pPr>
        <w:spacing w:line="360" w:lineRule="auto"/>
        <w:rPr>
          <w:rFonts w:ascii="Arial" w:hAnsi="Arial" w:cs="Arial"/>
        </w:rPr>
      </w:pPr>
      <w:r w:rsidRPr="00EC50FD">
        <w:rPr>
          <w:rFonts w:ascii="Arial" w:hAnsi="Arial" w:cs="Arial"/>
        </w:rPr>
        <w:t xml:space="preserve">The UK government is responsible for distributing the Heritage Lottery Fund to Britain’s heritage where VisitBritain encourage tourists to visit. National Lottery funding is crucial for the heritage sector as  £7.7 billion has been invested in over 42 thousand UK projects since 1994 (DCMS, 2017). The department of digital, culture, media and supports protects and promotes cultural and artistic heritage highlighting Britain’s success. </w:t>
      </w:r>
      <w:r w:rsidR="00206F6F">
        <w:rPr>
          <w:rFonts w:ascii="Arial" w:hAnsi="Arial" w:cs="Arial"/>
        </w:rPr>
        <w:t xml:space="preserve">The private sector </w:t>
      </w:r>
    </w:p>
    <w:p w:rsidR="003522B4" w:rsidRPr="00A72D3D" w:rsidRDefault="00EC50FD" w:rsidP="003522B4">
      <w:pPr>
        <w:spacing w:line="360" w:lineRule="auto"/>
        <w:rPr>
          <w:rFonts w:ascii="Arial" w:hAnsi="Arial" w:cs="Arial"/>
        </w:rPr>
      </w:pPr>
      <w:r w:rsidRPr="00EC50FD">
        <w:rPr>
          <w:rFonts w:ascii="Arial" w:hAnsi="Arial" w:cs="Arial"/>
        </w:rPr>
        <w:t xml:space="preserve">The national trust is an independent charity that cares for tangible and intangible heritage nationwide. This charity inspiring collaborations to protect great historic assets and creating opportunities for communities to share with the help of 61,000 volunteers (Nationaltrust, 2017). The social benefits are endless with increased wellbeing, skills and sense of identity coming from volunteering. The heritage lottery fund volunteers reported 90% benefit from socialising on heritage projects (hlf, 2017). </w:t>
      </w:r>
    </w:p>
    <w:p w:rsidR="003522B4" w:rsidRDefault="003522B4" w:rsidP="003522B4">
      <w:pPr>
        <w:spacing w:line="360" w:lineRule="auto"/>
        <w:rPr>
          <w:rFonts w:ascii="Arial" w:hAnsi="Arial" w:cs="Arial"/>
        </w:rPr>
      </w:pPr>
      <w:r w:rsidRPr="00A72D3D">
        <w:rPr>
          <w:rFonts w:ascii="Arial" w:hAnsi="Arial" w:cs="Arial"/>
        </w:rPr>
        <w:t>In the last 20 years, an increase of public and private collaboration has been identified as a mean for governments to control costs and responsibilities of services traditionally delivered by the public sector(Macdonald, ND). This includes the delivery of public services and essential infrastructure that heritage sites depend on to function. The author believes this symbiotic relationship is interdependent as they have the economic resources heritage sites are reliant on and heritage provision by the sector is driven purely by financial gain of iconic monuments.</w:t>
      </w:r>
      <w:r w:rsidR="0072122A">
        <w:rPr>
          <w:rFonts w:ascii="Arial" w:hAnsi="Arial" w:cs="Arial"/>
        </w:rPr>
        <w:t xml:space="preserve"> </w:t>
      </w:r>
    </w:p>
    <w:p w:rsidR="003522B4" w:rsidRPr="00FE062D" w:rsidRDefault="0072122A" w:rsidP="00FE062D">
      <w:pPr>
        <w:spacing w:line="360" w:lineRule="auto"/>
        <w:rPr>
          <w:rFonts w:ascii="Arial" w:hAnsi="Arial" w:cs="Arial"/>
        </w:rPr>
      </w:pPr>
      <w:r>
        <w:rPr>
          <w:rFonts w:ascii="Arial" w:hAnsi="Arial" w:cs="Arial"/>
        </w:rPr>
        <w:t>With respect to funding, t</w:t>
      </w:r>
      <w:r w:rsidRPr="00C4430B">
        <w:rPr>
          <w:rFonts w:ascii="Arial" w:hAnsi="Arial" w:cs="Arial"/>
        </w:rPr>
        <w:t xml:space="preserve">he contribution </w:t>
      </w:r>
      <w:r w:rsidR="00BF21B3">
        <w:rPr>
          <w:rFonts w:ascii="Arial" w:hAnsi="Arial" w:cs="Arial"/>
        </w:rPr>
        <w:t xml:space="preserve">from the European union </w:t>
      </w:r>
      <w:r w:rsidRPr="00C4430B">
        <w:rPr>
          <w:rFonts w:ascii="Arial" w:hAnsi="Arial" w:cs="Arial"/>
        </w:rPr>
        <w:t xml:space="preserve">to the </w:t>
      </w:r>
      <w:r>
        <w:rPr>
          <w:rFonts w:ascii="Arial" w:hAnsi="Arial" w:cs="Arial"/>
        </w:rPr>
        <w:t xml:space="preserve">UK </w:t>
      </w:r>
      <w:r w:rsidRPr="00C4430B">
        <w:rPr>
          <w:rFonts w:ascii="Arial" w:hAnsi="Arial" w:cs="Arial"/>
        </w:rPr>
        <w:t>heritage sector has been in steady progress</w:t>
      </w:r>
      <w:r>
        <w:rPr>
          <w:rFonts w:ascii="Arial" w:hAnsi="Arial" w:cs="Arial"/>
        </w:rPr>
        <w:t>,</w:t>
      </w:r>
      <w:r w:rsidRPr="00C4430B">
        <w:rPr>
          <w:rFonts w:ascii="Arial" w:hAnsi="Arial" w:cs="Arial"/>
        </w:rPr>
        <w:t xml:space="preserve"> </w:t>
      </w:r>
      <w:r>
        <w:rPr>
          <w:rFonts w:ascii="Arial" w:hAnsi="Arial" w:cs="Arial"/>
        </w:rPr>
        <w:t>profiting</w:t>
      </w:r>
      <w:r w:rsidRPr="00C4430B">
        <w:rPr>
          <w:rFonts w:ascii="Arial" w:hAnsi="Arial" w:cs="Arial"/>
        </w:rPr>
        <w:t xml:space="preserve"> immensely from this traffic. The HMRC VAT receipts </w:t>
      </w:r>
      <w:r w:rsidRPr="00C4430B">
        <w:rPr>
          <w:rFonts w:ascii="Arial" w:hAnsi="Arial" w:cs="Arial"/>
        </w:rPr>
        <w:lastRenderedPageBreak/>
        <w:t xml:space="preserve">of EU funding used for culture and heritage purposes in UK peaked £111.4 billion </w:t>
      </w:r>
      <w:r>
        <w:rPr>
          <w:rFonts w:ascii="Arial" w:hAnsi="Arial" w:cs="Arial"/>
        </w:rPr>
        <w:t>i</w:t>
      </w:r>
      <w:r w:rsidRPr="00C4430B">
        <w:rPr>
          <w:rFonts w:ascii="Arial" w:hAnsi="Arial" w:cs="Arial"/>
        </w:rPr>
        <w:t>n 2014- 15, illustrating how much the EU supports UK heritage (theheritagealliance, 2016). The author considered the numerous EU funded programmes that has let cultural tourism develop local heritage and revive identity. The importance of European citizens attached to culture and heritage is reflected in EU commissions survey (2007) on cultural values. A staggering amount of 40 – 50% of Europeans declared visiting historical monuments and museums.  The lack of EU funding is likely to pressure these heritage sites to be more profit orientated driving towards a more entertainment-based attraction where the likes of big pit can follow the lead of London dungeons for entertainment purposes over education</w:t>
      </w:r>
      <w:r w:rsidR="00BF21B3">
        <w:rPr>
          <w:rFonts w:ascii="Arial" w:hAnsi="Arial" w:cs="Arial"/>
        </w:rPr>
        <w:t xml:space="preserve"> creating inauthentic experiences. </w:t>
      </w:r>
      <w:r w:rsidRPr="00C4430B">
        <w:rPr>
          <w:rFonts w:ascii="Arial" w:hAnsi="Arial" w:cs="Arial"/>
        </w:rPr>
        <w:t xml:space="preserve"> </w:t>
      </w:r>
    </w:p>
    <w:p w:rsidR="009A3FDD" w:rsidRDefault="009A3FDD" w:rsidP="00F02CCD">
      <w:pPr>
        <w:pStyle w:val="Heading1"/>
      </w:pPr>
      <w:bookmarkStart w:id="6" w:name="_Toc4019181"/>
      <w:r>
        <w:t>Authenticity</w:t>
      </w:r>
      <w:bookmarkEnd w:id="6"/>
      <w:r w:rsidR="006E777F">
        <w:br/>
      </w:r>
    </w:p>
    <w:p w:rsidR="0081790C" w:rsidRPr="00684C80" w:rsidRDefault="00604235" w:rsidP="00FE062D">
      <w:pPr>
        <w:spacing w:line="360" w:lineRule="auto"/>
        <w:ind w:firstLine="720"/>
        <w:rPr>
          <w:rFonts w:ascii="Arial" w:hAnsi="Arial" w:cs="Arial"/>
        </w:rPr>
      </w:pPr>
      <w:r>
        <w:rPr>
          <w:rFonts w:ascii="Arial" w:hAnsi="Arial" w:cs="Arial"/>
        </w:rPr>
        <w:t>It is expressed by Graham (2001) that a</w:t>
      </w:r>
      <w:r w:rsidR="00684C80" w:rsidRPr="00684C80">
        <w:rPr>
          <w:rFonts w:ascii="Arial" w:hAnsi="Arial" w:cs="Arial"/>
        </w:rPr>
        <w:t xml:space="preserve">uthenticity is a cultural phenomenon reliant on the power to utilise and recreate a product or experience. Xie (2003) contend that authenticity is the most important measure for the development of heritage tourism, identifying as an area that manifests existential authenticity ( Steiner &amp; Reisinger, 2006). Tourists often experience the deliberate staging of authenticity where the presentation of heritage can be unrealistic, and mis interpreted for tourism purposes. The front and back regions are separated into what is seen from tourist perspective opposed to the real history of culture and heritage sites. The supply and demand will determine commercial price attached to a commodity. Authenticity has popularised this demand where heritage promoters are keen to sell an authentic experience and the tourists search for these encounters. However, these heritage sites are criticised for losing authentic nature when enhancing the visitor experience through product modification. Attention is placed upon the difficulty to assess a destinations authenticity which is dependent on the portrayal of a destination’s heritage ( Mcintosh &amp; Prentice, 1999). </w:t>
      </w:r>
    </w:p>
    <w:p w:rsidR="009A3FDD" w:rsidRDefault="009A3FDD" w:rsidP="00F02CCD">
      <w:pPr>
        <w:pStyle w:val="Heading1"/>
      </w:pPr>
      <w:bookmarkStart w:id="7" w:name="_Toc4019182"/>
      <w:r>
        <w:t>Interpretation</w:t>
      </w:r>
      <w:bookmarkEnd w:id="7"/>
    </w:p>
    <w:p w:rsidR="006E777F" w:rsidRPr="006E777F" w:rsidRDefault="006E777F" w:rsidP="006E777F"/>
    <w:p w:rsidR="0081790C" w:rsidRDefault="00684C80" w:rsidP="00FE062D">
      <w:pPr>
        <w:spacing w:line="360" w:lineRule="auto"/>
        <w:ind w:firstLine="720"/>
        <w:rPr>
          <w:rFonts w:ascii="Arial" w:hAnsi="Arial" w:cs="Arial"/>
        </w:rPr>
      </w:pPr>
      <w:r w:rsidRPr="00F02CCD">
        <w:rPr>
          <w:rFonts w:ascii="Arial" w:hAnsi="Arial" w:cs="Arial"/>
        </w:rPr>
        <w:t>Tilden (1977</w:t>
      </w:r>
      <w:r w:rsidR="006E777F">
        <w:rPr>
          <w:rFonts w:ascii="Arial" w:hAnsi="Arial" w:cs="Arial"/>
        </w:rPr>
        <w:t>:8</w:t>
      </w:r>
      <w:r w:rsidRPr="00F02CCD">
        <w:rPr>
          <w:rFonts w:ascii="Arial" w:hAnsi="Arial" w:cs="Arial"/>
        </w:rPr>
        <w:t>) states that interpretation is the “work of revealing”. It is a technique anticipated to enriches public awareness of a heritage sites through passive forms of audio and exhibitions to active forms involving role plays, as well as a management tool for visitors, information and education.  Interpretation enhances people’s emotions and experiences via deepening understanding of people, places, events and objects from past and present (AHI, 2018)</w:t>
      </w:r>
      <w:r w:rsidR="00C22579" w:rsidRPr="00F02CCD">
        <w:rPr>
          <w:rFonts w:ascii="Arial" w:hAnsi="Arial" w:cs="Arial"/>
        </w:rPr>
        <w:t xml:space="preserve">. The development of heritage sites involves “careful interpretation as there is a </w:t>
      </w:r>
      <w:r w:rsidR="00F02CCD" w:rsidRPr="00F02CCD">
        <w:rPr>
          <w:rFonts w:ascii="Arial" w:hAnsi="Arial" w:cs="Arial"/>
        </w:rPr>
        <w:t>tendency</w:t>
      </w:r>
      <w:r w:rsidR="00C22579" w:rsidRPr="00F02CCD">
        <w:rPr>
          <w:rFonts w:ascii="Arial" w:hAnsi="Arial" w:cs="Arial"/>
        </w:rPr>
        <w:t xml:space="preserve"> to romanticise the past and forget fact”. (verbekke, 1999</w:t>
      </w:r>
      <w:r w:rsidR="006E777F">
        <w:rPr>
          <w:rFonts w:ascii="Arial" w:hAnsi="Arial" w:cs="Arial"/>
        </w:rPr>
        <w:t>:</w:t>
      </w:r>
      <w:r w:rsidR="00C22579" w:rsidRPr="00F02CCD">
        <w:rPr>
          <w:rFonts w:ascii="Arial" w:hAnsi="Arial" w:cs="Arial"/>
        </w:rPr>
        <w:t xml:space="preserve">77) </w:t>
      </w:r>
    </w:p>
    <w:p w:rsidR="009D2509" w:rsidRDefault="009D2509" w:rsidP="00C46416">
      <w:pPr>
        <w:pStyle w:val="Heading1"/>
      </w:pPr>
      <w:bookmarkStart w:id="8" w:name="_Toc4019183"/>
      <w:r>
        <w:lastRenderedPageBreak/>
        <w:t>Education vs Entertainment</w:t>
      </w:r>
      <w:bookmarkEnd w:id="8"/>
      <w:r w:rsidR="006E777F">
        <w:br/>
      </w:r>
    </w:p>
    <w:p w:rsidR="009D2509" w:rsidRPr="009D2509" w:rsidRDefault="009D2509" w:rsidP="00C46416">
      <w:pPr>
        <w:spacing w:line="360" w:lineRule="auto"/>
        <w:ind w:firstLine="720"/>
        <w:rPr>
          <w:rFonts w:ascii="Arial" w:hAnsi="Arial" w:cs="Arial"/>
        </w:rPr>
      </w:pPr>
      <w:r w:rsidRPr="00ED45C3">
        <w:rPr>
          <w:rFonts w:ascii="Arial" w:hAnsi="Arial" w:cs="Arial"/>
        </w:rPr>
        <w:t xml:space="preserve">There is a complex relationship between Education and Entertainment in relation to culture and heritage sites, where entertainment in an educational setting is seen as contradictory. Oxford (2019) defines entertainment as the action of being provided amusement or entertainment. The entertainment value to a heritage site can be a major vehicle for enhancing visitor experience through fun engagement and learning. Visitors seek entertainment, social or restorative experiences as well as, or in preference to, a learning experience (Schauble et al., 1996).Education is the key motivator that combines heritage and tourism. The business dictionary (2019) definition of education is “the wealth of knowledge acquired by an individual”. Education is a vital component that serves purpose for the visit to a culture and heritage site. The problem many researchers find is that education is associated with work and entertainment is related to pleasure, but both can be compatible with another. Education is the goal to spread knowledge and justifies the visit however entertainment will drive the customer satisfaction and encourage return visitations, but it is also possible that the presence of entertainment may discourage engagement in meaningful learning losing authenticity of the destination. From experiencing culture, the tourist will become educated as well as entertained (VICNET,1996). </w:t>
      </w:r>
    </w:p>
    <w:p w:rsidR="009A3FDD" w:rsidRDefault="009A3FDD" w:rsidP="00F02CCD">
      <w:pPr>
        <w:pStyle w:val="Heading1"/>
      </w:pPr>
      <w:bookmarkStart w:id="9" w:name="_Toc4019184"/>
      <w:r>
        <w:t xml:space="preserve">Commodification </w:t>
      </w:r>
      <w:r w:rsidR="00C46416">
        <w:t>vs</w:t>
      </w:r>
      <w:r w:rsidR="00F02CCD">
        <w:t xml:space="preserve"> Commercialisation</w:t>
      </w:r>
      <w:bookmarkEnd w:id="9"/>
      <w:r w:rsidR="006E777F">
        <w:br/>
      </w:r>
    </w:p>
    <w:p w:rsidR="009A3FDD" w:rsidRPr="00E110E4" w:rsidRDefault="0081790C" w:rsidP="00E110E4">
      <w:pPr>
        <w:spacing w:line="360" w:lineRule="auto"/>
        <w:ind w:firstLine="720"/>
        <w:rPr>
          <w:rFonts w:ascii="Arial" w:hAnsi="Arial" w:cs="Arial"/>
        </w:rPr>
      </w:pPr>
      <w:r w:rsidRPr="00F02CCD">
        <w:rPr>
          <w:rFonts w:ascii="Arial" w:hAnsi="Arial" w:cs="Arial"/>
        </w:rPr>
        <w:t>Lomine and Edmunds (2007) declare that  “Commodification occurs due to tourist demand facilitating the alterations of heritage as a commodity”. There is a relation between tourism and culture as an interdependent link reinforcing commoditized culture. The desire of visitors to experience different cultures has risen, transforming traditions into saleable products through commodification (Robinson, 1999p11). Tourism can turn local culture into an internationally promoted commodity when traditions and customs are reduced to conform tourist expectation. This reconstructed authenticity brings in positive socio-economic effects including preservation, revenue and support to communities despite issues between tourists and hosts through fuelling cultural tourism products(Silverman, 1999). Cultural commodification has left authenticity of local culture “altered, often destroyed by the treatment of it as a tourist attraction” (Greenwood, 1989;173).</w:t>
      </w:r>
    </w:p>
    <w:p w:rsidR="00B84A61" w:rsidRPr="00C57DF6" w:rsidRDefault="00B84A61" w:rsidP="00C57DF6">
      <w:pPr>
        <w:spacing w:line="360" w:lineRule="auto"/>
        <w:ind w:firstLine="720"/>
        <w:rPr>
          <w:rFonts w:ascii="Arial" w:hAnsi="Arial" w:cs="Arial"/>
        </w:rPr>
      </w:pPr>
      <w:r w:rsidRPr="00751D98">
        <w:rPr>
          <w:rFonts w:ascii="Arial" w:hAnsi="Arial" w:cs="Arial"/>
        </w:rPr>
        <w:t xml:space="preserve">Commercialisation is the method of introducing a product to a market primarily for financial gain. Commercialisation culture is fulfilling its social purpose by stimulating sense of belonging and injecting revenue to economies. Cultural erosion may take place in the process of commercialising cultural products inducing inauthenticity. Hewison (1987) </w:t>
      </w:r>
      <w:r w:rsidRPr="00751D98">
        <w:rPr>
          <w:rFonts w:ascii="Arial" w:hAnsi="Arial" w:cs="Arial"/>
        </w:rPr>
        <w:lastRenderedPageBreak/>
        <w:t>devised the term “heritage industry” after reflecting that the commercialisation of the version of the past shaped heritage in the UK, forcing such structures to capture false historical nostalgia. The escalation of heritage as a form of widespread entertainment demonstrate a reimagined view of culture. Tourism commercialisation is commodification of local cultural products (</w:t>
      </w:r>
      <w:r w:rsidR="00C57DF6">
        <w:rPr>
          <w:rFonts w:ascii="Arial" w:hAnsi="Arial" w:cs="Arial"/>
        </w:rPr>
        <w:t>M</w:t>
      </w:r>
      <w:r w:rsidRPr="00751D98">
        <w:rPr>
          <w:rFonts w:ascii="Arial" w:hAnsi="Arial" w:cs="Arial"/>
        </w:rPr>
        <w:t>edina,</w:t>
      </w:r>
      <w:r w:rsidR="00C57DF6">
        <w:rPr>
          <w:rFonts w:ascii="Arial" w:hAnsi="Arial" w:cs="Arial"/>
        </w:rPr>
        <w:t xml:space="preserve"> </w:t>
      </w:r>
      <w:r w:rsidRPr="00751D98">
        <w:rPr>
          <w:rFonts w:ascii="Arial" w:hAnsi="Arial" w:cs="Arial"/>
        </w:rPr>
        <w:t>2003).The phenomenon of tourism commercialisation can convey negative effects from confused perceived authenticity, alter living life for locals and lessening the tourist experience.</w:t>
      </w:r>
      <w:r w:rsidR="00F02CCD">
        <w:rPr>
          <w:rFonts w:ascii="Arial" w:hAnsi="Arial" w:cs="Arial"/>
        </w:rPr>
        <w:t xml:space="preserve"> </w:t>
      </w:r>
      <w:r w:rsidR="00F02CCD" w:rsidRPr="00F02CCD">
        <w:rPr>
          <w:rFonts w:ascii="Arial" w:hAnsi="Arial" w:cs="Arial"/>
        </w:rPr>
        <w:t xml:space="preserve">Maccannel </w:t>
      </w:r>
      <w:r w:rsidR="00C57DF6">
        <w:rPr>
          <w:rFonts w:ascii="Arial" w:hAnsi="Arial" w:cs="Arial"/>
        </w:rPr>
        <w:t>(</w:t>
      </w:r>
      <w:r w:rsidR="00F02CCD" w:rsidRPr="00F02CCD">
        <w:rPr>
          <w:rFonts w:ascii="Arial" w:hAnsi="Arial" w:cs="Arial"/>
        </w:rPr>
        <w:t>1973</w:t>
      </w:r>
      <w:r w:rsidR="00C57DF6">
        <w:rPr>
          <w:rFonts w:ascii="Arial" w:hAnsi="Arial" w:cs="Arial"/>
        </w:rPr>
        <w:t>)</w:t>
      </w:r>
      <w:r w:rsidR="00F02CCD" w:rsidRPr="00F02CCD">
        <w:rPr>
          <w:rFonts w:ascii="Arial" w:hAnsi="Arial" w:cs="Arial"/>
        </w:rPr>
        <w:t xml:space="preserve"> claims the tourist desire for authenticity is distributed through the commercialisation and commodification of culture through touristic display.</w:t>
      </w:r>
    </w:p>
    <w:p w:rsidR="00C46416" w:rsidRPr="00C46416" w:rsidRDefault="00E110E4" w:rsidP="00C46416">
      <w:pPr>
        <w:pStyle w:val="Heading1"/>
      </w:pPr>
      <w:bookmarkStart w:id="10" w:name="_Toc4019185"/>
      <w:r>
        <w:t xml:space="preserve">Case Study: </w:t>
      </w:r>
      <w:r w:rsidR="00C46416">
        <w:t>The Great Barrier Reef</w:t>
      </w:r>
      <w:bookmarkEnd w:id="10"/>
      <w:r w:rsidR="006E777F">
        <w:br/>
      </w:r>
    </w:p>
    <w:p w:rsidR="00E110E4" w:rsidRPr="0009209F" w:rsidRDefault="00E110E4" w:rsidP="00E110E4">
      <w:pPr>
        <w:spacing w:line="360" w:lineRule="auto"/>
        <w:ind w:firstLine="720"/>
        <w:rPr>
          <w:rFonts w:ascii="Arial" w:hAnsi="Arial" w:cs="Arial"/>
        </w:rPr>
      </w:pPr>
      <w:r w:rsidRPr="0009209F">
        <w:rPr>
          <w:rFonts w:ascii="Arial" w:hAnsi="Arial" w:cs="Arial"/>
        </w:rPr>
        <w:t xml:space="preserve">The iconic great barrier reef is a 2,300km long eco-system off the coast of north east Australia home to the world’s largest coral reef. Hopley (1986) label’s it as “an immense, unique environment of global aesthetic and scientific significance”. The reef was granted world heritage status in 1981 for natural prominence and universal value. UNESCO (2018) say that “heritage is our legacy from the past, what we live with today, and what we pass onto future generations”. The coral reef is home to vast biodiversity as the habitats and species are threatened with extinction, it being one of the richest natural ecosystems on earth. Sustaining protection of the ecosystems shape the heritage that people see today providing tangible links to the past. Just 7% of the coral reef is set aside for tourism purposes (guardian, 2017). Yet the great barrier reef marine park has the highest commercial value estimated $1.5 billion a year to the Australian economy (Harriot, et al 2003). While tourism can provide educational opportunities to tourists, the influx of masses poses huge threats to this delicate environment. Waste management, pollution and noise are negative effects that arise from tourist demands often creating hostility between visitors and residents. Maynard et al (2010) raises fears concerning the ability to support commercialised activities associated with this natural heritage site. The reef is caught between commercialisation and conservation. In 2008, The great barrier reef marine park act was amended to “provide long term protection and conservation of the great barrier region”(GBRMP, 2019).  Australia is fortunate enough to afford the protection funds to keep this ecosystem alive through the annual funding of $200 million with the reef trust programme(gov.au, 2019). The current management set by the Australian federal government include limitation use of reef, upholding cultural diversity, expanding awareness and maintaining sustainable tourism practices. All stakeholders involved must comply with regulations to attain ecological sustainability as part of the sustainable tourism goal of management. Implementation of the reef 2050 long term sustainability plan has been </w:t>
      </w:r>
      <w:r w:rsidRPr="0009209F">
        <w:rPr>
          <w:rFonts w:ascii="Arial" w:hAnsi="Arial" w:cs="Arial"/>
        </w:rPr>
        <w:lastRenderedPageBreak/>
        <w:t xml:space="preserve">recognised as a framework for protecting the reef in response to the UNESCO world heritage committee recommendations. Tourism today is spread over a small proportion of the islands tactically to allow the rest of the reef to remain untouched. </w:t>
      </w:r>
    </w:p>
    <w:p w:rsidR="009A3FDD" w:rsidRPr="009A3FDD" w:rsidRDefault="009A3FDD" w:rsidP="009A3FDD"/>
    <w:p w:rsidR="009A3FDD" w:rsidRPr="00C46416" w:rsidRDefault="00931EDF" w:rsidP="00C46416">
      <w:pPr>
        <w:pStyle w:val="Heading1"/>
      </w:pPr>
      <w:bookmarkStart w:id="11" w:name="_Toc4019186"/>
      <w:r>
        <w:t xml:space="preserve">The </w:t>
      </w:r>
      <w:r w:rsidR="00C46416">
        <w:t>Ma</w:t>
      </w:r>
      <w:r>
        <w:t>nagement of</w:t>
      </w:r>
      <w:r w:rsidR="00FE062D">
        <w:t xml:space="preserve"> </w:t>
      </w:r>
      <w:r w:rsidR="00C46416">
        <w:t>F</w:t>
      </w:r>
      <w:r w:rsidR="00FE062D">
        <w:t xml:space="preserve">uture </w:t>
      </w:r>
      <w:r w:rsidR="00C46416">
        <w:t>H</w:t>
      </w:r>
      <w:r w:rsidR="00FE062D">
        <w:t xml:space="preserve">eritage </w:t>
      </w:r>
      <w:r w:rsidR="00C46416">
        <w:t>S</w:t>
      </w:r>
      <w:r w:rsidR="00FE062D">
        <w:t>ites</w:t>
      </w:r>
      <w:bookmarkEnd w:id="11"/>
      <w:r w:rsidR="006E777F">
        <w:br/>
      </w:r>
      <w:r w:rsidR="00FE062D">
        <w:t xml:space="preserve"> </w:t>
      </w:r>
    </w:p>
    <w:p w:rsidR="00931EDF" w:rsidRPr="00CA637B" w:rsidRDefault="00931EDF" w:rsidP="00931EDF">
      <w:pPr>
        <w:pStyle w:val="ListParagraph"/>
        <w:numPr>
          <w:ilvl w:val="0"/>
          <w:numId w:val="1"/>
        </w:numPr>
        <w:spacing w:line="360" w:lineRule="auto"/>
        <w:rPr>
          <w:rFonts w:ascii="Arial" w:hAnsi="Arial" w:cs="Arial"/>
        </w:rPr>
      </w:pPr>
      <w:r w:rsidRPr="00CA637B">
        <w:rPr>
          <w:rFonts w:ascii="Arial" w:hAnsi="Arial" w:cs="Arial"/>
        </w:rPr>
        <w:t xml:space="preserve">On a global scale, cultural heritage sites face mass threats due to natural deterioration, environmental forces and tourism. To prevent problems declining further, the deliberate act of preservation must be implemented through stakeholder participation to keep past heritage for future. Preservation of culture is important to conserve the custom, traditions and language but also the heritage places and monumental buildings. </w:t>
      </w:r>
      <w:r w:rsidR="00C46416" w:rsidRPr="00CA637B">
        <w:rPr>
          <w:rFonts w:ascii="Arial" w:hAnsi="Arial" w:cs="Arial"/>
        </w:rPr>
        <w:t>UNESCO</w:t>
      </w:r>
      <w:r w:rsidRPr="00CA637B">
        <w:rPr>
          <w:rFonts w:ascii="Arial" w:hAnsi="Arial" w:cs="Arial"/>
        </w:rPr>
        <w:t xml:space="preserve"> (2018) adopted an international convention on the protection of cultural heritage, which are footsteps that investors can follow.</w:t>
      </w:r>
    </w:p>
    <w:p w:rsidR="00931EDF" w:rsidRPr="00CA637B" w:rsidRDefault="00931EDF" w:rsidP="00931EDF">
      <w:pPr>
        <w:pStyle w:val="ListParagraph"/>
        <w:spacing w:line="360" w:lineRule="auto"/>
        <w:rPr>
          <w:rFonts w:ascii="Arial" w:hAnsi="Arial" w:cs="Arial"/>
        </w:rPr>
      </w:pPr>
    </w:p>
    <w:p w:rsidR="00931EDF" w:rsidRPr="0032700B" w:rsidRDefault="00931EDF" w:rsidP="0032700B">
      <w:pPr>
        <w:pStyle w:val="ListParagraph"/>
        <w:numPr>
          <w:ilvl w:val="0"/>
          <w:numId w:val="1"/>
        </w:numPr>
        <w:spacing w:line="360" w:lineRule="auto"/>
        <w:rPr>
          <w:rFonts w:ascii="Arial" w:hAnsi="Arial" w:cs="Arial"/>
        </w:rPr>
      </w:pPr>
      <w:r w:rsidRPr="00CA637B">
        <w:rPr>
          <w:rFonts w:ascii="Arial" w:hAnsi="Arial" w:cs="Arial"/>
        </w:rPr>
        <w:t xml:space="preserve">The application of preservation through technological advancements can digitalise the experience and recreate the culture and heritage experience – this can be promising for the future to showcase on a global scale where cultural organisations can seek opportunities and collaborations from new audiences and heighten public awareness. </w:t>
      </w:r>
      <w:r w:rsidR="0032700B">
        <w:rPr>
          <w:rFonts w:ascii="Arial" w:hAnsi="Arial" w:cs="Arial"/>
        </w:rPr>
        <w:br/>
      </w:r>
      <w:bookmarkStart w:id="12" w:name="_GoBack"/>
      <w:bookmarkEnd w:id="12"/>
    </w:p>
    <w:p w:rsidR="00931EDF" w:rsidRPr="00CA637B" w:rsidRDefault="00931EDF" w:rsidP="00931EDF">
      <w:pPr>
        <w:pStyle w:val="ListParagraph"/>
        <w:numPr>
          <w:ilvl w:val="0"/>
          <w:numId w:val="1"/>
        </w:numPr>
        <w:spacing w:line="360" w:lineRule="auto"/>
        <w:rPr>
          <w:rFonts w:ascii="Arial" w:hAnsi="Arial" w:cs="Arial"/>
        </w:rPr>
      </w:pPr>
      <w:r w:rsidRPr="00CA637B">
        <w:rPr>
          <w:rFonts w:ascii="Arial" w:hAnsi="Arial" w:cs="Arial"/>
        </w:rPr>
        <w:t xml:space="preserve">Middleton and Hawkins (1998) recall the problems heritage sites face often break down to the management which is reactive instead of proactive. To overcome this, planning and funding should be priority in overseeing crowd and visitor management whilst conserving the site in a sustainable fashion. It is imperative that authorities know their product and know the visitor market. </w:t>
      </w:r>
    </w:p>
    <w:p w:rsidR="00931EDF" w:rsidRPr="00CA637B" w:rsidRDefault="00931EDF" w:rsidP="00931EDF">
      <w:pPr>
        <w:pStyle w:val="ListParagraph"/>
        <w:spacing w:line="360" w:lineRule="auto"/>
        <w:rPr>
          <w:rFonts w:ascii="Arial" w:hAnsi="Arial" w:cs="Arial"/>
        </w:rPr>
      </w:pPr>
    </w:p>
    <w:p w:rsidR="00931EDF" w:rsidRPr="00CA637B" w:rsidRDefault="00931EDF" w:rsidP="00931EDF">
      <w:pPr>
        <w:pStyle w:val="ListParagraph"/>
        <w:numPr>
          <w:ilvl w:val="0"/>
          <w:numId w:val="1"/>
        </w:numPr>
        <w:spacing w:line="360" w:lineRule="auto"/>
        <w:rPr>
          <w:rFonts w:ascii="Arial" w:hAnsi="Arial" w:cs="Arial"/>
        </w:rPr>
      </w:pPr>
      <w:r w:rsidRPr="00CA637B">
        <w:rPr>
          <w:rFonts w:ascii="Arial" w:hAnsi="Arial" w:cs="Arial"/>
        </w:rPr>
        <w:t xml:space="preserve">Presentation focuses on the education and marketing in the sense of delivering adequate interpretation of the heritage site. Authenticity is a key notion informing management and presentation of the historic environment, ensuring that public access is not destructive.  </w:t>
      </w:r>
    </w:p>
    <w:p w:rsidR="00931EDF" w:rsidRPr="00CA637B" w:rsidRDefault="00931EDF" w:rsidP="00931EDF">
      <w:pPr>
        <w:pStyle w:val="ListParagraph"/>
        <w:spacing w:line="360" w:lineRule="auto"/>
        <w:rPr>
          <w:rFonts w:ascii="Arial" w:hAnsi="Arial" w:cs="Arial"/>
        </w:rPr>
      </w:pPr>
    </w:p>
    <w:p w:rsidR="00D40224" w:rsidRDefault="00D40224" w:rsidP="001377E9">
      <w:pPr>
        <w:ind w:firstLine="720"/>
        <w:rPr>
          <w:rFonts w:ascii="Arial" w:hAnsi="Arial" w:cs="Arial"/>
        </w:rPr>
      </w:pPr>
    </w:p>
    <w:p w:rsidR="00D40224" w:rsidRDefault="00D40224" w:rsidP="00D40224"/>
    <w:p w:rsidR="00D40224" w:rsidRDefault="00D40224" w:rsidP="00D40224"/>
    <w:p w:rsidR="003E548C" w:rsidRPr="003E548C" w:rsidRDefault="00FE062D" w:rsidP="003E548C">
      <w:pPr>
        <w:pStyle w:val="Heading1"/>
      </w:pPr>
      <w:bookmarkStart w:id="13" w:name="_Toc4019187"/>
      <w:r>
        <w:lastRenderedPageBreak/>
        <w:t>References</w:t>
      </w:r>
      <w:bookmarkEnd w:id="13"/>
      <w:r>
        <w:t xml:space="preserve"> </w:t>
      </w:r>
      <w:r w:rsidR="006E777F">
        <w:br/>
      </w:r>
    </w:p>
    <w:p w:rsidR="00C76549" w:rsidRPr="00C76549" w:rsidRDefault="003E548C" w:rsidP="00C76549">
      <w:pPr>
        <w:spacing w:line="276" w:lineRule="auto"/>
        <w:rPr>
          <w:rFonts w:ascii="Arial" w:hAnsi="Arial" w:cs="Arial"/>
          <w:sz w:val="20"/>
          <w:szCs w:val="20"/>
        </w:rPr>
      </w:pPr>
      <w:r w:rsidRPr="00FE062D">
        <w:rPr>
          <w:rFonts w:ascii="Arial" w:hAnsi="Arial" w:cs="Arial"/>
          <w:sz w:val="20"/>
          <w:szCs w:val="20"/>
        </w:rPr>
        <w:t>AHI 2018</w:t>
      </w:r>
      <w:r w:rsidR="00324FC8">
        <w:rPr>
          <w:rFonts w:ascii="Arial" w:hAnsi="Arial" w:cs="Arial"/>
          <w:sz w:val="20"/>
          <w:szCs w:val="20"/>
        </w:rPr>
        <w:t>.</w:t>
      </w:r>
      <w:r w:rsidRPr="00FE062D">
        <w:rPr>
          <w:rFonts w:ascii="Arial" w:hAnsi="Arial" w:cs="Arial"/>
          <w:sz w:val="20"/>
          <w:szCs w:val="20"/>
        </w:rPr>
        <w:t xml:space="preserve"> association of heritage interpretation: </w:t>
      </w:r>
      <w:hyperlink r:id="rId7" w:history="1">
        <w:r w:rsidRPr="00FE062D">
          <w:rPr>
            <w:rStyle w:val="Hyperlink"/>
            <w:rFonts w:ascii="Arial" w:hAnsi="Arial" w:cs="Arial"/>
            <w:sz w:val="20"/>
            <w:szCs w:val="20"/>
          </w:rPr>
          <w:t>www.ahi.org.uk/</w:t>
        </w:r>
      </w:hyperlink>
      <w:r w:rsidRPr="00FE062D">
        <w:rPr>
          <w:rFonts w:ascii="Arial" w:hAnsi="Arial" w:cs="Arial"/>
          <w:sz w:val="20"/>
          <w:szCs w:val="20"/>
        </w:rPr>
        <w:t xml:space="preserve"> </w:t>
      </w:r>
    </w:p>
    <w:p w:rsidR="00C76549" w:rsidRDefault="00C76549" w:rsidP="00C76549">
      <w:r>
        <w:t>Business dictionary 2019</w:t>
      </w:r>
      <w:r w:rsidR="00324FC8">
        <w:t>.</w:t>
      </w:r>
      <w:r>
        <w:t xml:space="preserve"> </w:t>
      </w:r>
      <w:hyperlink r:id="rId8" w:history="1">
        <w:r w:rsidRPr="005B5FA6">
          <w:rPr>
            <w:rStyle w:val="Hyperlink"/>
          </w:rPr>
          <w:t>http://www.businessdictionary.com/definition/education.html</w:t>
        </w:r>
      </w:hyperlink>
    </w:p>
    <w:p w:rsidR="00C76549" w:rsidRPr="00FE062D" w:rsidRDefault="00C76549" w:rsidP="00C76549">
      <w:r w:rsidRPr="00FE062D">
        <w:t>Cadw 2016</w:t>
      </w:r>
      <w:r w:rsidR="00324FC8">
        <w:t>.</w:t>
      </w:r>
      <w:r w:rsidRPr="00FE062D">
        <w:t xml:space="preserve"> </w:t>
      </w:r>
      <w:hyperlink r:id="rId9" w:history="1">
        <w:r w:rsidRPr="00FE062D">
          <w:rPr>
            <w:rStyle w:val="Hyperlink"/>
            <w:rFonts w:ascii="Arial" w:hAnsi="Arial" w:cs="Arial"/>
            <w:sz w:val="20"/>
            <w:szCs w:val="20"/>
          </w:rPr>
          <w:t>https://cadw.gov.wales/historicenvironment/policy/historicenvironmentbill/?lang=en</w:t>
        </w:r>
      </w:hyperlink>
    </w:p>
    <w:p w:rsidR="00C76549" w:rsidRDefault="00C76549" w:rsidP="00C76549">
      <w:r w:rsidRPr="00FE062D">
        <w:t>Cadw 2019</w:t>
      </w:r>
      <w:r w:rsidR="00324FC8">
        <w:t>.</w:t>
      </w:r>
      <w:r w:rsidRPr="00FE062D">
        <w:t xml:space="preserve"> </w:t>
      </w:r>
      <w:hyperlink r:id="rId10" w:history="1">
        <w:r w:rsidRPr="005B5FA6">
          <w:rPr>
            <w:rStyle w:val="Hyperlink"/>
          </w:rPr>
          <w:t>www.cadw.gov.wales/</w:t>
        </w:r>
      </w:hyperlink>
    </w:p>
    <w:p w:rsidR="00C76549" w:rsidRPr="00FE062D" w:rsidRDefault="00C76549" w:rsidP="00C76549">
      <w:r w:rsidRPr="00FE062D">
        <w:t xml:space="preserve"> Cambridge 2019</w:t>
      </w:r>
      <w:r w:rsidR="00324FC8">
        <w:t>.</w:t>
      </w:r>
      <w:r w:rsidRPr="00FE062D">
        <w:t xml:space="preserve"> Cambridge dictionary </w:t>
      </w:r>
      <w:hyperlink r:id="rId11" w:history="1">
        <w:r w:rsidRPr="00FE062D">
          <w:rPr>
            <w:rStyle w:val="Hyperlink"/>
            <w:rFonts w:ascii="Arial" w:hAnsi="Arial" w:cs="Arial"/>
            <w:sz w:val="20"/>
            <w:szCs w:val="20"/>
          </w:rPr>
          <w:t>https://dictionary.cambridge.org/</w:t>
        </w:r>
      </w:hyperlink>
    </w:p>
    <w:p w:rsidR="00C76549" w:rsidRPr="00FE062D" w:rsidRDefault="00C76549" w:rsidP="00C76549">
      <w:r w:rsidRPr="00FE062D">
        <w:t>Collins 2019</w:t>
      </w:r>
      <w:r w:rsidR="00324FC8">
        <w:t>.</w:t>
      </w:r>
      <w:r w:rsidRPr="00FE062D">
        <w:t xml:space="preserve"> Collins dictionary </w:t>
      </w:r>
      <w:hyperlink r:id="rId12" w:history="1">
        <w:r w:rsidRPr="00FE062D">
          <w:rPr>
            <w:rStyle w:val="Hyperlink"/>
            <w:rFonts w:ascii="Arial" w:hAnsi="Arial" w:cs="Arial"/>
            <w:sz w:val="20"/>
            <w:szCs w:val="20"/>
          </w:rPr>
          <w:t>https://www.collinsdictionary.com/</w:t>
        </w:r>
      </w:hyperlink>
    </w:p>
    <w:p w:rsidR="00C76549" w:rsidRPr="00FE062D" w:rsidRDefault="00C76549" w:rsidP="00C76549">
      <w:r w:rsidRPr="00FE062D">
        <w:t>Davydd greenwood 1989</w:t>
      </w:r>
      <w:r w:rsidR="00324FC8">
        <w:t>.</w:t>
      </w:r>
      <w:r w:rsidRPr="00FE062D">
        <w:t xml:space="preserve"> culture by the pound: an anthropological perspective on tourism and cultural commodification. P171 -186 Philadelphia, university of Pennsylvania press.</w:t>
      </w:r>
    </w:p>
    <w:p w:rsidR="00C76549" w:rsidRPr="00FE062D" w:rsidRDefault="00C76549" w:rsidP="00C76549">
      <w:r w:rsidRPr="00FE062D">
        <w:t>DCMS 2017</w:t>
      </w:r>
      <w:r w:rsidR="00324FC8">
        <w:t>.</w:t>
      </w:r>
      <w:r w:rsidRPr="00FE062D">
        <w:t xml:space="preserve"> heritage statement 2017</w:t>
      </w:r>
      <w:r>
        <w:t xml:space="preserve"> by</w:t>
      </w:r>
      <w:r w:rsidRPr="00FE062D">
        <w:t xml:space="preserve"> department for digital culture, media and sport.</w:t>
      </w:r>
    </w:p>
    <w:p w:rsidR="00C76549" w:rsidRPr="000A2437" w:rsidRDefault="00C76549" w:rsidP="00C76549">
      <w:r w:rsidRPr="000A2437">
        <w:t>European Commission 2007</w:t>
      </w:r>
      <w:r w:rsidR="00324FC8">
        <w:t xml:space="preserve">. </w:t>
      </w:r>
      <w:hyperlink r:id="rId13" w:history="1">
        <w:r w:rsidR="00324FC8" w:rsidRPr="007C16C8">
          <w:rPr>
            <w:rStyle w:val="Hyperlink"/>
            <w:rFonts w:ascii="Arial" w:hAnsi="Arial" w:cs="Arial"/>
            <w:sz w:val="20"/>
          </w:rPr>
          <w:t>http://ec.europa.eu/commfrontoffice/publicopinion/archives/ebs/ebs_278_en.pdf</w:t>
        </w:r>
      </w:hyperlink>
    </w:p>
    <w:p w:rsidR="00C76549" w:rsidRPr="00FE062D" w:rsidRDefault="00C76549" w:rsidP="00C76549">
      <w:r w:rsidRPr="00FE062D">
        <w:t>Fyall, A. &amp; Garrod, B. 1998</w:t>
      </w:r>
      <w:r w:rsidR="00324FC8">
        <w:t>.</w:t>
      </w:r>
      <w:r w:rsidRPr="00FE062D">
        <w:t xml:space="preserve"> “Heritage tourism: at what price?” managing leisure vol 3. 4</w:t>
      </w:r>
      <w:r w:rsidRPr="00FE062D">
        <w:rPr>
          <w:vertAlign w:val="superscript"/>
        </w:rPr>
        <w:t>th</w:t>
      </w:r>
      <w:r w:rsidRPr="00FE062D">
        <w:t xml:space="preserve"> edition. </w:t>
      </w:r>
    </w:p>
    <w:p w:rsidR="00C76549" w:rsidRPr="0009209F" w:rsidRDefault="00C76549" w:rsidP="00C76549">
      <w:r w:rsidRPr="0009209F">
        <w:t>GBRMP 2019</w:t>
      </w:r>
      <w:r w:rsidR="00324FC8">
        <w:t xml:space="preserve">. </w:t>
      </w:r>
      <w:hyperlink r:id="rId14" w:history="1">
        <w:r w:rsidR="00324FC8" w:rsidRPr="007C16C8">
          <w:rPr>
            <w:rStyle w:val="Hyperlink"/>
            <w:rFonts w:ascii="Arial" w:hAnsi="Arial" w:cs="Arial"/>
            <w:sz w:val="20"/>
            <w:szCs w:val="20"/>
          </w:rPr>
          <w:t>http://www.gbrmpa.gov.au/the-reef/heritage</w:t>
        </w:r>
      </w:hyperlink>
    </w:p>
    <w:p w:rsidR="00C76549" w:rsidRPr="0009209F" w:rsidRDefault="00C76549" w:rsidP="00C76549">
      <w:r w:rsidRPr="0009209F">
        <w:t>GOV.AU 2019</w:t>
      </w:r>
      <w:r w:rsidR="00324FC8">
        <w:t>.</w:t>
      </w:r>
      <w:r w:rsidRPr="0009209F">
        <w:rPr>
          <w:rStyle w:val="Hyperlink"/>
          <w:rFonts w:ascii="Arial" w:hAnsi="Arial" w:cs="Arial"/>
          <w:sz w:val="20"/>
          <w:szCs w:val="20"/>
        </w:rPr>
        <w:t xml:space="preserve"> </w:t>
      </w:r>
      <w:hyperlink r:id="rId15" w:history="1">
        <w:r w:rsidRPr="0009209F">
          <w:rPr>
            <w:rStyle w:val="Hyperlink"/>
            <w:rFonts w:ascii="Arial" w:hAnsi="Arial" w:cs="Arial"/>
            <w:sz w:val="20"/>
            <w:szCs w:val="20"/>
          </w:rPr>
          <w:t>https://www.environment.gov.au/marine/gbr/protecting-the-reef</w:t>
        </w:r>
      </w:hyperlink>
    </w:p>
    <w:p w:rsidR="00C76549" w:rsidRPr="00FE062D" w:rsidRDefault="00C76549" w:rsidP="00C76549">
      <w:r w:rsidRPr="00FE062D">
        <w:t>GOV.</w:t>
      </w:r>
      <w:r w:rsidR="00324FC8">
        <w:t xml:space="preserve">WALES </w:t>
      </w:r>
      <w:r w:rsidRPr="00FE062D">
        <w:t xml:space="preserve">2017 HERITAGE TO WALES - </w:t>
      </w:r>
      <w:hyperlink r:id="rId16" w:history="1">
        <w:r w:rsidRPr="00FE062D">
          <w:rPr>
            <w:rStyle w:val="Hyperlink"/>
            <w:rFonts w:ascii="Arial" w:hAnsi="Arial" w:cs="Arial"/>
            <w:sz w:val="20"/>
            <w:szCs w:val="20"/>
          </w:rPr>
          <w:t>https://gov.wales/newsroom/culture-tourism-sport/2017/59148673/?lang=en</w:t>
        </w:r>
      </w:hyperlink>
    </w:p>
    <w:p w:rsidR="00C76549" w:rsidRPr="00FE062D" w:rsidRDefault="00C76549" w:rsidP="00C76549">
      <w:pPr>
        <w:rPr>
          <w:color w:val="222222"/>
          <w:shd w:val="clear" w:color="auto" w:fill="FFFFFF"/>
        </w:rPr>
      </w:pPr>
      <w:r w:rsidRPr="00FE062D">
        <w:rPr>
          <w:color w:val="222222"/>
          <w:shd w:val="clear" w:color="auto" w:fill="FFFFFF"/>
        </w:rPr>
        <w:t>Graham, C., 2001. 'Blame It on Maureen O'Hara': Ireland and the Trope of Authenticity. </w:t>
      </w:r>
      <w:r w:rsidRPr="00FE062D">
        <w:rPr>
          <w:i/>
          <w:iCs/>
          <w:color w:val="222222"/>
          <w:shd w:val="clear" w:color="auto" w:fill="FFFFFF"/>
        </w:rPr>
        <w:t>Cultural studies</w:t>
      </w:r>
      <w:r w:rsidRPr="00FE062D">
        <w:rPr>
          <w:color w:val="222222"/>
          <w:shd w:val="clear" w:color="auto" w:fill="FFFFFF"/>
        </w:rPr>
        <w:t>, </w:t>
      </w:r>
      <w:r w:rsidRPr="00FE062D">
        <w:rPr>
          <w:i/>
          <w:iCs/>
          <w:color w:val="222222"/>
          <w:shd w:val="clear" w:color="auto" w:fill="FFFFFF"/>
        </w:rPr>
        <w:t>15</w:t>
      </w:r>
      <w:r w:rsidRPr="00FE062D">
        <w:rPr>
          <w:color w:val="222222"/>
          <w:shd w:val="clear" w:color="auto" w:fill="FFFFFF"/>
        </w:rPr>
        <w:t>(1), pp.58-75.</w:t>
      </w:r>
    </w:p>
    <w:p w:rsidR="00C76549" w:rsidRPr="0009209F" w:rsidRDefault="00C76549" w:rsidP="00C76549">
      <w:r w:rsidRPr="0009209F">
        <w:t>Harriot, V. &amp; Dinsdale, E 2004</w:t>
      </w:r>
      <w:r w:rsidR="00324FC8">
        <w:t>.</w:t>
      </w:r>
      <w:r w:rsidRPr="0009209F">
        <w:t xml:space="preserve"> assessing anchor damage on coal reeds: a case study in selection of environmental indicators. Environment </w:t>
      </w:r>
      <w:r w:rsidR="00C46416" w:rsidRPr="0009209F">
        <w:t>management</w:t>
      </w:r>
      <w:r w:rsidRPr="0009209F">
        <w:t xml:space="preserve">. </w:t>
      </w:r>
    </w:p>
    <w:p w:rsidR="00C76549" w:rsidRPr="00FE062D" w:rsidRDefault="00C76549" w:rsidP="00C76549">
      <w:proofErr w:type="spellStart"/>
      <w:r w:rsidRPr="00FE062D">
        <w:t>Hewison</w:t>
      </w:r>
      <w:proofErr w:type="spellEnd"/>
      <w:r w:rsidRPr="00FE062D">
        <w:t>, R 1987</w:t>
      </w:r>
      <w:r w:rsidR="00324FC8">
        <w:t>.</w:t>
      </w:r>
      <w:r w:rsidRPr="00FE062D">
        <w:t xml:space="preserve"> The heritage industry: Britain in a climate of decline. 160 pages. London. </w:t>
      </w:r>
    </w:p>
    <w:p w:rsidR="00C76549" w:rsidRPr="00FE062D" w:rsidRDefault="00C76549" w:rsidP="00C76549">
      <w:r w:rsidRPr="00FE062D">
        <w:t>HLF 201</w:t>
      </w:r>
      <w:r w:rsidR="00324FC8">
        <w:t>7</w:t>
      </w:r>
      <w:r w:rsidRPr="00FE062D">
        <w:t xml:space="preserve"> heritage lottery fund </w:t>
      </w:r>
      <w:hyperlink r:id="rId17" w:history="1">
        <w:r w:rsidRPr="00FE062D">
          <w:rPr>
            <w:rStyle w:val="Hyperlink"/>
            <w:rFonts w:ascii="Arial" w:hAnsi="Arial" w:cs="Arial"/>
            <w:sz w:val="20"/>
            <w:szCs w:val="20"/>
          </w:rPr>
          <w:t>https://www.hlf.org.uk/social-benefits-involvement-heritage-projects</w:t>
        </w:r>
      </w:hyperlink>
    </w:p>
    <w:p w:rsidR="00C76549" w:rsidRPr="0009209F" w:rsidRDefault="00C76549" w:rsidP="00C76549">
      <w:pPr>
        <w:rPr>
          <w:color w:val="222222"/>
          <w:shd w:val="clear" w:color="auto" w:fill="FFFFFF"/>
        </w:rPr>
      </w:pPr>
      <w:r w:rsidRPr="0009209F">
        <w:rPr>
          <w:color w:val="222222"/>
          <w:shd w:val="clear" w:color="auto" w:fill="FFFFFF"/>
        </w:rPr>
        <w:t>Hopley, D., 1986. Corals and reefs as indicators of paleo-sea levels with special reference to the Great Barrier Reef. In </w:t>
      </w:r>
      <w:r w:rsidRPr="0009209F">
        <w:rPr>
          <w:i/>
          <w:iCs/>
          <w:color w:val="222222"/>
          <w:shd w:val="clear" w:color="auto" w:fill="FFFFFF"/>
        </w:rPr>
        <w:t>Sea-Level Research</w:t>
      </w:r>
      <w:r w:rsidRPr="0009209F">
        <w:rPr>
          <w:color w:val="222222"/>
          <w:shd w:val="clear" w:color="auto" w:fill="FFFFFF"/>
        </w:rPr>
        <w:t> (pp. 195-228). Springer, Dordrecht.</w:t>
      </w:r>
    </w:p>
    <w:p w:rsidR="00C76549" w:rsidRPr="00FE062D" w:rsidRDefault="00C76549" w:rsidP="00C76549">
      <w:r w:rsidRPr="00FE062D">
        <w:t xml:space="preserve">Jenks, C. 1995. Culture. London: Routledge &gt;&gt; </w:t>
      </w:r>
    </w:p>
    <w:p w:rsidR="00C76549" w:rsidRPr="00FE062D" w:rsidRDefault="00C76549" w:rsidP="00C76549">
      <w:r w:rsidRPr="00FE062D">
        <w:t>Lloyd, D &amp; Thomas, P. 1998</w:t>
      </w:r>
      <w:r w:rsidR="00324FC8">
        <w:t>.</w:t>
      </w:r>
      <w:r w:rsidRPr="00FE062D">
        <w:t xml:space="preserve"> culture and the state p2 / 232 </w:t>
      </w:r>
      <w:proofErr w:type="spellStart"/>
      <w:r w:rsidRPr="00FE062D">
        <w:t>newyork</w:t>
      </w:r>
      <w:proofErr w:type="spellEnd"/>
      <w:r w:rsidRPr="00FE062D">
        <w:t>. Routledge.</w:t>
      </w:r>
    </w:p>
    <w:p w:rsidR="00C76549" w:rsidRPr="00FE062D" w:rsidRDefault="00C76549" w:rsidP="00C76549">
      <w:proofErr w:type="spellStart"/>
      <w:r w:rsidRPr="00FE062D">
        <w:t>Lomine</w:t>
      </w:r>
      <w:proofErr w:type="spellEnd"/>
      <w:r w:rsidRPr="00FE062D">
        <w:t xml:space="preserve"> and Edmunds, 2007. Cited from heritage tourism by Hyung </w:t>
      </w:r>
      <w:proofErr w:type="spellStart"/>
      <w:r w:rsidRPr="00FE062D">
        <w:t>yu</w:t>
      </w:r>
      <w:proofErr w:type="spellEnd"/>
      <w:r w:rsidRPr="00FE062D">
        <w:t xml:space="preserve"> Park (2014) 1</w:t>
      </w:r>
      <w:r w:rsidRPr="00FE062D">
        <w:rPr>
          <w:vertAlign w:val="superscript"/>
        </w:rPr>
        <w:t>st</w:t>
      </w:r>
      <w:r w:rsidRPr="00FE062D">
        <w:t xml:space="preserve"> edition </w:t>
      </w:r>
      <w:proofErr w:type="spellStart"/>
      <w:r w:rsidRPr="00FE062D">
        <w:t>routledge</w:t>
      </w:r>
      <w:proofErr w:type="spellEnd"/>
      <w:r w:rsidRPr="00FE062D">
        <w:t>.</w:t>
      </w:r>
    </w:p>
    <w:p w:rsidR="00C76549" w:rsidRDefault="00C76549" w:rsidP="00C76549">
      <w:r>
        <w:t>Macdonald, S. (N,D) LEVERAGING HERITAGE: PUBLIC-PRIVATE, AND THIRD-SECTOR PARTNERSHIPS FOR THE CONSERVATION OF THE HISTORIC URBAN ENVIRONMENT</w:t>
      </w:r>
    </w:p>
    <w:p w:rsidR="00C76549" w:rsidRPr="0009209F" w:rsidRDefault="00C76549" w:rsidP="00C76549">
      <w:r w:rsidRPr="0009209F">
        <w:t>Maynard, J., Marshal, P., Johnson, J., &amp; Harman, S. 2010</w:t>
      </w:r>
      <w:r w:rsidR="00324FC8">
        <w:t>.</w:t>
      </w:r>
      <w:r w:rsidRPr="0009209F">
        <w:t xml:space="preserve"> Coral reefs. “building resilience into practical conservation identifying local management responses to global climate change in the southern great barrier reef”.  Vol 29 (2) 381 – 391. </w:t>
      </w:r>
    </w:p>
    <w:p w:rsidR="00C76549" w:rsidRPr="00FE062D" w:rsidRDefault="00C76549" w:rsidP="00C76549">
      <w:r w:rsidRPr="00FE062D">
        <w:lastRenderedPageBreak/>
        <w:t xml:space="preserve">Mcintosh, A.J and </w:t>
      </w:r>
      <w:proofErr w:type="spellStart"/>
      <w:r w:rsidRPr="00FE062D">
        <w:t>prentice.R.C</w:t>
      </w:r>
      <w:proofErr w:type="spellEnd"/>
      <w:r w:rsidRPr="00FE062D">
        <w:t xml:space="preserve"> 1999</w:t>
      </w:r>
      <w:r w:rsidR="00324FC8">
        <w:t>.</w:t>
      </w:r>
      <w:r w:rsidRPr="00FE062D">
        <w:t xml:space="preserve"> highlight the difficulty of assessing the authenticity of a destination which is dependent on the portrayal of heritage to the public. Affirming authenticity: consuming cultural heritage. Vol26 589-612 issue 3 annals of tourism research. </w:t>
      </w:r>
    </w:p>
    <w:p w:rsidR="00C76549" w:rsidRPr="0070459F" w:rsidRDefault="00C76549" w:rsidP="00C76549">
      <w:r w:rsidRPr="00FE062D">
        <w:t>Medina, L.K  2003</w:t>
      </w:r>
      <w:r w:rsidR="00324FC8">
        <w:t>.</w:t>
      </w:r>
      <w:r w:rsidRPr="00FE062D">
        <w:t xml:space="preserve"> commoditizing culture tourism and Maya identity. Annals of Tourism Research, 30(2), pages 353 – 368. </w:t>
      </w:r>
    </w:p>
    <w:p w:rsidR="00C76549" w:rsidRDefault="00C76549" w:rsidP="00C76549">
      <w:pPr>
        <w:rPr>
          <w:color w:val="222222"/>
          <w:shd w:val="clear" w:color="auto" w:fill="FFFFFF"/>
        </w:rPr>
      </w:pPr>
      <w:r>
        <w:rPr>
          <w:color w:val="222222"/>
          <w:shd w:val="clear" w:color="auto" w:fill="FFFFFF"/>
        </w:rPr>
        <w:t>Middleton, V.T. and Hawkins, R., 1998. </w:t>
      </w:r>
      <w:r>
        <w:rPr>
          <w:i/>
          <w:iCs/>
          <w:color w:val="222222"/>
          <w:shd w:val="clear" w:color="auto" w:fill="FFFFFF"/>
        </w:rPr>
        <w:t>Sustainable tourism: A marketing perspective</w:t>
      </w:r>
      <w:r>
        <w:rPr>
          <w:color w:val="222222"/>
          <w:shd w:val="clear" w:color="auto" w:fill="FFFFFF"/>
        </w:rPr>
        <w:t>. Routledge.</w:t>
      </w:r>
    </w:p>
    <w:p w:rsidR="00C76549" w:rsidRPr="00B41D67" w:rsidRDefault="00C76549" w:rsidP="00C76549">
      <w:r w:rsidRPr="00B41D67">
        <w:t>Museum Wales 2018</w:t>
      </w:r>
      <w:r w:rsidR="00324FC8">
        <w:t>.</w:t>
      </w:r>
      <w:r w:rsidRPr="00B41D67">
        <w:t xml:space="preserve"> big pit: </w:t>
      </w:r>
      <w:hyperlink r:id="rId18" w:history="1">
        <w:r w:rsidRPr="00B41D67">
          <w:rPr>
            <w:rStyle w:val="Hyperlink"/>
            <w:rFonts w:ascii="Arial" w:hAnsi="Arial" w:cs="Arial"/>
            <w:sz w:val="20"/>
          </w:rPr>
          <w:t>https://museum.wales/visitor-figures/cumulative-2017-18/</w:t>
        </w:r>
      </w:hyperlink>
    </w:p>
    <w:p w:rsidR="00C76549" w:rsidRPr="00FE062D" w:rsidRDefault="00C76549" w:rsidP="00C76549">
      <w:r w:rsidRPr="00FE062D">
        <w:t>Nationa</w:t>
      </w:r>
      <w:r w:rsidR="00324FC8">
        <w:t xml:space="preserve">l </w:t>
      </w:r>
      <w:r w:rsidRPr="00FE062D">
        <w:t>trust 2017</w:t>
      </w:r>
      <w:r w:rsidR="00324FC8">
        <w:t>.</w:t>
      </w:r>
      <w:r w:rsidRPr="00FE062D">
        <w:t xml:space="preserve"> </w:t>
      </w:r>
      <w:hyperlink r:id="rId19" w:history="1">
        <w:r w:rsidRPr="00FE062D">
          <w:rPr>
            <w:rStyle w:val="Hyperlink"/>
            <w:rFonts w:ascii="Arial" w:hAnsi="Arial" w:cs="Arial"/>
            <w:sz w:val="20"/>
            <w:szCs w:val="20"/>
          </w:rPr>
          <w:t>https://www.nationaltrust.org.uk/lists/fascinating-facts-and-figures</w:t>
        </w:r>
      </w:hyperlink>
      <w:r w:rsidRPr="00FE062D">
        <w:t xml:space="preserve"> </w:t>
      </w:r>
    </w:p>
    <w:p w:rsidR="00C76549" w:rsidRPr="00FE062D" w:rsidRDefault="00C76549" w:rsidP="00C76549">
      <w:r w:rsidRPr="00FE062D">
        <w:t>Oxford 2019</w:t>
      </w:r>
      <w:r w:rsidR="00324FC8">
        <w:t>.</w:t>
      </w:r>
      <w:r w:rsidRPr="00FE062D">
        <w:t xml:space="preserve"> oxford university press </w:t>
      </w:r>
      <w:hyperlink r:id="rId20" w:history="1">
        <w:r w:rsidRPr="00FE062D">
          <w:rPr>
            <w:rStyle w:val="Hyperlink"/>
            <w:rFonts w:ascii="Arial" w:hAnsi="Arial" w:cs="Arial"/>
            <w:sz w:val="20"/>
            <w:szCs w:val="20"/>
          </w:rPr>
          <w:t>https://en.oxforddictionaries.com/</w:t>
        </w:r>
      </w:hyperlink>
    </w:p>
    <w:p w:rsidR="00C76549" w:rsidRDefault="00C76549" w:rsidP="00C76549">
      <w:r w:rsidRPr="00FE062D">
        <w:t>Page, S &amp; Connell, J. 2009</w:t>
      </w:r>
      <w:r w:rsidR="00324FC8">
        <w:t>.</w:t>
      </w:r>
      <w:r w:rsidRPr="00FE062D">
        <w:t xml:space="preserve"> “Tourism”. Library of tourism, hospitality and leisure. Sage publications 2376 pages. </w:t>
      </w:r>
    </w:p>
    <w:p w:rsidR="00C76549" w:rsidRPr="006E764D" w:rsidRDefault="00C76549" w:rsidP="00C76549">
      <w:proofErr w:type="spellStart"/>
      <w:r w:rsidRPr="006E764D">
        <w:t>Pye</w:t>
      </w:r>
      <w:proofErr w:type="spellEnd"/>
      <w:r w:rsidRPr="006E764D">
        <w:t>, E 2001 Caring for the Past: issues in conservation for archaeology and museums. London: James and James</w:t>
      </w:r>
    </w:p>
    <w:p w:rsidR="00C76549" w:rsidRPr="00FE062D" w:rsidRDefault="00C76549" w:rsidP="00C76549">
      <w:pPr>
        <w:rPr>
          <w:color w:val="333333"/>
          <w:spacing w:val="2"/>
          <w:shd w:val="clear" w:color="auto" w:fill="FCFCFC"/>
        </w:rPr>
      </w:pPr>
      <w:r w:rsidRPr="00FE062D">
        <w:rPr>
          <w:color w:val="333333"/>
          <w:spacing w:val="2"/>
          <w:shd w:val="clear" w:color="auto" w:fill="FCFCFC"/>
        </w:rPr>
        <w:t>Robinson, M. 199</w:t>
      </w:r>
      <w:r w:rsidR="00324FC8">
        <w:rPr>
          <w:color w:val="333333"/>
          <w:spacing w:val="2"/>
          <w:shd w:val="clear" w:color="auto" w:fill="FCFCFC"/>
        </w:rPr>
        <w:t>9.</w:t>
      </w:r>
      <w:r w:rsidRPr="00FE062D">
        <w:rPr>
          <w:color w:val="333333"/>
          <w:spacing w:val="2"/>
          <w:shd w:val="clear" w:color="auto" w:fill="FCFCFC"/>
        </w:rPr>
        <w:t xml:space="preserve"> ‘Cultural Conflicts in Tourism: Inevitability and Inequality’ in M. Robinson and P. Boniface (eds), </w:t>
      </w:r>
      <w:r w:rsidRPr="00FE062D">
        <w:rPr>
          <w:rStyle w:val="Emphasis"/>
          <w:rFonts w:ascii="Arial" w:hAnsi="Arial" w:cs="Arial"/>
          <w:color w:val="333333"/>
          <w:spacing w:val="2"/>
          <w:sz w:val="20"/>
          <w:szCs w:val="20"/>
          <w:shd w:val="clear" w:color="auto" w:fill="FCFCFC"/>
        </w:rPr>
        <w:t>Tourism and Cultural Conflicts</w:t>
      </w:r>
      <w:r w:rsidRPr="00FE062D">
        <w:rPr>
          <w:color w:val="333333"/>
          <w:spacing w:val="2"/>
          <w:shd w:val="clear" w:color="auto" w:fill="FCFCFC"/>
        </w:rPr>
        <w:t> ( Wallingford, UK: CAB International ).</w:t>
      </w:r>
    </w:p>
    <w:p w:rsidR="00C76549" w:rsidRDefault="00C76549" w:rsidP="00C76549">
      <w:r>
        <w:t>Schauble, L., Beane, D. B., Coates, G. D., Martin, L. M. W., &amp; Sterling, P. V. (1996) Outside the classroom walls: learning in informal environments. In L. Schauble and R. Glaser (eds) Innovations in Learning: New Environments for Education. Mahwah, NJ, Lawrence Erlbaum Associates, 5-24</w:t>
      </w:r>
    </w:p>
    <w:p w:rsidR="00C76549" w:rsidRPr="00FE062D" w:rsidRDefault="00C76549" w:rsidP="00C76549">
      <w:pPr>
        <w:rPr>
          <w:color w:val="333333"/>
          <w:spacing w:val="2"/>
          <w:shd w:val="clear" w:color="auto" w:fill="FCFCFC"/>
        </w:rPr>
      </w:pPr>
      <w:proofErr w:type="spellStart"/>
      <w:r w:rsidRPr="00FE062D">
        <w:rPr>
          <w:color w:val="333333"/>
          <w:spacing w:val="2"/>
          <w:shd w:val="clear" w:color="auto" w:fill="FCFCFC"/>
        </w:rPr>
        <w:t>Silverman,E</w:t>
      </w:r>
      <w:proofErr w:type="spellEnd"/>
      <w:r w:rsidRPr="00FE062D">
        <w:rPr>
          <w:color w:val="333333"/>
          <w:spacing w:val="2"/>
          <w:shd w:val="clear" w:color="auto" w:fill="FCFCFC"/>
        </w:rPr>
        <w:t xml:space="preserve"> 1999</w:t>
      </w:r>
      <w:r w:rsidR="00324FC8">
        <w:rPr>
          <w:color w:val="333333"/>
          <w:spacing w:val="2"/>
          <w:shd w:val="clear" w:color="auto" w:fill="FCFCFC"/>
        </w:rPr>
        <w:t>.</w:t>
      </w:r>
      <w:r w:rsidRPr="00FE062D">
        <w:rPr>
          <w:color w:val="333333"/>
          <w:spacing w:val="2"/>
          <w:shd w:val="clear" w:color="auto" w:fill="FCFCFC"/>
        </w:rPr>
        <w:t xml:space="preserve"> </w:t>
      </w:r>
      <w:r w:rsidRPr="00FE062D">
        <w:t xml:space="preserve">Tourist art as the crafting of identity in the Sepik River (Papua New Guinea). In R. Phillips  &amp; C. Steiner (Eds.), Unpacking culture—art and commodity in colonial and postcolonial worlds (pp. 51–66). Berkley, </w:t>
      </w:r>
      <w:proofErr w:type="spellStart"/>
      <w:r w:rsidRPr="00FE062D">
        <w:t>uni</w:t>
      </w:r>
      <w:proofErr w:type="spellEnd"/>
      <w:r w:rsidRPr="00FE062D">
        <w:t xml:space="preserve"> of California press. </w:t>
      </w:r>
    </w:p>
    <w:p w:rsidR="00C76549" w:rsidRPr="00FE062D" w:rsidRDefault="00C76549" w:rsidP="00C76549">
      <w:r w:rsidRPr="00FE062D">
        <w:t>Steiner, C.J and Reisinger, Y. 2006 understanding existential authenticity. Annals of tourism research.</w:t>
      </w:r>
    </w:p>
    <w:p w:rsidR="00C76549" w:rsidRPr="00FE062D" w:rsidRDefault="00C76549" w:rsidP="00C76549">
      <w:r w:rsidRPr="00FE062D">
        <w:t>The European heritage 2018</w:t>
      </w:r>
      <w:r w:rsidR="00324FC8">
        <w:t>.</w:t>
      </w:r>
      <w:r w:rsidRPr="00FE062D">
        <w:t xml:space="preserve"> </w:t>
      </w:r>
      <w:hyperlink r:id="rId21" w:history="1">
        <w:r w:rsidRPr="00FE062D">
          <w:rPr>
            <w:rStyle w:val="Hyperlink"/>
            <w:rFonts w:ascii="Arial" w:hAnsi="Arial" w:cs="Arial"/>
            <w:sz w:val="20"/>
            <w:szCs w:val="20"/>
          </w:rPr>
          <w:t>http://european-heritage.co.uk/european-year-of-cultural-heritage-2018/</w:t>
        </w:r>
      </w:hyperlink>
      <w:r w:rsidRPr="00FE062D">
        <w:t xml:space="preserve"> </w:t>
      </w:r>
    </w:p>
    <w:p w:rsidR="00C76549" w:rsidRPr="0009209F" w:rsidRDefault="00C76549" w:rsidP="00C76549">
      <w:pPr>
        <w:rPr>
          <w:rStyle w:val="Hyperlink"/>
          <w:rFonts w:ascii="Arial" w:hAnsi="Arial" w:cs="Arial"/>
          <w:sz w:val="20"/>
          <w:szCs w:val="20"/>
        </w:rPr>
      </w:pPr>
      <w:r w:rsidRPr="0009209F">
        <w:t>The guardian 2017</w:t>
      </w:r>
      <w:r w:rsidR="006E777F">
        <w:t>.</w:t>
      </w:r>
      <w:r w:rsidRPr="0009209F">
        <w:t xml:space="preserve"> “great barrier reef tourism” </w:t>
      </w:r>
      <w:hyperlink r:id="rId22" w:history="1">
        <w:r w:rsidRPr="0009209F">
          <w:rPr>
            <w:rStyle w:val="Hyperlink"/>
            <w:rFonts w:ascii="Arial" w:hAnsi="Arial" w:cs="Arial"/>
            <w:sz w:val="20"/>
            <w:szCs w:val="20"/>
          </w:rPr>
          <w:t>https://www.theguardian.com/environment/2017/apr/17/great-barrier-reef-tourism-caught-between-commerce-and-conservation-alarm</w:t>
        </w:r>
      </w:hyperlink>
    </w:p>
    <w:p w:rsidR="00C76549" w:rsidRPr="000A2437" w:rsidRDefault="00C76549" w:rsidP="00C76549">
      <w:r w:rsidRPr="000A2437">
        <w:t>The heritage alliance 2016</w:t>
      </w:r>
      <w:r w:rsidR="006E777F">
        <w:t>.</w:t>
      </w:r>
      <w:r w:rsidRPr="000A2437">
        <w:t xml:space="preserve"> </w:t>
      </w:r>
      <w:hyperlink r:id="rId23" w:history="1">
        <w:r w:rsidRPr="000A2437">
          <w:rPr>
            <w:rStyle w:val="Hyperlink"/>
            <w:rFonts w:ascii="Arial" w:hAnsi="Arial" w:cs="Arial"/>
            <w:sz w:val="20"/>
          </w:rPr>
          <w:t>https://www.theheritagealliance.org.uk/tha-website/wp-content/uploads/2014/07/Heritage-the-EU-May-2016.pdf</w:t>
        </w:r>
      </w:hyperlink>
    </w:p>
    <w:p w:rsidR="00C76549" w:rsidRPr="00FE062D" w:rsidRDefault="00C76549" w:rsidP="00C76549">
      <w:pPr>
        <w:rPr>
          <w:rStyle w:val="Hyperlink"/>
          <w:rFonts w:ascii="Arial" w:hAnsi="Arial" w:cs="Arial"/>
          <w:sz w:val="20"/>
          <w:szCs w:val="20"/>
        </w:rPr>
      </w:pPr>
      <w:r w:rsidRPr="00FE062D">
        <w:t>The national trust 2019</w:t>
      </w:r>
      <w:r w:rsidR="006E777F">
        <w:t>.</w:t>
      </w:r>
      <w:r w:rsidRPr="00FE062D">
        <w:t xml:space="preserve"> </w:t>
      </w:r>
      <w:hyperlink r:id="rId24" w:history="1">
        <w:r w:rsidRPr="00FE062D">
          <w:rPr>
            <w:rStyle w:val="Hyperlink"/>
            <w:rFonts w:ascii="Arial" w:hAnsi="Arial" w:cs="Arial"/>
            <w:sz w:val="20"/>
            <w:szCs w:val="20"/>
          </w:rPr>
          <w:t>https://www.nationaltrust.org.uk/features/what-is-a-world-heritage-site</w:t>
        </w:r>
      </w:hyperlink>
    </w:p>
    <w:p w:rsidR="00C76549" w:rsidRPr="00FE062D" w:rsidRDefault="00C76549" w:rsidP="00C76549">
      <w:r w:rsidRPr="00FE062D">
        <w:t>Tilden, F. 1957</w:t>
      </w:r>
      <w:r w:rsidR="006E777F">
        <w:t>.</w:t>
      </w:r>
      <w:r w:rsidRPr="00FE062D">
        <w:t xml:space="preserve"> interpreting our heritage. University of </w:t>
      </w:r>
      <w:r w:rsidR="006E777F" w:rsidRPr="00FE062D">
        <w:t>North Carolina</w:t>
      </w:r>
      <w:r w:rsidRPr="00FE062D">
        <w:t xml:space="preserve"> press. </w:t>
      </w:r>
    </w:p>
    <w:p w:rsidR="00C76549" w:rsidRPr="00FE062D" w:rsidRDefault="00C76549" w:rsidP="00C76549">
      <w:r w:rsidRPr="00FE062D">
        <w:t>Timothy, D. J. 1997</w:t>
      </w:r>
      <w:r w:rsidR="006E777F">
        <w:t>.</w:t>
      </w:r>
      <w:r w:rsidRPr="00FE062D">
        <w:t xml:space="preserve"> “Tourism and the personal heritage experience.” Annals of Tourism Research 24 (3): 751–754</w:t>
      </w:r>
    </w:p>
    <w:p w:rsidR="00C76549" w:rsidRPr="00FE062D" w:rsidRDefault="00C76549" w:rsidP="00C76549">
      <w:r w:rsidRPr="00FE062D">
        <w:t>UNESCO 2017</w:t>
      </w:r>
      <w:r w:rsidR="006E777F">
        <w:t>.</w:t>
      </w:r>
      <w:r w:rsidRPr="00FE062D">
        <w:t xml:space="preserve"> </w:t>
      </w:r>
      <w:hyperlink r:id="rId25" w:history="1">
        <w:r w:rsidRPr="00FE062D">
          <w:rPr>
            <w:rStyle w:val="Hyperlink"/>
            <w:rFonts w:ascii="Arial" w:hAnsi="Arial" w:cs="Arial"/>
            <w:sz w:val="20"/>
            <w:szCs w:val="20"/>
          </w:rPr>
          <w:t>http://www.unesco.org/new/en/cairo/culture/tangible-cultural-heritage/</w:t>
        </w:r>
      </w:hyperlink>
    </w:p>
    <w:p w:rsidR="00C76549" w:rsidRDefault="00C76549" w:rsidP="00C76549">
      <w:r>
        <w:t>UNESCO 2018</w:t>
      </w:r>
      <w:r w:rsidR="006E777F">
        <w:t xml:space="preserve">. </w:t>
      </w:r>
      <w:r>
        <w:t xml:space="preserve">United Nations Educational, Scientific and Cultural Organization. </w:t>
      </w:r>
      <w:hyperlink r:id="rId26" w:history="1">
        <w:r w:rsidR="006E777F" w:rsidRPr="0009209F">
          <w:rPr>
            <w:rStyle w:val="Hyperlink"/>
            <w:rFonts w:ascii="Arial" w:hAnsi="Arial" w:cs="Arial"/>
            <w:sz w:val="20"/>
            <w:szCs w:val="20"/>
          </w:rPr>
          <w:t>https://whc.unesco.org/en/list/154</w:t>
        </w:r>
      </w:hyperlink>
    </w:p>
    <w:p w:rsidR="00C76549" w:rsidRDefault="00C76549" w:rsidP="00C76549">
      <w:pPr>
        <w:rPr>
          <w:rFonts w:eastAsia="Times New Roman"/>
          <w:color w:val="006621"/>
          <w:shd w:val="clear" w:color="auto" w:fill="FFFFFF"/>
          <w:lang w:eastAsia="en-GB"/>
        </w:rPr>
      </w:pPr>
      <w:proofErr w:type="spellStart"/>
      <w:r w:rsidRPr="00FE062D">
        <w:t>Unwto</w:t>
      </w:r>
      <w:proofErr w:type="spellEnd"/>
      <w:r w:rsidRPr="00FE062D">
        <w:t xml:space="preserve"> 2011</w:t>
      </w:r>
      <w:r w:rsidR="006E777F">
        <w:t>.</w:t>
      </w:r>
      <w:r w:rsidRPr="00FE062D">
        <w:t xml:space="preserve"> “united national world tourism organisation: cultural heritage” </w:t>
      </w:r>
      <w:r w:rsidRPr="00FE062D">
        <w:rPr>
          <w:rFonts w:eastAsia="Times New Roman"/>
          <w:color w:val="006621"/>
          <w:shd w:val="clear" w:color="auto" w:fill="FFFFFF"/>
          <w:lang w:eastAsia="en-GB"/>
        </w:rPr>
        <w:t>www2.unwto.org/content/cultural-heritage-1</w:t>
      </w:r>
    </w:p>
    <w:p w:rsidR="00C46416" w:rsidRPr="00FE062D" w:rsidRDefault="00C46416" w:rsidP="00C46416">
      <w:r w:rsidRPr="00FE062D">
        <w:rPr>
          <w:color w:val="222222"/>
          <w:shd w:val="clear" w:color="auto" w:fill="FFFFFF"/>
        </w:rPr>
        <w:lastRenderedPageBreak/>
        <w:t>Verbeke, M., 1999. Industrial heritage: A nexus for sustainable tourism development. </w:t>
      </w:r>
      <w:r w:rsidRPr="00FE062D">
        <w:rPr>
          <w:i/>
          <w:iCs/>
          <w:color w:val="222222"/>
          <w:shd w:val="clear" w:color="auto" w:fill="FFFFFF"/>
        </w:rPr>
        <w:t>Tourism geographies</w:t>
      </w:r>
      <w:r w:rsidRPr="00FE062D">
        <w:rPr>
          <w:color w:val="222222"/>
          <w:shd w:val="clear" w:color="auto" w:fill="FFFFFF"/>
        </w:rPr>
        <w:t>, </w:t>
      </w:r>
      <w:r w:rsidRPr="00FE062D">
        <w:rPr>
          <w:i/>
          <w:iCs/>
          <w:color w:val="222222"/>
          <w:shd w:val="clear" w:color="auto" w:fill="FFFFFF"/>
        </w:rPr>
        <w:t>1</w:t>
      </w:r>
      <w:r w:rsidRPr="00FE062D">
        <w:rPr>
          <w:color w:val="222222"/>
          <w:shd w:val="clear" w:color="auto" w:fill="FFFFFF"/>
        </w:rPr>
        <w:t>(1), pp.70 - 85.</w:t>
      </w:r>
    </w:p>
    <w:p w:rsidR="00C76549" w:rsidRPr="00AE74D8" w:rsidRDefault="00C76549" w:rsidP="00C76549">
      <w:r>
        <w:t xml:space="preserve">VICNET 1996 as cited from </w:t>
      </w:r>
      <w:r>
        <w:rPr>
          <w:color w:val="222222"/>
          <w:shd w:val="clear" w:color="auto" w:fill="FFFFFF"/>
        </w:rPr>
        <w:t xml:space="preserve">McKercher, B. and Du </w:t>
      </w:r>
      <w:proofErr w:type="spellStart"/>
      <w:r>
        <w:rPr>
          <w:color w:val="222222"/>
          <w:shd w:val="clear" w:color="auto" w:fill="FFFFFF"/>
        </w:rPr>
        <w:t>Cros</w:t>
      </w:r>
      <w:proofErr w:type="spellEnd"/>
      <w:r>
        <w:rPr>
          <w:color w:val="222222"/>
          <w:shd w:val="clear" w:color="auto" w:fill="FFFFFF"/>
        </w:rPr>
        <w:t>, H., 2002. </w:t>
      </w:r>
      <w:r>
        <w:rPr>
          <w:i/>
          <w:iCs/>
          <w:color w:val="222222"/>
          <w:shd w:val="clear" w:color="auto" w:fill="FFFFFF"/>
        </w:rPr>
        <w:t>Cultural tourism: The partnership between tourism and cultural heritage management</w:t>
      </w:r>
      <w:r>
        <w:rPr>
          <w:color w:val="222222"/>
          <w:shd w:val="clear" w:color="auto" w:fill="FFFFFF"/>
        </w:rPr>
        <w:t>. Routledge.</w:t>
      </w:r>
    </w:p>
    <w:p w:rsidR="00C76549" w:rsidRPr="00FE062D" w:rsidRDefault="00C76549" w:rsidP="00C76549">
      <w:r w:rsidRPr="00FE062D">
        <w:t>Visit wales 2019</w:t>
      </w:r>
      <w:r w:rsidR="006E777F">
        <w:t>.</w:t>
      </w:r>
      <w:r w:rsidRPr="00FE062D">
        <w:t xml:space="preserve"> </w:t>
      </w:r>
      <w:hyperlink r:id="rId27" w:history="1">
        <w:r w:rsidRPr="00FE062D">
          <w:rPr>
            <w:rStyle w:val="Hyperlink"/>
            <w:rFonts w:ascii="Arial" w:hAnsi="Arial" w:cs="Arial"/>
            <w:sz w:val="20"/>
            <w:szCs w:val="20"/>
          </w:rPr>
          <w:t>https://www.visitwales.com/things-to-do/attractions/castles-heritage/world-heritage-sites/world-heritage-sites-list</w:t>
        </w:r>
      </w:hyperlink>
    </w:p>
    <w:p w:rsidR="00C76549" w:rsidRPr="00FE062D" w:rsidRDefault="00C76549" w:rsidP="00C76549">
      <w:r w:rsidRPr="00FE062D">
        <w:t>Wales online 2014</w:t>
      </w:r>
      <w:r w:rsidR="006E777F">
        <w:t>.</w:t>
      </w:r>
      <w:r w:rsidRPr="00FE062D">
        <w:t xml:space="preserve"> Cadw article by </w:t>
      </w:r>
      <w:proofErr w:type="spellStart"/>
      <w:r w:rsidRPr="00FE062D">
        <w:t>Pyke,C</w:t>
      </w:r>
      <w:proofErr w:type="spellEnd"/>
      <w:r w:rsidRPr="00FE062D">
        <w:t xml:space="preserve">. </w:t>
      </w:r>
      <w:hyperlink r:id="rId28" w:history="1">
        <w:r w:rsidRPr="00FE062D">
          <w:rPr>
            <w:rStyle w:val="Hyperlink"/>
            <w:rFonts w:ascii="Arial" w:hAnsi="Arial" w:cs="Arial"/>
            <w:sz w:val="20"/>
            <w:szCs w:val="20"/>
          </w:rPr>
          <w:t>www.walesonline.co.uk/</w:t>
        </w:r>
      </w:hyperlink>
    </w:p>
    <w:p w:rsidR="00C76549" w:rsidRPr="00FE062D" w:rsidRDefault="00C76549" w:rsidP="00C76549">
      <w:r w:rsidRPr="00FE062D">
        <w:t>Wales.com 2018</w:t>
      </w:r>
      <w:r w:rsidR="006E777F">
        <w:t>.</w:t>
      </w:r>
      <w:r w:rsidRPr="00FE062D">
        <w:t xml:space="preserve"> </w:t>
      </w:r>
      <w:hyperlink r:id="rId29" w:history="1">
        <w:r w:rsidRPr="00FE062D">
          <w:rPr>
            <w:rStyle w:val="Hyperlink"/>
            <w:rFonts w:ascii="Arial" w:hAnsi="Arial" w:cs="Arial"/>
            <w:sz w:val="20"/>
            <w:szCs w:val="20"/>
          </w:rPr>
          <w:t>www.wales.com/</w:t>
        </w:r>
      </w:hyperlink>
    </w:p>
    <w:p w:rsidR="00C76549" w:rsidRPr="00FE062D" w:rsidRDefault="00C76549" w:rsidP="00C76549">
      <w:r w:rsidRPr="00FE062D">
        <w:t>Weaver, D., &amp; Lawton, L.</w:t>
      </w:r>
      <w:r w:rsidR="006E777F">
        <w:t xml:space="preserve"> </w:t>
      </w:r>
      <w:r w:rsidRPr="00FE062D">
        <w:t>2006. Tourism management (3rd ed.). Milton, Queensland: John Wiley &amp; Sons.</w:t>
      </w:r>
    </w:p>
    <w:p w:rsidR="00C76549" w:rsidRDefault="00C76549" w:rsidP="00C76549">
      <w:pPr>
        <w:rPr>
          <w:rStyle w:val="Hyperlink"/>
          <w:rFonts w:ascii="Arial" w:hAnsi="Arial" w:cs="Arial"/>
          <w:sz w:val="20"/>
          <w:szCs w:val="20"/>
        </w:rPr>
      </w:pPr>
      <w:r w:rsidRPr="00FE062D">
        <w:t>WTO 2017</w:t>
      </w:r>
      <w:r w:rsidR="006E777F">
        <w:t>.</w:t>
      </w:r>
      <w:r w:rsidRPr="00FE062D">
        <w:t xml:space="preserve"> The united nations world tourism organisation. </w:t>
      </w:r>
      <w:hyperlink r:id="rId30" w:history="1">
        <w:r w:rsidRPr="00FE062D">
          <w:rPr>
            <w:rStyle w:val="Hyperlink"/>
            <w:rFonts w:ascii="Arial" w:hAnsi="Arial" w:cs="Arial"/>
            <w:sz w:val="20"/>
            <w:szCs w:val="20"/>
          </w:rPr>
          <w:t>http://www2.unwto.org/</w:t>
        </w:r>
      </w:hyperlink>
    </w:p>
    <w:p w:rsidR="00C76549" w:rsidRPr="00FE062D" w:rsidRDefault="00C76549" w:rsidP="00C76549">
      <w:proofErr w:type="spellStart"/>
      <w:r w:rsidRPr="00FE062D">
        <w:rPr>
          <w:color w:val="222222"/>
          <w:shd w:val="clear" w:color="auto" w:fill="FFFFFF"/>
        </w:rPr>
        <w:t>Xie</w:t>
      </w:r>
      <w:proofErr w:type="spellEnd"/>
      <w:r w:rsidRPr="00FE062D">
        <w:rPr>
          <w:color w:val="222222"/>
          <w:shd w:val="clear" w:color="auto" w:fill="FFFFFF"/>
        </w:rPr>
        <w:t>, P.F., 2003. The bamboo-beating dance in Hainan, China: Authenticity and commodification. </w:t>
      </w:r>
      <w:r w:rsidRPr="00FE062D">
        <w:rPr>
          <w:i/>
          <w:iCs/>
          <w:color w:val="222222"/>
          <w:shd w:val="clear" w:color="auto" w:fill="FFFFFF"/>
        </w:rPr>
        <w:t>Journal of Sustainable Tourism</w:t>
      </w:r>
      <w:r w:rsidRPr="00FE062D">
        <w:rPr>
          <w:color w:val="222222"/>
          <w:shd w:val="clear" w:color="auto" w:fill="FFFFFF"/>
        </w:rPr>
        <w:t>, </w:t>
      </w:r>
      <w:r w:rsidRPr="00FE062D">
        <w:rPr>
          <w:i/>
          <w:iCs/>
          <w:color w:val="222222"/>
          <w:shd w:val="clear" w:color="auto" w:fill="FFFFFF"/>
        </w:rPr>
        <w:t>11</w:t>
      </w:r>
      <w:r w:rsidRPr="00FE062D">
        <w:rPr>
          <w:color w:val="222222"/>
          <w:shd w:val="clear" w:color="auto" w:fill="FFFFFF"/>
        </w:rPr>
        <w:t>(1), pp.5-16.</w:t>
      </w:r>
    </w:p>
    <w:p w:rsidR="00931EDF" w:rsidRDefault="00931EDF" w:rsidP="009D2509"/>
    <w:p w:rsidR="003522B4" w:rsidRDefault="003522B4" w:rsidP="00DA7B3F"/>
    <w:p w:rsidR="00251C2A" w:rsidRDefault="009D2509" w:rsidP="009D2509">
      <w:pPr>
        <w:tabs>
          <w:tab w:val="left" w:pos="2025"/>
        </w:tabs>
      </w:pPr>
      <w:r>
        <w:tab/>
      </w:r>
    </w:p>
    <w:p w:rsidR="00F05FC6" w:rsidRDefault="00F05FC6" w:rsidP="00F05FC6"/>
    <w:p w:rsidR="0081790C" w:rsidRDefault="0081790C" w:rsidP="00D40ED0"/>
    <w:p w:rsidR="00F05FC6" w:rsidRDefault="00F05FC6" w:rsidP="00D40ED0"/>
    <w:p w:rsidR="00D40ED0" w:rsidRDefault="00D40ED0" w:rsidP="00726836"/>
    <w:p w:rsidR="000338F8" w:rsidRPr="001377E9" w:rsidRDefault="000338F8">
      <w:pPr>
        <w:rPr>
          <w:rFonts w:ascii="Arial" w:hAnsi="Arial" w:cs="Arial"/>
        </w:rPr>
      </w:pPr>
    </w:p>
    <w:sectPr w:rsidR="000338F8" w:rsidRPr="00137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12552"/>
    <w:multiLevelType w:val="hybridMultilevel"/>
    <w:tmpl w:val="3D36D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4BB"/>
    <w:rsid w:val="00000EFD"/>
    <w:rsid w:val="000338F8"/>
    <w:rsid w:val="0011580F"/>
    <w:rsid w:val="001377E9"/>
    <w:rsid w:val="00156E1D"/>
    <w:rsid w:val="00206F6F"/>
    <w:rsid w:val="00251C2A"/>
    <w:rsid w:val="00324FC8"/>
    <w:rsid w:val="0032700B"/>
    <w:rsid w:val="003522B4"/>
    <w:rsid w:val="0038562A"/>
    <w:rsid w:val="003E548C"/>
    <w:rsid w:val="00565D9F"/>
    <w:rsid w:val="00604235"/>
    <w:rsid w:val="00653B19"/>
    <w:rsid w:val="0066104F"/>
    <w:rsid w:val="00684C80"/>
    <w:rsid w:val="006E777F"/>
    <w:rsid w:val="0070459F"/>
    <w:rsid w:val="0072122A"/>
    <w:rsid w:val="00726836"/>
    <w:rsid w:val="00813D9B"/>
    <w:rsid w:val="0081790C"/>
    <w:rsid w:val="00862412"/>
    <w:rsid w:val="00931EDF"/>
    <w:rsid w:val="009A3FDD"/>
    <w:rsid w:val="009D2509"/>
    <w:rsid w:val="00A128CD"/>
    <w:rsid w:val="00A27277"/>
    <w:rsid w:val="00AB094E"/>
    <w:rsid w:val="00B224BB"/>
    <w:rsid w:val="00B84A61"/>
    <w:rsid w:val="00BF21B3"/>
    <w:rsid w:val="00C22579"/>
    <w:rsid w:val="00C46416"/>
    <w:rsid w:val="00C57DF6"/>
    <w:rsid w:val="00C76549"/>
    <w:rsid w:val="00CA5050"/>
    <w:rsid w:val="00CB45E5"/>
    <w:rsid w:val="00D340B5"/>
    <w:rsid w:val="00D40224"/>
    <w:rsid w:val="00D40ED0"/>
    <w:rsid w:val="00D85640"/>
    <w:rsid w:val="00DA7B3F"/>
    <w:rsid w:val="00E110E4"/>
    <w:rsid w:val="00E56612"/>
    <w:rsid w:val="00EC50FD"/>
    <w:rsid w:val="00F02CCD"/>
    <w:rsid w:val="00F05FC6"/>
    <w:rsid w:val="00F8765B"/>
    <w:rsid w:val="00FE0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26A8E"/>
  <w15:chartTrackingRefBased/>
  <w15:docId w15:val="{9334A466-909F-4983-B8A0-5F2B04267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77E9"/>
  </w:style>
  <w:style w:type="paragraph" w:styleId="Heading1">
    <w:name w:val="heading 1"/>
    <w:basedOn w:val="Normal"/>
    <w:next w:val="Normal"/>
    <w:link w:val="Heading1Char"/>
    <w:uiPriority w:val="9"/>
    <w:qFormat/>
    <w:rsid w:val="00F02C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F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5F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77E9"/>
    <w:rPr>
      <w:color w:val="0000FF"/>
      <w:u w:val="single"/>
    </w:rPr>
  </w:style>
  <w:style w:type="character" w:customStyle="1" w:styleId="Heading2Char">
    <w:name w:val="Heading 2 Char"/>
    <w:basedOn w:val="DefaultParagraphFont"/>
    <w:link w:val="Heading2"/>
    <w:uiPriority w:val="9"/>
    <w:rsid w:val="009A3FD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81790C"/>
    <w:rPr>
      <w:i/>
      <w:iCs/>
    </w:rPr>
  </w:style>
  <w:style w:type="character" w:customStyle="1" w:styleId="Heading3Char">
    <w:name w:val="Heading 3 Char"/>
    <w:basedOn w:val="DefaultParagraphFont"/>
    <w:link w:val="Heading3"/>
    <w:uiPriority w:val="9"/>
    <w:rsid w:val="00F05FC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0338F8"/>
    <w:rPr>
      <w:color w:val="605E5C"/>
      <w:shd w:val="clear" w:color="auto" w:fill="E1DFDD"/>
    </w:rPr>
  </w:style>
  <w:style w:type="character" w:customStyle="1" w:styleId="Heading1Char">
    <w:name w:val="Heading 1 Char"/>
    <w:basedOn w:val="DefaultParagraphFont"/>
    <w:link w:val="Heading1"/>
    <w:uiPriority w:val="9"/>
    <w:rsid w:val="00F02C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2CCD"/>
    <w:pPr>
      <w:outlineLvl w:val="9"/>
    </w:pPr>
    <w:rPr>
      <w:lang w:val="en-US"/>
    </w:rPr>
  </w:style>
  <w:style w:type="paragraph" w:styleId="TOC2">
    <w:name w:val="toc 2"/>
    <w:basedOn w:val="Normal"/>
    <w:next w:val="Normal"/>
    <w:autoRedefine/>
    <w:uiPriority w:val="39"/>
    <w:unhideWhenUsed/>
    <w:rsid w:val="00F02CCD"/>
    <w:pPr>
      <w:spacing w:after="100"/>
      <w:ind w:left="220"/>
    </w:pPr>
  </w:style>
  <w:style w:type="paragraph" w:styleId="TOC1">
    <w:name w:val="toc 1"/>
    <w:basedOn w:val="Normal"/>
    <w:next w:val="Normal"/>
    <w:autoRedefine/>
    <w:uiPriority w:val="39"/>
    <w:unhideWhenUsed/>
    <w:rsid w:val="00FE062D"/>
    <w:pPr>
      <w:spacing w:after="100"/>
    </w:pPr>
  </w:style>
  <w:style w:type="paragraph" w:styleId="TOC3">
    <w:name w:val="toc 3"/>
    <w:basedOn w:val="Normal"/>
    <w:next w:val="Normal"/>
    <w:autoRedefine/>
    <w:uiPriority w:val="39"/>
    <w:unhideWhenUsed/>
    <w:rsid w:val="00FE062D"/>
    <w:pPr>
      <w:spacing w:after="100"/>
      <w:ind w:left="440"/>
    </w:pPr>
    <w:rPr>
      <w:rFonts w:eastAsiaTheme="minorEastAsia" w:cs="Times New Roman"/>
      <w:lang w:val="en-US"/>
    </w:rPr>
  </w:style>
  <w:style w:type="paragraph" w:styleId="ListParagraph">
    <w:name w:val="List Paragraph"/>
    <w:basedOn w:val="Normal"/>
    <w:uiPriority w:val="34"/>
    <w:qFormat/>
    <w:rsid w:val="0070459F"/>
    <w:pPr>
      <w:ind w:left="720"/>
      <w:contextualSpacing/>
    </w:pPr>
  </w:style>
  <w:style w:type="character" w:styleId="FollowedHyperlink">
    <w:name w:val="FollowedHyperlink"/>
    <w:basedOn w:val="DefaultParagraphFont"/>
    <w:uiPriority w:val="99"/>
    <w:semiHidden/>
    <w:unhideWhenUsed/>
    <w:rsid w:val="001158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2040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education.html" TargetMode="External"/><Relationship Id="rId13" Type="http://schemas.openxmlformats.org/officeDocument/2006/relationships/hyperlink" Target="http://ec.europa.eu/commfrontoffice/publicopinion/archives/ebs/ebs_278_en.pdf" TargetMode="External"/><Relationship Id="rId18" Type="http://schemas.openxmlformats.org/officeDocument/2006/relationships/hyperlink" Target="https://museum.wales/visitor-figures/cumulative-2017-18/" TargetMode="External"/><Relationship Id="rId26" Type="http://schemas.openxmlformats.org/officeDocument/2006/relationships/hyperlink" Target="https://whc.unesco.org/en/list/154" TargetMode="External"/><Relationship Id="rId3" Type="http://schemas.openxmlformats.org/officeDocument/2006/relationships/styles" Target="styles.xml"/><Relationship Id="rId21" Type="http://schemas.openxmlformats.org/officeDocument/2006/relationships/hyperlink" Target="http://european-heritage.co.uk/european-year-of-cultural-heritage-2018/" TargetMode="External"/><Relationship Id="rId7" Type="http://schemas.openxmlformats.org/officeDocument/2006/relationships/hyperlink" Target="http://www.ahi.org.uk/" TargetMode="External"/><Relationship Id="rId12" Type="http://schemas.openxmlformats.org/officeDocument/2006/relationships/hyperlink" Target="https://www.collinsdictionary.com/" TargetMode="External"/><Relationship Id="rId17" Type="http://schemas.openxmlformats.org/officeDocument/2006/relationships/hyperlink" Target="https://www.hlf.org.uk/social-benefits-involvement-heritage-projects" TargetMode="External"/><Relationship Id="rId25" Type="http://schemas.openxmlformats.org/officeDocument/2006/relationships/hyperlink" Target="http://www.unesco.org/new/en/cairo/culture/tangible-cultural-heritage/" TargetMode="External"/><Relationship Id="rId2" Type="http://schemas.openxmlformats.org/officeDocument/2006/relationships/numbering" Target="numbering.xml"/><Relationship Id="rId16" Type="http://schemas.openxmlformats.org/officeDocument/2006/relationships/hyperlink" Target="https://gov.wales/newsroom/culture-tourism-sport/2017/59148673/?lang=en" TargetMode="External"/><Relationship Id="rId20" Type="http://schemas.openxmlformats.org/officeDocument/2006/relationships/hyperlink" Target="https://en.oxforddictionaries.com/" TargetMode="External"/><Relationship Id="rId29" Type="http://schemas.openxmlformats.org/officeDocument/2006/relationships/hyperlink" Target="http://www.wales.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ictionary.cambridge.org/" TargetMode="External"/><Relationship Id="rId24" Type="http://schemas.openxmlformats.org/officeDocument/2006/relationships/hyperlink" Target="https://www.nationaltrust.org.uk/features/what-is-a-world-heritage-sit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vironment.gov.au/marine/gbr/protecting-the-reef" TargetMode="External"/><Relationship Id="rId23" Type="http://schemas.openxmlformats.org/officeDocument/2006/relationships/hyperlink" Target="https://www.theheritagealliance.org.uk/tha-website/wp-content/uploads/2014/07/Heritage-the-EU-May-2016.pdf" TargetMode="External"/><Relationship Id="rId28" Type="http://schemas.openxmlformats.org/officeDocument/2006/relationships/hyperlink" Target="http://www.walesonline.co.uk/" TargetMode="External"/><Relationship Id="rId10" Type="http://schemas.openxmlformats.org/officeDocument/2006/relationships/hyperlink" Target="http://www.cadw.gov.wales/" TargetMode="External"/><Relationship Id="rId19" Type="http://schemas.openxmlformats.org/officeDocument/2006/relationships/hyperlink" Target="https://www.nationaltrust.org.uk/lists/fascinating-facts-and-figur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dw.gov.wales/historicenvironment/policy/historicenvironmentbill/?lang=en" TargetMode="External"/><Relationship Id="rId14" Type="http://schemas.openxmlformats.org/officeDocument/2006/relationships/hyperlink" Target="http://www.gbrmpa.gov.au/the-reef/heritage" TargetMode="External"/><Relationship Id="rId22" Type="http://schemas.openxmlformats.org/officeDocument/2006/relationships/hyperlink" Target="https://www.theguardian.com/environment/2017/apr/17/great-barrier-reef-tourism-caught-between-commerce-and-conservation-alarm" TargetMode="External"/><Relationship Id="rId27" Type="http://schemas.openxmlformats.org/officeDocument/2006/relationships/hyperlink" Target="https://www.visitwales.com/things-to-do/attractions/castles-heritage/world-heritage-sites/world-heritage-sites-list" TargetMode="External"/><Relationship Id="rId30" Type="http://schemas.openxmlformats.org/officeDocument/2006/relationships/hyperlink" Target="http://www2.un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C56D5D-B8DC-4604-8929-6865CBC7F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12</Pages>
  <Words>4529</Words>
  <Characters>25819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 (P149186)</dc:creator>
  <cp:keywords/>
  <dc:description/>
  <cp:lastModifiedBy>Kayleigh Davies (P149186)</cp:lastModifiedBy>
  <cp:revision>22</cp:revision>
  <dcterms:created xsi:type="dcterms:W3CDTF">2019-03-11T15:41:00Z</dcterms:created>
  <dcterms:modified xsi:type="dcterms:W3CDTF">2019-03-21T00:34:00Z</dcterms:modified>
</cp:coreProperties>
</file>