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4B907" w14:textId="5BC52414" w:rsidR="00042EDF" w:rsidRDefault="00042EDF" w:rsidP="00042EDF">
      <w:pPr>
        <w:spacing w:after="0" w:line="360" w:lineRule="auto"/>
        <w:ind w:left="360"/>
        <w:jc w:val="center"/>
        <w:rPr>
          <w:rFonts w:ascii="Times New Roman" w:hAnsi="Times New Roman" w:cs="Times New Roman"/>
          <w:b/>
          <w:bCs/>
          <w:sz w:val="32"/>
          <w:szCs w:val="32"/>
        </w:rPr>
      </w:pPr>
      <w:r w:rsidRPr="00042EDF">
        <w:rPr>
          <w:rFonts w:ascii="Times New Roman" w:hAnsi="Times New Roman" w:cs="Times New Roman"/>
          <w:b/>
          <w:bCs/>
          <w:sz w:val="32"/>
          <w:szCs w:val="32"/>
        </w:rPr>
        <w:t>Advice to Hadley</w:t>
      </w:r>
    </w:p>
    <w:p w14:paraId="350609BB" w14:textId="77777777" w:rsidR="00042EDF" w:rsidRPr="00042EDF" w:rsidRDefault="00042EDF" w:rsidP="00042EDF">
      <w:pPr>
        <w:spacing w:after="0" w:line="360" w:lineRule="auto"/>
        <w:ind w:left="360"/>
        <w:jc w:val="center"/>
        <w:rPr>
          <w:rFonts w:ascii="Times New Roman" w:hAnsi="Times New Roman" w:cs="Times New Roman"/>
          <w:b/>
          <w:bCs/>
          <w:sz w:val="32"/>
          <w:szCs w:val="32"/>
        </w:rPr>
      </w:pPr>
    </w:p>
    <w:p w14:paraId="2E23769E" w14:textId="38762776" w:rsidR="00042EDF" w:rsidRPr="001229C7" w:rsidRDefault="00042EDF" w:rsidP="00042EDF">
      <w:pPr>
        <w:spacing w:after="0" w:line="360" w:lineRule="auto"/>
        <w:ind w:left="360"/>
        <w:jc w:val="both"/>
        <w:rPr>
          <w:rFonts w:ascii="Times New Roman" w:hAnsi="Times New Roman" w:cs="Times New Roman"/>
          <w:sz w:val="24"/>
          <w:szCs w:val="24"/>
        </w:rPr>
      </w:pPr>
      <w:r w:rsidRPr="001229C7">
        <w:rPr>
          <w:rFonts w:ascii="Times New Roman" w:hAnsi="Times New Roman" w:cs="Times New Roman"/>
          <w:sz w:val="24"/>
          <w:szCs w:val="24"/>
        </w:rPr>
        <w:t>Here it is very clear in the light of the provided facts that Hadley trespass Ronan’s house with an intention to steal the “Bucci Trainers”; intention is very important element of crime burglary and is referred to in law as “</w:t>
      </w:r>
      <w:proofErr w:type="spellStart"/>
      <w:r w:rsidRPr="001229C7">
        <w:rPr>
          <w:rFonts w:ascii="Times New Roman" w:hAnsi="Times New Roman" w:cs="Times New Roman"/>
          <w:sz w:val="24"/>
          <w:szCs w:val="24"/>
        </w:rPr>
        <w:t>Mens</w:t>
      </w:r>
      <w:proofErr w:type="spellEnd"/>
      <w:r w:rsidRPr="001229C7">
        <w:rPr>
          <w:rFonts w:ascii="Times New Roman" w:hAnsi="Times New Roman" w:cs="Times New Roman"/>
          <w:sz w:val="24"/>
          <w:szCs w:val="24"/>
        </w:rPr>
        <w:t xml:space="preserve"> Rea” which means “Guilty Mind”.  Here it would make it easier for the judicial system to identify </w:t>
      </w:r>
      <w:proofErr w:type="gramStart"/>
      <w:r w:rsidRPr="001229C7">
        <w:rPr>
          <w:rFonts w:ascii="Times New Roman" w:hAnsi="Times New Roman" w:cs="Times New Roman"/>
          <w:sz w:val="24"/>
          <w:szCs w:val="24"/>
        </w:rPr>
        <w:t>on the basis of</w:t>
      </w:r>
      <w:proofErr w:type="gramEnd"/>
      <w:r w:rsidRPr="001229C7">
        <w:rPr>
          <w:rFonts w:ascii="Times New Roman" w:hAnsi="Times New Roman" w:cs="Times New Roman"/>
          <w:sz w:val="24"/>
          <w:szCs w:val="24"/>
        </w:rPr>
        <w:t xml:space="preserve"> “</w:t>
      </w:r>
      <w:proofErr w:type="spellStart"/>
      <w:r w:rsidRPr="001229C7">
        <w:rPr>
          <w:rFonts w:ascii="Times New Roman" w:hAnsi="Times New Roman" w:cs="Times New Roman"/>
          <w:sz w:val="24"/>
          <w:szCs w:val="24"/>
        </w:rPr>
        <w:t>Mens</w:t>
      </w:r>
      <w:proofErr w:type="spellEnd"/>
      <w:r w:rsidRPr="001229C7">
        <w:rPr>
          <w:rFonts w:ascii="Times New Roman" w:hAnsi="Times New Roman" w:cs="Times New Roman"/>
          <w:sz w:val="24"/>
          <w:szCs w:val="24"/>
        </w:rPr>
        <w:t xml:space="preserve"> Rea “that Hadley as a burglar has breached Ronan’s property (trespassed) with an intention of stealing knowingly that it’s Ronan’s house (building). To trespass on someone’s property as per section 9 of Theft Act 1968 is identified as burglary and trespassing on someone’s property with an intention of stealing is defined in s 9(1) (a) Theft Act 1968. Hadley is a trespasser with an intention of theft, as he did not have any permission or right to enter the building as per s 9(1) (a) Theft Act 1968. </w:t>
      </w:r>
    </w:p>
    <w:p w14:paraId="218A69BC" w14:textId="77777777" w:rsidR="00042EDF" w:rsidRPr="001229C7" w:rsidRDefault="00042EDF" w:rsidP="00042EDF">
      <w:pPr>
        <w:spacing w:after="0" w:line="360" w:lineRule="auto"/>
        <w:ind w:left="360"/>
        <w:jc w:val="both"/>
        <w:rPr>
          <w:rFonts w:ascii="Times New Roman" w:hAnsi="Times New Roman" w:cs="Times New Roman"/>
          <w:sz w:val="24"/>
          <w:szCs w:val="24"/>
        </w:rPr>
      </w:pPr>
      <w:r w:rsidRPr="001229C7">
        <w:rPr>
          <w:rFonts w:ascii="Times New Roman" w:hAnsi="Times New Roman" w:cs="Times New Roman"/>
          <w:sz w:val="24"/>
          <w:szCs w:val="24"/>
        </w:rPr>
        <w:t>As per section 1 of Theft Act 1968, any act in which, someone is being dishonestly appropriated, of his or her property belonging (explained in paragraph 4</w:t>
      </w:r>
      <w:proofErr w:type="gramStart"/>
      <w:r w:rsidRPr="001229C7">
        <w:rPr>
          <w:rFonts w:ascii="Times New Roman" w:hAnsi="Times New Roman" w:cs="Times New Roman"/>
          <w:sz w:val="24"/>
          <w:szCs w:val="24"/>
        </w:rPr>
        <w:t>)</w:t>
      </w:r>
      <w:proofErr w:type="gramEnd"/>
      <w:r w:rsidRPr="001229C7">
        <w:rPr>
          <w:rFonts w:ascii="Times New Roman" w:hAnsi="Times New Roman" w:cs="Times New Roman"/>
          <w:sz w:val="24"/>
          <w:szCs w:val="24"/>
        </w:rPr>
        <w:t xml:space="preserve"> and it is being done with an intention of permanently depriving the owner; here it is clear that Hadley got involved in the theft i.e. he entered Ronan’s property with an intention of permanently depriving him of his Bucci trainers. Though he did not remain successful in stealing trainers as he was not able to find these, he stole the “</w:t>
      </w:r>
      <w:proofErr w:type="spellStart"/>
      <w:r w:rsidRPr="001229C7">
        <w:rPr>
          <w:rFonts w:ascii="Times New Roman" w:hAnsi="Times New Roman" w:cs="Times New Roman"/>
          <w:sz w:val="24"/>
          <w:szCs w:val="24"/>
        </w:rPr>
        <w:t>Kolex</w:t>
      </w:r>
      <w:proofErr w:type="spellEnd"/>
      <w:r w:rsidRPr="001229C7">
        <w:rPr>
          <w:rFonts w:ascii="Times New Roman" w:hAnsi="Times New Roman" w:cs="Times New Roman"/>
          <w:sz w:val="24"/>
          <w:szCs w:val="24"/>
        </w:rPr>
        <w:t xml:space="preserve"> Watch” (his intention to steal the watch did not exist at the time of entering the property but his intention developed after seeing the watch); so as per section 1 of Theft Act 1968 (and the elements explained in it), Ronan is a thief (assumed rights of an owner which amounted to appropriation) and would be litigated accordingly in the court. Ronan’s </w:t>
      </w:r>
      <w:proofErr w:type="spellStart"/>
      <w:r w:rsidRPr="001229C7">
        <w:rPr>
          <w:rFonts w:ascii="Times New Roman" w:hAnsi="Times New Roman" w:cs="Times New Roman"/>
          <w:sz w:val="24"/>
          <w:szCs w:val="24"/>
        </w:rPr>
        <w:t>intentionto</w:t>
      </w:r>
      <w:proofErr w:type="spellEnd"/>
      <w:r w:rsidRPr="001229C7">
        <w:rPr>
          <w:rFonts w:ascii="Times New Roman" w:hAnsi="Times New Roman" w:cs="Times New Roman"/>
          <w:sz w:val="24"/>
          <w:szCs w:val="24"/>
        </w:rPr>
        <w:t xml:space="preserve"> set the house on fire with the After Shave (which he threw into the bin in the dressing room and set it on fire) and accidental destruction of the wooden bench in the back garden also fall in the category of appropriation (explained in paragraph 3). Here it is also significant to understand destroying property by setting it on fire is litigated as per Arson Laws in the UK (explained in paragraph 5)</w:t>
      </w:r>
    </w:p>
    <w:p w14:paraId="56071F12" w14:textId="77777777" w:rsidR="00042EDF" w:rsidRPr="001229C7" w:rsidRDefault="00042EDF" w:rsidP="00042EDF">
      <w:pPr>
        <w:spacing w:after="0" w:line="360" w:lineRule="auto"/>
        <w:ind w:left="360"/>
        <w:jc w:val="both"/>
        <w:rPr>
          <w:rFonts w:ascii="Times New Roman" w:hAnsi="Times New Roman" w:cs="Times New Roman"/>
          <w:sz w:val="24"/>
          <w:szCs w:val="24"/>
        </w:rPr>
      </w:pPr>
      <w:r w:rsidRPr="001229C7">
        <w:rPr>
          <w:rFonts w:ascii="Times New Roman" w:hAnsi="Times New Roman" w:cs="Times New Roman"/>
          <w:sz w:val="24"/>
          <w:szCs w:val="24"/>
        </w:rPr>
        <w:t xml:space="preserve">Hadley needs to understand that s (3)1 of the Theft Act 1968, defines appropriation as the assumption of a person of the rights of an owner; in the light of the McPherson [1973], the assumption of rights of an owner </w:t>
      </w:r>
      <w:proofErr w:type="gramStart"/>
      <w:r w:rsidRPr="001229C7">
        <w:rPr>
          <w:rFonts w:ascii="Times New Roman" w:hAnsi="Times New Roman" w:cs="Times New Roman"/>
          <w:sz w:val="24"/>
          <w:szCs w:val="24"/>
        </w:rPr>
        <w:t>include</w:t>
      </w:r>
      <w:proofErr w:type="gramEnd"/>
      <w:r w:rsidRPr="001229C7">
        <w:rPr>
          <w:rFonts w:ascii="Times New Roman" w:hAnsi="Times New Roman" w:cs="Times New Roman"/>
          <w:sz w:val="24"/>
          <w:szCs w:val="24"/>
        </w:rPr>
        <w:t xml:space="preserve">, to possess the property, to use it, to destroy it, consume it, give it away, lend it, move it and price it. Decisions taken in the cases Dip Kaur v Chief Constable for Hampshire [1981] and </w:t>
      </w:r>
      <w:proofErr w:type="spellStart"/>
      <w:r w:rsidRPr="001229C7">
        <w:rPr>
          <w:rFonts w:ascii="Times New Roman" w:hAnsi="Times New Roman" w:cs="Times New Roman"/>
          <w:sz w:val="24"/>
          <w:szCs w:val="24"/>
        </w:rPr>
        <w:t>Hircock</w:t>
      </w:r>
      <w:proofErr w:type="spellEnd"/>
      <w:r w:rsidRPr="001229C7">
        <w:rPr>
          <w:rFonts w:ascii="Times New Roman" w:hAnsi="Times New Roman" w:cs="Times New Roman"/>
          <w:sz w:val="24"/>
          <w:szCs w:val="24"/>
        </w:rPr>
        <w:t xml:space="preserve"> [1978] (in both of these cases the court was concerned, to not extend the Theft Act i.e. not charge those actions as theft </w:t>
      </w:r>
      <w:r w:rsidRPr="001229C7">
        <w:rPr>
          <w:rFonts w:ascii="Times New Roman" w:hAnsi="Times New Roman" w:cs="Times New Roman"/>
          <w:sz w:val="24"/>
          <w:szCs w:val="24"/>
        </w:rPr>
        <w:lastRenderedPageBreak/>
        <w:t xml:space="preserve">which a common person would not consider </w:t>
      </w:r>
      <w:r w:rsidRPr="001229C7">
        <w:rPr>
          <w:rFonts w:ascii="Times New Roman" w:hAnsi="Times New Roman" w:cs="Times New Roman"/>
          <w:sz w:val="24"/>
          <w:szCs w:val="24"/>
          <w:shd w:val="clear" w:color="auto" w:fill="FFFFFF"/>
        </w:rPr>
        <w:t>morally reprehensible)</w:t>
      </w:r>
      <w:r w:rsidRPr="001229C7">
        <w:rPr>
          <w:rFonts w:ascii="Times New Roman" w:hAnsi="Times New Roman" w:cs="Times New Roman"/>
          <w:sz w:val="24"/>
          <w:szCs w:val="24"/>
        </w:rPr>
        <w:t xml:space="preserve">, indicated at, that all the rights of the owner must be assumed as mentioned in the s(3)1 whereas decisions made in the Morris [1983]  indicate that only a right is sufficient to establish the theft ( In this case Morris was convicted for switching labels of products in the supermarket in order to buy these in low price; this conviction was done on the basis, that it is the right of the owner to sell products in his chosen price). </w:t>
      </w:r>
    </w:p>
    <w:p w14:paraId="6A3FE435" w14:textId="77777777" w:rsidR="00042EDF" w:rsidRPr="001229C7" w:rsidRDefault="00042EDF" w:rsidP="00042EDF">
      <w:pPr>
        <w:tabs>
          <w:tab w:val="left" w:pos="4170"/>
        </w:tabs>
        <w:spacing w:after="0" w:line="360" w:lineRule="auto"/>
        <w:ind w:left="360"/>
        <w:jc w:val="both"/>
        <w:rPr>
          <w:rFonts w:ascii="Times New Roman" w:hAnsi="Times New Roman" w:cs="Times New Roman"/>
          <w:sz w:val="24"/>
          <w:szCs w:val="24"/>
        </w:rPr>
      </w:pPr>
      <w:r w:rsidRPr="001229C7">
        <w:rPr>
          <w:rFonts w:ascii="Times New Roman" w:hAnsi="Times New Roman" w:cs="Times New Roman"/>
          <w:sz w:val="24"/>
          <w:szCs w:val="24"/>
        </w:rPr>
        <w:t xml:space="preserve">It is significant to understand the concept of belonging as per the UK law; as per Section 5(1) Theft Act 1968,  "property shall be regarded as belonging to any person having possession or control of it, or having in it any proprietary right or interest … “; the house Hadley trespassed is belonging of Ronan, the watch he has stolen is belonging of Ronan, the After Shave he destroyed by setting on fire is belonging of Ronan, the wooden bench is has broken while jumping into the backyard as a burglar is Ronan’s property as per law. </w:t>
      </w:r>
    </w:p>
    <w:p w14:paraId="3022A9F5" w14:textId="77777777" w:rsidR="00042EDF" w:rsidRPr="001229C7" w:rsidRDefault="00042EDF" w:rsidP="00042EDF">
      <w:pPr>
        <w:tabs>
          <w:tab w:val="left" w:pos="4170"/>
        </w:tabs>
        <w:spacing w:after="0" w:line="360" w:lineRule="auto"/>
        <w:ind w:left="360"/>
        <w:jc w:val="both"/>
        <w:rPr>
          <w:rFonts w:ascii="Times New Roman" w:hAnsi="Times New Roman" w:cs="Times New Roman"/>
          <w:sz w:val="24"/>
          <w:szCs w:val="24"/>
          <w:shd w:val="clear" w:color="auto" w:fill="FFFFFF"/>
        </w:rPr>
      </w:pPr>
      <w:r w:rsidRPr="001229C7">
        <w:rPr>
          <w:rFonts w:ascii="Times New Roman" w:hAnsi="Times New Roman" w:cs="Times New Roman"/>
          <w:sz w:val="24"/>
          <w:szCs w:val="24"/>
        </w:rPr>
        <w:t xml:space="preserve">As per s 1(3) of Criminal Damage Act 1971, if anyone’s property is destroyed by the fire should be charged as Arson. As per </w:t>
      </w:r>
      <w:r w:rsidRPr="001229C7">
        <w:rPr>
          <w:rStyle w:val="Emphasis"/>
          <w:rFonts w:ascii="Times New Roman" w:hAnsi="Times New Roman" w:cs="Times New Roman"/>
          <w:sz w:val="24"/>
          <w:szCs w:val="24"/>
          <w:shd w:val="clear" w:color="auto" w:fill="FFFFFF"/>
        </w:rPr>
        <w:t>R v Hoof</w:t>
      </w:r>
      <w:r w:rsidRPr="001229C7">
        <w:rPr>
          <w:rFonts w:ascii="Times New Roman" w:hAnsi="Times New Roman" w:cs="Times New Roman"/>
          <w:sz w:val="24"/>
          <w:szCs w:val="24"/>
          <w:shd w:val="clear" w:color="auto" w:fill="FFFFFF"/>
        </w:rPr>
        <w:t> (1981) 72 Cr App R 126 and </w:t>
      </w:r>
      <w:r w:rsidRPr="001229C7">
        <w:rPr>
          <w:rStyle w:val="Emphasis"/>
          <w:rFonts w:ascii="Times New Roman" w:hAnsi="Times New Roman" w:cs="Times New Roman"/>
          <w:sz w:val="24"/>
          <w:szCs w:val="24"/>
          <w:shd w:val="clear" w:color="auto" w:fill="FFFFFF"/>
        </w:rPr>
        <w:t>R v Hardie</w:t>
      </w:r>
      <w:r w:rsidRPr="001229C7">
        <w:rPr>
          <w:rFonts w:ascii="Times New Roman" w:hAnsi="Times New Roman" w:cs="Times New Roman"/>
          <w:sz w:val="24"/>
          <w:szCs w:val="24"/>
          <w:shd w:val="clear" w:color="auto" w:fill="FFFFFF"/>
        </w:rPr>
        <w:t xml:space="preserve"> (1984) 3 All ER 848 if the intention of recklessness is proven, it is charged is aggravated arson and aggravated criminal damage. </w:t>
      </w:r>
    </w:p>
    <w:p w14:paraId="3CDEFAA4" w14:textId="77777777" w:rsidR="00042EDF" w:rsidRDefault="00042EDF" w:rsidP="00042EDF">
      <w:pPr>
        <w:tabs>
          <w:tab w:val="left" w:pos="4170"/>
        </w:tabs>
        <w:spacing w:after="0" w:line="360" w:lineRule="auto"/>
        <w:ind w:left="360"/>
        <w:jc w:val="both"/>
        <w:rPr>
          <w:rFonts w:ascii="Times New Roman" w:hAnsi="Times New Roman" w:cs="Times New Roman"/>
          <w:sz w:val="24"/>
          <w:szCs w:val="24"/>
        </w:rPr>
      </w:pPr>
      <w:proofErr w:type="gramStart"/>
      <w:r w:rsidRPr="001229C7">
        <w:rPr>
          <w:rFonts w:ascii="Times New Roman" w:hAnsi="Times New Roman" w:cs="Times New Roman"/>
          <w:sz w:val="24"/>
          <w:szCs w:val="24"/>
          <w:shd w:val="clear" w:color="auto" w:fill="FFFFFF"/>
        </w:rPr>
        <w:t>So</w:t>
      </w:r>
      <w:proofErr w:type="gramEnd"/>
      <w:r w:rsidRPr="001229C7">
        <w:rPr>
          <w:rFonts w:ascii="Times New Roman" w:hAnsi="Times New Roman" w:cs="Times New Roman"/>
          <w:sz w:val="24"/>
          <w:szCs w:val="24"/>
          <w:shd w:val="clear" w:color="auto" w:fill="FFFFFF"/>
        </w:rPr>
        <w:t xml:space="preserve"> it is evidently established that Hadley, is criminally liable for Burglary i.e. trespassing on Ronan’s property despite knowing has not the right to do so with the intention of stealing Ronan’s belongings.  Hadley is criminally liable for stealing the “</w:t>
      </w:r>
      <w:proofErr w:type="spellStart"/>
      <w:proofErr w:type="gramStart"/>
      <w:r w:rsidRPr="001229C7">
        <w:rPr>
          <w:rFonts w:ascii="Times New Roman" w:hAnsi="Times New Roman" w:cs="Times New Roman"/>
          <w:sz w:val="24"/>
          <w:szCs w:val="24"/>
          <w:shd w:val="clear" w:color="auto" w:fill="FFFFFF"/>
        </w:rPr>
        <w:t>Kolex</w:t>
      </w:r>
      <w:proofErr w:type="spellEnd"/>
      <w:r w:rsidRPr="001229C7">
        <w:rPr>
          <w:rFonts w:ascii="Times New Roman" w:hAnsi="Times New Roman" w:cs="Times New Roman"/>
          <w:sz w:val="24"/>
          <w:szCs w:val="24"/>
          <w:shd w:val="clear" w:color="auto" w:fill="FFFFFF"/>
        </w:rPr>
        <w:t xml:space="preserve">  Watch</w:t>
      </w:r>
      <w:proofErr w:type="gramEnd"/>
      <w:r w:rsidRPr="001229C7">
        <w:rPr>
          <w:rFonts w:ascii="Times New Roman" w:hAnsi="Times New Roman" w:cs="Times New Roman"/>
          <w:sz w:val="24"/>
          <w:szCs w:val="24"/>
          <w:shd w:val="clear" w:color="auto" w:fill="FFFFFF"/>
        </w:rPr>
        <w:t xml:space="preserve">” and Breaking the Wooden bench as per </w:t>
      </w:r>
      <w:r w:rsidRPr="001229C7">
        <w:rPr>
          <w:rFonts w:ascii="Times New Roman" w:hAnsi="Times New Roman" w:cs="Times New Roman"/>
          <w:sz w:val="24"/>
          <w:szCs w:val="24"/>
        </w:rPr>
        <w:t xml:space="preserve">s (3)1 of the Theft Act 1968. </w:t>
      </w:r>
      <w:proofErr w:type="gramStart"/>
      <w:r w:rsidRPr="001229C7">
        <w:rPr>
          <w:rFonts w:ascii="Times New Roman" w:hAnsi="Times New Roman" w:cs="Times New Roman"/>
          <w:sz w:val="24"/>
          <w:szCs w:val="24"/>
        </w:rPr>
        <w:t>Whereas,</w:t>
      </w:r>
      <w:proofErr w:type="gramEnd"/>
      <w:r w:rsidRPr="001229C7">
        <w:rPr>
          <w:rFonts w:ascii="Times New Roman" w:hAnsi="Times New Roman" w:cs="Times New Roman"/>
          <w:sz w:val="24"/>
          <w:szCs w:val="24"/>
        </w:rPr>
        <w:t xml:space="preserve"> Hadley is criminally liable as per two different Acts to destroy Aftershave by setting it on fire i.e. Theft Act 1968 and s 1(3) of Criminal Damage Act 1971. </w:t>
      </w:r>
    </w:p>
    <w:p w14:paraId="130BBBBE" w14:textId="43B0108B" w:rsidR="00E003EC" w:rsidRDefault="00E003EC"/>
    <w:p w14:paraId="54777485" w14:textId="05BDEBDC" w:rsidR="00042EDF" w:rsidRDefault="00042EDF"/>
    <w:p w14:paraId="620E0CB8" w14:textId="500AD8B7" w:rsidR="00042EDF" w:rsidRDefault="00042EDF"/>
    <w:p w14:paraId="4B28D792" w14:textId="78E2D5E0" w:rsidR="00042EDF" w:rsidRDefault="00042EDF"/>
    <w:p w14:paraId="3133EA69" w14:textId="2FB497AF" w:rsidR="00042EDF" w:rsidRDefault="00042EDF"/>
    <w:p w14:paraId="3E2BF0BD" w14:textId="36BF462C" w:rsidR="00042EDF" w:rsidRDefault="00042EDF"/>
    <w:p w14:paraId="62F3D2B6" w14:textId="3EE769F5" w:rsidR="00042EDF" w:rsidRDefault="00042EDF"/>
    <w:p w14:paraId="4ED8ADAD" w14:textId="698B9F3C" w:rsidR="00042EDF" w:rsidRDefault="00042EDF"/>
    <w:p w14:paraId="2C68B563" w14:textId="480362B8" w:rsidR="00042EDF" w:rsidRDefault="00042EDF"/>
    <w:p w14:paraId="708D9F11" w14:textId="3BBFB78A" w:rsidR="00042EDF" w:rsidRDefault="00042EDF" w:rsidP="00042EDF">
      <w:pPr>
        <w:jc w:val="center"/>
        <w:rPr>
          <w:rFonts w:ascii="Times New Roman" w:hAnsi="Times New Roman" w:cs="Times New Roman"/>
          <w:b/>
          <w:bCs/>
          <w:sz w:val="32"/>
          <w:szCs w:val="32"/>
        </w:rPr>
      </w:pPr>
      <w:r w:rsidRPr="00042EDF">
        <w:rPr>
          <w:rFonts w:ascii="Times New Roman" w:hAnsi="Times New Roman" w:cs="Times New Roman"/>
          <w:b/>
          <w:bCs/>
          <w:sz w:val="32"/>
          <w:szCs w:val="32"/>
        </w:rPr>
        <w:lastRenderedPageBreak/>
        <w:t>Advice to Freya</w:t>
      </w:r>
    </w:p>
    <w:p w14:paraId="58D82E6D" w14:textId="77777777" w:rsidR="00042EDF" w:rsidRPr="001229C7" w:rsidRDefault="00042EDF" w:rsidP="00042EDF">
      <w:pPr>
        <w:tabs>
          <w:tab w:val="left" w:pos="4170"/>
        </w:tabs>
        <w:spacing w:after="0" w:line="360" w:lineRule="auto"/>
        <w:ind w:left="360"/>
        <w:jc w:val="both"/>
        <w:rPr>
          <w:rFonts w:ascii="Times New Roman" w:hAnsi="Times New Roman" w:cs="Times New Roman"/>
          <w:bCs/>
          <w:sz w:val="24"/>
          <w:szCs w:val="24"/>
        </w:rPr>
      </w:pPr>
      <w:r w:rsidRPr="001229C7">
        <w:rPr>
          <w:rFonts w:ascii="Times New Roman" w:hAnsi="Times New Roman" w:cs="Times New Roman"/>
          <w:sz w:val="24"/>
          <w:szCs w:val="24"/>
          <w:shd w:val="clear" w:color="auto" w:fill="FFFFFF"/>
        </w:rPr>
        <w:t xml:space="preserve">Freya as she is </w:t>
      </w:r>
      <w:r w:rsidRPr="001229C7">
        <w:rPr>
          <w:rFonts w:ascii="Times New Roman" w:hAnsi="Times New Roman" w:cs="Times New Roman"/>
          <w:bCs/>
          <w:sz w:val="24"/>
          <w:szCs w:val="24"/>
        </w:rPr>
        <w:t>being charged under s.47 Offences against the Person Act 1861 needs to understand that Intoxication which is not self-induced, could be used as a defense of Sane Automatism; Intoxication is when any individual’s mental state is impaired due to the consumption of drugs or alcohol.  If this intoxication is self-induced, it could not be used a defense to any crime, including act of battery. As per the UK law people are held liable for their intoxication and the action they perform while being self-intoxicated.</w:t>
      </w:r>
    </w:p>
    <w:p w14:paraId="7879E5F5" w14:textId="77777777" w:rsidR="00042EDF" w:rsidRPr="001229C7" w:rsidRDefault="00042EDF" w:rsidP="00042EDF">
      <w:pPr>
        <w:tabs>
          <w:tab w:val="left" w:pos="4170"/>
        </w:tabs>
        <w:spacing w:after="0" w:line="360" w:lineRule="auto"/>
        <w:ind w:left="360"/>
        <w:jc w:val="both"/>
        <w:rPr>
          <w:rFonts w:ascii="Times New Roman" w:hAnsi="Times New Roman" w:cs="Times New Roman"/>
          <w:bCs/>
          <w:sz w:val="24"/>
          <w:szCs w:val="24"/>
        </w:rPr>
      </w:pPr>
      <w:r w:rsidRPr="001229C7">
        <w:rPr>
          <w:rFonts w:ascii="Times New Roman" w:hAnsi="Times New Roman" w:cs="Times New Roman"/>
          <w:bCs/>
          <w:sz w:val="24"/>
          <w:szCs w:val="24"/>
        </w:rPr>
        <w:t xml:space="preserve">Here apparently in this case, Freya’s condition falls in the category of the defense of non-insane automatism.  As per law, non-insane automatism is defined as a state of unconscious in which certain involuntary actions are performed, </w:t>
      </w:r>
      <w:proofErr w:type="gramStart"/>
      <w:r w:rsidRPr="001229C7">
        <w:rPr>
          <w:rFonts w:ascii="Times New Roman" w:hAnsi="Times New Roman" w:cs="Times New Roman"/>
          <w:bCs/>
          <w:sz w:val="24"/>
          <w:szCs w:val="24"/>
        </w:rPr>
        <w:t>i.e.</w:t>
      </w:r>
      <w:proofErr w:type="gramEnd"/>
      <w:r w:rsidRPr="001229C7">
        <w:rPr>
          <w:rFonts w:ascii="Times New Roman" w:hAnsi="Times New Roman" w:cs="Times New Roman"/>
          <w:bCs/>
          <w:sz w:val="24"/>
          <w:szCs w:val="24"/>
        </w:rPr>
        <w:t xml:space="preserve"> the defendant is not conscious but in the position to perform certain actions like hitting others etc. (i.e. related to the actus reus of the offense). As per criminal code non-insane automatism is not a defense but it has been established through a few case laws that it could be used as a defense; along with stroke, hit/blow on the head, sleepwalking and any severe psychological trauma, the condition faced by Freya in this case </w:t>
      </w:r>
      <w:proofErr w:type="gramStart"/>
      <w:r w:rsidRPr="001229C7">
        <w:rPr>
          <w:rFonts w:ascii="Times New Roman" w:hAnsi="Times New Roman" w:cs="Times New Roman"/>
          <w:bCs/>
          <w:sz w:val="24"/>
          <w:szCs w:val="24"/>
        </w:rPr>
        <w:t>i.e.</w:t>
      </w:r>
      <w:proofErr w:type="gramEnd"/>
      <w:r w:rsidRPr="001229C7">
        <w:rPr>
          <w:rFonts w:ascii="Times New Roman" w:hAnsi="Times New Roman" w:cs="Times New Roman"/>
          <w:bCs/>
          <w:sz w:val="24"/>
          <w:szCs w:val="24"/>
        </w:rPr>
        <w:t xml:space="preserve"> seizure qualifies in the categories which can put someone in the state of automatism. </w:t>
      </w:r>
    </w:p>
    <w:p w14:paraId="7777EA73" w14:textId="77777777" w:rsidR="00042EDF" w:rsidRPr="001229C7" w:rsidRDefault="00042EDF" w:rsidP="00042EDF">
      <w:pPr>
        <w:tabs>
          <w:tab w:val="left" w:pos="4170"/>
        </w:tabs>
        <w:spacing w:after="0" w:line="360" w:lineRule="auto"/>
        <w:ind w:left="360"/>
        <w:jc w:val="both"/>
        <w:rPr>
          <w:rFonts w:ascii="Times New Roman" w:hAnsi="Times New Roman" w:cs="Times New Roman"/>
          <w:sz w:val="24"/>
          <w:szCs w:val="24"/>
        </w:rPr>
      </w:pPr>
      <w:r w:rsidRPr="001229C7">
        <w:rPr>
          <w:rFonts w:ascii="Times New Roman" w:hAnsi="Times New Roman" w:cs="Times New Roman"/>
          <w:bCs/>
          <w:sz w:val="24"/>
          <w:szCs w:val="24"/>
        </w:rPr>
        <w:t xml:space="preserve">But here it is needed to be understood by Freya like all other defenses, it is up to the accused to establish in the court whether the defense is valid or not. </w:t>
      </w:r>
      <w:proofErr w:type="gramStart"/>
      <w:r w:rsidRPr="001229C7">
        <w:rPr>
          <w:rFonts w:ascii="Times New Roman" w:hAnsi="Times New Roman" w:cs="Times New Roman"/>
          <w:bCs/>
          <w:sz w:val="24"/>
          <w:szCs w:val="24"/>
        </w:rPr>
        <w:t>In order to</w:t>
      </w:r>
      <w:proofErr w:type="gramEnd"/>
      <w:r w:rsidRPr="001229C7">
        <w:rPr>
          <w:rFonts w:ascii="Times New Roman" w:hAnsi="Times New Roman" w:cs="Times New Roman"/>
          <w:bCs/>
          <w:sz w:val="24"/>
          <w:szCs w:val="24"/>
        </w:rPr>
        <w:t xml:space="preserve"> prove automatism, Freya would require substantial pieces of evidence, including the testimony of an expert (doctor/</w:t>
      </w:r>
      <w:r w:rsidRPr="001229C7">
        <w:rPr>
          <w:rFonts w:ascii="Times New Roman" w:hAnsi="Times New Roman" w:cs="Times New Roman"/>
          <w:sz w:val="24"/>
          <w:szCs w:val="24"/>
          <w:shd w:val="clear" w:color="auto" w:fill="FFFFFF"/>
        </w:rPr>
        <w:t xml:space="preserve"> psychiatrist</w:t>
      </w:r>
      <w:r w:rsidRPr="001229C7">
        <w:rPr>
          <w:rFonts w:ascii="Times New Roman" w:hAnsi="Times New Roman" w:cs="Times New Roman"/>
          <w:bCs/>
          <w:sz w:val="24"/>
          <w:szCs w:val="24"/>
        </w:rPr>
        <w:t xml:space="preserve">). Here this fact is substantial too, the condition of Freya actually triggered due to the consumption of alcohol; to understand the defense of non-insane automatism case in focus is </w:t>
      </w:r>
      <w:hyperlink r:id="rId4" w:history="1">
        <w:r w:rsidRPr="001229C7">
          <w:rPr>
            <w:rStyle w:val="Hyperlink"/>
            <w:rFonts w:ascii="Times New Roman" w:hAnsi="Times New Roman" w:cs="Times New Roman"/>
            <w:color w:val="auto"/>
            <w:sz w:val="24"/>
            <w:szCs w:val="24"/>
            <w:u w:val="none"/>
          </w:rPr>
          <w:t>R v Quick</w:t>
        </w:r>
      </w:hyperlink>
      <w:r w:rsidRPr="001229C7">
        <w:rPr>
          <w:rFonts w:ascii="Times New Roman" w:hAnsi="Times New Roman" w:cs="Times New Roman"/>
          <w:sz w:val="24"/>
          <w:szCs w:val="24"/>
        </w:rPr>
        <w:t xml:space="preserve"> [1973] QB 910, according to the facts of this case the defendant was charged with assault, where he administered insulin but then consumed some drink and food which induced hyperglycemic condition in his blood. In this case, it was held by the court that an external factor caused the defendant’s condition so he could not be granted with sane-automatism defense but qualifies for non-insane automatism. </w:t>
      </w:r>
    </w:p>
    <w:p w14:paraId="4E6A471F" w14:textId="77777777" w:rsidR="00042EDF" w:rsidRPr="001229C7" w:rsidRDefault="00042EDF" w:rsidP="00042EDF">
      <w:pPr>
        <w:tabs>
          <w:tab w:val="left" w:pos="4170"/>
        </w:tabs>
        <w:spacing w:after="0" w:line="360" w:lineRule="auto"/>
        <w:ind w:left="360"/>
        <w:jc w:val="both"/>
        <w:rPr>
          <w:rFonts w:ascii="Times New Roman" w:hAnsi="Times New Roman" w:cs="Times New Roman"/>
          <w:sz w:val="24"/>
          <w:szCs w:val="24"/>
          <w:shd w:val="clear" w:color="auto" w:fill="FFFFFF"/>
        </w:rPr>
      </w:pPr>
      <w:r w:rsidRPr="001229C7">
        <w:rPr>
          <w:rFonts w:ascii="Times New Roman" w:hAnsi="Times New Roman" w:cs="Times New Roman"/>
          <w:sz w:val="24"/>
          <w:szCs w:val="24"/>
        </w:rPr>
        <w:t xml:space="preserve">Though here there are chances that as she was suffering episode of </w:t>
      </w:r>
      <w:proofErr w:type="gramStart"/>
      <w:r w:rsidRPr="001229C7">
        <w:rPr>
          <w:rFonts w:ascii="Times New Roman" w:hAnsi="Times New Roman" w:cs="Times New Roman"/>
          <w:sz w:val="24"/>
          <w:szCs w:val="24"/>
        </w:rPr>
        <w:t>epilepsy</w:t>
      </w:r>
      <w:proofErr w:type="gramEnd"/>
      <w:r w:rsidRPr="001229C7">
        <w:rPr>
          <w:rFonts w:ascii="Times New Roman" w:hAnsi="Times New Roman" w:cs="Times New Roman"/>
          <w:sz w:val="24"/>
          <w:szCs w:val="24"/>
        </w:rPr>
        <w:t xml:space="preserve"> she could be granted defense due to the disease of mind.  Here the case study of R v Sullivan [1984] AC 156 is very significant.  In this case, </w:t>
      </w:r>
      <w:r w:rsidRPr="001229C7">
        <w:rPr>
          <w:rFonts w:ascii="Times New Roman" w:hAnsi="Times New Roman" w:cs="Times New Roman"/>
          <w:sz w:val="24"/>
          <w:szCs w:val="24"/>
          <w:shd w:val="clear" w:color="auto" w:fill="FFFFFF"/>
        </w:rPr>
        <w:t>defendant was a psychomotor epilepsy patient and during his seizure, a victim was kicked by him in the head violently. As same as Freya he was charged with causing grievous bodily harm contrary to sections </w:t>
      </w:r>
      <w:r w:rsidRPr="001229C7">
        <w:rPr>
          <w:rStyle w:val="Strong"/>
          <w:rFonts w:ascii="Times New Roman" w:hAnsi="Times New Roman" w:cs="Times New Roman"/>
          <w:b w:val="0"/>
          <w:sz w:val="24"/>
          <w:szCs w:val="24"/>
          <w:shd w:val="clear" w:color="auto" w:fill="FFFFFF"/>
        </w:rPr>
        <w:t>18 and 20 of the Offences against the Person Act 1861. The main issue was whether epilepsy falls</w:t>
      </w:r>
      <w:r w:rsidRPr="001229C7">
        <w:rPr>
          <w:rStyle w:val="Strong"/>
          <w:rFonts w:ascii="Times New Roman" w:hAnsi="Times New Roman" w:cs="Times New Roman"/>
          <w:sz w:val="24"/>
          <w:szCs w:val="24"/>
          <w:shd w:val="clear" w:color="auto" w:fill="FFFFFF"/>
        </w:rPr>
        <w:t xml:space="preserve"> </w:t>
      </w:r>
      <w:r w:rsidRPr="001229C7">
        <w:rPr>
          <w:rFonts w:ascii="Times New Roman" w:hAnsi="Times New Roman" w:cs="Times New Roman"/>
          <w:sz w:val="24"/>
          <w:szCs w:val="24"/>
          <w:shd w:val="clear" w:color="auto" w:fill="FFFFFF"/>
        </w:rPr>
        <w:lastRenderedPageBreak/>
        <w:t>within the meaning of disease of mind as described in </w:t>
      </w:r>
      <w:hyperlink r:id="rId5" w:history="1">
        <w:r w:rsidRPr="001229C7">
          <w:rPr>
            <w:rStyle w:val="Emphasis"/>
            <w:rFonts w:ascii="Times New Roman" w:hAnsi="Times New Roman" w:cs="Times New Roman"/>
            <w:sz w:val="24"/>
            <w:szCs w:val="24"/>
            <w:shd w:val="clear" w:color="auto" w:fill="FFFFFF"/>
          </w:rPr>
          <w:t xml:space="preserve">R v </w:t>
        </w:r>
        <w:proofErr w:type="spellStart"/>
        <w:r w:rsidRPr="001229C7">
          <w:rPr>
            <w:rStyle w:val="Emphasis"/>
            <w:rFonts w:ascii="Times New Roman" w:hAnsi="Times New Roman" w:cs="Times New Roman"/>
            <w:sz w:val="24"/>
            <w:szCs w:val="24"/>
            <w:shd w:val="clear" w:color="auto" w:fill="FFFFFF"/>
          </w:rPr>
          <w:t>M’Naghten</w:t>
        </w:r>
        <w:proofErr w:type="spellEnd"/>
        <w:r w:rsidRPr="001229C7">
          <w:rPr>
            <w:rStyle w:val="Hyperlink"/>
            <w:rFonts w:ascii="Times New Roman" w:hAnsi="Times New Roman" w:cs="Times New Roman"/>
            <w:color w:val="auto"/>
            <w:sz w:val="24"/>
            <w:szCs w:val="24"/>
            <w:u w:val="none"/>
            <w:shd w:val="clear" w:color="auto" w:fill="FFFFFF"/>
          </w:rPr>
          <w:t> (1843) 8 ER 718</w:t>
        </w:r>
      </w:hyperlink>
      <w:r w:rsidRPr="001229C7">
        <w:rPr>
          <w:rStyle w:val="Emphasis"/>
          <w:rFonts w:ascii="Times New Roman" w:hAnsi="Times New Roman" w:cs="Times New Roman"/>
          <w:sz w:val="24"/>
          <w:szCs w:val="24"/>
          <w:shd w:val="clear" w:color="auto" w:fill="FFFFFF"/>
        </w:rPr>
        <w:t xml:space="preserve">  </w:t>
      </w:r>
      <w:r w:rsidRPr="001229C7">
        <w:rPr>
          <w:rStyle w:val="Emphasis"/>
          <w:rFonts w:ascii="Times New Roman" w:hAnsi="Times New Roman" w:cs="Times New Roman"/>
          <w:i w:val="0"/>
          <w:sz w:val="24"/>
          <w:szCs w:val="24"/>
          <w:shd w:val="clear" w:color="auto" w:fill="FFFFFF"/>
        </w:rPr>
        <w:t>and is insanity a right defense or not</w:t>
      </w:r>
      <w:r w:rsidRPr="001229C7">
        <w:rPr>
          <w:rStyle w:val="Emphasis"/>
          <w:rFonts w:ascii="Times New Roman" w:hAnsi="Times New Roman" w:cs="Times New Roman"/>
          <w:sz w:val="24"/>
          <w:szCs w:val="24"/>
          <w:shd w:val="clear" w:color="auto" w:fill="FFFFFF"/>
        </w:rPr>
        <w:t xml:space="preserve">. </w:t>
      </w:r>
      <w:r w:rsidRPr="001229C7">
        <w:rPr>
          <w:rStyle w:val="Strong"/>
          <w:rFonts w:ascii="Times New Roman" w:hAnsi="Times New Roman" w:cs="Times New Roman"/>
          <w:b w:val="0"/>
          <w:sz w:val="24"/>
          <w:szCs w:val="24"/>
          <w:shd w:val="clear" w:color="auto" w:fill="FFFFFF"/>
        </w:rPr>
        <w:t>In this case the court decided that the epilepsy</w:t>
      </w:r>
      <w:r w:rsidRPr="001229C7">
        <w:rPr>
          <w:rStyle w:val="Strong"/>
          <w:rFonts w:ascii="Times New Roman" w:hAnsi="Times New Roman" w:cs="Times New Roman"/>
          <w:sz w:val="24"/>
          <w:szCs w:val="24"/>
          <w:shd w:val="clear" w:color="auto" w:fill="FFFFFF"/>
        </w:rPr>
        <w:t xml:space="preserve"> is </w:t>
      </w:r>
      <w:r w:rsidRPr="001229C7">
        <w:rPr>
          <w:rFonts w:ascii="Times New Roman" w:hAnsi="Times New Roman" w:cs="Times New Roman"/>
          <w:sz w:val="24"/>
          <w:szCs w:val="24"/>
          <w:shd w:val="clear" w:color="auto" w:fill="FFFFFF"/>
        </w:rPr>
        <w:t xml:space="preserve">a disease of mind, as the trial judge assessed and correct defense which applies is of insanity. In this case it was described that epilepsy could not be caused by or influenced by any external factors and it is a mental illness which impacts the brain. </w:t>
      </w:r>
    </w:p>
    <w:p w14:paraId="5E374827" w14:textId="77777777" w:rsidR="00042EDF" w:rsidRPr="001229C7" w:rsidRDefault="00042EDF" w:rsidP="00042EDF">
      <w:pPr>
        <w:tabs>
          <w:tab w:val="left" w:pos="4170"/>
        </w:tabs>
        <w:spacing w:after="0" w:line="360" w:lineRule="auto"/>
        <w:ind w:left="360"/>
        <w:jc w:val="both"/>
        <w:rPr>
          <w:rFonts w:ascii="Times New Roman" w:hAnsi="Times New Roman" w:cs="Times New Roman"/>
          <w:sz w:val="24"/>
          <w:szCs w:val="24"/>
        </w:rPr>
      </w:pPr>
      <w:r w:rsidRPr="001229C7">
        <w:rPr>
          <w:rFonts w:ascii="Times New Roman" w:hAnsi="Times New Roman" w:cs="Times New Roman"/>
          <w:sz w:val="24"/>
          <w:szCs w:val="24"/>
          <w:shd w:val="clear" w:color="auto" w:fill="FFFFFF"/>
        </w:rPr>
        <w:t xml:space="preserve">Now here ,if Freya would be able to establish in the court that her medical condition i.e. sudden attack of epilepsy (after 10 years) and period of seizure in which she hit the victim, was not influenced by any external factor (as it apparently seems that her condition was triggered by consumption of alcohol) and qualifies as internal mental sickness as defined in the </w:t>
      </w:r>
      <w:r w:rsidRPr="001229C7">
        <w:rPr>
          <w:rFonts w:ascii="Times New Roman" w:hAnsi="Times New Roman" w:cs="Times New Roman"/>
          <w:sz w:val="24"/>
          <w:szCs w:val="24"/>
        </w:rPr>
        <w:t xml:space="preserve">R v Sullivan [1984] AC 156 and </w:t>
      </w:r>
      <w:hyperlink r:id="rId6" w:history="1">
        <w:r w:rsidRPr="001229C7">
          <w:rPr>
            <w:rStyle w:val="Emphasis"/>
            <w:rFonts w:ascii="Times New Roman" w:hAnsi="Times New Roman" w:cs="Times New Roman"/>
            <w:sz w:val="24"/>
            <w:szCs w:val="24"/>
            <w:shd w:val="clear" w:color="auto" w:fill="FFFFFF"/>
          </w:rPr>
          <w:t xml:space="preserve">R v </w:t>
        </w:r>
        <w:proofErr w:type="spellStart"/>
        <w:r w:rsidRPr="001229C7">
          <w:rPr>
            <w:rStyle w:val="Emphasis"/>
            <w:rFonts w:ascii="Times New Roman" w:hAnsi="Times New Roman" w:cs="Times New Roman"/>
            <w:sz w:val="24"/>
            <w:szCs w:val="24"/>
            <w:shd w:val="clear" w:color="auto" w:fill="FFFFFF"/>
          </w:rPr>
          <w:t>M’Naghten</w:t>
        </w:r>
        <w:proofErr w:type="spellEnd"/>
        <w:r w:rsidRPr="001229C7">
          <w:rPr>
            <w:rStyle w:val="Hyperlink"/>
            <w:rFonts w:ascii="Times New Roman" w:hAnsi="Times New Roman" w:cs="Times New Roman"/>
            <w:color w:val="auto"/>
            <w:sz w:val="24"/>
            <w:szCs w:val="24"/>
            <w:u w:val="none"/>
            <w:shd w:val="clear" w:color="auto" w:fill="FFFFFF"/>
          </w:rPr>
          <w:t> (1843) 8 ER 718</w:t>
        </w:r>
      </w:hyperlink>
      <w:r w:rsidRPr="001229C7">
        <w:rPr>
          <w:rFonts w:ascii="Times New Roman" w:hAnsi="Times New Roman" w:cs="Times New Roman"/>
          <w:sz w:val="24"/>
          <w:szCs w:val="24"/>
        </w:rPr>
        <w:t xml:space="preserve">, there is a chance that she would be granted defense. But if it would be established in the court by the claimant that her condition was triggered due to excessive alcohol consumption and any external factor was involved in it, so she would not be granted with a defense of non-insane automatism (as intoxication due to alcohol or drug </w:t>
      </w:r>
      <w:proofErr w:type="gramStart"/>
      <w:r w:rsidRPr="001229C7">
        <w:rPr>
          <w:rFonts w:ascii="Times New Roman" w:hAnsi="Times New Roman" w:cs="Times New Roman"/>
          <w:sz w:val="24"/>
          <w:szCs w:val="24"/>
        </w:rPr>
        <w:t>lead</w:t>
      </w:r>
      <w:proofErr w:type="gramEnd"/>
      <w:r w:rsidRPr="001229C7">
        <w:rPr>
          <w:rFonts w:ascii="Times New Roman" w:hAnsi="Times New Roman" w:cs="Times New Roman"/>
          <w:sz w:val="24"/>
          <w:szCs w:val="24"/>
        </w:rPr>
        <w:t xml:space="preserve"> to the criminal liability of any offenses performed during that period of intoxication. </w:t>
      </w:r>
    </w:p>
    <w:p w14:paraId="48A041B7" w14:textId="77777777" w:rsidR="00042EDF" w:rsidRPr="00042EDF" w:rsidRDefault="00042EDF" w:rsidP="00042EDF">
      <w:pPr>
        <w:jc w:val="center"/>
        <w:rPr>
          <w:rFonts w:ascii="Times New Roman" w:hAnsi="Times New Roman" w:cs="Times New Roman"/>
          <w:b/>
          <w:bCs/>
          <w:sz w:val="32"/>
          <w:szCs w:val="32"/>
        </w:rPr>
      </w:pPr>
    </w:p>
    <w:p w14:paraId="241E7981" w14:textId="40281F82" w:rsidR="00042EDF" w:rsidRDefault="00042EDF"/>
    <w:p w14:paraId="5E4D894E" w14:textId="5F994F53" w:rsidR="00042EDF" w:rsidRDefault="00042EDF"/>
    <w:p w14:paraId="178502C3" w14:textId="64C7C3FC" w:rsidR="00042EDF" w:rsidRDefault="00042EDF"/>
    <w:p w14:paraId="5EB68FE2" w14:textId="1CBABC2D" w:rsidR="00042EDF" w:rsidRDefault="00042EDF"/>
    <w:p w14:paraId="42D1D37A" w14:textId="06AAD3F4" w:rsidR="00042EDF" w:rsidRDefault="00042EDF"/>
    <w:p w14:paraId="6291E8F1" w14:textId="12A25353" w:rsidR="00042EDF" w:rsidRDefault="00042EDF"/>
    <w:p w14:paraId="78634E99" w14:textId="44F0F809" w:rsidR="00042EDF" w:rsidRDefault="00042EDF"/>
    <w:p w14:paraId="6B684603" w14:textId="1A52CBA4" w:rsidR="00042EDF" w:rsidRDefault="00042EDF"/>
    <w:p w14:paraId="755B1171" w14:textId="41B9051A" w:rsidR="00042EDF" w:rsidRDefault="00042EDF"/>
    <w:p w14:paraId="72058365" w14:textId="588EA86F" w:rsidR="00042EDF" w:rsidRDefault="00042EDF"/>
    <w:p w14:paraId="73E09625" w14:textId="09ECF1E5" w:rsidR="00042EDF" w:rsidRDefault="00042EDF"/>
    <w:p w14:paraId="620899C2" w14:textId="7EFF90D2" w:rsidR="00042EDF" w:rsidRDefault="00042EDF"/>
    <w:p w14:paraId="2D63D754" w14:textId="6A4881E9" w:rsidR="00042EDF" w:rsidRDefault="00042EDF"/>
    <w:p w14:paraId="7AACC406" w14:textId="50E90819" w:rsidR="00042EDF" w:rsidRDefault="00042EDF"/>
    <w:p w14:paraId="4174363C" w14:textId="2C3F6978" w:rsidR="00042EDF" w:rsidRPr="00042EDF" w:rsidRDefault="00042EDF" w:rsidP="00042EDF">
      <w:pPr>
        <w:tabs>
          <w:tab w:val="left" w:pos="4170"/>
        </w:tabs>
        <w:spacing w:after="0" w:line="360" w:lineRule="auto"/>
        <w:jc w:val="both"/>
        <w:rPr>
          <w:rFonts w:ascii="Times New Roman" w:hAnsi="Times New Roman" w:cs="Times New Roman"/>
          <w:b/>
          <w:bCs/>
          <w:sz w:val="28"/>
          <w:szCs w:val="28"/>
        </w:rPr>
      </w:pPr>
      <w:r w:rsidRPr="00042EDF">
        <w:rPr>
          <w:rFonts w:ascii="Times New Roman" w:hAnsi="Times New Roman" w:cs="Times New Roman"/>
          <w:b/>
          <w:bCs/>
          <w:sz w:val="28"/>
          <w:szCs w:val="28"/>
        </w:rPr>
        <w:lastRenderedPageBreak/>
        <w:t>References</w:t>
      </w:r>
    </w:p>
    <w:p w14:paraId="2AC17863" w14:textId="77777777" w:rsidR="00042EDF" w:rsidRDefault="00042EDF" w:rsidP="00042EDF">
      <w:pPr>
        <w:tabs>
          <w:tab w:val="left" w:pos="4170"/>
        </w:tabs>
        <w:spacing w:after="0" w:line="360" w:lineRule="auto"/>
        <w:jc w:val="both"/>
        <w:rPr>
          <w:rFonts w:ascii="Times New Roman" w:hAnsi="Times New Roman" w:cs="Times New Roman"/>
          <w:sz w:val="24"/>
          <w:szCs w:val="24"/>
        </w:rPr>
      </w:pPr>
    </w:p>
    <w:p w14:paraId="6C8D84F6" w14:textId="225179FC" w:rsidR="00042EDF" w:rsidRDefault="00042EDF" w:rsidP="00042EDF">
      <w:pPr>
        <w:tabs>
          <w:tab w:val="left" w:pos="4170"/>
        </w:tabs>
        <w:spacing w:after="0" w:line="360" w:lineRule="auto"/>
        <w:jc w:val="both"/>
        <w:rPr>
          <w:rFonts w:ascii="Times New Roman" w:hAnsi="Times New Roman" w:cs="Times New Roman"/>
          <w:sz w:val="24"/>
          <w:szCs w:val="24"/>
        </w:rPr>
      </w:pPr>
      <w:r w:rsidRPr="001B55DE">
        <w:rPr>
          <w:rFonts w:ascii="Times New Roman" w:hAnsi="Times New Roman" w:cs="Times New Roman"/>
          <w:sz w:val="24"/>
          <w:szCs w:val="24"/>
        </w:rPr>
        <w:t>Criminal Damage Act 1971</w:t>
      </w:r>
    </w:p>
    <w:p w14:paraId="0C32B9BF" w14:textId="77777777" w:rsidR="00042EDF" w:rsidRDefault="00042EDF" w:rsidP="00042EDF">
      <w:pPr>
        <w:tabs>
          <w:tab w:val="left" w:pos="4170"/>
        </w:tabs>
        <w:spacing w:after="0" w:line="360" w:lineRule="auto"/>
        <w:jc w:val="both"/>
        <w:rPr>
          <w:rFonts w:ascii="Times New Roman" w:hAnsi="Times New Roman" w:cs="Times New Roman"/>
          <w:sz w:val="24"/>
          <w:szCs w:val="24"/>
        </w:rPr>
      </w:pPr>
      <w:r w:rsidRPr="001B55DE">
        <w:rPr>
          <w:rFonts w:ascii="Times New Roman" w:hAnsi="Times New Roman" w:cs="Times New Roman"/>
          <w:sz w:val="24"/>
          <w:szCs w:val="24"/>
        </w:rPr>
        <w:t>Dip Kaur v Chief Constable for Hampshire [1981]</w:t>
      </w:r>
    </w:p>
    <w:p w14:paraId="110C88EA" w14:textId="77777777" w:rsidR="00042EDF" w:rsidRDefault="00042EDF" w:rsidP="00042EDF">
      <w:pPr>
        <w:tabs>
          <w:tab w:val="left" w:pos="4170"/>
        </w:tabs>
        <w:spacing w:after="0" w:line="360" w:lineRule="auto"/>
        <w:jc w:val="both"/>
        <w:rPr>
          <w:rFonts w:ascii="Times New Roman" w:hAnsi="Times New Roman" w:cs="Times New Roman"/>
          <w:sz w:val="24"/>
          <w:szCs w:val="24"/>
        </w:rPr>
      </w:pPr>
      <w:proofErr w:type="spellStart"/>
      <w:r w:rsidRPr="001B55DE">
        <w:rPr>
          <w:rFonts w:ascii="Times New Roman" w:hAnsi="Times New Roman" w:cs="Times New Roman"/>
          <w:sz w:val="24"/>
          <w:szCs w:val="24"/>
        </w:rPr>
        <w:t>Hircock</w:t>
      </w:r>
      <w:proofErr w:type="spellEnd"/>
      <w:r w:rsidRPr="001B55DE">
        <w:rPr>
          <w:rFonts w:ascii="Times New Roman" w:hAnsi="Times New Roman" w:cs="Times New Roman"/>
          <w:sz w:val="24"/>
          <w:szCs w:val="24"/>
        </w:rPr>
        <w:t xml:space="preserve"> [1978]</w:t>
      </w:r>
    </w:p>
    <w:p w14:paraId="28ED3926" w14:textId="77777777" w:rsidR="00042EDF" w:rsidRDefault="00042EDF" w:rsidP="00042EDF">
      <w:pPr>
        <w:tabs>
          <w:tab w:val="left" w:pos="4170"/>
        </w:tabs>
        <w:spacing w:after="0" w:line="360" w:lineRule="auto"/>
        <w:jc w:val="both"/>
        <w:rPr>
          <w:rFonts w:ascii="Times New Roman" w:hAnsi="Times New Roman" w:cs="Times New Roman"/>
          <w:sz w:val="24"/>
          <w:szCs w:val="24"/>
        </w:rPr>
      </w:pPr>
      <w:r w:rsidRPr="001B55DE">
        <w:rPr>
          <w:rFonts w:ascii="Times New Roman" w:hAnsi="Times New Roman" w:cs="Times New Roman"/>
          <w:sz w:val="24"/>
          <w:szCs w:val="24"/>
        </w:rPr>
        <w:t>McPherson [1973]</w:t>
      </w:r>
    </w:p>
    <w:p w14:paraId="2FB62CDD" w14:textId="77777777" w:rsidR="00042EDF" w:rsidRDefault="00042EDF" w:rsidP="00042EDF">
      <w:pPr>
        <w:tabs>
          <w:tab w:val="left" w:pos="4170"/>
        </w:tabs>
        <w:spacing w:after="0" w:line="360" w:lineRule="auto"/>
        <w:jc w:val="both"/>
        <w:rPr>
          <w:rFonts w:ascii="Times New Roman" w:hAnsi="Times New Roman" w:cs="Times New Roman"/>
          <w:sz w:val="24"/>
          <w:szCs w:val="24"/>
        </w:rPr>
      </w:pPr>
      <w:r>
        <w:rPr>
          <w:rFonts w:ascii="Times New Roman" w:hAnsi="Times New Roman" w:cs="Times New Roman"/>
          <w:sz w:val="24"/>
          <w:szCs w:val="24"/>
        </w:rPr>
        <w:t>Morris [1983]</w:t>
      </w:r>
    </w:p>
    <w:p w14:paraId="7AE3EDC1" w14:textId="77777777" w:rsidR="00042EDF" w:rsidRDefault="00042EDF" w:rsidP="00042EDF">
      <w:pPr>
        <w:tabs>
          <w:tab w:val="left" w:pos="4170"/>
        </w:tabs>
        <w:spacing w:after="0" w:line="360" w:lineRule="auto"/>
        <w:jc w:val="both"/>
        <w:rPr>
          <w:rFonts w:ascii="Times New Roman" w:hAnsi="Times New Roman" w:cs="Times New Roman"/>
          <w:sz w:val="24"/>
          <w:szCs w:val="24"/>
          <w:shd w:val="clear" w:color="auto" w:fill="FFFFFF"/>
        </w:rPr>
      </w:pPr>
      <w:r w:rsidRPr="001B55DE">
        <w:rPr>
          <w:rStyle w:val="Emphasis"/>
          <w:rFonts w:ascii="Times New Roman" w:hAnsi="Times New Roman" w:cs="Times New Roman"/>
          <w:sz w:val="24"/>
          <w:szCs w:val="24"/>
          <w:shd w:val="clear" w:color="auto" w:fill="FFFFFF"/>
        </w:rPr>
        <w:t>R v Hardie</w:t>
      </w:r>
      <w:r w:rsidRPr="001B55DE">
        <w:rPr>
          <w:rFonts w:ascii="Times New Roman" w:hAnsi="Times New Roman" w:cs="Times New Roman"/>
          <w:sz w:val="24"/>
          <w:szCs w:val="24"/>
          <w:shd w:val="clear" w:color="auto" w:fill="FFFFFF"/>
        </w:rPr>
        <w:t> (1984) 3 All ER 848</w:t>
      </w:r>
    </w:p>
    <w:p w14:paraId="1524EC4B" w14:textId="77777777" w:rsidR="00042EDF" w:rsidRDefault="00042EDF" w:rsidP="00042EDF">
      <w:pPr>
        <w:tabs>
          <w:tab w:val="left" w:pos="4170"/>
        </w:tabs>
        <w:spacing w:after="0" w:line="360" w:lineRule="auto"/>
        <w:jc w:val="both"/>
        <w:rPr>
          <w:rFonts w:ascii="Times New Roman" w:hAnsi="Times New Roman" w:cs="Times New Roman"/>
          <w:sz w:val="24"/>
          <w:szCs w:val="24"/>
          <w:shd w:val="clear" w:color="auto" w:fill="FFFFFF"/>
        </w:rPr>
      </w:pPr>
      <w:r w:rsidRPr="001B55DE">
        <w:rPr>
          <w:rStyle w:val="Emphasis"/>
          <w:rFonts w:ascii="Times New Roman" w:hAnsi="Times New Roman" w:cs="Times New Roman"/>
          <w:sz w:val="24"/>
          <w:szCs w:val="24"/>
          <w:shd w:val="clear" w:color="auto" w:fill="FFFFFF"/>
        </w:rPr>
        <w:t>R v Hoof</w:t>
      </w:r>
      <w:r w:rsidRPr="001B55DE">
        <w:rPr>
          <w:rFonts w:ascii="Times New Roman" w:hAnsi="Times New Roman" w:cs="Times New Roman"/>
          <w:sz w:val="24"/>
          <w:szCs w:val="24"/>
          <w:shd w:val="clear" w:color="auto" w:fill="FFFFFF"/>
        </w:rPr>
        <w:t> (1981) 72 Cr App R 126</w:t>
      </w:r>
    </w:p>
    <w:p w14:paraId="4489B15E" w14:textId="77777777" w:rsidR="00042EDF" w:rsidRPr="003D0FDC" w:rsidRDefault="00042EDF" w:rsidP="00042EDF">
      <w:pPr>
        <w:tabs>
          <w:tab w:val="left" w:pos="4170"/>
        </w:tabs>
        <w:spacing w:after="0" w:line="360" w:lineRule="auto"/>
        <w:jc w:val="both"/>
      </w:pPr>
      <w:hyperlink r:id="rId7" w:history="1">
        <w:r w:rsidRPr="003D0FDC">
          <w:rPr>
            <w:rStyle w:val="Emphasis"/>
            <w:rFonts w:ascii="Times New Roman" w:hAnsi="Times New Roman" w:cs="Times New Roman"/>
            <w:sz w:val="24"/>
            <w:szCs w:val="24"/>
            <w:shd w:val="clear" w:color="auto" w:fill="FFFFFF"/>
          </w:rPr>
          <w:t xml:space="preserve">R v </w:t>
        </w:r>
        <w:proofErr w:type="spellStart"/>
        <w:r w:rsidRPr="003D0FDC">
          <w:rPr>
            <w:rStyle w:val="Emphasis"/>
            <w:rFonts w:ascii="Times New Roman" w:hAnsi="Times New Roman" w:cs="Times New Roman"/>
            <w:sz w:val="24"/>
            <w:szCs w:val="24"/>
            <w:shd w:val="clear" w:color="auto" w:fill="FFFFFF"/>
          </w:rPr>
          <w:t>M’Naghten</w:t>
        </w:r>
        <w:proofErr w:type="spellEnd"/>
        <w:r w:rsidRPr="003D0FDC">
          <w:rPr>
            <w:rStyle w:val="Hyperlink"/>
            <w:rFonts w:ascii="Times New Roman" w:hAnsi="Times New Roman" w:cs="Times New Roman"/>
            <w:color w:val="auto"/>
            <w:sz w:val="24"/>
            <w:szCs w:val="24"/>
            <w:u w:val="none"/>
            <w:shd w:val="clear" w:color="auto" w:fill="FFFFFF"/>
          </w:rPr>
          <w:t> (1843) 8 ER 718</w:t>
        </w:r>
      </w:hyperlink>
    </w:p>
    <w:p w14:paraId="71663EDC" w14:textId="77777777" w:rsidR="00042EDF" w:rsidRDefault="00042EDF" w:rsidP="00042EDF">
      <w:pPr>
        <w:tabs>
          <w:tab w:val="left" w:pos="4170"/>
        </w:tabs>
        <w:spacing w:after="0" w:line="360" w:lineRule="auto"/>
        <w:jc w:val="both"/>
        <w:rPr>
          <w:rFonts w:ascii="Times New Roman" w:hAnsi="Times New Roman" w:cs="Times New Roman"/>
          <w:sz w:val="24"/>
          <w:szCs w:val="24"/>
        </w:rPr>
      </w:pPr>
      <w:hyperlink r:id="rId8" w:history="1">
        <w:r w:rsidRPr="003D0FDC">
          <w:rPr>
            <w:rStyle w:val="Hyperlink"/>
            <w:rFonts w:ascii="Times New Roman" w:hAnsi="Times New Roman" w:cs="Times New Roman"/>
            <w:color w:val="auto"/>
            <w:sz w:val="24"/>
            <w:szCs w:val="24"/>
            <w:u w:val="none"/>
          </w:rPr>
          <w:t>R v Quick</w:t>
        </w:r>
      </w:hyperlink>
      <w:r w:rsidRPr="003D0FDC">
        <w:rPr>
          <w:rFonts w:ascii="Times New Roman" w:hAnsi="Times New Roman" w:cs="Times New Roman"/>
          <w:sz w:val="24"/>
          <w:szCs w:val="24"/>
        </w:rPr>
        <w:t> </w:t>
      </w:r>
      <w:r w:rsidRPr="001B55DE">
        <w:rPr>
          <w:rFonts w:ascii="Times New Roman" w:hAnsi="Times New Roman" w:cs="Times New Roman"/>
          <w:sz w:val="24"/>
          <w:szCs w:val="24"/>
        </w:rPr>
        <w:t>[1973] QB 910</w:t>
      </w:r>
    </w:p>
    <w:p w14:paraId="7A866458" w14:textId="77777777" w:rsidR="00042EDF" w:rsidRDefault="00042EDF" w:rsidP="00042EDF">
      <w:pPr>
        <w:tabs>
          <w:tab w:val="left" w:pos="4170"/>
        </w:tabs>
        <w:spacing w:after="0" w:line="360" w:lineRule="auto"/>
        <w:jc w:val="both"/>
        <w:rPr>
          <w:rFonts w:ascii="Times New Roman" w:hAnsi="Times New Roman" w:cs="Times New Roman"/>
          <w:sz w:val="24"/>
          <w:szCs w:val="24"/>
        </w:rPr>
      </w:pPr>
      <w:r w:rsidRPr="001B55DE">
        <w:rPr>
          <w:rFonts w:ascii="Times New Roman" w:hAnsi="Times New Roman" w:cs="Times New Roman"/>
          <w:sz w:val="24"/>
          <w:szCs w:val="24"/>
        </w:rPr>
        <w:t>R v Sullivan [1984] AC 156</w:t>
      </w:r>
    </w:p>
    <w:p w14:paraId="10C48FDD" w14:textId="77777777" w:rsidR="00042EDF" w:rsidRPr="003D0FDC" w:rsidRDefault="00042EDF" w:rsidP="00042EDF">
      <w:pPr>
        <w:tabs>
          <w:tab w:val="left" w:pos="4170"/>
        </w:tabs>
        <w:spacing w:after="0" w:line="360" w:lineRule="auto"/>
        <w:jc w:val="both"/>
        <w:rPr>
          <w:rFonts w:ascii="Times New Roman" w:hAnsi="Times New Roman" w:cs="Times New Roman"/>
          <w:sz w:val="24"/>
          <w:szCs w:val="24"/>
          <w:shd w:val="clear" w:color="auto" w:fill="FFFFFF"/>
        </w:rPr>
      </w:pPr>
      <w:r w:rsidRPr="001B55DE">
        <w:rPr>
          <w:rFonts w:ascii="Times New Roman" w:hAnsi="Times New Roman" w:cs="Times New Roman"/>
          <w:sz w:val="24"/>
          <w:szCs w:val="24"/>
        </w:rPr>
        <w:t>Theft Act 1968</w:t>
      </w:r>
    </w:p>
    <w:p w14:paraId="3FB34E08" w14:textId="77777777" w:rsidR="00042EDF" w:rsidRDefault="00042EDF"/>
    <w:sectPr w:rsidR="00042E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2"/>
    <w:compatSetting w:name="useWord2013TrackBottomHyphenation" w:uri="http://schemas.microsoft.com/office/word" w:val="1"/>
  </w:compat>
  <w:rsids>
    <w:rsidRoot w:val="00042EDF"/>
    <w:rsid w:val="00042EDF"/>
    <w:rsid w:val="00306658"/>
    <w:rsid w:val="00E003E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634BC"/>
  <w15:chartTrackingRefBased/>
  <w15:docId w15:val="{51841E9F-4780-4AC5-98EF-A24C2216F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EDF"/>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42EDF"/>
    <w:rPr>
      <w:i/>
      <w:iCs/>
    </w:rPr>
  </w:style>
  <w:style w:type="character" w:styleId="Strong">
    <w:name w:val="Strong"/>
    <w:basedOn w:val="DefaultParagraphFont"/>
    <w:uiPriority w:val="22"/>
    <w:qFormat/>
    <w:rsid w:val="00042EDF"/>
    <w:rPr>
      <w:b/>
      <w:bCs/>
    </w:rPr>
  </w:style>
  <w:style w:type="character" w:styleId="Hyperlink">
    <w:name w:val="Hyperlink"/>
    <w:basedOn w:val="DefaultParagraphFont"/>
    <w:uiPriority w:val="99"/>
    <w:unhideWhenUsed/>
    <w:rsid w:val="00042ED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teacher.net/cases/r-v-quick.php" TargetMode="External"/><Relationship Id="rId3" Type="http://schemas.openxmlformats.org/officeDocument/2006/relationships/webSettings" Target="webSettings.xml"/><Relationship Id="rId7" Type="http://schemas.openxmlformats.org/officeDocument/2006/relationships/hyperlink" Target="https://www.lawteacher.net/cases/r-v-m-naghten.ph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awteacher.net/cases/r-v-m-naghten.php" TargetMode="External"/><Relationship Id="rId5" Type="http://schemas.openxmlformats.org/officeDocument/2006/relationships/hyperlink" Target="https://www.lawteacher.net/cases/r-v-m-naghten.php" TargetMode="External"/><Relationship Id="rId10" Type="http://schemas.openxmlformats.org/officeDocument/2006/relationships/theme" Target="theme/theme1.xml"/><Relationship Id="rId4" Type="http://schemas.openxmlformats.org/officeDocument/2006/relationships/hyperlink" Target="https://www.lawteacher.net/cases/r-v-quick.php" TargetMode="External"/><Relationship Id="rId9"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1626</Words>
  <Characters>7566</Characters>
  <Application>Microsoft Office Word</Application>
  <DocSecurity>0</DocSecurity>
  <Lines>151</Lines>
  <Paragraphs>36</Paragraphs>
  <ScaleCrop>false</ScaleCrop>
  <Company/>
  <LinksUpToDate>false</LinksUpToDate>
  <CharactersWithSpaces>9156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Diana-Andreea Butcaru</dc:creator>
  <cp:keywords/>
  <dc:description/>
  <cp:lastModifiedBy>Diana-Andreea Butcaru</cp:lastModifiedBy>
  <cp:revision>1</cp:revision>
  <dcterms:created xsi:type="dcterms:W3CDTF">2023-01-13T17:43:00Z</dcterms:created>
  <dcterms:modified xsi:type="dcterms:W3CDTF">2023-01-13T17:52:00Z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83fc4673-8180-4b1a-8ae8-a5d4ad399954</vt:lpwstr>
  </property>
</Properties>
</file>