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56ABE4" w14:textId="77777777" w:rsidR="00A21D0F" w:rsidRDefault="00A21D0F" w:rsidP="00A21D0F">
      <w:pPr>
        <w:rPr>
          <w:rFonts w:ascii="Trebuchet MS" w:hAnsi="Trebuchet MS"/>
          <w:u w:val="single"/>
        </w:rPr>
      </w:pPr>
      <w:r>
        <w:rPr>
          <w:rFonts w:ascii="Trebuchet MS" w:hAnsi="Trebuchet MS"/>
          <w:u w:val="single"/>
        </w:rPr>
        <w:t>Betsan Jenkins</w:t>
      </w:r>
    </w:p>
    <w:p w14:paraId="110D2BD6" w14:textId="77777777" w:rsidR="00A21D0F" w:rsidRDefault="00A21D0F" w:rsidP="00A21D0F">
      <w:pPr>
        <w:rPr>
          <w:rFonts w:ascii="Trebuchet MS" w:hAnsi="Trebuchet MS"/>
          <w:u w:val="single"/>
        </w:rPr>
      </w:pPr>
    </w:p>
    <w:p w14:paraId="41577AB2" w14:textId="77777777" w:rsidR="00A21D0F" w:rsidRPr="00E61AC9" w:rsidRDefault="00A21D0F" w:rsidP="00A21D0F">
      <w:pPr>
        <w:rPr>
          <w:rFonts w:ascii="Trebuchet MS" w:hAnsi="Trebuchet MS"/>
          <w:u w:val="single"/>
        </w:rPr>
      </w:pPr>
      <w:r w:rsidRPr="00E61AC9">
        <w:rPr>
          <w:rFonts w:ascii="Trebuchet MS" w:hAnsi="Trebuchet MS"/>
          <w:u w:val="single"/>
        </w:rPr>
        <w:t>Exposition and Critique of:</w:t>
      </w:r>
    </w:p>
    <w:p w14:paraId="540AE338" w14:textId="77777777" w:rsidR="00A21D0F" w:rsidRDefault="00A21D0F" w:rsidP="00A21D0F">
      <w:pPr>
        <w:rPr>
          <w:rFonts w:ascii="Trebuchet MS" w:hAnsi="Trebuchet MS"/>
        </w:rPr>
      </w:pPr>
    </w:p>
    <w:p w14:paraId="40BBAC0B" w14:textId="77777777" w:rsidR="00A21D0F" w:rsidRDefault="00A21D0F" w:rsidP="00A21D0F">
      <w:pPr>
        <w:rPr>
          <w:rFonts w:ascii="Trebuchet MS" w:hAnsi="Trebuchet MS"/>
          <w:i/>
        </w:rPr>
      </w:pPr>
      <w:r>
        <w:rPr>
          <w:rFonts w:ascii="Trebuchet MS" w:hAnsi="Trebuchet MS"/>
        </w:rPr>
        <w:t xml:space="preserve">Loynes, C. </w:t>
      </w:r>
      <w:proofErr w:type="gramStart"/>
      <w:r>
        <w:rPr>
          <w:rFonts w:ascii="Trebuchet MS" w:hAnsi="Trebuchet MS"/>
          <w:i/>
        </w:rPr>
        <w:t>The Generative Paradigm.</w:t>
      </w:r>
      <w:proofErr w:type="gramEnd"/>
      <w:r>
        <w:rPr>
          <w:rFonts w:ascii="Trebuchet MS" w:hAnsi="Trebuchet MS"/>
          <w:i/>
        </w:rPr>
        <w:t xml:space="preserve"> </w:t>
      </w:r>
      <w:proofErr w:type="gramStart"/>
      <w:r>
        <w:rPr>
          <w:rFonts w:ascii="Trebuchet MS" w:hAnsi="Trebuchet MS"/>
        </w:rPr>
        <w:t xml:space="preserve">In </w:t>
      </w:r>
      <w:r>
        <w:rPr>
          <w:rFonts w:ascii="Trebuchet MS" w:hAnsi="Trebuchet MS"/>
          <w:i/>
        </w:rPr>
        <w:t xml:space="preserve">Journal of Adventure Education and Outdoor Learning </w:t>
      </w:r>
      <w:proofErr w:type="spellStart"/>
      <w:r>
        <w:rPr>
          <w:rFonts w:ascii="Trebuchet MS" w:hAnsi="Trebuchet MS"/>
          <w:i/>
        </w:rPr>
        <w:t>Vol</w:t>
      </w:r>
      <w:proofErr w:type="spellEnd"/>
      <w:r>
        <w:rPr>
          <w:rFonts w:ascii="Trebuchet MS" w:hAnsi="Trebuchet MS"/>
          <w:i/>
        </w:rPr>
        <w:t xml:space="preserve"> 2, No. 2, 113-125, 2002.</w:t>
      </w:r>
      <w:proofErr w:type="gramEnd"/>
    </w:p>
    <w:p w14:paraId="7AC3ED85" w14:textId="77777777" w:rsidR="00A21D0F" w:rsidRDefault="00A21D0F" w:rsidP="00A21D0F">
      <w:pPr>
        <w:rPr>
          <w:rFonts w:ascii="Trebuchet MS" w:hAnsi="Trebuchet MS"/>
        </w:rPr>
      </w:pPr>
    </w:p>
    <w:p w14:paraId="497C0B1D" w14:textId="77777777" w:rsidR="00A21D0F" w:rsidRDefault="00A21D0F" w:rsidP="00A21D0F">
      <w:pPr>
        <w:rPr>
          <w:rFonts w:ascii="Trebuchet MS" w:hAnsi="Trebuchet MS"/>
        </w:rPr>
      </w:pPr>
      <w:r>
        <w:rPr>
          <w:rFonts w:ascii="Trebuchet MS" w:hAnsi="Trebuchet MS"/>
        </w:rPr>
        <w:t>The main argument set out by Loynes (2002) is that the Algorithmic Paradigm of Outdoor Experiential Learning is not an effective tool for the practice of experiential learning in Modern Society. The author defines this paradigm as being to general and of not taking the core values of experiential learning into consideration and also that it generalises participation</w:t>
      </w:r>
      <w:r w:rsidR="00355A29">
        <w:rPr>
          <w:rFonts w:ascii="Trebuchet MS" w:hAnsi="Trebuchet MS"/>
        </w:rPr>
        <w:t xml:space="preserve"> types and background and does </w:t>
      </w:r>
      <w:bookmarkStart w:id="0" w:name="_GoBack"/>
      <w:bookmarkEnd w:id="0"/>
      <w:r w:rsidR="00355A29">
        <w:rPr>
          <w:rFonts w:ascii="Trebuchet MS" w:hAnsi="Trebuchet MS"/>
        </w:rPr>
        <w:t>no</w:t>
      </w:r>
      <w:r>
        <w:rPr>
          <w:rFonts w:ascii="Trebuchet MS" w:hAnsi="Trebuchet MS"/>
        </w:rPr>
        <w:t>t give way to other learning tools and theories.</w:t>
      </w:r>
    </w:p>
    <w:p w14:paraId="36C344DB" w14:textId="77777777" w:rsidR="00A21D0F" w:rsidRDefault="00A21D0F" w:rsidP="00A21D0F">
      <w:pPr>
        <w:ind w:left="720"/>
        <w:rPr>
          <w:rFonts w:ascii="Trebuchet MS" w:hAnsi="Trebuchet MS"/>
        </w:rPr>
      </w:pPr>
    </w:p>
    <w:p w14:paraId="7C355FEB" w14:textId="77777777" w:rsidR="00A21D0F" w:rsidRDefault="00A21D0F" w:rsidP="00A21D0F">
      <w:pPr>
        <w:rPr>
          <w:rFonts w:ascii="Trebuchet MS" w:hAnsi="Trebuchet MS"/>
        </w:rPr>
      </w:pPr>
      <w:r>
        <w:rPr>
          <w:rFonts w:ascii="Trebuchet MS" w:hAnsi="Trebuchet MS"/>
        </w:rPr>
        <w:t xml:space="preserve">The supporting evidence is from secondary sources. These are mostly from western society, such as the United Kingdom and North America. There are some from Australia and Scandinavian. There are mentions of paradigms from Eastern Europe but the negative aspect is that it does not explain or describe these paradigms; on a positive aspect the author does explain why he hasn’t mentioned this, due to translation issues and the ideas not yet having arrived in western society. </w:t>
      </w:r>
    </w:p>
    <w:p w14:paraId="26ADBCD3" w14:textId="77777777" w:rsidR="00A21D0F" w:rsidRDefault="00A21D0F" w:rsidP="00A21D0F">
      <w:pPr>
        <w:rPr>
          <w:rFonts w:ascii="Trebuchet MS" w:hAnsi="Trebuchet MS"/>
        </w:rPr>
      </w:pPr>
      <w:r>
        <w:rPr>
          <w:rFonts w:ascii="Trebuchet MS" w:hAnsi="Trebuchet MS"/>
        </w:rPr>
        <w:t xml:space="preserve">There are mentions of primary sources but they are quoted from secondary sources. </w:t>
      </w:r>
    </w:p>
    <w:p w14:paraId="7231A744" w14:textId="77777777" w:rsidR="00A21D0F" w:rsidRDefault="00A21D0F" w:rsidP="00A21D0F">
      <w:pPr>
        <w:rPr>
          <w:rFonts w:ascii="Trebuchet MS" w:hAnsi="Trebuchet MS"/>
        </w:rPr>
      </w:pPr>
    </w:p>
    <w:p w14:paraId="75EAD9E1" w14:textId="77777777" w:rsidR="00A21D0F" w:rsidRDefault="00A21D0F" w:rsidP="00A21D0F">
      <w:pPr>
        <w:rPr>
          <w:rFonts w:ascii="Trebuchet MS" w:hAnsi="Trebuchet MS"/>
        </w:rPr>
      </w:pPr>
      <w:r>
        <w:rPr>
          <w:rFonts w:ascii="Trebuchet MS" w:hAnsi="Trebuchet MS"/>
        </w:rPr>
        <w:t xml:space="preserve">Most of the evidence is trustworthy due to it being from published sources within outdoor education. The evidence is recent, the article was published in 2002 and the evidence comes from twenty years previously. There are mentions of important figures from the past, pioneers and developers of experiential learning. </w:t>
      </w:r>
    </w:p>
    <w:p w14:paraId="4DB58872" w14:textId="77777777" w:rsidR="004129B4" w:rsidRDefault="004129B4" w:rsidP="00A21D0F">
      <w:pPr>
        <w:rPr>
          <w:rFonts w:ascii="Trebuchet MS" w:hAnsi="Trebuchet MS"/>
        </w:rPr>
      </w:pPr>
    </w:p>
    <w:p w14:paraId="4840530F" w14:textId="77777777" w:rsidR="00A21D0F" w:rsidRDefault="00A21D0F" w:rsidP="00A21D0F">
      <w:pPr>
        <w:rPr>
          <w:rFonts w:ascii="Trebuchet MS" w:hAnsi="Trebuchet MS"/>
        </w:rPr>
      </w:pPr>
      <w:r>
        <w:rPr>
          <w:rFonts w:ascii="Trebuchet MS" w:hAnsi="Trebuchet MS"/>
        </w:rPr>
        <w:t xml:space="preserve">The main flaw with the evidence is </w:t>
      </w:r>
      <w:r w:rsidR="004129B4">
        <w:rPr>
          <w:rFonts w:ascii="Trebuchet MS" w:hAnsi="Trebuchet MS"/>
        </w:rPr>
        <w:t>it’s negativity towards the subject, it’</w:t>
      </w:r>
      <w:r>
        <w:rPr>
          <w:rFonts w:ascii="Trebuchet MS" w:hAnsi="Trebuchet MS"/>
        </w:rPr>
        <w:t>s very one sided. Another flaw is that Loynes uses evidence from personal communications</w:t>
      </w:r>
      <w:r w:rsidR="004129B4">
        <w:rPr>
          <w:rFonts w:ascii="Trebuchet MS" w:hAnsi="Trebuchet MS"/>
        </w:rPr>
        <w:t xml:space="preserve">, he does reference these but they aren’t descriptive. </w:t>
      </w:r>
      <w:r>
        <w:rPr>
          <w:rFonts w:ascii="Trebuchet MS" w:hAnsi="Trebuchet MS"/>
        </w:rPr>
        <w:t>Loynes</w:t>
      </w:r>
      <w:r w:rsidR="004129B4">
        <w:rPr>
          <w:rFonts w:ascii="Trebuchet MS" w:hAnsi="Trebuchet MS"/>
        </w:rPr>
        <w:t xml:space="preserve"> is not critical of this evidence</w:t>
      </w:r>
      <w:r>
        <w:rPr>
          <w:rFonts w:ascii="Trebuchet MS" w:hAnsi="Trebuchet MS"/>
        </w:rPr>
        <w:t>. He is however critical of hi</w:t>
      </w:r>
      <w:r w:rsidR="004129B4">
        <w:rPr>
          <w:rFonts w:ascii="Trebuchet MS" w:hAnsi="Trebuchet MS"/>
        </w:rPr>
        <w:t>mself        (P. 114). On page 121 he</w:t>
      </w:r>
      <w:r>
        <w:rPr>
          <w:rFonts w:ascii="Trebuchet MS" w:hAnsi="Trebuchet MS"/>
        </w:rPr>
        <w:t xml:space="preserve"> is critical of evid</w:t>
      </w:r>
      <w:r w:rsidR="004129B4">
        <w:rPr>
          <w:rFonts w:ascii="Trebuchet MS" w:hAnsi="Trebuchet MS"/>
        </w:rPr>
        <w:t>ence mentioning other paradigms.</w:t>
      </w:r>
    </w:p>
    <w:p w14:paraId="66BF3186" w14:textId="77777777" w:rsidR="00A21D0F" w:rsidRDefault="00A21D0F" w:rsidP="00A21D0F">
      <w:pPr>
        <w:rPr>
          <w:rFonts w:ascii="Trebuchet MS" w:hAnsi="Trebuchet MS"/>
        </w:rPr>
      </w:pPr>
    </w:p>
    <w:p w14:paraId="4FDBE208" w14:textId="77777777" w:rsidR="00A21D0F" w:rsidRDefault="004129B4" w:rsidP="00A21D0F">
      <w:pPr>
        <w:rPr>
          <w:rFonts w:ascii="Trebuchet MS" w:hAnsi="Trebuchet MS"/>
        </w:rPr>
      </w:pPr>
      <w:r>
        <w:rPr>
          <w:rFonts w:ascii="Trebuchet MS" w:hAnsi="Trebuchet MS"/>
        </w:rPr>
        <w:t>The structure is clear</w:t>
      </w:r>
      <w:r w:rsidR="00A21D0F">
        <w:rPr>
          <w:rFonts w:ascii="Trebuchet MS" w:hAnsi="Trebuchet MS"/>
        </w:rPr>
        <w:t xml:space="preserve">. The </w:t>
      </w:r>
      <w:r>
        <w:rPr>
          <w:rFonts w:ascii="Trebuchet MS" w:hAnsi="Trebuchet MS"/>
        </w:rPr>
        <w:t>purpose is stated in the abstract,</w:t>
      </w:r>
      <w:r w:rsidR="00A21D0F">
        <w:rPr>
          <w:rFonts w:ascii="Trebuchet MS" w:hAnsi="Trebuchet MS"/>
        </w:rPr>
        <w:t xml:space="preserve"> introduction gives a</w:t>
      </w:r>
      <w:r>
        <w:rPr>
          <w:rFonts w:ascii="Trebuchet MS" w:hAnsi="Trebuchet MS"/>
        </w:rPr>
        <w:t xml:space="preserve"> summary, description of the authors</w:t>
      </w:r>
      <w:r w:rsidR="00A21D0F">
        <w:rPr>
          <w:rFonts w:ascii="Trebuchet MS" w:hAnsi="Trebuchet MS"/>
        </w:rPr>
        <w:t xml:space="preserve"> and an explanation of the </w:t>
      </w:r>
      <w:r>
        <w:rPr>
          <w:rFonts w:ascii="Trebuchet MS" w:hAnsi="Trebuchet MS"/>
        </w:rPr>
        <w:t>subject. The</w:t>
      </w:r>
      <w:r w:rsidR="00A21D0F">
        <w:rPr>
          <w:rFonts w:ascii="Trebuchet MS" w:hAnsi="Trebuchet MS"/>
        </w:rPr>
        <w:t xml:space="preserve"> b</w:t>
      </w:r>
      <w:r>
        <w:rPr>
          <w:rFonts w:ascii="Trebuchet MS" w:hAnsi="Trebuchet MS"/>
        </w:rPr>
        <w:t>ackground</w:t>
      </w:r>
      <w:r w:rsidR="00A21D0F">
        <w:rPr>
          <w:rFonts w:ascii="Trebuchet MS" w:hAnsi="Trebuchet MS"/>
        </w:rPr>
        <w:t xml:space="preserve"> section is separated into two parts, Histo</w:t>
      </w:r>
      <w:r>
        <w:rPr>
          <w:rFonts w:ascii="Trebuchet MS" w:hAnsi="Trebuchet MS"/>
        </w:rPr>
        <w:t>ric and Modern.</w:t>
      </w:r>
      <w:r w:rsidR="00A21D0F">
        <w:rPr>
          <w:rFonts w:ascii="Trebuchet MS" w:hAnsi="Trebuchet MS"/>
        </w:rPr>
        <w:t xml:space="preserve"> </w:t>
      </w:r>
      <w:r>
        <w:rPr>
          <w:rFonts w:ascii="Trebuchet MS" w:hAnsi="Trebuchet MS"/>
        </w:rPr>
        <w:t>The</w:t>
      </w:r>
      <w:r w:rsidR="00A21D0F">
        <w:rPr>
          <w:rFonts w:ascii="Trebuchet MS" w:hAnsi="Trebuchet MS"/>
        </w:rPr>
        <w:t xml:space="preserve"> problems with the subject</w:t>
      </w:r>
      <w:r>
        <w:rPr>
          <w:rFonts w:ascii="Trebuchet MS" w:hAnsi="Trebuchet MS"/>
        </w:rPr>
        <w:t xml:space="preserve"> are discussed and alternative paradigms</w:t>
      </w:r>
      <w:r w:rsidR="00A21D0F">
        <w:rPr>
          <w:rFonts w:ascii="Trebuchet MS" w:hAnsi="Trebuchet MS"/>
        </w:rPr>
        <w:t xml:space="preserve"> ar</w:t>
      </w:r>
      <w:r>
        <w:rPr>
          <w:rFonts w:ascii="Trebuchet MS" w:hAnsi="Trebuchet MS"/>
        </w:rPr>
        <w:t>e mentioned</w:t>
      </w:r>
      <w:r w:rsidR="00A21D0F">
        <w:rPr>
          <w:rFonts w:ascii="Trebuchet MS" w:hAnsi="Trebuchet MS"/>
        </w:rPr>
        <w:t>, this shows the reader that there are options in outdoor experiential lear</w:t>
      </w:r>
      <w:r>
        <w:rPr>
          <w:rFonts w:ascii="Trebuchet MS" w:hAnsi="Trebuchet MS"/>
        </w:rPr>
        <w:t>ning, including other cultures</w:t>
      </w:r>
      <w:r w:rsidR="00A21D0F">
        <w:rPr>
          <w:rFonts w:ascii="Trebuchet MS" w:hAnsi="Trebuchet MS"/>
        </w:rPr>
        <w:t>. Finally we rea</w:t>
      </w:r>
      <w:r>
        <w:rPr>
          <w:rFonts w:ascii="Trebuchet MS" w:hAnsi="Trebuchet MS"/>
        </w:rPr>
        <w:t>ch the conclusion,</w:t>
      </w:r>
      <w:r w:rsidR="00A21D0F">
        <w:rPr>
          <w:rFonts w:ascii="Trebuchet MS" w:hAnsi="Trebuchet MS"/>
        </w:rPr>
        <w:t xml:space="preserve"> the Generative Paradigm. </w:t>
      </w:r>
    </w:p>
    <w:p w14:paraId="417B2C84" w14:textId="77777777" w:rsidR="00A21D0F" w:rsidRDefault="00A21D0F" w:rsidP="00A21D0F">
      <w:pPr>
        <w:rPr>
          <w:rFonts w:ascii="Trebuchet MS" w:hAnsi="Trebuchet MS"/>
        </w:rPr>
      </w:pPr>
    </w:p>
    <w:p w14:paraId="2D67951A" w14:textId="77777777" w:rsidR="00A21D0F" w:rsidRPr="00336729" w:rsidRDefault="00A21D0F" w:rsidP="00A21D0F">
      <w:pPr>
        <w:rPr>
          <w:rFonts w:ascii="Trebuchet MS" w:hAnsi="Trebuchet MS"/>
        </w:rPr>
      </w:pPr>
      <w:r>
        <w:rPr>
          <w:rFonts w:ascii="Trebuchet MS" w:hAnsi="Trebuchet MS"/>
        </w:rPr>
        <w:t xml:space="preserve">The evidence </w:t>
      </w:r>
      <w:r w:rsidR="004129B4">
        <w:rPr>
          <w:rFonts w:ascii="Trebuchet MS" w:hAnsi="Trebuchet MS"/>
        </w:rPr>
        <w:t xml:space="preserve">provided </w:t>
      </w:r>
      <w:r>
        <w:rPr>
          <w:rFonts w:ascii="Trebuchet MS" w:hAnsi="Trebuchet MS"/>
        </w:rPr>
        <w:t>supports the conclusi</w:t>
      </w:r>
      <w:r w:rsidR="004129B4">
        <w:rPr>
          <w:rFonts w:ascii="Trebuchet MS" w:hAnsi="Trebuchet MS"/>
        </w:rPr>
        <w:t>on</w:t>
      </w:r>
      <w:r>
        <w:rPr>
          <w:rFonts w:ascii="Trebuchet MS" w:hAnsi="Trebuchet MS"/>
        </w:rPr>
        <w:t>. Loynes is also critical of this new theory and foresees the pr</w:t>
      </w:r>
      <w:r w:rsidR="004129B4">
        <w:rPr>
          <w:rFonts w:ascii="Trebuchet MS" w:hAnsi="Trebuchet MS"/>
        </w:rPr>
        <w:t>oblems that could arise</w:t>
      </w:r>
      <w:r>
        <w:rPr>
          <w:rFonts w:ascii="Trebuchet MS" w:hAnsi="Trebuchet MS"/>
        </w:rPr>
        <w:t>. He also states that for this theory to work it needs to be put into practice and that it is not a finished product but a stepping-stone for the future.</w:t>
      </w:r>
      <w:r w:rsidR="004129B4">
        <w:rPr>
          <w:rFonts w:ascii="Trebuchet MS" w:hAnsi="Trebuchet MS"/>
        </w:rPr>
        <w:t xml:space="preserve"> He is critical of the answer provided.</w:t>
      </w:r>
    </w:p>
    <w:p w14:paraId="79CFD56B" w14:textId="77777777" w:rsidR="00A21D0F" w:rsidRPr="00336729" w:rsidRDefault="00A21D0F" w:rsidP="00A21D0F">
      <w:pPr>
        <w:rPr>
          <w:rFonts w:ascii="Trebuchet MS" w:hAnsi="Trebuchet MS"/>
        </w:rPr>
      </w:pPr>
    </w:p>
    <w:p w14:paraId="353B54F2" w14:textId="77777777" w:rsidR="00890075" w:rsidRDefault="00890075"/>
    <w:sectPr w:rsidR="00890075" w:rsidSect="001D091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D0F"/>
    <w:rsid w:val="001D091B"/>
    <w:rsid w:val="00355A29"/>
    <w:rsid w:val="004129B4"/>
    <w:rsid w:val="00890075"/>
    <w:rsid w:val="00A21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6A17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D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D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399</Words>
  <Characters>2280</Characters>
  <Application>Microsoft Macintosh Word</Application>
  <DocSecurity>0</DocSecurity>
  <Lines>19</Lines>
  <Paragraphs>5</Paragraphs>
  <ScaleCrop>false</ScaleCrop>
  <Company/>
  <LinksUpToDate>false</LinksUpToDate>
  <CharactersWithSpaces>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betsan jenkins</dc:creator>
  <cp:keywords/>
  <dc:description/>
  <cp:lastModifiedBy>betsan jenkins</cp:lastModifiedBy>
  <cp:revision>2</cp:revision>
  <dcterms:created xsi:type="dcterms:W3CDTF">2012-10-16T21:54:00Z</dcterms:created>
  <dcterms:modified xsi:type="dcterms:W3CDTF">2012-10-16T22:17:00Z</dcterms:modified>
</cp:coreProperties>
</file>