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BC58F"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1876DB57"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3A312C29" w14:textId="1E9980D5" w:rsidR="005A2C5D" w:rsidRDefault="005A2C5D" w:rsidP="005A2C5D">
      <w:pPr>
        <w:spacing w:before="0" w:after="0" w:line="276" w:lineRule="auto"/>
        <w:jc w:val="center"/>
        <w:rPr>
          <w:rFonts w:ascii="Times New Roman" w:eastAsia="Times New Roman" w:hAnsi="Times New Roman" w:cs="Times New Roman"/>
          <w:b/>
          <w:sz w:val="32"/>
          <w:szCs w:val="32"/>
        </w:rPr>
      </w:pPr>
    </w:p>
    <w:p w14:paraId="01F025D4" w14:textId="74E7DD33" w:rsidR="005A2C5D" w:rsidRDefault="005A2C5D" w:rsidP="005A2C5D">
      <w:pPr>
        <w:spacing w:before="0" w:after="0" w:line="276" w:lineRule="auto"/>
        <w:jc w:val="center"/>
        <w:rPr>
          <w:rFonts w:ascii="Times New Roman" w:eastAsia="Times New Roman" w:hAnsi="Times New Roman" w:cs="Times New Roman"/>
          <w:b/>
          <w:sz w:val="32"/>
          <w:szCs w:val="32"/>
        </w:rPr>
      </w:pPr>
    </w:p>
    <w:p w14:paraId="0E8B320E" w14:textId="0D0BEE40" w:rsidR="005A2C5D" w:rsidRDefault="005A2C5D" w:rsidP="005A2C5D">
      <w:pPr>
        <w:spacing w:before="0" w:after="0" w:line="276" w:lineRule="auto"/>
        <w:jc w:val="center"/>
        <w:rPr>
          <w:rFonts w:ascii="Times New Roman" w:eastAsia="Times New Roman" w:hAnsi="Times New Roman" w:cs="Times New Roman"/>
          <w:b/>
          <w:sz w:val="32"/>
          <w:szCs w:val="32"/>
        </w:rPr>
      </w:pPr>
    </w:p>
    <w:p w14:paraId="1DBFB258"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0B77E2D6" w14:textId="77777777" w:rsidR="005A2C5D" w:rsidRPr="00EE7B50" w:rsidRDefault="005A2C5D" w:rsidP="005A2C5D">
      <w:pPr>
        <w:spacing w:before="0" w:after="0" w:line="276" w:lineRule="auto"/>
        <w:jc w:val="center"/>
        <w:rPr>
          <w:rFonts w:ascii="Times New Roman" w:eastAsia="Times New Roman" w:hAnsi="Times New Roman" w:cs="Times New Roman"/>
          <w:b/>
          <w:sz w:val="48"/>
          <w:szCs w:val="48"/>
        </w:rPr>
      </w:pPr>
      <w:r w:rsidRPr="00EE7B50">
        <w:rPr>
          <w:rFonts w:ascii="Times New Roman" w:eastAsia="Times New Roman" w:hAnsi="Times New Roman" w:cs="Times New Roman"/>
          <w:b/>
          <w:sz w:val="48"/>
          <w:szCs w:val="48"/>
        </w:rPr>
        <w:t>Community Engagement</w:t>
      </w:r>
    </w:p>
    <w:p w14:paraId="7AA2C5E7" w14:textId="77777777" w:rsidR="005A2C5D" w:rsidRDefault="005A2C5D" w:rsidP="005A2C5D">
      <w:pPr>
        <w:spacing w:before="0" w:after="0" w:line="276" w:lineRule="auto"/>
        <w:rPr>
          <w:rFonts w:ascii="Times New Roman" w:eastAsia="Times New Roman" w:hAnsi="Times New Roman" w:cs="Times New Roman"/>
          <w:b/>
          <w:sz w:val="32"/>
          <w:szCs w:val="32"/>
        </w:rPr>
      </w:pPr>
    </w:p>
    <w:p w14:paraId="7B13D354" w14:textId="77F49FB2" w:rsidR="005A2C5D" w:rsidRDefault="005A2C5D" w:rsidP="005A2C5D">
      <w:pPr>
        <w:spacing w:before="0" w:after="0" w:line="276" w:lineRule="auto"/>
        <w:jc w:val="center"/>
        <w:rPr>
          <w:rFonts w:ascii="Times New Roman" w:eastAsia="Times New Roman" w:hAnsi="Times New Roman" w:cs="Times New Roman"/>
          <w:b/>
          <w:sz w:val="32"/>
          <w:szCs w:val="32"/>
        </w:rPr>
      </w:pPr>
      <w:r w:rsidRPr="00EE7B50">
        <w:rPr>
          <w:rFonts w:ascii="Times New Roman" w:eastAsia="Times New Roman" w:hAnsi="Times New Roman" w:cs="Times New Roman"/>
          <w:b/>
          <w:sz w:val="32"/>
          <w:szCs w:val="32"/>
        </w:rPr>
        <w:t xml:space="preserve">Assessment </w:t>
      </w:r>
      <w:r>
        <w:rPr>
          <w:rFonts w:ascii="Times New Roman" w:eastAsia="Times New Roman" w:hAnsi="Times New Roman" w:cs="Times New Roman"/>
          <w:b/>
          <w:sz w:val="32"/>
          <w:szCs w:val="32"/>
        </w:rPr>
        <w:t>2</w:t>
      </w:r>
    </w:p>
    <w:p w14:paraId="429F485C"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73A7BB39"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04C676B1"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4CC416E0" w14:textId="77777777" w:rsidR="005A2C5D" w:rsidRDefault="005A2C5D" w:rsidP="005A2C5D">
      <w:pPr>
        <w:spacing w:before="0" w:after="0" w:line="276" w:lineRule="auto"/>
        <w:jc w:val="center"/>
        <w:rPr>
          <w:rFonts w:ascii="Times New Roman" w:eastAsia="Times New Roman" w:hAnsi="Times New Roman" w:cs="Times New Roman"/>
          <w:b/>
          <w:sz w:val="32"/>
          <w:szCs w:val="32"/>
        </w:rPr>
      </w:pPr>
    </w:p>
    <w:p w14:paraId="7C09F5B3" w14:textId="77777777" w:rsidR="005A2C5D" w:rsidRDefault="005A2C5D" w:rsidP="005A2C5D">
      <w:pPr>
        <w:spacing w:before="0" w:after="0" w:line="276" w:lineRule="auto"/>
        <w:jc w:val="right"/>
        <w:rPr>
          <w:rFonts w:ascii="Times New Roman" w:eastAsia="Times New Roman" w:hAnsi="Times New Roman" w:cs="Times New Roman"/>
          <w:b/>
          <w:sz w:val="32"/>
          <w:szCs w:val="32"/>
        </w:rPr>
      </w:pPr>
    </w:p>
    <w:p w14:paraId="6935DCE7" w14:textId="77777777" w:rsidR="005A2C5D" w:rsidRDefault="005A2C5D" w:rsidP="005A2C5D">
      <w:pPr>
        <w:spacing w:before="0" w:after="0" w:line="276" w:lineRule="auto"/>
        <w:jc w:val="right"/>
        <w:rPr>
          <w:rFonts w:ascii="Times New Roman" w:eastAsia="Times New Roman" w:hAnsi="Times New Roman" w:cs="Times New Roman"/>
          <w:b/>
          <w:sz w:val="32"/>
          <w:szCs w:val="32"/>
        </w:rPr>
      </w:pPr>
    </w:p>
    <w:p w14:paraId="00A26FBC" w14:textId="77777777" w:rsidR="005A2C5D" w:rsidRDefault="005A2C5D" w:rsidP="005A2C5D">
      <w:pPr>
        <w:spacing w:before="0" w:after="0" w:line="276" w:lineRule="auto"/>
        <w:rPr>
          <w:rFonts w:ascii="Times New Roman" w:eastAsia="Times New Roman" w:hAnsi="Times New Roman" w:cs="Times New Roman"/>
          <w:b/>
          <w:sz w:val="32"/>
          <w:szCs w:val="32"/>
        </w:rPr>
      </w:pPr>
    </w:p>
    <w:p w14:paraId="1661DD03" w14:textId="77777777" w:rsidR="005A2C5D" w:rsidRDefault="005A2C5D" w:rsidP="005A2C5D">
      <w:pPr>
        <w:spacing w:before="0" w:after="0" w:line="276" w:lineRule="auto"/>
        <w:jc w:val="right"/>
        <w:rPr>
          <w:rFonts w:ascii="Times New Roman" w:eastAsia="Times New Roman" w:hAnsi="Times New Roman" w:cs="Times New Roman"/>
          <w:b/>
          <w:sz w:val="32"/>
          <w:szCs w:val="32"/>
        </w:rPr>
      </w:pPr>
    </w:p>
    <w:p w14:paraId="19AE8085" w14:textId="23FC053E" w:rsidR="005A2C5D" w:rsidRPr="00EE7B50" w:rsidRDefault="005A2C5D" w:rsidP="005A2C5D">
      <w:pPr>
        <w:spacing w:before="0" w:after="0" w:line="276" w:lineRule="auto"/>
        <w:jc w:val="right"/>
        <w:rPr>
          <w:rFonts w:ascii="Times New Roman" w:eastAsia="Times New Roman" w:hAnsi="Times New Roman" w:cs="Times New Roman"/>
          <w:b/>
          <w:sz w:val="32"/>
          <w:szCs w:val="32"/>
        </w:rPr>
      </w:pPr>
      <w:r w:rsidRPr="00EE7B50">
        <w:rPr>
          <w:rFonts w:ascii="Times New Roman" w:eastAsia="Times New Roman" w:hAnsi="Times New Roman" w:cs="Times New Roman"/>
          <w:b/>
          <w:sz w:val="32"/>
          <w:szCs w:val="32"/>
        </w:rPr>
        <w:t>George-Stefan Ganea</w:t>
      </w:r>
    </w:p>
    <w:p w14:paraId="56852C6E" w14:textId="77777777" w:rsidR="005A2C5D" w:rsidRPr="00EE7B50" w:rsidRDefault="005A2C5D" w:rsidP="005A2C5D">
      <w:pPr>
        <w:spacing w:before="0" w:after="0" w:line="276" w:lineRule="auto"/>
        <w:jc w:val="right"/>
        <w:rPr>
          <w:rFonts w:ascii="Times New Roman" w:eastAsia="Times New Roman" w:hAnsi="Times New Roman" w:cs="Times New Roman"/>
          <w:b/>
          <w:sz w:val="32"/>
          <w:szCs w:val="32"/>
        </w:rPr>
      </w:pPr>
      <w:r w:rsidRPr="00EE7B50">
        <w:rPr>
          <w:rFonts w:ascii="Times New Roman" w:eastAsia="Times New Roman" w:hAnsi="Times New Roman" w:cs="Times New Roman"/>
          <w:b/>
          <w:sz w:val="32"/>
          <w:szCs w:val="32"/>
        </w:rPr>
        <w:t>ID: 2028703</w:t>
      </w:r>
    </w:p>
    <w:p w14:paraId="4E06680E" w14:textId="77777777" w:rsidR="005A2C5D" w:rsidRDefault="005A2C5D" w:rsidP="005A2C5D">
      <w:pPr>
        <w:spacing w:before="0" w:after="0" w:line="276" w:lineRule="auto"/>
        <w:jc w:val="right"/>
        <w:rPr>
          <w:rFonts w:ascii="Times New Roman" w:hAnsi="Times New Roman" w:cs="Times New Roman"/>
          <w:b/>
          <w:sz w:val="32"/>
          <w:szCs w:val="32"/>
        </w:rPr>
      </w:pPr>
      <w:r>
        <w:rPr>
          <w:rFonts w:ascii="Times New Roman" w:hAnsi="Times New Roman" w:cs="Times New Roman"/>
          <w:b/>
          <w:sz w:val="32"/>
          <w:szCs w:val="32"/>
        </w:rPr>
        <w:t xml:space="preserve">Prof. </w:t>
      </w:r>
      <w:proofErr w:type="spellStart"/>
      <w:r w:rsidRPr="00EE7B50">
        <w:rPr>
          <w:rFonts w:ascii="Times New Roman" w:hAnsi="Times New Roman" w:cs="Times New Roman"/>
          <w:b/>
          <w:sz w:val="32"/>
          <w:szCs w:val="32"/>
        </w:rPr>
        <w:t>Dr</w:t>
      </w:r>
      <w:r>
        <w:rPr>
          <w:rFonts w:ascii="Times New Roman" w:hAnsi="Times New Roman" w:cs="Times New Roman"/>
          <w:b/>
          <w:sz w:val="32"/>
          <w:szCs w:val="32"/>
        </w:rPr>
        <w:t>.</w:t>
      </w:r>
      <w:proofErr w:type="spellEnd"/>
      <w:r w:rsidRPr="00EE7B50">
        <w:rPr>
          <w:rFonts w:ascii="Times New Roman" w:hAnsi="Times New Roman" w:cs="Times New Roman"/>
          <w:b/>
          <w:sz w:val="32"/>
          <w:szCs w:val="32"/>
        </w:rPr>
        <w:t xml:space="preserve"> Molly Jack</w:t>
      </w:r>
    </w:p>
    <w:p w14:paraId="15A31AE8" w14:textId="77777777" w:rsidR="005A2C5D" w:rsidRDefault="005A2C5D" w:rsidP="005A2C5D">
      <w:pPr>
        <w:spacing w:before="0" w:after="0" w:line="276" w:lineRule="auto"/>
        <w:rPr>
          <w:rFonts w:ascii="Times New Roman" w:hAnsi="Times New Roman" w:cs="Times New Roman"/>
          <w:b/>
          <w:sz w:val="32"/>
          <w:szCs w:val="32"/>
        </w:rPr>
      </w:pPr>
    </w:p>
    <w:p w14:paraId="108E05EC" w14:textId="77777777" w:rsidR="005A2C5D" w:rsidRDefault="005A2C5D" w:rsidP="005A2C5D">
      <w:pPr>
        <w:spacing w:before="0" w:after="0" w:line="276" w:lineRule="auto"/>
        <w:jc w:val="center"/>
        <w:rPr>
          <w:rFonts w:ascii="Times New Roman" w:hAnsi="Times New Roman" w:cs="Times New Roman"/>
          <w:b/>
        </w:rPr>
      </w:pPr>
    </w:p>
    <w:p w14:paraId="30D413D8" w14:textId="77777777" w:rsidR="005A2C5D" w:rsidRDefault="005A2C5D" w:rsidP="005A2C5D">
      <w:pPr>
        <w:spacing w:before="0" w:after="0" w:line="276" w:lineRule="auto"/>
        <w:jc w:val="center"/>
        <w:rPr>
          <w:rFonts w:ascii="Times New Roman" w:hAnsi="Times New Roman" w:cs="Times New Roman"/>
          <w:b/>
        </w:rPr>
      </w:pPr>
    </w:p>
    <w:p w14:paraId="44DEBCB3" w14:textId="77777777" w:rsidR="005A2C5D" w:rsidRDefault="005A2C5D" w:rsidP="005A2C5D">
      <w:pPr>
        <w:spacing w:before="0" w:after="0" w:line="276" w:lineRule="auto"/>
        <w:jc w:val="center"/>
        <w:rPr>
          <w:rFonts w:ascii="Times New Roman" w:hAnsi="Times New Roman" w:cs="Times New Roman"/>
          <w:b/>
        </w:rPr>
      </w:pPr>
    </w:p>
    <w:p w14:paraId="1DE3EFAE" w14:textId="4A853D18" w:rsidR="005A2C5D" w:rsidRDefault="005A2C5D" w:rsidP="005A2C5D">
      <w:pPr>
        <w:spacing w:before="0" w:after="0" w:line="276" w:lineRule="auto"/>
        <w:jc w:val="center"/>
        <w:rPr>
          <w:rFonts w:ascii="Times New Roman" w:hAnsi="Times New Roman" w:cs="Times New Roman"/>
          <w:b/>
        </w:rPr>
      </w:pPr>
    </w:p>
    <w:p w14:paraId="7485A79E" w14:textId="467C59CD" w:rsidR="005A2C5D" w:rsidRDefault="005A2C5D" w:rsidP="005A2C5D">
      <w:pPr>
        <w:spacing w:before="0" w:after="0" w:line="276" w:lineRule="auto"/>
        <w:jc w:val="center"/>
        <w:rPr>
          <w:rFonts w:ascii="Times New Roman" w:hAnsi="Times New Roman" w:cs="Times New Roman"/>
          <w:b/>
        </w:rPr>
      </w:pPr>
    </w:p>
    <w:p w14:paraId="2B8DDBA0" w14:textId="7C2F4DE8" w:rsidR="005A2C5D" w:rsidRDefault="005A2C5D" w:rsidP="005A2C5D">
      <w:pPr>
        <w:spacing w:before="0" w:after="0" w:line="276" w:lineRule="auto"/>
        <w:jc w:val="center"/>
        <w:rPr>
          <w:rFonts w:ascii="Times New Roman" w:hAnsi="Times New Roman" w:cs="Times New Roman"/>
          <w:b/>
        </w:rPr>
      </w:pPr>
    </w:p>
    <w:p w14:paraId="3DCCB3BE" w14:textId="7118609A" w:rsidR="005A2C5D" w:rsidRDefault="005A2C5D" w:rsidP="005A2C5D">
      <w:pPr>
        <w:spacing w:before="0" w:after="0" w:line="276" w:lineRule="auto"/>
        <w:jc w:val="center"/>
        <w:rPr>
          <w:rFonts w:ascii="Times New Roman" w:hAnsi="Times New Roman" w:cs="Times New Roman"/>
          <w:b/>
        </w:rPr>
      </w:pPr>
    </w:p>
    <w:p w14:paraId="4F3EF951" w14:textId="3DEF7E8E" w:rsidR="005A2C5D" w:rsidRDefault="005A2C5D" w:rsidP="005A2C5D">
      <w:pPr>
        <w:spacing w:before="0" w:after="0" w:line="276" w:lineRule="auto"/>
        <w:jc w:val="center"/>
        <w:rPr>
          <w:rFonts w:ascii="Times New Roman" w:hAnsi="Times New Roman" w:cs="Times New Roman"/>
          <w:b/>
        </w:rPr>
      </w:pPr>
    </w:p>
    <w:p w14:paraId="27D6D72B" w14:textId="78094E55" w:rsidR="005A2C5D" w:rsidRDefault="005A2C5D" w:rsidP="005A2C5D">
      <w:pPr>
        <w:spacing w:before="0" w:after="0" w:line="276" w:lineRule="auto"/>
        <w:jc w:val="center"/>
        <w:rPr>
          <w:rFonts w:ascii="Times New Roman" w:hAnsi="Times New Roman" w:cs="Times New Roman"/>
          <w:b/>
        </w:rPr>
      </w:pPr>
    </w:p>
    <w:p w14:paraId="180EF82F" w14:textId="1153ECBB" w:rsidR="005A2C5D" w:rsidRDefault="005A2C5D" w:rsidP="005A2C5D">
      <w:pPr>
        <w:spacing w:before="0" w:after="0" w:line="276" w:lineRule="auto"/>
        <w:jc w:val="center"/>
        <w:rPr>
          <w:rFonts w:ascii="Times New Roman" w:hAnsi="Times New Roman" w:cs="Times New Roman"/>
          <w:b/>
        </w:rPr>
      </w:pPr>
    </w:p>
    <w:p w14:paraId="5BAD8A9D" w14:textId="2BAB8A38" w:rsidR="005A2C5D" w:rsidRDefault="005A2C5D" w:rsidP="005A2C5D">
      <w:pPr>
        <w:spacing w:before="0" w:after="0" w:line="276" w:lineRule="auto"/>
        <w:jc w:val="center"/>
        <w:rPr>
          <w:rFonts w:ascii="Times New Roman" w:hAnsi="Times New Roman" w:cs="Times New Roman"/>
          <w:b/>
        </w:rPr>
      </w:pPr>
    </w:p>
    <w:p w14:paraId="00850C56" w14:textId="77777777" w:rsidR="005A2C5D" w:rsidRDefault="005A2C5D" w:rsidP="005A2C5D">
      <w:pPr>
        <w:spacing w:before="0" w:after="0"/>
        <w:rPr>
          <w:rFonts w:ascii="Times New Roman" w:hAnsi="Times New Roman" w:cs="Times New Roman"/>
          <w:b/>
        </w:rPr>
      </w:pPr>
    </w:p>
    <w:p w14:paraId="52EB3278" w14:textId="77777777" w:rsidR="005A2C5D" w:rsidRDefault="005A2C5D" w:rsidP="005A2C5D">
      <w:pPr>
        <w:spacing w:before="0" w:after="0"/>
        <w:jc w:val="center"/>
        <w:rPr>
          <w:rFonts w:ascii="Times New Roman" w:hAnsi="Times New Roman" w:cs="Times New Roman"/>
          <w:b/>
        </w:rPr>
      </w:pPr>
    </w:p>
    <w:p w14:paraId="46B89C34" w14:textId="77777777" w:rsidR="005A2C5D" w:rsidRDefault="005A2C5D" w:rsidP="005A2C5D">
      <w:pPr>
        <w:spacing w:before="0" w:after="0"/>
        <w:jc w:val="center"/>
        <w:rPr>
          <w:rFonts w:ascii="Times New Roman" w:hAnsi="Times New Roman" w:cs="Times New Roman"/>
          <w:b/>
        </w:rPr>
      </w:pPr>
    </w:p>
    <w:p w14:paraId="314B22F7" w14:textId="7E9F7781" w:rsidR="003A0C65" w:rsidRPr="005A2C5D" w:rsidRDefault="009F16C3" w:rsidP="005A2C5D">
      <w:pPr>
        <w:spacing w:before="0" w:after="0"/>
        <w:jc w:val="center"/>
        <w:rPr>
          <w:rFonts w:ascii="Times New Roman" w:hAnsi="Times New Roman" w:cs="Times New Roman"/>
          <w:sz w:val="32"/>
          <w:szCs w:val="32"/>
        </w:rPr>
      </w:pPr>
      <w:bookmarkStart w:id="0" w:name="_GoBack"/>
      <w:bookmarkEnd w:id="0"/>
      <w:r>
        <w:rPr>
          <w:rFonts w:ascii="Times New Roman" w:hAnsi="Times New Roman" w:cs="Times New Roman"/>
          <w:b/>
        </w:rPr>
        <w:lastRenderedPageBreak/>
        <w:t>Table of Content</w:t>
      </w:r>
      <w:r>
        <w:rPr>
          <w:rFonts w:ascii="Times New Roman" w:hAnsi="Times New Roman" w:cs="Times New Roman"/>
          <w:b/>
          <w:lang w:val="en-US"/>
        </w:rPr>
        <w:t>s</w:t>
      </w:r>
    </w:p>
    <w:sdt>
      <w:sdtPr>
        <w:rPr>
          <w:rFonts w:ascii="Times New Roman" w:hAnsi="Times New Roman" w:cs="Times New Roman"/>
        </w:rPr>
        <w:id w:val="1"/>
        <w:docPartObj>
          <w:docPartGallery w:val="Table of Contents"/>
          <w:docPartUnique/>
        </w:docPartObj>
      </w:sdtPr>
      <w:sdtEndPr/>
      <w:sdtContent>
        <w:p w14:paraId="2A893759" w14:textId="77777777" w:rsidR="00193CA3" w:rsidRDefault="003A0C65">
          <w:pPr>
            <w:pStyle w:val="TOC1"/>
            <w:tabs>
              <w:tab w:val="right" w:pos="9019"/>
            </w:tabs>
            <w:rPr>
              <w:noProof/>
              <w:sz w:val="22"/>
              <w:szCs w:val="22"/>
              <w:lang w:val="en-IN" w:eastAsia="en-IN"/>
            </w:rPr>
          </w:pPr>
          <w:r>
            <w:rPr>
              <w:rFonts w:ascii="Times New Roman" w:hAnsi="Times New Roman" w:cs="Times New Roman"/>
            </w:rPr>
            <w:fldChar w:fldCharType="begin"/>
          </w:r>
          <w:r w:rsidR="009F16C3">
            <w:rPr>
              <w:rFonts w:ascii="Times New Roman" w:hAnsi="Times New Roman" w:cs="Times New Roman"/>
            </w:rPr>
            <w:instrText xml:space="preserve"> TOC \h \u \z </w:instrText>
          </w:r>
          <w:r>
            <w:rPr>
              <w:rFonts w:ascii="Times New Roman" w:hAnsi="Times New Roman" w:cs="Times New Roman"/>
            </w:rPr>
            <w:fldChar w:fldCharType="separate"/>
          </w:r>
          <w:hyperlink w:anchor="_Toc80281403" w:history="1">
            <w:r w:rsidR="00193CA3" w:rsidRPr="0061614A">
              <w:rPr>
                <w:rStyle w:val="Hyperlink"/>
                <w:rFonts w:ascii="Times New Roman" w:hAnsi="Times New Roman" w:cs="Times New Roman"/>
                <w:noProof/>
              </w:rPr>
              <w:t>Introduction</w:t>
            </w:r>
            <w:r w:rsidR="00193CA3">
              <w:rPr>
                <w:noProof/>
                <w:webHidden/>
              </w:rPr>
              <w:tab/>
            </w:r>
            <w:r w:rsidR="00193CA3">
              <w:rPr>
                <w:noProof/>
                <w:webHidden/>
              </w:rPr>
              <w:fldChar w:fldCharType="begin"/>
            </w:r>
            <w:r w:rsidR="00193CA3">
              <w:rPr>
                <w:noProof/>
                <w:webHidden/>
              </w:rPr>
              <w:instrText xml:space="preserve"> PAGEREF _Toc80281403 \h </w:instrText>
            </w:r>
            <w:r w:rsidR="00193CA3">
              <w:rPr>
                <w:noProof/>
                <w:webHidden/>
              </w:rPr>
            </w:r>
            <w:r w:rsidR="00193CA3">
              <w:rPr>
                <w:noProof/>
                <w:webHidden/>
              </w:rPr>
              <w:fldChar w:fldCharType="separate"/>
            </w:r>
            <w:r w:rsidR="00193CA3">
              <w:rPr>
                <w:noProof/>
                <w:webHidden/>
              </w:rPr>
              <w:t>3</w:t>
            </w:r>
            <w:r w:rsidR="00193CA3">
              <w:rPr>
                <w:noProof/>
                <w:webHidden/>
              </w:rPr>
              <w:fldChar w:fldCharType="end"/>
            </w:r>
          </w:hyperlink>
        </w:p>
        <w:p w14:paraId="6D1D0E19" w14:textId="7861E0B7" w:rsidR="00193CA3" w:rsidRDefault="00EA1949">
          <w:pPr>
            <w:pStyle w:val="TOC1"/>
            <w:tabs>
              <w:tab w:val="right" w:pos="9019"/>
            </w:tabs>
            <w:rPr>
              <w:noProof/>
              <w:sz w:val="22"/>
              <w:szCs w:val="22"/>
              <w:lang w:val="en-IN" w:eastAsia="en-IN"/>
            </w:rPr>
          </w:pPr>
          <w:hyperlink w:anchor="_Toc80281404" w:history="1">
            <w:r w:rsidR="00193CA3" w:rsidRPr="0061614A">
              <w:rPr>
                <w:rStyle w:val="Hyperlink"/>
                <w:rFonts w:ascii="Times New Roman" w:hAnsi="Times New Roman" w:cs="Times New Roman"/>
                <w:noProof/>
              </w:rPr>
              <w:t>Discussion</w:t>
            </w:r>
            <w:r w:rsidR="00193CA3">
              <w:rPr>
                <w:noProof/>
                <w:webHidden/>
              </w:rPr>
              <w:tab/>
            </w:r>
            <w:r w:rsidR="005A2C5D">
              <w:rPr>
                <w:noProof/>
                <w:webHidden/>
              </w:rPr>
              <w:t>3</w:t>
            </w:r>
          </w:hyperlink>
        </w:p>
        <w:p w14:paraId="0EB2BAD7" w14:textId="1E31B78E" w:rsidR="00193CA3" w:rsidRDefault="00EA1949">
          <w:pPr>
            <w:pStyle w:val="TOC1"/>
            <w:tabs>
              <w:tab w:val="right" w:pos="9019"/>
            </w:tabs>
            <w:rPr>
              <w:noProof/>
              <w:sz w:val="22"/>
              <w:szCs w:val="22"/>
              <w:lang w:val="en-IN" w:eastAsia="en-IN"/>
            </w:rPr>
          </w:pPr>
          <w:hyperlink w:anchor="_Toc80281405" w:history="1">
            <w:r w:rsidR="00193CA3" w:rsidRPr="0061614A">
              <w:rPr>
                <w:rStyle w:val="Hyperlink"/>
                <w:rFonts w:ascii="Times New Roman" w:hAnsi="Times New Roman" w:cs="Times New Roman"/>
                <w:noProof/>
              </w:rPr>
              <w:t>Conclusion</w:t>
            </w:r>
            <w:r w:rsidR="00193CA3">
              <w:rPr>
                <w:noProof/>
                <w:webHidden/>
              </w:rPr>
              <w:tab/>
            </w:r>
            <w:r w:rsidR="005A2C5D">
              <w:rPr>
                <w:noProof/>
                <w:webHidden/>
              </w:rPr>
              <w:t>7</w:t>
            </w:r>
          </w:hyperlink>
        </w:p>
        <w:p w14:paraId="79B670FD" w14:textId="0AE2C2CD" w:rsidR="00193CA3" w:rsidRDefault="00EA1949">
          <w:pPr>
            <w:pStyle w:val="TOC1"/>
            <w:tabs>
              <w:tab w:val="right" w:pos="9019"/>
            </w:tabs>
            <w:rPr>
              <w:noProof/>
              <w:sz w:val="22"/>
              <w:szCs w:val="22"/>
              <w:lang w:val="en-IN" w:eastAsia="en-IN"/>
            </w:rPr>
          </w:pPr>
          <w:hyperlink w:anchor="_Toc80281406" w:history="1">
            <w:r w:rsidR="00193CA3" w:rsidRPr="0061614A">
              <w:rPr>
                <w:rStyle w:val="Hyperlink"/>
                <w:rFonts w:ascii="Times New Roman" w:hAnsi="Times New Roman" w:cs="Times New Roman"/>
                <w:noProof/>
              </w:rPr>
              <w:t>References</w:t>
            </w:r>
            <w:r w:rsidR="00193CA3">
              <w:rPr>
                <w:noProof/>
                <w:webHidden/>
              </w:rPr>
              <w:tab/>
            </w:r>
            <w:r w:rsidR="005A2C5D">
              <w:rPr>
                <w:noProof/>
                <w:webHidden/>
              </w:rPr>
              <w:t>8</w:t>
            </w:r>
          </w:hyperlink>
        </w:p>
        <w:p w14:paraId="6719A487" w14:textId="77777777" w:rsidR="003A0C65" w:rsidRDefault="003A0C65">
          <w:pPr>
            <w:tabs>
              <w:tab w:val="right" w:pos="9025"/>
            </w:tabs>
            <w:spacing w:before="200" w:after="80" w:line="240" w:lineRule="auto"/>
            <w:rPr>
              <w:rFonts w:ascii="Times New Roman" w:hAnsi="Times New Roman" w:cs="Times New Roman"/>
              <w:color w:val="000000"/>
            </w:rPr>
          </w:pPr>
          <w:r>
            <w:rPr>
              <w:rFonts w:ascii="Times New Roman" w:hAnsi="Times New Roman" w:cs="Times New Roman"/>
            </w:rPr>
            <w:fldChar w:fldCharType="end"/>
          </w:r>
        </w:p>
      </w:sdtContent>
    </w:sdt>
    <w:p w14:paraId="5DC9AA61" w14:textId="77777777" w:rsidR="003A0C65" w:rsidRDefault="003A0C65">
      <w:pPr>
        <w:rPr>
          <w:rFonts w:ascii="Times New Roman" w:hAnsi="Times New Roman" w:cs="Times New Roman"/>
          <w:b/>
        </w:rPr>
      </w:pPr>
    </w:p>
    <w:p w14:paraId="1C9A3530" w14:textId="77777777" w:rsidR="003A0C65" w:rsidRDefault="009F16C3">
      <w:pPr>
        <w:rPr>
          <w:rFonts w:ascii="Times New Roman" w:hAnsi="Times New Roman" w:cs="Times New Roman"/>
          <w:b/>
        </w:rPr>
      </w:pPr>
      <w:r>
        <w:rPr>
          <w:rFonts w:ascii="Times New Roman" w:hAnsi="Times New Roman" w:cs="Times New Roman"/>
        </w:rPr>
        <w:br w:type="page"/>
      </w:r>
    </w:p>
    <w:p w14:paraId="62F74621" w14:textId="77777777" w:rsidR="003A0C65" w:rsidRDefault="009F16C3">
      <w:pPr>
        <w:pStyle w:val="Heading1"/>
        <w:rPr>
          <w:rFonts w:ascii="Times New Roman" w:hAnsi="Times New Roman" w:cs="Times New Roman"/>
        </w:rPr>
      </w:pPr>
      <w:bookmarkStart w:id="1" w:name="_Toc80281403"/>
      <w:r>
        <w:rPr>
          <w:rFonts w:ascii="Times New Roman" w:hAnsi="Times New Roman" w:cs="Times New Roman"/>
        </w:rPr>
        <w:lastRenderedPageBreak/>
        <w:t>Introduction</w:t>
      </w:r>
      <w:bookmarkEnd w:id="1"/>
    </w:p>
    <w:p w14:paraId="434A5C12" w14:textId="77777777" w:rsidR="003A0C65" w:rsidRDefault="009F16C3">
      <w:pPr>
        <w:rPr>
          <w:rFonts w:ascii="Times New Roman" w:hAnsi="Times New Roman" w:cs="Times New Roman"/>
        </w:rPr>
      </w:pPr>
      <w:r>
        <w:rPr>
          <w:rFonts w:ascii="Times New Roman" w:hAnsi="Times New Roman" w:cs="Times New Roman"/>
        </w:rPr>
        <w:t xml:space="preserve">Community engagement can be defined as the process of involving a group of individuals who work collectively affiliated by special </w:t>
      </w:r>
      <w:r w:rsidR="00651FD1">
        <w:rPr>
          <w:rFonts w:ascii="Times New Roman" w:hAnsi="Times New Roman" w:cs="Times New Roman"/>
        </w:rPr>
        <w:t>interest</w:t>
      </w:r>
      <w:r>
        <w:rPr>
          <w:rFonts w:ascii="Times New Roman" w:hAnsi="Times New Roman" w:cs="Times New Roman"/>
        </w:rPr>
        <w:t xml:space="preserve"> or geographical proximity in order to mitigate the issues associated with the wellbeing of the involved individuals (</w:t>
      </w:r>
      <w:r>
        <w:rPr>
          <w:rFonts w:ascii="Times New Roman" w:hAnsi="Times New Roman" w:cs="Times New Roman"/>
          <w:color w:val="222222"/>
          <w:highlight w:val="white"/>
        </w:rPr>
        <w:t>Barnes and Schmitz, 2016)</w:t>
      </w:r>
      <w:r>
        <w:rPr>
          <w:rFonts w:ascii="Times New Roman" w:hAnsi="Times New Roman" w:cs="Times New Roman"/>
        </w:rPr>
        <w:t xml:space="preserve">. This process is vital for introducing effective changes for having a positive impact on individual behaviour as well as the environment. This report will be reflecting upon the project chosen in assessment 1. The report will further compare the chosen project with another project conducted by any charity organisation. Reflection can be defined as a process of analysing past experiences or activities for assessing personal strengths as weaknesses.  Reflection also helps in ensuring the analysis of the overall case scenario, thereby, improving the same for future purposes. </w:t>
      </w:r>
    </w:p>
    <w:p w14:paraId="1AE96C24" w14:textId="77777777" w:rsidR="005A2C5D" w:rsidRDefault="009F16C3" w:rsidP="005A2C5D">
      <w:pPr>
        <w:rPr>
          <w:rFonts w:ascii="Times New Roman" w:hAnsi="Times New Roman" w:cs="Times New Roman"/>
        </w:rPr>
      </w:pPr>
      <w:r>
        <w:rPr>
          <w:rFonts w:ascii="Times New Roman" w:hAnsi="Times New Roman" w:cs="Times New Roman"/>
        </w:rPr>
        <w:t>Assessment 1 deals with the project namely "Drug Awareness Program" conducted by Hope, the UK that will be started from 18th September 2021. This project is mainly focused on eliminating the intake of any sort of drug among people, thereby, ensuring their mental as well as physical health. The project that will be taken into consideration for conducting assessment 2 is "Drugs - The Truth '' which is executed by a UK-based charity organisation, Drug Watch Foundation (</w:t>
      </w:r>
      <w:proofErr w:type="spellStart"/>
      <w:r>
        <w:rPr>
          <w:rFonts w:ascii="Times New Roman" w:hAnsi="Times New Roman" w:cs="Times New Roman"/>
          <w:color w:val="222222"/>
          <w:highlight w:val="white"/>
        </w:rPr>
        <w:t>Drugwatchfoundation</w:t>
      </w:r>
      <w:proofErr w:type="spellEnd"/>
      <w:r>
        <w:rPr>
          <w:rFonts w:ascii="Times New Roman" w:hAnsi="Times New Roman" w:cs="Times New Roman"/>
          <w:color w:val="222222"/>
          <w:highlight w:val="white"/>
        </w:rPr>
        <w:t>, 2019)</w:t>
      </w:r>
      <w:r>
        <w:rPr>
          <w:rFonts w:ascii="Times New Roman" w:hAnsi="Times New Roman" w:cs="Times New Roman"/>
        </w:rPr>
        <w:t xml:space="preserve">. Founded in 2013, this charity organisation is responsible for spreading awareness about the hazards of using drugs. This report will be reflecting on the comparison between these two mentioned projects with respect to their respective approaches associated with community engagement. </w:t>
      </w:r>
      <w:bookmarkStart w:id="2" w:name="_Toc80281404"/>
    </w:p>
    <w:p w14:paraId="20C52968" w14:textId="4CA96DE3" w:rsidR="003A0C65" w:rsidRPr="005A2C5D" w:rsidRDefault="009F16C3" w:rsidP="005A2C5D">
      <w:pPr>
        <w:rPr>
          <w:rFonts w:ascii="Times New Roman" w:hAnsi="Times New Roman" w:cs="Times New Roman"/>
          <w:b/>
          <w:bCs/>
        </w:rPr>
      </w:pPr>
      <w:r w:rsidRPr="005A2C5D">
        <w:rPr>
          <w:rFonts w:ascii="Times New Roman" w:hAnsi="Times New Roman" w:cs="Times New Roman"/>
          <w:b/>
          <w:bCs/>
        </w:rPr>
        <w:t>Discussion</w:t>
      </w:r>
      <w:bookmarkEnd w:id="2"/>
    </w:p>
    <w:p w14:paraId="46D24868" w14:textId="77777777" w:rsidR="003A0C65" w:rsidRDefault="009F16C3">
      <w:pPr>
        <w:rPr>
          <w:rFonts w:ascii="Times New Roman" w:hAnsi="Times New Roman" w:cs="Times New Roman"/>
        </w:rPr>
      </w:pPr>
      <w:r>
        <w:rPr>
          <w:rFonts w:ascii="Times New Roman" w:hAnsi="Times New Roman" w:cs="Times New Roman"/>
        </w:rPr>
        <w:t xml:space="preserve">Considering the </w:t>
      </w:r>
      <w:r>
        <w:rPr>
          <w:rFonts w:ascii="Times New Roman" w:hAnsi="Times New Roman" w:cs="Times New Roman"/>
          <w:b/>
          <w:i/>
        </w:rPr>
        <w:t>Drug awareness program</w:t>
      </w:r>
      <w:r>
        <w:rPr>
          <w:rFonts w:ascii="Times New Roman" w:hAnsi="Times New Roman" w:cs="Times New Roman"/>
        </w:rPr>
        <w:t xml:space="preserve"> to be conducted by Hope, UK, the major objectives that are to be focused on include spreading awareness on the hazards of drug use among young people, controlling the accessibility of drugs for the business organisations and individuals, to promote the negative impacts of using drugs on the mental as well as physical health of the people (</w:t>
      </w:r>
      <w:proofErr w:type="spellStart"/>
      <w:r>
        <w:rPr>
          <w:rFonts w:ascii="Times New Roman" w:hAnsi="Times New Roman" w:cs="Times New Roman"/>
        </w:rPr>
        <w:t>Hopeuk</w:t>
      </w:r>
      <w:proofErr w:type="spellEnd"/>
      <w:r>
        <w:rPr>
          <w:rFonts w:ascii="Times New Roman" w:hAnsi="Times New Roman" w:cs="Times New Roman"/>
        </w:rPr>
        <w:t xml:space="preserve">, 2019). The program also aims to educate people about the possible remedies as well as assistance for quitting the use of drugs and to conduct various programs for educating the people about increasing confidence, ensuring interpersonal growth among the young people, and many others. Considering the </w:t>
      </w:r>
      <w:r>
        <w:rPr>
          <w:rFonts w:ascii="Times New Roman" w:hAnsi="Times New Roman" w:cs="Times New Roman"/>
          <w:b/>
          <w:i/>
        </w:rPr>
        <w:t>"Drugs - The Truth" program</w:t>
      </w:r>
      <w:r>
        <w:rPr>
          <w:rFonts w:ascii="Times New Roman" w:hAnsi="Times New Roman" w:cs="Times New Roman"/>
        </w:rPr>
        <w:t xml:space="preserve">, the major objectives that are focused on by Drug Watch Foundation include spreading awareness about the hazards of using drugs, providing educational resources to the </w:t>
      </w:r>
      <w:r>
        <w:rPr>
          <w:rFonts w:ascii="Times New Roman" w:hAnsi="Times New Roman" w:cs="Times New Roman"/>
        </w:rPr>
        <w:lastRenderedPageBreak/>
        <w:t>school students, reducing the intake of drugs as well as alcohol among teenagers and youth within the UK (</w:t>
      </w:r>
      <w:proofErr w:type="spellStart"/>
      <w:r>
        <w:rPr>
          <w:rFonts w:ascii="Times New Roman" w:hAnsi="Times New Roman" w:cs="Times New Roman"/>
          <w:color w:val="222222"/>
          <w:highlight w:val="white"/>
        </w:rPr>
        <w:t>Drugwatchfoundation</w:t>
      </w:r>
      <w:proofErr w:type="spellEnd"/>
      <w:r>
        <w:rPr>
          <w:rFonts w:ascii="Times New Roman" w:hAnsi="Times New Roman" w:cs="Times New Roman"/>
          <w:color w:val="222222"/>
          <w:highlight w:val="white"/>
        </w:rPr>
        <w:t>, 2019)</w:t>
      </w:r>
      <w:r>
        <w:rPr>
          <w:rFonts w:ascii="Times New Roman" w:hAnsi="Times New Roman" w:cs="Times New Roman"/>
        </w:rPr>
        <w:t xml:space="preserve">. This charity organisation also aims at eliminating the taboo of talking openly about the use of drugs and its negative impacts on individuals among young people, thereby, educating them effectively and making them aware of the same. </w:t>
      </w:r>
    </w:p>
    <w:p w14:paraId="0C309E84" w14:textId="77777777" w:rsidR="003A0C65" w:rsidRDefault="009F16C3">
      <w:pPr>
        <w:rPr>
          <w:rFonts w:ascii="Times New Roman" w:hAnsi="Times New Roman" w:cs="Times New Roman"/>
        </w:rPr>
      </w:pPr>
      <w:r>
        <w:rPr>
          <w:rFonts w:ascii="Times New Roman" w:hAnsi="Times New Roman" w:cs="Times New Roman"/>
          <w:b/>
          <w:i/>
        </w:rPr>
        <w:t xml:space="preserve">Community engagement approaches </w:t>
      </w:r>
      <w:r>
        <w:rPr>
          <w:rFonts w:ascii="Times New Roman" w:hAnsi="Times New Roman" w:cs="Times New Roman"/>
        </w:rPr>
        <w:t xml:space="preserve">involve various activities like stakeholder relations, collaborative activities, social media campaigning, and many others. </w:t>
      </w:r>
      <w:r>
        <w:rPr>
          <w:rFonts w:ascii="Times New Roman" w:hAnsi="Times New Roman" w:cs="Times New Roman"/>
          <w:b/>
          <w:i/>
        </w:rPr>
        <w:t>Drug Awareness Program</w:t>
      </w:r>
      <w:r>
        <w:rPr>
          <w:rFonts w:ascii="Times New Roman" w:hAnsi="Times New Roman" w:cs="Times New Roman"/>
        </w:rPr>
        <w:t xml:space="preserve"> to be conducted by Hope, UK will be performed by involving wide diversified range of individuals like health services, medical professionals, community workers, psychologists, and many others. The charity organisation will be collaborating with former drug addicts, social workers, aid workers, doctors, and many others to successfully organising the overall program. The essential stakeholders associated with this proposed project include the NHS, local people, and the society of the UK (</w:t>
      </w:r>
      <w:proofErr w:type="spellStart"/>
      <w:r>
        <w:rPr>
          <w:rFonts w:ascii="Times New Roman" w:hAnsi="Times New Roman" w:cs="Times New Roman"/>
        </w:rPr>
        <w:t>Hopeuk</w:t>
      </w:r>
      <w:proofErr w:type="spellEnd"/>
      <w:r>
        <w:rPr>
          <w:rFonts w:ascii="Times New Roman" w:hAnsi="Times New Roman" w:cs="Times New Roman"/>
        </w:rPr>
        <w:t xml:space="preserve">, 2019). Amazon has collaborated with Hope, UK, and is responsible for funding the overall project. This program will be aiming to target the people addicted to drugs, trying to analyse and assess them, and prevent them from using the same, hence contributing to a drug-free society. Local people of the UK will be involved in this program for participating in various campaigns, hence, spreading awareness about the negative influences of drugs on the mental and physical health of an individual. </w:t>
      </w:r>
    </w:p>
    <w:p w14:paraId="403DF489" w14:textId="77777777" w:rsidR="003A0C65" w:rsidRDefault="009F16C3">
      <w:pPr>
        <w:rPr>
          <w:rFonts w:ascii="Times New Roman" w:hAnsi="Times New Roman" w:cs="Times New Roman"/>
        </w:rPr>
      </w:pPr>
      <w:r>
        <w:rPr>
          <w:rFonts w:ascii="Times New Roman" w:hAnsi="Times New Roman" w:cs="Times New Roman"/>
          <w:b/>
          <w:i/>
        </w:rPr>
        <w:t>“Drugs - The Truth''</w:t>
      </w:r>
      <w:r>
        <w:rPr>
          <w:rFonts w:ascii="Times New Roman" w:hAnsi="Times New Roman" w:cs="Times New Roman"/>
        </w:rPr>
        <w:t xml:space="preserve"> that has been conducted by Drug Watch Foundation involves the collaborative engagement of the students, parents, as well as various educational institutions throughout the UK. The major stakeholders who are associated with this charitable program include the different educational institutions like schools, colleges, and universities, the students, and society. This charitable organisation mainly focuses on public donations as well as corporate sponsorship for financial </w:t>
      </w:r>
      <w:proofErr w:type="spellStart"/>
      <w:r>
        <w:rPr>
          <w:rFonts w:ascii="Times New Roman" w:hAnsi="Times New Roman" w:cs="Times New Roman"/>
        </w:rPr>
        <w:t>fundings</w:t>
      </w:r>
      <w:proofErr w:type="spellEnd"/>
      <w:r>
        <w:rPr>
          <w:rFonts w:ascii="Times New Roman" w:hAnsi="Times New Roman" w:cs="Times New Roman"/>
        </w:rPr>
        <w:t xml:space="preserve"> (</w:t>
      </w:r>
      <w:proofErr w:type="spellStart"/>
      <w:r>
        <w:rPr>
          <w:rFonts w:ascii="Times New Roman" w:hAnsi="Times New Roman" w:cs="Times New Roman"/>
          <w:color w:val="222222"/>
          <w:highlight w:val="white"/>
        </w:rPr>
        <w:t>Drugwatchfoundation</w:t>
      </w:r>
      <w:proofErr w:type="spellEnd"/>
      <w:r>
        <w:rPr>
          <w:rFonts w:ascii="Times New Roman" w:hAnsi="Times New Roman" w:cs="Times New Roman"/>
          <w:color w:val="222222"/>
          <w:highlight w:val="white"/>
        </w:rPr>
        <w:t>, 2019)</w:t>
      </w:r>
      <w:r>
        <w:rPr>
          <w:rFonts w:ascii="Times New Roman" w:hAnsi="Times New Roman" w:cs="Times New Roman"/>
        </w:rPr>
        <w:t xml:space="preserve">. The major approach that has been incorporated by the charity organisation mainly includes educational resources. These educational resources are being provided to the various colleges and schools for informing the students about drugs and their negative impact. According to the viewpoint of the Drug Watch Foundation, the students have the complete right of gaining the right information as well as facts. The mission of this charity organisation is to "educate before rehabilitate". Hence, the various approaches incorporated by Drug Watch Foundation also include the supply of educational brochures, leaflets, workshops, as well as PowerPoint </w:t>
      </w:r>
      <w:r>
        <w:rPr>
          <w:rFonts w:ascii="Times New Roman" w:hAnsi="Times New Roman" w:cs="Times New Roman"/>
        </w:rPr>
        <w:lastRenderedPageBreak/>
        <w:t>presentations to the various schools throughout the UK for making the students aware and educating them about Drug use along with its negative impacts (</w:t>
      </w:r>
      <w:proofErr w:type="spellStart"/>
      <w:r>
        <w:rPr>
          <w:rFonts w:ascii="Times New Roman" w:hAnsi="Times New Roman" w:cs="Times New Roman"/>
          <w:color w:val="222222"/>
          <w:highlight w:val="white"/>
        </w:rPr>
        <w:t>Drugwatchfoundation</w:t>
      </w:r>
      <w:proofErr w:type="spellEnd"/>
      <w:r>
        <w:rPr>
          <w:rFonts w:ascii="Times New Roman" w:hAnsi="Times New Roman" w:cs="Times New Roman"/>
          <w:color w:val="222222"/>
          <w:highlight w:val="white"/>
        </w:rPr>
        <w:t>, 2019)</w:t>
      </w:r>
      <w:r>
        <w:rPr>
          <w:rFonts w:ascii="Times New Roman" w:hAnsi="Times New Roman" w:cs="Times New Roman"/>
        </w:rPr>
        <w:t xml:space="preserve">. </w:t>
      </w:r>
    </w:p>
    <w:p w14:paraId="23DB09A8" w14:textId="77777777" w:rsidR="003A0C65" w:rsidRDefault="009F16C3">
      <w:pPr>
        <w:rPr>
          <w:rFonts w:ascii="Times New Roman" w:hAnsi="Times New Roman" w:cs="Times New Roman"/>
        </w:rPr>
      </w:pPr>
      <w:r>
        <w:rPr>
          <w:rFonts w:ascii="Times New Roman" w:hAnsi="Times New Roman" w:cs="Times New Roman"/>
          <w:b/>
          <w:i/>
        </w:rPr>
        <w:t>Social media</w:t>
      </w:r>
      <w:r>
        <w:rPr>
          <w:rFonts w:ascii="Times New Roman" w:hAnsi="Times New Roman" w:cs="Times New Roman"/>
        </w:rPr>
        <w:t xml:space="preserve"> plays an effective role in modern times for connecting with the maximum number of people with the help of the internet. According to reports, more than 48 million people use various social media platforms throughout the UK that comprises more than 67% of the total population of the UK as recorded in 2020. The average time spent by a UK user on social media platforms is 110 minutes per day. Hence, these platforms can be considered as a major community engagement approach for business organisations. </w:t>
      </w:r>
      <w:r>
        <w:rPr>
          <w:rFonts w:ascii="Times New Roman" w:hAnsi="Times New Roman" w:cs="Times New Roman"/>
          <w:b/>
          <w:i/>
        </w:rPr>
        <w:t>Considering Hope UK</w:t>
      </w:r>
      <w:r>
        <w:rPr>
          <w:rFonts w:ascii="Times New Roman" w:hAnsi="Times New Roman" w:cs="Times New Roman"/>
        </w:rPr>
        <w:t>, the charity organisation will be using various social media platforms for enhancing the reach of the proposed project throughout the UK. The charity organisation has a Facebook page through which it will promote the Drug Awareness Project (</w:t>
      </w:r>
      <w:proofErr w:type="spellStart"/>
      <w:r>
        <w:rPr>
          <w:rFonts w:ascii="Times New Roman" w:hAnsi="Times New Roman" w:cs="Times New Roman"/>
        </w:rPr>
        <w:t>Hopeuk</w:t>
      </w:r>
      <w:proofErr w:type="spellEnd"/>
      <w:r>
        <w:rPr>
          <w:rFonts w:ascii="Times New Roman" w:hAnsi="Times New Roman" w:cs="Times New Roman"/>
        </w:rPr>
        <w:t xml:space="preserve">, 2019). Relevant content like information, images, and videos will be uploaded to the Facebook page that will help the charity organisation in connecting with the maximum number of targeted individuals. Hope UK has an official page on Instagram through which various images and videos of 1-minute duration will be uploaded for ensuring the successful spreading of public awareness among the people of the UK related to drug use. Using Twitter, another mostly used social media platform, Hope UK will also be sharing short blogs and videos relevant to the chosen project, hence, ensuring high public awareness. </w:t>
      </w:r>
    </w:p>
    <w:p w14:paraId="250E3C5D" w14:textId="77777777" w:rsidR="003A0C65" w:rsidRDefault="009F16C3">
      <w:pPr>
        <w:rPr>
          <w:rFonts w:ascii="Times New Roman" w:hAnsi="Times New Roman" w:cs="Times New Roman"/>
        </w:rPr>
      </w:pPr>
      <w:r>
        <w:rPr>
          <w:rFonts w:ascii="Times New Roman" w:hAnsi="Times New Roman" w:cs="Times New Roman"/>
        </w:rPr>
        <w:t xml:space="preserve">Considering the </w:t>
      </w:r>
      <w:r>
        <w:rPr>
          <w:rFonts w:ascii="Times New Roman" w:hAnsi="Times New Roman" w:cs="Times New Roman"/>
          <w:b/>
          <w:i/>
        </w:rPr>
        <w:t>Drug Watch Foundation</w:t>
      </w:r>
      <w:r>
        <w:rPr>
          <w:rFonts w:ascii="Times New Roman" w:hAnsi="Times New Roman" w:cs="Times New Roman"/>
        </w:rPr>
        <w:t>, the charity organisation mainly uses its official website for connecting with the targeted educational institutions. Online availability of educational brochures and other study materials through the official website of the charity organisation can also be considered as an effective approach. In addition to these, the charity organisation has a Facebook page where it posts various relevant contents like images, videos, and others for ensuring high public awareness among the students and their respective family members. With the help of the Facebook page, the charity organisation has been able to connect with the student users along with various schools throughout the UK (</w:t>
      </w:r>
      <w:proofErr w:type="spellStart"/>
      <w:r>
        <w:rPr>
          <w:rFonts w:ascii="Times New Roman" w:hAnsi="Times New Roman" w:cs="Times New Roman"/>
          <w:color w:val="222222"/>
          <w:highlight w:val="white"/>
        </w:rPr>
        <w:t>Drugwatchfoundation</w:t>
      </w:r>
      <w:proofErr w:type="spellEnd"/>
      <w:r>
        <w:rPr>
          <w:rFonts w:ascii="Times New Roman" w:hAnsi="Times New Roman" w:cs="Times New Roman"/>
          <w:color w:val="222222"/>
          <w:highlight w:val="white"/>
        </w:rPr>
        <w:t>, 2019)</w:t>
      </w:r>
      <w:r>
        <w:rPr>
          <w:rFonts w:ascii="Times New Roman" w:hAnsi="Times New Roman" w:cs="Times New Roman"/>
        </w:rPr>
        <w:t>. Drug Watch Foundation also has a page on LinkedIn through which it is able to connect with the corporates for funding purposes as well as with the higher authorities of various UK schools for educating the students, hence, providing them with appropriate information about the hazards of using drugs as well as alcohol.</w:t>
      </w:r>
    </w:p>
    <w:p w14:paraId="2E2E7675" w14:textId="77777777" w:rsidR="003A0C65" w:rsidRDefault="009F16C3">
      <w:pPr>
        <w:rPr>
          <w:rFonts w:ascii="Times New Roman" w:hAnsi="Times New Roman" w:cs="Times New Roman"/>
        </w:rPr>
      </w:pPr>
      <w:r>
        <w:rPr>
          <w:rFonts w:ascii="Times New Roman" w:hAnsi="Times New Roman" w:cs="Times New Roman"/>
        </w:rPr>
        <w:lastRenderedPageBreak/>
        <w:t>After comparing as well as analysing the various community engagement activities incorporated by the two selected charity organisations, I have been able to identify that the social media activities performed by Hope UK are more beneficial than that of the Drug Watch Foundation. Hope UK uses multiple social media platforms that in turn helps in connecting with the maximum number of people in comparison to the Drug Watch Foundation. Hence, the latter organisation needs to enhance the use of other additional social media platforms for ensuring improved public awareness. On the other hand, I have been able to identify that the targeted individuals of the Drug Watch Foundation are also more beneficial in comparison to the other charity organisation. According to reports, 21% of teenagers tend to become drug addicts due to a lack of proper knowledge about its hazardous impact (ONS, 2020). Hence, Hope UK needs to target children and teenagers for spreading enhanced drugs awareness.</w:t>
      </w:r>
    </w:p>
    <w:p w14:paraId="47832299" w14:textId="77777777" w:rsidR="003A0C65" w:rsidRDefault="009F16C3">
      <w:pPr>
        <w:rPr>
          <w:rFonts w:ascii="Times New Roman" w:hAnsi="Times New Roman" w:cs="Times New Roman"/>
        </w:rPr>
      </w:pPr>
      <w:r>
        <w:rPr>
          <w:rFonts w:ascii="Times New Roman" w:hAnsi="Times New Roman" w:cs="Times New Roman"/>
        </w:rPr>
        <w:t xml:space="preserve">Local community commitment is founded on the vote-based belief that everyone affected by an issue that affects their community should have a say in the dynamics surrounding it. It also ensures that public cooperation can influence decisions that affect the organisation of administrations, future dreams, and the manageability of the networks (Jung and Kim, 2018). Therefore, effective communication must be present in Hope UK. Communication in community engagement focuses on improving communication between those promoting change that will significantly impact the working surroundings of individuals from participating networks and those with whom they collaborate to fulfil their dreams. Hope UK must maintain open lines of communication among all venture members and organisations involved in local area development pushes in taking an interest network. </w:t>
      </w:r>
      <w:proofErr w:type="gramStart"/>
      <w:r>
        <w:rPr>
          <w:rFonts w:ascii="Times New Roman" w:hAnsi="Times New Roman" w:cs="Times New Roman"/>
        </w:rPr>
        <w:t>In essence, communication</w:t>
      </w:r>
      <w:proofErr w:type="gramEnd"/>
      <w:r>
        <w:rPr>
          <w:rFonts w:ascii="Times New Roman" w:hAnsi="Times New Roman" w:cs="Times New Roman"/>
        </w:rPr>
        <w:t xml:space="preserve"> is the livewire of community engagement, and it is described through a variety of exercises. According to Dumlao (2018), Without effective communication, things could go haywire and create conflicts among the participants. In the absence of communication, </w:t>
      </w:r>
      <w:proofErr w:type="gramStart"/>
      <w:r>
        <w:rPr>
          <w:rFonts w:ascii="Times New Roman" w:hAnsi="Times New Roman" w:cs="Times New Roman"/>
        </w:rPr>
        <w:t>No</w:t>
      </w:r>
      <w:proofErr w:type="gramEnd"/>
      <w:r>
        <w:rPr>
          <w:rFonts w:ascii="Times New Roman" w:hAnsi="Times New Roman" w:cs="Times New Roman"/>
        </w:rPr>
        <w:t xml:space="preserve"> data will be shared with significant partners to advance the improvement of the local region. </w:t>
      </w:r>
    </w:p>
    <w:p w14:paraId="0CD314FD" w14:textId="77777777" w:rsidR="003A0C65" w:rsidRDefault="009F16C3">
      <w:pPr>
        <w:rPr>
          <w:rFonts w:ascii="Times New Roman" w:hAnsi="Times New Roman" w:cs="Times New Roman"/>
        </w:rPr>
      </w:pPr>
      <w:r>
        <w:rPr>
          <w:rFonts w:ascii="Times New Roman" w:hAnsi="Times New Roman" w:cs="Times New Roman"/>
        </w:rPr>
        <w:t xml:space="preserve">Similarly, active </w:t>
      </w:r>
      <w:proofErr w:type="gramStart"/>
      <w:r>
        <w:rPr>
          <w:rFonts w:ascii="Times New Roman" w:hAnsi="Times New Roman" w:cs="Times New Roman"/>
        </w:rPr>
        <w:t>stakeholders</w:t>
      </w:r>
      <w:proofErr w:type="gramEnd"/>
      <w:r>
        <w:rPr>
          <w:rFonts w:ascii="Times New Roman" w:hAnsi="Times New Roman" w:cs="Times New Roman"/>
        </w:rPr>
        <w:t xml:space="preserve"> participation is a necessary piece of the puzzle in effective community engagement. Stakeholders who are part of a community engagement can be crucial. This is because local partners occasionally have skills and qualities that organisations require and can contribute significantly to projects (Cox </w:t>
      </w:r>
      <w:r>
        <w:rPr>
          <w:rFonts w:ascii="Times New Roman" w:hAnsi="Times New Roman" w:cs="Times New Roman"/>
          <w:i/>
        </w:rPr>
        <w:t>et al.,</w:t>
      </w:r>
      <w:r>
        <w:rPr>
          <w:rFonts w:ascii="Times New Roman" w:hAnsi="Times New Roman" w:cs="Times New Roman"/>
        </w:rPr>
        <w:t xml:space="preserve"> 2019). Putting an emphasis on partners and learning about program planning, execution, executives, and assessment can lead </w:t>
      </w:r>
      <w:r>
        <w:rPr>
          <w:rFonts w:ascii="Times New Roman" w:hAnsi="Times New Roman" w:cs="Times New Roman"/>
        </w:rPr>
        <w:lastRenderedPageBreak/>
        <w:t xml:space="preserve">to significant learning opportunities for Hope UK. According to </w:t>
      </w:r>
      <w:proofErr w:type="spellStart"/>
      <w:r>
        <w:rPr>
          <w:rFonts w:ascii="Times New Roman" w:hAnsi="Times New Roman" w:cs="Times New Roman"/>
        </w:rPr>
        <w:t>Adriof</w:t>
      </w:r>
      <w:proofErr w:type="spellEnd"/>
      <w:r>
        <w:rPr>
          <w:rFonts w:ascii="Times New Roman" w:hAnsi="Times New Roman" w:cs="Times New Roman"/>
        </w:rPr>
        <w:t xml:space="preserve"> and </w:t>
      </w:r>
      <w:proofErr w:type="spellStart"/>
      <w:r>
        <w:rPr>
          <w:rFonts w:ascii="Times New Roman" w:hAnsi="Times New Roman" w:cs="Times New Roman"/>
        </w:rPr>
        <w:t>Waddock</w:t>
      </w:r>
      <w:proofErr w:type="spellEnd"/>
      <w:r>
        <w:rPr>
          <w:rFonts w:ascii="Times New Roman" w:hAnsi="Times New Roman" w:cs="Times New Roman"/>
        </w:rPr>
        <w:t xml:space="preserve"> (2017), allowing partners to express their thoughts and feelings can profoundly impact relationships, making partners feel valued and loved. Accepting cooperation and partner voices is a crucial step that can have a long-term impact on organisations. Cooperation encourages various viewpoints from multiple participants, resulting in a more developed effect and profit from the enterprise. Recognising all partner groups that can contribute to a good effect by accepting the feedback of external partners is extremely important for community engagement (</w:t>
      </w:r>
      <w:proofErr w:type="spellStart"/>
      <w:r>
        <w:rPr>
          <w:rFonts w:ascii="Times New Roman" w:hAnsi="Times New Roman" w:cs="Times New Roman"/>
        </w:rPr>
        <w:t>Andriof</w:t>
      </w:r>
      <w:proofErr w:type="spellEnd"/>
      <w:r>
        <w:rPr>
          <w:rFonts w:ascii="Times New Roman" w:hAnsi="Times New Roman" w:cs="Times New Roman"/>
        </w:rPr>
        <w:t xml:space="preserve"> </w:t>
      </w:r>
      <w:r>
        <w:rPr>
          <w:rFonts w:ascii="Times New Roman" w:hAnsi="Times New Roman" w:cs="Times New Roman"/>
          <w:i/>
        </w:rPr>
        <w:t>et al.,</w:t>
      </w:r>
      <w:r>
        <w:rPr>
          <w:rFonts w:ascii="Times New Roman" w:hAnsi="Times New Roman" w:cs="Times New Roman"/>
        </w:rPr>
        <w:t xml:space="preserve"> 2017). Furthermore, partner experiences reduce risk while increasing maintainability. With a lack of active stakeholder participation, the overall motivation of the community may end. It would be deprived and lose the goal and overall objective of the community. </w:t>
      </w:r>
    </w:p>
    <w:p w14:paraId="18D8D361" w14:textId="77777777" w:rsidR="003A0C65" w:rsidRDefault="009F16C3">
      <w:pPr>
        <w:rPr>
          <w:rFonts w:ascii="Times New Roman" w:hAnsi="Times New Roman" w:cs="Times New Roman"/>
          <w:i/>
        </w:rPr>
      </w:pPr>
      <w:r>
        <w:rPr>
          <w:rFonts w:ascii="Times New Roman" w:hAnsi="Times New Roman" w:cs="Times New Roman"/>
        </w:rPr>
        <w:t>Inclusion is defined as a process of improving opportunities, access to assets, voice, and respect for rights in society for people who are disenfranchised due to their age, sex, inability, race, identity, orientation, religion, or financial or other position (</w:t>
      </w:r>
      <w:proofErr w:type="spellStart"/>
      <w:r>
        <w:rPr>
          <w:rFonts w:ascii="Times New Roman" w:hAnsi="Times New Roman" w:cs="Times New Roman"/>
        </w:rPr>
        <w:t>Borgi</w:t>
      </w:r>
      <w:proofErr w:type="spellEnd"/>
      <w:r>
        <w:rPr>
          <w:rFonts w:ascii="Times New Roman" w:hAnsi="Times New Roman" w:cs="Times New Roman"/>
        </w:rPr>
        <w:t xml:space="preserve"> </w:t>
      </w:r>
      <w:r>
        <w:rPr>
          <w:rFonts w:ascii="Times New Roman" w:hAnsi="Times New Roman" w:cs="Times New Roman"/>
          <w:i/>
        </w:rPr>
        <w:t>et al.,</w:t>
      </w:r>
      <w:r>
        <w:rPr>
          <w:rFonts w:ascii="Times New Roman" w:hAnsi="Times New Roman" w:cs="Times New Roman"/>
        </w:rPr>
        <w:t xml:space="preserve"> 2020). Individuals with disabilities are put to the ultimate test when it comes to community engagement. According to </w:t>
      </w:r>
      <w:proofErr w:type="spellStart"/>
      <w:r>
        <w:rPr>
          <w:rFonts w:ascii="Times New Roman" w:hAnsi="Times New Roman" w:cs="Times New Roman"/>
        </w:rPr>
        <w:t>Borgi</w:t>
      </w:r>
      <w:proofErr w:type="spellEnd"/>
      <w:r>
        <w:rPr>
          <w:rFonts w:ascii="Times New Roman" w:hAnsi="Times New Roman" w:cs="Times New Roman"/>
        </w:rPr>
        <w:t xml:space="preserve"> (2020), Individuals with intellectual and formative disabilities rarely participate in community activities or employment that allows them to demonstrate their abilities, create relationships with others, gain recognition and regard, learn new skills, or have fun.  Inclusion here plays a significant role in advancing the overall community engagement experience for the disabled. It enriches the lives of our relatives; it energises them and meets their need for human collaboration. It is a method of enhancing one's knowledge in preparation for future business and daily life (</w:t>
      </w:r>
      <w:proofErr w:type="spellStart"/>
      <w:r>
        <w:rPr>
          <w:rFonts w:ascii="Times New Roman" w:hAnsi="Times New Roman" w:cs="Times New Roman"/>
        </w:rPr>
        <w:t>Konsti-Laakso</w:t>
      </w:r>
      <w:proofErr w:type="spellEnd"/>
      <w:r>
        <w:rPr>
          <w:rFonts w:ascii="Times New Roman" w:hAnsi="Times New Roman" w:cs="Times New Roman"/>
        </w:rPr>
        <w:t xml:space="preserve"> and Rantala, 2018).</w:t>
      </w:r>
    </w:p>
    <w:p w14:paraId="5131DCD2" w14:textId="77777777" w:rsidR="003A0C65" w:rsidRDefault="009F16C3">
      <w:pPr>
        <w:pStyle w:val="Heading1"/>
        <w:rPr>
          <w:rFonts w:ascii="Times New Roman" w:hAnsi="Times New Roman" w:cs="Times New Roman"/>
        </w:rPr>
      </w:pPr>
      <w:bookmarkStart w:id="3" w:name="_Toc80281405"/>
      <w:r>
        <w:rPr>
          <w:rFonts w:ascii="Times New Roman" w:hAnsi="Times New Roman" w:cs="Times New Roman"/>
        </w:rPr>
        <w:t>Conclusion</w:t>
      </w:r>
      <w:bookmarkEnd w:id="3"/>
    </w:p>
    <w:p w14:paraId="0FC86344" w14:textId="77777777" w:rsidR="005A2C5D" w:rsidRDefault="009F16C3" w:rsidP="005A2C5D">
      <w:pPr>
        <w:rPr>
          <w:rFonts w:ascii="Times New Roman" w:hAnsi="Times New Roman" w:cs="Times New Roman"/>
        </w:rPr>
      </w:pPr>
      <w:bookmarkStart w:id="4" w:name="_heading=h.mxcu3r7jjv5l" w:colFirst="0" w:colLast="0"/>
      <w:bookmarkEnd w:id="4"/>
      <w:r w:rsidRPr="00C36D77">
        <w:rPr>
          <w:rFonts w:ascii="Times New Roman" w:hAnsi="Times New Roman" w:cs="Times New Roman"/>
        </w:rPr>
        <w:t xml:space="preserve">In conclusion, the report has been able to identify the various community engagement approaches that are being implemented by various business organisations. Stakeholder relations, collaborative activities, social media campaigning, and many others are some of the major approaches for ensuring the effective engagement of the community. The report has further compared the chosen project with another project conducted by any charity organisation. Effective role communication along with inclusion and stakeholder participation has also been evaluated in an effective manner. </w:t>
      </w:r>
      <w:bookmarkStart w:id="5" w:name="_Toc80281406"/>
    </w:p>
    <w:p w14:paraId="6EFF9426" w14:textId="7E0137D8" w:rsidR="003A0C65" w:rsidRPr="005A2C5D" w:rsidRDefault="009F16C3" w:rsidP="005A2C5D">
      <w:pPr>
        <w:rPr>
          <w:rFonts w:ascii="Times New Roman" w:hAnsi="Times New Roman" w:cs="Times New Roman"/>
          <w:b/>
          <w:bCs/>
        </w:rPr>
      </w:pPr>
      <w:r w:rsidRPr="005A2C5D">
        <w:rPr>
          <w:rFonts w:ascii="Times New Roman" w:hAnsi="Times New Roman" w:cs="Times New Roman"/>
          <w:b/>
          <w:bCs/>
        </w:rPr>
        <w:lastRenderedPageBreak/>
        <w:t>References</w:t>
      </w:r>
      <w:bookmarkEnd w:id="5"/>
    </w:p>
    <w:p w14:paraId="5DE35736" w14:textId="77777777" w:rsidR="003A0C65" w:rsidRDefault="009F16C3">
      <w:pPr>
        <w:rPr>
          <w:rFonts w:ascii="Times New Roman" w:hAnsi="Times New Roman" w:cs="Times New Roman"/>
          <w:color w:val="000000" w:themeColor="text1"/>
          <w:highlight w:val="white"/>
        </w:rPr>
      </w:pPr>
      <w:proofErr w:type="spellStart"/>
      <w:r>
        <w:rPr>
          <w:rFonts w:ascii="Times New Roman" w:hAnsi="Times New Roman" w:cs="Times New Roman"/>
          <w:color w:val="000000" w:themeColor="text1"/>
          <w:highlight w:val="white"/>
        </w:rPr>
        <w:t>Andriof</w:t>
      </w:r>
      <w:proofErr w:type="spellEnd"/>
      <w:r>
        <w:rPr>
          <w:rFonts w:ascii="Times New Roman" w:hAnsi="Times New Roman" w:cs="Times New Roman"/>
          <w:color w:val="000000" w:themeColor="text1"/>
          <w:highlight w:val="white"/>
        </w:rPr>
        <w:t xml:space="preserve">, J. and </w:t>
      </w:r>
      <w:proofErr w:type="spellStart"/>
      <w:r>
        <w:rPr>
          <w:rFonts w:ascii="Times New Roman" w:hAnsi="Times New Roman" w:cs="Times New Roman"/>
          <w:color w:val="000000" w:themeColor="text1"/>
          <w:highlight w:val="white"/>
        </w:rPr>
        <w:t>Waddock</w:t>
      </w:r>
      <w:proofErr w:type="spellEnd"/>
      <w:r>
        <w:rPr>
          <w:rFonts w:ascii="Times New Roman" w:hAnsi="Times New Roman" w:cs="Times New Roman"/>
          <w:color w:val="000000" w:themeColor="text1"/>
          <w:highlight w:val="white"/>
        </w:rPr>
        <w:t xml:space="preserve">, S., 2017. Unfolding stakeholder engagement. In </w:t>
      </w:r>
      <w:r>
        <w:rPr>
          <w:rFonts w:ascii="Times New Roman" w:hAnsi="Times New Roman" w:cs="Times New Roman"/>
          <w:i/>
          <w:color w:val="000000" w:themeColor="text1"/>
          <w:highlight w:val="white"/>
        </w:rPr>
        <w:t>Unfolding stakeholder thinking</w:t>
      </w:r>
      <w:r>
        <w:rPr>
          <w:rFonts w:ascii="Times New Roman" w:hAnsi="Times New Roman" w:cs="Times New Roman"/>
          <w:color w:val="000000" w:themeColor="text1"/>
          <w:highlight w:val="white"/>
        </w:rPr>
        <w:t xml:space="preserve"> (pp. 19-42). Routledge.</w:t>
      </w:r>
    </w:p>
    <w:p w14:paraId="7595918C" w14:textId="77777777" w:rsidR="003A0C65" w:rsidRDefault="009F16C3">
      <w:pPr>
        <w:rPr>
          <w:rFonts w:ascii="Times New Roman" w:hAnsi="Times New Roman" w:cs="Times New Roman"/>
          <w:color w:val="000000" w:themeColor="text1"/>
        </w:rPr>
      </w:pPr>
      <w:r>
        <w:rPr>
          <w:rFonts w:ascii="Times New Roman" w:hAnsi="Times New Roman" w:cs="Times New Roman"/>
          <w:color w:val="000000" w:themeColor="text1"/>
          <w:highlight w:val="white"/>
        </w:rPr>
        <w:t xml:space="preserve">Barnes, M. and Schmitz, P., 2016. Community engagement matters (now more than ever). </w:t>
      </w:r>
      <w:r>
        <w:rPr>
          <w:rFonts w:ascii="Times New Roman" w:hAnsi="Times New Roman" w:cs="Times New Roman"/>
          <w:i/>
          <w:color w:val="000000" w:themeColor="text1"/>
          <w:highlight w:val="white"/>
        </w:rPr>
        <w:t>Stanford Social Innovation Review</w:t>
      </w:r>
      <w:r>
        <w:rPr>
          <w:rFonts w:ascii="Times New Roman" w:hAnsi="Times New Roman" w:cs="Times New Roman"/>
          <w:color w:val="000000" w:themeColor="text1"/>
          <w:highlight w:val="white"/>
        </w:rPr>
        <w:t xml:space="preserve">, </w:t>
      </w:r>
      <w:r>
        <w:rPr>
          <w:rFonts w:ascii="Times New Roman" w:hAnsi="Times New Roman" w:cs="Times New Roman"/>
          <w:i/>
          <w:color w:val="000000" w:themeColor="text1"/>
          <w:highlight w:val="white"/>
        </w:rPr>
        <w:t>14</w:t>
      </w:r>
      <w:r>
        <w:rPr>
          <w:rFonts w:ascii="Times New Roman" w:hAnsi="Times New Roman" w:cs="Times New Roman"/>
          <w:color w:val="000000" w:themeColor="text1"/>
          <w:highlight w:val="white"/>
        </w:rPr>
        <w:t>(2), pp.32-39.</w:t>
      </w:r>
    </w:p>
    <w:p w14:paraId="05FDAD63" w14:textId="77777777" w:rsidR="003A0C65" w:rsidRDefault="009F16C3">
      <w:pPr>
        <w:rPr>
          <w:rFonts w:ascii="Times New Roman" w:hAnsi="Times New Roman" w:cs="Times New Roman"/>
          <w:color w:val="000000" w:themeColor="text1"/>
          <w:highlight w:val="white"/>
        </w:rPr>
      </w:pPr>
      <w:proofErr w:type="spellStart"/>
      <w:r>
        <w:rPr>
          <w:rFonts w:ascii="Times New Roman" w:hAnsi="Times New Roman" w:cs="Times New Roman"/>
          <w:color w:val="000000" w:themeColor="text1"/>
          <w:highlight w:val="white"/>
        </w:rPr>
        <w:t>Borgi</w:t>
      </w:r>
      <w:proofErr w:type="spellEnd"/>
      <w:r>
        <w:rPr>
          <w:rFonts w:ascii="Times New Roman" w:hAnsi="Times New Roman" w:cs="Times New Roman"/>
          <w:color w:val="000000" w:themeColor="text1"/>
          <w:highlight w:val="white"/>
        </w:rPr>
        <w:t xml:space="preserve">, M., </w:t>
      </w:r>
      <w:proofErr w:type="spellStart"/>
      <w:r>
        <w:rPr>
          <w:rFonts w:ascii="Times New Roman" w:hAnsi="Times New Roman" w:cs="Times New Roman"/>
          <w:color w:val="000000" w:themeColor="text1"/>
          <w:highlight w:val="white"/>
        </w:rPr>
        <w:t>Collacchi</w:t>
      </w:r>
      <w:proofErr w:type="spellEnd"/>
      <w:r>
        <w:rPr>
          <w:rFonts w:ascii="Times New Roman" w:hAnsi="Times New Roman" w:cs="Times New Roman"/>
          <w:color w:val="000000" w:themeColor="text1"/>
          <w:highlight w:val="white"/>
        </w:rPr>
        <w:t xml:space="preserve">, B., </w:t>
      </w:r>
      <w:proofErr w:type="spellStart"/>
      <w:r>
        <w:rPr>
          <w:rFonts w:ascii="Times New Roman" w:hAnsi="Times New Roman" w:cs="Times New Roman"/>
          <w:color w:val="000000" w:themeColor="text1"/>
          <w:highlight w:val="white"/>
        </w:rPr>
        <w:t>Correale</w:t>
      </w:r>
      <w:proofErr w:type="spellEnd"/>
      <w:r>
        <w:rPr>
          <w:rFonts w:ascii="Times New Roman" w:hAnsi="Times New Roman" w:cs="Times New Roman"/>
          <w:color w:val="000000" w:themeColor="text1"/>
          <w:highlight w:val="white"/>
        </w:rPr>
        <w:t xml:space="preserve">, C., </w:t>
      </w:r>
      <w:proofErr w:type="spellStart"/>
      <w:r>
        <w:rPr>
          <w:rFonts w:ascii="Times New Roman" w:hAnsi="Times New Roman" w:cs="Times New Roman"/>
          <w:color w:val="000000" w:themeColor="text1"/>
          <w:highlight w:val="white"/>
        </w:rPr>
        <w:t>Marcolin</w:t>
      </w:r>
      <w:proofErr w:type="spellEnd"/>
      <w:r>
        <w:rPr>
          <w:rFonts w:ascii="Times New Roman" w:hAnsi="Times New Roman" w:cs="Times New Roman"/>
          <w:color w:val="000000" w:themeColor="text1"/>
          <w:highlight w:val="white"/>
        </w:rPr>
        <w:t xml:space="preserve">, M., </w:t>
      </w:r>
      <w:proofErr w:type="spellStart"/>
      <w:r>
        <w:rPr>
          <w:rFonts w:ascii="Times New Roman" w:hAnsi="Times New Roman" w:cs="Times New Roman"/>
          <w:color w:val="000000" w:themeColor="text1"/>
          <w:highlight w:val="white"/>
        </w:rPr>
        <w:t>Tomasin</w:t>
      </w:r>
      <w:proofErr w:type="spellEnd"/>
      <w:r>
        <w:rPr>
          <w:rFonts w:ascii="Times New Roman" w:hAnsi="Times New Roman" w:cs="Times New Roman"/>
          <w:color w:val="000000" w:themeColor="text1"/>
          <w:highlight w:val="white"/>
        </w:rPr>
        <w:t xml:space="preserve">, P., </w:t>
      </w:r>
      <w:proofErr w:type="spellStart"/>
      <w:r>
        <w:rPr>
          <w:rFonts w:ascii="Times New Roman" w:hAnsi="Times New Roman" w:cs="Times New Roman"/>
          <w:color w:val="000000" w:themeColor="text1"/>
          <w:highlight w:val="white"/>
        </w:rPr>
        <w:t>Grizzo</w:t>
      </w:r>
      <w:proofErr w:type="spellEnd"/>
      <w:r>
        <w:rPr>
          <w:rFonts w:ascii="Times New Roman" w:hAnsi="Times New Roman" w:cs="Times New Roman"/>
          <w:color w:val="000000" w:themeColor="text1"/>
          <w:highlight w:val="white"/>
        </w:rPr>
        <w:t xml:space="preserve">, A., </w:t>
      </w:r>
      <w:proofErr w:type="spellStart"/>
      <w:r>
        <w:rPr>
          <w:rFonts w:ascii="Times New Roman" w:hAnsi="Times New Roman" w:cs="Times New Roman"/>
          <w:color w:val="000000" w:themeColor="text1"/>
          <w:highlight w:val="white"/>
        </w:rPr>
        <w:t>Orlich</w:t>
      </w:r>
      <w:proofErr w:type="spellEnd"/>
      <w:r>
        <w:rPr>
          <w:rFonts w:ascii="Times New Roman" w:hAnsi="Times New Roman" w:cs="Times New Roman"/>
          <w:color w:val="000000" w:themeColor="text1"/>
          <w:highlight w:val="white"/>
        </w:rPr>
        <w:t xml:space="preserve">, R. and </w:t>
      </w:r>
      <w:proofErr w:type="spellStart"/>
      <w:r>
        <w:rPr>
          <w:rFonts w:ascii="Times New Roman" w:hAnsi="Times New Roman" w:cs="Times New Roman"/>
          <w:color w:val="000000" w:themeColor="text1"/>
          <w:highlight w:val="white"/>
        </w:rPr>
        <w:t>Cirulli</w:t>
      </w:r>
      <w:proofErr w:type="spellEnd"/>
      <w:r>
        <w:rPr>
          <w:rFonts w:ascii="Times New Roman" w:hAnsi="Times New Roman" w:cs="Times New Roman"/>
          <w:color w:val="000000" w:themeColor="text1"/>
          <w:highlight w:val="white"/>
        </w:rPr>
        <w:t xml:space="preserve">, F., 2020. Social farming as an innovative approach to promote mental health, social inclusion and community engagement. </w:t>
      </w:r>
      <w:proofErr w:type="spellStart"/>
      <w:r>
        <w:rPr>
          <w:rFonts w:ascii="Times New Roman" w:hAnsi="Times New Roman" w:cs="Times New Roman"/>
          <w:i/>
          <w:color w:val="000000" w:themeColor="text1"/>
          <w:highlight w:val="white"/>
        </w:rPr>
        <w:t>Annali</w:t>
      </w:r>
      <w:proofErr w:type="spellEnd"/>
      <w:r>
        <w:rPr>
          <w:rFonts w:ascii="Times New Roman" w:hAnsi="Times New Roman" w:cs="Times New Roman"/>
          <w:i/>
          <w:color w:val="000000" w:themeColor="text1"/>
          <w:highlight w:val="white"/>
        </w:rPr>
        <w:t xml:space="preserve"> </w:t>
      </w:r>
      <w:proofErr w:type="spellStart"/>
      <w:r>
        <w:rPr>
          <w:rFonts w:ascii="Times New Roman" w:hAnsi="Times New Roman" w:cs="Times New Roman"/>
          <w:i/>
          <w:color w:val="000000" w:themeColor="text1"/>
          <w:highlight w:val="white"/>
        </w:rPr>
        <w:t>dell'Istituto</w:t>
      </w:r>
      <w:proofErr w:type="spellEnd"/>
      <w:r>
        <w:rPr>
          <w:rFonts w:ascii="Times New Roman" w:hAnsi="Times New Roman" w:cs="Times New Roman"/>
          <w:i/>
          <w:color w:val="000000" w:themeColor="text1"/>
          <w:highlight w:val="white"/>
        </w:rPr>
        <w:t xml:space="preserve"> </w:t>
      </w:r>
      <w:proofErr w:type="spellStart"/>
      <w:r>
        <w:rPr>
          <w:rFonts w:ascii="Times New Roman" w:hAnsi="Times New Roman" w:cs="Times New Roman"/>
          <w:i/>
          <w:color w:val="000000" w:themeColor="text1"/>
          <w:highlight w:val="white"/>
        </w:rPr>
        <w:t>superiore</w:t>
      </w:r>
      <w:proofErr w:type="spellEnd"/>
      <w:r>
        <w:rPr>
          <w:rFonts w:ascii="Times New Roman" w:hAnsi="Times New Roman" w:cs="Times New Roman"/>
          <w:i/>
          <w:color w:val="000000" w:themeColor="text1"/>
          <w:highlight w:val="white"/>
        </w:rPr>
        <w:t xml:space="preserve"> di </w:t>
      </w:r>
      <w:proofErr w:type="spellStart"/>
      <w:r>
        <w:rPr>
          <w:rFonts w:ascii="Times New Roman" w:hAnsi="Times New Roman" w:cs="Times New Roman"/>
          <w:i/>
          <w:color w:val="000000" w:themeColor="text1"/>
          <w:highlight w:val="white"/>
        </w:rPr>
        <w:t>sanita</w:t>
      </w:r>
      <w:proofErr w:type="spellEnd"/>
      <w:r>
        <w:rPr>
          <w:rFonts w:ascii="Times New Roman" w:hAnsi="Times New Roman" w:cs="Times New Roman"/>
          <w:color w:val="000000" w:themeColor="text1"/>
          <w:highlight w:val="white"/>
        </w:rPr>
        <w:t xml:space="preserve">, </w:t>
      </w:r>
      <w:r>
        <w:rPr>
          <w:rFonts w:ascii="Times New Roman" w:hAnsi="Times New Roman" w:cs="Times New Roman"/>
          <w:i/>
          <w:color w:val="000000" w:themeColor="text1"/>
          <w:highlight w:val="white"/>
        </w:rPr>
        <w:t>56</w:t>
      </w:r>
      <w:r>
        <w:rPr>
          <w:rFonts w:ascii="Times New Roman" w:hAnsi="Times New Roman" w:cs="Times New Roman"/>
          <w:color w:val="000000" w:themeColor="text1"/>
          <w:highlight w:val="white"/>
        </w:rPr>
        <w:t>(2), pp.206-214.</w:t>
      </w:r>
    </w:p>
    <w:p w14:paraId="6FF15673" w14:textId="77777777" w:rsidR="003A0C65" w:rsidRDefault="009F16C3">
      <w:pPr>
        <w:rPr>
          <w:rFonts w:ascii="Times New Roman" w:hAnsi="Times New Roman" w:cs="Times New Roman"/>
          <w:color w:val="000000" w:themeColor="text1"/>
          <w:highlight w:val="white"/>
        </w:rPr>
      </w:pPr>
      <w:r>
        <w:rPr>
          <w:rFonts w:ascii="Times New Roman" w:hAnsi="Times New Roman" w:cs="Times New Roman"/>
          <w:color w:val="000000" w:themeColor="text1"/>
          <w:highlight w:val="white"/>
        </w:rPr>
        <w:t xml:space="preserve">Cox, J.G., Chung, M., Hamm, J.A., </w:t>
      </w:r>
      <w:proofErr w:type="spellStart"/>
      <w:r>
        <w:rPr>
          <w:rFonts w:ascii="Times New Roman" w:hAnsi="Times New Roman" w:cs="Times New Roman"/>
          <w:color w:val="000000" w:themeColor="text1"/>
          <w:highlight w:val="white"/>
        </w:rPr>
        <w:t>Zwickle</w:t>
      </w:r>
      <w:proofErr w:type="spellEnd"/>
      <w:r>
        <w:rPr>
          <w:rFonts w:ascii="Times New Roman" w:hAnsi="Times New Roman" w:cs="Times New Roman"/>
          <w:color w:val="000000" w:themeColor="text1"/>
          <w:highlight w:val="white"/>
        </w:rPr>
        <w:t xml:space="preserve">, A., Cruz, S.M. and Dearing, J.W., 2019. Working with Institutional Stakeholders: Propositions for Alternative Approaches to Community Engagement. </w:t>
      </w:r>
      <w:r>
        <w:rPr>
          <w:rFonts w:ascii="Times New Roman" w:hAnsi="Times New Roman" w:cs="Times New Roman"/>
          <w:i/>
          <w:color w:val="000000" w:themeColor="text1"/>
          <w:highlight w:val="white"/>
        </w:rPr>
        <w:t>International journal of environmental research and public health</w:t>
      </w:r>
      <w:r>
        <w:rPr>
          <w:rFonts w:ascii="Times New Roman" w:hAnsi="Times New Roman" w:cs="Times New Roman"/>
          <w:color w:val="000000" w:themeColor="text1"/>
          <w:highlight w:val="white"/>
        </w:rPr>
        <w:t xml:space="preserve">, </w:t>
      </w:r>
      <w:r>
        <w:rPr>
          <w:rFonts w:ascii="Times New Roman" w:hAnsi="Times New Roman" w:cs="Times New Roman"/>
          <w:i/>
          <w:color w:val="000000" w:themeColor="text1"/>
          <w:highlight w:val="white"/>
        </w:rPr>
        <w:t>16</w:t>
      </w:r>
      <w:r>
        <w:rPr>
          <w:rFonts w:ascii="Times New Roman" w:hAnsi="Times New Roman" w:cs="Times New Roman"/>
          <w:color w:val="000000" w:themeColor="text1"/>
          <w:highlight w:val="white"/>
        </w:rPr>
        <w:t>(20), p.4010.</w:t>
      </w:r>
    </w:p>
    <w:p w14:paraId="188E6F6B" w14:textId="77777777" w:rsidR="003A0C65" w:rsidRDefault="009F16C3">
      <w:pPr>
        <w:rPr>
          <w:rFonts w:ascii="Times New Roman" w:hAnsi="Times New Roman" w:cs="Times New Roman"/>
          <w:color w:val="000000" w:themeColor="text1"/>
          <w:highlight w:val="white"/>
        </w:rPr>
      </w:pPr>
      <w:r>
        <w:rPr>
          <w:rFonts w:ascii="Times New Roman" w:hAnsi="Times New Roman" w:cs="Times New Roman"/>
          <w:color w:val="000000" w:themeColor="text1"/>
          <w:highlight w:val="white"/>
        </w:rPr>
        <w:t>Drugwatchfoundation.co.uk, 2019, About Us [Online] Available at:&lt;</w:t>
      </w:r>
      <w:hyperlink r:id="rId8" w:history="1">
        <w:r>
          <w:rPr>
            <w:rFonts w:ascii="Times New Roman" w:hAnsi="Times New Roman" w:cs="Times New Roman"/>
            <w:color w:val="000000" w:themeColor="text1"/>
            <w:highlight w:val="white"/>
          </w:rPr>
          <w:t>https://www.drugwatchfoundation.co.uk/</w:t>
        </w:r>
      </w:hyperlink>
      <w:r>
        <w:rPr>
          <w:rFonts w:ascii="Times New Roman" w:hAnsi="Times New Roman" w:cs="Times New Roman"/>
          <w:color w:val="000000" w:themeColor="text1"/>
          <w:highlight w:val="white"/>
        </w:rPr>
        <w:t>&gt; [Accessed on August 19, 2021]</w:t>
      </w:r>
    </w:p>
    <w:p w14:paraId="2B55163E" w14:textId="77777777" w:rsidR="003A0C65" w:rsidRDefault="009F16C3">
      <w:pPr>
        <w:rPr>
          <w:rFonts w:ascii="Times New Roman" w:hAnsi="Times New Roman" w:cs="Times New Roman"/>
          <w:color w:val="000000" w:themeColor="text1"/>
          <w:highlight w:val="white"/>
        </w:rPr>
      </w:pPr>
      <w:r>
        <w:rPr>
          <w:rFonts w:ascii="Times New Roman" w:hAnsi="Times New Roman" w:cs="Times New Roman"/>
          <w:color w:val="000000" w:themeColor="text1"/>
          <w:highlight w:val="white"/>
        </w:rPr>
        <w:t>Drugwatchfoundation.co.uk, 2019, Our story [Online] Available at:&lt;</w:t>
      </w:r>
      <w:hyperlink r:id="rId9" w:history="1">
        <w:r>
          <w:rPr>
            <w:rFonts w:ascii="Times New Roman" w:hAnsi="Times New Roman" w:cs="Times New Roman"/>
            <w:color w:val="000000" w:themeColor="text1"/>
            <w:highlight w:val="white"/>
          </w:rPr>
          <w:t>https://www.drugwatchfoundation.co.uk/our-story</w:t>
        </w:r>
      </w:hyperlink>
      <w:r>
        <w:rPr>
          <w:rFonts w:ascii="Times New Roman" w:hAnsi="Times New Roman" w:cs="Times New Roman"/>
          <w:color w:val="000000" w:themeColor="text1"/>
          <w:highlight w:val="white"/>
        </w:rPr>
        <w:t>&gt; [Accessed on August 19, 2021]</w:t>
      </w:r>
    </w:p>
    <w:p w14:paraId="7A430F1A" w14:textId="77777777" w:rsidR="003A0C65" w:rsidRDefault="009F16C3">
      <w:pPr>
        <w:rPr>
          <w:rFonts w:ascii="Times New Roman" w:hAnsi="Times New Roman" w:cs="Times New Roman"/>
          <w:color w:val="000000" w:themeColor="text1"/>
          <w:highlight w:val="white"/>
        </w:rPr>
      </w:pPr>
      <w:r>
        <w:rPr>
          <w:rFonts w:ascii="Times New Roman" w:hAnsi="Times New Roman" w:cs="Times New Roman"/>
          <w:color w:val="000000" w:themeColor="text1"/>
          <w:highlight w:val="white"/>
        </w:rPr>
        <w:t>Drugwatchfoundation.co.uk, 2019, Sponsorship [Online] Available at:&lt;</w:t>
      </w:r>
      <w:hyperlink r:id="rId10" w:history="1">
        <w:r>
          <w:rPr>
            <w:rFonts w:ascii="Times New Roman" w:hAnsi="Times New Roman" w:cs="Times New Roman"/>
            <w:color w:val="000000" w:themeColor="text1"/>
            <w:highlight w:val="white"/>
          </w:rPr>
          <w:t>https://www.drugwatchfoundation.co.uk/corporate-sponsorship</w:t>
        </w:r>
      </w:hyperlink>
      <w:r>
        <w:rPr>
          <w:rFonts w:ascii="Times New Roman" w:hAnsi="Times New Roman" w:cs="Times New Roman"/>
          <w:color w:val="000000" w:themeColor="text1"/>
          <w:highlight w:val="white"/>
        </w:rPr>
        <w:t>&gt; [Accessed on August 19, 2021]</w:t>
      </w:r>
    </w:p>
    <w:p w14:paraId="79A75CB1" w14:textId="77777777" w:rsidR="003A0C65" w:rsidRDefault="009F16C3">
      <w:pPr>
        <w:rPr>
          <w:rFonts w:ascii="Times New Roman" w:hAnsi="Times New Roman" w:cs="Times New Roman"/>
          <w:color w:val="000000" w:themeColor="text1"/>
          <w:highlight w:val="white"/>
        </w:rPr>
      </w:pPr>
      <w:r>
        <w:rPr>
          <w:rFonts w:ascii="Times New Roman" w:hAnsi="Times New Roman" w:cs="Times New Roman"/>
          <w:color w:val="000000" w:themeColor="text1"/>
          <w:highlight w:val="white"/>
        </w:rPr>
        <w:t xml:space="preserve">Dumlao, R., 2018. </w:t>
      </w:r>
      <w:r>
        <w:rPr>
          <w:rFonts w:ascii="Times New Roman" w:hAnsi="Times New Roman" w:cs="Times New Roman"/>
          <w:i/>
          <w:color w:val="000000" w:themeColor="text1"/>
          <w:highlight w:val="white"/>
        </w:rPr>
        <w:t>A guide to collaborative communication for service-learning and community engagement partners</w:t>
      </w:r>
      <w:r>
        <w:rPr>
          <w:rFonts w:ascii="Times New Roman" w:hAnsi="Times New Roman" w:cs="Times New Roman"/>
          <w:color w:val="000000" w:themeColor="text1"/>
          <w:highlight w:val="white"/>
        </w:rPr>
        <w:t>. Stylus Publishing, LLC.</w:t>
      </w:r>
    </w:p>
    <w:p w14:paraId="249BE312" w14:textId="77777777" w:rsidR="003A0C65" w:rsidRDefault="009F16C3">
      <w:pPr>
        <w:rPr>
          <w:rFonts w:ascii="Times New Roman" w:hAnsi="Times New Roman" w:cs="Times New Roman"/>
          <w:color w:val="000000" w:themeColor="text1"/>
          <w:highlight w:val="white"/>
          <w:vertAlign w:val="superscript"/>
        </w:rPr>
      </w:pPr>
      <w:proofErr w:type="spellStart"/>
      <w:r>
        <w:rPr>
          <w:rFonts w:ascii="Times New Roman" w:hAnsi="Times New Roman" w:cs="Times New Roman"/>
          <w:color w:val="000000" w:themeColor="text1"/>
        </w:rPr>
        <w:t>Hopeuk</w:t>
      </w:r>
      <w:proofErr w:type="spellEnd"/>
      <w:r>
        <w:rPr>
          <w:rFonts w:ascii="Times New Roman" w:hAnsi="Times New Roman" w:cs="Times New Roman"/>
          <w:color w:val="000000" w:themeColor="text1"/>
        </w:rPr>
        <w:t>..org, 2019, About us [Online] Available at:&lt;</w:t>
      </w:r>
      <w:hyperlink r:id="rId11" w:history="1">
        <w:r>
          <w:rPr>
            <w:rFonts w:ascii="Times New Roman" w:hAnsi="Times New Roman" w:cs="Times New Roman"/>
            <w:color w:val="000000" w:themeColor="text1"/>
          </w:rPr>
          <w:t>https://www.hopeuk.org/about-us/</w:t>
        </w:r>
      </w:hyperlink>
      <w:r>
        <w:rPr>
          <w:rFonts w:ascii="Times New Roman" w:hAnsi="Times New Roman" w:cs="Times New Roman"/>
          <w:color w:val="000000" w:themeColor="text1"/>
        </w:rPr>
        <w:t>&gt;</w:t>
      </w:r>
      <w:r>
        <w:rPr>
          <w:rFonts w:ascii="Times New Roman" w:hAnsi="Times New Roman" w:cs="Times New Roman"/>
          <w:color w:val="000000" w:themeColor="text1"/>
          <w:highlight w:val="white"/>
        </w:rPr>
        <w:t>[Accessed on August 19, 2021]</w:t>
      </w:r>
    </w:p>
    <w:p w14:paraId="0B62EB41" w14:textId="77777777" w:rsidR="003A0C65" w:rsidRDefault="009F16C3">
      <w:pPr>
        <w:rPr>
          <w:rFonts w:ascii="Times New Roman" w:hAnsi="Times New Roman" w:cs="Times New Roman"/>
          <w:color w:val="000000" w:themeColor="text1"/>
          <w:highlight w:val="white"/>
        </w:rPr>
      </w:pPr>
      <w:r>
        <w:rPr>
          <w:rFonts w:ascii="Times New Roman" w:hAnsi="Times New Roman" w:cs="Times New Roman"/>
          <w:color w:val="000000" w:themeColor="text1"/>
          <w:highlight w:val="white"/>
        </w:rPr>
        <w:t xml:space="preserve">Jung, E. and Kim, Y.C., 2018. Commuting, communication, and community engagement from a communication infrastructure theory perspective. </w:t>
      </w:r>
      <w:r>
        <w:rPr>
          <w:rFonts w:ascii="Times New Roman" w:hAnsi="Times New Roman" w:cs="Times New Roman"/>
          <w:i/>
          <w:color w:val="000000" w:themeColor="text1"/>
        </w:rPr>
        <w:t>Communication Research</w:t>
      </w:r>
      <w:r>
        <w:rPr>
          <w:rFonts w:ascii="Times New Roman" w:hAnsi="Times New Roman" w:cs="Times New Roman"/>
          <w:color w:val="000000" w:themeColor="text1"/>
          <w:highlight w:val="white"/>
        </w:rPr>
        <w:t>, p.0093650218801745.</w:t>
      </w:r>
    </w:p>
    <w:p w14:paraId="6CE7DB8D" w14:textId="77777777" w:rsidR="003A0C65" w:rsidRDefault="009F16C3">
      <w:pPr>
        <w:rPr>
          <w:rFonts w:ascii="Times New Roman" w:eastAsia="Arial" w:hAnsi="Times New Roman" w:cs="Times New Roman"/>
          <w:color w:val="000000" w:themeColor="text1"/>
        </w:rPr>
      </w:pPr>
      <w:proofErr w:type="spellStart"/>
      <w:r>
        <w:rPr>
          <w:rFonts w:ascii="Times New Roman" w:hAnsi="Times New Roman" w:cs="Times New Roman"/>
          <w:color w:val="000000" w:themeColor="text1"/>
          <w:highlight w:val="white"/>
        </w:rPr>
        <w:lastRenderedPageBreak/>
        <w:t>Konsti-Laakso</w:t>
      </w:r>
      <w:proofErr w:type="spellEnd"/>
      <w:r>
        <w:rPr>
          <w:rFonts w:ascii="Times New Roman" w:hAnsi="Times New Roman" w:cs="Times New Roman"/>
          <w:color w:val="000000" w:themeColor="text1"/>
          <w:highlight w:val="white"/>
        </w:rPr>
        <w:t xml:space="preserve">, S. and Rantala, T., 2018. Managing community engagement: A process model for urban planning. </w:t>
      </w:r>
      <w:r>
        <w:rPr>
          <w:rFonts w:ascii="Times New Roman" w:hAnsi="Times New Roman" w:cs="Times New Roman"/>
          <w:i/>
          <w:color w:val="000000" w:themeColor="text1"/>
          <w:highlight w:val="white"/>
        </w:rPr>
        <w:t>European Journal of Operational Research</w:t>
      </w:r>
      <w:r>
        <w:rPr>
          <w:rFonts w:ascii="Times New Roman" w:hAnsi="Times New Roman" w:cs="Times New Roman"/>
          <w:color w:val="000000" w:themeColor="text1"/>
          <w:highlight w:val="white"/>
        </w:rPr>
        <w:t xml:space="preserve">, </w:t>
      </w:r>
      <w:r>
        <w:rPr>
          <w:rFonts w:ascii="Times New Roman" w:hAnsi="Times New Roman" w:cs="Times New Roman"/>
          <w:i/>
          <w:color w:val="000000" w:themeColor="text1"/>
          <w:highlight w:val="white"/>
        </w:rPr>
        <w:t>268</w:t>
      </w:r>
      <w:r>
        <w:rPr>
          <w:rFonts w:ascii="Times New Roman" w:hAnsi="Times New Roman" w:cs="Times New Roman"/>
          <w:color w:val="000000" w:themeColor="text1"/>
          <w:highlight w:val="white"/>
        </w:rPr>
        <w:t>(3), pp.1040-1049.</w:t>
      </w:r>
    </w:p>
    <w:p w14:paraId="15DEA03E" w14:textId="77777777" w:rsidR="003A0C65" w:rsidRDefault="009F16C3">
      <w:pPr>
        <w:rPr>
          <w:rFonts w:ascii="Times New Roman" w:hAnsi="Times New Roman" w:cs="Times New Roman"/>
          <w:color w:val="000000" w:themeColor="text1"/>
          <w:highlight w:val="white"/>
          <w:vertAlign w:val="superscript"/>
        </w:rPr>
      </w:pPr>
      <w:r>
        <w:rPr>
          <w:rFonts w:ascii="Times New Roman" w:hAnsi="Times New Roman" w:cs="Times New Roman"/>
          <w:color w:val="000000" w:themeColor="text1"/>
          <w:highlight w:val="white"/>
        </w:rPr>
        <w:t>Ons.gov.uk, 2020 People, Population, and Community [Online] Available at:&lt;</w:t>
      </w:r>
      <w:hyperlink r:id="rId12" w:history="1">
        <w:r>
          <w:rPr>
            <w:rFonts w:ascii="Times New Roman" w:hAnsi="Times New Roman" w:cs="Times New Roman"/>
            <w:color w:val="000000" w:themeColor="text1"/>
            <w:highlight w:val="white"/>
          </w:rPr>
          <w:t>https://www.ons.gov.uk/peoplepopulationandcommunity/crimeandjustice/articles/drugmisuseinenglandandwales/yearendingmarch2020</w:t>
        </w:r>
      </w:hyperlink>
      <w:r>
        <w:rPr>
          <w:rFonts w:ascii="Times New Roman" w:hAnsi="Times New Roman" w:cs="Times New Roman"/>
          <w:color w:val="000000" w:themeColor="text1"/>
          <w:highlight w:val="white"/>
        </w:rPr>
        <w:t>&gt; [Accessed on August 19, 2021]</w:t>
      </w:r>
    </w:p>
    <w:p w14:paraId="18B63348" w14:textId="77777777" w:rsidR="003A0C65" w:rsidRDefault="003A0C65">
      <w:pPr>
        <w:ind w:left="720"/>
        <w:rPr>
          <w:rFonts w:ascii="Times New Roman" w:hAnsi="Times New Roman" w:cs="Times New Roman"/>
        </w:rPr>
      </w:pPr>
    </w:p>
    <w:p w14:paraId="20DA12F2" w14:textId="77777777" w:rsidR="003A0C65" w:rsidRDefault="003A0C65">
      <w:pPr>
        <w:rPr>
          <w:rFonts w:ascii="Times New Roman" w:hAnsi="Times New Roman" w:cs="Times New Roman"/>
        </w:rPr>
      </w:pPr>
    </w:p>
    <w:p w14:paraId="691593D2" w14:textId="77777777" w:rsidR="003A0C65" w:rsidRDefault="003A0C65">
      <w:pPr>
        <w:rPr>
          <w:rFonts w:ascii="Times New Roman" w:hAnsi="Times New Roman" w:cs="Times New Roman"/>
        </w:rPr>
      </w:pPr>
    </w:p>
    <w:p w14:paraId="7BD4CB2F" w14:textId="77777777" w:rsidR="003A0C65" w:rsidRDefault="003A0C65">
      <w:pPr>
        <w:rPr>
          <w:rFonts w:ascii="Times New Roman" w:hAnsi="Times New Roman" w:cs="Times New Roman"/>
        </w:rPr>
      </w:pPr>
    </w:p>
    <w:p w14:paraId="2D83B97E" w14:textId="77777777" w:rsidR="003A0C65" w:rsidRDefault="003A0C65">
      <w:pPr>
        <w:rPr>
          <w:rFonts w:ascii="Times New Roman" w:hAnsi="Times New Roman" w:cs="Times New Roman"/>
        </w:rPr>
      </w:pPr>
    </w:p>
    <w:sectPr w:rsidR="003A0C65" w:rsidSect="003A0C65">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46A1AC" w14:textId="77777777" w:rsidR="00EA1949" w:rsidRDefault="00EA1949" w:rsidP="003A0C65">
      <w:pPr>
        <w:spacing w:before="0" w:after="0" w:line="240" w:lineRule="auto"/>
      </w:pPr>
      <w:r>
        <w:separator/>
      </w:r>
    </w:p>
  </w:endnote>
  <w:endnote w:type="continuationSeparator" w:id="0">
    <w:p w14:paraId="4B11A875" w14:textId="77777777" w:rsidR="00EA1949" w:rsidRDefault="00EA1949" w:rsidP="003A0C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78F04D" w14:textId="77777777" w:rsidR="003A0C65" w:rsidRDefault="00EA1949">
    <w:pPr>
      <w:pStyle w:val="Footer"/>
    </w:pPr>
    <w:r>
      <w:pict w14:anchorId="44163298">
        <v:shapetype id="_x0000_t202" coordsize="21600,21600" o:spt="202" path="m,l,21600r21600,l21600,xe">
          <v:stroke joinstyle="miter"/>
          <v:path gradientshapeok="t" o:connecttype="rect"/>
        </v:shapetype>
        <v:shape id="_x0000_s2050" type="#_x0000_t202" style="position:absolute;margin-left:196.8pt;margin-top:0;width:2in;height:2in;z-index:251659264;mso-wrap-style:none;mso-position-horizontal:right;mso-position-horizontal-relative:margin" filled="f" stroked="f">
          <v:textbox style="mso-fit-shape-to-text:t" inset="0,0,0,0">
            <w:txbxContent>
              <w:p w14:paraId="229FBFAC" w14:textId="77777777" w:rsidR="003A0C65" w:rsidRDefault="003A0C65">
                <w:pPr>
                  <w:pStyle w:val="Footer"/>
                </w:pPr>
                <w:r>
                  <w:fldChar w:fldCharType="begin"/>
                </w:r>
                <w:r w:rsidR="009F16C3">
                  <w:instrText xml:space="preserve"> PAGE  \* MERGEFORMAT </w:instrText>
                </w:r>
                <w:r>
                  <w:fldChar w:fldCharType="separate"/>
                </w:r>
                <w:r w:rsidR="00651FD1">
                  <w:rPr>
                    <w:noProof/>
                  </w:rPr>
                  <w:t>3</w:t>
                </w:r>
                <w:r>
                  <w:fldChar w:fldCharType="end"/>
                </w:r>
              </w:p>
            </w:txbxContent>
          </v:textbox>
          <w10:wrap anchorx="margin"/>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991F3A" w14:textId="77777777" w:rsidR="00EA1949" w:rsidRDefault="00EA1949" w:rsidP="003A0C65">
      <w:pPr>
        <w:spacing w:before="0" w:after="0" w:line="240" w:lineRule="auto"/>
      </w:pPr>
      <w:r>
        <w:separator/>
      </w:r>
    </w:p>
  </w:footnote>
  <w:footnote w:type="continuationSeparator" w:id="0">
    <w:p w14:paraId="1A8A78A0" w14:textId="77777777" w:rsidR="00EA1949" w:rsidRDefault="00EA1949" w:rsidP="003A0C6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A0C65"/>
    <w:rsid w:val="001125A3"/>
    <w:rsid w:val="00193CA3"/>
    <w:rsid w:val="003A0C65"/>
    <w:rsid w:val="005A2C5D"/>
    <w:rsid w:val="00651FD1"/>
    <w:rsid w:val="00856EDC"/>
    <w:rsid w:val="009F16C3"/>
    <w:rsid w:val="00C36D77"/>
    <w:rsid w:val="00EA1949"/>
    <w:rsid w:val="37051BE0"/>
    <w:rsid w:val="756D65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15C3EDC"/>
  <w15:docId w15:val="{D6919803-3904-45D3-A6BC-96C527DB5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A0C65"/>
    <w:pPr>
      <w:spacing w:before="240" w:after="240" w:line="360" w:lineRule="auto"/>
      <w:jc w:val="both"/>
    </w:pPr>
    <w:rPr>
      <w:sz w:val="24"/>
      <w:szCs w:val="24"/>
      <w:lang w:val="en-GB"/>
    </w:rPr>
  </w:style>
  <w:style w:type="paragraph" w:styleId="Heading1">
    <w:name w:val="heading 1"/>
    <w:basedOn w:val="Normal"/>
    <w:next w:val="Normal"/>
    <w:uiPriority w:val="9"/>
    <w:qFormat/>
    <w:rsid w:val="003A0C65"/>
    <w:pPr>
      <w:keepNext/>
      <w:keepLines/>
      <w:outlineLvl w:val="0"/>
    </w:pPr>
    <w:rPr>
      <w:b/>
    </w:rPr>
  </w:style>
  <w:style w:type="paragraph" w:styleId="Heading2">
    <w:name w:val="heading 2"/>
    <w:basedOn w:val="Normal"/>
    <w:next w:val="Normal"/>
    <w:uiPriority w:val="9"/>
    <w:semiHidden/>
    <w:unhideWhenUsed/>
    <w:qFormat/>
    <w:rsid w:val="003A0C6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3A0C6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A0C65"/>
    <w:pPr>
      <w:keepNext/>
      <w:keepLines/>
      <w:spacing w:before="280" w:after="80"/>
      <w:outlineLvl w:val="3"/>
    </w:pPr>
    <w:rPr>
      <w:color w:val="666666"/>
    </w:rPr>
  </w:style>
  <w:style w:type="paragraph" w:styleId="Heading5">
    <w:name w:val="heading 5"/>
    <w:basedOn w:val="Normal"/>
    <w:next w:val="Normal"/>
    <w:uiPriority w:val="9"/>
    <w:semiHidden/>
    <w:unhideWhenUsed/>
    <w:qFormat/>
    <w:rsid w:val="003A0C65"/>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3A0C65"/>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3A0C65"/>
    <w:pPr>
      <w:tabs>
        <w:tab w:val="center" w:pos="4153"/>
        <w:tab w:val="right" w:pos="8306"/>
      </w:tabs>
      <w:snapToGrid w:val="0"/>
      <w:jc w:val="left"/>
    </w:pPr>
    <w:rPr>
      <w:sz w:val="18"/>
      <w:szCs w:val="18"/>
    </w:rPr>
  </w:style>
  <w:style w:type="paragraph" w:styleId="Header">
    <w:name w:val="header"/>
    <w:basedOn w:val="Normal"/>
    <w:rsid w:val="003A0C65"/>
    <w:pPr>
      <w:tabs>
        <w:tab w:val="center" w:pos="4153"/>
        <w:tab w:val="right" w:pos="8306"/>
      </w:tabs>
      <w:snapToGrid w:val="0"/>
    </w:pPr>
    <w:rPr>
      <w:sz w:val="18"/>
      <w:szCs w:val="18"/>
    </w:rPr>
  </w:style>
  <w:style w:type="paragraph" w:styleId="Subtitle">
    <w:name w:val="Subtitle"/>
    <w:basedOn w:val="Normal"/>
    <w:next w:val="Normal"/>
    <w:qFormat/>
    <w:rsid w:val="003A0C65"/>
    <w:pPr>
      <w:keepNext/>
      <w:keepLines/>
      <w:spacing w:before="0" w:after="320"/>
    </w:pPr>
    <w:rPr>
      <w:rFonts w:ascii="Arial" w:eastAsia="Arial" w:hAnsi="Arial" w:cs="Arial"/>
      <w:color w:val="666666"/>
      <w:sz w:val="30"/>
      <w:szCs w:val="30"/>
    </w:rPr>
  </w:style>
  <w:style w:type="paragraph" w:styleId="Title">
    <w:name w:val="Title"/>
    <w:basedOn w:val="Normal"/>
    <w:next w:val="Normal"/>
    <w:uiPriority w:val="10"/>
    <w:qFormat/>
    <w:rsid w:val="003A0C65"/>
    <w:pPr>
      <w:keepNext/>
      <w:keepLines/>
      <w:spacing w:before="0" w:after="60"/>
    </w:pPr>
    <w:rPr>
      <w:sz w:val="52"/>
      <w:szCs w:val="52"/>
    </w:rPr>
  </w:style>
  <w:style w:type="table" w:customStyle="1" w:styleId="TableNormal1">
    <w:name w:val="Table Normal1"/>
    <w:qFormat/>
    <w:rsid w:val="003A0C65"/>
    <w:tblPr>
      <w:tblCellMar>
        <w:top w:w="0" w:type="dxa"/>
        <w:left w:w="0" w:type="dxa"/>
        <w:bottom w:w="0" w:type="dxa"/>
        <w:right w:w="0" w:type="dxa"/>
      </w:tblCellMar>
    </w:tblPr>
  </w:style>
  <w:style w:type="paragraph" w:styleId="BalloonText">
    <w:name w:val="Balloon Text"/>
    <w:basedOn w:val="Normal"/>
    <w:link w:val="BalloonTextChar"/>
    <w:rsid w:val="001125A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rsid w:val="001125A3"/>
    <w:rPr>
      <w:rFonts w:ascii="Tahoma" w:hAnsi="Tahoma" w:cs="Tahoma"/>
      <w:sz w:val="16"/>
      <w:szCs w:val="16"/>
      <w:lang w:val="en-GB"/>
    </w:rPr>
  </w:style>
  <w:style w:type="paragraph" w:styleId="TOC1">
    <w:name w:val="toc 1"/>
    <w:basedOn w:val="Normal"/>
    <w:next w:val="Normal"/>
    <w:autoRedefine/>
    <w:uiPriority w:val="39"/>
    <w:rsid w:val="00C36D77"/>
    <w:pPr>
      <w:spacing w:after="100"/>
    </w:pPr>
  </w:style>
  <w:style w:type="character" w:styleId="Hyperlink">
    <w:name w:val="Hyperlink"/>
    <w:basedOn w:val="DefaultParagraphFont"/>
    <w:uiPriority w:val="99"/>
    <w:unhideWhenUsed/>
    <w:rsid w:val="00C36D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3826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drugwatchfoundation.co.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crimeandjustice/articles/drugmisuseinenglandandwales/yearendingmarch202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peuk.org/about-u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rugwatchfoundation.co.uk/corporate-sponsorship" TargetMode="External"/><Relationship Id="rId4" Type="http://schemas.openxmlformats.org/officeDocument/2006/relationships/settings" Target="settings.xml"/><Relationship Id="rId9" Type="http://schemas.openxmlformats.org/officeDocument/2006/relationships/hyperlink" Target="https://www.drugwatchfoundation.co.uk/our-st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go:docsCustomData xmlns:go="http://customooxmlschemas.google.com/" roundtripDataSignature="AMtx7mjhGemefM/qbmScq9n29CGKFuc1Fw==">AMUW2mUchP4qVVcNpEpOxPfUsSGAj8ryNMnANwFxozqr4bkDo2mF7rEM89wVXOfnPqdD9yu9z8RiHAqxgAd9r4F7j62AwaYuxCLF6mX3MdvdHrDPhjUFM5NcKpTCL+9ixwuenCAQ5bCsNSByrzO/wEznd9IAqgvrTvUtHFMTK5XL5IRdd99GaO2q9U3dHJPW8cVGthOBO1ZZ</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2387</Words>
  <Characters>13606</Characters>
  <Application>Microsoft Office Word</Application>
  <DocSecurity>0</DocSecurity>
  <Lines>113</Lines>
  <Paragraphs>31</Paragraphs>
  <ScaleCrop>false</ScaleCrop>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George Ganea</cp:lastModifiedBy>
  <cp:revision>10</cp:revision>
  <dcterms:created xsi:type="dcterms:W3CDTF">2021-08-18T09:46:00Z</dcterms:created>
  <dcterms:modified xsi:type="dcterms:W3CDTF">2021-09-05T14:49:00Z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9C0917C871C9404798C89046B087F66A</vt:lpwstr>
  </property>
  <property fmtid="{D5CDD505-2E9C-101B-9397-08002B2CF9AE}" pid="3" name="KSOProductBuildVer">
    <vt:lpwstr>1033-11.2.0.10258</vt:lpwstr>
  </property>
</Properties>
</file>