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73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736"/>
      </w:tblGrid>
      <w:tr w:rsidR="00691F51" w14:paraId="752EBE42" w14:textId="77777777">
        <w:trPr>
          <w:trHeight w:val="2108"/>
        </w:trPr>
        <w:tc>
          <w:tcPr>
            <w:tcW w:w="9736" w:type="dxa"/>
            <w:tcBorders>
              <w:top w:val="nil"/>
              <w:left w:val="nil"/>
              <w:bottom w:val="nil"/>
              <w:right w:val="nil"/>
            </w:tcBorders>
            <w:shd w:val="clear" w:color="auto" w:fill="auto"/>
            <w:tcMar>
              <w:top w:w="80" w:type="dxa"/>
              <w:left w:w="80" w:type="dxa"/>
              <w:bottom w:w="80" w:type="dxa"/>
              <w:right w:w="80" w:type="dxa"/>
            </w:tcMar>
          </w:tcPr>
          <w:p w14:paraId="0538F57F" w14:textId="77777777" w:rsidR="00691F51" w:rsidRDefault="00BA4BB5">
            <w:pPr>
              <w:pStyle w:val="Body"/>
            </w:pPr>
            <w:r>
              <w:rPr>
                <w:b/>
                <w:bCs/>
                <w:color w:val="004147"/>
                <w:sz w:val="56"/>
                <w:szCs w:val="56"/>
                <w:u w:color="004147"/>
                <w:lang w:val="en-US"/>
              </w:rPr>
              <w:t xml:space="preserve">5OS01 </w:t>
            </w:r>
            <w:r>
              <w:rPr>
                <w:b/>
                <w:bCs/>
                <w:color w:val="004147"/>
                <w:sz w:val="56"/>
                <w:szCs w:val="56"/>
                <w:u w:color="004147"/>
                <w:lang w:val="en-US"/>
              </w:rPr>
              <w:br/>
            </w:r>
            <w:r>
              <w:rPr>
                <w:b/>
                <w:bCs/>
                <w:color w:val="004147"/>
                <w:sz w:val="56"/>
                <w:szCs w:val="56"/>
                <w:u w:color="004147"/>
                <w:lang w:val="en-US"/>
              </w:rPr>
              <w:t>Specialist employment law</w:t>
            </w:r>
          </w:p>
        </w:tc>
      </w:tr>
      <w:tr w:rsidR="00691F51" w14:paraId="1CF6A6BE" w14:textId="77777777">
        <w:trPr>
          <w:trHeight w:val="860"/>
        </w:trPr>
        <w:tc>
          <w:tcPr>
            <w:tcW w:w="9736" w:type="dxa"/>
            <w:tcBorders>
              <w:top w:val="nil"/>
              <w:left w:val="nil"/>
              <w:bottom w:val="nil"/>
              <w:right w:val="nil"/>
            </w:tcBorders>
            <w:shd w:val="clear" w:color="auto" w:fill="auto"/>
            <w:tcMar>
              <w:top w:w="80" w:type="dxa"/>
              <w:left w:w="80" w:type="dxa"/>
              <w:bottom w:w="80" w:type="dxa"/>
              <w:right w:w="80" w:type="dxa"/>
            </w:tcMar>
          </w:tcPr>
          <w:p w14:paraId="1D45E1DD" w14:textId="77777777" w:rsidR="00691F51" w:rsidRDefault="00BA4BB5">
            <w:pPr>
              <w:pStyle w:val="Body"/>
              <w:spacing w:before="120" w:after="120"/>
            </w:pPr>
            <w:r>
              <w:rPr>
                <w:rFonts w:ascii="Georgia" w:hAnsi="Georgia"/>
                <w:i/>
                <w:iCs/>
                <w:color w:val="585858"/>
                <w:sz w:val="56"/>
                <w:szCs w:val="56"/>
                <w:u w:color="585858"/>
                <w:lang w:val="en-US"/>
              </w:rPr>
              <w:t>Learner Assessment Brief</w:t>
            </w:r>
          </w:p>
        </w:tc>
      </w:tr>
      <w:tr w:rsidR="00691F51" w14:paraId="4551F7FE" w14:textId="77777777">
        <w:trPr>
          <w:trHeight w:val="311"/>
        </w:trPr>
        <w:tc>
          <w:tcPr>
            <w:tcW w:w="9736" w:type="dxa"/>
            <w:tcBorders>
              <w:top w:val="nil"/>
              <w:left w:val="nil"/>
              <w:bottom w:val="nil"/>
              <w:right w:val="nil"/>
            </w:tcBorders>
            <w:shd w:val="clear" w:color="auto" w:fill="auto"/>
            <w:tcMar>
              <w:top w:w="80" w:type="dxa"/>
              <w:left w:w="80" w:type="dxa"/>
              <w:bottom w:w="80" w:type="dxa"/>
              <w:right w:w="80" w:type="dxa"/>
            </w:tcMar>
          </w:tcPr>
          <w:p w14:paraId="3D677721" w14:textId="77777777" w:rsidR="00691F51" w:rsidRDefault="00BA4BB5">
            <w:pPr>
              <w:pStyle w:val="Body"/>
              <w:spacing w:before="120" w:after="120"/>
            </w:pPr>
            <w:r>
              <w:rPr>
                <w:b/>
                <w:bCs/>
                <w:color w:val="595959"/>
                <w:sz w:val="28"/>
                <w:szCs w:val="28"/>
                <w:u w:color="595959"/>
                <w:lang w:val="en-US"/>
              </w:rPr>
              <w:t>Assessment ID / CIPD_5OS01_23_01</w:t>
            </w:r>
          </w:p>
        </w:tc>
      </w:tr>
      <w:tr w:rsidR="00691F51" w14:paraId="43FC86FA" w14:textId="77777777">
        <w:trPr>
          <w:trHeight w:val="6083"/>
        </w:trPr>
        <w:tc>
          <w:tcPr>
            <w:tcW w:w="9736" w:type="dxa"/>
            <w:tcBorders>
              <w:top w:val="nil"/>
              <w:left w:val="nil"/>
              <w:bottom w:val="nil"/>
              <w:right w:val="nil"/>
            </w:tcBorders>
            <w:shd w:val="clear" w:color="auto" w:fill="auto"/>
            <w:tcMar>
              <w:top w:w="80" w:type="dxa"/>
              <w:left w:w="80" w:type="dxa"/>
              <w:bottom w:w="80" w:type="dxa"/>
              <w:right w:w="80" w:type="dxa"/>
            </w:tcMar>
          </w:tcPr>
          <w:p w14:paraId="74A39E4B" w14:textId="77777777" w:rsidR="00691F51" w:rsidRDefault="00691F51"/>
        </w:tc>
      </w:tr>
      <w:tr w:rsidR="00691F51" w14:paraId="63C5A491" w14:textId="77777777">
        <w:trPr>
          <w:trHeight w:val="2410"/>
        </w:trPr>
        <w:tc>
          <w:tcPr>
            <w:tcW w:w="9736" w:type="dxa"/>
            <w:tcBorders>
              <w:top w:val="nil"/>
              <w:left w:val="nil"/>
              <w:bottom w:val="nil"/>
              <w:right w:val="nil"/>
            </w:tcBorders>
            <w:shd w:val="clear" w:color="auto" w:fill="auto"/>
            <w:tcMar>
              <w:top w:w="80" w:type="dxa"/>
              <w:left w:w="80" w:type="dxa"/>
              <w:bottom w:w="80" w:type="dxa"/>
              <w:right w:w="80" w:type="dxa"/>
            </w:tcMar>
          </w:tcPr>
          <w:p w14:paraId="49D2F5AB" w14:textId="77777777" w:rsidR="00691F51" w:rsidRDefault="00BA4BB5">
            <w:pPr>
              <w:pStyle w:val="Body"/>
              <w:spacing w:after="120"/>
              <w:rPr>
                <w:rFonts w:ascii="Georgia" w:eastAsia="Georgia" w:hAnsi="Georgia" w:cs="Georgia"/>
                <w:i/>
                <w:iCs/>
                <w:color w:val="595959"/>
                <w:sz w:val="44"/>
                <w:szCs w:val="44"/>
                <w:u w:color="595959"/>
              </w:rPr>
            </w:pPr>
            <w:r>
              <w:rPr>
                <w:rFonts w:ascii="Georgia" w:hAnsi="Georgia"/>
                <w:i/>
                <w:iCs/>
                <w:color w:val="595959"/>
                <w:sz w:val="44"/>
                <w:szCs w:val="44"/>
                <w:u w:color="595959"/>
                <w:lang w:val="en-US"/>
              </w:rPr>
              <w:lastRenderedPageBreak/>
              <w:t xml:space="preserve">Level 5 Associate Diploma in </w:t>
            </w:r>
          </w:p>
          <w:p w14:paraId="3D277A96" w14:textId="77777777" w:rsidR="00691F51" w:rsidRDefault="00BA4BB5">
            <w:pPr>
              <w:pStyle w:val="listinparag"/>
              <w:numPr>
                <w:ilvl w:val="0"/>
                <w:numId w:val="1"/>
              </w:numPr>
              <w:rPr>
                <w:color w:val="004147"/>
                <w:sz w:val="48"/>
                <w:szCs w:val="48"/>
                <w:u w:color="004147"/>
              </w:rPr>
            </w:pPr>
            <w:r>
              <w:rPr>
                <w:color w:val="004147"/>
                <w:sz w:val="48"/>
                <w:szCs w:val="48"/>
                <w:u w:color="004147"/>
              </w:rPr>
              <w:t xml:space="preserve">People Management </w:t>
            </w:r>
          </w:p>
          <w:p w14:paraId="2E96A1B0" w14:textId="77777777" w:rsidR="00691F51" w:rsidRDefault="00BA4BB5">
            <w:pPr>
              <w:pStyle w:val="listinparag"/>
              <w:numPr>
                <w:ilvl w:val="0"/>
                <w:numId w:val="2"/>
              </w:numPr>
              <w:rPr>
                <w:rFonts w:ascii="Georgia" w:hAnsi="Georgia"/>
                <w:i/>
                <w:iCs/>
                <w:color w:val="595959"/>
                <w:sz w:val="48"/>
                <w:szCs w:val="48"/>
                <w:u w:color="595959"/>
              </w:rPr>
            </w:pPr>
            <w:r>
              <w:rPr>
                <w:color w:val="004147"/>
                <w:sz w:val="48"/>
                <w:szCs w:val="48"/>
                <w:u w:color="004147"/>
              </w:rPr>
              <w:t>Organisational Learning and Development</w:t>
            </w:r>
          </w:p>
        </w:tc>
      </w:tr>
    </w:tbl>
    <w:p w14:paraId="30474164" w14:textId="77777777" w:rsidR="00691F51" w:rsidRDefault="00BA4BB5">
      <w:pPr>
        <w:pStyle w:val="Body"/>
        <w:sectPr w:rsidR="00691F51">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noProof/>
        </w:rPr>
        <mc:AlternateContent>
          <mc:Choice Requires="wps">
            <w:drawing>
              <wp:anchor distT="0" distB="0" distL="0" distR="0" simplePos="0" relativeHeight="251655168" behindDoc="1" locked="0" layoutInCell="1" allowOverlap="1" wp14:anchorId="47A0C094" wp14:editId="7D08D0E4">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5"/>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1312;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8A476B1" w14:textId="77777777" w:rsidR="00691F51" w:rsidRDefault="00691F51">
      <w:pPr>
        <w:pStyle w:val="Body"/>
        <w:spacing w:line="240" w:lineRule="auto"/>
        <w:rPr>
          <w:b/>
          <w:bCs/>
          <w:color w:val="004147"/>
          <w:sz w:val="48"/>
          <w:szCs w:val="48"/>
          <w:u w:color="004147"/>
        </w:rPr>
      </w:pPr>
    </w:p>
    <w:p w14:paraId="186A2438" w14:textId="77777777" w:rsidR="00691F51" w:rsidRDefault="00691F51">
      <w:pPr>
        <w:pStyle w:val="Body"/>
        <w:spacing w:line="240" w:lineRule="auto"/>
        <w:rPr>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691F51" w14:paraId="76D0CCF8" w14:textId="77777777">
        <w:trPr>
          <w:trHeight w:val="247"/>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FC297F" w14:textId="77777777" w:rsidR="00691F51" w:rsidRDefault="00BA4BB5">
            <w:pPr>
              <w:pStyle w:val="Body"/>
            </w:pPr>
            <w:r>
              <w:rPr>
                <w:b/>
                <w:bCs/>
                <w:lang w:val="en-US"/>
              </w:rPr>
              <w:t>Please write clearly in block capitals.</w:t>
            </w:r>
            <w:r>
              <w:rPr>
                <w:lang w:val="en-US"/>
              </w:rPr>
              <w:t xml:space="preserve">  </w:t>
            </w:r>
          </w:p>
        </w:tc>
      </w:tr>
      <w:tr w:rsidR="00691F51" w14:paraId="038151C2" w14:textId="77777777">
        <w:trPr>
          <w:trHeight w:val="247"/>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542C25" w14:textId="77777777" w:rsidR="00691F51" w:rsidRDefault="00BA4BB5">
            <w:pPr>
              <w:pStyle w:val="Body"/>
            </w:pPr>
            <w:r>
              <w:rPr>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2E7092" w14:textId="77777777" w:rsidR="00691F51" w:rsidRDefault="00BA4BB5">
            <w:pPr>
              <w:pStyle w:val="Body"/>
            </w:pPr>
            <w:r>
              <w:rPr>
                <w:rFonts w:eastAsia="Arial Unicode MS" w:cs="Arial Unicode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A13E73" w14:textId="77777777" w:rsidR="00691F51" w:rsidRDefault="00BA4BB5">
            <w:pPr>
              <w:pStyle w:val="Body"/>
            </w:pPr>
            <w:r>
              <w:rPr>
                <w:rFonts w:eastAsia="Arial Unicode MS" w:cs="Arial Unicode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57819" w14:textId="77777777" w:rsidR="00691F51" w:rsidRDefault="00BA4BB5">
            <w:pPr>
              <w:pStyle w:val="Body"/>
            </w:pPr>
            <w:r>
              <w:rPr>
                <w:rFonts w:eastAsia="Arial Unicode MS" w:cs="Arial Unicode MS"/>
                <w:lang w:val="en-US"/>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3D4B60" w14:textId="77777777" w:rsidR="00691F51" w:rsidRDefault="00BA4BB5">
            <w:pPr>
              <w:pStyle w:val="Body"/>
            </w:pPr>
            <w:r>
              <w:rPr>
                <w:rFonts w:eastAsia="Arial Unicode MS" w:cs="Arial Unicode MS"/>
                <w:lang w:val="en-US"/>
              </w:rPr>
              <w:t>9</w:t>
            </w:r>
          </w:p>
        </w:tc>
      </w:tr>
      <w:tr w:rsidR="00691F51" w14:paraId="65412CA0"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2A3594" w14:textId="77777777" w:rsidR="00691F51" w:rsidRDefault="00BA4BB5">
            <w:pPr>
              <w:pStyle w:val="Body"/>
            </w:pPr>
            <w:r>
              <w:rPr>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5627C9" w14:textId="77777777" w:rsidR="00691F51" w:rsidRDefault="00BA4BB5">
            <w:pPr>
              <w:pStyle w:val="Body"/>
            </w:pPr>
            <w:r>
              <w:rPr>
                <w:rFonts w:eastAsia="Arial Unicode MS" w:cs="Arial Unicode MS"/>
                <w:lang w:val="en-US"/>
              </w:rPr>
              <w:t>Carmarthen</w:t>
            </w:r>
          </w:p>
        </w:tc>
      </w:tr>
      <w:tr w:rsidR="00691F51" w14:paraId="1B1FEAB9"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59D177" w14:textId="77777777" w:rsidR="00691F51" w:rsidRDefault="00BA4BB5">
            <w:pPr>
              <w:pStyle w:val="Body"/>
            </w:pPr>
            <w:r>
              <w:rPr>
                <w:b/>
                <w:bCs/>
                <w:lang w:val="en-US"/>
              </w:rPr>
              <w:t xml:space="preserve">Learner number (1st 7 digits of </w:t>
            </w:r>
            <w:r>
              <w:rPr>
                <w:b/>
                <w:bCs/>
                <w:lang w:val="en-US"/>
              </w:rPr>
              <w:t>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C585D0" w14:textId="77777777" w:rsidR="00691F51" w:rsidRDefault="00BA4BB5">
            <w:pPr>
              <w:pStyle w:val="Body"/>
            </w:pPr>
            <w:r>
              <w:rPr>
                <w:rFonts w:eastAsia="Arial Unicode MS" w:cs="Arial Unicode MS"/>
                <w:lang w:val="en-US"/>
              </w:rPr>
              <w:t xml:space="preserve"> 6</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AB76A0" w14:textId="77777777" w:rsidR="00691F51" w:rsidRDefault="00BA4BB5">
            <w:pPr>
              <w:pStyle w:val="Body"/>
            </w:pPr>
            <w:r>
              <w:rPr>
                <w:rFonts w:eastAsia="Arial Unicode MS" w:cs="Arial Unicode MS"/>
                <w:lang w:val="en-US"/>
              </w:rPr>
              <w:t>5</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F2877C" w14:textId="77777777" w:rsidR="00691F51" w:rsidRDefault="00BA4BB5">
            <w:pPr>
              <w:pStyle w:val="Body"/>
            </w:pPr>
            <w:r>
              <w:rPr>
                <w:rFonts w:eastAsia="Arial Unicode MS" w:cs="Arial Unicode MS"/>
                <w:lang w:val="en-US"/>
              </w:rPr>
              <w:t>7</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444BBB" w14:textId="77777777" w:rsidR="00691F51" w:rsidRDefault="00BA4BB5">
            <w:pPr>
              <w:pStyle w:val="Body"/>
            </w:pPr>
            <w:r>
              <w:rPr>
                <w:rFonts w:eastAsia="Arial Unicode MS" w:cs="Arial Unicode MS"/>
                <w:lang w:val="en-US"/>
              </w:rPr>
              <w:t>2</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1A1ACE" w14:textId="77777777" w:rsidR="00691F51" w:rsidRDefault="00BA4BB5">
            <w:pPr>
              <w:pStyle w:val="Body"/>
            </w:pPr>
            <w:r>
              <w:rPr>
                <w:rFonts w:eastAsia="Arial Unicode MS" w:cs="Arial Unicode MS"/>
                <w:lang w:val="en-US"/>
              </w:rPr>
              <w:t>1</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830A75" w14:textId="77777777" w:rsidR="00691F51" w:rsidRDefault="00BA4BB5">
            <w:pPr>
              <w:pStyle w:val="Body"/>
            </w:pPr>
            <w:r>
              <w:rPr>
                <w:rFonts w:eastAsia="Arial Unicode MS" w:cs="Arial Unicode MS"/>
                <w:lang w:val="en-US"/>
              </w:rPr>
              <w:t>4</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34F821" w14:textId="77777777" w:rsidR="00691F51" w:rsidRDefault="00BA4BB5">
            <w:pPr>
              <w:pStyle w:val="Body"/>
            </w:pPr>
            <w:r>
              <w:rPr>
                <w:rFonts w:eastAsia="Arial Unicode MS" w:cs="Arial Unicode MS"/>
                <w:lang w:val="en-US"/>
              </w:rPr>
              <w:t>3</w:t>
            </w:r>
          </w:p>
        </w:tc>
      </w:tr>
      <w:tr w:rsidR="00691F51" w14:paraId="2EF32166"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7C81CA" w14:textId="77777777" w:rsidR="00691F51" w:rsidRDefault="00BA4BB5">
            <w:pPr>
              <w:pStyle w:val="Body"/>
            </w:pPr>
            <w:r>
              <w:rPr>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8C0044" w14:textId="77777777" w:rsidR="00691F51" w:rsidRDefault="00BA4BB5">
            <w:pPr>
              <w:pStyle w:val="Body"/>
            </w:pPr>
            <w:r>
              <w:rPr>
                <w:rFonts w:eastAsia="Arial Unicode MS" w:cs="Arial Unicode MS"/>
                <w:lang w:val="en-US"/>
              </w:rPr>
              <w:t xml:space="preserve"> Jones</w:t>
            </w:r>
          </w:p>
        </w:tc>
      </w:tr>
      <w:tr w:rsidR="00691F51" w14:paraId="43A59629"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5500B9" w14:textId="77777777" w:rsidR="00691F51" w:rsidRDefault="00BA4BB5">
            <w:pPr>
              <w:pStyle w:val="Body"/>
            </w:pPr>
            <w:r>
              <w:rPr>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099BAA" w14:textId="77777777" w:rsidR="00691F51" w:rsidRDefault="00BA4BB5">
            <w:pPr>
              <w:pStyle w:val="Body"/>
            </w:pPr>
            <w:r>
              <w:rPr>
                <w:rFonts w:eastAsia="Arial Unicode MS" w:cs="Arial Unicode MS"/>
                <w:lang w:val="en-US"/>
              </w:rPr>
              <w:t xml:space="preserve"> Thomas</w:t>
            </w:r>
          </w:p>
        </w:tc>
      </w:tr>
      <w:tr w:rsidR="00691F51" w14:paraId="076A8228"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27E6EB9" w14:textId="77777777" w:rsidR="00691F51" w:rsidRDefault="00691F51"/>
        </w:tc>
      </w:tr>
      <w:tr w:rsidR="00691F51" w14:paraId="0BCA762F"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0FEEEF" w14:textId="77777777" w:rsidR="00691F51" w:rsidRDefault="00BA4BB5">
            <w:pPr>
              <w:pStyle w:val="Body"/>
            </w:pPr>
            <w:r>
              <w:rPr>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4DF55B" w14:textId="77777777" w:rsidR="00691F51" w:rsidRDefault="00BA4BB5">
            <w:pPr>
              <w:pStyle w:val="Body"/>
            </w:pPr>
            <w:r>
              <w:rPr>
                <w:rFonts w:eastAsia="Arial Unicode MS" w:cs="Arial Unicode MS"/>
                <w:lang w:val="en-US"/>
              </w:rPr>
              <w:t>5OS01</w:t>
            </w:r>
          </w:p>
        </w:tc>
      </w:tr>
      <w:tr w:rsidR="00691F51" w14:paraId="7C5B1C5B"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249F8B" w14:textId="77777777" w:rsidR="00691F51" w:rsidRDefault="00BA4BB5">
            <w:pPr>
              <w:pStyle w:val="Body"/>
            </w:pPr>
            <w:r>
              <w:rPr>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0999B9" w14:textId="77777777" w:rsidR="00691F51" w:rsidRDefault="00BA4BB5">
            <w:pPr>
              <w:pStyle w:val="Body"/>
            </w:pPr>
            <w:r>
              <w:rPr>
                <w:rFonts w:eastAsia="Arial Unicode MS" w:cs="Arial Unicode MS"/>
                <w:lang w:val="en-US"/>
              </w:rPr>
              <w:t>Specialist employment law</w:t>
            </w:r>
          </w:p>
        </w:tc>
      </w:tr>
      <w:tr w:rsidR="00691F51" w14:paraId="0AA743F3"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5BBA35" w14:textId="77777777" w:rsidR="00691F51" w:rsidRDefault="00BA4BB5">
            <w:pPr>
              <w:pStyle w:val="Body"/>
            </w:pPr>
            <w:r>
              <w:rPr>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035381" w14:textId="77777777" w:rsidR="00691F51" w:rsidRDefault="00BA4BB5">
            <w:pPr>
              <w:pStyle w:val="Body"/>
            </w:pPr>
            <w:r>
              <w:rPr>
                <w:rFonts w:eastAsia="Arial Unicode MS" w:cs="Arial Unicode MS"/>
                <w:lang w:val="en-US"/>
              </w:rPr>
              <w:t>CIPD_5OS01_23_01</w:t>
            </w:r>
          </w:p>
        </w:tc>
      </w:tr>
      <w:tr w:rsidR="00691F51" w14:paraId="4C1C480F"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E66AB6" w14:textId="77777777" w:rsidR="00691F51" w:rsidRDefault="00BA4BB5">
            <w:pPr>
              <w:pStyle w:val="Body"/>
            </w:pPr>
            <w:r>
              <w:rPr>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98B31E" w14:textId="77777777" w:rsidR="00691F51" w:rsidRDefault="00BA4BB5">
            <w:pPr>
              <w:pStyle w:val="Body"/>
            </w:pPr>
            <w:r>
              <w:rPr>
                <w:rFonts w:eastAsia="Arial Unicode MS" w:cs="Arial Unicode MS"/>
                <w:lang w:val="en-US"/>
              </w:rPr>
              <w:t>01/05/2024</w:t>
            </w:r>
          </w:p>
        </w:tc>
      </w:tr>
      <w:tr w:rsidR="00691F51" w14:paraId="301AC24B"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055032" w14:textId="77777777" w:rsidR="00691F51" w:rsidRDefault="00BA4BB5">
            <w:pPr>
              <w:pStyle w:val="Body"/>
            </w:pPr>
            <w:r>
              <w:rPr>
                <w:b/>
                <w:bCs/>
                <w:lang w:val="en-US"/>
              </w:rPr>
              <w:t xml:space="preserve">Assessment submission </w:t>
            </w:r>
            <w:r>
              <w:rPr>
                <w:b/>
                <w:bCs/>
                <w:lang w:val="en-US"/>
              </w:rPr>
              <w:t>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E28BD3" w14:textId="77777777" w:rsidR="00691F51" w:rsidRDefault="00BA4BB5">
            <w:pPr>
              <w:pStyle w:val="Body"/>
            </w:pPr>
            <w:r>
              <w:rPr>
                <w:rFonts w:eastAsia="Arial Unicode MS" w:cs="Arial Unicode MS"/>
                <w:lang w:val="en-US"/>
              </w:rPr>
              <w:t>20/06/2024</w:t>
            </w:r>
          </w:p>
        </w:tc>
      </w:tr>
      <w:tr w:rsidR="00691F51" w14:paraId="1742111A"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9C8A45" w14:textId="77777777" w:rsidR="00691F51" w:rsidRDefault="00BA4BB5">
            <w:pPr>
              <w:pStyle w:val="Body"/>
            </w:pPr>
            <w:r>
              <w:rPr>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71366F" w14:textId="4E82B582" w:rsidR="00691F51" w:rsidRDefault="00BA4BB5" w:rsidP="00BA4BB5">
            <w:pPr>
              <w:pStyle w:val="Body"/>
            </w:pPr>
            <w:r w:rsidRPr="00BA4BB5">
              <w:rPr>
                <w:rFonts w:eastAsia="Arial Unicode MS" w:cs="Arial Unicode MS"/>
                <w:lang w:val="en-US"/>
              </w:rPr>
              <w:t>18/12/2024</w:t>
            </w:r>
          </w:p>
        </w:tc>
      </w:tr>
      <w:tr w:rsidR="00691F51" w14:paraId="6874A5E2"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96BE94" w14:textId="77777777" w:rsidR="00691F51" w:rsidRDefault="00BA4BB5">
            <w:pPr>
              <w:pStyle w:val="Body"/>
            </w:pPr>
            <w:r>
              <w:rPr>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1A0D15" w14:textId="77777777" w:rsidR="00691F51" w:rsidRDefault="00691F51"/>
        </w:tc>
      </w:tr>
      <w:tr w:rsidR="00691F51" w14:paraId="098CE3A9"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0CC556" w14:textId="77777777" w:rsidR="00691F51" w:rsidRDefault="00BA4BB5">
            <w:pPr>
              <w:pStyle w:val="Body"/>
            </w:pPr>
            <w:r>
              <w:rPr>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FB6636" w14:textId="2A24BA1F" w:rsidR="00691F51" w:rsidRDefault="00BA4BB5">
            <w:pPr>
              <w:pStyle w:val="Body"/>
            </w:pPr>
            <w:r>
              <w:rPr>
                <w:rFonts w:eastAsia="Arial Unicode MS" w:cs="Arial Unicode MS"/>
                <w:lang w:val="en-US"/>
              </w:rPr>
              <w:t>4,145</w:t>
            </w:r>
          </w:p>
        </w:tc>
      </w:tr>
      <w:tr w:rsidR="00691F51" w14:paraId="7F620B4C"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D068D27" w14:textId="77777777" w:rsidR="00691F51" w:rsidRDefault="00691F51"/>
        </w:tc>
      </w:tr>
      <w:tr w:rsidR="00691F51" w14:paraId="07611DC3"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5865CE" w14:textId="77777777" w:rsidR="00691F51" w:rsidRDefault="00BA4BB5">
            <w:pPr>
              <w:pStyle w:val="Body"/>
            </w:pPr>
            <w:r>
              <w:rPr>
                <w:b/>
                <w:bCs/>
                <w:lang w:val="en-US"/>
              </w:rPr>
              <w:t>Assessor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469223" w14:textId="77777777" w:rsidR="00691F51" w:rsidRDefault="00691F51"/>
        </w:tc>
      </w:tr>
      <w:tr w:rsidR="00691F51" w14:paraId="2E07CB66"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BF7B89" w14:textId="77777777" w:rsidR="00691F51" w:rsidRDefault="00BA4BB5">
            <w:pPr>
              <w:pStyle w:val="Body"/>
            </w:pPr>
            <w:r>
              <w:rPr>
                <w:b/>
                <w:bCs/>
                <w:lang w:val="en-US"/>
              </w:rPr>
              <w:t>Assessor signature: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F30B5D" w14:textId="77777777" w:rsidR="00691F51" w:rsidRDefault="00691F51"/>
        </w:tc>
      </w:tr>
      <w:tr w:rsidR="00691F51" w14:paraId="789C8073"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C12CF02" w14:textId="77777777" w:rsidR="00691F51" w:rsidRDefault="00691F51"/>
        </w:tc>
      </w:tr>
      <w:tr w:rsidR="00691F51" w14:paraId="01FD9053"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F8BE61" w14:textId="77777777" w:rsidR="00691F51" w:rsidRDefault="00BA4BB5">
            <w:pPr>
              <w:pStyle w:val="Body"/>
            </w:pPr>
            <w:r>
              <w:rPr>
                <w:b/>
                <w:bCs/>
                <w:lang w:val="en-US"/>
              </w:rPr>
              <w:t>IQA name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AC59CB" w14:textId="77777777" w:rsidR="00691F51" w:rsidRDefault="00691F51"/>
        </w:tc>
      </w:tr>
      <w:tr w:rsidR="00691F51" w14:paraId="2EB19BD5"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966FE1" w14:textId="77777777" w:rsidR="00691F51" w:rsidRDefault="00BA4BB5">
            <w:pPr>
              <w:pStyle w:val="Body"/>
            </w:pPr>
            <w:r>
              <w:rPr>
                <w:b/>
                <w:bCs/>
                <w:lang w:val="en-US"/>
              </w:rPr>
              <w:t xml:space="preserve">IQA </w:t>
            </w:r>
            <w:r>
              <w:rPr>
                <w:b/>
                <w:bCs/>
                <w:lang w:val="en-US"/>
              </w:rPr>
              <w:t>signature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4EFFA1" w14:textId="77777777" w:rsidR="00691F51" w:rsidRDefault="00691F51"/>
        </w:tc>
      </w:tr>
    </w:tbl>
    <w:p w14:paraId="6EB3F3C5" w14:textId="77777777" w:rsidR="00691F51" w:rsidRDefault="00691F51">
      <w:pPr>
        <w:pStyle w:val="Body"/>
        <w:spacing w:line="240" w:lineRule="auto"/>
        <w:rPr>
          <w:b/>
          <w:bCs/>
        </w:rPr>
      </w:pPr>
    </w:p>
    <w:p w14:paraId="089BD204" w14:textId="77777777" w:rsidR="00691F51" w:rsidRDefault="00BA4BB5">
      <w:pPr>
        <w:pStyle w:val="Body"/>
        <w:spacing w:line="240" w:lineRule="auto"/>
      </w:pPr>
      <w:r>
        <w:rPr>
          <w:rFonts w:ascii="Arial Unicode MS" w:eastAsia="Arial Unicode MS" w:hAnsi="Arial Unicode MS" w:cs="Arial Unicode MS"/>
          <w:color w:val="004147"/>
          <w:sz w:val="48"/>
          <w:szCs w:val="48"/>
          <w:u w:color="004147"/>
        </w:rPr>
        <w:br w:type="page"/>
      </w:r>
    </w:p>
    <w:p w14:paraId="5CD4AA42" w14:textId="77777777" w:rsidR="00691F51" w:rsidRDefault="00BA4BB5">
      <w:pPr>
        <w:pStyle w:val="Nornal"/>
        <w:spacing w:after="360"/>
        <w:ind w:right="2544"/>
        <w:rPr>
          <w:color w:val="004147"/>
          <w:sz w:val="52"/>
          <w:szCs w:val="52"/>
          <w:u w:color="004147"/>
        </w:rPr>
      </w:pPr>
      <w:r>
        <w:rPr>
          <w:noProof/>
        </w:rPr>
        <mc:AlternateContent>
          <mc:Choice Requires="wps">
            <w:drawing>
              <wp:anchor distT="0" distB="0" distL="0" distR="0" simplePos="0" relativeHeight="251656192" behindDoc="1" locked="0" layoutInCell="1" allowOverlap="1" wp14:anchorId="5642C6F1" wp14:editId="5AD6FF2A">
                <wp:simplePos x="0" y="0"/>
                <wp:positionH relativeFrom="page">
                  <wp:posOffset>358139</wp:posOffset>
                </wp:positionH>
                <wp:positionV relativeFrom="page">
                  <wp:posOffset>693419</wp:posOffset>
                </wp:positionV>
                <wp:extent cx="6841491" cy="1019175"/>
                <wp:effectExtent l="0" t="0" r="0" b="0"/>
                <wp:wrapNone/>
                <wp:docPr id="1073741830" name="officeArt object" descr="Rectangle 4"/>
                <wp:cNvGraphicFramePr/>
                <a:graphic xmlns:a="http://schemas.openxmlformats.org/drawingml/2006/main">
                  <a:graphicData uri="http://schemas.microsoft.com/office/word/2010/wordprocessingShape">
                    <wps:wsp>
                      <wps:cNvSpPr/>
                      <wps:spPr>
                        <a:xfrm>
                          <a:off x="0" y="0"/>
                          <a:ext cx="6841491" cy="1019175"/>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28.2pt;margin-top:54.6pt;width:538.7pt;height:80.2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color w:val="004147"/>
          <w:sz w:val="48"/>
          <w:szCs w:val="48"/>
          <w:u w:color="004147"/>
        </w:rPr>
        <w:t>5OS01</w:t>
      </w:r>
      <w:r>
        <w:rPr>
          <w:color w:val="004147"/>
          <w:sz w:val="48"/>
          <w:szCs w:val="48"/>
          <w:u w:color="004147"/>
        </w:rPr>
        <w:br/>
      </w:r>
      <w:r>
        <w:rPr>
          <w:color w:val="004147"/>
          <w:sz w:val="56"/>
          <w:szCs w:val="56"/>
          <w:u w:color="004147"/>
        </w:rPr>
        <w:t>Specialist employment law</w:t>
      </w:r>
    </w:p>
    <w:p w14:paraId="659498C4" w14:textId="77777777" w:rsidR="00691F51" w:rsidRDefault="00691F51">
      <w:pPr>
        <w:pStyle w:val="Body"/>
      </w:pPr>
    </w:p>
    <w:p w14:paraId="10B57B89" w14:textId="77777777" w:rsidR="00691F51" w:rsidRDefault="00BA4BB5">
      <w:pPr>
        <w:pStyle w:val="Body"/>
      </w:pPr>
      <w:r>
        <w:rPr>
          <w:rFonts w:eastAsia="Arial Unicode MS" w:cs="Arial Unicode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1D50F291" w14:textId="77777777" w:rsidR="00691F51" w:rsidRDefault="00BA4BB5">
      <w:pPr>
        <w:pStyle w:val="Heading2"/>
      </w:pPr>
      <w:r>
        <w:rPr>
          <w:noProof/>
          <w:color w:val="000000"/>
          <w:u w:color="000000"/>
        </w:rPr>
        <mc:AlternateContent>
          <mc:Choice Requires="wps">
            <w:drawing>
              <wp:anchor distT="0" distB="0" distL="0" distR="0" simplePos="0" relativeHeight="251657216" behindDoc="1" locked="0" layoutInCell="1" allowOverlap="1" wp14:anchorId="0507D284" wp14:editId="1823C6C8">
                <wp:simplePos x="0" y="0"/>
                <wp:positionH relativeFrom="page">
                  <wp:posOffset>412749</wp:posOffset>
                </wp:positionH>
                <wp:positionV relativeFrom="page">
                  <wp:posOffset>2489200</wp:posOffset>
                </wp:positionV>
                <wp:extent cx="6841491" cy="33210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841491" cy="3321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32.5pt;margin-top:196.0pt;width:538.7pt;height:261.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eastAsia="Arial Unicode MS" w:cs="Arial Unicode MS"/>
          <w:lang w:val="en-US"/>
        </w:rPr>
        <w:t>Preparation for the Tasks:</w:t>
      </w:r>
    </w:p>
    <w:p w14:paraId="45765634" w14:textId="77777777" w:rsidR="00691F51" w:rsidRDefault="00BA4BB5">
      <w:pPr>
        <w:pStyle w:val="Listparag"/>
        <w:numPr>
          <w:ilvl w:val="0"/>
          <w:numId w:val="4"/>
        </w:numPr>
      </w:pPr>
      <w:r>
        <w:t>At the start of your assignment, you are encouraged to plan your assessment work with your Assessor and where appropriate agree milestones so that they can help you monitor your progress.</w:t>
      </w:r>
    </w:p>
    <w:p w14:paraId="67D5E533" w14:textId="77777777" w:rsidR="00691F51" w:rsidRDefault="00BA4BB5">
      <w:pPr>
        <w:pStyle w:val="Listparag"/>
        <w:numPr>
          <w:ilvl w:val="0"/>
          <w:numId w:val="4"/>
        </w:numPr>
      </w:pPr>
      <w:r>
        <w:t>Refer to the indicative content in the unit to guide and support your evidence.</w:t>
      </w:r>
    </w:p>
    <w:p w14:paraId="13C6CD57" w14:textId="77777777" w:rsidR="00691F51" w:rsidRDefault="00BA4BB5">
      <w:pPr>
        <w:pStyle w:val="Listparag"/>
        <w:numPr>
          <w:ilvl w:val="0"/>
          <w:numId w:val="4"/>
        </w:numPr>
      </w:pPr>
      <w:r>
        <w:t>Pay attention to how your evidence is presented.</w:t>
      </w:r>
    </w:p>
    <w:p w14:paraId="4CC04717" w14:textId="77777777" w:rsidR="00691F51" w:rsidRDefault="00BA4BB5">
      <w:pPr>
        <w:pStyle w:val="Listparag"/>
        <w:numPr>
          <w:ilvl w:val="0"/>
          <w:numId w:val="4"/>
        </w:numPr>
      </w:pPr>
      <w:r>
        <w:t>Ensure that the evidence generated for this assessment remains your own work.</w:t>
      </w:r>
    </w:p>
    <w:p w14:paraId="077417F3" w14:textId="77777777" w:rsidR="00691F51" w:rsidRDefault="00BA4BB5">
      <w:pPr>
        <w:pStyle w:val="Heading2"/>
      </w:pPr>
      <w:r>
        <w:rPr>
          <w:rFonts w:eastAsia="Arial Unicode MS" w:cs="Arial Unicode MS"/>
          <w:lang w:val="en-US"/>
        </w:rPr>
        <w:t>You will also benefit from:</w:t>
      </w:r>
    </w:p>
    <w:p w14:paraId="0BC7698C" w14:textId="77777777" w:rsidR="00691F51" w:rsidRDefault="00BA4BB5">
      <w:pPr>
        <w:pStyle w:val="Listparag"/>
        <w:numPr>
          <w:ilvl w:val="0"/>
          <w:numId w:val="4"/>
        </w:numPr>
      </w:pPr>
      <w:r>
        <w:t>Completing and acting on formative feedback from your Assessor.</w:t>
      </w:r>
    </w:p>
    <w:p w14:paraId="7C28D009" w14:textId="77777777" w:rsidR="00691F51" w:rsidRDefault="00BA4BB5">
      <w:pPr>
        <w:pStyle w:val="Listparag"/>
        <w:numPr>
          <w:ilvl w:val="0"/>
          <w:numId w:val="4"/>
        </w:numPr>
      </w:pPr>
      <w:r>
        <w:t>Reflecting on your own experiences of learning opportunities and continuous professional development.</w:t>
      </w:r>
    </w:p>
    <w:p w14:paraId="44C1E19B" w14:textId="77777777" w:rsidR="00691F51" w:rsidRDefault="00BA4BB5">
      <w:pPr>
        <w:pStyle w:val="Listparag"/>
        <w:numPr>
          <w:ilvl w:val="0"/>
          <w:numId w:val="4"/>
        </w:numPr>
      </w:pPr>
      <w:r>
        <w:t>Reading the CIPD Insight, Fact Sheets and related online material on these topics as well as key research authors on the subject.</w:t>
      </w:r>
    </w:p>
    <w:p w14:paraId="5CF8C65B" w14:textId="77777777" w:rsidR="00691F51" w:rsidRDefault="00691F51">
      <w:pPr>
        <w:pStyle w:val="Body"/>
        <w:spacing w:line="240" w:lineRule="auto"/>
      </w:pPr>
    </w:p>
    <w:p w14:paraId="4EDE8319" w14:textId="77777777" w:rsidR="00691F51" w:rsidRDefault="00691F51">
      <w:pPr>
        <w:pStyle w:val="Body"/>
        <w:spacing w:line="240" w:lineRule="auto"/>
      </w:pPr>
    </w:p>
    <w:p w14:paraId="49584174" w14:textId="77777777" w:rsidR="00691F51" w:rsidRDefault="00691F51">
      <w:pPr>
        <w:pStyle w:val="Body"/>
        <w:spacing w:line="240" w:lineRule="auto"/>
      </w:pPr>
    </w:p>
    <w:p w14:paraId="59D3E425" w14:textId="77777777" w:rsidR="00691F51" w:rsidRDefault="00691F51">
      <w:pPr>
        <w:pStyle w:val="Body"/>
        <w:spacing w:line="240" w:lineRule="auto"/>
      </w:pPr>
    </w:p>
    <w:p w14:paraId="30E43396" w14:textId="77777777" w:rsidR="00691F51" w:rsidRDefault="00691F51">
      <w:pPr>
        <w:pStyle w:val="Body"/>
        <w:spacing w:line="240" w:lineRule="auto"/>
      </w:pPr>
    </w:p>
    <w:p w14:paraId="3D9BDAA8" w14:textId="77777777" w:rsidR="00691F51" w:rsidRDefault="00691F51">
      <w:pPr>
        <w:pStyle w:val="Body"/>
        <w:spacing w:line="240" w:lineRule="auto"/>
      </w:pPr>
    </w:p>
    <w:p w14:paraId="1F203EB8" w14:textId="77777777" w:rsidR="00691F51" w:rsidRDefault="00691F51">
      <w:pPr>
        <w:pStyle w:val="Body"/>
        <w:spacing w:line="240" w:lineRule="auto"/>
      </w:pPr>
    </w:p>
    <w:p w14:paraId="3312CA99" w14:textId="77777777" w:rsidR="00691F51" w:rsidRDefault="00BA4BB5">
      <w:pPr>
        <w:pStyle w:val="Body"/>
        <w:spacing w:line="240" w:lineRule="auto"/>
      </w:pPr>
      <w:r>
        <w:rPr>
          <w:noProof/>
          <w:color w:val="2B579A"/>
          <w:u w:color="2B579A"/>
          <w:shd w:val="clear" w:color="auto" w:fill="E6E6E6"/>
        </w:rPr>
        <w:drawing>
          <wp:anchor distT="0" distB="0" distL="0" distR="0" simplePos="0" relativeHeight="251660288" behindDoc="0" locked="0" layoutInCell="1" allowOverlap="1" wp14:anchorId="2F8D9C4E" wp14:editId="66B23845">
            <wp:simplePos x="0" y="0"/>
            <wp:positionH relativeFrom="page">
              <wp:posOffset>5048250</wp:posOffset>
            </wp:positionH>
            <wp:positionV relativeFrom="line">
              <wp:posOffset>279871</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72F31A6F" w14:textId="77777777" w:rsidR="00691F51" w:rsidRDefault="00691F51">
      <w:pPr>
        <w:pStyle w:val="Body"/>
        <w:spacing w:line="240" w:lineRule="auto"/>
      </w:pPr>
    </w:p>
    <w:p w14:paraId="7349FFC5" w14:textId="77777777" w:rsidR="00691F51" w:rsidRDefault="00BA4BB5">
      <w:pPr>
        <w:pStyle w:val="Body"/>
        <w:spacing w:line="240" w:lineRule="auto"/>
      </w:pPr>
      <w:r>
        <w:rPr>
          <w:rFonts w:ascii="Arial Unicode MS" w:eastAsia="Arial Unicode MS" w:hAnsi="Arial Unicode MS" w:cs="Arial Unicode MS"/>
        </w:rPr>
        <w:br w:type="page"/>
      </w:r>
    </w:p>
    <w:p w14:paraId="78E614AF" w14:textId="77777777" w:rsidR="00691F51" w:rsidRDefault="00BA4BB5">
      <w:pPr>
        <w:pStyle w:val="Heading"/>
      </w:pPr>
      <w:r>
        <w:t>Context</w:t>
      </w:r>
    </w:p>
    <w:p w14:paraId="2DB481F9" w14:textId="77777777" w:rsidR="00691F51" w:rsidRDefault="00BA4BB5">
      <w:pPr>
        <w:pStyle w:val="Nornal"/>
      </w:pPr>
      <w:r>
        <w:rPr>
          <w:rFonts w:eastAsia="Arial Unicode MS" w:cs="Arial Unicode MS"/>
        </w:rPr>
        <w:t xml:space="preserve">Peachy Desserts Ltd is a small chain of dessert restaurants. The business is owned by sisters, </w:t>
      </w:r>
      <w:bookmarkStart w:id="0" w:name="_Hlk123120784"/>
      <w:r>
        <w:rPr>
          <w:rFonts w:eastAsia="Arial Unicode MS" w:cs="Arial Unicode MS"/>
        </w:rPr>
        <w:t>Charlotte and Madeleine</w:t>
      </w:r>
      <w:bookmarkEnd w:id="0"/>
      <w:r>
        <w:rPr>
          <w:rFonts w:eastAsia="Arial Unicode MS" w:cs="Arial Unicode MS"/>
        </w:rPr>
        <w:t xml:space="preserve">, and has grown from a single restaurant that opened in December 2018, to a chain that consists of 10 branches and 60 employees. All restaurants are located within a 30 mile radius.  Each store is staffed by a manager, a supervisor, and several full-time/part-time sales assistants. Despite Covid lockdowns the business has flourished, combining dining in, takeaway and home delivery services. The sisters plan to expand the chain further by opening two new stores and taking over Crumbly </w:t>
      </w:r>
      <w:r>
        <w:rPr>
          <w:rFonts w:eastAsia="Arial Unicode MS" w:cs="Arial Unicode MS"/>
        </w:rPr>
        <w:t>Cakes an existing chain of two dessert parlours. All individuals employed at Peachy Desserts Ltd and Crumbly Cakes are employees and none are apprentices.</w:t>
      </w:r>
    </w:p>
    <w:p w14:paraId="00EB05CD" w14:textId="77777777" w:rsidR="00691F51" w:rsidRDefault="00BA4BB5">
      <w:pPr>
        <w:pStyle w:val="Nornal"/>
      </w:pPr>
      <w:r>
        <w:rPr>
          <w:rFonts w:eastAsia="Arial Unicode MS" w:cs="Arial Unicode MS"/>
        </w:rPr>
        <w:t>Historically, Charlotte has dealt with all business matters, while Madeleine has focused on the creative side, developing recipes. Both have become increasingly concerned that they may have made some mistakes in the past in relation to employment law.  They know that you are studying the CIPD Associate Diploma in People Management and have decided to seek your advice on several matters.</w:t>
      </w:r>
    </w:p>
    <w:p w14:paraId="534A42DE" w14:textId="77777777" w:rsidR="00691F51" w:rsidRDefault="00BA4BB5">
      <w:pPr>
        <w:pStyle w:val="Heading"/>
      </w:pPr>
      <w:r>
        <w:rPr>
          <w:lang w:val="en-US"/>
        </w:rPr>
        <w:t xml:space="preserve">Task </w:t>
      </w:r>
    </w:p>
    <w:p w14:paraId="62F41DBB" w14:textId="77777777" w:rsidR="00691F51" w:rsidRDefault="00BA4BB5">
      <w:pPr>
        <w:pStyle w:val="Nornal"/>
      </w:pPr>
      <w:r>
        <w:rPr>
          <w:rFonts w:eastAsia="Arial Unicode MS" w:cs="Arial Unicode MS"/>
        </w:rPr>
        <w:t>After meeting with Charlotte and Madeleine, you have some concerns and decide that you must provide them with detailed written advice on how to proceed with each of the matters below. To help the reader, please make use of headings and assessment criteria references to signpost the assessment criteria being addressed. You decide to:</w:t>
      </w:r>
    </w:p>
    <w:p w14:paraId="4A25877E" w14:textId="77777777" w:rsidR="00691F51" w:rsidRDefault="00BA4BB5">
      <w:pPr>
        <w:pStyle w:val="Nornal"/>
        <w:numPr>
          <w:ilvl w:val="0"/>
          <w:numId w:val="6"/>
        </w:numPr>
      </w:pPr>
      <w:r>
        <w:t>Evaluate the aims and objectives of employment regulation. (AC 1.1)</w:t>
      </w:r>
    </w:p>
    <w:p w14:paraId="1CCBD095" w14:textId="77777777" w:rsidR="00691F51" w:rsidRDefault="00BA4BB5">
      <w:pPr>
        <w:pStyle w:val="Nornal"/>
        <w:numPr>
          <w:ilvl w:val="0"/>
          <w:numId w:val="6"/>
        </w:numPr>
      </w:pPr>
      <w:r>
        <w:t>Examine the role played by the tribunal and courts system in enforcing employment law. (AC 1.2)</w:t>
      </w:r>
    </w:p>
    <w:p w14:paraId="520D9582" w14:textId="77777777" w:rsidR="00691F51" w:rsidRDefault="00BA4BB5">
      <w:pPr>
        <w:pStyle w:val="Nornal"/>
        <w:numPr>
          <w:ilvl w:val="0"/>
          <w:numId w:val="6"/>
        </w:numPr>
      </w:pPr>
      <w:r>
        <w:t>Explain how cases are settled before and during legal procedures. (AC 1.3)</w:t>
      </w:r>
    </w:p>
    <w:p w14:paraId="6E2D6A99" w14:textId="77777777" w:rsidR="00691F51" w:rsidRDefault="00BA4BB5">
      <w:pPr>
        <w:pStyle w:val="Nornal"/>
      </w:pPr>
      <w:bookmarkStart w:id="1" w:name="_Hlk168866618"/>
      <w:r>
        <w:rPr>
          <w:rFonts w:eastAsia="Arial Unicode MS" w:cs="Arial Unicode MS"/>
        </w:rPr>
        <w:t>And provide tailored advice for each of the following scenarios:</w:t>
      </w:r>
      <w:bookmarkEnd w:id="1"/>
    </w:p>
    <w:p w14:paraId="5F5F6FA2" w14:textId="77777777" w:rsidR="00691F51" w:rsidRDefault="00BA4BB5">
      <w:pPr>
        <w:pStyle w:val="Nornal"/>
        <w:numPr>
          <w:ilvl w:val="0"/>
          <w:numId w:val="6"/>
        </w:numPr>
      </w:pPr>
      <w:bookmarkStart w:id="2" w:name="_Hlk123122771"/>
      <w:r>
        <w:t xml:space="preserve">Charlotte and Madeleine </w:t>
      </w:r>
      <w:bookmarkEnd w:id="2"/>
      <w: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6B4A8406" w14:textId="77777777" w:rsidR="00691F51" w:rsidRDefault="00BA4BB5">
      <w:pPr>
        <w:pStyle w:val="Nornal"/>
        <w:numPr>
          <w:ilvl w:val="0"/>
          <w:numId w:val="6"/>
        </w:numPr>
      </w:pPr>
      <w:bookmarkStart w:id="3" w:name="_Hlk168873829"/>
      <w: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bookmarkEnd w:id="3"/>
    </w:p>
    <w:p w14:paraId="24B7C2C8" w14:textId="77777777" w:rsidR="00691F51" w:rsidRDefault="00BA4BB5">
      <w:pPr>
        <w:pStyle w:val="Nornal"/>
        <w:numPr>
          <w:ilvl w:val="0"/>
          <w:numId w:val="6"/>
        </w:numPr>
      </w:pPr>
      <w: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38B83C03" w14:textId="77777777" w:rsidR="00691F51" w:rsidRDefault="00BA4BB5">
      <w:pPr>
        <w:pStyle w:val="Nornal"/>
        <w:numPr>
          <w:ilvl w:val="1"/>
          <w:numId w:val="6"/>
        </w:numPr>
      </w:pPr>
      <w:r>
        <w:t>Angelica, the manager (eight years’ service, 53 years old, salary £700 per week)</w:t>
      </w:r>
    </w:p>
    <w:p w14:paraId="0EE31243" w14:textId="77777777" w:rsidR="00691F51" w:rsidRDefault="00BA4BB5">
      <w:pPr>
        <w:pStyle w:val="Nornal"/>
        <w:numPr>
          <w:ilvl w:val="1"/>
          <w:numId w:val="6"/>
        </w:numPr>
      </w:pPr>
      <w:r>
        <w:t>Saffron, the supervisor (five years’ service, 30 years old, salary £350 per week)</w:t>
      </w:r>
    </w:p>
    <w:p w14:paraId="38405FA5" w14:textId="77777777" w:rsidR="00691F51" w:rsidRDefault="00BA4BB5">
      <w:pPr>
        <w:pStyle w:val="Nornal"/>
        <w:numPr>
          <w:ilvl w:val="1"/>
          <w:numId w:val="6"/>
        </w:numPr>
      </w:pPr>
      <w:r>
        <w:t>Chip and Cherry, full-time sales assistants, who are 18 years old, and Reese and Carmel, full-time sales assistants who are 19 years old. All four employees have one year’s service, are paid £9.00 per hour and work 25 hours a week)</w:t>
      </w:r>
    </w:p>
    <w:p w14:paraId="18A2057A" w14:textId="77777777" w:rsidR="00691F51" w:rsidRDefault="00BA4BB5">
      <w:pPr>
        <w:pStyle w:val="Nornal"/>
        <w:ind w:left="720"/>
      </w:pPr>
      <w:r>
        <w:t xml:space="preserve">Advise why </w:t>
      </w:r>
      <w:r>
        <w:t>their approach is risky and what they should do instead. (AC 3.1)</w:t>
      </w:r>
    </w:p>
    <w:p w14:paraId="1AB8C634" w14:textId="77777777" w:rsidR="00691F51" w:rsidRDefault="00BA4BB5">
      <w:pPr>
        <w:pStyle w:val="Nornal"/>
        <w:numPr>
          <w:ilvl w:val="0"/>
          <w:numId w:val="6"/>
        </w:numPr>
      </w:pPr>
      <w:r>
        <w:t>The takeover of Crumbly Cakes is due to be complete in four months. Ownership will transfer to Peachy Desserts Ltd, and the identity of the owner will change</w:t>
      </w:r>
      <w:bookmarkStart w:id="4" w:name="_Hlk123126731"/>
      <w: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4"/>
      <w:r>
        <w:t>but plan to give the employees of Crumbly Cakes new contracts on the same terms and conditions as their existing employees. Advise on the legal risk of this approach and what should be done instead. (AC 3.2)</w:t>
      </w:r>
    </w:p>
    <w:p w14:paraId="3D988B2A" w14:textId="77777777" w:rsidR="00691F51" w:rsidRDefault="00BA4BB5">
      <w:pPr>
        <w:pStyle w:val="ListParagraph"/>
        <w:numPr>
          <w:ilvl w:val="0"/>
          <w:numId w:val="6"/>
        </w:numPr>
        <w:spacing w:after="120" w:line="264" w:lineRule="auto"/>
      </w:pPr>
      <w: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201F8EAB" w14:textId="77777777" w:rsidR="00691F51" w:rsidRDefault="00BA4BB5">
      <w:pPr>
        <w:pStyle w:val="ListParagraph"/>
        <w:numPr>
          <w:ilvl w:val="0"/>
          <w:numId w:val="6"/>
        </w:numPr>
        <w:spacing w:after="120" w:line="264" w:lineRule="auto"/>
      </w:pPr>
      <w: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75B109BD" w14:textId="77777777" w:rsidR="00691F51" w:rsidRDefault="00BA4BB5">
      <w:pPr>
        <w:pStyle w:val="Nornal"/>
        <w:numPr>
          <w:ilvl w:val="0"/>
          <w:numId w:val="6"/>
        </w:numPr>
      </w:pPr>
      <w: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w:t>
      </w:r>
      <w:r>
        <w:t>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23CF8CC6" w14:textId="77777777" w:rsidR="00691F51" w:rsidRDefault="00BA4BB5">
      <w:pPr>
        <w:pStyle w:val="Nornal"/>
        <w:numPr>
          <w:ilvl w:val="0"/>
          <w:numId w:val="6"/>
        </w:numPr>
      </w:pPr>
      <w: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6C585E2B" w14:textId="77777777" w:rsidR="00691F51" w:rsidRDefault="00BA4BB5">
      <w:pPr>
        <w:pStyle w:val="Body"/>
        <w:ind w:left="360"/>
      </w:pPr>
      <w:r>
        <w:rPr>
          <w:lang w:val="en-US"/>
        </w:rPr>
        <w:t xml:space="preserve">You should relate to academic concepts, theories, and professional practice throughout your advice to ensure that your work is critical and informed by using statute, case law, and relevant publications. All cited references used should be correctly acknowledged and presented in full in a bibliography at the end of your report. </w:t>
      </w:r>
    </w:p>
    <w:p w14:paraId="15219A73" w14:textId="77777777" w:rsidR="00691F51" w:rsidRDefault="00BA4BB5">
      <w:pPr>
        <w:pStyle w:val="Nornal"/>
        <w:spacing w:after="0" w:line="240" w:lineRule="auto"/>
      </w:pPr>
      <w:r>
        <w:rPr>
          <w:noProof/>
        </w:rPr>
        <mc:AlternateContent>
          <mc:Choice Requires="wps">
            <w:drawing>
              <wp:anchor distT="0" distB="0" distL="0" distR="0" simplePos="0" relativeHeight="251654144" behindDoc="1" locked="0" layoutInCell="1" allowOverlap="1" wp14:anchorId="5E25AA66" wp14:editId="6606E424">
                <wp:simplePos x="0" y="0"/>
                <wp:positionH relativeFrom="page">
                  <wp:posOffset>624839</wp:posOffset>
                </wp:positionH>
                <wp:positionV relativeFrom="line">
                  <wp:posOffset>95250</wp:posOffset>
                </wp:positionV>
                <wp:extent cx="6371591" cy="1019175"/>
                <wp:effectExtent l="0" t="0" r="0" b="0"/>
                <wp:wrapNone/>
                <wp:docPr id="1073741833" name="officeArt object" descr="Rectangle 1"/>
                <wp:cNvGraphicFramePr/>
                <a:graphic xmlns:a="http://schemas.openxmlformats.org/drawingml/2006/main">
                  <a:graphicData uri="http://schemas.microsoft.com/office/word/2010/wordprocessingShape">
                    <wps:wsp>
                      <wps:cNvSpPr/>
                      <wps:spPr>
                        <a:xfrm>
                          <a:off x="0" y="0"/>
                          <a:ext cx="6371591" cy="1019175"/>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49.2pt;margin-top:7.5pt;width:501.7pt;height:80.2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452EE6F3" w14:textId="77777777" w:rsidR="00691F51" w:rsidRDefault="00BA4BB5">
      <w:pPr>
        <w:pStyle w:val="Nornal"/>
        <w:rPr>
          <w:color w:val="004147"/>
          <w:sz w:val="28"/>
          <w:szCs w:val="28"/>
          <w:u w:color="004147"/>
        </w:rPr>
      </w:pPr>
      <w:r>
        <w:rPr>
          <w:rFonts w:eastAsia="Arial Unicode MS" w:cs="Arial Unicode MS"/>
          <w:color w:val="004147"/>
          <w:sz w:val="28"/>
          <w:szCs w:val="28"/>
          <w:u w:color="004147"/>
        </w:rPr>
        <w:t>Your evidence must consist of:</w:t>
      </w:r>
    </w:p>
    <w:p w14:paraId="335EC275" w14:textId="77777777" w:rsidR="00691F51" w:rsidRDefault="00BA4BB5">
      <w:pPr>
        <w:pStyle w:val="ListParagraph"/>
        <w:numPr>
          <w:ilvl w:val="0"/>
          <w:numId w:val="8"/>
        </w:numPr>
        <w:spacing w:after="120" w:line="264" w:lineRule="auto"/>
      </w:pPr>
      <w:r>
        <w:t>Written answers (3900 words +/- 10%) refer to CIPD wordcount policy.</w:t>
      </w:r>
    </w:p>
    <w:p w14:paraId="5556D599" w14:textId="77777777" w:rsidR="00691F51" w:rsidRDefault="00691F51">
      <w:pPr>
        <w:pStyle w:val="Listparag"/>
        <w:spacing w:after="0" w:line="240" w:lineRule="auto"/>
      </w:pPr>
    </w:p>
    <w:p w14:paraId="7F4D3947" w14:textId="77777777" w:rsidR="00691F51" w:rsidRDefault="00691F51">
      <w:pPr>
        <w:pStyle w:val="Listparag"/>
        <w:spacing w:after="0" w:line="240" w:lineRule="auto"/>
        <w:rPr>
          <w:b/>
          <w:bCs/>
          <w:color w:val="004147"/>
          <w:u w:color="004147"/>
        </w:rPr>
      </w:pPr>
    </w:p>
    <w:p w14:paraId="509B4BCF" w14:textId="77777777" w:rsidR="00691F51" w:rsidRDefault="00691F51">
      <w:pPr>
        <w:pStyle w:val="Listparag"/>
        <w:spacing w:after="0" w:line="240" w:lineRule="auto"/>
        <w:rPr>
          <w:b/>
          <w:bCs/>
          <w:color w:val="004147"/>
          <w:u w:color="004147"/>
        </w:rPr>
      </w:pPr>
    </w:p>
    <w:p w14:paraId="70B81724" w14:textId="77777777" w:rsidR="00691F51" w:rsidRDefault="00BA4BB5">
      <w:pPr>
        <w:pStyle w:val="Listparag"/>
        <w:spacing w:after="0" w:line="240" w:lineRule="auto"/>
        <w:rPr>
          <w:b/>
          <w:bCs/>
          <w:color w:val="004147"/>
          <w:u w:color="004147"/>
        </w:rPr>
      </w:pPr>
      <w:r>
        <w:rPr>
          <w:b/>
          <w:bCs/>
          <w:color w:val="004147"/>
          <w:u w:color="004147"/>
        </w:rPr>
        <w:t xml:space="preserve">Assessment Criteria Evidence Checklist </w:t>
      </w:r>
    </w:p>
    <w:p w14:paraId="615CC333" w14:textId="77777777" w:rsidR="00691F51" w:rsidRDefault="00691F51">
      <w:pPr>
        <w:pStyle w:val="Listparag"/>
        <w:spacing w:after="0" w:line="240" w:lineRule="auto"/>
        <w:rPr>
          <w:b/>
          <w:bCs/>
          <w:color w:val="004147"/>
          <w:u w:color="004147"/>
        </w:rPr>
      </w:pPr>
    </w:p>
    <w:p w14:paraId="3EB976EF" w14:textId="77777777" w:rsidR="00691F51" w:rsidRDefault="00BA4BB5">
      <w:pPr>
        <w:pStyle w:val="Nornal"/>
      </w:pPr>
      <w:r>
        <w:rPr>
          <w:rFonts w:eastAsia="Arial Unicode MS" w:cs="Arial Unicode MS"/>
        </w:rPr>
        <w:t>You may find the following checklist helpful to make sure that you have included the required evidence to meet the task. This is not a mandatory requirement as long as it is clear in your submission where the assessment criteria have been met.</w:t>
      </w:r>
    </w:p>
    <w:p w14:paraId="6C148EE1" w14:textId="77777777" w:rsidR="00691F51" w:rsidRDefault="00691F51">
      <w:pPr>
        <w:pStyle w:val="Body"/>
        <w:spacing w:line="240" w:lineRule="auto"/>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691F51" w14:paraId="7901BDB6"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6BBA48B1" w14:textId="77777777" w:rsidR="00691F51" w:rsidRDefault="00691F51">
            <w:pPr>
              <w:pStyle w:val="Nornal"/>
              <w:rPr>
                <w:b/>
                <w:bCs/>
                <w:color w:val="004147"/>
                <w:u w:color="004147"/>
              </w:rPr>
            </w:pPr>
          </w:p>
          <w:p w14:paraId="6483B159" w14:textId="77777777" w:rsidR="00691F51" w:rsidRDefault="00BA4BB5">
            <w:pPr>
              <w:pStyle w:val="Nornal"/>
            </w:pPr>
            <w:r>
              <w:rPr>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B3797B2" w14:textId="77777777" w:rsidR="00691F51" w:rsidRDefault="00BA4BB5">
            <w:pPr>
              <w:pStyle w:val="Nornal"/>
              <w:spacing w:after="0"/>
              <w:jc w:val="center"/>
            </w:pPr>
            <w:r>
              <w:rPr>
                <w:b/>
                <w:bCs/>
                <w:color w:val="004147"/>
                <w:u w:color="004147"/>
              </w:rPr>
              <w:t>Evidenced</w:t>
            </w:r>
            <w:r>
              <w:rPr>
                <w:b/>
                <w:bCs/>
                <w:color w:val="004147"/>
                <w:u w:color="004147"/>
              </w:rPr>
              <w:br/>
            </w:r>
            <w:r>
              <w:rPr>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EC364E1" w14:textId="77777777" w:rsidR="00691F51" w:rsidRDefault="00BA4BB5">
            <w:pPr>
              <w:pStyle w:val="Nornal"/>
              <w:spacing w:after="0"/>
              <w:jc w:val="center"/>
            </w:pPr>
            <w:r>
              <w:rPr>
                <w:b/>
                <w:bCs/>
                <w:color w:val="004147"/>
                <w:u w:color="004147"/>
              </w:rPr>
              <w:t>Evidence reference</w:t>
            </w:r>
          </w:p>
        </w:tc>
      </w:tr>
      <w:tr w:rsidR="00691F51" w14:paraId="7963C545" w14:textId="77777777">
        <w:tblPrEx>
          <w:shd w:val="clear" w:color="auto" w:fill="CFCAD0"/>
        </w:tblPrEx>
        <w:trPr>
          <w:trHeight w:val="506"/>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D7F53D" w14:textId="77777777" w:rsidR="00691F51" w:rsidRDefault="00BA4BB5">
            <w:pPr>
              <w:pStyle w:val="Nornal"/>
              <w:spacing w:after="120"/>
            </w:pPr>
            <w: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1E80465" w14:textId="77777777" w:rsidR="00691F51" w:rsidRDefault="00BA4BB5">
            <w:pPr>
              <w:pStyle w:val="Nornal"/>
            </w:pPr>
            <w:r>
              <w:t xml:space="preserve">Evaluate the aims and objectives of employment regulation.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CFD6B5B"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10C8C01" w14:textId="77777777" w:rsidR="00691F51" w:rsidRDefault="00691F51"/>
        </w:tc>
      </w:tr>
      <w:tr w:rsidR="00691F51" w14:paraId="69A107C6" w14:textId="77777777">
        <w:tblPrEx>
          <w:shd w:val="clear" w:color="auto" w:fill="CFCAD0"/>
        </w:tblPrEx>
        <w:trPr>
          <w:trHeight w:val="769"/>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393F024" w14:textId="77777777" w:rsidR="00691F51" w:rsidRDefault="00BA4BB5">
            <w:pPr>
              <w:pStyle w:val="Nornal"/>
              <w:spacing w:after="120"/>
            </w:pPr>
            <w: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D704328" w14:textId="77777777" w:rsidR="00691F51" w:rsidRDefault="00BA4BB5">
            <w:pPr>
              <w:pStyle w:val="Nornal"/>
            </w:pPr>
            <w: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6CD4A92"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CB2923C" w14:textId="77777777" w:rsidR="00691F51" w:rsidRDefault="00691F51"/>
        </w:tc>
      </w:tr>
      <w:tr w:rsidR="00691F51" w14:paraId="001D944A" w14:textId="77777777">
        <w:tblPrEx>
          <w:shd w:val="clear" w:color="auto" w:fill="CFCAD0"/>
        </w:tblPrEx>
        <w:trPr>
          <w:trHeight w:val="723"/>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1B41A0F" w14:textId="77777777" w:rsidR="00691F51" w:rsidRDefault="00BA4BB5">
            <w:pPr>
              <w:pStyle w:val="Nornal"/>
              <w:spacing w:after="120"/>
            </w:pPr>
            <w:r>
              <w:t>1.3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5589733" w14:textId="77777777" w:rsidR="00691F51" w:rsidRDefault="00BA4BB5">
            <w:pPr>
              <w:pStyle w:val="Nornal"/>
              <w:spacing w:after="0" w:line="240" w:lineRule="auto"/>
            </w:pPr>
            <w:r>
              <w:t xml:space="preserve">Explain how cases are settled before and during formal legal procedures.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2AD72FE"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3215098" w14:textId="77777777" w:rsidR="00691F51" w:rsidRDefault="00691F51"/>
        </w:tc>
      </w:tr>
      <w:tr w:rsidR="00691F51" w14:paraId="7BB311A2" w14:textId="77777777">
        <w:tblPrEx>
          <w:shd w:val="clear" w:color="auto" w:fill="CFCAD0"/>
        </w:tblPrEx>
        <w:trPr>
          <w:trHeight w:val="769"/>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9CE8FC9" w14:textId="77777777" w:rsidR="00691F51" w:rsidRDefault="00BA4BB5">
            <w:pPr>
              <w:pStyle w:val="Nornal"/>
              <w:spacing w:after="120"/>
            </w:pPr>
            <w: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46ECEA3" w14:textId="77777777" w:rsidR="00691F51" w:rsidRDefault="00BA4BB5">
            <w:pPr>
              <w:pStyle w:val="Nornal"/>
            </w:pPr>
            <w:r>
              <w:t xml:space="preserve">Evaluate the principles of discrimination law in recruitment, selection and employment.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9FA2969"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D136268" w14:textId="77777777" w:rsidR="00691F51" w:rsidRDefault="00691F51"/>
        </w:tc>
      </w:tr>
      <w:tr w:rsidR="00691F51" w14:paraId="0C48E866" w14:textId="77777777">
        <w:tblPrEx>
          <w:shd w:val="clear" w:color="auto" w:fill="CFCAD0"/>
        </w:tblPrEx>
        <w:trPr>
          <w:trHeight w:val="506"/>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B87C99" w14:textId="77777777" w:rsidR="00691F51" w:rsidRDefault="00BA4BB5">
            <w:pPr>
              <w:pStyle w:val="Nornal"/>
              <w:spacing w:after="120"/>
            </w:pPr>
            <w: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390C018" w14:textId="77777777" w:rsidR="00691F51" w:rsidRDefault="00BA4BB5">
            <w:pPr>
              <w:pStyle w:val="Nornal"/>
            </w:pPr>
            <w:r>
              <w:t xml:space="preserve">Discuss the legal requirements of equal pay.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3260945"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53E90E1" w14:textId="77777777" w:rsidR="00691F51" w:rsidRDefault="00691F51"/>
        </w:tc>
      </w:tr>
      <w:tr w:rsidR="00691F51" w14:paraId="656F4381" w14:textId="77777777">
        <w:tblPrEx>
          <w:shd w:val="clear" w:color="auto" w:fill="CFCAD0"/>
        </w:tblPrEx>
        <w:trPr>
          <w:trHeight w:val="723"/>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40850AB" w14:textId="77777777" w:rsidR="00691F51" w:rsidRDefault="00BA4BB5">
            <w:pPr>
              <w:pStyle w:val="Nornal"/>
              <w:spacing w:after="120"/>
            </w:pPr>
            <w: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E0B9221" w14:textId="77777777" w:rsidR="00691F51" w:rsidRDefault="00BA4BB5">
            <w:pPr>
              <w:pStyle w:val="Nornal"/>
              <w:spacing w:after="0" w:line="240" w:lineRule="auto"/>
            </w:pPr>
            <w:r>
              <w:t xml:space="preserve">Discuss the legal implications of managing change.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CF1C5F2"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243931B" w14:textId="77777777" w:rsidR="00691F51" w:rsidRDefault="00691F51"/>
        </w:tc>
      </w:tr>
      <w:tr w:rsidR="00691F51" w14:paraId="2E0E59FE" w14:textId="77777777">
        <w:tblPrEx>
          <w:shd w:val="clear" w:color="auto" w:fill="CFCAD0"/>
        </w:tblPrEx>
        <w:trPr>
          <w:trHeight w:val="506"/>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87D9DC0" w14:textId="77777777" w:rsidR="00691F51" w:rsidRDefault="00BA4BB5">
            <w:pPr>
              <w:pStyle w:val="Nornal"/>
              <w:spacing w:after="120"/>
            </w:pPr>
            <w: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619D28D" w14:textId="77777777" w:rsidR="00691F51" w:rsidRDefault="00BA4BB5">
            <w:pPr>
              <w:pStyle w:val="Nornal"/>
            </w:pPr>
            <w:r>
              <w:t xml:space="preserve">Explain the legal requirements relating to transfers of undertakings.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7AF322E"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724E914" w14:textId="77777777" w:rsidR="00691F51" w:rsidRDefault="00691F51"/>
        </w:tc>
      </w:tr>
      <w:tr w:rsidR="00691F51" w14:paraId="5478F8FC" w14:textId="77777777">
        <w:tblPrEx>
          <w:shd w:val="clear" w:color="auto" w:fill="CFCAD0"/>
        </w:tblPrEx>
        <w:trPr>
          <w:trHeight w:val="723"/>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79F21D0" w14:textId="77777777" w:rsidR="00691F51" w:rsidRDefault="00BA4BB5">
            <w:pPr>
              <w:pStyle w:val="Nornal"/>
              <w:spacing w:after="120"/>
            </w:pPr>
            <w: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EE11FC6" w14:textId="77777777" w:rsidR="00691F51" w:rsidRDefault="00BA4BB5">
            <w:pPr>
              <w:pStyle w:val="Nornal"/>
              <w:spacing w:after="0" w:line="240" w:lineRule="auto"/>
            </w:pPr>
            <w:r>
              <w:t xml:space="preserve">Explain the major statutory rights workers have in relation to pay.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D8CC879"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CF37FC1" w14:textId="77777777" w:rsidR="00691F51" w:rsidRDefault="00691F51"/>
        </w:tc>
      </w:tr>
      <w:tr w:rsidR="00691F51" w14:paraId="3253943E" w14:textId="77777777">
        <w:tblPrEx>
          <w:shd w:val="clear" w:color="auto" w:fill="CFCAD0"/>
        </w:tblPrEx>
        <w:trPr>
          <w:trHeight w:val="723"/>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FF4CEB6" w14:textId="77777777" w:rsidR="00691F51" w:rsidRDefault="00BA4BB5">
            <w:pPr>
              <w:pStyle w:val="Nornal"/>
              <w:spacing w:after="120"/>
            </w:pPr>
            <w: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DAAFCED" w14:textId="77777777" w:rsidR="00691F51" w:rsidRDefault="00BA4BB5">
            <w:pPr>
              <w:pStyle w:val="Nornal"/>
              <w:spacing w:after="0" w:line="240" w:lineRule="auto"/>
            </w:pPr>
            <w: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3B5DDA7"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3050312" w14:textId="77777777" w:rsidR="00691F51" w:rsidRDefault="00691F51"/>
        </w:tc>
      </w:tr>
      <w:tr w:rsidR="00691F51" w14:paraId="6D02A6B4" w14:textId="77777777">
        <w:tblPrEx>
          <w:shd w:val="clear" w:color="auto" w:fill="CFCAD0"/>
        </w:tblPrEx>
        <w:trPr>
          <w:trHeight w:val="963"/>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B6AEC09" w14:textId="77777777" w:rsidR="00691F51" w:rsidRDefault="00BA4BB5">
            <w:pPr>
              <w:pStyle w:val="Nornal"/>
              <w:spacing w:after="120"/>
            </w:pPr>
            <w: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FEDE31E" w14:textId="77777777" w:rsidR="00691F51" w:rsidRDefault="00BA4BB5">
            <w:pPr>
              <w:pStyle w:val="Nornal"/>
              <w:spacing w:after="0" w:line="240" w:lineRule="auto"/>
            </w:pPr>
            <w:r>
              <w:t>Explain the main principles of maternity, paternity and adoption rights in the context of employment rights.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42EEB89"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70EC75A" w14:textId="77777777" w:rsidR="00691F51" w:rsidRDefault="00691F51"/>
        </w:tc>
      </w:tr>
      <w:tr w:rsidR="00691F51" w14:paraId="526675A8" w14:textId="77777777">
        <w:tblPrEx>
          <w:shd w:val="clear" w:color="auto" w:fill="CFCAD0"/>
        </w:tblPrEx>
        <w:trPr>
          <w:trHeight w:val="723"/>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9C22D85" w14:textId="77777777" w:rsidR="00691F51" w:rsidRDefault="00BA4BB5">
            <w:pPr>
              <w:pStyle w:val="Nornal"/>
              <w:spacing w:after="120"/>
            </w:pPr>
            <w:r>
              <w:t xml:space="preserve"> 4.4</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95910F8" w14:textId="77777777" w:rsidR="00691F51" w:rsidRDefault="00BA4BB5">
            <w:pPr>
              <w:pStyle w:val="Nornal"/>
              <w:spacing w:after="0" w:line="240" w:lineRule="auto"/>
            </w:pPr>
            <w:r>
              <w:t xml:space="preserve">Explain other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8ECE922" w14:textId="77777777" w:rsidR="00691F51" w:rsidRDefault="00691F51"/>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B8C4E6" w14:textId="77777777" w:rsidR="00691F51" w:rsidRDefault="00691F51"/>
        </w:tc>
      </w:tr>
    </w:tbl>
    <w:p w14:paraId="3FBCA086" w14:textId="77777777" w:rsidR="00691F51" w:rsidRDefault="00691F51">
      <w:pPr>
        <w:pStyle w:val="Body"/>
        <w:widowControl w:val="0"/>
        <w:spacing w:line="240" w:lineRule="auto"/>
      </w:pPr>
    </w:p>
    <w:p w14:paraId="4266FD23" w14:textId="77777777" w:rsidR="00691F51" w:rsidRDefault="00691F51">
      <w:pPr>
        <w:pStyle w:val="Body"/>
        <w:spacing w:line="240" w:lineRule="auto"/>
      </w:pPr>
    </w:p>
    <w:p w14:paraId="0409F3FF" w14:textId="77777777" w:rsidR="00691F51" w:rsidRDefault="00691F51">
      <w:pPr>
        <w:pStyle w:val="Body"/>
        <w:spacing w:line="240" w:lineRule="auto"/>
      </w:pPr>
    </w:p>
    <w:p w14:paraId="0CE22DAB" w14:textId="77777777" w:rsidR="00691F51" w:rsidRDefault="00691F51">
      <w:pPr>
        <w:pStyle w:val="Body"/>
        <w:spacing w:line="240" w:lineRule="auto"/>
      </w:pPr>
    </w:p>
    <w:p w14:paraId="5BFEBD28" w14:textId="77777777" w:rsidR="00691F51" w:rsidRDefault="00691F51">
      <w:pPr>
        <w:pStyle w:val="Body"/>
        <w:spacing w:line="240" w:lineRule="auto"/>
      </w:pPr>
    </w:p>
    <w:p w14:paraId="56AB7EAC" w14:textId="77777777" w:rsidR="00691F51" w:rsidRDefault="00BA4BB5">
      <w:pPr>
        <w:pStyle w:val="ListParagraph"/>
        <w:numPr>
          <w:ilvl w:val="0"/>
          <w:numId w:val="10"/>
        </w:numPr>
        <w:spacing w:line="240" w:lineRule="auto"/>
        <w:rPr>
          <w:b/>
          <w:bCs/>
        </w:rPr>
      </w:pPr>
      <w:r>
        <w:rPr>
          <w:b/>
          <w:bCs/>
        </w:rPr>
        <w:t>Evaluate the aims and objectives of employment regulation. (AC 1.1)</w:t>
      </w:r>
    </w:p>
    <w:p w14:paraId="0C276FD8" w14:textId="77777777" w:rsidR="00691F51" w:rsidRDefault="00691F51">
      <w:pPr>
        <w:pStyle w:val="Body"/>
        <w:spacing w:line="240" w:lineRule="auto"/>
        <w:rPr>
          <w:b/>
          <w:bCs/>
          <w:sz w:val="14"/>
          <w:szCs w:val="14"/>
        </w:rPr>
      </w:pPr>
    </w:p>
    <w:p w14:paraId="5FFA5F66" w14:textId="32468AE9" w:rsidR="00691F51" w:rsidRDefault="00BA4BB5">
      <w:pPr>
        <w:pStyle w:val="Nornal"/>
        <w:spacing w:line="240" w:lineRule="auto"/>
      </w:pPr>
      <w:r>
        <w:t>The primary aim of employment regulations is to set out the minimum obligations placed upon employers and employees to provide a balance to their employment relationship. Regulations are brought into being by the government of the day to provide the worker with rights and protections to ensure safe practices of work are maintained, whilst outlining the obligations of the employers. Regulations tend to be influenced by case law or decisions such as the outcomes of tribunals or prosecutions brought by HSE</w:t>
      </w:r>
      <w:r w:rsidR="00513899">
        <w:t xml:space="preserve">, </w:t>
      </w:r>
      <w:r w:rsidR="00513899" w:rsidRPr="00513899">
        <w:rPr>
          <w:highlight w:val="red"/>
        </w:rPr>
        <w:t xml:space="preserve">using the enshrined </w:t>
      </w:r>
      <w:r w:rsidR="00E132AC" w:rsidRPr="00513899">
        <w:rPr>
          <w:highlight w:val="red"/>
        </w:rPr>
        <w:t>H</w:t>
      </w:r>
      <w:r w:rsidR="00E132AC" w:rsidRPr="00E132AC">
        <w:rPr>
          <w:highlight w:val="red"/>
        </w:rPr>
        <w:t xml:space="preserve">ealth and Safety at Work Act, </w:t>
      </w:r>
      <w:r w:rsidR="00513899">
        <w:rPr>
          <w:highlight w:val="red"/>
        </w:rPr>
        <w:t>(</w:t>
      </w:r>
      <w:r w:rsidR="00E132AC" w:rsidRPr="00E132AC">
        <w:rPr>
          <w:highlight w:val="red"/>
        </w:rPr>
        <w:t>1974)</w:t>
      </w:r>
      <w:r>
        <w:t xml:space="preserve"> to ensure safe practices of work are provided to prevent future incidents repeating. </w:t>
      </w:r>
    </w:p>
    <w:p w14:paraId="232AB328" w14:textId="5A36B39B" w:rsidR="00691F51" w:rsidRDefault="00E132AC">
      <w:pPr>
        <w:pStyle w:val="Nornal"/>
        <w:rPr>
          <w:rFonts w:eastAsia="Arial Unicode MS" w:cs="Arial Unicode MS"/>
        </w:rPr>
      </w:pPr>
      <w:r>
        <w:rPr>
          <w:rFonts w:eastAsia="Arial Unicode MS" w:cs="Arial Unicode MS"/>
          <w:highlight w:val="red"/>
        </w:rPr>
        <w:t>Employment Law can have a profound impact socially, setting the course for society to follow i</w:t>
      </w:r>
      <w:r w:rsidR="003F1DC8" w:rsidRPr="003F1DC8">
        <w:rPr>
          <w:rFonts w:eastAsia="Arial Unicode MS" w:cs="Arial Unicode MS"/>
          <w:highlight w:val="red"/>
        </w:rPr>
        <w:t xml:space="preserve">t can also </w:t>
      </w:r>
      <w:r w:rsidR="003F1DC8">
        <w:rPr>
          <w:rFonts w:eastAsia="Arial Unicode MS" w:cs="Arial Unicode MS"/>
          <w:highlight w:val="red"/>
        </w:rPr>
        <w:t xml:space="preserve">be flexible and </w:t>
      </w:r>
      <w:r w:rsidR="003F1DC8" w:rsidRPr="003F1DC8">
        <w:rPr>
          <w:rFonts w:eastAsia="Arial Unicode MS" w:cs="Arial Unicode MS"/>
          <w:highlight w:val="red"/>
        </w:rPr>
        <w:t>seek to provide protections for employers’ as previously seen during COVID-19, when it came Furlough payments (Kathy Daniels, 2022)</w:t>
      </w:r>
      <w:r w:rsidR="003F1DC8">
        <w:rPr>
          <w:rFonts w:eastAsia="Arial Unicode MS" w:cs="Arial Unicode MS"/>
        </w:rPr>
        <w:t xml:space="preserve"> </w:t>
      </w:r>
      <w:r w:rsidR="00BA4BB5">
        <w:rPr>
          <w:rFonts w:eastAsia="Arial Unicode MS" w:cs="Arial Unicode MS"/>
        </w:rPr>
        <w:t>Its true intention is to strike a</w:t>
      </w:r>
      <w:r w:rsidR="00513899">
        <w:rPr>
          <w:rFonts w:eastAsia="Arial Unicode MS" w:cs="Arial Unicode MS"/>
        </w:rPr>
        <w:t xml:space="preserve"> </w:t>
      </w:r>
      <w:r w:rsidR="00513899" w:rsidRPr="00513899">
        <w:rPr>
          <w:rFonts w:eastAsia="Arial Unicode MS" w:cs="Arial Unicode MS"/>
          <w:highlight w:val="red"/>
        </w:rPr>
        <w:t>fair</w:t>
      </w:r>
      <w:r w:rsidR="00BA4BB5">
        <w:rPr>
          <w:rFonts w:eastAsia="Arial Unicode MS" w:cs="Arial Unicode MS"/>
        </w:rPr>
        <w:t xml:space="preserve"> balance between the two</w:t>
      </w:r>
      <w:r>
        <w:rPr>
          <w:rFonts w:eastAsia="Arial Unicode MS" w:cs="Arial Unicode MS"/>
        </w:rPr>
        <w:t xml:space="preserve"> </w:t>
      </w:r>
      <w:r w:rsidRPr="00E132AC">
        <w:rPr>
          <w:rFonts w:eastAsia="Arial Unicode MS" w:cs="Arial Unicode MS"/>
          <w:highlight w:val="red"/>
        </w:rPr>
        <w:t>opposing</w:t>
      </w:r>
      <w:r w:rsidR="00BA4BB5">
        <w:rPr>
          <w:rFonts w:eastAsia="Arial Unicode MS" w:cs="Arial Unicode MS"/>
        </w:rPr>
        <w:t xml:space="preserve"> parties</w:t>
      </w:r>
      <w:r w:rsidRPr="00E132AC">
        <w:rPr>
          <w:rFonts w:eastAsia="Arial Unicode MS" w:cs="Arial Unicode MS"/>
          <w:highlight w:val="red"/>
        </w:rPr>
        <w:t>, traditionally ‘master and servant’</w:t>
      </w:r>
      <w:r w:rsidR="00BA4BB5">
        <w:rPr>
          <w:rFonts w:eastAsia="Arial Unicode MS" w:cs="Arial Unicode MS"/>
        </w:rPr>
        <w:t xml:space="preserve"> to function harmoniously, that should then lead to a healthy symbiotic relationship within a functioning society. </w:t>
      </w:r>
    </w:p>
    <w:p w14:paraId="18DFF438" w14:textId="45531F0C" w:rsidR="00513899" w:rsidRPr="00223DCA" w:rsidRDefault="00513899">
      <w:pPr>
        <w:pStyle w:val="Nornal"/>
        <w:rPr>
          <w:color w:val="auto"/>
        </w:rPr>
      </w:pPr>
      <w:r w:rsidRPr="00513899">
        <w:rPr>
          <w:rFonts w:eastAsia="Arial Unicode MS" w:cs="Arial Unicode MS"/>
          <w:highlight w:val="red"/>
        </w:rPr>
        <w:t xml:space="preserve">If procedural fairness is </w:t>
      </w:r>
      <w:r w:rsidR="00F54311">
        <w:rPr>
          <w:rFonts w:eastAsia="Arial Unicode MS" w:cs="Arial Unicode MS"/>
          <w:highlight w:val="red"/>
        </w:rPr>
        <w:t>shortcoming</w:t>
      </w:r>
      <w:r w:rsidRPr="00513899">
        <w:rPr>
          <w:rFonts w:eastAsia="Arial Unicode MS" w:cs="Arial Unicode MS"/>
          <w:highlight w:val="red"/>
        </w:rPr>
        <w:t xml:space="preserve">, then employment regulations can be used to bring about justice, if someone is found to be wronged, e.g. </w:t>
      </w:r>
      <w:r w:rsidR="00F54311">
        <w:rPr>
          <w:rFonts w:eastAsia="Arial Unicode MS" w:cs="Arial Unicode MS"/>
          <w:highlight w:val="red"/>
        </w:rPr>
        <w:t xml:space="preserve">if an employee is </w:t>
      </w:r>
      <w:r w:rsidR="00F54311" w:rsidRPr="00513899">
        <w:rPr>
          <w:rFonts w:eastAsia="Arial Unicode MS" w:cs="Arial Unicode MS"/>
          <w:highlight w:val="red"/>
        </w:rPr>
        <w:t>discriminated against</w:t>
      </w:r>
      <w:r w:rsidR="00F54311">
        <w:rPr>
          <w:rFonts w:eastAsia="Arial Unicode MS" w:cs="Arial Unicode MS"/>
          <w:highlight w:val="red"/>
        </w:rPr>
        <w:t xml:space="preserve"> by their employer, and found to have been </w:t>
      </w:r>
      <w:r w:rsidRPr="00513899">
        <w:rPr>
          <w:rFonts w:eastAsia="Arial Unicode MS" w:cs="Arial Unicode MS"/>
          <w:highlight w:val="red"/>
        </w:rPr>
        <w:t>unfairly dismissed (Equality Act, 2010)</w:t>
      </w:r>
      <w:r w:rsidR="00F54311">
        <w:rPr>
          <w:rFonts w:eastAsia="Arial Unicode MS" w:cs="Arial Unicode MS"/>
          <w:highlight w:val="red"/>
        </w:rPr>
        <w:t>, leading to compensation being awarded, providing equity to the plaintiff</w:t>
      </w:r>
      <w:r w:rsidRPr="00513899">
        <w:rPr>
          <w:rFonts w:eastAsia="Arial Unicode MS" w:cs="Arial Unicode MS"/>
          <w:highlight w:val="red"/>
        </w:rPr>
        <w:t>.</w:t>
      </w:r>
      <w:r>
        <w:rPr>
          <w:rFonts w:eastAsia="Arial Unicode MS" w:cs="Arial Unicode MS"/>
        </w:rPr>
        <w:t xml:space="preserve"> </w:t>
      </w:r>
    </w:p>
    <w:p w14:paraId="3827DCF9" w14:textId="77777777" w:rsidR="00691F51" w:rsidRDefault="00BA4BB5">
      <w:pPr>
        <w:pStyle w:val="Nornal"/>
        <w:numPr>
          <w:ilvl w:val="0"/>
          <w:numId w:val="10"/>
        </w:numPr>
        <w:rPr>
          <w:b/>
          <w:bCs/>
        </w:rPr>
      </w:pPr>
      <w:r>
        <w:rPr>
          <w:b/>
          <w:bCs/>
        </w:rPr>
        <w:t>Examine the role played by the tribunal and courts system in enforcing employment law. (AC 1.2)</w:t>
      </w:r>
    </w:p>
    <w:p w14:paraId="6C551552" w14:textId="77777777" w:rsidR="00691F51" w:rsidRDefault="00BA4BB5">
      <w:pPr>
        <w:pStyle w:val="Nornal"/>
      </w:pPr>
      <w:r>
        <w:rPr>
          <w:rFonts w:eastAsia="Arial Unicode MS" w:cs="Arial Unicode MS"/>
        </w:rPr>
        <w:t xml:space="preserve">When an employee, worker or prospective worker feels they have experienced damage, harm, or loss, they may seek to bring a claim against an employer/company through the courts system. It is a fundamental way of redressing the balance if an inequality has occurred within employment law matters. </w:t>
      </w:r>
    </w:p>
    <w:p w14:paraId="171FD4F7" w14:textId="77777777" w:rsidR="00691F51" w:rsidRDefault="00BA4BB5">
      <w:pPr>
        <w:pStyle w:val="Nornal"/>
      </w:pPr>
      <w:r>
        <w:rPr>
          <w:rFonts w:eastAsia="Arial Unicode MS" w:cs="Arial Unicode MS"/>
        </w:rPr>
        <w:t>Tribunals are intended to provide a cheaper and quicker mode of resolution between the claimants (workers) and employers as opposed to the traditional courts system, in which a claimant must self-fund themselves to represent their claims. Tribunals are purely there to hear workplace disputes and pass judgement, but it can also be timely whilst evidence is being gathered. Although, a claim must be brought within 3 months, therefore, the clock is ticking form the outset of a dispute arsing (ACAS, 2022). There</w:t>
      </w:r>
      <w:r>
        <w:rPr>
          <w:rFonts w:eastAsia="Arial Unicode MS" w:cs="Arial Unicode MS"/>
        </w:rPr>
        <w:t xml:space="preserve"> has been much debate over the ambiguity of tribunals powers and enforcement of their decisions, a report published by the government back in 2019, provided a clear indication that they favoured disputes being resolved before this stage and laid out the powers of tribunals (Department for Business, Energy &amp; Industrial Strategy, 2019).  </w:t>
      </w:r>
    </w:p>
    <w:p w14:paraId="3B39CA0B" w14:textId="77777777" w:rsidR="00691F51" w:rsidRDefault="00BA4BB5">
      <w:pPr>
        <w:pStyle w:val="Nornal"/>
      </w:pPr>
      <w:r>
        <w:rPr>
          <w:rFonts w:eastAsia="Arial Unicode MS" w:cs="Arial Unicode MS"/>
        </w:rPr>
        <w:t xml:space="preserve">The civil courts system is far more traditional, and require fees such as deposits, and potentially cost orders placed upon the losing side which can be costly to the tune of </w:t>
      </w:r>
      <w:r>
        <w:rPr>
          <w:rFonts w:eastAsia="Arial Unicode MS" w:cs="Arial Unicode MS"/>
        </w:rPr>
        <w:t>£</w:t>
      </w:r>
      <w:r>
        <w:rPr>
          <w:rFonts w:eastAsia="Arial Unicode MS" w:cs="Arial Unicode MS"/>
        </w:rPr>
        <w:t xml:space="preserve">20,000. However, the burden of proof can be much more easily demonstrated as it only requires that upon the balance of probabilities, whether an employer may have acted unreasonably or unfairly. </w:t>
      </w:r>
    </w:p>
    <w:p w14:paraId="3308D852" w14:textId="77777777" w:rsidR="00691F51" w:rsidRDefault="00BA4BB5">
      <w:pPr>
        <w:pStyle w:val="Nornal"/>
        <w:numPr>
          <w:ilvl w:val="0"/>
          <w:numId w:val="10"/>
        </w:numPr>
        <w:rPr>
          <w:b/>
          <w:bCs/>
        </w:rPr>
      </w:pPr>
      <w:r>
        <w:rPr>
          <w:b/>
          <w:bCs/>
        </w:rPr>
        <w:t>Explain how cases are settled before and during legal procedures. (AC 1.3)</w:t>
      </w:r>
    </w:p>
    <w:p w14:paraId="755F90D6" w14:textId="77777777" w:rsidR="00691F51" w:rsidRDefault="00BA4BB5">
      <w:pPr>
        <w:pStyle w:val="Nornal"/>
      </w:pPr>
      <w:r>
        <w:rPr>
          <w:rFonts w:eastAsia="Arial Unicode MS" w:cs="Arial Unicode MS"/>
        </w:rPr>
        <w:t>Disputes between employers and employees are usually resolved by way of an employment tribunal, which is a formal legal procedure, but they can also be resolved before this stage with the support of ACAS. ACAS, approached by the claimant will be sought to provide early conciliation to obtain an outcome before it reaches the tribunal (ACAS, 2022). If a settlement can be achieved before it reaches the tribunal stage, both parties must complete a COT3 form, indicating they have settled and no longer wish to pr</w:t>
      </w:r>
      <w:r>
        <w:rPr>
          <w:rFonts w:eastAsia="Arial Unicode MS" w:cs="Arial Unicode MS"/>
        </w:rPr>
        <w:t xml:space="preserve">oceed further. If the claimant does not wish to pursue this avenue, they can proceed to the employment tribunal by submitting an ET1 form but must first inform ACAS and raise a claim within 3 months of the dispute arising. </w:t>
      </w:r>
    </w:p>
    <w:p w14:paraId="6E4453C8" w14:textId="77777777" w:rsidR="00691F51" w:rsidRDefault="00BA4BB5">
      <w:pPr>
        <w:pStyle w:val="Nornal"/>
      </w:pPr>
      <w:r>
        <w:rPr>
          <w:rFonts w:eastAsia="Arial Unicode MS" w:cs="Arial Unicode MS"/>
        </w:rPr>
        <w:t xml:space="preserve">In an employment tribunal, which is more traditionally a court setting will have a designated employment judge who will preside over the case to hear and pass judgment on the dispute along with 2 lay people (CIPD, 2023). Tribunals are free; however, a </w:t>
      </w:r>
      <w:r>
        <w:rPr>
          <w:rFonts w:eastAsia="Arial Unicode MS" w:cs="Arial Unicode MS"/>
        </w:rPr>
        <w:t>£</w:t>
      </w:r>
      <w:r>
        <w:rPr>
          <w:rFonts w:eastAsia="Arial Unicode MS" w:cs="Arial Unicode MS"/>
        </w:rPr>
        <w:t xml:space="preserve">1,000 deposit may be required if the claim brought is deemed to be weak at the preliminary hearing stage. The are increasingly popular method of resolution and now hear a range of cases that may contravene legislation such as unlawful discrimination or equal pay breaches as well as contractual obligations. The respondent then has 28 days to reply to the claim brought using an ET3 form. </w:t>
      </w:r>
    </w:p>
    <w:p w14:paraId="4E4F0B2E" w14:textId="77777777" w:rsidR="00691F51" w:rsidRDefault="00BA4BB5">
      <w:pPr>
        <w:pStyle w:val="Nornal"/>
      </w:pPr>
      <w:r>
        <w:rPr>
          <w:rFonts w:eastAsia="Arial Unicode MS" w:cs="Arial Unicode MS"/>
        </w:rPr>
        <w:t xml:space="preserve">If one side is not satisfied with the outcome, they can request an appeal to the decision at tribunal but must do this within 14 days of the judgement being made. The employment appeal tribunal will then decide if a point of law is required to be readdressed, or whether the tribunal acted unfairly toward one party during the proceeding to seek redress. </w:t>
      </w:r>
    </w:p>
    <w:p w14:paraId="496CB05D" w14:textId="77777777" w:rsidR="00691F51" w:rsidRDefault="00BA4BB5">
      <w:pPr>
        <w:pStyle w:val="Nornal"/>
      </w:pPr>
      <w:r>
        <w:rPr>
          <w:rFonts w:eastAsia="Arial Unicode MS" w:cs="Arial Unicode MS"/>
        </w:rPr>
        <w:t xml:space="preserve">An informal instrument that can settle matter outside of the traditional court setting, is through mediation or arbitration. ACAS are usually sought to provide a fair outcome between the two parties, that can lead to a compromise being paid, or even decidedly by the tribunal judge if they feel one can be made upon receipt of the ET1 and ET3. </w:t>
      </w:r>
    </w:p>
    <w:p w14:paraId="69B6B2A7" w14:textId="77777777" w:rsidR="00691F51" w:rsidRDefault="00BA4BB5">
      <w:pPr>
        <w:pStyle w:val="Nornal"/>
        <w:rPr>
          <w:b/>
          <w:bCs/>
        </w:rPr>
      </w:pPr>
      <w:r>
        <w:rPr>
          <w:rFonts w:eastAsia="Arial Unicode MS" w:cs="Arial Unicode MS"/>
          <w:b/>
          <w:bCs/>
        </w:rPr>
        <w:t>And provide tailored advice for each of the following scenarios:</w:t>
      </w:r>
    </w:p>
    <w:p w14:paraId="20F0ACD4" w14:textId="77777777" w:rsidR="00691F51" w:rsidRDefault="00BA4BB5">
      <w:pPr>
        <w:pStyle w:val="Nornal"/>
        <w:numPr>
          <w:ilvl w:val="0"/>
          <w:numId w:val="10"/>
        </w:numPr>
        <w:rPr>
          <w:b/>
          <w:bCs/>
        </w:rPr>
      </w:pPr>
      <w:r>
        <w:rPr>
          <w:b/>
          <w:bCs/>
        </w:rPr>
        <w:t xml:space="preserve">Charlotte and Madeleine 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4C22F3AB" w14:textId="77777777" w:rsidR="00691F51" w:rsidRDefault="00BA4BB5">
      <w:pPr>
        <w:pStyle w:val="Nornal"/>
      </w:pPr>
      <w:r>
        <w:rPr>
          <w:rFonts w:eastAsia="Arial Unicode MS" w:cs="Arial Unicode MS"/>
        </w:rPr>
        <w:t xml:space="preserve">The recruitment and selection process is bound by discrimination legislation, giving people protections from any biases or unfairness that may be protruding throughout this process. Simply, Charlotte and Madeline cannot exclusively decide to only appoint young men only, if the other candidates who do not match these characteristics are better skilled of experienced for the role. </w:t>
      </w:r>
    </w:p>
    <w:p w14:paraId="73EAB8DD" w14:textId="77777777" w:rsidR="00691F51" w:rsidRDefault="00BA4BB5">
      <w:pPr>
        <w:pStyle w:val="Nornal"/>
      </w:pPr>
      <w:r>
        <w:rPr>
          <w:rFonts w:eastAsia="Arial Unicode MS" w:cs="Arial Unicode MS"/>
        </w:rPr>
        <w:t>The starting point is the Equality Act (2010), which encompasses the other preceding anti-discrimination legislative protections that came before it. Of the standout protected characteristics that would be affected by this practice should Charlotte and Madeline go ahead with only recruiting young men, and actively avoid employing women for concerns around maternity, is it would be prejudicial towards women discriminatory towards one</w:t>
      </w:r>
      <w:r>
        <w:rPr>
          <w:rFonts w:eastAsia="Arial Unicode MS" w:cs="Arial Unicode MS"/>
        </w:rPr>
        <w:t>’</w:t>
      </w:r>
      <w:r>
        <w:rPr>
          <w:rFonts w:eastAsia="Arial Unicode MS" w:cs="Arial Unicode MS"/>
        </w:rPr>
        <w:t xml:space="preserve">s sex, and who are/may become pregnant. The leading case law for the latter and protections of pregnant women or those seeking maternity leave in the workplace is Webb v EMO Air Cargo Ltd (1994), whereby it was found to be unlawful to dismiss women who were pregnant and/or set for maternity leave. The penalty for this employer was to pay compensation, although there is no cap to this amount and how much can be awarded. </w:t>
      </w:r>
    </w:p>
    <w:p w14:paraId="0EC2FD02" w14:textId="77777777" w:rsidR="00691F51" w:rsidRDefault="00BA4BB5">
      <w:pPr>
        <w:pStyle w:val="Nornal"/>
      </w:pPr>
      <w:r>
        <w:rPr>
          <w:rFonts w:eastAsia="Arial Unicode MS" w:cs="Arial Unicode MS"/>
        </w:rPr>
        <w:t>Age discrimination is the other obvious one, whereby only appointing young men, is ageist. If a candidate was to arrive at interview and was then asked detailed questions around their age and found not to be successful, they would have grounds to raise a discrimination claim. This occurred in Cunningham v BMS Sales (2007), whereby age discrimination was evident and even though the claimant was suitable candidate they were not selected based on their age. The compensation on this instance was 5,000 euros pai</w:t>
      </w:r>
      <w:r>
        <w:rPr>
          <w:rFonts w:eastAsia="Arial Unicode MS" w:cs="Arial Unicode MS"/>
        </w:rPr>
        <w:t xml:space="preserve">d by the employer to the claimant. </w:t>
      </w:r>
    </w:p>
    <w:p w14:paraId="6970FFFA" w14:textId="77777777" w:rsidR="00691F51" w:rsidRDefault="00BA4BB5">
      <w:pPr>
        <w:pStyle w:val="Nornal"/>
      </w:pPr>
      <w:r>
        <w:rPr>
          <w:rFonts w:eastAsia="Arial Unicode MS" w:cs="Arial Unicode MS"/>
        </w:rPr>
        <w:t>Save for limited exceptions, there is not much scope for a defence, as it would be difficult to prove that this is reasonable based on what is presented. However, objective justification may be something that could be permitted if Charlotte and Madeline can prove that they need to open the two new branches, they would need to run an efficient service by focusing on young males as the prospective new employees. It would also depend on the nature of the business, as it may be deemed a legitimate aim to discri</w:t>
      </w:r>
      <w:r>
        <w:rPr>
          <w:rFonts w:eastAsia="Arial Unicode MS" w:cs="Arial Unicode MS"/>
        </w:rPr>
        <w:t xml:space="preserve">minate, by only hiring young males. However, it would be unlikely that a role at a desert parlour would solely require young men to carry out the work. </w:t>
      </w:r>
    </w:p>
    <w:p w14:paraId="2F191A40" w14:textId="77777777" w:rsidR="00691F51" w:rsidRDefault="00BA4BB5">
      <w:pPr>
        <w:pStyle w:val="Nornal"/>
        <w:numPr>
          <w:ilvl w:val="0"/>
          <w:numId w:val="10"/>
        </w:numPr>
        <w:rPr>
          <w:b/>
          <w:bCs/>
        </w:rPr>
      </w:pPr>
      <w:r>
        <w:rPr>
          <w:b/>
          <w:bCs/>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p>
    <w:p w14:paraId="7110C976" w14:textId="77777777" w:rsidR="00691F51" w:rsidRDefault="00BA4BB5">
      <w:pPr>
        <w:pStyle w:val="Nornal"/>
      </w:pPr>
      <w:r>
        <w:rPr>
          <w:rFonts w:eastAsia="Arial Unicode MS" w:cs="Arial Unicode MS"/>
        </w:rPr>
        <w:t xml:space="preserve">In this instance, there is clearly a difference in pay between Cat who is female and Kit who is male, to the tune of </w:t>
      </w:r>
      <w:r>
        <w:rPr>
          <w:rFonts w:eastAsia="Arial Unicode MS" w:cs="Arial Unicode MS"/>
        </w:rPr>
        <w:t>£</w:t>
      </w:r>
      <w:r>
        <w:rPr>
          <w:rFonts w:eastAsia="Arial Unicode MS" w:cs="Arial Unicode MS"/>
        </w:rPr>
        <w:t xml:space="preserve">2,000 per annum. This discriminatory activity here is unequal pay. To prove this, it must be evident that Cat and Kit are both doing the same job, or equal work for the same employer (ACAS, 2024). Prima facie their roles seems to be identical, however, there are instances whereby it is deemed lawful for an employer to pay two opposite sexes different amounts. </w:t>
      </w:r>
    </w:p>
    <w:p w14:paraId="2C0DA742" w14:textId="4CD78A68" w:rsidR="00691F51" w:rsidRDefault="00BA4BB5">
      <w:pPr>
        <w:pStyle w:val="Nornal"/>
      </w:pPr>
      <w:r>
        <w:rPr>
          <w:rFonts w:eastAsia="Arial Unicode MS" w:cs="Arial Unicode MS"/>
        </w:rPr>
        <w:t xml:space="preserve">The justifiable excuses to this are that one of them is better qualified, (Cadman v HSE, 2006), where it was proven that the two sexes in </w:t>
      </w:r>
      <w:r w:rsidRPr="00636D0A">
        <w:rPr>
          <w:rFonts w:eastAsia="Arial Unicode MS" w:cs="Arial Unicode MS"/>
          <w:strike/>
        </w:rPr>
        <w:t>coemption</w:t>
      </w:r>
      <w:r>
        <w:rPr>
          <w:rFonts w:eastAsia="Arial Unicode MS" w:cs="Arial Unicode MS"/>
        </w:rPr>
        <w:t xml:space="preserve"> </w:t>
      </w:r>
      <w:r w:rsidR="00636D0A" w:rsidRPr="00636D0A">
        <w:rPr>
          <w:rFonts w:eastAsia="Arial Unicode MS" w:cs="Arial Unicode MS"/>
          <w:highlight w:val="red"/>
        </w:rPr>
        <w:t>competition</w:t>
      </w:r>
      <w:r w:rsidR="00636D0A">
        <w:rPr>
          <w:rFonts w:eastAsia="Arial Unicode MS" w:cs="Arial Unicode MS"/>
        </w:rPr>
        <w:t xml:space="preserve"> </w:t>
      </w:r>
      <w:r>
        <w:rPr>
          <w:rFonts w:eastAsia="Arial Unicode MS" w:cs="Arial Unicode MS"/>
        </w:rPr>
        <w:t>had differing amounts of experience was a key determinate of allowing for pay differences. Another may be caused by the location of Cat and Kit</w:t>
      </w:r>
      <w:r>
        <w:rPr>
          <w:rFonts w:eastAsia="Arial Unicode MS" w:cs="Arial Unicode MS"/>
        </w:rPr>
        <w:t>’</w:t>
      </w:r>
      <w:r>
        <w:rPr>
          <w:rFonts w:eastAsia="Arial Unicode MS" w:cs="Arial Unicode MS"/>
        </w:rPr>
        <w:t xml:space="preserve">s deployment, if their location is different, meaning they may be required to pay a higher salary. This is the case in London, where the living wage in London is calculated at a premium above the minimum wage for other areas (London.Gov, 2024). </w:t>
      </w:r>
    </w:p>
    <w:p w14:paraId="5F4FC9FE" w14:textId="6568803A" w:rsidR="00C607B6" w:rsidRDefault="00C607B6">
      <w:pPr>
        <w:pStyle w:val="Nornal"/>
        <w:rPr>
          <w:rFonts w:eastAsia="Arial Unicode MS" w:cs="Arial Unicode MS"/>
          <w:highlight w:val="red"/>
        </w:rPr>
      </w:pPr>
      <w:r>
        <w:rPr>
          <w:rFonts w:eastAsia="Arial Unicode MS" w:cs="Arial Unicode MS"/>
          <w:highlight w:val="red"/>
        </w:rPr>
        <w:t>Cat may wish to bring a grievance in the first instance, Charlotte may wish to factor in the seriousness at this stage as it could cause the business reputational harm, which could then impact trade and custom, which in turn would pose a financial risk that greatly outweighs paying Cat an equal value to that of Kit.</w:t>
      </w:r>
    </w:p>
    <w:p w14:paraId="762502CE" w14:textId="77777777" w:rsidR="00C607B6" w:rsidRDefault="00C607B6" w:rsidP="00C607B6">
      <w:pPr>
        <w:pStyle w:val="Nornal"/>
        <w:rPr>
          <w:rFonts w:eastAsia="Arial Unicode MS" w:cs="Arial Unicode MS"/>
        </w:rPr>
      </w:pPr>
      <w:r>
        <w:rPr>
          <w:rFonts w:eastAsia="Arial Unicode MS" w:cs="Arial Unicode MS"/>
        </w:rPr>
        <w:t>If Cat is unable to gain a resolution with Charlotte, she may wish to bring a claim at an employment tribunal, for discrimination under the Equality Act, (2010). This can be brought at any time during her employment or within 6 months of departing employment. However, there is a limit of two years in which the court can rule to compensate Cat.</w:t>
      </w:r>
    </w:p>
    <w:p w14:paraId="196F2E2B" w14:textId="750C1240" w:rsidR="00636D0A" w:rsidRDefault="00C607B6">
      <w:pPr>
        <w:pStyle w:val="Nornal"/>
      </w:pPr>
      <w:r>
        <w:rPr>
          <w:rFonts w:eastAsia="Arial Unicode MS" w:cs="Arial Unicode MS"/>
          <w:highlight w:val="red"/>
        </w:rPr>
        <w:t>Should</w:t>
      </w:r>
      <w:r w:rsidR="00636D0A" w:rsidRPr="00636D0A">
        <w:rPr>
          <w:rFonts w:eastAsia="Arial Unicode MS" w:cs="Arial Unicode MS"/>
          <w:highlight w:val="red"/>
        </w:rPr>
        <w:t xml:space="preserve"> </w:t>
      </w:r>
      <w:r w:rsidR="00AE1498">
        <w:rPr>
          <w:rFonts w:eastAsia="Arial Unicode MS" w:cs="Arial Unicode MS"/>
          <w:highlight w:val="red"/>
        </w:rPr>
        <w:t xml:space="preserve">Cat </w:t>
      </w:r>
      <w:r>
        <w:rPr>
          <w:rFonts w:eastAsia="Arial Unicode MS" w:cs="Arial Unicode MS"/>
          <w:highlight w:val="red"/>
        </w:rPr>
        <w:t>make</w:t>
      </w:r>
      <w:r w:rsidR="00AE1498">
        <w:rPr>
          <w:rFonts w:eastAsia="Arial Unicode MS" w:cs="Arial Unicode MS"/>
          <w:highlight w:val="red"/>
        </w:rPr>
        <w:t xml:space="preserve"> </w:t>
      </w:r>
      <w:r w:rsidR="00636D0A" w:rsidRPr="00636D0A">
        <w:rPr>
          <w:rFonts w:eastAsia="Arial Unicode MS" w:cs="Arial Unicode MS"/>
          <w:highlight w:val="red"/>
        </w:rPr>
        <w:t>an unequal pay claim</w:t>
      </w:r>
      <w:r w:rsidR="00AE1498">
        <w:rPr>
          <w:rFonts w:eastAsia="Arial Unicode MS" w:cs="Arial Unicode MS"/>
          <w:highlight w:val="red"/>
        </w:rPr>
        <w:t xml:space="preserve">, </w:t>
      </w:r>
      <w:r>
        <w:rPr>
          <w:rFonts w:eastAsia="Arial Unicode MS" w:cs="Arial Unicode MS"/>
          <w:highlight w:val="red"/>
        </w:rPr>
        <w:t>i</w:t>
      </w:r>
      <w:r w:rsidR="00AE1498">
        <w:rPr>
          <w:rFonts w:eastAsia="Arial Unicode MS" w:cs="Arial Unicode MS"/>
          <w:highlight w:val="red"/>
        </w:rPr>
        <w:t xml:space="preserve">t would be incumbent on </w:t>
      </w:r>
      <w:r w:rsidR="00946250">
        <w:rPr>
          <w:rFonts w:eastAsia="Arial Unicode MS" w:cs="Arial Unicode MS"/>
          <w:highlight w:val="red"/>
        </w:rPr>
        <w:t>Charlotte</w:t>
      </w:r>
      <w:r w:rsidR="00636D0A" w:rsidRPr="00636D0A">
        <w:rPr>
          <w:rFonts w:eastAsia="Arial Unicode MS" w:cs="Arial Unicode MS"/>
          <w:highlight w:val="red"/>
        </w:rPr>
        <w:t xml:space="preserve"> </w:t>
      </w:r>
      <w:r w:rsidR="00AE1498">
        <w:rPr>
          <w:rFonts w:eastAsia="Arial Unicode MS" w:cs="Arial Unicode MS"/>
          <w:highlight w:val="red"/>
        </w:rPr>
        <w:t>to</w:t>
      </w:r>
      <w:r w:rsidR="00636D0A" w:rsidRPr="00636D0A">
        <w:rPr>
          <w:rFonts w:eastAsia="Arial Unicode MS" w:cs="Arial Unicode MS"/>
          <w:highlight w:val="red"/>
        </w:rPr>
        <w:t xml:space="preserve"> seek to prove that Kit’s responsibilities are different to </w:t>
      </w:r>
      <w:r w:rsidR="00946250">
        <w:rPr>
          <w:rFonts w:eastAsia="Arial Unicode MS" w:cs="Arial Unicode MS"/>
          <w:highlight w:val="red"/>
        </w:rPr>
        <w:t>Cat’s</w:t>
      </w:r>
      <w:r w:rsidR="00636D0A" w:rsidRPr="00636D0A">
        <w:rPr>
          <w:rFonts w:eastAsia="Arial Unicode MS" w:cs="Arial Unicode MS"/>
          <w:highlight w:val="red"/>
        </w:rPr>
        <w:t xml:space="preserve">, </w:t>
      </w:r>
      <w:r w:rsidR="005A6DF6">
        <w:rPr>
          <w:rFonts w:eastAsia="Arial Unicode MS" w:cs="Arial Unicode MS"/>
          <w:highlight w:val="red"/>
        </w:rPr>
        <w:t>and is a material factor</w:t>
      </w:r>
      <w:r w:rsidR="00636D0A" w:rsidRPr="00636D0A">
        <w:rPr>
          <w:rFonts w:eastAsia="Arial Unicode MS" w:cs="Arial Unicode MS"/>
          <w:highlight w:val="red"/>
        </w:rPr>
        <w:t>, this could then nullify an unequal pay claim</w:t>
      </w:r>
      <w:r w:rsidR="00636D0A" w:rsidRPr="00946250">
        <w:rPr>
          <w:rFonts w:eastAsia="Arial Unicode MS" w:cs="Arial Unicode MS"/>
          <w:highlight w:val="red"/>
        </w:rPr>
        <w:t>.</w:t>
      </w:r>
      <w:r w:rsidR="00946250" w:rsidRPr="00946250">
        <w:rPr>
          <w:rFonts w:eastAsia="Arial Unicode MS" w:cs="Arial Unicode MS"/>
          <w:highlight w:val="red"/>
        </w:rPr>
        <w:t xml:space="preserve"> (Asda vs Brierl</w:t>
      </w:r>
      <w:r w:rsidR="00946250">
        <w:rPr>
          <w:rFonts w:eastAsia="Arial Unicode MS" w:cs="Arial Unicode MS"/>
          <w:highlight w:val="red"/>
        </w:rPr>
        <w:t>e</w:t>
      </w:r>
      <w:r w:rsidR="00946250" w:rsidRPr="00946250">
        <w:rPr>
          <w:rFonts w:eastAsia="Arial Unicode MS" w:cs="Arial Unicode MS"/>
          <w:highlight w:val="red"/>
        </w:rPr>
        <w:t>y, 2021)</w:t>
      </w:r>
      <w:r w:rsidR="00946250" w:rsidRPr="00C607B6">
        <w:rPr>
          <w:rFonts w:eastAsia="Arial Unicode MS" w:cs="Arial Unicode MS"/>
          <w:highlight w:val="red"/>
        </w:rPr>
        <w:t>.</w:t>
      </w:r>
      <w:r w:rsidR="00636D0A" w:rsidRPr="00C607B6">
        <w:rPr>
          <w:rFonts w:eastAsia="Arial Unicode MS" w:cs="Arial Unicode MS"/>
          <w:highlight w:val="red"/>
        </w:rPr>
        <w:t xml:space="preserve"> </w:t>
      </w:r>
      <w:r w:rsidR="005A6DF6" w:rsidRPr="00C607B6">
        <w:rPr>
          <w:rFonts w:eastAsia="Arial Unicode MS" w:cs="Arial Unicode MS"/>
          <w:highlight w:val="red"/>
        </w:rPr>
        <w:t xml:space="preserve">This </w:t>
      </w:r>
      <w:r w:rsidR="005A6DF6" w:rsidRPr="00AE1498">
        <w:rPr>
          <w:rFonts w:eastAsia="Arial Unicode MS" w:cs="Arial Unicode MS"/>
          <w:highlight w:val="red"/>
        </w:rPr>
        <w:t>could be justified, if Kit is employed in a different location</w:t>
      </w:r>
      <w:r w:rsidR="00AE1498" w:rsidRPr="00AE1498">
        <w:rPr>
          <w:rFonts w:eastAsia="Arial Unicode MS" w:cs="Arial Unicode MS"/>
          <w:highlight w:val="red"/>
        </w:rPr>
        <w:t xml:space="preserve"> under the market forces factor or linked to performance and or his level of experience.</w:t>
      </w:r>
      <w:r w:rsidR="00AE1498">
        <w:rPr>
          <w:rFonts w:eastAsia="Arial Unicode MS" w:cs="Arial Unicode MS"/>
        </w:rPr>
        <w:t xml:space="preserve"> </w:t>
      </w:r>
    </w:p>
    <w:p w14:paraId="14ED7DB5" w14:textId="77777777" w:rsidR="00691F51" w:rsidRDefault="00BA4BB5">
      <w:pPr>
        <w:pStyle w:val="Nornal"/>
        <w:numPr>
          <w:ilvl w:val="0"/>
          <w:numId w:val="10"/>
        </w:numPr>
        <w:rPr>
          <w:b/>
          <w:bCs/>
        </w:rPr>
      </w:pPr>
      <w:r>
        <w:rPr>
          <w:b/>
          <w:bCs/>
        </w:rPr>
        <w:t xml:space="preserve">The lease on an existing site </w:t>
      </w:r>
      <w:r>
        <w:rPr>
          <w:b/>
          <w:bCs/>
        </w:rPr>
        <w:t>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75FC3D47" w14:textId="77777777" w:rsidR="00691F51" w:rsidRDefault="00BA4BB5">
      <w:pPr>
        <w:pStyle w:val="Nornal"/>
        <w:numPr>
          <w:ilvl w:val="1"/>
          <w:numId w:val="12"/>
        </w:numPr>
        <w:rPr>
          <w:b/>
          <w:bCs/>
        </w:rPr>
      </w:pPr>
      <w:r>
        <w:rPr>
          <w:b/>
          <w:bCs/>
        </w:rPr>
        <w:t>Angelica, the manager (eight years’ service, 53 years old, salary £700 per week)</w:t>
      </w:r>
    </w:p>
    <w:p w14:paraId="68C7B34B" w14:textId="77777777" w:rsidR="00691F51" w:rsidRDefault="00BA4BB5">
      <w:pPr>
        <w:pStyle w:val="Nornal"/>
        <w:numPr>
          <w:ilvl w:val="1"/>
          <w:numId w:val="12"/>
        </w:numPr>
        <w:rPr>
          <w:b/>
          <w:bCs/>
        </w:rPr>
      </w:pPr>
      <w:r>
        <w:rPr>
          <w:b/>
          <w:bCs/>
        </w:rPr>
        <w:t>Saffron, the supervisor (five years’ service, 30 years old, salary £350 per week)</w:t>
      </w:r>
    </w:p>
    <w:p w14:paraId="503630AB" w14:textId="77777777" w:rsidR="00691F51" w:rsidRDefault="00BA4BB5">
      <w:pPr>
        <w:pStyle w:val="Nornal"/>
        <w:numPr>
          <w:ilvl w:val="1"/>
          <w:numId w:val="12"/>
        </w:numPr>
        <w:rPr>
          <w:b/>
          <w:bCs/>
        </w:rPr>
      </w:pPr>
      <w:r>
        <w:rPr>
          <w:b/>
          <w:bCs/>
        </w:rPr>
        <w:t>Chip and Cherry, full-time sales assistants, who are 18 years old, and Reese and Carmel, full-time sales assistants who are 19 years old. All four employees have one year’s service, are paid £9.00 per hour and work 25 hours a week)</w:t>
      </w:r>
    </w:p>
    <w:p w14:paraId="49F5E397" w14:textId="77777777" w:rsidR="00691F51" w:rsidRDefault="00BA4BB5">
      <w:pPr>
        <w:pStyle w:val="Nornal"/>
        <w:ind w:left="720"/>
        <w:rPr>
          <w:b/>
          <w:bCs/>
        </w:rPr>
      </w:pPr>
      <w:r>
        <w:rPr>
          <w:b/>
          <w:bCs/>
        </w:rPr>
        <w:t>Advise why their approach is risky and what they should do instead. (AC 3.1)</w:t>
      </w:r>
    </w:p>
    <w:p w14:paraId="7928FF07" w14:textId="77777777" w:rsidR="00691F51" w:rsidRDefault="00BA4BB5">
      <w:pPr>
        <w:pStyle w:val="Nornal"/>
      </w:pPr>
      <w:r>
        <w:rPr>
          <w:rFonts w:eastAsia="Arial Unicode MS" w:cs="Arial Unicode MS"/>
        </w:rPr>
        <w:t>Should Charlotte and Madeline decide to proceed with dismissing all six employees upon the lease expiring on their restaurant</w:t>
      </w:r>
      <w:r>
        <w:rPr>
          <w:rFonts w:eastAsia="Arial Unicode MS" w:cs="Arial Unicode MS"/>
        </w:rPr>
        <w:t>’</w:t>
      </w:r>
      <w:r>
        <w:rPr>
          <w:rFonts w:eastAsia="Arial Unicode MS" w:cs="Arial Unicode MS"/>
        </w:rPr>
        <w:t xml:space="preserve">s premises, they must consider first whether the termination of their employment can be proven to be lawful. </w:t>
      </w:r>
    </w:p>
    <w:p w14:paraId="34CCB451" w14:textId="77777777" w:rsidR="00691F51" w:rsidRDefault="00BA4BB5">
      <w:pPr>
        <w:pStyle w:val="Nornal"/>
      </w:pPr>
      <w:r>
        <w:rPr>
          <w:rFonts w:eastAsia="Arial Unicode MS" w:cs="Arial Unicode MS"/>
        </w:rPr>
        <w:t>All contracted employees are protected by S.95 of the Employment Rights Act (1996), which defines a dismissal as being a contract terminated by the employer, with or without notice</w:t>
      </w:r>
      <w:r>
        <w:rPr>
          <w:rFonts w:eastAsia="Arial Unicode MS" w:cs="Arial Unicode MS"/>
        </w:rPr>
        <w:t xml:space="preserve">” </w:t>
      </w:r>
      <w:r>
        <w:rPr>
          <w:rFonts w:eastAsia="Arial Unicode MS" w:cs="Arial Unicode MS"/>
        </w:rPr>
        <w:t>(Daniels, 2022). S.94 provides the basis for what may be deemed fair and just to dismiss. It has been established that they have contract of employment and are subsequently employees. The main qualifier being they have reached the required two years</w:t>
      </w:r>
      <w:r>
        <w:rPr>
          <w:rFonts w:eastAsia="Arial Unicode MS" w:cs="Arial Unicode MS"/>
        </w:rPr>
        <w:t xml:space="preserve">’ </w:t>
      </w:r>
      <w:r>
        <w:rPr>
          <w:rFonts w:eastAsia="Arial Unicode MS" w:cs="Arial Unicode MS"/>
        </w:rPr>
        <w:t xml:space="preserve">service to bring a claim at tribunal. </w:t>
      </w:r>
    </w:p>
    <w:p w14:paraId="2C2E5C2C" w14:textId="77777777" w:rsidR="00691F51" w:rsidRDefault="00BA4BB5">
      <w:pPr>
        <w:pStyle w:val="Nornal"/>
      </w:pPr>
      <w:r>
        <w:rPr>
          <w:rFonts w:eastAsia="Arial Unicode MS" w:cs="Arial Unicode MS"/>
        </w:rPr>
        <w:t>However, it is important to note that although the actions of Charlotte and Madeline may be seen as fair reasons to dismiss the six employees as the business will cease trading at its current premises upon the lease expiring. They will be required to go through a redundancy process. The leading judgement to provide us with the legal justification for dismissing fairly resulting in redundancy is Safeway Stores v Burrell (1997). Another consideration for Charlotte and Madeline is they must consult all employe</w:t>
      </w:r>
      <w:r>
        <w:rPr>
          <w:rFonts w:eastAsia="Arial Unicode MS" w:cs="Arial Unicode MS"/>
        </w:rPr>
        <w:t xml:space="preserve">es affected (ACAS, 2024). </w:t>
      </w:r>
    </w:p>
    <w:p w14:paraId="0992C82C" w14:textId="77777777" w:rsidR="00691F51" w:rsidRDefault="00BA4BB5">
      <w:pPr>
        <w:pStyle w:val="Nornal"/>
        <w:numPr>
          <w:ilvl w:val="0"/>
          <w:numId w:val="14"/>
        </w:numPr>
      </w:pPr>
      <w:r>
        <w:t>Using the test laid out in Safeway (1997), Angelica has been dismissed, the requirement of the business has ceased, and the business is to cease. Angelica has been dismissed and effectively redundant. Using the redundancy calculator, Angelica is entitled to 12 weeks redundancy pay - £8,400 (Gov.UK 2024).</w:t>
      </w:r>
    </w:p>
    <w:p w14:paraId="5F15FEB3" w14:textId="77777777" w:rsidR="00691F51" w:rsidRDefault="00BA4BB5">
      <w:pPr>
        <w:pStyle w:val="Nornal"/>
        <w:numPr>
          <w:ilvl w:val="0"/>
          <w:numId w:val="14"/>
        </w:numPr>
      </w:pPr>
      <w:r>
        <w:t xml:space="preserve">Saffron would be entitled to 5 weeks - £1,750 redundancy pay. </w:t>
      </w:r>
    </w:p>
    <w:p w14:paraId="69D8F423" w14:textId="77777777" w:rsidR="00691F51" w:rsidRDefault="00BA4BB5">
      <w:pPr>
        <w:pStyle w:val="Nornal"/>
        <w:numPr>
          <w:ilvl w:val="0"/>
          <w:numId w:val="14"/>
        </w:numPr>
      </w:pPr>
      <w:r>
        <w:t xml:space="preserve">Chip, Cherry, Reese and Carmel would not be entitled to any redundancy pay as they have not been employed for more than 2 years’ service that is required. </w:t>
      </w:r>
    </w:p>
    <w:p w14:paraId="0822AC1B" w14:textId="6382EA77" w:rsidR="00C607B6" w:rsidRDefault="00C607B6" w:rsidP="00C607B6">
      <w:pPr>
        <w:pStyle w:val="Nornal"/>
      </w:pPr>
      <w:r w:rsidRPr="006A1B94">
        <w:rPr>
          <w:highlight w:val="red"/>
        </w:rPr>
        <w:t xml:space="preserve">Another thing to factor, is Angelica (8 years’ service) would be entitled to </w:t>
      </w:r>
      <w:r w:rsidR="006A1B94" w:rsidRPr="006A1B94">
        <w:rPr>
          <w:highlight w:val="red"/>
        </w:rPr>
        <w:t>8 weeks’ notice</w:t>
      </w:r>
      <w:r w:rsidRPr="006A1B94">
        <w:rPr>
          <w:highlight w:val="red"/>
        </w:rPr>
        <w:t xml:space="preserve"> pay,</w:t>
      </w:r>
      <w:r w:rsidR="006A1B94" w:rsidRPr="006A1B94">
        <w:rPr>
          <w:highlight w:val="red"/>
        </w:rPr>
        <w:t xml:space="preserve"> as the employer is required to provide a week for every year service</w:t>
      </w:r>
      <w:r w:rsidR="006A1B94">
        <w:rPr>
          <w:highlight w:val="red"/>
        </w:rPr>
        <w:t xml:space="preserve">, at the very minimum statutory </w:t>
      </w:r>
      <w:r w:rsidR="00BA4BB5">
        <w:rPr>
          <w:highlight w:val="red"/>
        </w:rPr>
        <w:t>provision</w:t>
      </w:r>
      <w:r w:rsidR="006A1B94" w:rsidRPr="006A1B94">
        <w:rPr>
          <w:highlight w:val="red"/>
        </w:rPr>
        <w:t xml:space="preserve"> (S.86 Employment Rights Act 1996). Should the business close in two weeks, this leaves the obligation at 6 weeks Payment in Lieu of Notice (PILON). The obligation to Saffron would be 3 weeks PILON. For Chip, Cherry, Reese and Carmel, the required notice would only be 1 week, as they have not been in continuous employment service for more than 2 years, therefore there would be no obligation pay notice, should the business close in two weeks.</w:t>
      </w:r>
      <w:r w:rsidR="006A1B94">
        <w:t xml:space="preserve"> </w:t>
      </w:r>
    </w:p>
    <w:p w14:paraId="431ADE1F" w14:textId="77777777" w:rsidR="00691F51" w:rsidRDefault="00BA4BB5">
      <w:pPr>
        <w:pStyle w:val="Nornal"/>
      </w:pPr>
      <w:r>
        <w:rPr>
          <w:rFonts w:eastAsia="Arial Unicode MS" w:cs="Arial Unicode MS"/>
        </w:rPr>
        <w:t xml:space="preserve">As an alternative to paying redundancy to Angelica at </w:t>
      </w:r>
      <w:r>
        <w:rPr>
          <w:rFonts w:eastAsia="Arial Unicode MS" w:cs="Arial Unicode MS"/>
        </w:rPr>
        <w:t>£</w:t>
      </w:r>
      <w:r>
        <w:rPr>
          <w:rFonts w:eastAsia="Arial Unicode MS" w:cs="Arial Unicode MS"/>
        </w:rPr>
        <w:t xml:space="preserve">8,400 and Saffron </w:t>
      </w:r>
      <w:r>
        <w:rPr>
          <w:rFonts w:eastAsia="Arial Unicode MS" w:cs="Arial Unicode MS"/>
        </w:rPr>
        <w:t>£</w:t>
      </w:r>
      <w:r>
        <w:rPr>
          <w:rFonts w:eastAsia="Arial Unicode MS" w:cs="Arial Unicode MS"/>
        </w:rPr>
        <w:t xml:space="preserve">1,750 respectively, Charlotte and Madeline may wish to offer alternative employment at an alternative branch. If this is proven to be a reasonable offer and the employees reject, they may be ineligible to be paid redundancy pay, saving Charlotte and Madeline on these costs (S.141 Employment Rights Act, 1996). </w:t>
      </w:r>
    </w:p>
    <w:p w14:paraId="78C82B51" w14:textId="77777777" w:rsidR="00691F51" w:rsidRDefault="00BA4BB5">
      <w:pPr>
        <w:pStyle w:val="Nornal"/>
        <w:numPr>
          <w:ilvl w:val="0"/>
          <w:numId w:val="15"/>
        </w:numPr>
        <w:rPr>
          <w:b/>
          <w:bCs/>
        </w:rPr>
      </w:pPr>
      <w:r>
        <w:rPr>
          <w:b/>
          <w:bCs/>
        </w:rPr>
        <w:t>The takeover of Crumbly Cakes is due to be complete in four months. Ownership will transfer to Peachy Desserts Ltd, and the identity of the owner will change.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but plan to give the employees of Crumbly Cakes new contract</w:t>
      </w:r>
      <w:r>
        <w:rPr>
          <w:b/>
          <w:bCs/>
        </w:rPr>
        <w:t>s on the same terms and conditions as their existing employees. Advise on the legal risk of this approach and what should be done instead. (AC 3.2)</w:t>
      </w:r>
    </w:p>
    <w:p w14:paraId="3232BD62" w14:textId="77777777" w:rsidR="00691F51" w:rsidRDefault="00BA4BB5">
      <w:pPr>
        <w:pStyle w:val="Nornal"/>
      </w:pPr>
      <w:r>
        <w:rPr>
          <w:rFonts w:eastAsia="Arial Unicode MS" w:cs="Arial Unicode MS"/>
        </w:rPr>
        <w:t>When an occasion arises such as a change of ownership is posed, there is a primary legal protection that protects employees when one employer replaces another must be adhered to. This process is known as a transfer of undertakings (TUPE, 2006), which was an EU led law that it prescribed to its member states by way of a regulation, to protect employees</w:t>
      </w:r>
      <w:r>
        <w:rPr>
          <w:rFonts w:eastAsia="Arial Unicode MS" w:cs="Arial Unicode MS"/>
        </w:rPr>
        <w:t xml:space="preserve">’ </w:t>
      </w:r>
      <w:r>
        <w:rPr>
          <w:rFonts w:eastAsia="Arial Unicode MS" w:cs="Arial Unicode MS"/>
        </w:rPr>
        <w:t xml:space="preserve">rights when business is changes hands. ACAS provide a guide on when the regulations come into effect and what protective measures must be taken by the incoming employer upon transfer (ACAS, 2021). </w:t>
      </w:r>
    </w:p>
    <w:p w14:paraId="5F983549" w14:textId="77777777" w:rsidR="00691F51" w:rsidRDefault="00BA4BB5">
      <w:pPr>
        <w:pStyle w:val="Nornal"/>
      </w:pPr>
      <w:r>
        <w:rPr>
          <w:rFonts w:eastAsia="Arial Unicode MS" w:cs="Arial Unicode MS"/>
        </w:rPr>
        <w:t>Charlotte and Madeline must apply caution as the notion to give the 12 employees that they are taking on from Crumbly Cakes, on new terms &amp; conditions that their current employees at Peachy Deserts Ltd have may effectively lead to the 12 employees being dismissed. If the 12 new employees fail to agree to the new T</w:t>
      </w:r>
      <w:r>
        <w:rPr>
          <w:rFonts w:eastAsia="Arial Unicode MS" w:cs="Arial Unicode MS"/>
        </w:rPr>
        <w:t>’</w:t>
      </w:r>
      <w:r>
        <w:rPr>
          <w:rFonts w:eastAsia="Arial Unicode MS" w:cs="Arial Unicode MS"/>
        </w:rPr>
        <w:t>s &amp; C</w:t>
      </w:r>
      <w:r>
        <w:rPr>
          <w:rFonts w:eastAsia="Arial Unicode MS" w:cs="Arial Unicode MS"/>
        </w:rPr>
        <w:t>’</w:t>
      </w:r>
      <w:r>
        <w:rPr>
          <w:rFonts w:eastAsia="Arial Unicode MS" w:cs="Arial Unicode MS"/>
        </w:rPr>
        <w:t xml:space="preserve">s imposed on them, it could lead to them being found to have been unfairly dismissed as imposing a change without a justified exemption. Dismissing without justified economic, technical, or organisational reasoning would be deemed automatically unfair as stated in Regulation 7 (TUPE, 2006), as was the case in Taylor (2000). ACAS suggest consultation to each individual affected by the possibility of redundancy is required, but the need to do so collectively is not (ACAS, 2021). </w:t>
      </w:r>
    </w:p>
    <w:p w14:paraId="6D4125CE" w14:textId="77777777" w:rsidR="00691F51" w:rsidRDefault="00BA4BB5">
      <w:pPr>
        <w:pStyle w:val="Nornal"/>
      </w:pPr>
      <w:r>
        <w:rPr>
          <w:rFonts w:eastAsia="Arial Unicode MS" w:cs="Arial Unicode MS"/>
        </w:rPr>
        <w:t>Peachy Desserts Ltd must honour the existing contracts upon transfer unless an ETO reason can be found to show that the changes to contracts can be defended against unfair dismissal claims for an ETO reason such as reorganisation due to restructure. In that the existing staff employed by Peachy Desserts may be required to be mobile between all sites and in proposing a change in contracts to reflect those already employed by Peachy Desserts, it may not be unreasonable to expect the new staff from Crumbly Cak</w:t>
      </w:r>
      <w:r>
        <w:rPr>
          <w:rFonts w:eastAsia="Arial Unicode MS" w:cs="Arial Unicode MS"/>
        </w:rPr>
        <w:t xml:space="preserve">es to transfer on these terms. </w:t>
      </w:r>
    </w:p>
    <w:p w14:paraId="77544C70" w14:textId="77777777" w:rsidR="00691F51" w:rsidRDefault="00BA4BB5">
      <w:pPr>
        <w:pStyle w:val="ListParagraph"/>
        <w:numPr>
          <w:ilvl w:val="0"/>
          <w:numId w:val="10"/>
        </w:numPr>
        <w:spacing w:after="120" w:line="264" w:lineRule="auto"/>
        <w:rPr>
          <w:b/>
          <w:bCs/>
        </w:rPr>
      </w:pPr>
      <w:r>
        <w:rPr>
          <w:b/>
          <w:bCs/>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p>
    <w:p w14:paraId="78056796" w14:textId="77777777" w:rsidR="00691F51" w:rsidRDefault="00691F51">
      <w:pPr>
        <w:pStyle w:val="Nornal"/>
      </w:pPr>
    </w:p>
    <w:p w14:paraId="0263CBEC" w14:textId="77777777" w:rsidR="00691F51" w:rsidRDefault="00691F51">
      <w:pPr>
        <w:pStyle w:val="Nornal"/>
      </w:pPr>
    </w:p>
    <w:p w14:paraId="4992DBE6" w14:textId="77777777" w:rsidR="00691F51" w:rsidRDefault="00BA4BB5">
      <w:pPr>
        <w:pStyle w:val="Nornal"/>
      </w:pPr>
      <w:r>
        <w:rPr>
          <w:rFonts w:eastAsia="Arial Unicode MS" w:cs="Arial Unicode MS"/>
        </w:rPr>
        <w:t>The first consideration is that there is a statutory requirement to keep in line with minimum levels of payments to everyone in the UK, with basic levels dependent on age, this was enacted by The National Minimum Wage Act (1998). Then in 2016 with the introduction of the national living wage was to be paid to adults from 25+ following The National Minimum Wage (Amendment) Regulations (2016). The current minimum rates of pay for those who qualify for the national living wage as of 1</w:t>
      </w:r>
      <w:r>
        <w:rPr>
          <w:rFonts w:eastAsia="Arial Unicode MS" w:cs="Arial Unicode MS"/>
          <w:vertAlign w:val="superscript"/>
        </w:rPr>
        <w:t>st</w:t>
      </w:r>
      <w:r>
        <w:rPr>
          <w:rFonts w:eastAsia="Arial Unicode MS" w:cs="Arial Unicode MS"/>
        </w:rPr>
        <w:t xml:space="preserve"> April 2024 is </w:t>
      </w:r>
      <w:r>
        <w:rPr>
          <w:rFonts w:eastAsia="Arial Unicode MS" w:cs="Arial Unicode MS"/>
        </w:rPr>
        <w:t>£</w:t>
      </w:r>
      <w:r>
        <w:rPr>
          <w:rFonts w:eastAsia="Arial Unicode MS" w:cs="Arial Unicode MS"/>
        </w:rPr>
        <w:t xml:space="preserve">11.44 for those who are 21 years old or older. The minimum wage for those who are 18-20 is </w:t>
      </w:r>
      <w:r>
        <w:rPr>
          <w:rFonts w:eastAsia="Arial Unicode MS" w:cs="Arial Unicode MS"/>
        </w:rPr>
        <w:t>£</w:t>
      </w:r>
      <w:r>
        <w:rPr>
          <w:rFonts w:eastAsia="Arial Unicode MS" w:cs="Arial Unicode MS"/>
        </w:rPr>
        <w:t xml:space="preserve">8.60 and those who are under 18 is </w:t>
      </w:r>
      <w:r>
        <w:rPr>
          <w:rFonts w:eastAsia="Arial Unicode MS" w:cs="Arial Unicode MS"/>
        </w:rPr>
        <w:t>£</w:t>
      </w:r>
      <w:r>
        <w:rPr>
          <w:rFonts w:eastAsia="Arial Unicode MS" w:cs="Arial Unicode MS"/>
        </w:rPr>
        <w:t xml:space="preserve">6.40 and apprentices should also be paid </w:t>
      </w:r>
      <w:r>
        <w:rPr>
          <w:rFonts w:eastAsia="Arial Unicode MS" w:cs="Arial Unicode MS"/>
        </w:rPr>
        <w:t>£</w:t>
      </w:r>
      <w:r>
        <w:rPr>
          <w:rFonts w:eastAsia="Arial Unicode MS" w:cs="Arial Unicode MS"/>
        </w:rPr>
        <w:t xml:space="preserve">6.40 per hour as a minimum (GOV.UK, 2024). </w:t>
      </w:r>
    </w:p>
    <w:p w14:paraId="220AE51E" w14:textId="77777777" w:rsidR="00691F51" w:rsidRDefault="00BA4BB5">
      <w:pPr>
        <w:pStyle w:val="Nornal"/>
      </w:pPr>
      <w:r>
        <w:rPr>
          <w:rFonts w:eastAsia="Arial Unicode MS" w:cs="Arial Unicode MS"/>
        </w:rPr>
        <w:t xml:space="preserve">The second consideration is the payment of wages in exchange for work services is classed as remuneration (Delaney v Staples, 1992) and should incorrect payments made by the employer to the worker/employee, it may be seen as an unlawful deduction of wages and contravene S.27 of The Employment Rights Act (1996). Employees are entitled to a clear itemised breakdown of their pay and those who are believed to be underpaid, the sales assistants in this scenario, may seek to bring an employment tribunal claim to </w:t>
      </w:r>
      <w:r>
        <w:rPr>
          <w:rFonts w:eastAsia="Arial Unicode MS" w:cs="Arial Unicode MS"/>
        </w:rPr>
        <w:t xml:space="preserve">recover their overdue wages. There is a statutory limitation in which they can seek to bring a claim as this can only go back two years if any wages are owed from underpayment but must bring a claim within 3 months of the last deduction (The Deduction from Wages Limitation Regulations, 2014). </w:t>
      </w:r>
    </w:p>
    <w:p w14:paraId="17048339" w14:textId="77777777" w:rsidR="00691F51" w:rsidRDefault="00BA4BB5">
      <w:pPr>
        <w:pStyle w:val="Nornal"/>
      </w:pPr>
      <w:r>
        <w:rPr>
          <w:rFonts w:eastAsia="Arial Unicode MS" w:cs="Arial Unicode MS"/>
        </w:rPr>
        <w:t xml:space="preserve">Charlotte and Madeleine need to address whether any of their sales assistants are over the age of 20, as they may be underpaying and left prone to be fined up to </w:t>
      </w:r>
      <w:r>
        <w:rPr>
          <w:rFonts w:eastAsia="Arial Unicode MS" w:cs="Arial Unicode MS"/>
        </w:rPr>
        <w:t>£</w:t>
      </w:r>
      <w:r>
        <w:rPr>
          <w:rFonts w:eastAsia="Arial Unicode MS" w:cs="Arial Unicode MS"/>
        </w:rPr>
        <w:t>20,000 for breaking the law, if a complaint is raised with the HMRC. Along with this, they will be required to repay amounts that did not meet NMW going back two years (ACAS, 2024) and be named and shamed for failure to pay the minimum wage, which would have a detrimental PR impact on the reputation of Charlotte and Madeleine</w:t>
      </w:r>
      <w:r>
        <w:rPr>
          <w:rFonts w:eastAsia="Arial Unicode MS" w:cs="Arial Unicode MS"/>
        </w:rPr>
        <w:t>’</w:t>
      </w:r>
      <w:r>
        <w:rPr>
          <w:rFonts w:eastAsia="Arial Unicode MS" w:cs="Arial Unicode MS"/>
        </w:rPr>
        <w:t xml:space="preserve">s business.  </w:t>
      </w:r>
    </w:p>
    <w:p w14:paraId="232AD496" w14:textId="77777777" w:rsidR="00691F51" w:rsidRDefault="00BA4BB5">
      <w:pPr>
        <w:pStyle w:val="ListParagraph"/>
        <w:numPr>
          <w:ilvl w:val="0"/>
          <w:numId w:val="10"/>
        </w:numPr>
        <w:spacing w:after="120" w:line="264" w:lineRule="auto"/>
        <w:rPr>
          <w:b/>
          <w:bCs/>
        </w:rPr>
      </w:pPr>
      <w:r>
        <w:rPr>
          <w:b/>
          <w:bCs/>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p>
    <w:p w14:paraId="3D2A3EC8" w14:textId="77777777" w:rsidR="00691F51" w:rsidRDefault="00BA4BB5">
      <w:pPr>
        <w:pStyle w:val="Nornal"/>
      </w:pPr>
      <w:r>
        <w:rPr>
          <w:rFonts w:eastAsia="Arial Unicode MS" w:cs="Arial Unicode MS"/>
        </w:rPr>
        <w:t>Kit</w:t>
      </w:r>
      <w:r>
        <w:rPr>
          <w:rFonts w:eastAsia="Arial Unicode MS" w:cs="Arial Unicode MS"/>
        </w:rPr>
        <w:t>’</w:t>
      </w:r>
      <w:r>
        <w:rPr>
          <w:rFonts w:eastAsia="Arial Unicode MS" w:cs="Arial Unicode MS"/>
        </w:rPr>
        <w:t>s compliant must be taken seriously as he like most other workers are protected by The Working Time Regulations (1998). The working time is capped at 48 hours per week, unless the nature of work is carried out in a specific industry such as defence (GOV.UK, 2024), as the restaurant does not presumably fall into one of these specific industries that is exempt, and does not operate on a 24-hr basis, Kit may have grounds to raise a formal grievance and if an agreement to keep withing 48hr boundary cannot be ke</w:t>
      </w:r>
      <w:r>
        <w:rPr>
          <w:rFonts w:eastAsia="Arial Unicode MS" w:cs="Arial Unicode MS"/>
        </w:rPr>
        <w:t xml:space="preserve">pt, then Kit may seek to make a claim for constructive dismissal via an Employment Tribunal. Although Kit must have maintained active service for 2 years to qualify along with full employment status. </w:t>
      </w:r>
    </w:p>
    <w:p w14:paraId="18B752A7" w14:textId="77777777" w:rsidR="00691F51" w:rsidRDefault="00BA4BB5">
      <w:pPr>
        <w:pStyle w:val="Nornal"/>
      </w:pPr>
      <w:r>
        <w:rPr>
          <w:rFonts w:eastAsia="Arial Unicode MS" w:cs="Arial Unicode MS"/>
        </w:rPr>
        <w:t>The start point would be to review the nature of Kit</w:t>
      </w:r>
      <w:r>
        <w:rPr>
          <w:rFonts w:eastAsia="Arial Unicode MS" w:cs="Arial Unicode MS"/>
        </w:rPr>
        <w:t>’</w:t>
      </w:r>
      <w:r>
        <w:rPr>
          <w:rFonts w:eastAsia="Arial Unicode MS" w:cs="Arial Unicode MS"/>
        </w:rPr>
        <w:t>s employment by checking the contents of his contract as it may indicate an expectation to provide cover for other supervisors. Kit</w:t>
      </w:r>
      <w:r>
        <w:rPr>
          <w:rFonts w:eastAsia="Arial Unicode MS" w:cs="Arial Unicode MS"/>
        </w:rPr>
        <w:t>’</w:t>
      </w:r>
      <w:r>
        <w:rPr>
          <w:rFonts w:eastAsia="Arial Unicode MS" w:cs="Arial Unicode MS"/>
        </w:rPr>
        <w:t xml:space="preserve">s working hours are 9:30am </w:t>
      </w:r>
      <w:r>
        <w:rPr>
          <w:rFonts w:eastAsia="Arial Unicode MS" w:cs="Arial Unicode MS"/>
        </w:rPr>
        <w:t xml:space="preserve">– </w:t>
      </w:r>
      <w:r>
        <w:rPr>
          <w:rFonts w:eastAsia="Arial Unicode MS" w:cs="Arial Unicode MS"/>
        </w:rPr>
        <w:t xml:space="preserve">9:30pm over 5 days on a regular basis, meaning he is in work for 60 hours per week on a regular basis. Kit is legally entitled to an uninterrupted rest period between the shifts of up to 11 hours (ACAS, 2023), which does seem to be occurring. And Kit is entitled to an uninterrupted 20-minute break throughout the working day as he is working over 6 </w:t>
      </w:r>
      <w:r>
        <w:rPr>
          <w:rFonts w:eastAsia="Arial Unicode MS" w:cs="Arial Unicode MS"/>
        </w:rPr>
        <w:t>hrs as per Regulation 12 to The Working Time Regulations (1998). However, once Kit begins to cover the other supervisors shifts on his usual off-days, his minimum one day off a week, can be averaged over two weeks, for example Kit may work 7 days in week 1 and 5 days in week 2, giving him 48 hours off before he starts week 3, which is permissible and within the limit set out in The Working Time Regulation 11. Kit</w:t>
      </w:r>
      <w:r>
        <w:rPr>
          <w:rFonts w:eastAsia="Arial Unicode MS" w:cs="Arial Unicode MS"/>
        </w:rPr>
        <w:t>’</w:t>
      </w:r>
      <w:r>
        <w:rPr>
          <w:rFonts w:eastAsia="Arial Unicode MS" w:cs="Arial Unicode MS"/>
        </w:rPr>
        <w:t xml:space="preserve">s working hours would need to be averaged out over a 17-week period to accurately show whether </w:t>
      </w:r>
      <w:r>
        <w:rPr>
          <w:rFonts w:eastAsia="Arial Unicode MS" w:cs="Arial Unicode MS"/>
        </w:rPr>
        <w:t>he has gone over the 48 hours limit.</w:t>
      </w:r>
    </w:p>
    <w:p w14:paraId="4BEA9BE5" w14:textId="77777777" w:rsidR="00691F51" w:rsidRDefault="00BA4BB5">
      <w:pPr>
        <w:pStyle w:val="Nornal"/>
      </w:pPr>
      <w:r>
        <w:rPr>
          <w:rFonts w:eastAsia="Arial Unicode MS" w:cs="Arial Unicode MS"/>
        </w:rPr>
        <w:t>Charlotte may wish to check whether there is a written record attesting to Kit</w:t>
      </w:r>
      <w:r>
        <w:rPr>
          <w:rFonts w:eastAsia="Arial Unicode MS" w:cs="Arial Unicode MS"/>
        </w:rPr>
        <w:t>’</w:t>
      </w:r>
      <w:r>
        <w:rPr>
          <w:rFonts w:eastAsia="Arial Unicode MS" w:cs="Arial Unicode MS"/>
        </w:rPr>
        <w:t xml:space="preserve">s voluntary opt-out of that would be defensible should Kit attempt to make a complaint. This would prevent any formal complaint, but Kit is empowered to withdraw his consent to working above the 48-hr cap with sufficient notice. </w:t>
      </w:r>
    </w:p>
    <w:p w14:paraId="026B881F" w14:textId="77777777" w:rsidR="00691F51" w:rsidRDefault="00BA4BB5">
      <w:pPr>
        <w:pStyle w:val="Nornal"/>
        <w:numPr>
          <w:ilvl w:val="0"/>
          <w:numId w:val="10"/>
        </w:numPr>
        <w:rPr>
          <w:b/>
          <w:bCs/>
        </w:rPr>
      </w:pPr>
      <w:r>
        <w:rPr>
          <w:b/>
          <w:bCs/>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w:t>
      </w:r>
      <w:r>
        <w:rPr>
          <w:b/>
          <w:bCs/>
        </w:rPr>
        <w:t>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7251BE43" w14:textId="77777777" w:rsidR="00691F51" w:rsidRDefault="00BA4BB5">
      <w:pPr>
        <w:pStyle w:val="Nornal"/>
      </w:pPr>
      <w:r>
        <w:rPr>
          <w:rFonts w:eastAsia="Arial Unicode MS" w:cs="Arial Unicode MS"/>
        </w:rPr>
        <w:t xml:space="preserve">Maternity is one of the protected characteristics enshrined by the Equality Act (2010), and to treat women less favourable in the workplace when pregnant is deemed to be discriminatory. </w:t>
      </w:r>
    </w:p>
    <w:p w14:paraId="44FD089A" w14:textId="77777777" w:rsidR="00691F51" w:rsidRDefault="00BA4BB5">
      <w:pPr>
        <w:pStyle w:val="Nornal"/>
      </w:pPr>
      <w:r>
        <w:rPr>
          <w:rFonts w:eastAsia="Arial Unicode MS" w:cs="Arial Unicode MS"/>
        </w:rPr>
        <w:t>Although Charlotte is of the belief that two weeks leave is sufficient in her experience, the legal minimum requirement is two weeks leave following birth, as is compulsory (ACAS, 2024), but Coco is entitled to take up to 52 weeks statutory maternity leave should she choose to take this amount of time off (GOV.UK, 2024). This is made up of 26 weeks ordinary maternity leave and a further 26 weeks additional maternity leave. Not only will Coco be entitled to maternity leave that follows the birth of the baby,</w:t>
      </w:r>
      <w:r>
        <w:rPr>
          <w:rFonts w:eastAsia="Arial Unicode MS" w:cs="Arial Unicode MS"/>
        </w:rPr>
        <w:t xml:space="preserve"> but she will also be paid for antenatal care appointments such as scans, or other medical-pregnancy related consultations.  </w:t>
      </w:r>
    </w:p>
    <w:p w14:paraId="3A3FDAE1" w14:textId="77777777" w:rsidR="00691F51" w:rsidRDefault="00BA4BB5">
      <w:pPr>
        <w:pStyle w:val="Nornal"/>
      </w:pPr>
      <w:r>
        <w:rPr>
          <w:rFonts w:eastAsia="Arial Unicode MS" w:cs="Arial Unicode MS"/>
        </w:rPr>
        <w:t>Ultimately, the length of time in which Coco will decide to take off work on maternity leave is up to her, but once the start/leave dates are established, Charlotte &amp; Madeleine must acknowledge this within 28 days (CIPD, 2024).</w:t>
      </w:r>
    </w:p>
    <w:p w14:paraId="3EBCC8E6" w14:textId="77777777" w:rsidR="00691F51" w:rsidRDefault="00BA4BB5">
      <w:pPr>
        <w:pStyle w:val="Nornal"/>
      </w:pPr>
      <w:r>
        <w:rPr>
          <w:rFonts w:eastAsia="Arial Unicode MS" w:cs="Arial Unicode MS"/>
        </w:rPr>
        <w:t>Another obligation as employers, is Charlotte and/or Madeleine must conduct a safety risk assessment after being informed by Coco that she is expecting in six months</w:t>
      </w:r>
      <w:r>
        <w:rPr>
          <w:rFonts w:eastAsia="Arial Unicode MS" w:cs="Arial Unicode MS"/>
        </w:rPr>
        <w:t xml:space="preserve">’ </w:t>
      </w:r>
      <w:r>
        <w:rPr>
          <w:rFonts w:eastAsia="Arial Unicode MS" w:cs="Arial Unicode MS"/>
        </w:rPr>
        <w:t xml:space="preserve">time and review this should duties or conditions change (HSE, 2024). </w:t>
      </w:r>
    </w:p>
    <w:p w14:paraId="6B73ED41" w14:textId="77777777" w:rsidR="00691F51" w:rsidRDefault="00BA4BB5">
      <w:pPr>
        <w:pStyle w:val="Nornal"/>
      </w:pPr>
      <w:r>
        <w:rPr>
          <w:rFonts w:eastAsia="Arial Unicode MS" w:cs="Arial Unicode MS"/>
        </w:rPr>
        <w:t>Even as a small business, Coco</w:t>
      </w:r>
      <w:r>
        <w:rPr>
          <w:rFonts w:eastAsia="Arial Unicode MS" w:cs="Arial Unicode MS"/>
        </w:rPr>
        <w:t>’</w:t>
      </w:r>
      <w:r>
        <w:rPr>
          <w:rFonts w:eastAsia="Arial Unicode MS" w:cs="Arial Unicode MS"/>
        </w:rPr>
        <w:t xml:space="preserve">s is legally entitled to </w:t>
      </w:r>
      <w:r>
        <w:rPr>
          <w:rFonts w:eastAsia="Arial Unicode MS" w:cs="Arial Unicode MS"/>
        </w:rPr>
        <w:t>“</w:t>
      </w:r>
      <w:r>
        <w:rPr>
          <w:rFonts w:eastAsia="Arial Unicode MS" w:cs="Arial Unicode MS"/>
        </w:rPr>
        <w:t>90% of earnings (before tax) for the first six weeks.</w:t>
      </w:r>
      <w:r>
        <w:rPr>
          <w:rFonts w:eastAsia="Arial Unicode MS" w:cs="Arial Unicode MS"/>
        </w:rPr>
        <w:t xml:space="preserve">” </w:t>
      </w:r>
      <w:r>
        <w:rPr>
          <w:rFonts w:eastAsia="Arial Unicode MS" w:cs="Arial Unicode MS"/>
        </w:rPr>
        <w:t xml:space="preserve">then either </w:t>
      </w:r>
      <w:r>
        <w:rPr>
          <w:rFonts w:eastAsia="Arial Unicode MS" w:cs="Arial Unicode MS"/>
        </w:rPr>
        <w:t>“£</w:t>
      </w:r>
      <w:r>
        <w:rPr>
          <w:rFonts w:eastAsia="Arial Unicode MS" w:cs="Arial Unicode MS"/>
        </w:rPr>
        <w:t>184.03 per week or 90% of the average weekly earnings (whichever is lower) for the next 33 weeks</w:t>
      </w:r>
      <w:r>
        <w:rPr>
          <w:rFonts w:eastAsia="Arial Unicode MS" w:cs="Arial Unicode MS"/>
        </w:rPr>
        <w:t xml:space="preserve">” </w:t>
      </w:r>
      <w:r>
        <w:rPr>
          <w:rFonts w:eastAsia="Arial Unicode MS" w:cs="Arial Unicode MS"/>
        </w:rPr>
        <w:t>is owed (GOV.UK, 2024). The qualifier for this is to have been in service up to 6 months prior to the 15</w:t>
      </w:r>
      <w:r>
        <w:rPr>
          <w:rFonts w:eastAsia="Arial Unicode MS" w:cs="Arial Unicode MS"/>
          <w:vertAlign w:val="superscript"/>
        </w:rPr>
        <w:t>th</w:t>
      </w:r>
      <w:r>
        <w:rPr>
          <w:rFonts w:eastAsia="Arial Unicode MS" w:cs="Arial Unicode MS"/>
        </w:rPr>
        <w:t xml:space="preserve"> week that the baby is due, as it is stated above, Coco has been in service for 8 years up to this point. However, this is the statutory maternity pay, which is claimed back from the HMRC, therefore the pay oblig</w:t>
      </w:r>
      <w:r>
        <w:rPr>
          <w:rFonts w:eastAsia="Arial Unicode MS" w:cs="Arial Unicode MS"/>
        </w:rPr>
        <w:t>ation is not solely for Charlotte and Madeleine to source. Coco will also be entitled to work up to 10 keeping in touch days, leading up to her return.</w:t>
      </w:r>
    </w:p>
    <w:p w14:paraId="5961BE50" w14:textId="77777777" w:rsidR="00691F51" w:rsidRDefault="00BA4BB5">
      <w:pPr>
        <w:pStyle w:val="Nornal"/>
      </w:pPr>
      <w:r>
        <w:rPr>
          <w:rFonts w:eastAsia="Arial Unicode MS" w:cs="Arial Unicode MS"/>
        </w:rPr>
        <w:t>Even upon return from maternity, Coco can request a flexible Coco will be protected from redundancy should Charlotte and Madelaine decide that her position no longer exists due to a replacement filling in for example, may constitute unfair dismissal (Philip Hodges &amp; Co v Kell, 1994). This protection from redundancy can now last 18 months (S.4 (1C) Maternity Leave, Adoption Leave and Shared Parental Leave (Amendment) Regulations 2024). Whilst Coco is away, she will also accrue annual leave, in which she is e</w:t>
      </w:r>
      <w:r>
        <w:rPr>
          <w:rFonts w:eastAsia="Arial Unicode MS" w:cs="Arial Unicode MS"/>
        </w:rPr>
        <w:t xml:space="preserve">ntitled to take upon her return. This includes any bank holidays that fall on her usual working days (ACAS, 2024). </w:t>
      </w:r>
    </w:p>
    <w:p w14:paraId="15CEEBE4" w14:textId="77777777" w:rsidR="00691F51" w:rsidRDefault="00BA4BB5">
      <w:pPr>
        <w:pStyle w:val="Nornal"/>
      </w:pPr>
      <w:r>
        <w:rPr>
          <w:rFonts w:eastAsia="Arial Unicode MS" w:cs="Arial Unicode MS"/>
        </w:rPr>
        <w:t xml:space="preserve">Charlotte and Madeleine must be cautious as employers as an Employment Tribunal does not traditionally look favourably upon employers should they be found to have failed in their statutory duties in relation to employment law and a Tribunal can further impose fines of up to </w:t>
      </w:r>
      <w:r>
        <w:rPr>
          <w:rFonts w:eastAsia="Arial Unicode MS" w:cs="Arial Unicode MS"/>
        </w:rPr>
        <w:t>£</w:t>
      </w:r>
      <w:r>
        <w:rPr>
          <w:rFonts w:eastAsia="Arial Unicode MS" w:cs="Arial Unicode MS"/>
        </w:rPr>
        <w:t xml:space="preserve">5,000. </w:t>
      </w:r>
    </w:p>
    <w:p w14:paraId="3E3C41BA" w14:textId="77777777" w:rsidR="00691F51" w:rsidRDefault="00BA4BB5">
      <w:pPr>
        <w:pStyle w:val="Nornal"/>
      </w:pPr>
      <w:r>
        <w:rPr>
          <w:rFonts w:eastAsia="Arial Unicode MS" w:cs="Arial Unicode MS"/>
        </w:rPr>
        <w:t xml:space="preserve">These protections are also afforded to those wishing to take paternity leave and adoption leave. Please find a brief overview of each scenario below: </w:t>
      </w:r>
    </w:p>
    <w:p w14:paraId="28B24361" w14:textId="77777777" w:rsidR="00691F51" w:rsidRDefault="00BA4BB5">
      <w:pPr>
        <w:pStyle w:val="Nornal"/>
        <w:rPr>
          <w:u w:val="single"/>
        </w:rPr>
      </w:pPr>
      <w:r>
        <w:rPr>
          <w:rFonts w:eastAsia="Arial Unicode MS" w:cs="Arial Unicode MS"/>
          <w:u w:val="single"/>
        </w:rPr>
        <w:t xml:space="preserve">Paternity: </w:t>
      </w:r>
    </w:p>
    <w:p w14:paraId="59CFACAA" w14:textId="77777777" w:rsidR="00691F51" w:rsidRDefault="00BA4BB5">
      <w:pPr>
        <w:pStyle w:val="Nornal"/>
      </w:pPr>
      <w:r>
        <w:rPr>
          <w:rFonts w:eastAsia="Arial Unicode MS" w:cs="Arial Unicode MS"/>
        </w:rPr>
        <w:t xml:space="preserve">Expectant fathers are now afforded either one or two weeks statutory paternity pay, but these are no longer required to be taken together, following birth or adoption (The Paternity Leave Regulations, 2024). The statutory minimum is the same as maternity </w:t>
      </w:r>
      <w:r>
        <w:rPr>
          <w:rFonts w:eastAsia="Arial Unicode MS" w:cs="Arial Unicode MS"/>
        </w:rPr>
        <w:t>– “£</w:t>
      </w:r>
      <w:r>
        <w:rPr>
          <w:rFonts w:eastAsia="Arial Unicode MS" w:cs="Arial Unicode MS"/>
        </w:rPr>
        <w:t>184.03 a week or 90% of average earnings</w:t>
      </w:r>
      <w:r>
        <w:rPr>
          <w:rFonts w:eastAsia="Arial Unicode MS" w:cs="Arial Unicode MS"/>
        </w:rPr>
        <w:t xml:space="preserve">” </w:t>
      </w:r>
      <w:r>
        <w:rPr>
          <w:rFonts w:eastAsia="Arial Unicode MS" w:cs="Arial Unicode MS"/>
        </w:rPr>
        <w:t xml:space="preserve">(CIPD, 2024). The qualifier to be eligible for the leave is to be the father/partner to the expectant mother and have been in continuous employment for 26 weeks, 15 weeks prior to due date (Employment Act, 2002). Along with this this, the employee will still accrue holidays whilst on paternity leave. </w:t>
      </w:r>
    </w:p>
    <w:p w14:paraId="0F1FDA17" w14:textId="77777777" w:rsidR="00691F51" w:rsidRDefault="00BA4BB5">
      <w:pPr>
        <w:pStyle w:val="Nornal"/>
      </w:pPr>
      <w:r>
        <w:rPr>
          <w:rFonts w:eastAsia="Arial Unicode MS" w:cs="Arial Unicode MS"/>
        </w:rPr>
        <w:t xml:space="preserve">Upon their return they are also afforded protection of not to be put at a detriment as a result of them taking paternity leave (Hilton Foods Solutions Ltd v Wright, 2024). If a detriment is found to have occurred which is discriminatory and the complaint reaches an Employment Tribunal who finds in favour of an employee, then the liability can be placed upon an individual as well as a business. This is something to be considered as it brings with it financial implications. </w:t>
      </w:r>
    </w:p>
    <w:p w14:paraId="53FE6026" w14:textId="77777777" w:rsidR="00691F51" w:rsidRDefault="00BA4BB5">
      <w:pPr>
        <w:pStyle w:val="Nornal"/>
        <w:rPr>
          <w:u w:val="single"/>
        </w:rPr>
      </w:pPr>
      <w:r>
        <w:rPr>
          <w:rFonts w:eastAsia="Arial Unicode MS" w:cs="Arial Unicode MS"/>
          <w:u w:val="single"/>
        </w:rPr>
        <w:t>Adoption:</w:t>
      </w:r>
    </w:p>
    <w:p w14:paraId="60BB69B2" w14:textId="77777777" w:rsidR="00691F51" w:rsidRDefault="00BA4BB5">
      <w:pPr>
        <w:pStyle w:val="Nornal"/>
      </w:pPr>
      <w:r>
        <w:rPr>
          <w:rFonts w:eastAsia="Arial Unicode MS" w:cs="Arial Unicode MS"/>
        </w:rPr>
        <w:t>Adoption rights mimic the rights afforded to women on maternity, in that they can request up to 52 weeks off, made up of 26 weeks ordinary adoption leave and a further 26 weeks additional adoption leave (CIPD, 2024). They are also paid statutory adoption pay, the statutory minimum amounts are the same as SMP and have the right not to be made redundant for up to 18 months after the child is placed with them or when they enter the UK (S.5. (1B) Maternity Leave, Adoption Leave and Shared Parental Leave (Amendm</w:t>
      </w:r>
      <w:r>
        <w:rPr>
          <w:rFonts w:eastAsia="Arial Unicode MS" w:cs="Arial Unicode MS"/>
        </w:rPr>
        <w:t>ent) Regulations, 2024).</w:t>
      </w:r>
    </w:p>
    <w:p w14:paraId="10D2ADFB" w14:textId="77777777" w:rsidR="00691F51" w:rsidRDefault="00BA4BB5">
      <w:pPr>
        <w:pStyle w:val="Nornal"/>
        <w:numPr>
          <w:ilvl w:val="0"/>
          <w:numId w:val="10"/>
        </w:numPr>
        <w:rPr>
          <w:b/>
          <w:bCs/>
        </w:rPr>
      </w:pPr>
      <w:r>
        <w:rPr>
          <w:b/>
          <w:bCs/>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p>
    <w:p w14:paraId="7D692144" w14:textId="77777777" w:rsidR="00691F51" w:rsidRDefault="00BA4BB5">
      <w:pPr>
        <w:pStyle w:val="Nornal"/>
      </w:pPr>
      <w:r>
        <w:rPr>
          <w:rFonts w:eastAsia="Arial Unicode MS" w:cs="Arial Unicode MS"/>
        </w:rPr>
        <w:t>Flexible working requests can now be made on day 1, and there is no qualifying period as of 6</w:t>
      </w:r>
      <w:r>
        <w:rPr>
          <w:rFonts w:eastAsia="Arial Unicode MS" w:cs="Arial Unicode MS"/>
          <w:vertAlign w:val="superscript"/>
        </w:rPr>
        <w:t>th</w:t>
      </w:r>
      <w:r>
        <w:rPr>
          <w:rFonts w:eastAsia="Arial Unicode MS" w:cs="Arial Unicode MS"/>
        </w:rPr>
        <w:t xml:space="preserve"> April 2024 (ACAS, 2024). Charlotte and Madelaine must respond to Chelsea within 2 months (S.1 (6) Employment Relations (Flexible Working) Act, 2023). By refusing without a legitimate business reason, attributed to cost/performance it may be seen as unreasonable to refuse following the judgement of Commotion Ltd v Rutty (2006). Simply saying </w:t>
      </w:r>
      <w:r>
        <w:rPr>
          <w:rFonts w:eastAsia="Arial Unicode MS" w:cs="Arial Unicode MS"/>
        </w:rPr>
        <w:t>‘</w:t>
      </w:r>
      <w:r>
        <w:rPr>
          <w:rFonts w:eastAsia="Arial Unicode MS" w:cs="Arial Unicode MS"/>
        </w:rPr>
        <w:t>we don</w:t>
      </w:r>
      <w:r>
        <w:rPr>
          <w:rFonts w:eastAsia="Arial Unicode MS" w:cs="Arial Unicode MS"/>
        </w:rPr>
        <w:t>’</w:t>
      </w:r>
      <w:r>
        <w:rPr>
          <w:rFonts w:eastAsia="Arial Unicode MS" w:cs="Arial Unicode MS"/>
        </w:rPr>
        <w:t>t do that that here</w:t>
      </w:r>
      <w:r>
        <w:rPr>
          <w:rFonts w:eastAsia="Arial Unicode MS" w:cs="Arial Unicode MS"/>
        </w:rPr>
        <w:t xml:space="preserve">’ </w:t>
      </w:r>
      <w:r>
        <w:rPr>
          <w:rFonts w:eastAsia="Arial Unicode MS" w:cs="Arial Unicode MS"/>
        </w:rPr>
        <w:t>and telling her to go elsewhere for part time work may be seen as being treated differently (The Part-time Workers (Prevention of Less Fa</w:t>
      </w:r>
      <w:r>
        <w:rPr>
          <w:rFonts w:eastAsia="Arial Unicode MS" w:cs="Arial Unicode MS"/>
        </w:rPr>
        <w:t xml:space="preserve">vourable Treatment) Regulations, 2000). </w:t>
      </w:r>
    </w:p>
    <w:p w14:paraId="452E188D" w14:textId="77777777" w:rsidR="00691F51" w:rsidRDefault="00BA4BB5">
      <w:pPr>
        <w:pStyle w:val="Nornal"/>
      </w:pPr>
      <w:r>
        <w:rPr>
          <w:rFonts w:eastAsia="Arial Unicode MS" w:cs="Arial Unicode MS"/>
        </w:rPr>
        <w:t xml:space="preserve">Charlotte and Madeleine should instead follow the CIPD guide on responding to a formal </w:t>
      </w:r>
      <w:r>
        <w:rPr>
          <w:rFonts w:eastAsia="Arial Unicode MS" w:cs="Arial Unicode MS"/>
        </w:rPr>
        <w:t>flexible working request (CIPD, 2024) and it may be beneficial to mutually agree to a trial period on its feasibility. If this trial basis of Chelsea</w:t>
      </w:r>
      <w:r>
        <w:rPr>
          <w:rFonts w:eastAsia="Arial Unicode MS" w:cs="Arial Unicode MS"/>
        </w:rPr>
        <w:t>’</w:t>
      </w:r>
      <w:r>
        <w:rPr>
          <w:rFonts w:eastAsia="Arial Unicode MS" w:cs="Arial Unicode MS"/>
        </w:rPr>
        <w:t>s reduction in hours does not work out, then Charlotte and Madeleine must rely on one of the accepted business reasons for rejecting this request (ACAS, 2024), as prescribed by the Employment Rights Act (1996). Charlotte and Madeleine may seek to rely upon the inability to recruit additional staff as the primary business reason for refusing Chelsea</w:t>
      </w:r>
      <w:r>
        <w:rPr>
          <w:rFonts w:eastAsia="Arial Unicode MS" w:cs="Arial Unicode MS"/>
        </w:rPr>
        <w:t>’</w:t>
      </w:r>
      <w:r>
        <w:rPr>
          <w:rFonts w:eastAsia="Arial Unicode MS" w:cs="Arial Unicode MS"/>
        </w:rPr>
        <w:t xml:space="preserve">s request, </w:t>
      </w:r>
      <w:r>
        <w:rPr>
          <w:rFonts w:eastAsia="Arial Unicode MS" w:cs="Arial Unicode MS"/>
        </w:rPr>
        <w:t xml:space="preserve">as it may be difficult to attract a restaurant manager on 2 days a week. However, it is in their interests to explore all avenues before dismissing this request. </w:t>
      </w:r>
    </w:p>
    <w:p w14:paraId="1470B3F7" w14:textId="77777777" w:rsidR="00691F51" w:rsidRDefault="00BA4BB5">
      <w:pPr>
        <w:pStyle w:val="Heading"/>
      </w:pPr>
      <w:r>
        <w:t>References</w:t>
      </w:r>
    </w:p>
    <w:p w14:paraId="42B4BCEF" w14:textId="77777777" w:rsidR="00691F51" w:rsidRDefault="00BA4BB5">
      <w:pPr>
        <w:pStyle w:val="ListParagraph"/>
        <w:numPr>
          <w:ilvl w:val="0"/>
          <w:numId w:val="17"/>
        </w:numPr>
      </w:pPr>
      <w:r>
        <w:t xml:space="preserve">ACAS (2021), </w:t>
      </w:r>
      <w:r>
        <w:rPr>
          <w:i/>
          <w:iCs/>
        </w:rPr>
        <w:t>TUPE: employee rights</w:t>
      </w:r>
      <w:r>
        <w:t xml:space="preserve">. Available at: </w:t>
      </w:r>
      <w:hyperlink r:id="rId12" w:history="1">
        <w:r>
          <w:rPr>
            <w:rStyle w:val="Hyperlink0"/>
          </w:rPr>
          <w:t>https://www.acas.org.uk/employee-rights-during-a-tupe-transfer/your-redundancy-rights-under- tupe#:~:text=After%20you%20have%20transferred%2C%20your%20new%20employer%20can,workforce%20for%20economic%2C%20technical%20or%20organisational%20%28ETO%29%20reasons</w:t>
        </w:r>
      </w:hyperlink>
      <w:r>
        <w:t xml:space="preserve"> (Accessed June 2024). </w:t>
      </w:r>
    </w:p>
    <w:p w14:paraId="2AC0EB20" w14:textId="77777777" w:rsidR="00691F51" w:rsidRDefault="00BA4BB5">
      <w:pPr>
        <w:pStyle w:val="ListParagraph"/>
        <w:numPr>
          <w:ilvl w:val="0"/>
          <w:numId w:val="17"/>
        </w:numPr>
      </w:pPr>
      <w:r>
        <w:t xml:space="preserve">ACAS (2021), </w:t>
      </w:r>
      <w:r>
        <w:rPr>
          <w:i/>
          <w:iCs/>
        </w:rPr>
        <w:t>TUPE: handling a transfer.</w:t>
      </w:r>
      <w:r>
        <w:t xml:space="preserve"> Available at: </w:t>
      </w:r>
      <w:hyperlink r:id="rId13" w:history="1">
        <w:r>
          <w:rPr>
            <w:rStyle w:val="Hyperlink0"/>
          </w:rPr>
          <w:t>https://www.acas.org.uk/handling-a-tupe-transfer-step-by-step</w:t>
        </w:r>
      </w:hyperlink>
      <w:r>
        <w:t xml:space="preserve"> (Accessed May 2024). </w:t>
      </w:r>
    </w:p>
    <w:p w14:paraId="4608FD59" w14:textId="77777777" w:rsidR="00691F51" w:rsidRDefault="00BA4BB5">
      <w:pPr>
        <w:pStyle w:val="ListParagraph"/>
        <w:numPr>
          <w:ilvl w:val="0"/>
          <w:numId w:val="17"/>
        </w:numPr>
      </w:pPr>
      <w:r>
        <w:t xml:space="preserve">ACAS (2022), </w:t>
      </w:r>
      <w:r>
        <w:rPr>
          <w:i/>
          <w:iCs/>
        </w:rPr>
        <w:t>Early conciliation</w:t>
      </w:r>
      <w:r>
        <w:t xml:space="preserve">. Available at: </w:t>
      </w:r>
      <w:hyperlink r:id="rId14" w:history="1">
        <w:r>
          <w:rPr>
            <w:rStyle w:val="Hyperlink0"/>
          </w:rPr>
          <w:t>https://www.acas.org.uk/early-conciliation</w:t>
        </w:r>
      </w:hyperlink>
      <w:r>
        <w:t xml:space="preserve"> (Accessed May 2024).</w:t>
      </w:r>
    </w:p>
    <w:p w14:paraId="61EC0730" w14:textId="77777777" w:rsidR="00691F51" w:rsidRDefault="00BA4BB5">
      <w:pPr>
        <w:pStyle w:val="ListParagraph"/>
        <w:numPr>
          <w:ilvl w:val="0"/>
          <w:numId w:val="17"/>
        </w:numPr>
      </w:pPr>
      <w:r>
        <w:t xml:space="preserve">ACAS (2022), </w:t>
      </w:r>
      <w:r>
        <w:rPr>
          <w:i/>
          <w:iCs/>
        </w:rPr>
        <w:t xml:space="preserve">Making a claim to an employment tribunal. </w:t>
      </w:r>
      <w:r>
        <w:t>Available at:</w:t>
      </w:r>
      <w:r>
        <w:rPr>
          <w:i/>
          <w:iCs/>
        </w:rPr>
        <w:t xml:space="preserve"> </w:t>
      </w:r>
      <w:hyperlink r:id="rId15" w:history="1">
        <w:r>
          <w:rPr>
            <w:rStyle w:val="Hyperlink1"/>
          </w:rPr>
          <w:t>https://www.acas.org.uk/making-a-claim-to-an-employment-tribunal</w:t>
        </w:r>
      </w:hyperlink>
      <w:r>
        <w:rPr>
          <w:i/>
          <w:iCs/>
        </w:rPr>
        <w:t xml:space="preserve"> </w:t>
      </w:r>
      <w:r>
        <w:t>(Accessed May 2024).</w:t>
      </w:r>
    </w:p>
    <w:p w14:paraId="36DC9DB2" w14:textId="77777777" w:rsidR="00691F51" w:rsidRDefault="00BA4BB5">
      <w:pPr>
        <w:pStyle w:val="ListParagraph"/>
        <w:numPr>
          <w:ilvl w:val="0"/>
          <w:numId w:val="17"/>
        </w:numPr>
      </w:pPr>
      <w:r>
        <w:t xml:space="preserve">ACAS (2023), </w:t>
      </w:r>
      <w:r>
        <w:rPr>
          <w:i/>
          <w:iCs/>
        </w:rPr>
        <w:t>Rest and breaks at work</w:t>
      </w:r>
      <w:r>
        <w:t xml:space="preserve">. Available at: </w:t>
      </w:r>
      <w:hyperlink r:id="rId16" w:history="1">
        <w:r>
          <w:rPr>
            <w:rStyle w:val="Hyperlink0"/>
          </w:rPr>
          <w:t>https://www.acas.org.uk/rest-breaks</w:t>
        </w:r>
      </w:hyperlink>
      <w:r>
        <w:t xml:space="preserve"> (Accessed June 2024).  </w:t>
      </w:r>
    </w:p>
    <w:p w14:paraId="489A86A9" w14:textId="77777777" w:rsidR="00691F51" w:rsidRDefault="00BA4BB5">
      <w:pPr>
        <w:pStyle w:val="ListParagraph"/>
        <w:numPr>
          <w:ilvl w:val="0"/>
          <w:numId w:val="17"/>
        </w:numPr>
      </w:pPr>
      <w:r>
        <w:t xml:space="preserve">ACAS (2024), </w:t>
      </w:r>
      <w:r>
        <w:rPr>
          <w:i/>
          <w:iCs/>
        </w:rPr>
        <w:t xml:space="preserve">Code of </w:t>
      </w:r>
      <w:r>
        <w:rPr>
          <w:i/>
          <w:iCs/>
        </w:rPr>
        <w:t>Practice on requests for flexible working</w:t>
      </w:r>
      <w:r>
        <w:t xml:space="preserve">. Available at:  </w:t>
      </w:r>
      <w:hyperlink r:id="rId17" w:history="1">
        <w:r>
          <w:rPr>
            <w:rStyle w:val="Hyperlink0"/>
          </w:rPr>
          <w:t>https://www.acas.org.uk/acas-code-of-practice-on-flexible-working-requests/html</w:t>
        </w:r>
      </w:hyperlink>
      <w:r>
        <w:t xml:space="preserve"> (Accessed June 2024). </w:t>
      </w:r>
    </w:p>
    <w:p w14:paraId="6B2CE8CB" w14:textId="77777777" w:rsidR="00691F51" w:rsidRDefault="00BA4BB5">
      <w:pPr>
        <w:pStyle w:val="ListParagraph"/>
        <w:numPr>
          <w:ilvl w:val="0"/>
          <w:numId w:val="17"/>
        </w:numPr>
      </w:pPr>
      <w:r>
        <w:t xml:space="preserve">ACAS (2024), </w:t>
      </w:r>
      <w:r>
        <w:rPr>
          <w:i/>
          <w:iCs/>
        </w:rPr>
        <w:t>Equal pay and the law.</w:t>
      </w:r>
      <w:r>
        <w:t xml:space="preserve"> Available at: </w:t>
      </w:r>
      <w:hyperlink r:id="rId18" w:history="1">
        <w:r>
          <w:rPr>
            <w:rStyle w:val="Hyperlink0"/>
          </w:rPr>
          <w:t>https://www.acas.org.uk/equal-pay/equal-pay-law</w:t>
        </w:r>
      </w:hyperlink>
      <w:r>
        <w:t xml:space="preserve"> (Accessed (May 2024). </w:t>
      </w:r>
    </w:p>
    <w:p w14:paraId="34EBA710" w14:textId="77777777" w:rsidR="00691F51" w:rsidRDefault="00BA4BB5">
      <w:pPr>
        <w:pStyle w:val="ListParagraph"/>
        <w:numPr>
          <w:ilvl w:val="0"/>
          <w:numId w:val="17"/>
        </w:numPr>
      </w:pPr>
      <w:r>
        <w:t xml:space="preserve">ACAS (2024), </w:t>
      </w:r>
      <w:r>
        <w:rPr>
          <w:i/>
          <w:iCs/>
        </w:rPr>
        <w:t>Managing staff redundancies</w:t>
      </w:r>
      <w:r>
        <w:t xml:space="preserve">. Available at: </w:t>
      </w:r>
      <w:hyperlink r:id="rId19" w:history="1">
        <w:r>
          <w:rPr>
            <w:rStyle w:val="Hyperlink0"/>
          </w:rPr>
          <w:t>https://www.acas.org.uk/manage-staff-redundancies/redundancy-consultations</w:t>
        </w:r>
      </w:hyperlink>
      <w:r>
        <w:t xml:space="preserve"> (Accessed May 2024). </w:t>
      </w:r>
    </w:p>
    <w:p w14:paraId="4F74D944" w14:textId="77777777" w:rsidR="00691F51" w:rsidRDefault="00BA4BB5">
      <w:pPr>
        <w:pStyle w:val="ListParagraph"/>
        <w:numPr>
          <w:ilvl w:val="0"/>
          <w:numId w:val="17"/>
        </w:numPr>
      </w:pPr>
      <w:r>
        <w:t xml:space="preserve">ACAS (2024), </w:t>
      </w:r>
      <w:r>
        <w:rPr>
          <w:i/>
          <w:iCs/>
        </w:rPr>
        <w:t>Managing staff redundancies</w:t>
      </w:r>
      <w:r>
        <w:t xml:space="preserve">. Available at: </w:t>
      </w:r>
      <w:hyperlink r:id="rId20" w:history="1">
        <w:r>
          <w:rPr>
            <w:rStyle w:val="Hyperlink0"/>
          </w:rPr>
          <w:t>https://www.acas.org.uk/manage-staff-redundancies/offer-alternative-employment#:~:text=You%20must%20try%20and%20move%20employees%20selected%20for,employees%20to%20see%20if%20they%20agree%20they%27re%20suitable</w:t>
        </w:r>
      </w:hyperlink>
      <w:r>
        <w:t xml:space="preserve">. (Accessed May 2024). </w:t>
      </w:r>
    </w:p>
    <w:p w14:paraId="50BFF858" w14:textId="77777777" w:rsidR="00691F51" w:rsidRDefault="00BA4BB5">
      <w:pPr>
        <w:pStyle w:val="ListParagraph"/>
        <w:numPr>
          <w:ilvl w:val="0"/>
          <w:numId w:val="17"/>
        </w:numPr>
      </w:pPr>
      <w:r>
        <w:t xml:space="preserve">ACAS, 2024), </w:t>
      </w:r>
      <w:r>
        <w:rPr>
          <w:i/>
          <w:iCs/>
        </w:rPr>
        <w:t xml:space="preserve">Maternity leave and pay. </w:t>
      </w:r>
      <w:r>
        <w:t xml:space="preserve">Available at: </w:t>
      </w:r>
      <w:hyperlink r:id="rId21" w:history="1">
        <w:r>
          <w:rPr>
            <w:rStyle w:val="Hyperlink0"/>
          </w:rPr>
          <w:t>https://www.acas.org.uk/your-maternity-leave-pay-and-other-rights/taking-maternity-leave</w:t>
        </w:r>
      </w:hyperlink>
      <w:r>
        <w:t xml:space="preserve"> (Accessed June 2024). </w:t>
      </w:r>
    </w:p>
    <w:p w14:paraId="6FA71E5C" w14:textId="77777777" w:rsidR="00691F51" w:rsidRDefault="00BA4BB5">
      <w:pPr>
        <w:pStyle w:val="ListParagraph"/>
        <w:numPr>
          <w:ilvl w:val="0"/>
          <w:numId w:val="17"/>
        </w:numPr>
        <w:rPr>
          <w:i/>
          <w:iCs/>
        </w:rPr>
      </w:pPr>
      <w:r>
        <w:t xml:space="preserve">ACAS (2024), </w:t>
      </w:r>
      <w:r>
        <w:rPr>
          <w:i/>
          <w:iCs/>
        </w:rPr>
        <w:t>National Minimum Wage.</w:t>
      </w:r>
      <w:r>
        <w:t xml:space="preserve"> Available at: </w:t>
      </w:r>
      <w:hyperlink r:id="rId22" w:history="1">
        <w:r>
          <w:rPr>
            <w:rStyle w:val="Hyperlink2"/>
          </w:rPr>
          <w:t>https://www.acas.org.uk/national-minimum-wage-entitlement/if-an-employer-does-not-pay-minimum-wage</w:t>
        </w:r>
      </w:hyperlink>
      <w:r>
        <w:t xml:space="preserve"> (Accessed June 2024). </w:t>
      </w:r>
    </w:p>
    <w:p w14:paraId="794499D1" w14:textId="77777777" w:rsidR="00691F51" w:rsidRDefault="00BA4BB5">
      <w:pPr>
        <w:pStyle w:val="ListParagraph"/>
        <w:numPr>
          <w:ilvl w:val="0"/>
          <w:numId w:val="17"/>
        </w:numPr>
        <w:rPr>
          <w:i/>
          <w:iCs/>
        </w:rPr>
      </w:pPr>
      <w:r>
        <w:t xml:space="preserve">ACAS (2024), </w:t>
      </w:r>
      <w:r>
        <w:rPr>
          <w:i/>
          <w:iCs/>
        </w:rPr>
        <w:t xml:space="preserve">Paternity leave and pay. </w:t>
      </w:r>
      <w:r>
        <w:t xml:space="preserve">Available at: </w:t>
      </w:r>
      <w:hyperlink r:id="rId23" w:history="1">
        <w:r>
          <w:rPr>
            <w:rStyle w:val="Hyperlink2"/>
          </w:rPr>
          <w:t>https://www.acas.org.uk/paternity-rights-leave-and-pay/paternity-pay</w:t>
        </w:r>
      </w:hyperlink>
      <w:r>
        <w:t xml:space="preserve"> (Accessed June 2024). </w:t>
      </w:r>
    </w:p>
    <w:p w14:paraId="57CDE46E" w14:textId="77777777" w:rsidR="00691F51" w:rsidRDefault="00BA4BB5">
      <w:pPr>
        <w:pStyle w:val="ListParagraph"/>
        <w:numPr>
          <w:ilvl w:val="0"/>
          <w:numId w:val="17"/>
        </w:numPr>
      </w:pPr>
      <w:r>
        <w:t xml:space="preserve">ACAS (2024), </w:t>
      </w:r>
      <w:r>
        <w:rPr>
          <w:i/>
          <w:iCs/>
        </w:rPr>
        <w:t xml:space="preserve">Statutory flexible working requests. </w:t>
      </w:r>
      <w:r>
        <w:t>Available at:</w:t>
      </w:r>
      <w:r>
        <w:rPr>
          <w:i/>
          <w:iCs/>
        </w:rPr>
        <w:t xml:space="preserve"> </w:t>
      </w:r>
      <w:hyperlink r:id="rId24" w:history="1">
        <w:r>
          <w:rPr>
            <w:rStyle w:val="Hyperlink0"/>
          </w:rPr>
          <w:t>https://www.acas.org.uk/statutory-flexible-working-requests/making-a-request</w:t>
        </w:r>
      </w:hyperlink>
      <w:r>
        <w:t xml:space="preserve"> (Accessed June 2024). </w:t>
      </w:r>
    </w:p>
    <w:p w14:paraId="183AF9E5" w14:textId="3BDDD0F8" w:rsidR="00946250" w:rsidRPr="005A6DF6" w:rsidRDefault="00946250">
      <w:pPr>
        <w:pStyle w:val="ListParagraph"/>
        <w:numPr>
          <w:ilvl w:val="0"/>
          <w:numId w:val="17"/>
        </w:numPr>
        <w:rPr>
          <w:rStyle w:val="Hyperlink0"/>
          <w:color w:val="auto"/>
          <w:highlight w:val="red"/>
          <w:u w:val="none"/>
        </w:rPr>
      </w:pPr>
      <w:r w:rsidRPr="005A6DF6">
        <w:rPr>
          <w:highlight w:val="red"/>
        </w:rPr>
        <w:t>Asda Stores Ltd (Appellant) v Brierley and others (Respondents)</w:t>
      </w:r>
      <w:r w:rsidRPr="005A6DF6">
        <w:rPr>
          <w:highlight w:val="red"/>
        </w:rPr>
        <w:t xml:space="preserve"> </w:t>
      </w:r>
      <w:r w:rsidRPr="005A6DF6">
        <w:rPr>
          <w:highlight w:val="red"/>
        </w:rPr>
        <w:t>UKSC/2019/0039</w:t>
      </w:r>
      <w:r w:rsidRPr="005A6DF6">
        <w:rPr>
          <w:highlight w:val="red"/>
        </w:rPr>
        <w:t xml:space="preserve">. Available at: </w:t>
      </w:r>
      <w:hyperlink r:id="rId25" w:history="1">
        <w:r w:rsidRPr="005A6DF6">
          <w:rPr>
            <w:rStyle w:val="Hyperlink0"/>
            <w:highlight w:val="red"/>
          </w:rPr>
          <w:t>https://www.supremecourt.uk/cases/uksc-2019-0039</w:t>
        </w:r>
      </w:hyperlink>
      <w:r w:rsidR="005A6DF6" w:rsidRPr="005A6DF6">
        <w:rPr>
          <w:rStyle w:val="Hyperlink0"/>
          <w:highlight w:val="red"/>
          <w:u w:val="none"/>
        </w:rPr>
        <w:t xml:space="preserve"> </w:t>
      </w:r>
      <w:r w:rsidR="005A6DF6" w:rsidRPr="005A6DF6">
        <w:rPr>
          <w:rStyle w:val="Hyperlink0"/>
          <w:color w:val="auto"/>
          <w:highlight w:val="red"/>
          <w:u w:val="none"/>
        </w:rPr>
        <w:t>(Accessed December 2024).</w:t>
      </w:r>
    </w:p>
    <w:p w14:paraId="10C13365" w14:textId="5CA099D9" w:rsidR="00691F51" w:rsidRDefault="00BA4BB5">
      <w:pPr>
        <w:pStyle w:val="ListParagraph"/>
        <w:numPr>
          <w:ilvl w:val="0"/>
          <w:numId w:val="17"/>
        </w:numPr>
      </w:pPr>
      <w:r>
        <w:t>Cadman v Health and Safety Executive C-17/05 (Advocate General's Opinion); [2006] IRLR 969</w:t>
      </w:r>
    </w:p>
    <w:p w14:paraId="5EDD5E97" w14:textId="77777777" w:rsidR="00691F51" w:rsidRDefault="00BA4BB5">
      <w:pPr>
        <w:pStyle w:val="ListParagraph"/>
        <w:numPr>
          <w:ilvl w:val="0"/>
          <w:numId w:val="17"/>
        </w:numPr>
      </w:pPr>
      <w:r>
        <w:t xml:space="preserve">Carole Louise Webb v EMO Air Cargo (UK) Ltd., Case C-32/93 [1994] QB 718 </w:t>
      </w:r>
    </w:p>
    <w:p w14:paraId="6D82A9D5" w14:textId="77777777" w:rsidR="00691F51" w:rsidRDefault="00BA4BB5">
      <w:pPr>
        <w:pStyle w:val="ListParagraph"/>
        <w:numPr>
          <w:ilvl w:val="0"/>
          <w:numId w:val="17"/>
        </w:numPr>
      </w:pPr>
      <w:r>
        <w:t xml:space="preserve">CIPD (2023), </w:t>
      </w:r>
      <w:r>
        <w:rPr>
          <w:i/>
          <w:iCs/>
        </w:rPr>
        <w:t xml:space="preserve">Employment law in the UK: the court system. Available at: </w:t>
      </w:r>
      <w:hyperlink r:id="rId26" w:history="1">
        <w:r>
          <w:rPr>
            <w:rStyle w:val="Hyperlink1"/>
          </w:rPr>
          <w:t>https://www.cipd.org/uk/knowledge/factsheets/uk-court-system-factsheet/#employment-tribunals</w:t>
        </w:r>
      </w:hyperlink>
      <w:r>
        <w:rPr>
          <w:i/>
          <w:iCs/>
        </w:rPr>
        <w:t xml:space="preserve"> </w:t>
      </w:r>
      <w:r>
        <w:t>(Accessed May 2024).</w:t>
      </w:r>
    </w:p>
    <w:p w14:paraId="48BA4E8F" w14:textId="77777777" w:rsidR="00691F51" w:rsidRDefault="00BA4BB5">
      <w:pPr>
        <w:pStyle w:val="ListParagraph"/>
        <w:numPr>
          <w:ilvl w:val="0"/>
          <w:numId w:val="17"/>
        </w:numPr>
        <w:rPr>
          <w:i/>
          <w:iCs/>
        </w:rPr>
      </w:pPr>
      <w:r>
        <w:t xml:space="preserve">CIPD (2024), </w:t>
      </w:r>
      <w:r>
        <w:rPr>
          <w:i/>
          <w:iCs/>
        </w:rPr>
        <w:t>Maternity, paternity and adoption rights.</w:t>
      </w:r>
      <w:r>
        <w:t xml:space="preserve"> Available at: </w:t>
      </w:r>
      <w:hyperlink r:id="rId27" w:history="1">
        <w:r>
          <w:rPr>
            <w:rStyle w:val="Hyperlink2"/>
          </w:rPr>
          <w:t>https://www.cipd.org/uk/knowledge/factsheets/maternity-paternity-rights-factsheet/</w:t>
        </w:r>
      </w:hyperlink>
      <w:r>
        <w:t xml:space="preserve">  (Accessed June 2024). </w:t>
      </w:r>
    </w:p>
    <w:p w14:paraId="2E64994B" w14:textId="77777777" w:rsidR="00691F51" w:rsidRDefault="00BA4BB5">
      <w:pPr>
        <w:pStyle w:val="ListParagraph"/>
        <w:numPr>
          <w:ilvl w:val="0"/>
          <w:numId w:val="17"/>
        </w:numPr>
      </w:pPr>
      <w:r>
        <w:t xml:space="preserve">CIPD (2024), </w:t>
      </w:r>
      <w:r>
        <w:rPr>
          <w:i/>
          <w:iCs/>
        </w:rPr>
        <w:t>Responding to a formal flexible working request</w:t>
      </w:r>
      <w:r>
        <w:t xml:space="preserve">. Available at: </w:t>
      </w:r>
      <w:hyperlink r:id="rId28" w:history="1">
        <w:r>
          <w:rPr>
            <w:rStyle w:val="Hyperlink0"/>
          </w:rPr>
          <w:t>https://www.cipd.org/globalassets/media/knowledge/knowledge-hub/tools/2024-pdfs/8411-respond-to-flexible-working-request-flowchart-feb24.pdf</w:t>
        </w:r>
      </w:hyperlink>
      <w:r>
        <w:t xml:space="preserve"> (Accessed June 2024). </w:t>
      </w:r>
    </w:p>
    <w:p w14:paraId="6459A7D0" w14:textId="77777777" w:rsidR="00691F51" w:rsidRDefault="00BA4BB5">
      <w:pPr>
        <w:pStyle w:val="ListParagraph"/>
        <w:numPr>
          <w:ilvl w:val="0"/>
          <w:numId w:val="17"/>
        </w:numPr>
      </w:pPr>
      <w:r>
        <w:t xml:space="preserve">Citizen’s advice (2024), </w:t>
      </w:r>
      <w:r>
        <w:rPr>
          <w:i/>
          <w:iCs/>
        </w:rPr>
        <w:t xml:space="preserve">Justifying </w:t>
      </w:r>
      <w:r>
        <w:rPr>
          <w:i/>
          <w:iCs/>
        </w:rPr>
        <w:t>discrimination</w:t>
      </w:r>
      <w:r>
        <w:t xml:space="preserve">. Available at:  </w:t>
      </w:r>
      <w:hyperlink r:id="rId29" w:history="1">
        <w:r>
          <w:rPr>
            <w:rStyle w:val="Hyperlink0"/>
          </w:rPr>
          <w:t>https://www.citizensadvice.org.uk/law-and-courts/discrimination/check-what-type-of-discrimination-youve-experienced/justifying-discrimination/</w:t>
        </w:r>
      </w:hyperlink>
      <w:r>
        <w:t xml:space="preserve"> (Accessed May 2024).</w:t>
      </w:r>
    </w:p>
    <w:p w14:paraId="5E87C109" w14:textId="77777777" w:rsidR="00691F51" w:rsidRDefault="00BA4BB5">
      <w:pPr>
        <w:pStyle w:val="ListParagraph"/>
        <w:numPr>
          <w:ilvl w:val="0"/>
          <w:numId w:val="17"/>
        </w:numPr>
      </w:pPr>
      <w:r>
        <w:t xml:space="preserve">Commotion Ltd v Rutty (2006) ICR 290. Available at: </w:t>
      </w:r>
      <w:hyperlink r:id="rId30" w:history="1">
        <w:r>
          <w:rPr>
            <w:rStyle w:val="Hyperlink0"/>
          </w:rPr>
          <w:t>https://uk.practicallaw.thomsonreuters.com/0-376-0200?contextData=(sc.Default)&amp;transitionType=Default&amp;firstPage=true</w:t>
        </w:r>
      </w:hyperlink>
      <w:r>
        <w:t xml:space="preserve"> (Accessed June 2024). </w:t>
      </w:r>
    </w:p>
    <w:p w14:paraId="19055462" w14:textId="77777777" w:rsidR="00691F51" w:rsidRDefault="00BA4BB5">
      <w:pPr>
        <w:pStyle w:val="ListParagraph"/>
        <w:numPr>
          <w:ilvl w:val="0"/>
          <w:numId w:val="17"/>
        </w:numPr>
      </w:pPr>
      <w:r>
        <w:t>Cunningham v BMS Sales Ltd (2007) FEB/EE/2007/017</w:t>
      </w:r>
    </w:p>
    <w:p w14:paraId="7C82EC78" w14:textId="77777777" w:rsidR="00691F51" w:rsidRDefault="00BA4BB5">
      <w:pPr>
        <w:pStyle w:val="ListParagraph"/>
        <w:numPr>
          <w:ilvl w:val="0"/>
          <w:numId w:val="17"/>
        </w:numPr>
      </w:pPr>
      <w:r>
        <w:t xml:space="preserve">Daniels, K. (2022). </w:t>
      </w:r>
      <w:r>
        <w:rPr>
          <w:i/>
          <w:iCs/>
        </w:rPr>
        <w:t>Introduction to Employment Law</w:t>
      </w:r>
      <w:r>
        <w:t xml:space="preserve">: </w:t>
      </w:r>
      <w:r>
        <w:rPr>
          <w:i/>
          <w:iCs/>
        </w:rPr>
        <w:t>Fundamentals for HR and Business Students</w:t>
      </w:r>
      <w:r>
        <w:t xml:space="preserve">. 6th edn. London: Kogan Page, pp. 1-13 </w:t>
      </w:r>
    </w:p>
    <w:p w14:paraId="45B6B2A0" w14:textId="77777777" w:rsidR="00691F51" w:rsidRDefault="00BA4BB5">
      <w:pPr>
        <w:pStyle w:val="ListParagraph"/>
        <w:numPr>
          <w:ilvl w:val="0"/>
          <w:numId w:val="17"/>
        </w:numPr>
      </w:pPr>
      <w:r>
        <w:t xml:space="preserve">Daniels, K. (2022). Introduction to Employment Law: Fundamentals for HR and Business Students. 6th edn. London: Kogan Page, P165 </w:t>
      </w:r>
    </w:p>
    <w:p w14:paraId="0CEF87DC" w14:textId="77777777" w:rsidR="00691F51" w:rsidRDefault="00BA4BB5">
      <w:pPr>
        <w:pStyle w:val="ListParagraph"/>
        <w:numPr>
          <w:ilvl w:val="0"/>
          <w:numId w:val="17"/>
        </w:numPr>
      </w:pPr>
      <w:r>
        <w:t xml:space="preserve">Delaney v Staples (1992) 1 AC 687. Available at: </w:t>
      </w:r>
      <w:hyperlink r:id="rId31" w:history="1">
        <w:r>
          <w:rPr>
            <w:rStyle w:val="Hyperlink0"/>
          </w:rPr>
          <w:t>https://publications.parliament.uk/pa/ld200809/ldjudgmt/jd090610/string-2.htm</w:t>
        </w:r>
      </w:hyperlink>
      <w:r>
        <w:t xml:space="preserve"> (Accessed June 2024). </w:t>
      </w:r>
    </w:p>
    <w:p w14:paraId="5C3BAD54" w14:textId="77777777" w:rsidR="00691F51" w:rsidRDefault="00BA4BB5">
      <w:pPr>
        <w:pStyle w:val="ListParagraph"/>
        <w:numPr>
          <w:ilvl w:val="0"/>
          <w:numId w:val="17"/>
        </w:numPr>
      </w:pPr>
      <w:r>
        <w:t xml:space="preserve">Employment Act 2002 c. 22. Available at: </w:t>
      </w:r>
      <w:hyperlink r:id="rId32" w:history="1">
        <w:r>
          <w:rPr>
            <w:rStyle w:val="Hyperlink0"/>
          </w:rPr>
          <w:t>https://www.legislation.gov.uk/ukpga/2002/22/contents</w:t>
        </w:r>
      </w:hyperlink>
      <w:r>
        <w:t xml:space="preserve"> (Accessed June 2024). </w:t>
      </w:r>
    </w:p>
    <w:p w14:paraId="7875685F" w14:textId="77777777" w:rsidR="00691F51" w:rsidRDefault="00BA4BB5">
      <w:pPr>
        <w:pStyle w:val="ListParagraph"/>
        <w:numPr>
          <w:ilvl w:val="0"/>
          <w:numId w:val="17"/>
        </w:numPr>
      </w:pPr>
      <w:r>
        <w:t xml:space="preserve">Employment Relations (Flexible Working) Act 2023 c. 33. Available at: </w:t>
      </w:r>
      <w:hyperlink r:id="rId33" w:history="1">
        <w:r>
          <w:rPr>
            <w:rStyle w:val="Hyperlink0"/>
          </w:rPr>
          <w:t>https://www.legislation.gov.uk/ukpga/2023/33/contents/enacted</w:t>
        </w:r>
      </w:hyperlink>
      <w:r>
        <w:t xml:space="preserve"> (Accessed June 2024). </w:t>
      </w:r>
    </w:p>
    <w:p w14:paraId="4B320430" w14:textId="77777777" w:rsidR="00691F51" w:rsidRDefault="00BA4BB5">
      <w:pPr>
        <w:pStyle w:val="ListParagraph"/>
        <w:numPr>
          <w:ilvl w:val="0"/>
          <w:numId w:val="17"/>
        </w:numPr>
      </w:pPr>
      <w:r>
        <w:t xml:space="preserve">Employment Rights Act (1996) c. 18. Available at: </w:t>
      </w:r>
      <w:hyperlink r:id="rId34" w:history="1">
        <w:r>
          <w:rPr>
            <w:rStyle w:val="Hyperlink0"/>
          </w:rPr>
          <w:t>https://www.legislation.gov.uk/ukpga/1996/18/contents</w:t>
        </w:r>
      </w:hyperlink>
      <w:r>
        <w:t xml:space="preserve"> (Accessed May 2024). </w:t>
      </w:r>
    </w:p>
    <w:p w14:paraId="58D7930E" w14:textId="77777777" w:rsidR="00691F51" w:rsidRDefault="00BA4BB5">
      <w:pPr>
        <w:pStyle w:val="ListParagraph"/>
        <w:numPr>
          <w:ilvl w:val="0"/>
          <w:numId w:val="17"/>
        </w:numPr>
      </w:pPr>
      <w:r>
        <w:t xml:space="preserve">Employment Rights Act (1996) c. 18. Part II. Available at: </w:t>
      </w:r>
      <w:hyperlink r:id="rId35" w:history="1">
        <w:r>
          <w:rPr>
            <w:rStyle w:val="Hyperlink0"/>
          </w:rPr>
          <w:t>https://publications.parliament.uk/pa/ld200809/ldjudgmt/jd090610/string-2.htm</w:t>
        </w:r>
      </w:hyperlink>
      <w:r>
        <w:t xml:space="preserve"> (Accessed June 2024). </w:t>
      </w:r>
    </w:p>
    <w:p w14:paraId="61317652" w14:textId="77777777" w:rsidR="00691F51" w:rsidRDefault="00BA4BB5">
      <w:pPr>
        <w:pStyle w:val="ListParagraph"/>
        <w:numPr>
          <w:ilvl w:val="0"/>
          <w:numId w:val="17"/>
        </w:numPr>
      </w:pPr>
      <w:r>
        <w:t xml:space="preserve">Equality Act (2010) c.15. Available at: </w:t>
      </w:r>
      <w:hyperlink r:id="rId36" w:history="1">
        <w:r>
          <w:rPr>
            <w:rStyle w:val="Hyperlink0"/>
          </w:rPr>
          <w:t>https://www.legislation.gov.uk/ukpga/2010/15</w:t>
        </w:r>
      </w:hyperlink>
      <w:r>
        <w:t xml:space="preserve"> (Accessed May 2024).</w:t>
      </w:r>
    </w:p>
    <w:p w14:paraId="419519C1" w14:textId="77777777" w:rsidR="00691F51" w:rsidRDefault="00BA4BB5">
      <w:pPr>
        <w:pStyle w:val="ListParagraph"/>
        <w:numPr>
          <w:ilvl w:val="0"/>
          <w:numId w:val="17"/>
        </w:numPr>
      </w:pPr>
      <w:r>
        <w:t xml:space="preserve">Gov.UK (2019), </w:t>
      </w:r>
      <w:r>
        <w:rPr>
          <w:i/>
          <w:iCs/>
        </w:rPr>
        <w:t xml:space="preserve">Employment tribunals powers: their use and application. </w:t>
      </w:r>
      <w:r>
        <w:t xml:space="preserve">Available at: </w:t>
      </w:r>
      <w:hyperlink r:id="rId37" w:history="1">
        <w:r>
          <w:rPr>
            <w:rStyle w:val="Hyperlink0"/>
          </w:rPr>
          <w:t>https://www.gov.uk/government/publications/employment-tribunals-powers-their-use-and-application</w:t>
        </w:r>
      </w:hyperlink>
      <w:r>
        <w:t xml:space="preserve"> (Accessed May 2024). </w:t>
      </w:r>
    </w:p>
    <w:p w14:paraId="1009E585" w14:textId="77777777" w:rsidR="00691F51" w:rsidRDefault="00BA4BB5">
      <w:pPr>
        <w:pStyle w:val="ListParagraph"/>
        <w:numPr>
          <w:ilvl w:val="0"/>
          <w:numId w:val="17"/>
        </w:numPr>
      </w:pPr>
      <w:r>
        <w:t xml:space="preserve">GOV.UK (2024), </w:t>
      </w:r>
      <w:r>
        <w:rPr>
          <w:i/>
          <w:iCs/>
        </w:rPr>
        <w:t>Calculate your redundancy pay</w:t>
      </w:r>
      <w:r>
        <w:t xml:space="preserve">. Available at: </w:t>
      </w:r>
      <w:hyperlink r:id="rId38" w:history="1">
        <w:r>
          <w:rPr>
            <w:rStyle w:val="Hyperlink0"/>
          </w:rPr>
          <w:t>https://www.gov.uk/calculate-your-redundancy-pay/y/2024-05-13/53/8.0/700.0</w:t>
        </w:r>
      </w:hyperlink>
      <w:r>
        <w:t xml:space="preserve"> (Accessed May 2024). </w:t>
      </w:r>
    </w:p>
    <w:p w14:paraId="66B6E213" w14:textId="77777777" w:rsidR="00691F51" w:rsidRDefault="00BA4BB5">
      <w:pPr>
        <w:pStyle w:val="ListParagraph"/>
        <w:numPr>
          <w:ilvl w:val="0"/>
          <w:numId w:val="17"/>
        </w:numPr>
      </w:pPr>
      <w:r>
        <w:t xml:space="preserve">GOV.UK (2024), </w:t>
      </w:r>
      <w:r>
        <w:rPr>
          <w:i/>
          <w:iCs/>
        </w:rPr>
        <w:t>Calculate your redundancy pay</w:t>
      </w:r>
      <w:r>
        <w:t xml:space="preserve">. Available at: </w:t>
      </w:r>
      <w:hyperlink r:id="rId39" w:history="1">
        <w:r>
          <w:rPr>
            <w:rStyle w:val="Hyperlink0"/>
          </w:rPr>
          <w:t>https://www.gov.uk/calculate-your-redundancy-pay/y/2024-05-13/30/5.0/350.0</w:t>
        </w:r>
      </w:hyperlink>
      <w:r>
        <w:t xml:space="preserve"> (Accessed May 2024). </w:t>
      </w:r>
    </w:p>
    <w:p w14:paraId="110BED0A" w14:textId="77777777" w:rsidR="00691F51" w:rsidRDefault="00BA4BB5">
      <w:pPr>
        <w:pStyle w:val="ListParagraph"/>
        <w:numPr>
          <w:ilvl w:val="0"/>
          <w:numId w:val="17"/>
        </w:numPr>
      </w:pPr>
      <w:r>
        <w:t xml:space="preserve">GOV.UK (2024), </w:t>
      </w:r>
      <w:r>
        <w:rPr>
          <w:i/>
          <w:iCs/>
        </w:rPr>
        <w:t>Calculate your redundancy pay</w:t>
      </w:r>
      <w:r>
        <w:t xml:space="preserve">. Available at: </w:t>
      </w:r>
      <w:hyperlink r:id="rId40" w:history="1">
        <w:r>
          <w:rPr>
            <w:rStyle w:val="Hyperlink0"/>
          </w:rPr>
          <w:t>https://www.gov.uk/calculate-your-redundancy-pay/y/2024-05-13/18/1.0</w:t>
        </w:r>
      </w:hyperlink>
      <w:r>
        <w:t xml:space="preserve"> (Accessed May 2024). </w:t>
      </w:r>
    </w:p>
    <w:p w14:paraId="11914EF6" w14:textId="77777777" w:rsidR="00691F51" w:rsidRDefault="00BA4BB5">
      <w:pPr>
        <w:pStyle w:val="ListParagraph"/>
        <w:numPr>
          <w:ilvl w:val="0"/>
          <w:numId w:val="17"/>
        </w:numPr>
      </w:pPr>
      <w:r>
        <w:t xml:space="preserve">GOV.UK (2024), </w:t>
      </w:r>
      <w:r>
        <w:rPr>
          <w:i/>
          <w:iCs/>
        </w:rPr>
        <w:t>Calculate your redundancy pay</w:t>
      </w:r>
      <w:r>
        <w:t xml:space="preserve">. Available at: </w:t>
      </w:r>
      <w:hyperlink r:id="rId41" w:history="1">
        <w:r>
          <w:rPr>
            <w:rStyle w:val="Hyperlink0"/>
          </w:rPr>
          <w:t>https://www.gov.uk/calculate-your-redundancy-pay/y/2024-05-13/19/1.0</w:t>
        </w:r>
      </w:hyperlink>
      <w:r>
        <w:t xml:space="preserve"> (Accessed May 2024). </w:t>
      </w:r>
    </w:p>
    <w:p w14:paraId="0E8EDAEF" w14:textId="77777777" w:rsidR="00691F51" w:rsidRDefault="00BA4BB5">
      <w:pPr>
        <w:pStyle w:val="ListParagraph"/>
        <w:numPr>
          <w:ilvl w:val="0"/>
          <w:numId w:val="17"/>
        </w:numPr>
      </w:pPr>
      <w:r>
        <w:t xml:space="preserve">GOV.UK (2024), </w:t>
      </w:r>
      <w:r>
        <w:rPr>
          <w:i/>
          <w:iCs/>
        </w:rPr>
        <w:t>Maternity pay and leave</w:t>
      </w:r>
      <w:r>
        <w:t xml:space="preserve">. Available at: </w:t>
      </w:r>
      <w:hyperlink r:id="rId42" w:history="1">
        <w:r>
          <w:rPr>
            <w:rStyle w:val="Hyperlink0"/>
          </w:rPr>
          <w:t>https://www.gov.uk/maternity-pay-leave/leave</w:t>
        </w:r>
      </w:hyperlink>
      <w:r>
        <w:t xml:space="preserve"> (Accessed June 2024). </w:t>
      </w:r>
    </w:p>
    <w:p w14:paraId="1971B2B5" w14:textId="77777777" w:rsidR="00691F51" w:rsidRDefault="00BA4BB5">
      <w:pPr>
        <w:pStyle w:val="ListParagraph"/>
        <w:numPr>
          <w:ilvl w:val="0"/>
          <w:numId w:val="17"/>
        </w:numPr>
      </w:pPr>
      <w:r>
        <w:t xml:space="preserve">GOV.UK (2024), </w:t>
      </w:r>
      <w:r>
        <w:rPr>
          <w:i/>
          <w:iCs/>
        </w:rPr>
        <w:t>Maximum weekly working hours</w:t>
      </w:r>
      <w:r>
        <w:t xml:space="preserve">. Available at: </w:t>
      </w:r>
      <w:hyperlink r:id="rId43" w:history="1">
        <w:r>
          <w:rPr>
            <w:rStyle w:val="Hyperlink0"/>
          </w:rPr>
          <w:t>https://www.gov.uk/maximum-weekly-working-hours</w:t>
        </w:r>
      </w:hyperlink>
      <w:r>
        <w:t xml:space="preserve"> (Accessed June 2024). </w:t>
      </w:r>
    </w:p>
    <w:p w14:paraId="4D56A9B3" w14:textId="53D39380" w:rsidR="00513899" w:rsidRPr="00513899" w:rsidRDefault="00513899">
      <w:pPr>
        <w:pStyle w:val="ListParagraph"/>
        <w:numPr>
          <w:ilvl w:val="0"/>
          <w:numId w:val="17"/>
        </w:numPr>
        <w:rPr>
          <w:highlight w:val="red"/>
        </w:rPr>
      </w:pPr>
      <w:r w:rsidRPr="00513899">
        <w:rPr>
          <w:highlight w:val="red"/>
        </w:rPr>
        <w:t>Health and Safety at Work etc. Act 1974</w:t>
      </w:r>
      <w:r w:rsidRPr="00513899">
        <w:rPr>
          <w:highlight w:val="red"/>
        </w:rPr>
        <w:t xml:space="preserve">. Available at: </w:t>
      </w:r>
      <w:hyperlink r:id="rId44" w:history="1">
        <w:r w:rsidRPr="00513899">
          <w:rPr>
            <w:rStyle w:val="Hyperlink0"/>
            <w:highlight w:val="red"/>
          </w:rPr>
          <w:t>https://www.legislation.gov.uk/ukpga/1974/37/contents</w:t>
        </w:r>
      </w:hyperlink>
      <w:r w:rsidRPr="00513899">
        <w:rPr>
          <w:highlight w:val="red"/>
        </w:rPr>
        <w:t xml:space="preserve"> (Accessed December 2024).</w:t>
      </w:r>
    </w:p>
    <w:p w14:paraId="39E17FDA" w14:textId="037F7FCE" w:rsidR="00691F51" w:rsidRDefault="00BA4BB5">
      <w:pPr>
        <w:pStyle w:val="ListParagraph"/>
        <w:numPr>
          <w:ilvl w:val="0"/>
          <w:numId w:val="17"/>
        </w:numPr>
      </w:pPr>
      <w:r>
        <w:t xml:space="preserve">Hilton Foods Solutions Ltd v Andrew Wright (2024) EAT 28. Available at: </w:t>
      </w:r>
      <w:hyperlink r:id="rId45" w:history="1">
        <w:r>
          <w:rPr>
            <w:rStyle w:val="Hyperlink0"/>
          </w:rPr>
          <w:t>https://assets.publishing.service.gov.uk/media/65e99e263649a20011ed6402/Hilton_Foods_Solutions_Ltd_v_Andrew_Wright__2024__EAT_28.pdf</w:t>
        </w:r>
      </w:hyperlink>
      <w:r>
        <w:t xml:space="preserve"> (Accessed June 2024). </w:t>
      </w:r>
    </w:p>
    <w:p w14:paraId="1AF2AD95" w14:textId="77777777" w:rsidR="00691F51" w:rsidRDefault="00BA4BB5">
      <w:pPr>
        <w:pStyle w:val="ListParagraph"/>
        <w:numPr>
          <w:ilvl w:val="0"/>
          <w:numId w:val="17"/>
        </w:numPr>
      </w:pPr>
      <w:r>
        <w:t xml:space="preserve">HSE (2024), </w:t>
      </w:r>
      <w:r>
        <w:rPr>
          <w:i/>
          <w:iCs/>
        </w:rPr>
        <w:t>Protecting pregnant workers and new mothers</w:t>
      </w:r>
      <w:r>
        <w:t xml:space="preserve">. Available at: </w:t>
      </w:r>
      <w:hyperlink r:id="rId46" w:history="1">
        <w:r>
          <w:rPr>
            <w:rStyle w:val="Hyperlink0"/>
          </w:rPr>
          <w:t>https://www.hse.gov.uk/mothers/employer/index.htm</w:t>
        </w:r>
      </w:hyperlink>
      <w:r>
        <w:t xml:space="preserve"> (Accessed June 2024). </w:t>
      </w:r>
    </w:p>
    <w:p w14:paraId="6AF9E95E" w14:textId="447618DA" w:rsidR="00691F51" w:rsidRDefault="00BA4BB5">
      <w:pPr>
        <w:pStyle w:val="ListParagraph"/>
        <w:numPr>
          <w:ilvl w:val="0"/>
          <w:numId w:val="17"/>
        </w:numPr>
      </w:pPr>
      <w:r>
        <w:t xml:space="preserve">London.Gov.UK (2024), </w:t>
      </w:r>
      <w:r>
        <w:rPr>
          <w:i/>
          <w:iCs/>
        </w:rPr>
        <w:t>London Living Wage</w:t>
      </w:r>
      <w:r>
        <w:t xml:space="preserve">. Available at: </w:t>
      </w:r>
      <w:hyperlink r:id="rId47" w:history="1">
        <w:r>
          <w:rPr>
            <w:rStyle w:val="Hyperlink0"/>
          </w:rPr>
          <w:t>https://www.london.gov.uk/programmes-strategies/business-and-economy/support-your-business/london-living-wage</w:t>
        </w:r>
      </w:hyperlink>
      <w:r>
        <w:t xml:space="preserve"> (Accessed May 2024). </w:t>
      </w:r>
    </w:p>
    <w:p w14:paraId="107ABCDA" w14:textId="77777777" w:rsidR="00691F51" w:rsidRDefault="00BA4BB5">
      <w:pPr>
        <w:pStyle w:val="ListParagraph"/>
        <w:numPr>
          <w:ilvl w:val="0"/>
          <w:numId w:val="17"/>
        </w:numPr>
      </w:pPr>
      <w:r>
        <w:t xml:space="preserve">National Minimum Wage and National Living Wage rates (2024). Available at: </w:t>
      </w:r>
      <w:hyperlink r:id="rId48" w:history="1">
        <w:r>
          <w:rPr>
            <w:rStyle w:val="Hyperlink0"/>
          </w:rPr>
          <w:t>https://www.gov.uk/national-minimum-wage-rates</w:t>
        </w:r>
      </w:hyperlink>
      <w:r>
        <w:t xml:space="preserve"> (Accessed June 2024). </w:t>
      </w:r>
    </w:p>
    <w:p w14:paraId="4FABBADB" w14:textId="77777777" w:rsidR="00691F51" w:rsidRDefault="00BA4BB5">
      <w:pPr>
        <w:pStyle w:val="ListParagraph"/>
        <w:numPr>
          <w:ilvl w:val="0"/>
          <w:numId w:val="17"/>
        </w:numPr>
      </w:pPr>
      <w:r>
        <w:t xml:space="preserve">Philip Hodges &amp; Co v Kell (1994) IRLR 568. Available at: </w:t>
      </w:r>
      <w:hyperlink r:id="rId49" w:history="1">
        <w:r>
          <w:rPr>
            <w:rStyle w:val="Hyperlink0"/>
          </w:rPr>
          <w:t>https://ca.practicallaw.thomsonreuters.com/9-516-4930?contextData=(sc.Default)&amp;transitionType=Default&amp;firstPage=true</w:t>
        </w:r>
      </w:hyperlink>
      <w:r>
        <w:t xml:space="preserve"> (Accessed June 2024).</w:t>
      </w:r>
    </w:p>
    <w:p w14:paraId="0A2C3E3A" w14:textId="77777777" w:rsidR="00691F51" w:rsidRDefault="00BA4BB5">
      <w:pPr>
        <w:pStyle w:val="ListParagraph"/>
        <w:numPr>
          <w:ilvl w:val="0"/>
          <w:numId w:val="17"/>
        </w:numPr>
      </w:pPr>
      <w:r>
        <w:t xml:space="preserve">Safeway Stores plc v Burrell [1997] ICR 523. Available at: </w:t>
      </w:r>
      <w:hyperlink r:id="rId50" w:history="1">
        <w:r>
          <w:rPr>
            <w:rStyle w:val="Hyperlink0"/>
          </w:rPr>
          <w:t>https://uk.practicallaw.thomsonreuters.com/D-000-1832?contextData=(sc.Default)&amp;transitionType=Default&amp;firstPage=true</w:t>
        </w:r>
      </w:hyperlink>
      <w:r>
        <w:t xml:space="preserve"> (Accessed May 2024). </w:t>
      </w:r>
    </w:p>
    <w:p w14:paraId="5E5BE24D" w14:textId="77777777" w:rsidR="00691F51" w:rsidRDefault="00BA4BB5">
      <w:pPr>
        <w:pStyle w:val="ListParagraph"/>
        <w:numPr>
          <w:ilvl w:val="0"/>
          <w:numId w:val="17"/>
        </w:numPr>
      </w:pPr>
      <w:r>
        <w:t xml:space="preserve">Taylor v Connex South Eastern Ltd EAT 1243/99. Available at: </w:t>
      </w:r>
      <w:hyperlink r:id="rId51" w:history="1">
        <w:r>
          <w:rPr>
            <w:rStyle w:val="Hyperlink0"/>
          </w:rPr>
          <w:t>https://www.personneltoday.com/hr/dismissal-was-connected-with-transfer/</w:t>
        </w:r>
      </w:hyperlink>
      <w:r>
        <w:t xml:space="preserve"> (Accessed May 2024).</w:t>
      </w:r>
    </w:p>
    <w:p w14:paraId="06059CC3" w14:textId="77777777" w:rsidR="00691F51" w:rsidRDefault="00BA4BB5">
      <w:pPr>
        <w:pStyle w:val="ListParagraph"/>
        <w:numPr>
          <w:ilvl w:val="0"/>
          <w:numId w:val="17"/>
        </w:numPr>
      </w:pPr>
      <w:r>
        <w:t xml:space="preserve">The Deduction from Wages (Limitation) Regulations 2014 No. 3322. Available at: </w:t>
      </w:r>
      <w:hyperlink r:id="rId52" w:history="1">
        <w:r>
          <w:rPr>
            <w:rStyle w:val="Hyperlink0"/>
          </w:rPr>
          <w:t>https://www.legislation.gov.uk/uksi/2014/3322/made</w:t>
        </w:r>
      </w:hyperlink>
      <w:r>
        <w:t xml:space="preserve"> (Accessed June 2024). </w:t>
      </w:r>
    </w:p>
    <w:p w14:paraId="205B90D3" w14:textId="77777777" w:rsidR="00691F51" w:rsidRDefault="00BA4BB5">
      <w:pPr>
        <w:pStyle w:val="ListParagraph"/>
        <w:numPr>
          <w:ilvl w:val="0"/>
          <w:numId w:val="17"/>
        </w:numPr>
      </w:pPr>
      <w:r>
        <w:t xml:space="preserve">The Maternity Leave, Adoption Leave and Shared Parental Leave (Amendment) Regulations 2024 No. 264. Available at: </w:t>
      </w:r>
      <w:hyperlink r:id="rId53" w:history="1">
        <w:r>
          <w:rPr>
            <w:rStyle w:val="Hyperlink0"/>
          </w:rPr>
          <w:t>https://www.legislation.gov.uk/ukdsi/2024/9780348254846/contents</w:t>
        </w:r>
      </w:hyperlink>
      <w:r>
        <w:t xml:space="preserve"> (Accessed June 2024). </w:t>
      </w:r>
    </w:p>
    <w:p w14:paraId="73CFBA07" w14:textId="77777777" w:rsidR="00691F51" w:rsidRDefault="00BA4BB5">
      <w:pPr>
        <w:pStyle w:val="ListParagraph"/>
        <w:numPr>
          <w:ilvl w:val="0"/>
          <w:numId w:val="17"/>
        </w:numPr>
      </w:pPr>
      <w:r>
        <w:t xml:space="preserve">The National Minimum Wage Act (1998) c. 39. Available at: </w:t>
      </w:r>
      <w:hyperlink r:id="rId54" w:history="1">
        <w:r>
          <w:rPr>
            <w:rStyle w:val="Hyperlink0"/>
          </w:rPr>
          <w:t>https://www.legislation.gov.uk/ukpga/1998/39/contents</w:t>
        </w:r>
      </w:hyperlink>
      <w:r>
        <w:t xml:space="preserve"> (Accessed June 2024). </w:t>
      </w:r>
    </w:p>
    <w:p w14:paraId="03209469" w14:textId="77777777" w:rsidR="00691F51" w:rsidRDefault="00BA4BB5">
      <w:pPr>
        <w:pStyle w:val="ListParagraph"/>
        <w:numPr>
          <w:ilvl w:val="0"/>
          <w:numId w:val="17"/>
        </w:numPr>
      </w:pPr>
      <w:r>
        <w:t xml:space="preserve">The National Minimum Wage (Amendment) Regulations 2016 No. 68 Regulation 3. Available at: </w:t>
      </w:r>
      <w:hyperlink r:id="rId55" w:history="1">
        <w:r>
          <w:rPr>
            <w:rStyle w:val="Hyperlink0"/>
          </w:rPr>
          <w:t>https://www.legislation.gov.uk/uksi/2016/68/regulation/3/made</w:t>
        </w:r>
      </w:hyperlink>
      <w:r>
        <w:t xml:space="preserve"> (Accessed June 2024).</w:t>
      </w:r>
    </w:p>
    <w:p w14:paraId="13EA28FC" w14:textId="77777777" w:rsidR="00691F51" w:rsidRDefault="00BA4BB5">
      <w:pPr>
        <w:pStyle w:val="ListParagraph"/>
        <w:numPr>
          <w:ilvl w:val="0"/>
          <w:numId w:val="17"/>
        </w:numPr>
      </w:pPr>
      <w:r>
        <w:t xml:space="preserve">The Part-time Workers (Prevention of Less Favourable Treatment) Regulations 2000 No. 1551. Available at: </w:t>
      </w:r>
      <w:hyperlink r:id="rId56" w:history="1">
        <w:r>
          <w:rPr>
            <w:rStyle w:val="Hyperlink0"/>
          </w:rPr>
          <w:t>https://www.legislation.gov.uk/uksi/2000/1551/contents/made</w:t>
        </w:r>
      </w:hyperlink>
      <w:r>
        <w:t xml:space="preserve"> (Accessed June 2024). </w:t>
      </w:r>
    </w:p>
    <w:p w14:paraId="1932FECE" w14:textId="77777777" w:rsidR="00691F51" w:rsidRDefault="00BA4BB5">
      <w:pPr>
        <w:pStyle w:val="ListParagraph"/>
        <w:numPr>
          <w:ilvl w:val="0"/>
          <w:numId w:val="17"/>
        </w:numPr>
      </w:pPr>
      <w:r>
        <w:t xml:space="preserve">The Paternity Leave (Amendment) Regulations 2024 No. 329. Available at: </w:t>
      </w:r>
      <w:hyperlink r:id="rId57" w:history="1">
        <w:r>
          <w:rPr>
            <w:rStyle w:val="Hyperlink0"/>
          </w:rPr>
          <w:t>https://www.legislation.gov.uk/uksi/2024/329/contents/made</w:t>
        </w:r>
      </w:hyperlink>
      <w:r>
        <w:t xml:space="preserve"> (Accessed June 2024). </w:t>
      </w:r>
    </w:p>
    <w:p w14:paraId="5465D23E" w14:textId="77777777" w:rsidR="00691F51" w:rsidRDefault="00BA4BB5">
      <w:pPr>
        <w:pStyle w:val="ListParagraph"/>
        <w:numPr>
          <w:ilvl w:val="0"/>
          <w:numId w:val="17"/>
        </w:numPr>
        <w:rPr>
          <w:i/>
          <w:iCs/>
        </w:rPr>
      </w:pPr>
      <w:r>
        <w:t>The Transfer of Undertakings (Protection of Employment) Regulations 2006 No. 246.</w:t>
      </w:r>
      <w:r>
        <w:rPr>
          <w:i/>
          <w:iCs/>
        </w:rPr>
        <w:t xml:space="preserve"> </w:t>
      </w:r>
      <w:r>
        <w:t>Available at:</w:t>
      </w:r>
      <w:r>
        <w:rPr>
          <w:i/>
          <w:iCs/>
        </w:rPr>
        <w:t xml:space="preserve"> </w:t>
      </w:r>
      <w:hyperlink r:id="rId58" w:history="1">
        <w:r>
          <w:rPr>
            <w:rStyle w:val="Hyperlink2"/>
          </w:rPr>
          <w:t>https://www.legislation.gov.uk/uksi/2006/246/contents/made</w:t>
        </w:r>
      </w:hyperlink>
      <w:r>
        <w:t xml:space="preserve"> (Accessed May 2024). </w:t>
      </w:r>
    </w:p>
    <w:p w14:paraId="613F7135" w14:textId="77777777" w:rsidR="00691F51" w:rsidRDefault="00BA4BB5">
      <w:pPr>
        <w:pStyle w:val="ListParagraph"/>
        <w:numPr>
          <w:ilvl w:val="0"/>
          <w:numId w:val="17"/>
        </w:numPr>
      </w:pPr>
      <w:r>
        <w:t xml:space="preserve">The Transfer of Undertakings (Protection of Employment) Regulations 2006 No. 246 Regulation 7. Available at: </w:t>
      </w:r>
      <w:hyperlink r:id="rId59" w:history="1">
        <w:r>
          <w:rPr>
            <w:rStyle w:val="Hyperlink0"/>
          </w:rPr>
          <w:t>https://www.legislation.gov.uk/uksi/2006/246/regulation/7/made</w:t>
        </w:r>
      </w:hyperlink>
      <w:r>
        <w:t xml:space="preserve"> (Accessed May 2024).</w:t>
      </w:r>
    </w:p>
    <w:p w14:paraId="59E6F28B" w14:textId="77777777" w:rsidR="00691F51" w:rsidRDefault="00BA4BB5">
      <w:pPr>
        <w:pStyle w:val="ListParagraph"/>
        <w:numPr>
          <w:ilvl w:val="0"/>
          <w:numId w:val="17"/>
        </w:numPr>
      </w:pPr>
      <w:r>
        <w:t xml:space="preserve">The Working Time Regulations (1998) No. 1833. Available at: </w:t>
      </w:r>
      <w:hyperlink r:id="rId60" w:history="1">
        <w:r>
          <w:rPr>
            <w:rStyle w:val="Hyperlink0"/>
          </w:rPr>
          <w:t>https://www.legislation.gov.uk/uksi/1998/1833/contents/made</w:t>
        </w:r>
      </w:hyperlink>
      <w:r>
        <w:t xml:space="preserve"> (Accessed June 2024). </w:t>
      </w:r>
    </w:p>
    <w:p w14:paraId="0BF394BE" w14:textId="77777777" w:rsidR="00691F51" w:rsidRDefault="00691F51">
      <w:pPr>
        <w:pStyle w:val="Body"/>
        <w:spacing w:line="240" w:lineRule="auto"/>
      </w:pPr>
    </w:p>
    <w:p w14:paraId="1A9DF320" w14:textId="77777777" w:rsidR="00691F51" w:rsidRDefault="00691F51">
      <w:pPr>
        <w:pStyle w:val="Body"/>
        <w:spacing w:line="240" w:lineRule="auto"/>
      </w:pPr>
    </w:p>
    <w:p w14:paraId="3884CBA5" w14:textId="77777777" w:rsidR="00691F51" w:rsidRDefault="00691F51">
      <w:pPr>
        <w:pStyle w:val="Body"/>
        <w:spacing w:line="240" w:lineRule="auto"/>
      </w:pPr>
    </w:p>
    <w:p w14:paraId="59855B8C" w14:textId="77777777" w:rsidR="00691F51" w:rsidRDefault="00691F51">
      <w:pPr>
        <w:pStyle w:val="Body"/>
        <w:spacing w:line="240" w:lineRule="auto"/>
      </w:pPr>
    </w:p>
    <w:p w14:paraId="6C15E532" w14:textId="77777777" w:rsidR="00691F51" w:rsidRDefault="00691F51">
      <w:pPr>
        <w:pStyle w:val="Body"/>
        <w:spacing w:line="240" w:lineRule="auto"/>
      </w:pPr>
    </w:p>
    <w:p w14:paraId="1F06991D" w14:textId="77777777" w:rsidR="00691F51" w:rsidRDefault="00691F51">
      <w:pPr>
        <w:pStyle w:val="Body"/>
        <w:spacing w:line="240" w:lineRule="auto"/>
      </w:pPr>
    </w:p>
    <w:p w14:paraId="5B2CC161" w14:textId="77777777" w:rsidR="00691F51" w:rsidRDefault="00691F51">
      <w:pPr>
        <w:pStyle w:val="Body"/>
        <w:spacing w:line="240" w:lineRule="auto"/>
      </w:pPr>
    </w:p>
    <w:p w14:paraId="5F0389E4" w14:textId="77777777" w:rsidR="00691F51" w:rsidRDefault="00691F51">
      <w:pPr>
        <w:pStyle w:val="Body"/>
        <w:spacing w:line="240" w:lineRule="auto"/>
      </w:pPr>
    </w:p>
    <w:p w14:paraId="25CDDFFF" w14:textId="77777777" w:rsidR="00691F51" w:rsidRDefault="00691F51">
      <w:pPr>
        <w:pStyle w:val="Body"/>
        <w:spacing w:line="240" w:lineRule="auto"/>
      </w:pPr>
    </w:p>
    <w:p w14:paraId="66171040" w14:textId="77777777" w:rsidR="00691F51" w:rsidRDefault="00691F51">
      <w:pPr>
        <w:pStyle w:val="Body"/>
        <w:spacing w:line="240" w:lineRule="auto"/>
      </w:pPr>
    </w:p>
    <w:p w14:paraId="1DD7668E" w14:textId="77777777" w:rsidR="00691F51" w:rsidRDefault="00BA4BB5">
      <w:pPr>
        <w:pStyle w:val="Heading3"/>
      </w:pPr>
      <w:r>
        <w:t>Declaration of Authentication</w:t>
      </w:r>
    </w:p>
    <w:p w14:paraId="6B86205D" w14:textId="77777777" w:rsidR="00691F51" w:rsidRDefault="00BA4BB5">
      <w:pPr>
        <w:pStyle w:val="Heading2"/>
      </w:pPr>
      <w:r>
        <w:rPr>
          <w:rFonts w:eastAsia="Arial Unicode MS" w:cs="Arial Unicode MS"/>
          <w:lang w:val="en-US"/>
        </w:rPr>
        <w:t xml:space="preserve">Declaration by learner </w:t>
      </w:r>
    </w:p>
    <w:tbl>
      <w:tblPr>
        <w:tblW w:w="93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248"/>
        <w:gridCol w:w="5103"/>
      </w:tblGrid>
      <w:tr w:rsidR="00691F51" w14:paraId="413D1E82" w14:textId="77777777">
        <w:trPr>
          <w:trHeight w:val="501"/>
        </w:trPr>
        <w:tc>
          <w:tcPr>
            <w:tcW w:w="9351" w:type="dxa"/>
            <w:gridSpan w:val="2"/>
            <w:tcBorders>
              <w:top w:val="single" w:sz="4" w:space="0" w:color="7F7F7F"/>
              <w:left w:val="single" w:sz="4" w:space="0" w:color="7F7F7F"/>
              <w:bottom w:val="nil"/>
              <w:right w:val="single" w:sz="4" w:space="0" w:color="7F7F7F"/>
            </w:tcBorders>
            <w:shd w:val="clear" w:color="auto" w:fill="auto"/>
            <w:tcMar>
              <w:top w:w="80" w:type="dxa"/>
              <w:left w:w="80" w:type="dxa"/>
              <w:bottom w:w="80" w:type="dxa"/>
              <w:right w:w="406" w:type="dxa"/>
            </w:tcMar>
          </w:tcPr>
          <w:p w14:paraId="13947444" w14:textId="77777777" w:rsidR="00691F51" w:rsidRDefault="00BA4BB5">
            <w:pPr>
              <w:pStyle w:val="TableParagraph"/>
              <w:spacing w:before="60" w:line="254" w:lineRule="auto"/>
              <w:ind w:right="326"/>
            </w:pPr>
            <w:r>
              <w:rPr>
                <w:b/>
                <w:bCs/>
              </w:rPr>
              <w:t xml:space="preserve">I can confirm that this assessment is all my own work and where I have used materials from other sources, they have been properly acknowledged.   </w:t>
            </w:r>
          </w:p>
        </w:tc>
      </w:tr>
      <w:tr w:rsidR="00691F51" w14:paraId="156D325E" w14:textId="77777777">
        <w:trPr>
          <w:trHeight w:val="729"/>
        </w:trPr>
        <w:tc>
          <w:tcPr>
            <w:tcW w:w="4248" w:type="dxa"/>
            <w:tcBorders>
              <w:top w:val="nil"/>
              <w:left w:val="single" w:sz="4" w:space="0" w:color="7F7F7F"/>
              <w:bottom w:val="nil"/>
              <w:right w:val="nil"/>
            </w:tcBorders>
            <w:shd w:val="clear" w:color="auto" w:fill="auto"/>
            <w:tcMar>
              <w:top w:w="80" w:type="dxa"/>
              <w:left w:w="80" w:type="dxa"/>
              <w:bottom w:w="80" w:type="dxa"/>
              <w:right w:w="80" w:type="dxa"/>
            </w:tcMar>
          </w:tcPr>
          <w:p w14:paraId="60C837D8" w14:textId="77777777" w:rsidR="00691F51" w:rsidRDefault="00BA4BB5">
            <w:pPr>
              <w:pStyle w:val="Body"/>
              <w:spacing w:before="120" w:after="120" w:line="360" w:lineRule="auto"/>
              <w:rPr>
                <w:b/>
                <w:bCs/>
              </w:rPr>
            </w:pPr>
            <w:r>
              <w:rPr>
                <w:b/>
                <w:bCs/>
                <w:lang w:val="en-US"/>
              </w:rPr>
              <w:t>Learner name:</w:t>
            </w:r>
          </w:p>
          <w:p w14:paraId="7C133268" w14:textId="77777777" w:rsidR="00691F51" w:rsidRDefault="00BA4BB5">
            <w:pPr>
              <w:pStyle w:val="Body"/>
              <w:spacing w:before="120" w:after="120" w:line="360" w:lineRule="auto"/>
            </w:pPr>
            <w:r>
              <w:rPr>
                <w:b/>
                <w:bCs/>
                <w:lang w:val="en-US"/>
              </w:rPr>
              <w:t>Thomas Jones</w:t>
            </w:r>
          </w:p>
        </w:tc>
        <w:tc>
          <w:tcPr>
            <w:tcW w:w="5103" w:type="dxa"/>
            <w:tcBorders>
              <w:top w:val="nil"/>
              <w:left w:val="nil"/>
              <w:bottom w:val="nil"/>
              <w:right w:val="single" w:sz="4" w:space="0" w:color="7F7F7F"/>
            </w:tcBorders>
            <w:shd w:val="clear" w:color="auto" w:fill="auto"/>
            <w:tcMar>
              <w:top w:w="80" w:type="dxa"/>
              <w:left w:w="80" w:type="dxa"/>
              <w:bottom w:w="80" w:type="dxa"/>
              <w:right w:w="80" w:type="dxa"/>
            </w:tcMar>
          </w:tcPr>
          <w:p w14:paraId="0781B0ED" w14:textId="77777777" w:rsidR="00691F51" w:rsidRDefault="00691F51"/>
        </w:tc>
      </w:tr>
      <w:tr w:rsidR="00691F51" w14:paraId="47B6E7D8" w14:textId="77777777">
        <w:trPr>
          <w:trHeight w:val="1397"/>
        </w:trPr>
        <w:tc>
          <w:tcPr>
            <w:tcW w:w="4248" w:type="dxa"/>
            <w:tcBorders>
              <w:top w:val="nil"/>
              <w:left w:val="single" w:sz="4" w:space="0" w:color="7F7F7F"/>
              <w:bottom w:val="nil"/>
              <w:right w:val="nil"/>
            </w:tcBorders>
            <w:shd w:val="clear" w:color="auto" w:fill="auto"/>
            <w:tcMar>
              <w:top w:w="80" w:type="dxa"/>
              <w:left w:w="80" w:type="dxa"/>
              <w:bottom w:w="80" w:type="dxa"/>
              <w:right w:w="80" w:type="dxa"/>
            </w:tcMar>
          </w:tcPr>
          <w:p w14:paraId="1931F174" w14:textId="77777777" w:rsidR="00691F51" w:rsidRDefault="00BA4BB5">
            <w:pPr>
              <w:pStyle w:val="Body"/>
              <w:spacing w:before="120" w:after="120" w:line="360" w:lineRule="auto"/>
              <w:rPr>
                <w:b/>
                <w:bCs/>
              </w:rPr>
            </w:pPr>
            <w:r>
              <w:rPr>
                <w:b/>
                <w:bCs/>
                <w:lang w:val="en-US"/>
              </w:rPr>
              <w:t>Learner signature:</w:t>
            </w:r>
          </w:p>
          <w:p w14:paraId="2C08B68D" w14:textId="77777777" w:rsidR="00691F51" w:rsidRDefault="00BA4BB5">
            <w:pPr>
              <w:pStyle w:val="Body"/>
              <w:spacing w:before="120" w:after="120" w:line="360" w:lineRule="auto"/>
            </w:pPr>
            <w:r>
              <w:rPr>
                <w:noProof/>
              </w:rPr>
              <w:drawing>
                <wp:inline distT="0" distB="0" distL="0" distR="0" wp14:anchorId="316B3828" wp14:editId="795632C4">
                  <wp:extent cx="1408431" cy="542291"/>
                  <wp:effectExtent l="0" t="0" r="0" b="0"/>
                  <wp:docPr id="1073741834" name="officeArt object" descr="Picture 3"/>
                  <wp:cNvGraphicFramePr/>
                  <a:graphic xmlns:a="http://schemas.openxmlformats.org/drawingml/2006/main">
                    <a:graphicData uri="http://schemas.openxmlformats.org/drawingml/2006/picture">
                      <pic:pic xmlns:pic="http://schemas.openxmlformats.org/drawingml/2006/picture">
                        <pic:nvPicPr>
                          <pic:cNvPr id="1073741834" name="Picture 3" descr="Picture 3"/>
                          <pic:cNvPicPr>
                            <a:picLocks noChangeAspect="1"/>
                          </pic:cNvPicPr>
                        </pic:nvPicPr>
                        <pic:blipFill>
                          <a:blip r:embed="rId61"/>
                          <a:stretch>
                            <a:fillRect/>
                          </a:stretch>
                        </pic:blipFill>
                        <pic:spPr>
                          <a:xfrm>
                            <a:off x="0" y="0"/>
                            <a:ext cx="1408431" cy="542291"/>
                          </a:xfrm>
                          <a:prstGeom prst="rect">
                            <a:avLst/>
                          </a:prstGeom>
                          <a:ln w="12700" cap="flat">
                            <a:noFill/>
                            <a:miter lim="400000"/>
                          </a:ln>
                          <a:effectLst/>
                        </pic:spPr>
                      </pic:pic>
                    </a:graphicData>
                  </a:graphic>
                </wp:inline>
              </w:drawing>
            </w:r>
          </w:p>
        </w:tc>
        <w:tc>
          <w:tcPr>
            <w:tcW w:w="5103" w:type="dxa"/>
            <w:tcBorders>
              <w:top w:val="nil"/>
              <w:left w:val="nil"/>
              <w:bottom w:val="nil"/>
              <w:right w:val="single" w:sz="4" w:space="0" w:color="7F7F7F"/>
            </w:tcBorders>
            <w:shd w:val="clear" w:color="auto" w:fill="auto"/>
            <w:tcMar>
              <w:top w:w="80" w:type="dxa"/>
              <w:left w:w="80" w:type="dxa"/>
              <w:bottom w:w="80" w:type="dxa"/>
              <w:right w:w="80" w:type="dxa"/>
            </w:tcMar>
          </w:tcPr>
          <w:p w14:paraId="654FF6AB" w14:textId="77777777" w:rsidR="00691F51" w:rsidRDefault="00691F51"/>
        </w:tc>
      </w:tr>
      <w:tr w:rsidR="00691F51" w14:paraId="4470F2C3" w14:textId="77777777">
        <w:trPr>
          <w:trHeight w:val="1081"/>
        </w:trPr>
        <w:tc>
          <w:tcPr>
            <w:tcW w:w="4248" w:type="dxa"/>
            <w:tcBorders>
              <w:top w:val="nil"/>
              <w:left w:val="single" w:sz="4" w:space="0" w:color="7F7F7F"/>
              <w:bottom w:val="single" w:sz="4" w:space="0" w:color="7F7F7F"/>
              <w:right w:val="nil"/>
            </w:tcBorders>
            <w:shd w:val="clear" w:color="auto" w:fill="auto"/>
            <w:tcMar>
              <w:top w:w="80" w:type="dxa"/>
              <w:left w:w="80" w:type="dxa"/>
              <w:bottom w:w="80" w:type="dxa"/>
              <w:right w:w="80" w:type="dxa"/>
            </w:tcMar>
          </w:tcPr>
          <w:p w14:paraId="4EE92E9F" w14:textId="28397498" w:rsidR="00691F51" w:rsidRDefault="00BA4BB5">
            <w:pPr>
              <w:pStyle w:val="Body"/>
              <w:spacing w:before="120" w:after="120" w:line="360" w:lineRule="auto"/>
              <w:rPr>
                <w:b/>
                <w:bCs/>
              </w:rPr>
            </w:pPr>
            <w:r>
              <w:rPr>
                <w:b/>
                <w:bCs/>
                <w:lang w:val="en-US"/>
              </w:rPr>
              <w:t>Date: 18/12</w:t>
            </w:r>
            <w:r>
              <w:rPr>
                <w:b/>
                <w:bCs/>
                <w:lang w:val="en-US"/>
              </w:rPr>
              <w:t>/2024</w:t>
            </w:r>
          </w:p>
          <w:p w14:paraId="62AE6BD7" w14:textId="77777777" w:rsidR="00691F51" w:rsidRDefault="00BA4BB5">
            <w:pPr>
              <w:pStyle w:val="Body"/>
              <w:spacing w:before="120" w:after="120" w:line="360" w:lineRule="auto"/>
            </w:pPr>
            <w:r>
              <w:rPr>
                <w:b/>
                <w:bCs/>
                <w:lang w:val="en-US"/>
              </w:rPr>
              <w:t xml:space="preserve">*This should be the date on which </w:t>
            </w:r>
            <w:r>
              <w:rPr>
                <w:b/>
                <w:bCs/>
                <w:lang w:val="en-US"/>
              </w:rPr>
              <w:t>you submit your assessment</w:t>
            </w:r>
          </w:p>
        </w:tc>
        <w:tc>
          <w:tcPr>
            <w:tcW w:w="5103" w:type="dxa"/>
            <w:tcBorders>
              <w:top w:val="nil"/>
              <w:left w:val="nil"/>
              <w:bottom w:val="single" w:sz="4" w:space="0" w:color="7F7F7F"/>
              <w:right w:val="single" w:sz="4" w:space="0" w:color="7F7F7F"/>
            </w:tcBorders>
            <w:shd w:val="clear" w:color="auto" w:fill="auto"/>
            <w:tcMar>
              <w:top w:w="80" w:type="dxa"/>
              <w:left w:w="80" w:type="dxa"/>
              <w:bottom w:w="80" w:type="dxa"/>
              <w:right w:w="80" w:type="dxa"/>
            </w:tcMar>
          </w:tcPr>
          <w:p w14:paraId="586C0E64" w14:textId="77777777" w:rsidR="00691F51" w:rsidRDefault="00691F51"/>
        </w:tc>
      </w:tr>
    </w:tbl>
    <w:p w14:paraId="3C1DF3EA" w14:textId="77777777" w:rsidR="00691F51" w:rsidRDefault="00691F51">
      <w:pPr>
        <w:pStyle w:val="Heading2"/>
        <w:widowControl w:val="0"/>
        <w:spacing w:line="240" w:lineRule="auto"/>
      </w:pPr>
    </w:p>
    <w:p w14:paraId="64232003" w14:textId="77777777" w:rsidR="00691F51" w:rsidRDefault="00691F51">
      <w:pPr>
        <w:pStyle w:val="Heading3"/>
      </w:pPr>
    </w:p>
    <w:p w14:paraId="32900249" w14:textId="77777777" w:rsidR="00691F51" w:rsidRDefault="00BA4BB5">
      <w:pPr>
        <w:pStyle w:val="Heading2"/>
      </w:pPr>
      <w:r>
        <w:rPr>
          <w:rFonts w:eastAsia="Arial Unicode MS" w:cs="Arial Unicode MS"/>
          <w:lang w:val="en-US"/>
        </w:rPr>
        <w:t xml:space="preserve">Declaration by Assessor </w:t>
      </w:r>
    </w:p>
    <w:p w14:paraId="59B47346" w14:textId="77777777" w:rsidR="00691F51" w:rsidRDefault="00691F51">
      <w:pPr>
        <w:pStyle w:val="Body"/>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2972"/>
        <w:gridCol w:w="6038"/>
      </w:tblGrid>
      <w:tr w:rsidR="00691F51" w14:paraId="60361609" w14:textId="77777777">
        <w:trPr>
          <w:trHeight w:val="1632"/>
        </w:trPr>
        <w:tc>
          <w:tcPr>
            <w:tcW w:w="9010" w:type="dxa"/>
            <w:gridSpan w:val="2"/>
            <w:tcBorders>
              <w:top w:val="single" w:sz="4" w:space="0" w:color="7F7F7F"/>
              <w:left w:val="single" w:sz="4" w:space="0" w:color="7F7F7F"/>
              <w:bottom w:val="nil"/>
              <w:right w:val="single" w:sz="4" w:space="0" w:color="7F7F7F"/>
            </w:tcBorders>
            <w:shd w:val="clear" w:color="auto" w:fill="auto"/>
            <w:tcMar>
              <w:top w:w="80" w:type="dxa"/>
              <w:left w:w="80" w:type="dxa"/>
              <w:bottom w:w="80" w:type="dxa"/>
              <w:right w:w="80" w:type="dxa"/>
            </w:tcMar>
          </w:tcPr>
          <w:p w14:paraId="7AB72C94" w14:textId="77777777" w:rsidR="00691F51" w:rsidRDefault="00BA4BB5">
            <w:pPr>
              <w:pStyle w:val="Body"/>
            </w:pPr>
            <w:r>
              <w:rPr>
                <w:b/>
                <w:bCs/>
                <w:lang w:val="en-US"/>
              </w:rPr>
              <w:t>I confirm that I am satisfied that to the best of my knowledge, the work produced is solely that of the learner.</w:t>
            </w:r>
          </w:p>
        </w:tc>
      </w:tr>
      <w:tr w:rsidR="00691F51" w14:paraId="4068E166" w14:textId="77777777">
        <w:trPr>
          <w:trHeight w:val="520"/>
        </w:trPr>
        <w:tc>
          <w:tcPr>
            <w:tcW w:w="2972" w:type="dxa"/>
            <w:tcBorders>
              <w:top w:val="nil"/>
              <w:left w:val="single" w:sz="4" w:space="0" w:color="7F7F7F"/>
              <w:bottom w:val="nil"/>
              <w:right w:val="nil"/>
            </w:tcBorders>
            <w:shd w:val="clear" w:color="auto" w:fill="auto"/>
            <w:tcMar>
              <w:top w:w="80" w:type="dxa"/>
              <w:left w:w="80" w:type="dxa"/>
              <w:bottom w:w="80" w:type="dxa"/>
              <w:right w:w="80" w:type="dxa"/>
            </w:tcMar>
          </w:tcPr>
          <w:p w14:paraId="15F8433E" w14:textId="77777777" w:rsidR="00691F51" w:rsidRDefault="00BA4BB5">
            <w:pPr>
              <w:pStyle w:val="Body"/>
              <w:spacing w:before="120" w:after="120" w:line="360" w:lineRule="auto"/>
            </w:pPr>
            <w:r>
              <w:rPr>
                <w:b/>
                <w:bCs/>
                <w:lang w:val="en-US"/>
              </w:rPr>
              <w:t>Assessor name:</w:t>
            </w:r>
          </w:p>
        </w:tc>
        <w:tc>
          <w:tcPr>
            <w:tcW w:w="6038" w:type="dxa"/>
            <w:tcBorders>
              <w:top w:val="nil"/>
              <w:left w:val="nil"/>
              <w:bottom w:val="nil"/>
              <w:right w:val="single" w:sz="4" w:space="0" w:color="7F7F7F"/>
            </w:tcBorders>
            <w:shd w:val="clear" w:color="auto" w:fill="auto"/>
            <w:tcMar>
              <w:top w:w="80" w:type="dxa"/>
              <w:left w:w="80" w:type="dxa"/>
              <w:bottom w:w="80" w:type="dxa"/>
              <w:right w:w="80" w:type="dxa"/>
            </w:tcMar>
          </w:tcPr>
          <w:p w14:paraId="7038718B" w14:textId="77777777" w:rsidR="00691F51" w:rsidRDefault="00BA4BB5">
            <w:pPr>
              <w:spacing w:before="120" w:after="120" w:line="360" w:lineRule="auto"/>
            </w:pPr>
            <w:r>
              <w:rPr>
                <w:rFonts w:ascii="Arial" w:hAnsi="Arial" w:cs="Arial Unicode MS"/>
                <w:color w:val="000000"/>
                <w:sz w:val="22"/>
                <w:szCs w:val="22"/>
                <w:u w:color="000000"/>
                <w14:textOutline w14:w="0" w14:cap="flat" w14:cmpd="sng" w14:algn="ctr">
                  <w14:noFill/>
                  <w14:prstDash w14:val="solid"/>
                  <w14:bevel/>
                </w14:textOutline>
              </w:rPr>
              <w:t>R Francis-Davies</w:t>
            </w:r>
          </w:p>
        </w:tc>
      </w:tr>
      <w:tr w:rsidR="00691F51" w14:paraId="542BA52D" w14:textId="77777777">
        <w:trPr>
          <w:trHeight w:val="680"/>
        </w:trPr>
        <w:tc>
          <w:tcPr>
            <w:tcW w:w="2972" w:type="dxa"/>
            <w:tcBorders>
              <w:top w:val="nil"/>
              <w:left w:val="single" w:sz="4" w:space="0" w:color="7F7F7F"/>
              <w:bottom w:val="nil"/>
              <w:right w:val="nil"/>
            </w:tcBorders>
            <w:shd w:val="clear" w:color="auto" w:fill="auto"/>
            <w:tcMar>
              <w:top w:w="0" w:type="dxa"/>
              <w:left w:w="80" w:type="dxa"/>
              <w:bottom w:w="0" w:type="dxa"/>
              <w:right w:w="80" w:type="dxa"/>
            </w:tcMar>
          </w:tcPr>
          <w:p w14:paraId="129BE24B" w14:textId="77777777" w:rsidR="00691F51" w:rsidRDefault="00BA4BB5">
            <w:pPr>
              <w:pStyle w:val="Body"/>
              <w:spacing w:before="120" w:after="120" w:line="360" w:lineRule="auto"/>
            </w:pPr>
            <w:r>
              <w:rPr>
                <w:b/>
                <w:bCs/>
                <w:lang w:val="en-US"/>
              </w:rPr>
              <w:t>Assessor signature:</w:t>
            </w:r>
          </w:p>
        </w:tc>
        <w:tc>
          <w:tcPr>
            <w:tcW w:w="6038" w:type="dxa"/>
            <w:tcBorders>
              <w:top w:val="nil"/>
              <w:left w:val="nil"/>
              <w:bottom w:val="nil"/>
              <w:right w:val="single" w:sz="4" w:space="0" w:color="7F7F7F"/>
            </w:tcBorders>
            <w:shd w:val="clear" w:color="auto" w:fill="E5DFD7"/>
            <w:tcMar>
              <w:top w:w="0" w:type="dxa"/>
              <w:left w:w="80" w:type="dxa"/>
              <w:bottom w:w="0" w:type="dxa"/>
              <w:right w:w="80" w:type="dxa"/>
            </w:tcMar>
          </w:tcPr>
          <w:p w14:paraId="014521BB" w14:textId="77777777" w:rsidR="00691F51" w:rsidRDefault="00BA4BB5">
            <w:pPr>
              <w:jc w:val="center"/>
            </w:pPr>
            <w:r>
              <w:rPr>
                <w:noProof/>
              </w:rPr>
              <w:drawing>
                <wp:inline distT="0" distB="0" distL="0" distR="0" wp14:anchorId="7AE67A0B" wp14:editId="76E4E71D">
                  <wp:extent cx="1394005" cy="431800"/>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06-03-2023, 2101 Microsoft Lens 1 (2).jpeg"/>
                          <pic:cNvPicPr>
                            <a:picLocks/>
                          </pic:cNvPicPr>
                        </pic:nvPicPr>
                        <pic:blipFill>
                          <a:blip r:embed="rId62"/>
                          <a:srcRect/>
                          <a:stretch>
                            <a:fillRect/>
                          </a:stretch>
                        </pic:blipFill>
                        <pic:spPr>
                          <a:xfrm>
                            <a:off x="0" y="0"/>
                            <a:ext cx="1394005" cy="431800"/>
                          </a:xfrm>
                          <a:prstGeom prst="rect">
                            <a:avLst/>
                          </a:prstGeom>
                        </pic:spPr>
                      </pic:pic>
                    </a:graphicData>
                  </a:graphic>
                </wp:inline>
              </w:drawing>
            </w:r>
          </w:p>
        </w:tc>
      </w:tr>
      <w:tr w:rsidR="00691F51" w14:paraId="713C913A" w14:textId="77777777">
        <w:trPr>
          <w:trHeight w:val="248"/>
        </w:trPr>
        <w:tc>
          <w:tcPr>
            <w:tcW w:w="2972" w:type="dxa"/>
            <w:tcBorders>
              <w:top w:val="nil"/>
              <w:left w:val="single" w:sz="4" w:space="0" w:color="7F7F7F"/>
              <w:bottom w:val="single" w:sz="4" w:space="0" w:color="7F7F7F"/>
              <w:right w:val="nil"/>
            </w:tcBorders>
            <w:shd w:val="clear" w:color="auto" w:fill="auto"/>
            <w:tcMar>
              <w:top w:w="80" w:type="dxa"/>
              <w:left w:w="80" w:type="dxa"/>
              <w:bottom w:w="80" w:type="dxa"/>
              <w:right w:w="80" w:type="dxa"/>
            </w:tcMar>
          </w:tcPr>
          <w:p w14:paraId="296C8990" w14:textId="77777777" w:rsidR="00691F51" w:rsidRDefault="00BA4BB5">
            <w:pPr>
              <w:pStyle w:val="Body"/>
              <w:spacing w:before="120" w:after="120" w:line="360" w:lineRule="auto"/>
            </w:pPr>
            <w:r>
              <w:rPr>
                <w:b/>
                <w:bCs/>
                <w:lang w:val="en-US"/>
              </w:rPr>
              <w:t>Date:</w:t>
            </w:r>
          </w:p>
        </w:tc>
        <w:tc>
          <w:tcPr>
            <w:tcW w:w="6038" w:type="dxa"/>
            <w:tcBorders>
              <w:top w:val="nil"/>
              <w:left w:val="nil"/>
              <w:bottom w:val="single" w:sz="4" w:space="0" w:color="7F7F7F"/>
              <w:right w:val="single" w:sz="4" w:space="0" w:color="7F7F7F"/>
            </w:tcBorders>
            <w:shd w:val="clear" w:color="auto" w:fill="auto"/>
            <w:tcMar>
              <w:top w:w="80" w:type="dxa"/>
              <w:left w:w="80" w:type="dxa"/>
              <w:bottom w:w="80" w:type="dxa"/>
              <w:right w:w="80" w:type="dxa"/>
            </w:tcMar>
          </w:tcPr>
          <w:p w14:paraId="43E632ED" w14:textId="77777777" w:rsidR="00691F51" w:rsidRDefault="00BA4BB5">
            <w:pPr>
              <w:spacing w:before="120" w:after="120" w:line="360" w:lineRule="auto"/>
            </w:pPr>
            <w:r>
              <w:rPr>
                <w:rFonts w:ascii="Arial" w:hAnsi="Arial" w:cs="Arial Unicode MS"/>
                <w:color w:val="000000"/>
                <w:sz w:val="22"/>
                <w:szCs w:val="22"/>
                <w:u w:color="000000"/>
                <w14:textOutline w14:w="0" w14:cap="flat" w14:cmpd="sng" w14:algn="ctr">
                  <w14:noFill/>
                  <w14:prstDash w14:val="solid"/>
                  <w14:bevel/>
                </w14:textOutline>
              </w:rPr>
              <w:t>11.12.24</w:t>
            </w:r>
          </w:p>
        </w:tc>
      </w:tr>
    </w:tbl>
    <w:p w14:paraId="3B9C43D3" w14:textId="77777777" w:rsidR="00691F51" w:rsidRDefault="00691F51">
      <w:pPr>
        <w:pStyle w:val="Body"/>
        <w:widowControl w:val="0"/>
        <w:spacing w:line="240" w:lineRule="auto"/>
      </w:pPr>
    </w:p>
    <w:p w14:paraId="74E2C2E7" w14:textId="77777777" w:rsidR="00691F51" w:rsidRDefault="00691F51">
      <w:pPr>
        <w:pStyle w:val="Body"/>
      </w:pPr>
    </w:p>
    <w:p w14:paraId="3A5BFC2C" w14:textId="77777777" w:rsidR="00691F51" w:rsidRDefault="00691F51">
      <w:pPr>
        <w:pStyle w:val="Body"/>
      </w:pPr>
    </w:p>
    <w:p w14:paraId="75E5FF52" w14:textId="77777777" w:rsidR="00691F51" w:rsidRDefault="00691F51">
      <w:pPr>
        <w:pStyle w:val="Body"/>
      </w:pPr>
    </w:p>
    <w:p w14:paraId="1380D6BE" w14:textId="77777777" w:rsidR="00691F51" w:rsidRDefault="00691F51">
      <w:pPr>
        <w:pStyle w:val="Body"/>
      </w:pPr>
    </w:p>
    <w:p w14:paraId="50BAE481" w14:textId="77777777" w:rsidR="00691F51" w:rsidRDefault="00691F51">
      <w:pPr>
        <w:pStyle w:val="Body"/>
      </w:pPr>
    </w:p>
    <w:p w14:paraId="2CDD0C85" w14:textId="77777777" w:rsidR="00691F51" w:rsidRDefault="00691F51">
      <w:pPr>
        <w:pStyle w:val="Body"/>
      </w:pPr>
    </w:p>
    <w:p w14:paraId="3736141F" w14:textId="77777777" w:rsidR="00691F51" w:rsidRDefault="00691F51">
      <w:pPr>
        <w:pStyle w:val="Body"/>
      </w:pPr>
    </w:p>
    <w:p w14:paraId="30AEBFE1" w14:textId="77777777" w:rsidR="00691F51" w:rsidRDefault="00691F51">
      <w:pPr>
        <w:pStyle w:val="Body"/>
      </w:pPr>
    </w:p>
    <w:p w14:paraId="3B03F3AE" w14:textId="77777777" w:rsidR="00691F51" w:rsidRDefault="00BA4BB5">
      <w:pPr>
        <w:pStyle w:val="Body"/>
        <w:spacing w:line="240" w:lineRule="auto"/>
      </w:pPr>
      <w:r>
        <w:rPr>
          <w:rFonts w:ascii="Arial Unicode MS" w:eastAsia="Arial Unicode MS" w:hAnsi="Arial Unicode MS" w:cs="Arial Unicode MS"/>
        </w:rPr>
        <w:br w:type="page"/>
      </w:r>
    </w:p>
    <w:p w14:paraId="21A824FE" w14:textId="77777777" w:rsidR="00691F51" w:rsidRDefault="00691F51">
      <w:pPr>
        <w:pStyle w:val="Body"/>
      </w:pPr>
    </w:p>
    <w:p w14:paraId="4A9FE264" w14:textId="77777777" w:rsidR="00691F51" w:rsidRDefault="00BA4BB5">
      <w:pPr>
        <w:pStyle w:val="Nornal"/>
        <w:ind w:right="1977"/>
        <w:rPr>
          <w:rFonts w:ascii="Segoe UI" w:eastAsia="Segoe UI" w:hAnsi="Segoe UI" w:cs="Segoe UI"/>
          <w:color w:val="00616A"/>
          <w:sz w:val="52"/>
          <w:szCs w:val="52"/>
          <w:u w:color="00616A"/>
        </w:rPr>
      </w:pPr>
      <w:r>
        <w:rPr>
          <w:noProof/>
          <w:color w:val="00616A"/>
          <w:sz w:val="48"/>
          <w:szCs w:val="48"/>
          <w:u w:color="00616A"/>
        </w:rPr>
        <w:drawing>
          <wp:anchor distT="57150" distB="57150" distL="57150" distR="57150" simplePos="0" relativeHeight="251659264" behindDoc="0" locked="0" layoutInCell="1" allowOverlap="1" wp14:anchorId="46832BC3" wp14:editId="3132A4CB">
            <wp:simplePos x="0" y="0"/>
            <wp:positionH relativeFrom="column">
              <wp:posOffset>5114925</wp:posOffset>
            </wp:positionH>
            <wp:positionV relativeFrom="line">
              <wp:posOffset>288925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63"/>
                    <a:stretch>
                      <a:fillRect/>
                    </a:stretch>
                  </pic:blipFill>
                  <pic:spPr>
                    <a:xfrm>
                      <a:off x="0" y="0"/>
                      <a:ext cx="1120140" cy="1120140"/>
                    </a:xfrm>
                    <a:prstGeom prst="rect">
                      <a:avLst/>
                    </a:prstGeom>
                    <a:ln w="12700" cap="flat">
                      <a:noFill/>
                      <a:miter lim="400000"/>
                    </a:ln>
                    <a:effectLst/>
                  </pic:spPr>
                </pic:pic>
              </a:graphicData>
            </a:graphic>
          </wp:anchor>
        </w:drawing>
      </w:r>
      <w:r>
        <w:rPr>
          <w:color w:val="00616A"/>
          <w:sz w:val="52"/>
          <w:szCs w:val="52"/>
          <w:u w:color="00616A"/>
        </w:rPr>
        <w:t xml:space="preserve">5OS01 </w:t>
      </w:r>
    </w:p>
    <w:p w14:paraId="72BCE00E" w14:textId="77777777" w:rsidR="00691F51" w:rsidRDefault="00BA4BB5">
      <w:pPr>
        <w:pStyle w:val="Nornal"/>
        <w:spacing w:after="1080"/>
        <w:ind w:right="1977"/>
        <w:rPr>
          <w:color w:val="00616A"/>
          <w:sz w:val="52"/>
          <w:szCs w:val="52"/>
          <w:u w:color="00616A"/>
        </w:rPr>
      </w:pPr>
      <w:r>
        <w:rPr>
          <w:color w:val="00616A"/>
          <w:sz w:val="52"/>
          <w:szCs w:val="52"/>
          <w:u w:color="00616A"/>
        </w:rPr>
        <w:t>Specialist employment law</w:t>
      </w:r>
    </w:p>
    <w:p w14:paraId="52EC6F19" w14:textId="77777777" w:rsidR="00691F51" w:rsidRDefault="00BA4BB5">
      <w:pPr>
        <w:pStyle w:val="Heading"/>
        <w:rPr>
          <w:sz w:val="40"/>
          <w:szCs w:val="40"/>
        </w:rPr>
      </w:pPr>
      <w:r>
        <w:rPr>
          <w:sz w:val="40"/>
          <w:szCs w:val="40"/>
          <w:lang w:val="en-US"/>
        </w:rPr>
        <w:t>Assessment Criteria marking descriptors.</w:t>
      </w:r>
    </w:p>
    <w:p w14:paraId="536EEF38" w14:textId="77777777" w:rsidR="00691F51" w:rsidRDefault="00BA4BB5">
      <w:pPr>
        <w:pStyle w:val="Nornal"/>
      </w:pPr>
      <w:r>
        <w:rPr>
          <w:rFonts w:eastAsia="Arial Unicode MS" w:cs="Arial Unicode MS"/>
        </w:rPr>
        <w:t xml:space="preserve">Assessors will mark in line with the following assessment criteria (AC) marking descriptors, and will indicate where the learner sits within the marking band range </w:t>
      </w:r>
      <w:r>
        <w:rPr>
          <w:rFonts w:eastAsia="Arial Unicode MS" w:cs="Arial Unicode MS"/>
          <w:b/>
          <w:bCs/>
          <w:i/>
          <w:iCs/>
          <w:color w:val="004147"/>
          <w:u w:color="004147"/>
        </w:rPr>
        <w:t>for each AC</w:t>
      </w:r>
      <w:r>
        <w:rPr>
          <w:rFonts w:eastAsia="Arial Unicode MS" w:cs="Arial Unicode MS"/>
          <w:color w:val="004147"/>
          <w:u w:color="004147"/>
        </w:rPr>
        <w:t xml:space="preserve">. </w:t>
      </w:r>
    </w:p>
    <w:p w14:paraId="61DC08B7" w14:textId="77777777" w:rsidR="00691F51" w:rsidRDefault="00BA4BB5">
      <w:pPr>
        <w:pStyle w:val="Nornal"/>
      </w:pPr>
      <w:r>
        <w:rPr>
          <w:rFonts w:eastAsia="Arial Unicode MS" w:cs="Arial Unicode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eastAsia="Arial Unicode MS" w:cs="Arial Unicode MS"/>
          <w:b/>
          <w:bCs/>
        </w:rPr>
        <w:t>every</w:t>
      </w:r>
      <w:r>
        <w:rPr>
          <w:rFonts w:eastAsia="Arial Unicode MS" w:cs="Arial Unicode MS"/>
        </w:rPr>
        <w:t xml:space="preserve"> assessment criterion, so assessors must use their discretion in making grading decisions.</w:t>
      </w:r>
    </w:p>
    <w:p w14:paraId="5147385C" w14:textId="77777777" w:rsidR="00691F51" w:rsidRDefault="00BA4BB5">
      <w:pPr>
        <w:pStyle w:val="Nornal"/>
      </w:pPr>
      <w:r>
        <w:rPr>
          <w:rFonts w:eastAsia="Arial Unicode MS" w:cs="Arial Unicode MS"/>
        </w:rPr>
        <w:t xml:space="preserve">The grid below shows the range for each unit assessment result based on total number of marks awarded across all assessment criteria.  </w:t>
      </w:r>
    </w:p>
    <w:p w14:paraId="344A0022" w14:textId="77777777" w:rsidR="00691F51" w:rsidRDefault="00BA4BB5">
      <w:pPr>
        <w:pStyle w:val="Nornal"/>
        <w:rPr>
          <w:b/>
          <w:bCs/>
          <w:u w:val="single"/>
        </w:rPr>
      </w:pPr>
      <w:r>
        <w:rPr>
          <w:rFonts w:eastAsia="Arial Unicode MS" w:cs="Arial Unicode MS"/>
          <w:b/>
          <w:bCs/>
        </w:rPr>
        <w:t xml:space="preserve">To pass the unit assessment learners must achieve a 2 (Low Pass) or above </w:t>
      </w:r>
      <w:r>
        <w:rPr>
          <w:rFonts w:eastAsia="Arial Unicode MS" w:cs="Arial Unicode MS"/>
          <w:b/>
          <w:bCs/>
          <w:u w:val="single"/>
        </w:rPr>
        <w:t>for each of the assessment criteria.</w:t>
      </w:r>
    </w:p>
    <w:p w14:paraId="15F3E29C" w14:textId="77777777" w:rsidR="00691F51" w:rsidRDefault="00BA4BB5">
      <w:pPr>
        <w:pStyle w:val="Nornal"/>
      </w:pPr>
      <w:r>
        <w:rPr>
          <w:rFonts w:eastAsia="Arial Unicode MS" w:cs="Arial Unicode MS"/>
        </w:rPr>
        <w:t xml:space="preserve">The overall result achieved will dictate the outcome the learner receives for the unit, provided </w:t>
      </w:r>
      <w:r>
        <w:rPr>
          <w:rFonts w:eastAsia="Arial Unicode MS" w:cs="Arial Unicode MS"/>
          <w:b/>
          <w:bCs/>
        </w:rPr>
        <w:t>NONE</w:t>
      </w:r>
      <w:r>
        <w:rPr>
          <w:rFonts w:eastAsia="Arial Unicode MS" w:cs="Arial Unicode MS"/>
        </w:rPr>
        <w:t xml:space="preserve"> of the assessment criteria have been failed or referred. </w:t>
      </w:r>
    </w:p>
    <w:p w14:paraId="48492E5F" w14:textId="77777777" w:rsidR="00691F51" w:rsidRDefault="00BA4BB5">
      <w:pPr>
        <w:pStyle w:val="Nornal"/>
      </w:pPr>
      <w:r>
        <w:rPr>
          <w:rFonts w:eastAsia="Arial Unicode MS" w:cs="Arial Unicode MS"/>
        </w:rPr>
        <w:t xml:space="preserve">Please note that learners will receive a </w:t>
      </w:r>
      <w:r>
        <w:rPr>
          <w:rFonts w:eastAsia="Arial Unicode MS" w:cs="Arial Unicode MS"/>
          <w:b/>
          <w:bCs/>
        </w:rPr>
        <w:t>Pass or Fail</w:t>
      </w:r>
      <w:r>
        <w:rPr>
          <w:rFonts w:eastAsia="Arial Unicode MS" w:cs="Arial Unicode MS"/>
        </w:rPr>
        <w:t xml:space="preserve"> result from the CIPD at unit level. </w:t>
      </w:r>
      <w:r>
        <w:rPr>
          <w:rFonts w:eastAsia="Arial Unicode MS" w:cs="Arial Unicode MS"/>
          <w:b/>
          <w:bCs/>
        </w:rPr>
        <w:t xml:space="preserve">Referral </w:t>
      </w:r>
      <w:r>
        <w:rPr>
          <w:rFonts w:eastAsia="Arial Unicode MS" w:cs="Arial Unicode MS"/>
        </w:rPr>
        <w:t>grades can be used internally by the centre.</w:t>
      </w:r>
    </w:p>
    <w:p w14:paraId="3A84D917" w14:textId="77777777" w:rsidR="00691F51" w:rsidRDefault="00691F51">
      <w:pPr>
        <w:pStyle w:val="Body"/>
        <w:rPr>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691F51" w14:paraId="1146CBD5" w14:textId="77777777">
        <w:trPr>
          <w:trHeight w:val="243"/>
        </w:trPr>
        <w:tc>
          <w:tcPr>
            <w:tcW w:w="3005" w:type="dxa"/>
            <w:tcBorders>
              <w:top w:val="single" w:sz="4" w:space="0" w:color="BFBFBF"/>
              <w:left w:val="single" w:sz="4" w:space="0" w:color="BFBFBF"/>
              <w:bottom w:val="single" w:sz="4" w:space="0" w:color="BFBFBF"/>
              <w:right w:val="single" w:sz="4" w:space="0" w:color="BFBFBF"/>
            </w:tcBorders>
            <w:shd w:val="clear" w:color="auto" w:fill="DDCCE6"/>
            <w:tcMar>
              <w:top w:w="80" w:type="dxa"/>
              <w:left w:w="80" w:type="dxa"/>
              <w:bottom w:w="80" w:type="dxa"/>
              <w:right w:w="80" w:type="dxa"/>
            </w:tcMar>
            <w:vAlign w:val="center"/>
          </w:tcPr>
          <w:p w14:paraId="15891462" w14:textId="77777777" w:rsidR="00691F51" w:rsidRDefault="00BA4BB5">
            <w:pPr>
              <w:pStyle w:val="Nornal"/>
              <w:spacing w:after="60" w:line="276" w:lineRule="auto"/>
            </w:pPr>
            <w:r>
              <w:rPr>
                <w:b/>
                <w:bCs/>
              </w:rPr>
              <w:t>Overall mark</w:t>
            </w:r>
          </w:p>
        </w:tc>
        <w:tc>
          <w:tcPr>
            <w:tcW w:w="3005" w:type="dxa"/>
            <w:tcBorders>
              <w:top w:val="single" w:sz="4" w:space="0" w:color="BFBFBF"/>
              <w:left w:val="single" w:sz="4" w:space="0" w:color="BFBFBF"/>
              <w:bottom w:val="single" w:sz="4" w:space="0" w:color="BFBFBF"/>
              <w:right w:val="single" w:sz="4" w:space="0" w:color="BFBFBF"/>
            </w:tcBorders>
            <w:shd w:val="clear" w:color="auto" w:fill="DDCCE6"/>
            <w:tcMar>
              <w:top w:w="80" w:type="dxa"/>
              <w:left w:w="80" w:type="dxa"/>
              <w:bottom w:w="80" w:type="dxa"/>
              <w:right w:w="80" w:type="dxa"/>
            </w:tcMar>
            <w:vAlign w:val="center"/>
          </w:tcPr>
          <w:p w14:paraId="46DFC2F3" w14:textId="77777777" w:rsidR="00691F51" w:rsidRDefault="00BA4BB5">
            <w:pPr>
              <w:pStyle w:val="Nornal"/>
              <w:spacing w:after="60" w:line="276" w:lineRule="auto"/>
            </w:pPr>
            <w:r>
              <w:rPr>
                <w:b/>
                <w:bCs/>
              </w:rPr>
              <w:t>Unit result</w:t>
            </w:r>
          </w:p>
        </w:tc>
      </w:tr>
      <w:tr w:rsidR="00691F51" w14:paraId="675DB74A"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B3D7DB"/>
            <w:tcMar>
              <w:top w:w="80" w:type="dxa"/>
              <w:left w:w="80" w:type="dxa"/>
              <w:bottom w:w="80" w:type="dxa"/>
              <w:right w:w="80" w:type="dxa"/>
            </w:tcMar>
            <w:vAlign w:val="center"/>
          </w:tcPr>
          <w:p w14:paraId="64065EE7" w14:textId="77777777" w:rsidR="00691F51" w:rsidRDefault="00BA4BB5">
            <w:pPr>
              <w:pStyle w:val="Nornal"/>
              <w:spacing w:after="60" w:line="276" w:lineRule="auto"/>
            </w:pPr>
            <w:r>
              <w:rPr>
                <w:b/>
                <w:bCs/>
              </w:rPr>
              <w:t>0 to 21</w:t>
            </w:r>
          </w:p>
        </w:tc>
        <w:tc>
          <w:tcPr>
            <w:tcW w:w="3005" w:type="dxa"/>
            <w:tcBorders>
              <w:top w:val="single" w:sz="4" w:space="0" w:color="BFBFBF"/>
              <w:left w:val="single" w:sz="4" w:space="0" w:color="BFBFBF"/>
              <w:bottom w:val="single" w:sz="4" w:space="0" w:color="BFBFBF"/>
              <w:right w:val="single" w:sz="4" w:space="0" w:color="BFBFBF"/>
            </w:tcBorders>
            <w:shd w:val="clear" w:color="auto" w:fill="B3D7DB"/>
            <w:tcMar>
              <w:top w:w="80" w:type="dxa"/>
              <w:left w:w="80" w:type="dxa"/>
              <w:bottom w:w="80" w:type="dxa"/>
              <w:right w:w="80" w:type="dxa"/>
            </w:tcMar>
            <w:vAlign w:val="center"/>
          </w:tcPr>
          <w:p w14:paraId="6373AA6B" w14:textId="77777777" w:rsidR="00691F51" w:rsidRDefault="00BA4BB5">
            <w:pPr>
              <w:pStyle w:val="Nornal"/>
              <w:spacing w:after="60" w:line="276" w:lineRule="auto"/>
            </w:pPr>
            <w:r>
              <w:rPr>
                <w:b/>
                <w:bCs/>
              </w:rPr>
              <w:t>Fail</w:t>
            </w:r>
          </w:p>
        </w:tc>
      </w:tr>
      <w:tr w:rsidR="00691F51" w14:paraId="7F9F5570"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CEE6E8"/>
            <w:tcMar>
              <w:top w:w="80" w:type="dxa"/>
              <w:left w:w="80" w:type="dxa"/>
              <w:bottom w:w="80" w:type="dxa"/>
              <w:right w:w="80" w:type="dxa"/>
            </w:tcMar>
            <w:vAlign w:val="center"/>
          </w:tcPr>
          <w:p w14:paraId="114D8BB8" w14:textId="77777777" w:rsidR="00691F51" w:rsidRDefault="00BA4BB5">
            <w:pPr>
              <w:pStyle w:val="Nornal"/>
              <w:spacing w:after="60" w:line="276" w:lineRule="auto"/>
            </w:pPr>
            <w:r>
              <w:rPr>
                <w:b/>
                <w:bCs/>
              </w:rPr>
              <w:t>22 to 28</w:t>
            </w:r>
          </w:p>
        </w:tc>
        <w:tc>
          <w:tcPr>
            <w:tcW w:w="3005" w:type="dxa"/>
            <w:tcBorders>
              <w:top w:val="single" w:sz="4" w:space="0" w:color="BFBFBF"/>
              <w:left w:val="single" w:sz="4" w:space="0" w:color="BFBFBF"/>
              <w:bottom w:val="single" w:sz="4" w:space="0" w:color="BFBFBF"/>
              <w:right w:val="single" w:sz="4" w:space="0" w:color="BFBFBF"/>
            </w:tcBorders>
            <w:shd w:val="clear" w:color="auto" w:fill="CEE6E8"/>
            <w:tcMar>
              <w:top w:w="80" w:type="dxa"/>
              <w:left w:w="80" w:type="dxa"/>
              <w:bottom w:w="80" w:type="dxa"/>
              <w:right w:w="80" w:type="dxa"/>
            </w:tcMar>
            <w:vAlign w:val="center"/>
          </w:tcPr>
          <w:p w14:paraId="66F5D2A8" w14:textId="77777777" w:rsidR="00691F51" w:rsidRDefault="00BA4BB5">
            <w:pPr>
              <w:pStyle w:val="Nornal"/>
              <w:spacing w:after="60" w:line="276" w:lineRule="auto"/>
            </w:pPr>
            <w:r>
              <w:rPr>
                <w:b/>
                <w:bCs/>
              </w:rPr>
              <w:t>Low Pass</w:t>
            </w:r>
          </w:p>
        </w:tc>
      </w:tr>
      <w:tr w:rsidR="00691F51" w14:paraId="30770432"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E3EFF1"/>
            <w:tcMar>
              <w:top w:w="80" w:type="dxa"/>
              <w:left w:w="80" w:type="dxa"/>
              <w:bottom w:w="80" w:type="dxa"/>
              <w:right w:w="80" w:type="dxa"/>
            </w:tcMar>
            <w:vAlign w:val="center"/>
          </w:tcPr>
          <w:p w14:paraId="1E9DA4CC" w14:textId="77777777" w:rsidR="00691F51" w:rsidRDefault="00BA4BB5">
            <w:pPr>
              <w:pStyle w:val="Nornal"/>
              <w:spacing w:after="60" w:line="276" w:lineRule="auto"/>
            </w:pPr>
            <w:r>
              <w:rPr>
                <w:b/>
                <w:bCs/>
              </w:rPr>
              <w:t>29 to 35</w:t>
            </w:r>
          </w:p>
        </w:tc>
        <w:tc>
          <w:tcPr>
            <w:tcW w:w="3005" w:type="dxa"/>
            <w:tcBorders>
              <w:top w:val="single" w:sz="4" w:space="0" w:color="BFBFBF"/>
              <w:left w:val="single" w:sz="4" w:space="0" w:color="BFBFBF"/>
              <w:bottom w:val="single" w:sz="4" w:space="0" w:color="BFBFBF"/>
              <w:right w:val="single" w:sz="4" w:space="0" w:color="BFBFBF"/>
            </w:tcBorders>
            <w:shd w:val="clear" w:color="auto" w:fill="E3EFF1"/>
            <w:tcMar>
              <w:top w:w="80" w:type="dxa"/>
              <w:left w:w="80" w:type="dxa"/>
              <w:bottom w:w="80" w:type="dxa"/>
              <w:right w:w="80" w:type="dxa"/>
            </w:tcMar>
            <w:vAlign w:val="center"/>
          </w:tcPr>
          <w:p w14:paraId="20C7EA5F" w14:textId="77777777" w:rsidR="00691F51" w:rsidRDefault="00BA4BB5">
            <w:pPr>
              <w:pStyle w:val="Nornal"/>
              <w:spacing w:after="60" w:line="276" w:lineRule="auto"/>
            </w:pPr>
            <w:r>
              <w:rPr>
                <w:b/>
                <w:bCs/>
              </w:rPr>
              <w:t>Pass</w:t>
            </w:r>
          </w:p>
        </w:tc>
      </w:tr>
      <w:tr w:rsidR="00691F51" w14:paraId="2684BED1" w14:textId="77777777">
        <w:trPr>
          <w:trHeight w:val="243"/>
        </w:trPr>
        <w:tc>
          <w:tcPr>
            <w:tcW w:w="3005" w:type="dxa"/>
            <w:tcBorders>
              <w:top w:val="single" w:sz="4" w:space="0" w:color="BFBFBF"/>
              <w:left w:val="single" w:sz="4" w:space="0" w:color="BFBFBF"/>
              <w:bottom w:val="single" w:sz="4" w:space="0" w:color="BFBFBF"/>
              <w:right w:val="single" w:sz="4" w:space="0" w:color="BFBFBF"/>
            </w:tcBorders>
            <w:shd w:val="clear" w:color="auto" w:fill="EFF6F7"/>
            <w:tcMar>
              <w:top w:w="80" w:type="dxa"/>
              <w:left w:w="80" w:type="dxa"/>
              <w:bottom w:w="80" w:type="dxa"/>
              <w:right w:w="80" w:type="dxa"/>
            </w:tcMar>
            <w:vAlign w:val="center"/>
          </w:tcPr>
          <w:p w14:paraId="60E8C927" w14:textId="77777777" w:rsidR="00691F51" w:rsidRDefault="00BA4BB5">
            <w:pPr>
              <w:pStyle w:val="Nornal"/>
              <w:spacing w:after="60" w:line="276" w:lineRule="auto"/>
            </w:pPr>
            <w:r>
              <w:rPr>
                <w:b/>
                <w:bCs/>
              </w:rPr>
              <w:t xml:space="preserve">36 to </w:t>
            </w:r>
            <w:r>
              <w:rPr>
                <w:b/>
                <w:bCs/>
              </w:rPr>
              <w:t>44</w:t>
            </w:r>
          </w:p>
        </w:tc>
        <w:tc>
          <w:tcPr>
            <w:tcW w:w="3005" w:type="dxa"/>
            <w:tcBorders>
              <w:top w:val="single" w:sz="4" w:space="0" w:color="BFBFBF"/>
              <w:left w:val="single" w:sz="4" w:space="0" w:color="BFBFBF"/>
              <w:bottom w:val="single" w:sz="4" w:space="0" w:color="BFBFBF"/>
              <w:right w:val="single" w:sz="4" w:space="0" w:color="BFBFBF"/>
            </w:tcBorders>
            <w:shd w:val="clear" w:color="auto" w:fill="EFF6F7"/>
            <w:tcMar>
              <w:top w:w="80" w:type="dxa"/>
              <w:left w:w="80" w:type="dxa"/>
              <w:bottom w:w="80" w:type="dxa"/>
              <w:right w:w="80" w:type="dxa"/>
            </w:tcMar>
            <w:vAlign w:val="center"/>
          </w:tcPr>
          <w:p w14:paraId="5D79D8F3" w14:textId="77777777" w:rsidR="00691F51" w:rsidRDefault="00BA4BB5">
            <w:pPr>
              <w:pStyle w:val="Nornal"/>
              <w:spacing w:after="60" w:line="276" w:lineRule="auto"/>
            </w:pPr>
            <w:r>
              <w:rPr>
                <w:b/>
                <w:bCs/>
              </w:rPr>
              <w:t>High Pass</w:t>
            </w:r>
          </w:p>
        </w:tc>
      </w:tr>
    </w:tbl>
    <w:p w14:paraId="4D9917EA" w14:textId="77777777" w:rsidR="00691F51" w:rsidRDefault="00BA4BB5">
      <w:pPr>
        <w:pStyle w:val="Body"/>
      </w:pPr>
      <w:r>
        <w:rPr>
          <w:rFonts w:ascii="Arial Unicode MS" w:eastAsia="Arial Unicode MS" w:hAnsi="Arial Unicode MS" w:cs="Arial Unicode MS"/>
          <w:sz w:val="36"/>
          <w:szCs w:val="36"/>
        </w:rPr>
        <w:br w:type="page"/>
      </w:r>
    </w:p>
    <w:p w14:paraId="05374A7F" w14:textId="77777777" w:rsidR="00691F51" w:rsidRDefault="00BA4BB5">
      <w:pPr>
        <w:pStyle w:val="Heading"/>
        <w:rPr>
          <w:i w:val="0"/>
          <w:iCs w:val="0"/>
          <w:color w:val="243E15"/>
          <w:u w:color="243E15"/>
        </w:rPr>
      </w:pPr>
      <w:r>
        <w:rPr>
          <w:sz w:val="40"/>
          <w:szCs w:val="40"/>
          <w:lang w:val="en-US"/>
        </w:rPr>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691F51" w14:paraId="3A22CCBD" w14:textId="77777777">
        <w:trPr>
          <w:trHeight w:val="360"/>
          <w:tblHeader/>
        </w:trPr>
        <w:tc>
          <w:tcPr>
            <w:tcW w:w="964" w:type="dxa"/>
            <w:tcBorders>
              <w:top w:val="single" w:sz="4" w:space="0" w:color="004147"/>
              <w:left w:val="single" w:sz="4" w:space="0" w:color="004147"/>
              <w:bottom w:val="single" w:sz="4" w:space="0" w:color="004147"/>
              <w:right w:val="single" w:sz="4" w:space="0" w:color="B3D7DB"/>
            </w:tcBorders>
            <w:shd w:val="clear" w:color="auto" w:fill="B3D7DB"/>
            <w:tcMar>
              <w:top w:w="80" w:type="dxa"/>
              <w:left w:w="80" w:type="dxa"/>
              <w:bottom w:w="80" w:type="dxa"/>
              <w:right w:w="80" w:type="dxa"/>
            </w:tcMar>
          </w:tcPr>
          <w:p w14:paraId="35319F7D" w14:textId="77777777" w:rsidR="00691F51" w:rsidRDefault="00BA4BB5">
            <w:pPr>
              <w:pStyle w:val="Body"/>
              <w:jc w:val="both"/>
            </w:pPr>
            <w:r>
              <w:rPr>
                <w:b/>
                <w:bCs/>
                <w:color w:val="004147"/>
                <w:sz w:val="32"/>
                <w:szCs w:val="32"/>
                <w:u w:color="004147"/>
                <w:lang w:val="en-US"/>
              </w:rPr>
              <w:t>Mark</w:t>
            </w:r>
          </w:p>
        </w:tc>
        <w:tc>
          <w:tcPr>
            <w:tcW w:w="1590" w:type="dxa"/>
            <w:tcBorders>
              <w:top w:val="single" w:sz="4" w:space="0" w:color="004147"/>
              <w:left w:val="single" w:sz="4" w:space="0" w:color="B3D7DB"/>
              <w:bottom w:val="single" w:sz="4" w:space="0" w:color="004147"/>
              <w:right w:val="single" w:sz="4" w:space="0" w:color="85BFC5"/>
            </w:tcBorders>
            <w:shd w:val="clear" w:color="auto" w:fill="B3D7DB"/>
            <w:tcMar>
              <w:top w:w="80" w:type="dxa"/>
              <w:left w:w="80" w:type="dxa"/>
              <w:bottom w:w="80" w:type="dxa"/>
              <w:right w:w="80" w:type="dxa"/>
            </w:tcMar>
          </w:tcPr>
          <w:p w14:paraId="4BC03E79" w14:textId="77777777" w:rsidR="00691F51" w:rsidRDefault="00BA4BB5">
            <w:pPr>
              <w:pStyle w:val="Body"/>
              <w:jc w:val="both"/>
            </w:pPr>
            <w:r>
              <w:rPr>
                <w:b/>
                <w:bCs/>
                <w:color w:val="004147"/>
                <w:sz w:val="32"/>
                <w:szCs w:val="32"/>
                <w:u w:color="004147"/>
                <w:lang w:val="en-US"/>
              </w:rPr>
              <w:t>Range</w:t>
            </w:r>
          </w:p>
        </w:tc>
        <w:tc>
          <w:tcPr>
            <w:tcW w:w="7066" w:type="dxa"/>
            <w:tcBorders>
              <w:top w:val="single" w:sz="4" w:space="0" w:color="004147"/>
              <w:left w:val="single" w:sz="4" w:space="0" w:color="85BFC5"/>
              <w:bottom w:val="single" w:sz="4" w:space="0" w:color="004147"/>
              <w:right w:val="single" w:sz="4" w:space="0" w:color="004147"/>
            </w:tcBorders>
            <w:shd w:val="clear" w:color="auto" w:fill="B3D7DB"/>
            <w:tcMar>
              <w:top w:w="80" w:type="dxa"/>
              <w:left w:w="80" w:type="dxa"/>
              <w:bottom w:w="80" w:type="dxa"/>
              <w:right w:w="80" w:type="dxa"/>
            </w:tcMar>
          </w:tcPr>
          <w:p w14:paraId="29298D69" w14:textId="77777777" w:rsidR="00691F51" w:rsidRDefault="00BA4BB5">
            <w:pPr>
              <w:pStyle w:val="Body"/>
              <w:jc w:val="both"/>
            </w:pPr>
            <w:r>
              <w:rPr>
                <w:b/>
                <w:bCs/>
                <w:color w:val="004147"/>
                <w:sz w:val="32"/>
                <w:szCs w:val="32"/>
                <w:u w:color="004147"/>
                <w:lang w:val="en-US"/>
              </w:rPr>
              <w:t>Descriptor</w:t>
            </w:r>
          </w:p>
        </w:tc>
      </w:tr>
      <w:tr w:rsidR="00691F51" w14:paraId="6AD4A875" w14:textId="77777777">
        <w:trPr>
          <w:trHeight w:val="1913"/>
          <w:tblHeader/>
        </w:trPr>
        <w:tc>
          <w:tcPr>
            <w:tcW w:w="964" w:type="dxa"/>
            <w:tcBorders>
              <w:top w:val="single" w:sz="4" w:space="0" w:color="004147"/>
              <w:left w:val="single" w:sz="4" w:space="0" w:color="004147"/>
              <w:bottom w:val="single" w:sz="4" w:space="0" w:color="004147"/>
              <w:right w:val="single" w:sz="4" w:space="0" w:color="B3D7DB"/>
            </w:tcBorders>
            <w:shd w:val="clear" w:color="auto" w:fill="B3D7DB"/>
            <w:tcMar>
              <w:top w:w="80" w:type="dxa"/>
              <w:left w:w="80" w:type="dxa"/>
              <w:bottom w:w="80" w:type="dxa"/>
              <w:right w:w="80" w:type="dxa"/>
            </w:tcMar>
          </w:tcPr>
          <w:p w14:paraId="64152F19" w14:textId="77777777" w:rsidR="00691F51" w:rsidRDefault="00BA4BB5">
            <w:pPr>
              <w:pStyle w:val="Body"/>
              <w:jc w:val="both"/>
            </w:pPr>
            <w:r>
              <w:rPr>
                <w:b/>
                <w:bCs/>
                <w:color w:val="004147"/>
                <w:sz w:val="32"/>
                <w:szCs w:val="32"/>
                <w:u w:color="004147"/>
                <w:lang w:val="en-US"/>
              </w:rPr>
              <w:t>1</w:t>
            </w:r>
          </w:p>
        </w:tc>
        <w:tc>
          <w:tcPr>
            <w:tcW w:w="1590" w:type="dxa"/>
            <w:tcBorders>
              <w:top w:val="single" w:sz="4" w:space="0" w:color="004147"/>
              <w:left w:val="single" w:sz="4" w:space="0" w:color="B3D7DB"/>
              <w:bottom w:val="single" w:sz="4" w:space="0" w:color="004147"/>
              <w:right w:val="single" w:sz="4" w:space="0" w:color="85BFC5"/>
            </w:tcBorders>
            <w:shd w:val="clear" w:color="auto" w:fill="B3D7DB"/>
            <w:tcMar>
              <w:top w:w="80" w:type="dxa"/>
              <w:left w:w="80" w:type="dxa"/>
              <w:bottom w:w="80" w:type="dxa"/>
              <w:right w:w="80" w:type="dxa"/>
            </w:tcMar>
          </w:tcPr>
          <w:p w14:paraId="1BBCB404" w14:textId="77777777" w:rsidR="00691F51" w:rsidRDefault="00BA4BB5">
            <w:pPr>
              <w:pStyle w:val="Body"/>
              <w:jc w:val="both"/>
            </w:pPr>
            <w:r>
              <w:rPr>
                <w:b/>
                <w:bCs/>
                <w:color w:val="004147"/>
                <w:sz w:val="28"/>
                <w:szCs w:val="28"/>
                <w:u w:color="004147"/>
                <w:lang w:val="en-US"/>
              </w:rPr>
              <w:t xml:space="preserve"> Fail </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3152C071" w14:textId="77777777" w:rsidR="00691F51" w:rsidRDefault="00BA4BB5">
            <w:pPr>
              <w:pStyle w:val="Body"/>
              <w:spacing w:after="40"/>
            </w:pPr>
            <w:r>
              <w:rPr>
                <w:lang w:val="en-US"/>
              </w:rPr>
              <w:t>Insufficient demonstration of knowledge, understanding or skills (as appropriate) required to meet the AC.</w:t>
            </w:r>
          </w:p>
          <w:p w14:paraId="4EAD715D" w14:textId="77777777" w:rsidR="00691F51" w:rsidRDefault="00BA4BB5">
            <w:pPr>
              <w:pStyle w:val="Body"/>
              <w:spacing w:after="40"/>
            </w:pPr>
            <w:r>
              <w:rPr>
                <w:lang w:val="en-US"/>
              </w:rPr>
              <w:t>Insufficient examples included, where required, to support answers.</w:t>
            </w:r>
          </w:p>
          <w:p w14:paraId="6EE2CD1B" w14:textId="77777777" w:rsidR="00691F51" w:rsidRDefault="00BA4BB5">
            <w:pPr>
              <w:pStyle w:val="Body"/>
              <w:spacing w:after="40"/>
            </w:pPr>
            <w:r>
              <w:rPr>
                <w:lang w:val="en-US"/>
              </w:rPr>
              <w:t>Presentation and structure of assignment is not appropriate and does not meet the assessment brief.</w:t>
            </w:r>
          </w:p>
          <w:p w14:paraId="0DE37A3A" w14:textId="77777777" w:rsidR="00691F51" w:rsidRDefault="00BA4BB5">
            <w:pPr>
              <w:pStyle w:val="Body"/>
              <w:spacing w:after="40"/>
            </w:pPr>
            <w:r>
              <w:rPr>
                <w:lang w:val="en-US"/>
              </w:rPr>
              <w:t>Insufficient or no evidence of the use of references to wider reading to help inform answer.</w:t>
            </w:r>
          </w:p>
        </w:tc>
      </w:tr>
      <w:tr w:rsidR="00691F51" w14:paraId="5CDAB3B2" w14:textId="77777777">
        <w:trPr>
          <w:trHeight w:val="2729"/>
          <w:tblHeader/>
        </w:trPr>
        <w:tc>
          <w:tcPr>
            <w:tcW w:w="964" w:type="dxa"/>
            <w:tcBorders>
              <w:top w:val="single" w:sz="4" w:space="0" w:color="004147"/>
              <w:left w:val="single" w:sz="4" w:space="0" w:color="004147"/>
              <w:bottom w:val="single" w:sz="4" w:space="0" w:color="004147"/>
              <w:right w:val="single" w:sz="4" w:space="0" w:color="B3D7DB"/>
            </w:tcBorders>
            <w:shd w:val="clear" w:color="auto" w:fill="CEE6E8"/>
            <w:tcMar>
              <w:top w:w="80" w:type="dxa"/>
              <w:left w:w="80" w:type="dxa"/>
              <w:bottom w:w="80" w:type="dxa"/>
              <w:right w:w="80" w:type="dxa"/>
            </w:tcMar>
          </w:tcPr>
          <w:p w14:paraId="7B4F82D7" w14:textId="77777777" w:rsidR="00691F51" w:rsidRDefault="00BA4BB5">
            <w:pPr>
              <w:pStyle w:val="Body"/>
              <w:jc w:val="both"/>
            </w:pPr>
            <w:r>
              <w:rPr>
                <w:b/>
                <w:bCs/>
                <w:color w:val="004147"/>
                <w:sz w:val="32"/>
                <w:szCs w:val="32"/>
                <w:u w:color="004147"/>
                <w:lang w:val="en-US"/>
              </w:rPr>
              <w:t>2</w:t>
            </w:r>
          </w:p>
        </w:tc>
        <w:tc>
          <w:tcPr>
            <w:tcW w:w="1590" w:type="dxa"/>
            <w:tcBorders>
              <w:top w:val="single" w:sz="4" w:space="0" w:color="004147"/>
              <w:left w:val="single" w:sz="4" w:space="0" w:color="B3D7DB"/>
              <w:bottom w:val="single" w:sz="4" w:space="0" w:color="004147"/>
              <w:right w:val="single" w:sz="4" w:space="0" w:color="85BFC5"/>
            </w:tcBorders>
            <w:shd w:val="clear" w:color="auto" w:fill="CEE6E8"/>
            <w:tcMar>
              <w:top w:w="80" w:type="dxa"/>
              <w:left w:w="80" w:type="dxa"/>
              <w:bottom w:w="80" w:type="dxa"/>
              <w:right w:w="80" w:type="dxa"/>
            </w:tcMar>
          </w:tcPr>
          <w:p w14:paraId="345B7980" w14:textId="77777777" w:rsidR="00691F51" w:rsidRDefault="00BA4BB5">
            <w:pPr>
              <w:pStyle w:val="Body"/>
              <w:jc w:val="both"/>
            </w:pPr>
            <w:r>
              <w:rPr>
                <w:b/>
                <w:bCs/>
                <w:color w:val="004147"/>
                <w:sz w:val="28"/>
                <w:szCs w:val="28"/>
                <w:u w:color="004147"/>
                <w:lang w:val="en-US"/>
              </w:rPr>
              <w:t>Low 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34510608" w14:textId="77777777" w:rsidR="00691F51" w:rsidRDefault="00BA4BB5">
            <w:pPr>
              <w:pStyle w:val="Body"/>
              <w:spacing w:after="40"/>
            </w:pPr>
            <w:r>
              <w:rPr>
                <w:lang w:val="en-US"/>
              </w:rPr>
              <w:t xml:space="preserve">Demonstrates an acceptable level of knowledge, understanding or skills (as appropriate) required to meet the AC.  </w:t>
            </w:r>
          </w:p>
          <w:p w14:paraId="23613547" w14:textId="77777777" w:rsidR="00691F51" w:rsidRDefault="00BA4BB5">
            <w:pPr>
              <w:pStyle w:val="Body"/>
              <w:spacing w:after="40"/>
            </w:pPr>
            <w:r>
              <w:rPr>
                <w:lang w:val="en-US"/>
              </w:rPr>
              <w:t>Sufficient and acceptable examples included, where required, to support answers.</w:t>
            </w:r>
          </w:p>
          <w:p w14:paraId="6345AC7F" w14:textId="77777777" w:rsidR="00691F51" w:rsidRDefault="00BA4BB5">
            <w:pPr>
              <w:pStyle w:val="Body"/>
              <w:spacing w:after="40"/>
            </w:pPr>
            <w:r>
              <w:rPr>
                <w:lang w:val="en-US"/>
              </w:rPr>
              <w:t xml:space="preserve">Required format adopted but some improvement required to the structure and presentation of the </w:t>
            </w:r>
            <w:r>
              <w:rPr>
                <w:lang w:val="en-US"/>
              </w:rPr>
              <w:t>assignment.</w:t>
            </w:r>
          </w:p>
          <w:p w14:paraId="02F77DD3" w14:textId="77777777" w:rsidR="00691F51" w:rsidRDefault="00BA4BB5">
            <w:pPr>
              <w:pStyle w:val="Body"/>
              <w:spacing w:after="40"/>
            </w:pPr>
            <w:r>
              <w:rPr>
                <w:lang w:val="en-US"/>
              </w:rPr>
              <w:t>Answers are acceptable but could be clearer in responding to the task and presented in a more coherent way.</w:t>
            </w:r>
          </w:p>
          <w:p w14:paraId="6BA2BA87" w14:textId="77777777" w:rsidR="00691F51" w:rsidRDefault="00BA4BB5">
            <w:pPr>
              <w:pStyle w:val="Body"/>
              <w:spacing w:after="40"/>
            </w:pPr>
            <w:r>
              <w:rPr>
                <w:lang w:val="en-US"/>
              </w:rPr>
              <w:t>Sufficient evidence of the use of references to wider reading to help inform answer.</w:t>
            </w:r>
          </w:p>
        </w:tc>
      </w:tr>
      <w:tr w:rsidR="00691F51" w14:paraId="4E7094B5" w14:textId="77777777">
        <w:trPr>
          <w:trHeight w:val="2470"/>
          <w:tblHeader/>
        </w:trPr>
        <w:tc>
          <w:tcPr>
            <w:tcW w:w="964" w:type="dxa"/>
            <w:tcBorders>
              <w:top w:val="single" w:sz="4" w:space="0" w:color="004147"/>
              <w:left w:val="single" w:sz="4" w:space="0" w:color="004147"/>
              <w:bottom w:val="single" w:sz="4" w:space="0" w:color="004147"/>
              <w:right w:val="single" w:sz="4" w:space="0" w:color="B3D7DB"/>
            </w:tcBorders>
            <w:shd w:val="clear" w:color="auto" w:fill="E3EFF1"/>
            <w:tcMar>
              <w:top w:w="80" w:type="dxa"/>
              <w:left w:w="80" w:type="dxa"/>
              <w:bottom w:w="80" w:type="dxa"/>
              <w:right w:w="80" w:type="dxa"/>
            </w:tcMar>
          </w:tcPr>
          <w:p w14:paraId="4D2C9EBC" w14:textId="77777777" w:rsidR="00691F51" w:rsidRDefault="00BA4BB5">
            <w:pPr>
              <w:pStyle w:val="Body"/>
              <w:jc w:val="both"/>
            </w:pPr>
            <w:r>
              <w:rPr>
                <w:b/>
                <w:bCs/>
                <w:color w:val="004147"/>
                <w:sz w:val="32"/>
                <w:szCs w:val="32"/>
                <w:u w:color="004147"/>
                <w:lang w:val="en-US"/>
              </w:rPr>
              <w:t>3</w:t>
            </w:r>
          </w:p>
        </w:tc>
        <w:tc>
          <w:tcPr>
            <w:tcW w:w="1590" w:type="dxa"/>
            <w:tcBorders>
              <w:top w:val="single" w:sz="4" w:space="0" w:color="004147"/>
              <w:left w:val="single" w:sz="4" w:space="0" w:color="B3D7DB"/>
              <w:bottom w:val="single" w:sz="4" w:space="0" w:color="004147"/>
              <w:right w:val="single" w:sz="4" w:space="0" w:color="85BFC5"/>
            </w:tcBorders>
            <w:shd w:val="clear" w:color="auto" w:fill="E3EFF1"/>
            <w:tcMar>
              <w:top w:w="80" w:type="dxa"/>
              <w:left w:w="80" w:type="dxa"/>
              <w:bottom w:w="80" w:type="dxa"/>
              <w:right w:w="80" w:type="dxa"/>
            </w:tcMar>
          </w:tcPr>
          <w:p w14:paraId="43D281CA" w14:textId="77777777" w:rsidR="00691F51" w:rsidRDefault="00BA4BB5">
            <w:pPr>
              <w:pStyle w:val="Body"/>
              <w:jc w:val="both"/>
            </w:pPr>
            <w:r>
              <w:rPr>
                <w:b/>
                <w:bCs/>
                <w:color w:val="004147"/>
                <w:sz w:val="28"/>
                <w:szCs w:val="28"/>
                <w:u w:color="004147"/>
                <w:lang w:val="en-US"/>
              </w:rPr>
              <w:t>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7DCA0702" w14:textId="77777777" w:rsidR="00691F51" w:rsidRDefault="00BA4BB5">
            <w:pPr>
              <w:pStyle w:val="Body"/>
              <w:spacing w:after="40"/>
            </w:pPr>
            <w:r>
              <w:rPr>
                <w:lang w:val="en-US"/>
              </w:rPr>
              <w:t>Demonstrates good knowledge, understanding or skills (as appropriate) required to meet the AC.</w:t>
            </w:r>
          </w:p>
          <w:p w14:paraId="4A7BD5C1" w14:textId="77777777" w:rsidR="00691F51" w:rsidRDefault="00BA4BB5">
            <w:pPr>
              <w:pStyle w:val="Body"/>
              <w:spacing w:after="40"/>
            </w:pPr>
            <w:r>
              <w:rPr>
                <w:lang w:val="en-US"/>
              </w:rPr>
              <w:t>Includes confident use of examples, where required, to support each answer.</w:t>
            </w:r>
          </w:p>
          <w:p w14:paraId="0BC43B09" w14:textId="77777777" w:rsidR="00691F51" w:rsidRDefault="00BA4BB5">
            <w:pPr>
              <w:pStyle w:val="Body"/>
              <w:spacing w:after="40"/>
            </w:pPr>
            <w:r>
              <w:rPr>
                <w:lang w:val="en-US"/>
              </w:rPr>
              <w:t>Presentation and structure of assignment is appropriate for the assessment brief.</w:t>
            </w:r>
          </w:p>
          <w:p w14:paraId="02198DA8" w14:textId="77777777" w:rsidR="00691F51" w:rsidRDefault="00BA4BB5">
            <w:pPr>
              <w:pStyle w:val="Body"/>
              <w:spacing w:after="40"/>
            </w:pPr>
            <w:r>
              <w:rPr>
                <w:lang w:val="en-US"/>
              </w:rPr>
              <w:t xml:space="preserve">Answers are clear and well </w:t>
            </w:r>
            <w:r>
              <w:rPr>
                <w:lang w:val="en-US"/>
              </w:rPr>
              <w:t>expressed.</w:t>
            </w:r>
          </w:p>
          <w:p w14:paraId="295C2127" w14:textId="77777777" w:rsidR="00691F51" w:rsidRDefault="00BA4BB5">
            <w:pPr>
              <w:pStyle w:val="Body"/>
              <w:spacing w:after="40"/>
            </w:pPr>
            <w:r>
              <w:rPr>
                <w:lang w:val="en-US"/>
              </w:rPr>
              <w:t>Good evidence of the use of references to wider reading to help inform answer.</w:t>
            </w:r>
          </w:p>
        </w:tc>
      </w:tr>
      <w:tr w:rsidR="00691F51" w14:paraId="32A0191B" w14:textId="77777777">
        <w:tblPrEx>
          <w:shd w:val="clear" w:color="auto" w:fill="CFCAD0"/>
        </w:tblPrEx>
        <w:trPr>
          <w:trHeight w:val="3286"/>
        </w:trPr>
        <w:tc>
          <w:tcPr>
            <w:tcW w:w="964" w:type="dxa"/>
            <w:tcBorders>
              <w:top w:val="single" w:sz="4" w:space="0" w:color="004147"/>
              <w:left w:val="single" w:sz="4" w:space="0" w:color="004147"/>
              <w:bottom w:val="single" w:sz="4" w:space="0" w:color="004147"/>
              <w:right w:val="single" w:sz="4" w:space="0" w:color="B3D7DB"/>
            </w:tcBorders>
            <w:shd w:val="clear" w:color="auto" w:fill="EFF6F7"/>
            <w:tcMar>
              <w:top w:w="80" w:type="dxa"/>
              <w:left w:w="80" w:type="dxa"/>
              <w:bottom w:w="80" w:type="dxa"/>
              <w:right w:w="80" w:type="dxa"/>
            </w:tcMar>
          </w:tcPr>
          <w:p w14:paraId="5005D5CB" w14:textId="77777777" w:rsidR="00691F51" w:rsidRDefault="00BA4BB5">
            <w:pPr>
              <w:pStyle w:val="Body"/>
              <w:jc w:val="both"/>
            </w:pPr>
            <w:r>
              <w:rPr>
                <w:b/>
                <w:bCs/>
                <w:color w:val="004147"/>
                <w:sz w:val="32"/>
                <w:szCs w:val="32"/>
                <w:u w:color="004147"/>
                <w:lang w:val="en-US"/>
              </w:rPr>
              <w:t>4</w:t>
            </w:r>
          </w:p>
        </w:tc>
        <w:tc>
          <w:tcPr>
            <w:tcW w:w="1590" w:type="dxa"/>
            <w:tcBorders>
              <w:top w:val="single" w:sz="4" w:space="0" w:color="004147"/>
              <w:left w:val="single" w:sz="4" w:space="0" w:color="B3D7DB"/>
              <w:bottom w:val="single" w:sz="4" w:space="0" w:color="004147"/>
              <w:right w:val="single" w:sz="4" w:space="0" w:color="85BFC5"/>
            </w:tcBorders>
            <w:shd w:val="clear" w:color="auto" w:fill="EFF6F7"/>
            <w:tcMar>
              <w:top w:w="80" w:type="dxa"/>
              <w:left w:w="80" w:type="dxa"/>
              <w:bottom w:w="80" w:type="dxa"/>
              <w:right w:w="80" w:type="dxa"/>
            </w:tcMar>
          </w:tcPr>
          <w:p w14:paraId="0AE7B81F" w14:textId="77777777" w:rsidR="00691F51" w:rsidRDefault="00BA4BB5">
            <w:pPr>
              <w:pStyle w:val="Body"/>
              <w:jc w:val="both"/>
            </w:pPr>
            <w:r>
              <w:rPr>
                <w:b/>
                <w:bCs/>
                <w:color w:val="004147"/>
                <w:sz w:val="28"/>
                <w:szCs w:val="28"/>
                <w:u w:color="004147"/>
                <w:lang w:val="en-US"/>
              </w:rPr>
              <w:t>High 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768F3BE6" w14:textId="77777777" w:rsidR="00691F51" w:rsidRDefault="00BA4BB5">
            <w:pPr>
              <w:pStyle w:val="Body"/>
              <w:spacing w:after="40"/>
            </w:pPr>
            <w:r>
              <w:rPr>
                <w:lang w:val="en-US"/>
              </w:rPr>
              <w:t>Demonstrates a wide range and confident level of knowledge, understanding or skill (as appropriate).</w:t>
            </w:r>
          </w:p>
          <w:p w14:paraId="6FF9E10F" w14:textId="77777777" w:rsidR="00691F51" w:rsidRDefault="00BA4BB5">
            <w:pPr>
              <w:pStyle w:val="Body"/>
              <w:spacing w:after="40"/>
            </w:pPr>
            <w:r>
              <w:rPr>
                <w:lang w:val="en-US"/>
              </w:rPr>
              <w:t xml:space="preserve">Includes strong examples that illustrate the </w:t>
            </w:r>
            <w:r>
              <w:rPr>
                <w:lang w:val="en-US"/>
              </w:rPr>
              <w:t>point being made, that link and support the answer well.</w:t>
            </w:r>
          </w:p>
          <w:p w14:paraId="603BFC0D" w14:textId="77777777" w:rsidR="00691F51" w:rsidRDefault="00BA4BB5">
            <w:pPr>
              <w:pStyle w:val="Body"/>
              <w:spacing w:after="40"/>
            </w:pPr>
            <w:r>
              <w:rPr>
                <w:lang w:val="en-US"/>
              </w:rPr>
              <w:t>Answers are applied to the case organisation or an alternative organisation.</w:t>
            </w:r>
          </w:p>
          <w:p w14:paraId="78416572" w14:textId="77777777" w:rsidR="00691F51" w:rsidRDefault="00BA4BB5">
            <w:pPr>
              <w:pStyle w:val="Body"/>
              <w:spacing w:after="40"/>
            </w:pPr>
            <w:r>
              <w:rPr>
                <w:lang w:val="en-US"/>
              </w:rPr>
              <w:t>Answers are clear, concise and well argued, directly respond to what has been asked.</w:t>
            </w:r>
          </w:p>
          <w:p w14:paraId="7FDDC7BD" w14:textId="77777777" w:rsidR="00691F51" w:rsidRDefault="00BA4BB5">
            <w:pPr>
              <w:pStyle w:val="Body"/>
              <w:spacing w:after="40"/>
            </w:pPr>
            <w:r>
              <w:rPr>
                <w:lang w:val="en-US"/>
              </w:rPr>
              <w:t xml:space="preserve">The presentation of the </w:t>
            </w:r>
            <w:r>
              <w:rPr>
                <w:lang w:val="en-US"/>
              </w:rPr>
              <w:t>assignment is well structured, coherent and focusses on the need of the questions.</w:t>
            </w:r>
          </w:p>
          <w:p w14:paraId="7A448B47" w14:textId="77777777" w:rsidR="00691F51" w:rsidRDefault="00BA4BB5">
            <w:pPr>
              <w:pStyle w:val="Body"/>
              <w:spacing w:after="40"/>
            </w:pPr>
            <w:r>
              <w:rPr>
                <w:lang w:val="en-US"/>
              </w:rPr>
              <w:t xml:space="preserve">Considerable evidence of the use of references to wider reading to inform answer. </w:t>
            </w:r>
          </w:p>
        </w:tc>
      </w:tr>
    </w:tbl>
    <w:p w14:paraId="42EFF374" w14:textId="77777777" w:rsidR="00691F51" w:rsidRDefault="00691F51">
      <w:pPr>
        <w:pStyle w:val="Body"/>
        <w:spacing w:line="240" w:lineRule="auto"/>
      </w:pPr>
    </w:p>
    <w:p w14:paraId="0A5B9065" w14:textId="77777777" w:rsidR="00691F51" w:rsidRDefault="00691F51">
      <w:pPr>
        <w:pStyle w:val="Body"/>
      </w:pPr>
    </w:p>
    <w:p w14:paraId="75BF31B4" w14:textId="77777777" w:rsidR="00691F51" w:rsidRDefault="00BA4BB5">
      <w:pPr>
        <w:pStyle w:val="Body"/>
        <w:spacing w:line="240" w:lineRule="auto"/>
      </w:pPr>
      <w:r>
        <w:rPr>
          <w:rFonts w:ascii="Arial Unicode MS" w:eastAsia="Arial Unicode MS" w:hAnsi="Arial Unicode MS" w:cs="Arial Unicode MS"/>
        </w:rPr>
        <w:br w:type="page"/>
      </w:r>
    </w:p>
    <w:p w14:paraId="42E2BD60" w14:textId="77777777" w:rsidR="00691F51" w:rsidRDefault="00691F51">
      <w:pPr>
        <w:pStyle w:val="Body"/>
      </w:pPr>
    </w:p>
    <w:p w14:paraId="0F87F6CD" w14:textId="77777777" w:rsidR="00691F51" w:rsidRDefault="00BA4BB5">
      <w:pPr>
        <w:pStyle w:val="Heading"/>
        <w:rPr>
          <w:sz w:val="40"/>
          <w:szCs w:val="40"/>
        </w:rPr>
      </w:pPr>
      <w:r>
        <w:rPr>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691F51" w14:paraId="095F53A2" w14:textId="77777777">
        <w:trPr>
          <w:trHeight w:val="63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13D1AA" w14:textId="77777777" w:rsidR="00691F51" w:rsidRDefault="00BA4BB5">
            <w:pPr>
              <w:pStyle w:val="Body"/>
            </w:pPr>
            <w:r>
              <w:rPr>
                <w:b/>
                <w:bCs/>
                <w:color w:val="004147"/>
                <w:sz w:val="32"/>
                <w:szCs w:val="32"/>
                <w:u w:color="004147"/>
                <w:lang w:val="en-US"/>
              </w:rPr>
              <w:t xml:space="preserve">Unit 5OS01: Assessor Feedback to </w:t>
            </w:r>
            <w:r>
              <w:rPr>
                <w:b/>
                <w:bCs/>
                <w:color w:val="004147"/>
                <w:sz w:val="32"/>
                <w:szCs w:val="32"/>
                <w:u w:color="004147"/>
                <w:lang w:val="en-US"/>
              </w:rPr>
              <w:t>Learner</w:t>
            </w:r>
          </w:p>
        </w:tc>
      </w:tr>
      <w:tr w:rsidR="00691F51" w14:paraId="0D9A03FC"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181E7B" w14:textId="77777777" w:rsidR="00691F51" w:rsidRDefault="00BA4BB5">
            <w:pPr>
              <w:pStyle w:val="Body"/>
            </w:pPr>
            <w:r>
              <w:rPr>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62A1B" w14:textId="77777777" w:rsidR="00691F51" w:rsidRDefault="00BA4BB5">
            <w:pPr>
              <w:pStyle w:val="Body"/>
            </w:pPr>
            <w:r>
              <w:rPr>
                <w:i/>
                <w:iCs/>
                <w:color w:val="004147"/>
                <w:u w:color="004147"/>
                <w:shd w:val="clear" w:color="auto" w:fill="C0C0C0"/>
                <w:lang w:val="en-US"/>
              </w:rPr>
              <w:t>669</w:t>
            </w:r>
          </w:p>
        </w:tc>
      </w:tr>
      <w:tr w:rsidR="00691F51" w14:paraId="5D169153"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979A89" w14:textId="77777777" w:rsidR="00691F51" w:rsidRDefault="00BA4BB5">
            <w:pPr>
              <w:pStyle w:val="Body"/>
            </w:pPr>
            <w:r>
              <w:rPr>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05842" w14:textId="77777777" w:rsidR="00691F51" w:rsidRDefault="00BA4BB5">
            <w:pPr>
              <w:pStyle w:val="Body"/>
            </w:pPr>
            <w:r>
              <w:rPr>
                <w:i/>
                <w:iCs/>
                <w:color w:val="004147"/>
                <w:u w:color="004147"/>
                <w:shd w:val="clear" w:color="auto" w:fill="C0C0C0"/>
                <w:lang w:val="en-US"/>
              </w:rPr>
              <w:t>UWTSD</w:t>
            </w:r>
          </w:p>
        </w:tc>
      </w:tr>
      <w:tr w:rsidR="00691F51" w14:paraId="46C07DEF" w14:textId="77777777">
        <w:trPr>
          <w:trHeight w:val="501"/>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D20394" w14:textId="77777777" w:rsidR="00691F51" w:rsidRDefault="00BA4BB5">
            <w:pPr>
              <w:pStyle w:val="Body"/>
            </w:pPr>
            <w:r>
              <w:rPr>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E02A38" w14:textId="77777777" w:rsidR="00691F51" w:rsidRDefault="00BA4BB5">
            <w:pPr>
              <w:pStyle w:val="Body"/>
            </w:pPr>
            <w:r>
              <w:rPr>
                <w:i/>
                <w:iCs/>
                <w:color w:val="004147"/>
                <w:u w:color="004147"/>
                <w:shd w:val="clear" w:color="auto" w:fill="C0C0C0"/>
                <w:lang w:val="en-US"/>
              </w:rPr>
              <w:t>6572143</w:t>
            </w:r>
          </w:p>
        </w:tc>
      </w:tr>
      <w:tr w:rsidR="00691F51" w14:paraId="13E00E70"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AC20A0" w14:textId="77777777" w:rsidR="00691F51" w:rsidRDefault="00BA4BB5">
            <w:pPr>
              <w:pStyle w:val="Body"/>
            </w:pPr>
            <w:r>
              <w:rPr>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6C7C0F" w14:textId="77777777" w:rsidR="00691F51" w:rsidRDefault="00BA4BB5">
            <w:pPr>
              <w:pStyle w:val="Body"/>
            </w:pPr>
            <w:r>
              <w:rPr>
                <w:i/>
                <w:iCs/>
                <w:color w:val="004147"/>
                <w:u w:color="004147"/>
                <w:shd w:val="clear" w:color="auto" w:fill="C0C0C0"/>
                <w:lang w:val="en-US"/>
              </w:rPr>
              <w:t xml:space="preserve">Jones </w:t>
            </w:r>
          </w:p>
        </w:tc>
      </w:tr>
      <w:tr w:rsidR="00691F51" w14:paraId="1CC23834"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96A101" w14:textId="77777777" w:rsidR="00691F51" w:rsidRDefault="00BA4BB5">
            <w:pPr>
              <w:pStyle w:val="Body"/>
            </w:pPr>
            <w:r>
              <w:rPr>
                <w:b/>
                <w:bCs/>
                <w:color w:val="004147"/>
                <w:u w:color="004147"/>
                <w:lang w:val="en-US"/>
              </w:rPr>
              <w:t>Learner other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B4D53" w14:textId="77777777" w:rsidR="00691F51" w:rsidRDefault="00BA4BB5">
            <w:pPr>
              <w:pStyle w:val="Body"/>
            </w:pPr>
            <w:r>
              <w:rPr>
                <w:i/>
                <w:iCs/>
                <w:color w:val="004147"/>
                <w:u w:color="004147"/>
                <w:shd w:val="clear" w:color="auto" w:fill="C0C0C0"/>
                <w:lang w:val="en-US"/>
              </w:rPr>
              <w:t>Thomas</w:t>
            </w:r>
          </w:p>
        </w:tc>
      </w:tr>
    </w:tbl>
    <w:p w14:paraId="61F2EE91" w14:textId="77777777" w:rsidR="00691F51" w:rsidRDefault="00691F51">
      <w:pPr>
        <w:pStyle w:val="Heading"/>
        <w:widowControl w:val="0"/>
        <w:spacing w:line="240" w:lineRule="auto"/>
        <w:rPr>
          <w:sz w:val="40"/>
          <w:szCs w:val="40"/>
        </w:rPr>
      </w:pPr>
    </w:p>
    <w:p w14:paraId="3FB71C0C" w14:textId="77777777" w:rsidR="00691F51" w:rsidRDefault="00691F51">
      <w:pPr>
        <w:pStyle w:val="Body"/>
      </w:pPr>
    </w:p>
    <w:p w14:paraId="6EBBDD5C" w14:textId="77777777" w:rsidR="00691F51" w:rsidRDefault="00691F51">
      <w:pPr>
        <w:pStyle w:val="Body"/>
      </w:pPr>
    </w:p>
    <w:p w14:paraId="38280CEE" w14:textId="77777777" w:rsidR="00691F51" w:rsidRDefault="00691F51">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691F51" w14:paraId="4B86BCAE" w14:textId="77777777">
        <w:trPr>
          <w:trHeight w:val="501"/>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84DFB3" w14:textId="77777777" w:rsidR="00691F51" w:rsidRDefault="00BA4BB5">
            <w:pPr>
              <w:pStyle w:val="Body"/>
            </w:pPr>
            <w:r>
              <w:rPr>
                <w:b/>
                <w:bCs/>
                <w:color w:val="004147"/>
                <w:u w:color="004147"/>
                <w:lang w:val="en-US"/>
              </w:rPr>
              <w:t>TASK 1</w:t>
            </w:r>
          </w:p>
        </w:tc>
      </w:tr>
      <w:tr w:rsidR="00691F51" w14:paraId="02A82D46" w14:textId="77777777">
        <w:trPr>
          <w:trHeight w:val="501"/>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01335C" w14:textId="77777777" w:rsidR="00691F51" w:rsidRDefault="00BA4BB5">
            <w:pPr>
              <w:pStyle w:val="Body"/>
            </w:pPr>
            <w:r>
              <w:rPr>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1C0339" w14:textId="77777777" w:rsidR="00691F51" w:rsidRDefault="00BA4BB5">
            <w:pPr>
              <w:pStyle w:val="Body"/>
            </w:pPr>
            <w:r>
              <w:rPr>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B48163" w14:textId="77777777" w:rsidR="00691F51" w:rsidRDefault="00BA4BB5">
            <w:pPr>
              <w:pStyle w:val="Body"/>
              <w:rPr>
                <w:b/>
                <w:bCs/>
                <w:color w:val="004147"/>
                <w:u w:color="004147"/>
              </w:rPr>
            </w:pPr>
            <w:r>
              <w:rPr>
                <w:b/>
                <w:bCs/>
                <w:color w:val="004147"/>
                <w:u w:color="004147"/>
                <w:lang w:val="en-US"/>
              </w:rPr>
              <w:t xml:space="preserve">Mark </w:t>
            </w:r>
          </w:p>
          <w:p w14:paraId="28D4B172" w14:textId="77777777" w:rsidR="00691F51" w:rsidRDefault="00BA4BB5">
            <w:pPr>
              <w:pStyle w:val="Body"/>
            </w:pPr>
            <w:r>
              <w:rPr>
                <w:b/>
                <w:bCs/>
                <w:color w:val="004147"/>
                <w:u w:color="004147"/>
                <w:lang w:val="en-US"/>
              </w:rPr>
              <w:t>1-4</w:t>
            </w:r>
          </w:p>
        </w:tc>
      </w:tr>
      <w:tr w:rsidR="00691F51" w14:paraId="1255814A"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DD7527" w14:textId="77777777" w:rsidR="00691F51" w:rsidRDefault="00BA4BB5">
            <w:pPr>
              <w:pStyle w:val="Body"/>
            </w:pPr>
            <w:r>
              <w:rPr>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E41EC8" w14:textId="77777777" w:rsidR="00691F51" w:rsidRDefault="00BA4BB5">
            <w:pPr>
              <w:pStyle w:val="Body"/>
            </w:pPr>
            <w:r>
              <w:rPr>
                <w:lang w:val="en-US"/>
              </w:rPr>
              <w:t xml:space="preserve">Evaluate the aims and </w:t>
            </w:r>
            <w:r>
              <w:rPr>
                <w:lang w:val="en-US"/>
              </w:rPr>
              <w:t>objectives of employment regulation</w:t>
            </w:r>
            <w:r>
              <w:rPr>
                <w:color w:val="004147"/>
                <w:u w:color="004147"/>
                <w:shd w:val="clear" w:color="auto" w:fill="C0C0C0"/>
                <w:lang w:val="en-US"/>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7D9F4F" w14:textId="77777777" w:rsidR="00691F51" w:rsidRDefault="00691F51"/>
        </w:tc>
      </w:tr>
      <w:tr w:rsidR="00691F51" w14:paraId="08B6916E" w14:textId="77777777">
        <w:trPr>
          <w:trHeight w:val="2052"/>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54DBF2F"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AC5CF8" w14:textId="77777777" w:rsidR="00691F51" w:rsidRDefault="00BA4BB5">
            <w:pPr>
              <w:pStyle w:val="Body"/>
              <w:rPr>
                <w:i/>
                <w:iCs/>
                <w:color w:val="004147"/>
                <w:u w:color="004147"/>
                <w:shd w:val="clear" w:color="auto" w:fill="C0C0C0"/>
                <w:lang w:val="en-US"/>
              </w:rPr>
            </w:pPr>
            <w:r>
              <w:rPr>
                <w:i/>
                <w:iCs/>
                <w:color w:val="004147"/>
                <w:u w:color="004147"/>
                <w:shd w:val="clear" w:color="auto" w:fill="C0C0C0"/>
                <w:lang w:val="en-US"/>
              </w:rPr>
              <w:t xml:space="preserve">Too short to assess - please provide more detail in response to this question.  The Kathy Daniels book will help considerably, as she discusses the aims and objectives of employment law in the first chapter.  Our </w:t>
            </w:r>
            <w:r>
              <w:rPr>
                <w:i/>
                <w:iCs/>
                <w:color w:val="004147"/>
                <w:u w:color="004147"/>
                <w:shd w:val="clear" w:color="auto" w:fill="C0C0C0"/>
                <w:lang w:val="en-US"/>
              </w:rPr>
              <w:t>library has an e-copy if required.  You can also look at the CIPD factsheets.</w:t>
            </w:r>
          </w:p>
          <w:p w14:paraId="69776956" w14:textId="77777777" w:rsidR="00691F51" w:rsidRDefault="00691F51">
            <w:pPr>
              <w:pStyle w:val="Body"/>
              <w:rPr>
                <w:i/>
                <w:iCs/>
                <w:color w:val="004147"/>
                <w:u w:color="004147"/>
                <w:shd w:val="clear" w:color="auto" w:fill="C0C0C0"/>
                <w:lang w:val="en-US"/>
              </w:rPr>
            </w:pPr>
          </w:p>
          <w:p w14:paraId="251100E1" w14:textId="77777777" w:rsidR="00691F51" w:rsidRDefault="00BA4BB5">
            <w:pPr>
              <w:pStyle w:val="Body"/>
            </w:pPr>
            <w:r>
              <w:rPr>
                <w:i/>
                <w:iCs/>
                <w:color w:val="004147"/>
                <w:u w:color="004147"/>
                <w:shd w:val="clear" w:color="auto" w:fill="C0C0C0"/>
                <w:lang w:val="en-US"/>
              </w:rPr>
              <w:t>Don’t forget to use references when completing your answers.</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5B7C27" w14:textId="77777777" w:rsidR="00691F51" w:rsidRDefault="00BA4BB5">
            <w:pPr>
              <w:pStyle w:val="Body"/>
            </w:pPr>
            <w:r>
              <w:rPr>
                <w:i/>
                <w:iCs/>
                <w:color w:val="004147"/>
                <w:u w:color="004147"/>
                <w:shd w:val="clear" w:color="auto" w:fill="C0C0C0"/>
                <w:lang w:val="en-US"/>
              </w:rPr>
              <w:t>1</w:t>
            </w:r>
          </w:p>
        </w:tc>
      </w:tr>
      <w:tr w:rsidR="00691F51" w14:paraId="4D63ABC7"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F5D159"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6D1981" w14:textId="77777777" w:rsidR="00691F51" w:rsidRDefault="00BA4BB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818FE" w14:textId="77777777" w:rsidR="00691F51" w:rsidRDefault="00BA4BB5">
            <w:pPr>
              <w:pStyle w:val="Body"/>
            </w:pPr>
            <w:r>
              <w:rPr>
                <w:i/>
                <w:iCs/>
                <w:color w:val="004147"/>
                <w:u w:color="004147"/>
                <w:shd w:val="clear" w:color="auto" w:fill="C0C0C0"/>
                <w:lang w:val="en-US"/>
              </w:rPr>
              <w:t>Enter mark here</w:t>
            </w:r>
          </w:p>
        </w:tc>
      </w:tr>
      <w:tr w:rsidR="00691F51" w14:paraId="4611D9F9"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3C1D387"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C9A8A" w14:textId="77777777" w:rsidR="00691F51" w:rsidRDefault="00BA4BB5">
            <w:pPr>
              <w:pStyle w:val="Body"/>
            </w:pPr>
            <w:r>
              <w:rPr>
                <w:i/>
                <w:iCs/>
                <w:color w:val="004147"/>
                <w:u w:color="004147"/>
                <w:shd w:val="clear" w:color="auto" w:fill="C0C0C0"/>
                <w:lang w:val="en-US"/>
              </w:rPr>
              <w:t xml:space="preserve">Please enter </w:t>
            </w:r>
            <w:r>
              <w:rPr>
                <w:i/>
                <w:iCs/>
                <w:color w:val="004147"/>
                <w:u w:color="004147"/>
                <w:shd w:val="clear" w:color="auto" w:fill="C0C0C0"/>
                <w:lang w:val="en-US"/>
              </w:rPr>
              <w:t>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17853" w14:textId="77777777" w:rsidR="00691F51" w:rsidRDefault="00BA4BB5">
            <w:pPr>
              <w:pStyle w:val="Body"/>
            </w:pPr>
            <w:r>
              <w:rPr>
                <w:i/>
                <w:iCs/>
                <w:color w:val="004147"/>
                <w:u w:color="004147"/>
                <w:shd w:val="clear" w:color="auto" w:fill="C0C0C0"/>
                <w:lang w:val="en-US"/>
              </w:rPr>
              <w:t>Enter mark here</w:t>
            </w:r>
          </w:p>
        </w:tc>
      </w:tr>
      <w:tr w:rsidR="00691F51" w14:paraId="5060FC95"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E40CC9" w14:textId="77777777" w:rsidR="00691F51" w:rsidRDefault="00BA4BB5">
            <w:pPr>
              <w:pStyle w:val="Body"/>
            </w:pPr>
            <w:r>
              <w:rPr>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CB4102" w14:textId="77777777" w:rsidR="00691F51" w:rsidRDefault="00BA4BB5">
            <w:pPr>
              <w:pStyle w:val="Body"/>
            </w:pPr>
            <w:r>
              <w:rPr>
                <w:lang w:val="en-US"/>
              </w:rPr>
              <w:t>Examine the role played by the tribunal and courts system in enforcing employment law.</w:t>
            </w:r>
            <w:r>
              <w:rPr>
                <w:b/>
                <w:bCs/>
                <w:color w:val="004147"/>
                <w:u w:color="004147"/>
                <w:lang w:val="en-US"/>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898FDD" w14:textId="77777777" w:rsidR="00691F51" w:rsidRDefault="00691F51"/>
        </w:tc>
      </w:tr>
      <w:tr w:rsidR="00691F51" w14:paraId="3A7228CD" w14:textId="77777777">
        <w:trPr>
          <w:trHeight w:val="1018"/>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3C6BE2A"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A2985" w14:textId="77777777" w:rsidR="00691F51" w:rsidRDefault="00BA4BB5">
            <w:pPr>
              <w:pStyle w:val="Body"/>
            </w:pPr>
            <w:r>
              <w:rPr>
                <w:color w:val="004147"/>
                <w:u w:color="004147"/>
                <w:lang w:val="en-US"/>
              </w:rPr>
              <w:t xml:space="preserve">You have provided a reasonable amount of detail and have provided references in this answer.  I would have liked to have seen more discussion about the hierarchy of the court system and what this achieves.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97D278" w14:textId="77777777" w:rsidR="00691F51" w:rsidRDefault="00BA4BB5">
            <w:pPr>
              <w:pStyle w:val="Body"/>
            </w:pPr>
            <w:r>
              <w:rPr>
                <w:i/>
                <w:iCs/>
                <w:color w:val="004147"/>
                <w:u w:color="004147"/>
                <w:shd w:val="clear" w:color="auto" w:fill="C0C0C0"/>
                <w:lang w:val="en-US"/>
              </w:rPr>
              <w:t>2</w:t>
            </w:r>
          </w:p>
        </w:tc>
      </w:tr>
      <w:tr w:rsidR="00691F51" w14:paraId="0C0ECA86"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89406D5"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6E25B" w14:textId="77777777" w:rsidR="00691F51" w:rsidRDefault="00BA4BB5">
            <w:pPr>
              <w:pStyle w:val="Body"/>
            </w:pPr>
            <w:r>
              <w:rPr>
                <w:i/>
                <w:iCs/>
                <w:color w:val="004147"/>
                <w:u w:color="004147"/>
                <w:shd w:val="clear" w:color="auto" w:fill="C0C0C0"/>
                <w:lang w:val="en-US"/>
              </w:rPr>
              <w:t xml:space="preserve">Please enter your Assessor feedback here </w:t>
            </w:r>
            <w:r>
              <w:rPr>
                <w:i/>
                <w:iCs/>
                <w:color w:val="004147"/>
                <w:u w:color="004147"/>
                <w:shd w:val="clear" w:color="auto" w:fill="C0C0C0"/>
                <w:lang w:val="en-US"/>
              </w:rPr>
              <w:t>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B6BA1D" w14:textId="77777777" w:rsidR="00691F51" w:rsidRDefault="00BA4BB5">
            <w:pPr>
              <w:pStyle w:val="Body"/>
            </w:pPr>
            <w:r>
              <w:rPr>
                <w:i/>
                <w:iCs/>
                <w:color w:val="004147"/>
                <w:u w:color="004147"/>
                <w:shd w:val="clear" w:color="auto" w:fill="C0C0C0"/>
                <w:lang w:val="en-US"/>
              </w:rPr>
              <w:t>Enter mark here</w:t>
            </w:r>
          </w:p>
        </w:tc>
      </w:tr>
      <w:tr w:rsidR="00691F51" w14:paraId="44EA3D55"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E7C1DF2"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58748"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3C21B" w14:textId="77777777" w:rsidR="00691F51" w:rsidRDefault="00BA4BB5">
            <w:pPr>
              <w:pStyle w:val="Body"/>
            </w:pPr>
            <w:r>
              <w:rPr>
                <w:i/>
                <w:iCs/>
                <w:color w:val="004147"/>
                <w:u w:color="004147"/>
                <w:shd w:val="clear" w:color="auto" w:fill="C0C0C0"/>
                <w:lang w:val="en-US"/>
              </w:rPr>
              <w:t>Enter mark here</w:t>
            </w:r>
          </w:p>
        </w:tc>
      </w:tr>
      <w:tr w:rsidR="00691F51" w14:paraId="2C26E039"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3FB035" w14:textId="77777777" w:rsidR="00691F51" w:rsidRDefault="00BA4BB5">
            <w:pPr>
              <w:pStyle w:val="Body"/>
            </w:pPr>
            <w:r>
              <w:rPr>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57C249" w14:textId="77777777" w:rsidR="00691F51" w:rsidRDefault="00BA4BB5">
            <w:pPr>
              <w:pStyle w:val="Body"/>
            </w:pPr>
            <w:r>
              <w:rPr>
                <w:lang w:val="en-US"/>
              </w:rPr>
              <w:t>Explain how cases are settled before and during formal legal procedures.</w:t>
            </w:r>
            <w:r>
              <w:rPr>
                <w:b/>
                <w:bCs/>
                <w:color w:val="004147"/>
                <w:u w:color="004147"/>
                <w:lang w:val="en-US"/>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C54CFB" w14:textId="77777777" w:rsidR="00691F51" w:rsidRDefault="00691F51"/>
        </w:tc>
      </w:tr>
      <w:tr w:rsidR="00691F51" w14:paraId="16251324" w14:textId="77777777">
        <w:trPr>
          <w:trHeight w:val="1535"/>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74B689"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8B8438" w14:textId="77777777" w:rsidR="00691F51" w:rsidRDefault="00BA4BB5">
            <w:pPr>
              <w:pStyle w:val="Body"/>
              <w:rPr>
                <w:i/>
                <w:iCs/>
                <w:color w:val="004147"/>
                <w:u w:color="004147"/>
              </w:rPr>
            </w:pPr>
            <w:r>
              <w:rPr>
                <w:i/>
                <w:iCs/>
                <w:color w:val="004147"/>
                <w:u w:color="004147"/>
                <w:shd w:val="clear" w:color="auto" w:fill="C0C0C0"/>
                <w:lang w:val="en-US"/>
              </w:rPr>
              <w:t xml:space="preserve">You have provided a </w:t>
            </w:r>
            <w:r>
              <w:rPr>
                <w:i/>
                <w:iCs/>
                <w:color w:val="004147"/>
                <w:u w:color="004147"/>
                <w:shd w:val="clear" w:color="auto" w:fill="C0C0C0"/>
                <w:lang w:val="en-US"/>
              </w:rPr>
              <w:t>reasonable explanation of the ways in which cases can be settled. You could also have discussed the role of the settlement agreement, which can be used without recourse to ACAS.</w:t>
            </w:r>
          </w:p>
          <w:p w14:paraId="755C1D6D" w14:textId="77777777" w:rsidR="00691F51" w:rsidRDefault="00691F51">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E1CA91" w14:textId="77777777" w:rsidR="00691F51" w:rsidRDefault="00BA4BB5">
            <w:pPr>
              <w:pStyle w:val="Body"/>
            </w:pPr>
            <w:r>
              <w:rPr>
                <w:i/>
                <w:iCs/>
                <w:color w:val="004147"/>
                <w:u w:color="004147"/>
                <w:shd w:val="clear" w:color="auto" w:fill="C0C0C0"/>
                <w:lang w:val="en-US"/>
              </w:rPr>
              <w:t>2</w:t>
            </w:r>
          </w:p>
        </w:tc>
      </w:tr>
      <w:tr w:rsidR="00691F51" w14:paraId="6A320B6B"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5C0639"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6790C0" w14:textId="77777777" w:rsidR="00691F51" w:rsidRDefault="00BA4BB5">
            <w:pPr>
              <w:pStyle w:val="Body"/>
            </w:pPr>
            <w:r>
              <w:rPr>
                <w:i/>
                <w:iCs/>
                <w:color w:val="004147"/>
                <w:u w:color="004147"/>
                <w:shd w:val="clear" w:color="auto" w:fill="C0C0C0"/>
                <w:lang w:val="en-US"/>
              </w:rPr>
              <w:t xml:space="preserve">Please enter your Assessor feedback here for resubmission 1 (if </w:t>
            </w:r>
            <w:r>
              <w:rPr>
                <w:i/>
                <w:iCs/>
                <w:color w:val="004147"/>
                <w:u w:color="004147"/>
                <w:shd w:val="clear" w:color="auto" w:fill="C0C0C0"/>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8D9A2" w14:textId="77777777" w:rsidR="00691F51" w:rsidRDefault="00BA4BB5">
            <w:pPr>
              <w:pStyle w:val="Body"/>
            </w:pPr>
            <w:r>
              <w:rPr>
                <w:i/>
                <w:iCs/>
                <w:color w:val="004147"/>
                <w:u w:color="004147"/>
                <w:shd w:val="clear" w:color="auto" w:fill="C0C0C0"/>
                <w:lang w:val="en-US"/>
              </w:rPr>
              <w:t>Enter mark here</w:t>
            </w:r>
          </w:p>
        </w:tc>
      </w:tr>
      <w:tr w:rsidR="00691F51" w14:paraId="1918646A"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CECF38C"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47F602"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594BF" w14:textId="77777777" w:rsidR="00691F51" w:rsidRDefault="00BA4BB5">
            <w:pPr>
              <w:pStyle w:val="Body"/>
            </w:pPr>
            <w:r>
              <w:rPr>
                <w:i/>
                <w:iCs/>
                <w:color w:val="004147"/>
                <w:u w:color="004147"/>
                <w:shd w:val="clear" w:color="auto" w:fill="C0C0C0"/>
                <w:lang w:val="en-US"/>
              </w:rPr>
              <w:t>Enter mark here</w:t>
            </w:r>
          </w:p>
        </w:tc>
      </w:tr>
      <w:tr w:rsidR="00691F51" w14:paraId="1C989F09"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D1081B" w14:textId="77777777" w:rsidR="00691F51" w:rsidRDefault="00BA4BB5">
            <w:pPr>
              <w:pStyle w:val="Body"/>
            </w:pPr>
            <w:r>
              <w:rPr>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30C63C" w14:textId="77777777" w:rsidR="00691F51" w:rsidRDefault="00BA4BB5">
            <w:pPr>
              <w:pStyle w:val="Nornal"/>
              <w:spacing w:after="0" w:line="240" w:lineRule="auto"/>
            </w:pPr>
            <w:r>
              <w:t xml:space="preserve">Evaluate the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3197C8" w14:textId="77777777" w:rsidR="00691F51" w:rsidRDefault="00691F51"/>
        </w:tc>
      </w:tr>
      <w:tr w:rsidR="00691F51" w14:paraId="10094BD7" w14:textId="77777777">
        <w:trPr>
          <w:trHeight w:val="1018"/>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619EBC5"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6B3B1" w14:textId="77777777" w:rsidR="00691F51" w:rsidRDefault="00BA4BB5">
            <w:pPr>
              <w:pStyle w:val="Body"/>
              <w:rPr>
                <w:i/>
                <w:iCs/>
                <w:color w:val="004147"/>
                <w:u w:color="004147"/>
                <w:shd w:val="clear" w:color="auto" w:fill="C0C0C0"/>
                <w:lang w:val="en-US"/>
              </w:rPr>
            </w:pPr>
            <w:r>
              <w:rPr>
                <w:i/>
                <w:iCs/>
                <w:color w:val="004147"/>
                <w:u w:color="004147"/>
                <w:shd w:val="clear" w:color="auto" w:fill="C0C0C0"/>
                <w:lang w:val="en-US"/>
              </w:rPr>
              <w:t>When discussing case law, use italics for the case reference.</w:t>
            </w:r>
          </w:p>
          <w:p w14:paraId="23D85FF3" w14:textId="77777777" w:rsidR="00691F51" w:rsidRDefault="00691F51">
            <w:pPr>
              <w:pStyle w:val="Body"/>
              <w:rPr>
                <w:i/>
                <w:iCs/>
                <w:color w:val="004147"/>
                <w:u w:color="004147"/>
                <w:shd w:val="clear" w:color="auto" w:fill="C0C0C0"/>
                <w:lang w:val="en-US"/>
              </w:rPr>
            </w:pPr>
          </w:p>
          <w:p w14:paraId="3EE5AE2A" w14:textId="77777777" w:rsidR="00691F51" w:rsidRDefault="00691F51">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5766A4" w14:textId="77777777" w:rsidR="00691F51" w:rsidRDefault="00BA4BB5">
            <w:pPr>
              <w:pStyle w:val="Body"/>
            </w:pPr>
            <w:r>
              <w:rPr>
                <w:i/>
                <w:iCs/>
                <w:color w:val="004147"/>
                <w:u w:color="004147"/>
                <w:shd w:val="clear" w:color="auto" w:fill="C0C0C0"/>
                <w:lang w:val="en-US"/>
              </w:rPr>
              <w:t>2</w:t>
            </w:r>
          </w:p>
        </w:tc>
      </w:tr>
      <w:tr w:rsidR="00691F51" w14:paraId="42A3E6B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AF3BAA"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90CA51" w14:textId="77777777" w:rsidR="00691F51" w:rsidRDefault="00BA4BB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E4BF0" w14:textId="77777777" w:rsidR="00691F51" w:rsidRDefault="00BA4BB5">
            <w:pPr>
              <w:pStyle w:val="Body"/>
            </w:pPr>
            <w:r>
              <w:rPr>
                <w:i/>
                <w:iCs/>
                <w:color w:val="004147"/>
                <w:u w:color="004147"/>
                <w:shd w:val="clear" w:color="auto" w:fill="C0C0C0"/>
                <w:lang w:val="en-US"/>
              </w:rPr>
              <w:t>Enter mark here</w:t>
            </w:r>
          </w:p>
        </w:tc>
      </w:tr>
      <w:tr w:rsidR="00691F51" w14:paraId="72E8A918"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4D7D57A"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5639E"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B6403" w14:textId="77777777" w:rsidR="00691F51" w:rsidRDefault="00BA4BB5">
            <w:pPr>
              <w:pStyle w:val="Body"/>
            </w:pPr>
            <w:r>
              <w:rPr>
                <w:i/>
                <w:iCs/>
                <w:color w:val="004147"/>
                <w:u w:color="004147"/>
                <w:shd w:val="clear" w:color="auto" w:fill="C0C0C0"/>
                <w:lang w:val="en-US"/>
              </w:rPr>
              <w:t>Enter mark here</w:t>
            </w:r>
          </w:p>
        </w:tc>
      </w:tr>
      <w:tr w:rsidR="00691F51" w14:paraId="2E819044"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ABEE09" w14:textId="77777777" w:rsidR="00691F51" w:rsidRDefault="00BA4BB5">
            <w:pPr>
              <w:pStyle w:val="Body"/>
            </w:pPr>
            <w:r>
              <w:rPr>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D7B3E5" w14:textId="77777777" w:rsidR="00691F51" w:rsidRDefault="00BA4BB5">
            <w:pPr>
              <w:pStyle w:val="Body"/>
            </w:pPr>
            <w:r>
              <w:rPr>
                <w:lang w:val="en-US"/>
              </w:rPr>
              <w:t>Discuss the legal requirements of equal pay</w:t>
            </w:r>
            <w:r>
              <w:rPr>
                <w:color w:val="004147"/>
                <w:u w:color="004147"/>
                <w:shd w:val="clear" w:color="auto" w:fill="C0C0C0"/>
                <w:lang w:val="en-US"/>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1D563A" w14:textId="77777777" w:rsidR="00691F51" w:rsidRDefault="00691F51"/>
        </w:tc>
      </w:tr>
      <w:tr w:rsidR="00691F51" w14:paraId="3D82823B" w14:textId="77777777">
        <w:trPr>
          <w:trHeight w:val="2052"/>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B884616"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F59B79" w14:textId="77777777" w:rsidR="00691F51" w:rsidRDefault="00BA4BB5">
            <w:pPr>
              <w:pStyle w:val="Body"/>
              <w:rPr>
                <w:i/>
                <w:iCs/>
                <w:color w:val="004147"/>
                <w:u w:color="004147"/>
                <w:shd w:val="clear" w:color="auto" w:fill="C0C0C0"/>
                <w:lang w:val="en-US"/>
              </w:rPr>
            </w:pPr>
            <w:r>
              <w:rPr>
                <w:i/>
                <w:iCs/>
                <w:color w:val="004147"/>
                <w:u w:color="004147"/>
                <w:shd w:val="clear" w:color="auto" w:fill="C0C0C0"/>
                <w:lang w:val="en-US"/>
              </w:rPr>
              <w:t xml:space="preserve">This has the potential to be a good answer, but you need to add more detail about how Cat can address this </w:t>
            </w:r>
            <w:r>
              <w:rPr>
                <w:i/>
                <w:iCs/>
                <w:color w:val="004147"/>
                <w:u w:color="004147"/>
                <w:shd w:val="clear" w:color="auto" w:fill="C0C0C0"/>
                <w:lang w:val="en-US"/>
              </w:rPr>
              <w:t>issue in order to resolve the situation.  What are the potential consequences for the business?</w:t>
            </w:r>
          </w:p>
          <w:p w14:paraId="6A5A56DB" w14:textId="77777777" w:rsidR="00691F51" w:rsidRDefault="00691F51">
            <w:pPr>
              <w:pStyle w:val="Body"/>
              <w:rPr>
                <w:i/>
                <w:iCs/>
                <w:color w:val="004147"/>
                <w:u w:color="004147"/>
                <w:shd w:val="clear" w:color="auto" w:fill="C0C0C0"/>
                <w:lang w:val="en-US"/>
              </w:rPr>
            </w:pPr>
          </w:p>
          <w:p w14:paraId="26C310F6" w14:textId="77777777" w:rsidR="00691F51" w:rsidRDefault="00BA4BB5">
            <w:pPr>
              <w:pStyle w:val="Body"/>
            </w:pPr>
            <w:r>
              <w:rPr>
                <w:i/>
                <w:iCs/>
                <w:color w:val="004147"/>
                <w:u w:color="004147"/>
                <w:shd w:val="clear" w:color="auto" w:fill="C0C0C0"/>
                <w:lang w:val="en-US"/>
              </w:rPr>
              <w:t xml:space="preserve">There is a typo that needs to be amended as it has changed the meaning of the sentence.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6E7B72" w14:textId="77777777" w:rsidR="00691F51" w:rsidRDefault="00BA4BB5">
            <w:pPr>
              <w:pStyle w:val="Body"/>
            </w:pPr>
            <w:r>
              <w:rPr>
                <w:i/>
                <w:iCs/>
                <w:color w:val="004147"/>
                <w:u w:color="004147"/>
                <w:shd w:val="clear" w:color="auto" w:fill="C0C0C0"/>
                <w:lang w:val="en-US"/>
              </w:rPr>
              <w:t>1</w:t>
            </w:r>
          </w:p>
        </w:tc>
      </w:tr>
      <w:tr w:rsidR="00691F51" w14:paraId="374904C3"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2CAE5A7"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917CD" w14:textId="77777777" w:rsidR="00691F51" w:rsidRDefault="00BA4BB5">
            <w:pPr>
              <w:pStyle w:val="Body"/>
            </w:pPr>
            <w:r>
              <w:rPr>
                <w:i/>
                <w:iCs/>
                <w:color w:val="004147"/>
                <w:u w:color="004147"/>
                <w:shd w:val="clear" w:color="auto" w:fill="C0C0C0"/>
                <w:lang w:val="en-US"/>
              </w:rPr>
              <w:t xml:space="preserve">Please enter your Assessor feedback here for </w:t>
            </w:r>
            <w:r>
              <w:rPr>
                <w:i/>
                <w:iCs/>
                <w:color w:val="004147"/>
                <w:u w:color="004147"/>
                <w:shd w:val="clear" w:color="auto" w:fill="C0C0C0"/>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2EF09" w14:textId="77777777" w:rsidR="00691F51" w:rsidRDefault="00BA4BB5">
            <w:pPr>
              <w:pStyle w:val="Body"/>
            </w:pPr>
            <w:r>
              <w:rPr>
                <w:i/>
                <w:iCs/>
                <w:color w:val="004147"/>
                <w:u w:color="004147"/>
                <w:shd w:val="clear" w:color="auto" w:fill="C0C0C0"/>
                <w:lang w:val="en-US"/>
              </w:rPr>
              <w:t>Enter mark here</w:t>
            </w:r>
          </w:p>
        </w:tc>
      </w:tr>
      <w:tr w:rsidR="00691F51" w14:paraId="1E986AEB"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748742D"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9D92D5"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69680" w14:textId="77777777" w:rsidR="00691F51" w:rsidRDefault="00BA4BB5">
            <w:pPr>
              <w:pStyle w:val="Body"/>
            </w:pPr>
            <w:r>
              <w:rPr>
                <w:i/>
                <w:iCs/>
                <w:color w:val="004147"/>
                <w:u w:color="004147"/>
                <w:shd w:val="clear" w:color="auto" w:fill="C0C0C0"/>
                <w:lang w:val="en-US"/>
              </w:rPr>
              <w:t>Enter mark here</w:t>
            </w:r>
          </w:p>
        </w:tc>
      </w:tr>
      <w:tr w:rsidR="00691F51" w14:paraId="57969ABB"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4A841C" w14:textId="77777777" w:rsidR="00691F51" w:rsidRDefault="00BA4BB5">
            <w:pPr>
              <w:pStyle w:val="Body"/>
            </w:pPr>
            <w:r>
              <w:rPr>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B1A59" w14:textId="77777777" w:rsidR="00691F51" w:rsidRDefault="00BA4BB5">
            <w:pPr>
              <w:pStyle w:val="Body"/>
            </w:pPr>
            <w:r>
              <w:rPr>
                <w:lang w:val="en-US"/>
              </w:rPr>
              <w:t>Discuss the legal implications of managing change.</w:t>
            </w:r>
            <w:r>
              <w:rPr>
                <w:b/>
                <w:bCs/>
                <w:color w:val="004147"/>
                <w:u w:color="004147"/>
                <w:lang w:val="en-US"/>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EEA757" w14:textId="77777777" w:rsidR="00691F51" w:rsidRDefault="00691F51"/>
        </w:tc>
      </w:tr>
      <w:tr w:rsidR="00691F51" w14:paraId="3FC8AAB6" w14:textId="77777777">
        <w:trPr>
          <w:trHeight w:val="231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7BAE7E0"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5E6473" w14:textId="77777777" w:rsidR="00691F51" w:rsidRDefault="00BA4BB5">
            <w:pPr>
              <w:pStyle w:val="Body"/>
              <w:rPr>
                <w:i/>
                <w:iCs/>
                <w:color w:val="004147"/>
                <w:u w:color="004147"/>
                <w:shd w:val="clear" w:color="auto" w:fill="C0C0C0"/>
                <w:lang w:val="en-US"/>
              </w:rPr>
            </w:pPr>
            <w:r>
              <w:rPr>
                <w:i/>
                <w:iCs/>
                <w:color w:val="004147"/>
                <w:u w:color="004147"/>
                <w:shd w:val="clear" w:color="auto" w:fill="C0C0C0"/>
                <w:lang w:val="en-US"/>
              </w:rPr>
              <w:t xml:space="preserve">You have provided some useful discussion in your </w:t>
            </w:r>
            <w:r>
              <w:rPr>
                <w:i/>
                <w:iCs/>
                <w:color w:val="004147"/>
                <w:u w:color="004147"/>
                <w:shd w:val="clear" w:color="auto" w:fill="C0C0C0"/>
                <w:lang w:val="en-US"/>
              </w:rPr>
              <w:t>first 2 paragraphs but I’d suggest you need to add more detail about the legislation and process relating to redundancy.  Your reference to case law is useful.</w:t>
            </w:r>
          </w:p>
          <w:p w14:paraId="08407516" w14:textId="77777777" w:rsidR="00691F51" w:rsidRDefault="00691F51">
            <w:pPr>
              <w:pStyle w:val="Body"/>
              <w:rPr>
                <w:i/>
                <w:iCs/>
                <w:color w:val="004147"/>
                <w:u w:color="004147"/>
                <w:shd w:val="clear" w:color="auto" w:fill="C0C0C0"/>
                <w:lang w:val="en-US"/>
              </w:rPr>
            </w:pPr>
          </w:p>
          <w:p w14:paraId="2BD87049" w14:textId="77777777" w:rsidR="00691F51" w:rsidRDefault="00BA4BB5">
            <w:pPr>
              <w:pStyle w:val="Body"/>
            </w:pPr>
            <w:r>
              <w:rPr>
                <w:i/>
                <w:iCs/>
                <w:color w:val="004147"/>
                <w:u w:color="004147"/>
                <w:shd w:val="clear" w:color="auto" w:fill="C0C0C0"/>
                <w:lang w:val="en-US"/>
              </w:rPr>
              <w:t>You haven’t mentioned the notice pay - you will need to amend your answer to specifically mention the notice pay mentioned in the question.</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586934" w14:textId="77777777" w:rsidR="00691F51" w:rsidRDefault="00BA4BB5">
            <w:pPr>
              <w:pStyle w:val="Body"/>
            </w:pPr>
            <w:r>
              <w:rPr>
                <w:i/>
                <w:iCs/>
                <w:color w:val="004147"/>
                <w:u w:color="004147"/>
                <w:shd w:val="clear" w:color="auto" w:fill="C0C0C0"/>
                <w:lang w:val="en-US"/>
              </w:rPr>
              <w:t>1</w:t>
            </w:r>
          </w:p>
        </w:tc>
      </w:tr>
      <w:tr w:rsidR="00691F51" w14:paraId="612EF2C0"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049D226"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0FC0F6" w14:textId="77777777" w:rsidR="00691F51" w:rsidRDefault="00BA4BB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6A904F" w14:textId="77777777" w:rsidR="00691F51" w:rsidRDefault="00BA4BB5">
            <w:pPr>
              <w:pStyle w:val="Body"/>
            </w:pPr>
            <w:r>
              <w:rPr>
                <w:i/>
                <w:iCs/>
                <w:color w:val="004147"/>
                <w:u w:color="004147"/>
                <w:shd w:val="clear" w:color="auto" w:fill="C0C0C0"/>
                <w:lang w:val="en-US"/>
              </w:rPr>
              <w:t>Enter mark here</w:t>
            </w:r>
          </w:p>
        </w:tc>
      </w:tr>
      <w:tr w:rsidR="00691F51" w14:paraId="63907977"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1239799"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7BBF58"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868FC" w14:textId="77777777" w:rsidR="00691F51" w:rsidRDefault="00BA4BB5">
            <w:pPr>
              <w:pStyle w:val="Body"/>
            </w:pPr>
            <w:r>
              <w:rPr>
                <w:i/>
                <w:iCs/>
                <w:color w:val="004147"/>
                <w:u w:color="004147"/>
                <w:shd w:val="clear" w:color="auto" w:fill="C0C0C0"/>
                <w:lang w:val="en-US"/>
              </w:rPr>
              <w:t>Enter mark here</w:t>
            </w:r>
          </w:p>
        </w:tc>
      </w:tr>
      <w:tr w:rsidR="00691F51" w14:paraId="1B8FB09E"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90B60E" w14:textId="77777777" w:rsidR="00691F51" w:rsidRDefault="00BA4BB5">
            <w:pPr>
              <w:pStyle w:val="Body"/>
            </w:pPr>
            <w:r>
              <w:rPr>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A4F92D" w14:textId="77777777" w:rsidR="00691F51" w:rsidRDefault="00BA4BB5">
            <w:pPr>
              <w:pStyle w:val="Body"/>
            </w:pPr>
            <w:r>
              <w:rPr>
                <w:lang w:val="en-US"/>
              </w:rPr>
              <w:t xml:space="preserve">Explain the </w:t>
            </w:r>
            <w:r>
              <w:rPr>
                <w:lang w:val="en-US"/>
              </w:rPr>
              <w:t>legal requirements relating to transfers of undertakings.</w:t>
            </w:r>
            <w:r>
              <w:rPr>
                <w:color w:val="004147"/>
                <w:u w:color="004147"/>
                <w:shd w:val="clear" w:color="auto" w:fill="C0C0C0"/>
                <w:lang w:val="en-US"/>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F7EEC4" w14:textId="77777777" w:rsidR="00691F51" w:rsidRDefault="00691F51"/>
        </w:tc>
      </w:tr>
      <w:tr w:rsidR="00691F51" w14:paraId="6A270E2B" w14:textId="77777777">
        <w:trPr>
          <w:trHeight w:val="501"/>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27767F3"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DBCB36" w14:textId="77777777" w:rsidR="00691F51" w:rsidRDefault="00BA4BB5">
            <w:pPr>
              <w:pStyle w:val="Body"/>
            </w:pPr>
            <w:r>
              <w:rPr>
                <w:i/>
                <w:iCs/>
                <w:color w:val="004147"/>
                <w:u w:color="004147"/>
                <w:shd w:val="clear" w:color="auto" w:fill="C0C0C0"/>
                <w:lang w:val="en-US"/>
              </w:rPr>
              <w:t>Your answer is concise but provides for an adequate explanation of the main legal requirements relating to TUPE.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0FD339" w14:textId="77777777" w:rsidR="00691F51" w:rsidRDefault="00BA4BB5">
            <w:pPr>
              <w:pStyle w:val="Body"/>
            </w:pPr>
            <w:r>
              <w:rPr>
                <w:i/>
                <w:iCs/>
                <w:color w:val="004147"/>
                <w:u w:color="004147"/>
                <w:shd w:val="clear" w:color="auto" w:fill="C0C0C0"/>
                <w:lang w:val="en-US"/>
              </w:rPr>
              <w:t>2</w:t>
            </w:r>
          </w:p>
        </w:tc>
      </w:tr>
      <w:tr w:rsidR="00691F51" w14:paraId="3F5781FC"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7576700"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773F7" w14:textId="77777777" w:rsidR="00691F51" w:rsidRDefault="00BA4BB5">
            <w:pPr>
              <w:pStyle w:val="Body"/>
            </w:pPr>
            <w:r>
              <w:rPr>
                <w:i/>
                <w:iCs/>
                <w:color w:val="004147"/>
                <w:u w:color="004147"/>
                <w:shd w:val="clear" w:color="auto" w:fill="C0C0C0"/>
                <w:lang w:val="en-US"/>
              </w:rPr>
              <w:t xml:space="preserve">Please enter your Assessor feedback here for resubmission 1 (if </w:t>
            </w:r>
            <w:r>
              <w:rPr>
                <w:i/>
                <w:iCs/>
                <w:color w:val="004147"/>
                <w:u w:color="004147"/>
                <w:shd w:val="clear" w:color="auto" w:fill="C0C0C0"/>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8CC6E" w14:textId="77777777" w:rsidR="00691F51" w:rsidRDefault="00BA4BB5">
            <w:pPr>
              <w:pStyle w:val="Body"/>
            </w:pPr>
            <w:r>
              <w:rPr>
                <w:i/>
                <w:iCs/>
                <w:color w:val="004147"/>
                <w:u w:color="004147"/>
                <w:shd w:val="clear" w:color="auto" w:fill="C0C0C0"/>
                <w:lang w:val="en-US"/>
              </w:rPr>
              <w:t>Enter mark here</w:t>
            </w:r>
          </w:p>
        </w:tc>
      </w:tr>
      <w:tr w:rsidR="00691F51" w14:paraId="78A3B9F7"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B227B4A"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07816"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BB24C" w14:textId="77777777" w:rsidR="00691F51" w:rsidRDefault="00BA4BB5">
            <w:pPr>
              <w:pStyle w:val="Body"/>
            </w:pPr>
            <w:r>
              <w:rPr>
                <w:i/>
                <w:iCs/>
                <w:color w:val="004147"/>
                <w:u w:color="004147"/>
                <w:shd w:val="clear" w:color="auto" w:fill="C0C0C0"/>
                <w:lang w:val="en-US"/>
              </w:rPr>
              <w:t>Enter mark here</w:t>
            </w:r>
          </w:p>
        </w:tc>
      </w:tr>
      <w:tr w:rsidR="00691F51" w14:paraId="0735DC0B"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2226F4" w14:textId="77777777" w:rsidR="00691F51" w:rsidRDefault="00BA4BB5">
            <w:pPr>
              <w:pStyle w:val="Body"/>
            </w:pPr>
            <w:r>
              <w:rPr>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3D308B" w14:textId="77777777" w:rsidR="00691F51" w:rsidRDefault="00BA4BB5">
            <w:pPr>
              <w:pStyle w:val="Body"/>
            </w:pPr>
            <w:r>
              <w:rPr>
                <w:lang w:val="en-US"/>
              </w:rPr>
              <w:t>Explain the major statutory rights workers have in relation to pay</w:t>
            </w:r>
            <w:r>
              <w:rPr>
                <w:color w:val="004147"/>
                <w:u w:color="004147"/>
                <w:shd w:val="clear" w:color="auto" w:fill="C0C0C0"/>
                <w:lang w:val="en-US"/>
              </w:rPr>
              <w:t>.</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7BE611" w14:textId="77777777" w:rsidR="00691F51" w:rsidRDefault="00691F51"/>
        </w:tc>
      </w:tr>
      <w:tr w:rsidR="00691F51" w14:paraId="5200EBE2" w14:textId="77777777">
        <w:trPr>
          <w:trHeight w:val="501"/>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8473883"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FBB01" w14:textId="77777777" w:rsidR="00691F51" w:rsidRDefault="00BA4BB5">
            <w:pPr>
              <w:pStyle w:val="Body"/>
            </w:pPr>
            <w:r>
              <w:rPr>
                <w:i/>
                <w:iCs/>
                <w:color w:val="004147"/>
                <w:u w:color="004147"/>
                <w:shd w:val="clear" w:color="auto" w:fill="C0C0C0"/>
              </w:rPr>
              <w:t xml:space="preserve">This is a good answer which explains the major </w:t>
            </w:r>
            <w:r>
              <w:rPr>
                <w:i/>
                <w:iCs/>
                <w:color w:val="004147"/>
                <w:u w:color="004147"/>
                <w:shd w:val="clear" w:color="auto" w:fill="C0C0C0"/>
              </w:rPr>
              <w:t>statutory rights in relation to pay.  You have provided good detail here.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5DECB" w14:textId="77777777" w:rsidR="00691F51" w:rsidRDefault="00BA4BB5">
            <w:pPr>
              <w:pStyle w:val="Body"/>
            </w:pPr>
            <w:r>
              <w:rPr>
                <w:i/>
                <w:iCs/>
                <w:color w:val="004147"/>
                <w:u w:color="004147"/>
                <w:shd w:val="clear" w:color="auto" w:fill="C0C0C0"/>
                <w:lang w:val="en-US"/>
              </w:rPr>
              <w:t>4</w:t>
            </w:r>
          </w:p>
        </w:tc>
      </w:tr>
      <w:tr w:rsidR="00691F51" w14:paraId="5A215BA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8662AA7"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EEB36" w14:textId="77777777" w:rsidR="00691F51" w:rsidRDefault="00BA4BB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124657" w14:textId="77777777" w:rsidR="00691F51" w:rsidRDefault="00BA4BB5">
            <w:pPr>
              <w:pStyle w:val="Body"/>
            </w:pPr>
            <w:r>
              <w:rPr>
                <w:i/>
                <w:iCs/>
                <w:color w:val="004147"/>
                <w:u w:color="004147"/>
                <w:shd w:val="clear" w:color="auto" w:fill="C0C0C0"/>
                <w:lang w:val="en-US"/>
              </w:rPr>
              <w:t>Enter mark here</w:t>
            </w:r>
          </w:p>
        </w:tc>
      </w:tr>
      <w:tr w:rsidR="00691F51" w14:paraId="39FF14F4"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CC5427F"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4EA83" w14:textId="77777777" w:rsidR="00691F51" w:rsidRDefault="00BA4BB5">
            <w:pPr>
              <w:pStyle w:val="Body"/>
            </w:pPr>
            <w:r>
              <w:rPr>
                <w:i/>
                <w:iCs/>
                <w:color w:val="004147"/>
                <w:u w:color="004147"/>
                <w:shd w:val="clear" w:color="auto" w:fill="C0C0C0"/>
                <w:lang w:val="en-US"/>
              </w:rPr>
              <w:t xml:space="preserve">Please enter your Assessor feedback here for resubmission 2 (if </w:t>
            </w:r>
            <w:r>
              <w:rPr>
                <w:i/>
                <w:iCs/>
                <w:color w:val="004147"/>
                <w:u w:color="004147"/>
                <w:shd w:val="clear" w:color="auto" w:fill="C0C0C0"/>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F57E67" w14:textId="77777777" w:rsidR="00691F51" w:rsidRDefault="00BA4BB5">
            <w:pPr>
              <w:pStyle w:val="Body"/>
            </w:pPr>
            <w:r>
              <w:rPr>
                <w:i/>
                <w:iCs/>
                <w:color w:val="004147"/>
                <w:u w:color="004147"/>
                <w:shd w:val="clear" w:color="auto" w:fill="C0C0C0"/>
                <w:lang w:val="en-US"/>
              </w:rPr>
              <w:t>Enter mark here</w:t>
            </w:r>
          </w:p>
        </w:tc>
      </w:tr>
      <w:tr w:rsidR="00691F51" w14:paraId="49B341A0"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D39ED3" w14:textId="77777777" w:rsidR="00691F51" w:rsidRDefault="00BA4BB5">
            <w:pPr>
              <w:pStyle w:val="Body"/>
            </w:pPr>
            <w:r>
              <w:rPr>
                <w:color w:val="004147"/>
                <w:u w:color="004147"/>
                <w:lang w:val="en-US"/>
              </w:rPr>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80B163" w14:textId="77777777" w:rsidR="00691F51" w:rsidRDefault="00BA4BB5">
            <w:pPr>
              <w:pStyle w:val="Body"/>
            </w:pPr>
            <w:r>
              <w:rPr>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21E74C" w14:textId="77777777" w:rsidR="00691F51" w:rsidRDefault="00691F51"/>
        </w:tc>
      </w:tr>
      <w:tr w:rsidR="00691F51" w14:paraId="31271BBA" w14:textId="77777777">
        <w:trPr>
          <w:trHeight w:val="2052"/>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CE969FE"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94316F" w14:textId="77777777" w:rsidR="00691F51" w:rsidRDefault="00BA4BB5">
            <w:pPr>
              <w:pStyle w:val="Body"/>
              <w:rPr>
                <w:i/>
                <w:iCs/>
                <w:color w:val="004147"/>
                <w:u w:color="004147"/>
              </w:rPr>
            </w:pPr>
            <w:r>
              <w:rPr>
                <w:i/>
                <w:iCs/>
                <w:color w:val="004147"/>
                <w:u w:color="004147"/>
                <w:lang w:val="en-US"/>
              </w:rPr>
              <w:t>There is a typo in this answer, which should have been picked up before submission of your assignment.</w:t>
            </w:r>
          </w:p>
          <w:p w14:paraId="4D39220D" w14:textId="77777777" w:rsidR="00691F51" w:rsidRDefault="00691F51">
            <w:pPr>
              <w:pStyle w:val="Body"/>
              <w:rPr>
                <w:i/>
                <w:iCs/>
                <w:color w:val="004147"/>
                <w:u w:color="004147"/>
              </w:rPr>
            </w:pPr>
          </w:p>
          <w:p w14:paraId="23DC2571" w14:textId="77777777" w:rsidR="00691F51" w:rsidRDefault="00BA4BB5">
            <w:pPr>
              <w:pStyle w:val="Body"/>
              <w:rPr>
                <w:i/>
                <w:iCs/>
                <w:color w:val="004147"/>
                <w:u w:color="004147"/>
                <w:shd w:val="clear" w:color="auto" w:fill="C0C0C0"/>
                <w:lang w:val="en-US"/>
              </w:rPr>
            </w:pPr>
            <w:r>
              <w:rPr>
                <w:i/>
                <w:iCs/>
                <w:color w:val="004147"/>
                <w:u w:color="004147"/>
                <w:lang w:val="en-US"/>
              </w:rPr>
              <w:t xml:space="preserve">This is a good answer which demonstrates a good </w:t>
            </w:r>
            <w:r>
              <w:rPr>
                <w:i/>
                <w:iCs/>
                <w:color w:val="004147"/>
                <w:u w:color="004147"/>
                <w:lang w:val="en-US"/>
              </w:rPr>
              <w:t>understanding of The Working Time Regulations.</w:t>
            </w:r>
          </w:p>
          <w:p w14:paraId="4F9515EC" w14:textId="77777777" w:rsidR="00691F51" w:rsidRDefault="00691F51">
            <w:pPr>
              <w:pStyle w:val="Body"/>
              <w:rPr>
                <w:i/>
                <w:iCs/>
                <w:color w:val="004147"/>
                <w:u w:color="004147"/>
                <w:shd w:val="clear" w:color="auto" w:fill="C0C0C0"/>
                <w:lang w:val="en-US"/>
              </w:rPr>
            </w:pPr>
          </w:p>
          <w:p w14:paraId="2576EF94" w14:textId="77777777" w:rsidR="00691F51" w:rsidRDefault="00691F51">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1C95F" w14:textId="77777777" w:rsidR="00691F51" w:rsidRDefault="00BA4BB5">
            <w:pPr>
              <w:pStyle w:val="Body"/>
            </w:pPr>
            <w:r>
              <w:rPr>
                <w:i/>
                <w:iCs/>
                <w:color w:val="004147"/>
                <w:u w:color="004147"/>
                <w:shd w:val="clear" w:color="auto" w:fill="C0C0C0"/>
                <w:lang w:val="en-US"/>
              </w:rPr>
              <w:t>3</w:t>
            </w:r>
          </w:p>
        </w:tc>
      </w:tr>
      <w:tr w:rsidR="00691F51" w14:paraId="26A70E05"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45F7CB8"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089FE" w14:textId="77777777" w:rsidR="00691F51" w:rsidRDefault="00BA4BB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FAA560" w14:textId="77777777" w:rsidR="00691F51" w:rsidRDefault="00BA4BB5">
            <w:pPr>
              <w:pStyle w:val="Body"/>
            </w:pPr>
            <w:r>
              <w:rPr>
                <w:i/>
                <w:iCs/>
                <w:color w:val="004147"/>
                <w:u w:color="004147"/>
                <w:shd w:val="clear" w:color="auto" w:fill="C0C0C0"/>
                <w:lang w:val="en-US"/>
              </w:rPr>
              <w:t>Enter mark here</w:t>
            </w:r>
          </w:p>
        </w:tc>
      </w:tr>
      <w:tr w:rsidR="00691F51" w14:paraId="38D724C2"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1D1ADDB"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794CF"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4928F" w14:textId="77777777" w:rsidR="00691F51" w:rsidRDefault="00BA4BB5">
            <w:pPr>
              <w:pStyle w:val="Body"/>
            </w:pPr>
            <w:r>
              <w:rPr>
                <w:i/>
                <w:iCs/>
                <w:color w:val="004147"/>
                <w:u w:color="004147"/>
                <w:shd w:val="clear" w:color="auto" w:fill="C0C0C0"/>
                <w:lang w:val="en-US"/>
              </w:rPr>
              <w:t>Enter mark here</w:t>
            </w:r>
          </w:p>
        </w:tc>
      </w:tr>
      <w:tr w:rsidR="00691F51" w14:paraId="671DBA48"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A9F1C8" w14:textId="77777777" w:rsidR="00691F51" w:rsidRDefault="00BA4BB5">
            <w:pPr>
              <w:pStyle w:val="Body"/>
            </w:pPr>
            <w:r>
              <w:rPr>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AD6532" w14:textId="77777777" w:rsidR="00691F51" w:rsidRDefault="00BA4BB5">
            <w:pPr>
              <w:pStyle w:val="Body"/>
            </w:pPr>
            <w:r>
              <w:rPr>
                <w:rFonts w:eastAsia="Arial Unicode MS" w:cs="Arial Unicode MS"/>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10FD2FB" w14:textId="77777777" w:rsidR="00691F51" w:rsidRDefault="00691F51"/>
        </w:tc>
      </w:tr>
      <w:tr w:rsidR="00691F51" w14:paraId="1C068561"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80377E"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DC6B9" w14:textId="77777777" w:rsidR="00691F51" w:rsidRDefault="00BA4BB5">
            <w:pPr>
              <w:pStyle w:val="Body"/>
            </w:pPr>
            <w:r>
              <w:rPr>
                <w:i/>
                <w:iCs/>
                <w:color w:val="004147"/>
                <w:u w:color="004147"/>
                <w:shd w:val="clear" w:color="auto" w:fill="C0C0C0"/>
                <w:lang w:val="en-US"/>
              </w:rPr>
              <w:t xml:space="preserve">This is a very comprehensive explanation of the main principles of maternity, paternity and adoption rights.  You have referenced case law and the legislation to support your answer.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1D7B0E" w14:textId="77777777" w:rsidR="00691F51" w:rsidRDefault="00BA4BB5">
            <w:pPr>
              <w:pStyle w:val="Body"/>
            </w:pPr>
            <w:r>
              <w:rPr>
                <w:i/>
                <w:iCs/>
                <w:color w:val="004147"/>
                <w:u w:color="004147"/>
                <w:shd w:val="clear" w:color="auto" w:fill="C0C0C0"/>
                <w:lang w:val="en-US"/>
              </w:rPr>
              <w:t>4</w:t>
            </w:r>
          </w:p>
        </w:tc>
      </w:tr>
      <w:tr w:rsidR="00691F51" w14:paraId="3BA45499"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37A40B"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D109E" w14:textId="77777777" w:rsidR="00691F51" w:rsidRDefault="00BA4BB5">
            <w:pPr>
              <w:pStyle w:val="Body"/>
            </w:pPr>
            <w:r>
              <w:rPr>
                <w:i/>
                <w:iCs/>
                <w:color w:val="004147"/>
                <w:u w:color="004147"/>
                <w:shd w:val="clear" w:color="auto" w:fill="C0C0C0"/>
                <w:lang w:val="en-US"/>
              </w:rPr>
              <w:t xml:space="preserve">Please enter your Assessor feedback here for </w:t>
            </w:r>
            <w:r>
              <w:rPr>
                <w:i/>
                <w:iCs/>
                <w:color w:val="004147"/>
                <w:u w:color="004147"/>
                <w:shd w:val="clear" w:color="auto" w:fill="C0C0C0"/>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32FFA" w14:textId="77777777" w:rsidR="00691F51" w:rsidRDefault="00BA4BB5">
            <w:pPr>
              <w:pStyle w:val="Body"/>
            </w:pPr>
            <w:r>
              <w:rPr>
                <w:i/>
                <w:iCs/>
                <w:color w:val="004147"/>
                <w:u w:color="004147"/>
                <w:shd w:val="clear" w:color="auto" w:fill="C0C0C0"/>
                <w:lang w:val="en-US"/>
              </w:rPr>
              <w:t>Enter mark here</w:t>
            </w:r>
          </w:p>
        </w:tc>
      </w:tr>
      <w:tr w:rsidR="00691F51" w14:paraId="62F99180"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A4E5610"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86D8B" w14:textId="77777777" w:rsidR="00691F51" w:rsidRDefault="00BA4BB5">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9F3D25" w14:textId="77777777" w:rsidR="00691F51" w:rsidRDefault="00BA4BB5">
            <w:pPr>
              <w:pStyle w:val="Body"/>
            </w:pPr>
            <w:r>
              <w:rPr>
                <w:i/>
                <w:iCs/>
                <w:color w:val="004147"/>
                <w:u w:color="004147"/>
                <w:shd w:val="clear" w:color="auto" w:fill="C0C0C0"/>
                <w:lang w:val="en-US"/>
              </w:rPr>
              <w:t>Enter mark here</w:t>
            </w:r>
          </w:p>
        </w:tc>
      </w:tr>
      <w:tr w:rsidR="00691F51" w14:paraId="20549C59" w14:textId="77777777">
        <w:trPr>
          <w:trHeight w:val="24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4FCC45" w14:textId="77777777" w:rsidR="00691F51" w:rsidRDefault="00BA4BB5">
            <w:pPr>
              <w:pStyle w:val="Body"/>
            </w:pPr>
            <w:r>
              <w:rPr>
                <w:color w:val="004147"/>
                <w:u w:color="004147"/>
                <w:lang w:val="en-US"/>
              </w:rPr>
              <w:t>4.4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5C34B4" w14:textId="77777777" w:rsidR="00691F51" w:rsidRDefault="00BA4BB5">
            <w:pPr>
              <w:pStyle w:val="Body"/>
            </w:pPr>
            <w:r>
              <w:rPr>
                <w:rFonts w:eastAsia="Arial Unicode MS" w:cs="Arial Unicode MS"/>
                <w:lang w:val="en-US"/>
              </w:rPr>
              <w:t>Explain other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5EBBB9" w14:textId="77777777" w:rsidR="00691F51" w:rsidRDefault="00691F51"/>
        </w:tc>
      </w:tr>
      <w:tr w:rsidR="00691F51" w14:paraId="0A45396C" w14:textId="77777777">
        <w:trPr>
          <w:trHeight w:val="1018"/>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8FECAC9"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673AA" w14:textId="77777777" w:rsidR="00691F51" w:rsidRDefault="00BA4BB5">
            <w:pPr>
              <w:pStyle w:val="Body"/>
            </w:pPr>
            <w:r>
              <w:rPr>
                <w:i/>
                <w:iCs/>
                <w:color w:val="004147"/>
                <w:u w:color="004147"/>
                <w:shd w:val="clear" w:color="auto" w:fill="C0C0C0"/>
                <w:lang w:val="en-US"/>
              </w:rPr>
              <w:t xml:space="preserve">This is a short, concise answer, which </w:t>
            </w:r>
            <w:r>
              <w:rPr>
                <w:i/>
                <w:iCs/>
                <w:color w:val="004147"/>
                <w:u w:color="004147"/>
                <w:shd w:val="clear" w:color="auto" w:fill="C0C0C0"/>
                <w:lang w:val="en-US"/>
              </w:rPr>
              <w:t>nevertheless answers the question and provides an explanation of the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7FF0CA" w14:textId="77777777" w:rsidR="00691F51" w:rsidRDefault="00BA4BB5">
            <w:pPr>
              <w:pStyle w:val="Body"/>
            </w:pPr>
            <w:r>
              <w:rPr>
                <w:i/>
                <w:iCs/>
                <w:color w:val="004147"/>
                <w:u w:color="004147"/>
                <w:shd w:val="clear" w:color="auto" w:fill="C0C0C0"/>
                <w:lang w:val="en-US"/>
              </w:rPr>
              <w:t>3</w:t>
            </w:r>
          </w:p>
        </w:tc>
      </w:tr>
      <w:tr w:rsidR="00691F51" w14:paraId="38951AE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CB89504"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97771" w14:textId="77777777" w:rsidR="00691F51" w:rsidRDefault="00BA4BB5">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A824B5" w14:textId="77777777" w:rsidR="00691F51" w:rsidRDefault="00BA4BB5">
            <w:pPr>
              <w:pStyle w:val="Body"/>
            </w:pPr>
            <w:r>
              <w:rPr>
                <w:i/>
                <w:iCs/>
                <w:color w:val="004147"/>
                <w:u w:color="004147"/>
                <w:shd w:val="clear" w:color="auto" w:fill="C0C0C0"/>
                <w:lang w:val="en-US"/>
              </w:rPr>
              <w:t>Enter mark here</w:t>
            </w:r>
          </w:p>
        </w:tc>
      </w:tr>
      <w:tr w:rsidR="00691F51" w14:paraId="25524F7A"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B36FADF" w14:textId="77777777" w:rsidR="00691F51" w:rsidRDefault="00691F51"/>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311C2" w14:textId="77777777" w:rsidR="00691F51" w:rsidRDefault="00BA4BB5">
            <w:pPr>
              <w:pStyle w:val="Body"/>
            </w:pPr>
            <w:r>
              <w:rPr>
                <w:i/>
                <w:iCs/>
                <w:color w:val="004147"/>
                <w:u w:color="004147"/>
                <w:shd w:val="clear" w:color="auto" w:fill="C0C0C0"/>
                <w:lang w:val="en-US"/>
              </w:rPr>
              <w:t xml:space="preserve">Please enter your Assessor feedback here for </w:t>
            </w:r>
            <w:r>
              <w:rPr>
                <w:i/>
                <w:iCs/>
                <w:color w:val="004147"/>
                <w:u w:color="004147"/>
                <w:shd w:val="clear" w:color="auto" w:fill="C0C0C0"/>
                <w:lang w:val="en-US"/>
              </w:rPr>
              <w:t>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D03AA" w14:textId="77777777" w:rsidR="00691F51" w:rsidRDefault="00BA4BB5">
            <w:pPr>
              <w:pStyle w:val="Body"/>
            </w:pPr>
            <w:r>
              <w:rPr>
                <w:i/>
                <w:iCs/>
                <w:color w:val="004147"/>
                <w:u w:color="004147"/>
                <w:shd w:val="clear" w:color="auto" w:fill="C0C0C0"/>
                <w:lang w:val="en-US"/>
              </w:rPr>
              <w:t>Enter mark here</w:t>
            </w:r>
          </w:p>
        </w:tc>
      </w:tr>
      <w:tr w:rsidR="00691F51" w14:paraId="55B4E77C" w14:textId="77777777">
        <w:trPr>
          <w:trHeight w:val="501"/>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BFB012" w14:textId="77777777" w:rsidR="00691F51" w:rsidRDefault="00BA4BB5">
            <w:pPr>
              <w:pStyle w:val="Body"/>
            </w:pPr>
            <w:r>
              <w:rPr>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D28E97" w14:textId="77777777" w:rsidR="00691F51" w:rsidRDefault="00BA4BB5">
            <w:pPr>
              <w:pStyle w:val="Body"/>
            </w:pPr>
            <w:r>
              <w:rPr>
                <w:i/>
                <w:iCs/>
                <w:color w:val="004147"/>
                <w:u w:color="004147"/>
                <w:shd w:val="clear" w:color="auto" w:fill="C0C0C0"/>
                <w:lang w:val="en-US"/>
              </w:rPr>
              <w:t>25</w:t>
            </w:r>
          </w:p>
        </w:tc>
      </w:tr>
      <w:tr w:rsidR="00691F51" w14:paraId="7C834F8D"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215578" w14:textId="77777777" w:rsidR="00691F51" w:rsidRDefault="00BA4BB5">
            <w:pPr>
              <w:pStyle w:val="Body"/>
            </w:pPr>
            <w:r>
              <w:rPr>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892C4" w14:textId="77777777" w:rsidR="00691F51" w:rsidRDefault="00BA4BB5">
            <w:pPr>
              <w:pStyle w:val="Body"/>
            </w:pPr>
            <w:r>
              <w:rPr>
                <w:i/>
                <w:iCs/>
                <w:color w:val="004147"/>
                <w:u w:color="004147"/>
                <w:shd w:val="clear" w:color="auto" w:fill="C0C0C0"/>
                <w:lang w:val="en-US"/>
              </w:rPr>
              <w:t>Enter total marks here</w:t>
            </w:r>
          </w:p>
        </w:tc>
      </w:tr>
      <w:tr w:rsidR="00691F51" w14:paraId="3DFA548C"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8FD912" w14:textId="77777777" w:rsidR="00691F51" w:rsidRDefault="00BA4BB5">
            <w:pPr>
              <w:pStyle w:val="Body"/>
            </w:pPr>
            <w:r>
              <w:rPr>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876354" w14:textId="77777777" w:rsidR="00691F51" w:rsidRDefault="00BA4BB5">
            <w:pPr>
              <w:pStyle w:val="Body"/>
            </w:pPr>
            <w:r>
              <w:rPr>
                <w:i/>
                <w:iCs/>
                <w:color w:val="004147"/>
                <w:u w:color="004147"/>
                <w:shd w:val="clear" w:color="auto" w:fill="C0C0C0"/>
                <w:lang w:val="en-US"/>
              </w:rPr>
              <w:t>Enter total marks here</w:t>
            </w:r>
          </w:p>
        </w:tc>
      </w:tr>
    </w:tbl>
    <w:p w14:paraId="478A6031" w14:textId="77777777" w:rsidR="00691F51" w:rsidRDefault="00691F51">
      <w:pPr>
        <w:pStyle w:val="Body"/>
        <w:widowControl w:val="0"/>
        <w:spacing w:line="240" w:lineRule="auto"/>
      </w:pPr>
    </w:p>
    <w:p w14:paraId="22990FC5" w14:textId="77777777" w:rsidR="00691F51" w:rsidRDefault="00691F51">
      <w:pPr>
        <w:pStyle w:val="Body"/>
      </w:pPr>
    </w:p>
    <w:p w14:paraId="64FEB57B" w14:textId="77777777" w:rsidR="00691F51" w:rsidRDefault="00691F51">
      <w:pPr>
        <w:pStyle w:val="Body"/>
      </w:pPr>
    </w:p>
    <w:p w14:paraId="1A852360" w14:textId="77777777" w:rsidR="00691F51" w:rsidRDefault="00691F51">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2769"/>
        <w:gridCol w:w="924"/>
        <w:gridCol w:w="1849"/>
        <w:gridCol w:w="3015"/>
        <w:gridCol w:w="1245"/>
      </w:tblGrid>
      <w:tr w:rsidR="00691F51" w14:paraId="302024FF" w14:textId="77777777">
        <w:trPr>
          <w:trHeight w:val="501"/>
        </w:trPr>
        <w:tc>
          <w:tcPr>
            <w:tcW w:w="369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AADEBD" w14:textId="77777777" w:rsidR="00691F51" w:rsidRDefault="00BA4BB5">
            <w:pPr>
              <w:pStyle w:val="Body"/>
            </w:pPr>
            <w:r>
              <w:rPr>
                <w:b/>
                <w:bCs/>
                <w:color w:val="004147"/>
                <w:u w:color="004147"/>
                <w:lang w:val="en-US"/>
              </w:rPr>
              <w:t>Total marks for UNIT</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FA95D" w14:textId="77777777" w:rsidR="00691F51" w:rsidRDefault="00BA4BB5">
            <w:pPr>
              <w:pStyle w:val="Body"/>
              <w:jc w:val="right"/>
            </w:pPr>
            <w:r>
              <w:rPr>
                <w:i/>
                <w:iCs/>
                <w:color w:val="004147"/>
                <w:u w:color="004147"/>
                <w:shd w:val="clear" w:color="auto" w:fill="C0C0C0"/>
                <w:lang w:val="en-US"/>
              </w:rPr>
              <w:t>25</w:t>
            </w:r>
          </w:p>
        </w:tc>
        <w:tc>
          <w:tcPr>
            <w:tcW w:w="301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81312C" w14:textId="77777777" w:rsidR="00691F51" w:rsidRDefault="00BA4BB5">
            <w:pPr>
              <w:pStyle w:val="Body"/>
              <w:jc w:val="right"/>
            </w:pPr>
            <w:r>
              <w:rPr>
                <w:b/>
                <w:bCs/>
                <w:color w:val="004147"/>
                <w:u w:color="004147"/>
                <w:lang w:val="en-US"/>
              </w:rPr>
              <w:t>Grade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4848DD" w14:textId="77777777" w:rsidR="00691F51" w:rsidRDefault="00BA4BB5">
            <w:pPr>
              <w:pStyle w:val="Body"/>
            </w:pPr>
            <w:r>
              <w:rPr>
                <w:i/>
                <w:iCs/>
                <w:color w:val="004147"/>
                <w:u w:color="004147"/>
                <w:shd w:val="clear" w:color="auto" w:fill="C0C0C0"/>
                <w:lang w:val="en-US"/>
              </w:rPr>
              <w:t>Low Pass</w:t>
            </w:r>
          </w:p>
        </w:tc>
      </w:tr>
      <w:tr w:rsidR="00691F51" w14:paraId="5A6B0F6B" w14:textId="77777777">
        <w:trPr>
          <w:trHeight w:val="760"/>
        </w:trPr>
        <w:tc>
          <w:tcPr>
            <w:tcW w:w="369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814E4" w14:textId="77777777" w:rsidR="00691F51" w:rsidRDefault="00BA4BB5">
            <w:pPr>
              <w:pStyle w:val="Body"/>
            </w:pPr>
            <w:r>
              <w:rPr>
                <w:b/>
                <w:bCs/>
                <w:color w:val="004147"/>
                <w:u w:color="004147"/>
                <w:lang w:val="en-US"/>
              </w:rPr>
              <w:t>Total marks for UNIT (resubmission 1 if applicable)</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8648E4" w14:textId="77777777" w:rsidR="00691F51" w:rsidRDefault="00BA4BB5">
            <w:pPr>
              <w:pStyle w:val="Body"/>
              <w:jc w:val="right"/>
            </w:pPr>
            <w:r>
              <w:rPr>
                <w:i/>
                <w:iCs/>
                <w:color w:val="004147"/>
                <w:u w:color="004147"/>
                <w:shd w:val="clear" w:color="auto" w:fill="C0C0C0"/>
                <w:lang w:val="en-US"/>
              </w:rPr>
              <w:t>Enter total unit marks here</w:t>
            </w:r>
          </w:p>
        </w:tc>
        <w:tc>
          <w:tcPr>
            <w:tcW w:w="301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A73968" w14:textId="77777777" w:rsidR="00691F51" w:rsidRDefault="00BA4BB5">
            <w:pPr>
              <w:pStyle w:val="Body"/>
              <w:jc w:val="right"/>
            </w:pPr>
            <w:r>
              <w:rPr>
                <w:b/>
                <w:bCs/>
                <w:color w:val="004147"/>
                <w:u w:color="004147"/>
                <w:lang w:val="en-US"/>
              </w:rPr>
              <w:t>Grade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5217E3" w14:textId="77777777" w:rsidR="00691F51" w:rsidRDefault="00BA4BB5">
            <w:pPr>
              <w:pStyle w:val="Body"/>
            </w:pPr>
            <w:r>
              <w:rPr>
                <w:i/>
                <w:iCs/>
                <w:color w:val="004147"/>
                <w:u w:color="004147"/>
                <w:shd w:val="clear" w:color="auto" w:fill="C0C0C0"/>
                <w:lang w:val="en-US"/>
              </w:rPr>
              <w:t>Enter grade here</w:t>
            </w:r>
          </w:p>
        </w:tc>
      </w:tr>
      <w:tr w:rsidR="00691F51" w14:paraId="7A701162" w14:textId="77777777">
        <w:trPr>
          <w:trHeight w:val="760"/>
        </w:trPr>
        <w:tc>
          <w:tcPr>
            <w:tcW w:w="369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3B5F4D" w14:textId="77777777" w:rsidR="00691F51" w:rsidRDefault="00BA4BB5">
            <w:pPr>
              <w:pStyle w:val="Body"/>
              <w:tabs>
                <w:tab w:val="left" w:pos="2317"/>
                <w:tab w:val="right" w:pos="7656"/>
              </w:tabs>
            </w:pPr>
            <w:r>
              <w:rPr>
                <w:b/>
                <w:bCs/>
                <w:color w:val="004147"/>
                <w:u w:color="004147"/>
                <w:lang w:val="en-US"/>
              </w:rPr>
              <w:t>Total marks for UNIT (resubmission 2 if applicable)</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C3E83B" w14:textId="77777777" w:rsidR="00691F51" w:rsidRDefault="00BA4BB5">
            <w:pPr>
              <w:pStyle w:val="Body"/>
              <w:jc w:val="right"/>
            </w:pPr>
            <w:r>
              <w:rPr>
                <w:i/>
                <w:iCs/>
                <w:color w:val="004147"/>
                <w:u w:color="004147"/>
                <w:shd w:val="clear" w:color="auto" w:fill="C0C0C0"/>
                <w:lang w:val="en-US"/>
              </w:rPr>
              <w:t>Enter total unit marks here</w:t>
            </w:r>
          </w:p>
        </w:tc>
        <w:tc>
          <w:tcPr>
            <w:tcW w:w="3015"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B128C8" w14:textId="77777777" w:rsidR="00691F51" w:rsidRDefault="00BA4BB5">
            <w:pPr>
              <w:pStyle w:val="Body"/>
              <w:jc w:val="right"/>
            </w:pPr>
            <w:r>
              <w:rPr>
                <w:b/>
                <w:bCs/>
                <w:color w:val="004147"/>
                <w:u w:color="004147"/>
                <w:lang w:val="en-US"/>
              </w:rPr>
              <w:t xml:space="preserve">Grade </w:t>
            </w:r>
            <w:r>
              <w:rPr>
                <w:b/>
                <w:bCs/>
                <w:color w:val="004147"/>
                <w:u w:color="004147"/>
                <w:lang w:val="en-US"/>
              </w:rPr>
              <w:t>(resubmission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6322F" w14:textId="77777777" w:rsidR="00691F51" w:rsidRDefault="00BA4BB5">
            <w:pPr>
              <w:pStyle w:val="Body"/>
            </w:pPr>
            <w:r>
              <w:rPr>
                <w:i/>
                <w:iCs/>
                <w:color w:val="004147"/>
                <w:u w:color="004147"/>
                <w:shd w:val="clear" w:color="auto" w:fill="C0C0C0"/>
                <w:lang w:val="en-US"/>
              </w:rPr>
              <w:t>Enter grade here</w:t>
            </w:r>
          </w:p>
        </w:tc>
      </w:tr>
      <w:tr w:rsidR="00691F51" w14:paraId="021328B9" w14:textId="77777777">
        <w:trPr>
          <w:trHeight w:val="3861"/>
        </w:trPr>
        <w:tc>
          <w:tcPr>
            <w:tcW w:w="980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7D46A" w14:textId="77777777" w:rsidR="00691F51" w:rsidRDefault="00BA4BB5">
            <w:pPr>
              <w:pStyle w:val="Body"/>
              <w:rPr>
                <w:b/>
                <w:bCs/>
                <w:color w:val="004147"/>
                <w:u w:color="004147"/>
              </w:rPr>
            </w:pPr>
            <w:r>
              <w:rPr>
                <w:b/>
                <w:bCs/>
                <w:color w:val="004147"/>
                <w:u w:color="004147"/>
                <w:lang w:val="en-US"/>
              </w:rPr>
              <w:t>Assessor Feedback Summary</w:t>
            </w:r>
          </w:p>
          <w:p w14:paraId="1C7CAB12" w14:textId="77777777" w:rsidR="00691F51" w:rsidRDefault="00691F51">
            <w:pPr>
              <w:pStyle w:val="Body"/>
              <w:rPr>
                <w:b/>
                <w:bCs/>
                <w:color w:val="004147"/>
                <w:u w:color="004147"/>
                <w:lang w:val="en-US"/>
              </w:rPr>
            </w:pPr>
          </w:p>
          <w:p w14:paraId="75BB8CBB" w14:textId="77777777" w:rsidR="00691F51" w:rsidRDefault="00BA4BB5">
            <w:pPr>
              <w:pStyle w:val="Body"/>
              <w:rPr>
                <w:i/>
                <w:iCs/>
                <w:color w:val="004147"/>
                <w:u w:color="004147"/>
                <w:lang w:val="en-US"/>
              </w:rPr>
            </w:pPr>
            <w:r>
              <w:rPr>
                <w:i/>
                <w:iCs/>
                <w:color w:val="004147"/>
                <w:u w:color="004147"/>
                <w:lang w:val="en-US"/>
              </w:rPr>
              <w:t xml:space="preserve">Some of your answers are very concise, and in the case of your first answer, too short to provide the level of detail required.  You will need to add more detail to </w:t>
            </w:r>
            <w:r>
              <w:rPr>
                <w:i/>
                <w:iCs/>
                <w:color w:val="004147"/>
                <w:u w:color="004147"/>
                <w:lang w:val="en-US"/>
              </w:rPr>
              <w:t>question 1.1, and ensure that this is supported by references.</w:t>
            </w:r>
          </w:p>
          <w:p w14:paraId="3712CECE" w14:textId="77777777" w:rsidR="00691F51" w:rsidRDefault="00691F51">
            <w:pPr>
              <w:pStyle w:val="Body"/>
              <w:rPr>
                <w:i/>
                <w:iCs/>
                <w:color w:val="004147"/>
                <w:u w:color="004147"/>
                <w:lang w:val="en-US"/>
              </w:rPr>
            </w:pPr>
          </w:p>
          <w:p w14:paraId="67948BD3" w14:textId="77777777" w:rsidR="00691F51" w:rsidRDefault="00BA4BB5">
            <w:pPr>
              <w:pStyle w:val="Body"/>
              <w:rPr>
                <w:i/>
                <w:iCs/>
                <w:color w:val="004147"/>
                <w:u w:color="004147"/>
                <w:lang w:val="en-US"/>
              </w:rPr>
            </w:pPr>
            <w:r>
              <w:rPr>
                <w:i/>
                <w:iCs/>
                <w:color w:val="004147"/>
                <w:u w:color="004147"/>
                <w:lang w:val="en-US"/>
              </w:rPr>
              <w:t xml:space="preserve">Overall, this is a good assignment although three of the questions require further work.  Generally, you have provided discussion of the relevant case law to support your answers.  In </w:t>
            </w:r>
            <w:r>
              <w:rPr>
                <w:i/>
                <w:iCs/>
                <w:color w:val="004147"/>
                <w:u w:color="004147"/>
                <w:lang w:val="en-US"/>
              </w:rPr>
              <w:t>places, you are not consistent about providing this level of detail.  Please proofread your answers before submitting.</w:t>
            </w:r>
          </w:p>
          <w:p w14:paraId="48C5196F" w14:textId="77777777" w:rsidR="00691F51" w:rsidRDefault="00691F51">
            <w:pPr>
              <w:pStyle w:val="Body"/>
              <w:rPr>
                <w:i/>
                <w:iCs/>
                <w:color w:val="004147"/>
                <w:u w:color="004147"/>
                <w:lang w:val="en-US"/>
              </w:rPr>
            </w:pPr>
          </w:p>
          <w:p w14:paraId="4C6D93DC" w14:textId="77777777" w:rsidR="00691F51" w:rsidRDefault="00BA4BB5">
            <w:pPr>
              <w:pStyle w:val="Body"/>
              <w:rPr>
                <w:i/>
                <w:iCs/>
                <w:color w:val="004147"/>
                <w:u w:color="004147"/>
                <w:lang w:val="en-US"/>
              </w:rPr>
            </w:pPr>
            <w:r>
              <w:rPr>
                <w:i/>
                <w:iCs/>
                <w:color w:val="004147"/>
                <w:u w:color="004147"/>
                <w:lang w:val="en-US"/>
              </w:rPr>
              <w:t>Please make your amendments in ref font and adjust your word count.</w:t>
            </w:r>
          </w:p>
          <w:p w14:paraId="22CE4547" w14:textId="77777777" w:rsidR="00691F51" w:rsidRDefault="00691F51">
            <w:pPr>
              <w:pStyle w:val="Body"/>
              <w:rPr>
                <w:i/>
                <w:iCs/>
                <w:color w:val="004147"/>
                <w:u w:color="004147"/>
                <w:lang w:val="en-US"/>
              </w:rPr>
            </w:pPr>
          </w:p>
          <w:p w14:paraId="5E446CEA" w14:textId="77777777" w:rsidR="00691F51" w:rsidRDefault="00691F51">
            <w:pPr>
              <w:pStyle w:val="Body"/>
            </w:pPr>
          </w:p>
        </w:tc>
      </w:tr>
      <w:tr w:rsidR="00691F51" w14:paraId="5A3571E9" w14:textId="77777777">
        <w:trPr>
          <w:trHeight w:val="403"/>
        </w:trPr>
        <w:tc>
          <w:tcPr>
            <w:tcW w:w="2769" w:type="dxa"/>
            <w:tcBorders>
              <w:top w:val="single" w:sz="4" w:space="0" w:color="000000"/>
              <w:left w:val="single" w:sz="4" w:space="0" w:color="000000"/>
              <w:bottom w:val="single" w:sz="4" w:space="0" w:color="000000"/>
              <w:right w:val="single" w:sz="4" w:space="0" w:color="000000"/>
            </w:tcBorders>
            <w:shd w:val="clear" w:color="auto" w:fill="D0E0E2"/>
            <w:tcMar>
              <w:top w:w="0" w:type="dxa"/>
              <w:left w:w="80" w:type="dxa"/>
              <w:bottom w:w="0" w:type="dxa"/>
              <w:right w:w="80" w:type="dxa"/>
            </w:tcMar>
          </w:tcPr>
          <w:p w14:paraId="340E0146" w14:textId="77777777" w:rsidR="00691F51" w:rsidRDefault="00BA4BB5">
            <w:pPr>
              <w:pStyle w:val="Body"/>
            </w:pPr>
            <w:r>
              <w:rPr>
                <w:b/>
                <w:bCs/>
                <w:color w:val="004147"/>
                <w:u w:color="004147"/>
                <w:lang w:val="en-US"/>
              </w:rPr>
              <w:t>Assessor signature</w:t>
            </w:r>
          </w:p>
        </w:tc>
        <w:tc>
          <w:tcPr>
            <w:tcW w:w="7032" w:type="dxa"/>
            <w:gridSpan w:val="4"/>
            <w:tcBorders>
              <w:top w:val="single" w:sz="4" w:space="0" w:color="000000"/>
              <w:left w:val="single" w:sz="4" w:space="0" w:color="000000"/>
              <w:bottom w:val="single" w:sz="4" w:space="0" w:color="000000"/>
              <w:right w:val="single" w:sz="4" w:space="0" w:color="000000"/>
            </w:tcBorders>
            <w:shd w:val="clear" w:color="auto" w:fill="E5DFD7"/>
            <w:tcMar>
              <w:top w:w="0" w:type="dxa"/>
              <w:left w:w="80" w:type="dxa"/>
              <w:bottom w:w="0" w:type="dxa"/>
              <w:right w:w="80" w:type="dxa"/>
            </w:tcMar>
          </w:tcPr>
          <w:p w14:paraId="18539986" w14:textId="77777777" w:rsidR="00691F51" w:rsidRDefault="00BA4BB5">
            <w:pPr>
              <w:jc w:val="center"/>
            </w:pPr>
            <w:r>
              <w:rPr>
                <w:noProof/>
              </w:rPr>
              <w:drawing>
                <wp:inline distT="0" distB="0" distL="0" distR="0" wp14:anchorId="7EE8C820" wp14:editId="43525F4C">
                  <wp:extent cx="825749" cy="255780"/>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06-03-2023, 2101 Microsoft Lens 1 (2).jpeg"/>
                          <pic:cNvPicPr>
                            <a:picLocks/>
                          </pic:cNvPicPr>
                        </pic:nvPicPr>
                        <pic:blipFill>
                          <a:blip r:embed="rId62"/>
                          <a:srcRect/>
                          <a:stretch>
                            <a:fillRect/>
                          </a:stretch>
                        </pic:blipFill>
                        <pic:spPr>
                          <a:xfrm>
                            <a:off x="0" y="0"/>
                            <a:ext cx="825749" cy="255780"/>
                          </a:xfrm>
                          <a:prstGeom prst="rect">
                            <a:avLst/>
                          </a:prstGeom>
                        </pic:spPr>
                      </pic:pic>
                    </a:graphicData>
                  </a:graphic>
                </wp:inline>
              </w:drawing>
            </w:r>
          </w:p>
        </w:tc>
      </w:tr>
      <w:tr w:rsidR="00691F51" w14:paraId="038A158D" w14:textId="77777777">
        <w:trPr>
          <w:trHeight w:val="501"/>
        </w:trPr>
        <w:tc>
          <w:tcPr>
            <w:tcW w:w="27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5FD561" w14:textId="77777777" w:rsidR="00691F51" w:rsidRDefault="00BA4BB5">
            <w:pPr>
              <w:pStyle w:val="Body"/>
            </w:pPr>
            <w:r>
              <w:rPr>
                <w:b/>
                <w:bCs/>
                <w:color w:val="004147"/>
                <w:u w:color="004147"/>
                <w:lang w:val="en-US"/>
              </w:rPr>
              <w:t>Date</w:t>
            </w:r>
          </w:p>
        </w:tc>
        <w:tc>
          <w:tcPr>
            <w:tcW w:w="7032"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89CCFF" w14:textId="77777777" w:rsidR="00691F51" w:rsidRDefault="00BA4BB5">
            <w:pPr>
              <w:pStyle w:val="Body"/>
            </w:pPr>
            <w:r>
              <w:rPr>
                <w:i/>
                <w:iCs/>
                <w:color w:val="004147"/>
                <w:u w:color="004147"/>
                <w:shd w:val="clear" w:color="auto" w:fill="C0C0C0"/>
                <w:lang w:val="en-US"/>
              </w:rPr>
              <w:t>11.12.24</w:t>
            </w:r>
          </w:p>
        </w:tc>
      </w:tr>
    </w:tbl>
    <w:p w14:paraId="63697D90" w14:textId="77777777" w:rsidR="00691F51" w:rsidRDefault="00691F51">
      <w:pPr>
        <w:pStyle w:val="Body"/>
        <w:widowControl w:val="0"/>
        <w:spacing w:line="240" w:lineRule="auto"/>
      </w:pPr>
    </w:p>
    <w:p w14:paraId="6102F81E" w14:textId="77777777" w:rsidR="00691F51" w:rsidRDefault="00691F51">
      <w:pPr>
        <w:pStyle w:val="Body"/>
      </w:pPr>
    </w:p>
    <w:p w14:paraId="49F58BF0" w14:textId="77777777" w:rsidR="00691F51" w:rsidRDefault="00691F51">
      <w:pPr>
        <w:pStyle w:val="Body"/>
      </w:pPr>
    </w:p>
    <w:p w14:paraId="6C064562" w14:textId="77777777" w:rsidR="00691F51" w:rsidRDefault="00BA4BB5">
      <w:pPr>
        <w:pStyle w:val="Body"/>
        <w:tabs>
          <w:tab w:val="left" w:pos="5425"/>
        </w:tabs>
      </w:pPr>
      <w:r>
        <w:tab/>
      </w:r>
    </w:p>
    <w:sectPr w:rsidR="00691F51">
      <w:headerReference w:type="default" r:id="rId64"/>
      <w:footerReference w:type="default" r:id="rId65"/>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51309B" w14:textId="77777777" w:rsidR="00BA4BB5" w:rsidRDefault="00BA4BB5">
      <w:r>
        <w:separator/>
      </w:r>
    </w:p>
  </w:endnote>
  <w:endnote w:type="continuationSeparator" w:id="0">
    <w:p w14:paraId="6D3C9EF5" w14:textId="77777777" w:rsidR="00BA4BB5" w:rsidRDefault="00BA4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D3E15" w14:textId="77777777" w:rsidR="00691F51" w:rsidRDefault="00BA4BB5">
    <w:pPr>
      <w:pStyle w:val="Footer"/>
    </w:pPr>
    <w:r>
      <w:rPr>
        <w:noProof/>
        <w:color w:val="FFFFFF"/>
        <w:u w:color="FFFFFF"/>
      </w:rPr>
      <w:drawing>
        <wp:inline distT="0" distB="0" distL="0" distR="0" wp14:anchorId="25C101D4" wp14:editId="786FF3C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t>Version 1 - January 2023</w:t>
    </w:r>
    <w:r>
      <w:tab/>
    </w:r>
    <w:r>
      <w:fldChar w:fldCharType="begin"/>
    </w:r>
    <w:r>
      <w:instrText xml:space="preserve"> PAGE </w:instrText>
    </w:r>
    <w:r>
      <w:fldChar w:fldCharType="separate"/>
    </w:r>
    <w:r w:rsidR="00223DCA">
      <w:rPr>
        <w:noProof/>
      </w:rPr>
      <w:t>2</w:t>
    </w:r>
    <w:r>
      <w:fldChar w:fldCharType="end"/>
    </w:r>
  </w:p>
  <w:p w14:paraId="75F373DB" w14:textId="77777777" w:rsidR="00691F51" w:rsidRDefault="00BA4BB5">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843FE" w14:textId="77777777" w:rsidR="00691F51" w:rsidRDefault="00BA4BB5">
    <w:pPr>
      <w:pStyle w:val="Footer"/>
    </w:pPr>
    <w:r>
      <w:rPr>
        <w:b/>
        <w:bCs/>
        <w:sz w:val="24"/>
        <w:szCs w:val="24"/>
      </w:rPr>
      <w:t>Version 1 - January 2023, the last moderation window for results for this assessment brief is January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2C193" w14:textId="3728D4DC" w:rsidR="00691F51" w:rsidRDefault="00BA4BB5">
    <w:pPr>
      <w:pStyle w:val="Footer"/>
    </w:pPr>
    <w:r>
      <w:rPr>
        <w:noProof/>
      </w:rPr>
      <w:drawing>
        <wp:inline distT="0" distB="0" distL="0" distR="0" wp14:anchorId="227528CC" wp14:editId="03AAE14C">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223DCA">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68C29" w14:textId="77777777" w:rsidR="00BA4BB5" w:rsidRDefault="00BA4BB5">
      <w:r>
        <w:separator/>
      </w:r>
    </w:p>
  </w:footnote>
  <w:footnote w:type="continuationSeparator" w:id="0">
    <w:p w14:paraId="72E4F7DF" w14:textId="77777777" w:rsidR="00BA4BB5" w:rsidRDefault="00BA4B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CE691A" w14:textId="77777777" w:rsidR="00691F51" w:rsidRDefault="00BA4BB5">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AEBC0B4" wp14:editId="714CAE20">
          <wp:simplePos x="0" y="0"/>
          <wp:positionH relativeFrom="page">
            <wp:posOffset>665034</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6BBDC" w14:textId="77777777" w:rsidR="00691F51" w:rsidRDefault="00BA4BB5">
    <w:pPr>
      <w:pStyle w:val="Header"/>
    </w:pPr>
    <w:r>
      <w:rPr>
        <w:noProof/>
      </w:rPr>
      <w:drawing>
        <wp:anchor distT="152400" distB="152400" distL="152400" distR="152400" simplePos="0" relativeHeight="251658240" behindDoc="1" locked="0" layoutInCell="1" allowOverlap="1" wp14:anchorId="79E76032" wp14:editId="3C624EC8">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88B7B0" w14:textId="77777777" w:rsidR="00691F51" w:rsidRDefault="00BA4BB5">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t xml:space="preserve">Level 5 </w:t>
    </w:r>
    <w:r>
      <w:rPr>
        <w:color w:val="808080"/>
        <w:u w:color="8080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C0E13"/>
    <w:multiLevelType w:val="hybridMultilevel"/>
    <w:tmpl w:val="6C268390"/>
    <w:numStyleLink w:val="ImportedStyle5"/>
  </w:abstractNum>
  <w:abstractNum w:abstractNumId="1" w15:restartNumberingAfterBreak="0">
    <w:nsid w:val="194D4766"/>
    <w:multiLevelType w:val="hybridMultilevel"/>
    <w:tmpl w:val="C01C62FE"/>
    <w:numStyleLink w:val="ImportedStyle7"/>
  </w:abstractNum>
  <w:abstractNum w:abstractNumId="2" w15:restartNumberingAfterBreak="0">
    <w:nsid w:val="1BAA0BFB"/>
    <w:multiLevelType w:val="hybridMultilevel"/>
    <w:tmpl w:val="C01C62FE"/>
    <w:styleLink w:val="ImportedStyle7"/>
    <w:lvl w:ilvl="0" w:tplc="24B8F94A">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F89F9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754474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03493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56835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F70CFF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43E8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F04AD3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FC6EB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CD85180"/>
    <w:multiLevelType w:val="hybridMultilevel"/>
    <w:tmpl w:val="1A78B810"/>
    <w:numStyleLink w:val="ImportedStyle4"/>
  </w:abstractNum>
  <w:abstractNum w:abstractNumId="4" w15:restartNumberingAfterBreak="0">
    <w:nsid w:val="20A876CC"/>
    <w:multiLevelType w:val="hybridMultilevel"/>
    <w:tmpl w:val="6BAC4490"/>
    <w:styleLink w:val="ImportedStyle6"/>
    <w:lvl w:ilvl="0" w:tplc="C1C643F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668DAC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5AEEE58">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32C29B8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6DC66D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45A0E34">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289E8E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E4A83A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75834FE">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EAB42F8"/>
    <w:multiLevelType w:val="hybridMultilevel"/>
    <w:tmpl w:val="D61801C2"/>
    <w:styleLink w:val="ImportedStyle2"/>
    <w:lvl w:ilvl="0" w:tplc="CD888E72">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7A26AE2">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052B10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3F6B58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5888AA8">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98A6D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AECCA6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0FA3AE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1FC06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57C97CFC"/>
    <w:multiLevelType w:val="hybridMultilevel"/>
    <w:tmpl w:val="6C268390"/>
    <w:styleLink w:val="ImportedStyle5"/>
    <w:lvl w:ilvl="0" w:tplc="939EB5A6">
      <w:start w:val="1"/>
      <w:numFmt w:val="decimal"/>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50BCA10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B0EB8D2">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F34ADF2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2FE801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1DC202A">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6DF4B18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D5E6C0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C3264A4">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BE067E8"/>
    <w:multiLevelType w:val="hybridMultilevel"/>
    <w:tmpl w:val="1BD66680"/>
    <w:styleLink w:val="ImportedStyle8"/>
    <w:lvl w:ilvl="0" w:tplc="CAD03722">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9A2AE376">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89C6658">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BC9E7EDA">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2E0194A">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884076B2">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1E309374">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65E44B34">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8A8EDC32">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02A0001"/>
    <w:multiLevelType w:val="hybridMultilevel"/>
    <w:tmpl w:val="6C600E50"/>
    <w:numStyleLink w:val="ImportedStyle3"/>
  </w:abstractNum>
  <w:abstractNum w:abstractNumId="9" w15:restartNumberingAfterBreak="0">
    <w:nsid w:val="6DAE703F"/>
    <w:multiLevelType w:val="hybridMultilevel"/>
    <w:tmpl w:val="1BD66680"/>
    <w:numStyleLink w:val="ImportedStyle8"/>
  </w:abstractNum>
  <w:abstractNum w:abstractNumId="10" w15:restartNumberingAfterBreak="0">
    <w:nsid w:val="71EB27A6"/>
    <w:multiLevelType w:val="hybridMultilevel"/>
    <w:tmpl w:val="6C600E50"/>
    <w:styleLink w:val="ImportedStyle3"/>
    <w:lvl w:ilvl="0" w:tplc="8B72FDB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4CD5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11C8D6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CB276C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E585F4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6BC4D1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28E13B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E8919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12C43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4744C45"/>
    <w:multiLevelType w:val="hybridMultilevel"/>
    <w:tmpl w:val="D61801C2"/>
    <w:numStyleLink w:val="ImportedStyle2"/>
  </w:abstractNum>
  <w:abstractNum w:abstractNumId="12" w15:restartNumberingAfterBreak="0">
    <w:nsid w:val="7A5F52DF"/>
    <w:multiLevelType w:val="hybridMultilevel"/>
    <w:tmpl w:val="EE6C4110"/>
    <w:lvl w:ilvl="0" w:tplc="578E349E">
      <w:start w:val="1"/>
      <w:numFmt w:val="bullet"/>
      <w:lvlText w:val="▪"/>
      <w:lvlJc w:val="left"/>
      <w:pPr>
        <w:ind w:left="34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1E421B26">
      <w:start w:val="1"/>
      <w:numFmt w:val="bullet"/>
      <w:suff w:val="nothing"/>
      <w:lvlText w:val="o"/>
      <w:lvlJc w:val="left"/>
      <w:pPr>
        <w:ind w:left="142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97294E8">
      <w:start w:val="1"/>
      <w:numFmt w:val="bullet"/>
      <w:lvlText w:val="▪"/>
      <w:lvlJc w:val="left"/>
      <w:pPr>
        <w:ind w:left="214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7C068AE">
      <w:start w:val="1"/>
      <w:numFmt w:val="bullet"/>
      <w:lvlText w:val="•"/>
      <w:lvlJc w:val="left"/>
      <w:pPr>
        <w:ind w:left="286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B6A3048">
      <w:start w:val="1"/>
      <w:numFmt w:val="bullet"/>
      <w:suff w:val="nothing"/>
      <w:lvlText w:val="o"/>
      <w:lvlJc w:val="left"/>
      <w:pPr>
        <w:ind w:left="358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E2E752C">
      <w:start w:val="1"/>
      <w:numFmt w:val="bullet"/>
      <w:lvlText w:val="▪"/>
      <w:lvlJc w:val="left"/>
      <w:pPr>
        <w:ind w:left="430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3324DC2">
      <w:start w:val="1"/>
      <w:numFmt w:val="bullet"/>
      <w:lvlText w:val="•"/>
      <w:lvlJc w:val="left"/>
      <w:pPr>
        <w:ind w:left="502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1745FE8">
      <w:start w:val="1"/>
      <w:numFmt w:val="bullet"/>
      <w:suff w:val="nothing"/>
      <w:lvlText w:val="o"/>
      <w:lvlJc w:val="left"/>
      <w:pPr>
        <w:ind w:left="574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EB44598">
      <w:start w:val="1"/>
      <w:numFmt w:val="bullet"/>
      <w:lvlText w:val="▪"/>
      <w:lvlJc w:val="left"/>
      <w:pPr>
        <w:ind w:left="646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3" w15:restartNumberingAfterBreak="0">
    <w:nsid w:val="7AED26BE"/>
    <w:multiLevelType w:val="hybridMultilevel"/>
    <w:tmpl w:val="1A78B810"/>
    <w:styleLink w:val="ImportedStyle4"/>
    <w:lvl w:ilvl="0" w:tplc="DDF6A400">
      <w:start w:val="1"/>
      <w:numFmt w:val="bullet"/>
      <w:lvlText w:val="▪"/>
      <w:lvlJc w:val="left"/>
      <w:pPr>
        <w:ind w:left="709" w:hanging="360"/>
      </w:pPr>
      <w:rPr>
        <w:rFonts w:ascii="Arial Unicode MS" w:eastAsia="Arial Unicode MS" w:hAnsi="Arial Unicode MS" w:cs="Arial Unicode M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1" w:tplc="0ACC6F94">
      <w:start w:val="1"/>
      <w:numFmt w:val="bullet"/>
      <w:lvlText w:val="o"/>
      <w:lvlJc w:val="left"/>
      <w:pPr>
        <w:ind w:left="1429" w:hanging="360"/>
      </w:pPr>
      <w:rPr>
        <w:rFonts w:ascii="Wingdings" w:eastAsia="Wingdings" w:hAnsi="Wingdings" w:cs="Wingding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2" w:tplc="DF207D6E">
      <w:start w:val="1"/>
      <w:numFmt w:val="bullet"/>
      <w:lvlText w:val="▪"/>
      <w:lvlJc w:val="left"/>
      <w:pPr>
        <w:ind w:left="2149" w:hanging="360"/>
      </w:pPr>
      <w:rPr>
        <w:rFonts w:ascii="Arial Unicode MS" w:eastAsia="Arial Unicode MS" w:hAnsi="Arial Unicode MS" w:cs="Arial Unicode M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3" w:tplc="489CD884">
      <w:start w:val="1"/>
      <w:numFmt w:val="bullet"/>
      <w:lvlText w:val="•"/>
      <w:lvlJc w:val="left"/>
      <w:pPr>
        <w:ind w:left="2869" w:hanging="360"/>
      </w:pPr>
      <w:rPr>
        <w:rFonts w:ascii="Arial Unicode MS" w:eastAsia="Arial Unicode MS" w:hAnsi="Arial Unicode MS" w:cs="Arial Unicode M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4" w:tplc="C1509476">
      <w:start w:val="1"/>
      <w:numFmt w:val="bullet"/>
      <w:lvlText w:val="o"/>
      <w:lvlJc w:val="left"/>
      <w:pPr>
        <w:ind w:left="3589" w:hanging="360"/>
      </w:pPr>
      <w:rPr>
        <w:rFonts w:ascii="Wingdings" w:eastAsia="Wingdings" w:hAnsi="Wingdings" w:cs="Wingding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5" w:tplc="E766CE72">
      <w:start w:val="1"/>
      <w:numFmt w:val="bullet"/>
      <w:lvlText w:val="▪"/>
      <w:lvlJc w:val="left"/>
      <w:pPr>
        <w:ind w:left="4309" w:hanging="360"/>
      </w:pPr>
      <w:rPr>
        <w:rFonts w:ascii="Arial Unicode MS" w:eastAsia="Arial Unicode MS" w:hAnsi="Arial Unicode MS" w:cs="Arial Unicode M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6" w:tplc="857C7CFE">
      <w:start w:val="1"/>
      <w:numFmt w:val="bullet"/>
      <w:lvlText w:val="•"/>
      <w:lvlJc w:val="left"/>
      <w:pPr>
        <w:ind w:left="5029" w:hanging="360"/>
      </w:pPr>
      <w:rPr>
        <w:rFonts w:ascii="Arial Unicode MS" w:eastAsia="Arial Unicode MS" w:hAnsi="Arial Unicode MS" w:cs="Arial Unicode M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7" w:tplc="804421B0">
      <w:start w:val="1"/>
      <w:numFmt w:val="bullet"/>
      <w:lvlText w:val="o"/>
      <w:lvlJc w:val="left"/>
      <w:pPr>
        <w:ind w:left="5749" w:hanging="360"/>
      </w:pPr>
      <w:rPr>
        <w:rFonts w:ascii="Wingdings" w:eastAsia="Wingdings" w:hAnsi="Wingdings" w:cs="Wingdings"/>
        <w:b w:val="0"/>
        <w:bCs w:val="0"/>
        <w:i w:val="0"/>
        <w:iCs w:val="0"/>
        <w:caps w:val="0"/>
        <w:smallCaps w:val="0"/>
        <w:strike w:val="0"/>
        <w:dstrike w:val="0"/>
        <w:outline w:val="0"/>
        <w:emboss w:val="0"/>
        <w:imprint w:val="0"/>
        <w:color w:val="00606A"/>
        <w:spacing w:val="0"/>
        <w:w w:val="100"/>
        <w:kern w:val="0"/>
        <w:position w:val="0"/>
        <w:highlight w:val="none"/>
        <w:vertAlign w:val="baseline"/>
      </w:rPr>
    </w:lvl>
    <w:lvl w:ilvl="8" w:tplc="BC98A764">
      <w:start w:val="1"/>
      <w:numFmt w:val="bullet"/>
      <w:lvlText w:val="▪"/>
      <w:lvlJc w:val="left"/>
      <w:pPr>
        <w:ind w:left="6469" w:hanging="360"/>
      </w:pPr>
      <w:rPr>
        <w:rFonts w:ascii="Arial Unicode MS" w:eastAsia="Arial Unicode MS" w:hAnsi="Arial Unicode MS" w:cs="Arial Unicode MS"/>
        <w:b w:val="0"/>
        <w:bCs w:val="0"/>
        <w:i w:val="0"/>
        <w:iCs w:val="0"/>
        <w:caps w:val="0"/>
        <w:smallCaps w:val="0"/>
        <w:strike w:val="0"/>
        <w:dstrike w:val="0"/>
        <w:outline w:val="0"/>
        <w:emboss w:val="0"/>
        <w:imprint w:val="0"/>
        <w:color w:val="00606A"/>
        <w:spacing w:val="0"/>
        <w:w w:val="100"/>
        <w:kern w:val="0"/>
        <w:position w:val="0"/>
        <w:highlight w:val="none"/>
        <w:vertAlign w:val="baseline"/>
      </w:rPr>
    </w:lvl>
  </w:abstractNum>
  <w:abstractNum w:abstractNumId="14" w15:restartNumberingAfterBreak="0">
    <w:nsid w:val="7DDA5AB1"/>
    <w:multiLevelType w:val="hybridMultilevel"/>
    <w:tmpl w:val="6BAC4490"/>
    <w:numStyleLink w:val="ImportedStyle6"/>
  </w:abstractNum>
  <w:num w:numId="1" w16cid:durableId="1686207231">
    <w:abstractNumId w:val="12"/>
  </w:num>
  <w:num w:numId="2" w16cid:durableId="1328022547">
    <w:abstractNumId w:val="12"/>
    <w:lvlOverride w:ilvl="0">
      <w:lvl w:ilvl="0" w:tplc="578E349E">
        <w:start w:val="1"/>
        <w:numFmt w:val="bullet"/>
        <w:lvlText w:val="▪"/>
        <w:lvlJc w:val="left"/>
        <w:pPr>
          <w:ind w:left="10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1E421B26">
        <w:start w:val="1"/>
        <w:numFmt w:val="bullet"/>
        <w:lvlText w:val="o"/>
        <w:lvlJc w:val="left"/>
        <w:pPr>
          <w:ind w:left="1960" w:hanging="162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097294E8">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27C068AE">
        <w:start w:val="1"/>
        <w:numFmt w:val="bullet"/>
        <w:lvlText w:val="•"/>
        <w:lvlJc w:val="left"/>
        <w:pPr>
          <w:ind w:left="3040" w:hanging="5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7B6A3048">
        <w:start w:val="1"/>
        <w:numFmt w:val="bullet"/>
        <w:lvlText w:val="o"/>
        <w:lvlJc w:val="left"/>
        <w:pPr>
          <w:ind w:left="4120" w:hanging="162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BE2E752C">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93324DC2">
        <w:start w:val="1"/>
        <w:numFmt w:val="bullet"/>
        <w:lvlText w:val="•"/>
        <w:lvlJc w:val="left"/>
        <w:pPr>
          <w:ind w:left="5200" w:hanging="5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A1745FE8">
        <w:start w:val="1"/>
        <w:numFmt w:val="bullet"/>
        <w:lvlText w:val="o"/>
        <w:lvlJc w:val="left"/>
        <w:pPr>
          <w:ind w:left="6280" w:hanging="162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DEB44598">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3" w16cid:durableId="554588926">
    <w:abstractNumId w:val="5"/>
  </w:num>
  <w:num w:numId="4" w16cid:durableId="1019552784">
    <w:abstractNumId w:val="11"/>
  </w:num>
  <w:num w:numId="5" w16cid:durableId="376320585">
    <w:abstractNumId w:val="10"/>
  </w:num>
  <w:num w:numId="6" w16cid:durableId="1609771954">
    <w:abstractNumId w:val="8"/>
  </w:num>
  <w:num w:numId="7" w16cid:durableId="1468551357">
    <w:abstractNumId w:val="13"/>
  </w:num>
  <w:num w:numId="8" w16cid:durableId="509755756">
    <w:abstractNumId w:val="3"/>
  </w:num>
  <w:num w:numId="9" w16cid:durableId="759638044">
    <w:abstractNumId w:val="6"/>
  </w:num>
  <w:num w:numId="10" w16cid:durableId="1045252325">
    <w:abstractNumId w:val="0"/>
  </w:num>
  <w:num w:numId="11" w16cid:durableId="2100329996">
    <w:abstractNumId w:val="4"/>
  </w:num>
  <w:num w:numId="12" w16cid:durableId="1432160990">
    <w:abstractNumId w:val="14"/>
  </w:num>
  <w:num w:numId="13" w16cid:durableId="1672373919">
    <w:abstractNumId w:val="2"/>
  </w:num>
  <w:num w:numId="14" w16cid:durableId="65615234">
    <w:abstractNumId w:val="1"/>
  </w:num>
  <w:num w:numId="15" w16cid:durableId="1481389824">
    <w:abstractNumId w:val="0"/>
    <w:lvlOverride w:ilvl="0">
      <w:startOverride w:val="7"/>
    </w:lvlOverride>
  </w:num>
  <w:num w:numId="16" w16cid:durableId="1712458720">
    <w:abstractNumId w:val="7"/>
  </w:num>
  <w:num w:numId="17" w16cid:durableId="5286877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F51"/>
    <w:rsid w:val="00223DCA"/>
    <w:rsid w:val="003F1DC8"/>
    <w:rsid w:val="00513899"/>
    <w:rsid w:val="005A6DF6"/>
    <w:rsid w:val="00636D0A"/>
    <w:rsid w:val="00691F51"/>
    <w:rsid w:val="006A1B94"/>
    <w:rsid w:val="00934D70"/>
    <w:rsid w:val="00946250"/>
    <w:rsid w:val="00AA61D9"/>
    <w:rsid w:val="00AE1498"/>
    <w:rsid w:val="00BA4BB5"/>
    <w:rsid w:val="00C05B20"/>
    <w:rsid w:val="00C607B6"/>
    <w:rsid w:val="00E132AC"/>
    <w:rsid w:val="00F54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87EE4"/>
  <w15:docId w15:val="{73B601B5-2AF0-47BF-AE02-012A92A0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2">
    <w:name w:val="Imported Style 2"/>
    <w:pPr>
      <w:numPr>
        <w:numId w:val="3"/>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fr-FR"/>
      <w14:textOutline w14:w="0" w14:cap="flat" w14:cmpd="sng" w14:algn="ctr">
        <w14:noFill/>
        <w14:prstDash w14:val="solid"/>
        <w14:bevel/>
      </w14:textOutline>
    </w:rPr>
  </w:style>
  <w:style w:type="numbering" w:customStyle="1" w:styleId="ImportedStyle3">
    <w:name w:val="Imported Style 3"/>
    <w:pPr>
      <w:numPr>
        <w:numId w:val="5"/>
      </w:numPr>
    </w:p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6"/>
      </w:numPr>
    </w:pPr>
  </w:style>
  <w:style w:type="character" w:customStyle="1" w:styleId="Hyperlink0">
    <w:name w:val="Hyperlink.0"/>
    <w:basedOn w:val="Hyperlink"/>
    <w:rPr>
      <w:outline w:val="0"/>
      <w:color w:val="0000FF"/>
      <w:u w:val="single" w:color="0000FF"/>
    </w:rPr>
  </w:style>
  <w:style w:type="character" w:customStyle="1" w:styleId="Hyperlink1">
    <w:name w:val="Hyperlink.1"/>
    <w:basedOn w:val="Hyperlink0"/>
    <w:rPr>
      <w:rFonts w:ascii="Arial" w:eastAsia="Arial" w:hAnsi="Arial" w:cs="Arial"/>
      <w:i/>
      <w:iCs/>
      <w:outline w:val="0"/>
      <w:color w:val="0000FF"/>
      <w:u w:val="single" w:color="0000FF"/>
    </w:rPr>
  </w:style>
  <w:style w:type="character" w:customStyle="1" w:styleId="Hyperlink2">
    <w:name w:val="Hyperlink.2"/>
    <w:basedOn w:val="Hyperlink0"/>
    <w:rPr>
      <w:rFonts w:ascii="Arial" w:eastAsia="Arial" w:hAnsi="Arial" w:cs="Arial"/>
      <w:outline w:val="0"/>
      <w:color w:val="0000FF"/>
      <w:u w:val="single" w:color="0000FF"/>
    </w:rPr>
  </w:style>
  <w:style w:type="paragraph" w:customStyle="1" w:styleId="TableParagraph">
    <w:name w:val="Table Paragraph"/>
    <w:pPr>
      <w:widowControl w:val="0"/>
    </w:pPr>
    <w:rPr>
      <w:rFonts w:ascii="Arial" w:hAnsi="Arial" w:cs="Arial Unicode MS"/>
      <w:color w:val="000000"/>
      <w:sz w:val="22"/>
      <w:szCs w:val="22"/>
      <w:u w:color="000000"/>
      <w:lang w:val="en-US"/>
    </w:rPr>
  </w:style>
  <w:style w:type="character" w:styleId="UnresolvedMention">
    <w:name w:val="Unresolved Mention"/>
    <w:basedOn w:val="DefaultParagraphFont"/>
    <w:uiPriority w:val="99"/>
    <w:semiHidden/>
    <w:unhideWhenUsed/>
    <w:rsid w:val="009462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cipd.org/uk/knowledge/factsheets/uk-court-system-factsheet/#employment-tribunals" TargetMode="External"/><Relationship Id="rId21" Type="http://schemas.openxmlformats.org/officeDocument/2006/relationships/hyperlink" Target="https://www.acas.org.uk/your-maternity-leave-pay-and-other-rights/taking-maternity-leave" TargetMode="External"/><Relationship Id="rId34" Type="http://schemas.openxmlformats.org/officeDocument/2006/relationships/hyperlink" Target="https://www.legislation.gov.uk/ukpga/1996/18/contents" TargetMode="External"/><Relationship Id="rId42" Type="http://schemas.openxmlformats.org/officeDocument/2006/relationships/hyperlink" Target="https://www.gov.uk/maternity-pay-leave/leave" TargetMode="External"/><Relationship Id="rId47" Type="http://schemas.openxmlformats.org/officeDocument/2006/relationships/hyperlink" Target="https://www.london.gov.uk/programmes-strategies/business-and-economy/support-your-business/london-living-wage" TargetMode="External"/><Relationship Id="rId50" Type="http://schemas.openxmlformats.org/officeDocument/2006/relationships/hyperlink" Target="https://uk.practicallaw.thomsonreuters.com/D-000-1832?contextData=(sc.Default)&amp;transitionType=Default&amp;firstPage=true" TargetMode="External"/><Relationship Id="rId55" Type="http://schemas.openxmlformats.org/officeDocument/2006/relationships/hyperlink" Target="https://www.legislation.gov.uk/uksi/2016/68/regulation/3/made" TargetMode="External"/><Relationship Id="rId63" Type="http://schemas.openxmlformats.org/officeDocument/2006/relationships/image" Target="media/image7.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acas.org.uk/rest-breaks" TargetMode="External"/><Relationship Id="rId29" Type="http://schemas.openxmlformats.org/officeDocument/2006/relationships/hyperlink" Target="https://www.citizensadvice.org.uk/law-and-courts/discrimination/check-what-type-of-discrimination-youve-experienced/justifying-discrimination/" TargetMode="External"/><Relationship Id="rId11" Type="http://schemas.openxmlformats.org/officeDocument/2006/relationships/image" Target="media/image4.png"/><Relationship Id="rId24" Type="http://schemas.openxmlformats.org/officeDocument/2006/relationships/hyperlink" Target="https://www.acas.org.uk/statutory-flexible-working-requests/making-a-request" TargetMode="External"/><Relationship Id="rId32" Type="http://schemas.openxmlformats.org/officeDocument/2006/relationships/hyperlink" Target="https://www.legislation.gov.uk/ukpga/2002/22/contents" TargetMode="External"/><Relationship Id="rId37" Type="http://schemas.openxmlformats.org/officeDocument/2006/relationships/hyperlink" Target="https://www.gov.uk/government/publications/employment-tribunals-powers-their-use-and-application" TargetMode="External"/><Relationship Id="rId40" Type="http://schemas.openxmlformats.org/officeDocument/2006/relationships/hyperlink" Target="https://www.gov.uk/calculate-your-redundancy-pay/y/2024-05-13/18/1.0" TargetMode="External"/><Relationship Id="rId45" Type="http://schemas.openxmlformats.org/officeDocument/2006/relationships/hyperlink" Target="https://assets.publishing.service.gov.uk/media/65e99e263649a20011ed6402/Hilton_Foods_Solutions_Ltd_v_Andrew_Wright__2024__EAT_28.pdf" TargetMode="External"/><Relationship Id="rId53" Type="http://schemas.openxmlformats.org/officeDocument/2006/relationships/hyperlink" Target="https://www.legislation.gov.uk/ukdsi/2024/9780348254846/contents" TargetMode="External"/><Relationship Id="rId58" Type="http://schemas.openxmlformats.org/officeDocument/2006/relationships/hyperlink" Target="https://www.legislation.gov.uk/uksi/2006/246/contents/made"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png"/><Relationship Id="rId19" Type="http://schemas.openxmlformats.org/officeDocument/2006/relationships/hyperlink" Target="https://www.acas.org.uk/manage-staff-redundancies/redundancy-consultations" TargetMode="External"/><Relationship Id="rId14" Type="http://schemas.openxmlformats.org/officeDocument/2006/relationships/hyperlink" Target="https://www.acas.org.uk/early-conciliation" TargetMode="External"/><Relationship Id="rId22" Type="http://schemas.openxmlformats.org/officeDocument/2006/relationships/hyperlink" Target="https://www.acas.org.uk/national-minimum-wage-entitlement/if-an-employer-does-not-pay-minimum-wage" TargetMode="External"/><Relationship Id="rId27" Type="http://schemas.openxmlformats.org/officeDocument/2006/relationships/hyperlink" Target="https://www.cipd.org/uk/knowledge/factsheets/maternity-paternity-rights-factsheet/" TargetMode="External"/><Relationship Id="rId30" Type="http://schemas.openxmlformats.org/officeDocument/2006/relationships/hyperlink" Target="https://uk.practicallaw.thomsonreuters.com/0-376-0200?contextData=(sc.Default)&amp;transitionType=Default&amp;firstPage=true" TargetMode="External"/><Relationship Id="rId35" Type="http://schemas.openxmlformats.org/officeDocument/2006/relationships/hyperlink" Target="https://publications.parliament.uk/pa/ld200809/ldjudgmt/jd090610/string-2.htm" TargetMode="External"/><Relationship Id="rId43" Type="http://schemas.openxmlformats.org/officeDocument/2006/relationships/hyperlink" Target="https://www.gov.uk/maximum-weekly-working-hours" TargetMode="External"/><Relationship Id="rId48" Type="http://schemas.openxmlformats.org/officeDocument/2006/relationships/hyperlink" Target="https://www.gov.uk/national-minimum-wage-rates" TargetMode="External"/><Relationship Id="rId56" Type="http://schemas.openxmlformats.org/officeDocument/2006/relationships/hyperlink" Target="https://www.legislation.gov.uk/uksi/2000/1551/contents/made" TargetMode="External"/><Relationship Id="rId64" Type="http://schemas.openxmlformats.org/officeDocument/2006/relationships/header" Target="header3.xml"/><Relationship Id="rId8" Type="http://schemas.openxmlformats.org/officeDocument/2006/relationships/footer" Target="footer1.xml"/><Relationship Id="rId51" Type="http://schemas.openxmlformats.org/officeDocument/2006/relationships/hyperlink" Target="https://www.personneltoday.com/hr/dismissal-was-connected-with-transfer/" TargetMode="External"/><Relationship Id="rId3" Type="http://schemas.openxmlformats.org/officeDocument/2006/relationships/settings" Target="settings.xml"/><Relationship Id="rId12" Type="http://schemas.openxmlformats.org/officeDocument/2006/relationships/hyperlink" Target="https://www.acas.org.uk/employee-rights-during-a-tupe-transfer/your-redundancy-rights-under-%2520tupe%23:~:text=After%2520you%2520have%2520transferred,%2520your%2520new%2520employer%2520can,workforce%2520for%2520economic,%2520technical%2520or%2520organisational%2520(ETO)%2520reasons" TargetMode="External"/><Relationship Id="rId17" Type="http://schemas.openxmlformats.org/officeDocument/2006/relationships/hyperlink" Target="https://www.acas.org.uk/acas-code-of-practice-on-flexible-working-requests/html" TargetMode="External"/><Relationship Id="rId25" Type="http://schemas.openxmlformats.org/officeDocument/2006/relationships/hyperlink" Target="https://www.supremecourt.uk/cases/uksc-2019-0039" TargetMode="External"/><Relationship Id="rId33" Type="http://schemas.openxmlformats.org/officeDocument/2006/relationships/hyperlink" Target="https://www.legislation.gov.uk/ukpga/2023/33/contents/enacted" TargetMode="External"/><Relationship Id="rId38" Type="http://schemas.openxmlformats.org/officeDocument/2006/relationships/hyperlink" Target="https://www.gov.uk/calculate-your-redundancy-pay/y/2024-05-13/53/8.0/700.0" TargetMode="External"/><Relationship Id="rId46" Type="http://schemas.openxmlformats.org/officeDocument/2006/relationships/hyperlink" Target="https://www.hse.gov.uk/mothers/employer/index.htm" TargetMode="External"/><Relationship Id="rId59" Type="http://schemas.openxmlformats.org/officeDocument/2006/relationships/hyperlink" Target="https://www.legislation.gov.uk/uksi/2006/246/regulation/7/made" TargetMode="External"/><Relationship Id="rId67" Type="http://schemas.openxmlformats.org/officeDocument/2006/relationships/theme" Target="theme/theme1.xml"/><Relationship Id="rId20" Type="http://schemas.openxmlformats.org/officeDocument/2006/relationships/hyperlink" Target="https://www.acas.org.uk/manage-staff-redundancies/offer-alternative-employment#:~:text=You%2520must%2520try%2520and%2520move%2520employees%2520selected%2520for,employees%2520to%2520see%2520if%2520they%2520agree%2520they%2527re%2520suitable" TargetMode="External"/><Relationship Id="rId41" Type="http://schemas.openxmlformats.org/officeDocument/2006/relationships/hyperlink" Target="https://www.gov.uk/calculate-your-redundancy-pay/y/2024-05-13/19/1.0" TargetMode="External"/><Relationship Id="rId54" Type="http://schemas.openxmlformats.org/officeDocument/2006/relationships/hyperlink" Target="https://www.legislation.gov.uk/ukpga/1998/39/contents" TargetMode="External"/><Relationship Id="rId62"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cas.org.uk/making-a-claim-to-an-employment-tribunal" TargetMode="External"/><Relationship Id="rId23" Type="http://schemas.openxmlformats.org/officeDocument/2006/relationships/hyperlink" Target="https://www.acas.org.uk/paternity-rights-leave-and-pay/paternity-pay" TargetMode="External"/><Relationship Id="rId28" Type="http://schemas.openxmlformats.org/officeDocument/2006/relationships/hyperlink" Target="https://www.cipd.org/globalassets/media/knowledge/knowledge-hub/tools/2024-pdfs/8411-respond-to-flexible-working-request-flowchart-feb24.pdf" TargetMode="External"/><Relationship Id="rId36" Type="http://schemas.openxmlformats.org/officeDocument/2006/relationships/hyperlink" Target="https://www.legislation.gov.uk/ukpga/2010/15" TargetMode="External"/><Relationship Id="rId49" Type="http://schemas.openxmlformats.org/officeDocument/2006/relationships/hyperlink" Target="https://ca.practicallaw.thomsonreuters.com/9-516-4930?contextData=(sc.Default)&amp;transitionType=Default&amp;firstPage=true" TargetMode="External"/><Relationship Id="rId57" Type="http://schemas.openxmlformats.org/officeDocument/2006/relationships/hyperlink" Target="https://www.legislation.gov.uk/uksi/2024/329/contents/made" TargetMode="External"/><Relationship Id="rId10" Type="http://schemas.openxmlformats.org/officeDocument/2006/relationships/footer" Target="footer2.xml"/><Relationship Id="rId31" Type="http://schemas.openxmlformats.org/officeDocument/2006/relationships/hyperlink" Target="https://publications.parliament.uk/pa/ld200809/ldjudgmt/jd090610/string-2.htm" TargetMode="External"/><Relationship Id="rId44" Type="http://schemas.openxmlformats.org/officeDocument/2006/relationships/hyperlink" Target="https://www.legislation.gov.uk/ukpga/1974/37/contents" TargetMode="External"/><Relationship Id="rId52" Type="http://schemas.openxmlformats.org/officeDocument/2006/relationships/hyperlink" Target="https://www.legislation.gov.uk/uksi/2014/3322/made" TargetMode="External"/><Relationship Id="rId60" Type="http://schemas.openxmlformats.org/officeDocument/2006/relationships/hyperlink" Target="https://www.legislation.gov.uk/uksi/1998/1833/contents/made" TargetMode="Externa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yperlink" Target="https://www.acas.org.uk/handling-a-tupe-transfer-step-by-step" TargetMode="External"/><Relationship Id="rId18" Type="http://schemas.openxmlformats.org/officeDocument/2006/relationships/hyperlink" Target="https://www.acas.org.uk/equal-pay/equal-pay-law" TargetMode="External"/><Relationship Id="rId39" Type="http://schemas.openxmlformats.org/officeDocument/2006/relationships/hyperlink" Target="https://www.gov.uk/calculate-your-redundancy-pay/y/2024-05-13/30/5.0/350.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26</Pages>
  <Words>9369</Words>
  <Characters>53405</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Jones</dc:creator>
  <cp:lastModifiedBy>Thomas Jones</cp:lastModifiedBy>
  <cp:revision>4</cp:revision>
  <dcterms:created xsi:type="dcterms:W3CDTF">2024-12-18T18:23:00Z</dcterms:created>
  <dcterms:modified xsi:type="dcterms:W3CDTF">2024-12-18T19:05:00Z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819d78-938c-4872-af2b-40cf5b347000_Enabled">
    <vt:lpwstr>true</vt:lpwstr>
  </property>
  <property fmtid="{D5CDD505-2E9C-101B-9397-08002B2CF9AE}" pid="3" name="MSIP_Label_7f819d78-938c-4872-af2b-40cf5b347000_SetDate">
    <vt:lpwstr>2024-12-18T18:23:04Z</vt:lpwstr>
  </property>
  <property fmtid="{D5CDD505-2E9C-101B-9397-08002B2CF9AE}" pid="4" name="MSIP_Label_7f819d78-938c-4872-af2b-40cf5b347000_Method">
    <vt:lpwstr>Standard</vt:lpwstr>
  </property>
  <property fmtid="{D5CDD505-2E9C-101B-9397-08002B2CF9AE}" pid="5" name="MSIP_Label_7f819d78-938c-4872-af2b-40cf5b347000_Name">
    <vt:lpwstr>Internal</vt:lpwstr>
  </property>
  <property fmtid="{D5CDD505-2E9C-101B-9397-08002B2CF9AE}" pid="6" name="MSIP_Label_7f819d78-938c-4872-af2b-40cf5b347000_SiteId">
    <vt:lpwstr>1f758329-8df9-4285-af1e-1f1e58d2d08b</vt:lpwstr>
  </property>
  <property fmtid="{D5CDD505-2E9C-101B-9397-08002B2CF9AE}" pid="7" name="MSIP_Label_7f819d78-938c-4872-af2b-40cf5b347000_ActionId">
    <vt:lpwstr>bf1a75df-11c1-4711-92da-838343b9be6f</vt:lpwstr>
  </property>
  <property fmtid="{D5CDD505-2E9C-101B-9397-08002B2CF9AE}" pid="8" name="MSIP_Label_7f819d78-938c-4872-af2b-40cf5b347000_ContentBits">
    <vt:lpwstr>0</vt:lpwstr>
  </property>
</Properties>
</file>