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header2.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63B4C" w:rsidRDefault="00063B4C" w14:paraId="1AFC2A57" w14:textId="2C7A28E8">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063B4C" w:rsidRDefault="00063B4C" w14:paraId="7B396377" w14:textId="7D024E7B"/>
    <w:p w:rsidR="00063B4C" w:rsidRDefault="00063B4C" w14:paraId="00DE7510" w14:textId="684CC594"/>
    <w:p w:rsidR="00063B4C" w:rsidRDefault="00063B4C" w14:paraId="62B6C1AB" w14:textId="77777777"/>
    <w:p w:rsidR="00063B4C" w:rsidP="00063B4C" w:rsidRDefault="00063B4C" w14:paraId="19C1447B" w14:textId="77777777">
      <w:pPr>
        <w:ind w:right="1229"/>
      </w:pPr>
    </w:p>
    <w:p w:rsidRPr="00063B4C" w:rsidR="00063B4C" w:rsidP="00063B4C" w:rsidRDefault="00063B4C" w14:paraId="4BD32C57" w14:textId="2FA64C13">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rsidRPr="00063B4C" w:rsidR="00063B4C" w:rsidP="00063B4C" w:rsidRDefault="00063B4C" w14:paraId="7F58ECA1" w14:textId="77777777">
      <w:pPr>
        <w:pStyle w:val="BodyText"/>
        <w:jc w:val="center"/>
        <w:rPr>
          <w:rFonts w:ascii="Aptos" w:hAnsi="Aptos" w:cs="Arial"/>
          <w:sz w:val="20"/>
        </w:rPr>
      </w:pPr>
    </w:p>
    <w:p w:rsidRPr="00063B4C" w:rsidR="00063B4C" w:rsidP="00063B4C" w:rsidRDefault="00063B4C" w14:paraId="3009F44A" w14:textId="2F598781">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rsidRPr="00063B4C" w:rsidR="00063B4C" w:rsidP="00063B4C" w:rsidRDefault="00063B4C" w14:paraId="08ED8C42" w14:textId="6C990D4E">
      <w:pPr>
        <w:spacing w:line="1342" w:lineRule="exact"/>
        <w:jc w:val="left"/>
        <w:rPr>
          <w:rFonts w:cs="Arial"/>
          <w:sz w:val="70"/>
          <w:szCs w:val="70"/>
        </w:rPr>
      </w:pPr>
    </w:p>
    <w:p w:rsidR="00063B4C" w:rsidRDefault="00063B4C" w14:paraId="5B270734" w14:textId="55782988"/>
    <w:p w:rsidR="00995444" w:rsidP="00995444" w:rsidRDefault="00995444" w14:paraId="2C0F81B3" w14:textId="77777777">
      <w:pPr>
        <w:pStyle w:val="Heading1"/>
        <w:ind w:left="0"/>
        <w:rPr>
          <w:rFonts w:ascii="Aptos" w:hAnsi="Aptos" w:cs="Arial"/>
        </w:rPr>
      </w:pPr>
    </w:p>
    <w:p w:rsidR="072C3F49" w:rsidP="072C3F49" w:rsidRDefault="072C3F49" w14:paraId="638EC9EF" w14:textId="2264EB08">
      <w:pPr>
        <w:pStyle w:val="Heading1"/>
        <w:ind w:left="0"/>
        <w:rPr>
          <w:rFonts w:ascii="Aptos" w:hAnsi="Aptos" w:cs="Arial"/>
        </w:rPr>
      </w:pPr>
    </w:p>
    <w:p w:rsidRPr="00063B4C" w:rsidR="00063B4C" w:rsidP="00995444" w:rsidRDefault="00063B4C" w14:paraId="6D29CD44" w14:textId="75C545B1">
      <w:pPr>
        <w:pStyle w:val="Heading1"/>
        <w:ind w:left="0"/>
        <w:rPr>
          <w:rFonts w:ascii="Aptos" w:hAnsi="Aptos" w:cs="Arial"/>
        </w:rPr>
      </w:pPr>
      <w:bookmarkStart w:name="_Toc759076263" w:id="1889791508"/>
      <w:r w:rsidRPr="4B13576D" w:rsidR="162682B9">
        <w:rPr>
          <w:rFonts w:ascii="Aptos" w:hAnsi="Aptos" w:cs="Arial"/>
        </w:rPr>
        <w:t>Disclaimer</w:t>
      </w:r>
      <w:bookmarkEnd w:id="1889791508"/>
    </w:p>
    <w:p w:rsidR="00604A87" w:rsidP="00995444" w:rsidRDefault="00063B4C" w14:paraId="2E1C9484" w14:textId="77777777">
      <w:pPr>
        <w:spacing w:before="62"/>
        <w:ind w:right="96"/>
        <w:rPr>
          <w:rFonts w:cs="Arial"/>
          <w:sz w:val="20"/>
        </w:rPr>
      </w:pPr>
      <w:r w:rsidRPr="00063B4C">
        <w:rPr>
          <w:rFonts w:cs="Arial"/>
          <w:sz w:val="20"/>
        </w:rPr>
        <w:t xml:space="preserve">This document was correct at the time of publication. The Module Coordinator reserves the right to modify any </w:t>
      </w:r>
      <w:proofErr w:type="gramStart"/>
      <w:r w:rsidRPr="00063B4C">
        <w:rPr>
          <w:rFonts w:cs="Arial"/>
          <w:sz w:val="20"/>
        </w:rPr>
        <w:t>statement</w:t>
      </w:r>
      <w:proofErr w:type="gramEnd"/>
      <w:r w:rsidRPr="00063B4C">
        <w:rPr>
          <w:rFonts w:cs="Arial"/>
          <w:sz w:val="20"/>
        </w:rPr>
        <w:t xml:space="preserve"> if necessary, make variations to the content or methods of delivery of programmes of study, to discontinue programmes, or merge or combine programmes if such actions are reasonably considered to be necessary by UWTSD. Every effort will be made to keep disruption to a minimum, and to give as much notice as possible. An electronic copy of this handbook can be found on the Moodle page for the module.</w:t>
      </w:r>
    </w:p>
    <w:p w:rsidR="00730C3C" w:rsidP="00604A87" w:rsidRDefault="00730C3C" w14:paraId="265E2262" w14:textId="77777777">
      <w:pPr>
        <w:rPr>
          <w:rFonts w:eastAsia="Times New Roman" w:cs="Arial"/>
          <w:b/>
          <w:sz w:val="28"/>
          <w:szCs w:val="28"/>
        </w:rPr>
      </w:pPr>
    </w:p>
    <w:p w:rsidRPr="0073280B" w:rsidR="00604A87" w:rsidP="00604A87" w:rsidRDefault="00604A87" w14:paraId="3492E4C4" w14:textId="45AA03BC">
      <w:pPr>
        <w:rPr>
          <w:rFonts w:eastAsia="Times New Roman" w:cs="Arial"/>
          <w:b/>
          <w:sz w:val="28"/>
          <w:szCs w:val="28"/>
        </w:rPr>
      </w:pPr>
      <w:r w:rsidRPr="0073280B">
        <w:rPr>
          <w:rFonts w:eastAsia="Times New Roman" w:cs="Arial"/>
          <w:b/>
          <w:sz w:val="28"/>
          <w:szCs w:val="28"/>
        </w:rPr>
        <w:t>DECLARATION</w:t>
      </w:r>
    </w:p>
    <w:p w:rsidRPr="00604A87" w:rsidR="00604A87" w:rsidP="00604A87" w:rsidRDefault="00604A87" w14:paraId="113CAAED" w14:textId="2CC33593">
      <w:pPr>
        <w:rPr>
          <w:rFonts w:eastAsia="Times New Roman" w:cs="Arial"/>
        </w:rPr>
      </w:pPr>
      <w:r w:rsidRPr="00604A87">
        <w:rPr>
          <w:rFonts w:eastAsia="Times New Roman" w:cs="Arial"/>
        </w:rPr>
        <w:t>This work has not previously been accepted in substance for any degree and is not being concurrently submitted in candidature for any degree</w:t>
      </w:r>
    </w:p>
    <w:p w:rsidRPr="00604A87" w:rsidR="00604A87" w:rsidP="00604A87" w:rsidRDefault="00604A87" w14:paraId="3EF51212" w14:textId="254C462A">
      <w:pPr>
        <w:rPr>
          <w:rFonts w:eastAsia="Times New Roman" w:cs="Arial"/>
        </w:rPr>
      </w:pPr>
      <w:r w:rsidRPr="51A6AB2E" w:rsidR="3F30B28C">
        <w:rPr>
          <w:rFonts w:eastAsia="Times New Roman" w:cs="Arial"/>
        </w:rPr>
        <w:t>Signed……</w:t>
      </w:r>
      <w:r w:rsidRPr="51A6AB2E" w:rsidR="25EE7A57">
        <w:rPr>
          <w:rFonts w:eastAsia="Times New Roman" w:cs="Arial"/>
        </w:rPr>
        <w:t>Tahira Aziz</w:t>
      </w:r>
      <w:r w:rsidRPr="51A6AB2E" w:rsidR="3F30B28C">
        <w:rPr>
          <w:rFonts w:eastAsia="Times New Roman" w:cs="Arial"/>
        </w:rPr>
        <w:t>………………………………………</w:t>
      </w:r>
    </w:p>
    <w:p w:rsidRPr="00604A87" w:rsidR="00604A87" w:rsidP="00604A87" w:rsidRDefault="00604A87" w14:paraId="16B6CB34" w14:textId="57776959">
      <w:pPr>
        <w:rPr>
          <w:rFonts w:eastAsia="Times New Roman" w:cs="Arial"/>
        </w:rPr>
      </w:pPr>
      <w:r w:rsidRPr="3DF02E74" w:rsidR="243CA655">
        <w:rPr>
          <w:rFonts w:eastAsia="Times New Roman" w:cs="Arial"/>
        </w:rPr>
        <w:t>Date………</w:t>
      </w:r>
      <w:r w:rsidRPr="3DF02E74" w:rsidR="5435C580">
        <w:rPr>
          <w:rFonts w:eastAsia="Times New Roman" w:cs="Arial"/>
        </w:rPr>
        <w:t>23</w:t>
      </w:r>
      <w:r w:rsidRPr="3DF02E74" w:rsidR="4F54B1DE">
        <w:rPr>
          <w:rFonts w:eastAsia="Times New Roman" w:cs="Arial"/>
        </w:rPr>
        <w:t>/0</w:t>
      </w:r>
      <w:r w:rsidRPr="3DF02E74" w:rsidR="11E62424">
        <w:rPr>
          <w:rFonts w:eastAsia="Times New Roman" w:cs="Arial"/>
        </w:rPr>
        <w:t>6</w:t>
      </w:r>
      <w:r w:rsidRPr="3DF02E74" w:rsidR="4F54B1DE">
        <w:rPr>
          <w:rFonts w:eastAsia="Times New Roman" w:cs="Arial"/>
        </w:rPr>
        <w:t>/2026</w:t>
      </w:r>
      <w:r w:rsidRPr="3DF02E74" w:rsidR="243CA655">
        <w:rPr>
          <w:rFonts w:eastAsia="Times New Roman" w:cs="Arial"/>
        </w:rPr>
        <w:t>……………………………………</w:t>
      </w:r>
    </w:p>
    <w:p w:rsidRPr="00604A87" w:rsidR="00604A87" w:rsidP="00604A87" w:rsidRDefault="00604A87" w14:paraId="7D9E43A8" w14:textId="77777777">
      <w:pPr>
        <w:rPr>
          <w:rFonts w:eastAsia="Times New Roman" w:cs="Arial"/>
          <w:bCs/>
          <w:kern w:val="32"/>
        </w:rPr>
      </w:pPr>
      <w:r w:rsidRPr="00604A87">
        <w:rPr>
          <w:rFonts w:eastAsia="Times New Roman" w:cs="Arial"/>
          <w:b/>
        </w:rPr>
        <w:t xml:space="preserve">STATEMENT 1 </w:t>
      </w:r>
    </w:p>
    <w:p w:rsidRPr="00604A87" w:rsidR="00604A87" w:rsidP="00604A87" w:rsidRDefault="00604A87" w14:paraId="189DE0A6" w14:textId="710F2765">
      <w:pPr>
        <w:rPr>
          <w:rFonts w:eastAsia="Times New Roman" w:cs="Arial"/>
        </w:rPr>
      </w:pPr>
      <w:r w:rsidRPr="00604A87">
        <w:rPr>
          <w:rFonts w:eastAsia="Times New Roman" w:cs="Arial"/>
        </w:rPr>
        <w:t>This dissertation is being submitted in partial fulfilment of the requirements for the degree of BSc.</w:t>
      </w:r>
    </w:p>
    <w:p w:rsidRPr="00604A87" w:rsidR="00604A87" w:rsidP="00604A87" w:rsidRDefault="00604A87" w14:paraId="39F661A6" w14:textId="373766B3">
      <w:pPr>
        <w:rPr>
          <w:rFonts w:eastAsia="Times New Roman" w:cs="Arial"/>
        </w:rPr>
      </w:pPr>
      <w:r w:rsidRPr="51A6AB2E" w:rsidR="3F30B28C">
        <w:rPr>
          <w:rFonts w:eastAsia="Times New Roman" w:cs="Arial"/>
        </w:rPr>
        <w:t>Signed……</w:t>
      </w:r>
      <w:r w:rsidRPr="51A6AB2E" w:rsidR="7BD7E3FE">
        <w:rPr>
          <w:rFonts w:eastAsia="Times New Roman" w:cs="Arial"/>
        </w:rPr>
        <w:t>Tahira Aziz</w:t>
      </w:r>
      <w:r w:rsidRPr="51A6AB2E" w:rsidR="3F30B28C">
        <w:rPr>
          <w:rFonts w:eastAsia="Times New Roman" w:cs="Arial"/>
        </w:rPr>
        <w:t xml:space="preserve">………………………………………. </w:t>
      </w:r>
    </w:p>
    <w:p w:rsidRPr="00604A87" w:rsidR="00604A87" w:rsidP="00604A87" w:rsidRDefault="00604A87" w14:paraId="21F5E413" w14:textId="25860690">
      <w:pPr>
        <w:rPr>
          <w:rFonts w:eastAsia="Times New Roman" w:cs="Arial"/>
        </w:rPr>
      </w:pPr>
      <w:r w:rsidRPr="3DF02E74" w:rsidR="243CA655">
        <w:rPr>
          <w:rFonts w:eastAsia="Times New Roman" w:cs="Arial"/>
        </w:rPr>
        <w:t>Date…………</w:t>
      </w:r>
      <w:r w:rsidRPr="3DF02E74" w:rsidR="2DCD0FFA">
        <w:rPr>
          <w:rFonts w:eastAsia="Times New Roman" w:cs="Arial"/>
        </w:rPr>
        <w:t>23/06/2026</w:t>
      </w:r>
      <w:r w:rsidRPr="3DF02E74" w:rsidR="243CA655">
        <w:rPr>
          <w:rFonts w:eastAsia="Times New Roman" w:cs="Arial"/>
        </w:rPr>
        <w:t>……………………………………</w:t>
      </w:r>
    </w:p>
    <w:p w:rsidRPr="00604A87" w:rsidR="00604A87" w:rsidP="00604A87" w:rsidRDefault="00604A87" w14:paraId="713B64B9" w14:textId="77777777">
      <w:pPr>
        <w:rPr>
          <w:rFonts w:eastAsia="Times New Roman" w:cs="Arial"/>
        </w:rPr>
      </w:pPr>
      <w:r w:rsidRPr="00604A87">
        <w:rPr>
          <w:rFonts w:eastAsia="Times New Roman" w:cs="Arial"/>
          <w:b/>
        </w:rPr>
        <w:t>STATEMENT 2</w:t>
      </w:r>
    </w:p>
    <w:p w:rsidRPr="00604A87" w:rsidR="00604A87" w:rsidP="00604A87" w:rsidRDefault="00604A87" w14:paraId="4AA5D04A" w14:textId="65BB11AC">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rsidRPr="00604A87" w:rsidR="00604A87" w:rsidP="00604A87" w:rsidRDefault="00604A87" w14:paraId="319A31E7" w14:textId="30E59712">
      <w:pPr>
        <w:rPr>
          <w:rFonts w:eastAsia="Times New Roman" w:cs="Arial"/>
        </w:rPr>
      </w:pPr>
      <w:r w:rsidRPr="3DF02E74" w:rsidR="0A924A93">
        <w:rPr>
          <w:rFonts w:eastAsia="Times New Roman" w:cs="Arial"/>
        </w:rPr>
        <w:t>Signed……</w:t>
      </w:r>
      <w:r w:rsidRPr="3DF02E74" w:rsidR="7B7B5D05">
        <w:rPr>
          <w:rFonts w:eastAsia="Times New Roman" w:cs="Arial"/>
        </w:rPr>
        <w:t>T</w:t>
      </w:r>
      <w:r w:rsidRPr="3DF02E74" w:rsidR="4BB85CA9">
        <w:rPr>
          <w:rFonts w:eastAsia="Times New Roman" w:cs="Arial"/>
        </w:rPr>
        <w:t>ah</w:t>
      </w:r>
      <w:r w:rsidRPr="3DF02E74" w:rsidR="7B7B5D05">
        <w:rPr>
          <w:rFonts w:eastAsia="Times New Roman" w:cs="Arial"/>
        </w:rPr>
        <w:t>ira Aziz</w:t>
      </w:r>
      <w:r w:rsidRPr="3DF02E74" w:rsidR="0A924A93">
        <w:rPr>
          <w:rFonts w:eastAsia="Times New Roman" w:cs="Arial"/>
        </w:rPr>
        <w:t>………………………………………</w:t>
      </w:r>
    </w:p>
    <w:p w:rsidRPr="00604A87" w:rsidR="00604A87" w:rsidP="00604A87" w:rsidRDefault="00604A87" w14:paraId="1CB40FFB" w14:textId="2C156245">
      <w:pPr>
        <w:rPr>
          <w:rFonts w:eastAsia="Times New Roman" w:cs="Arial"/>
        </w:rPr>
      </w:pPr>
      <w:r w:rsidRPr="3DF02E74" w:rsidR="243CA655">
        <w:rPr>
          <w:rFonts w:eastAsia="Times New Roman" w:cs="Arial"/>
        </w:rPr>
        <w:t>Date…………</w:t>
      </w:r>
      <w:r w:rsidRPr="3DF02E74" w:rsidR="2D0D5E08">
        <w:rPr>
          <w:rFonts w:eastAsia="Times New Roman" w:cs="Arial"/>
        </w:rPr>
        <w:t>23/06/2026</w:t>
      </w:r>
      <w:r w:rsidRPr="3DF02E74" w:rsidR="243CA655">
        <w:rPr>
          <w:rFonts w:eastAsia="Times New Roman" w:cs="Arial"/>
        </w:rPr>
        <w:t xml:space="preserve">…………………………………… </w:t>
      </w:r>
    </w:p>
    <w:p w:rsidRPr="00604A87" w:rsidR="00604A87" w:rsidP="00604A87" w:rsidRDefault="00604A87" w14:paraId="42D5D0C6" w14:textId="77777777">
      <w:pPr>
        <w:rPr>
          <w:rFonts w:eastAsia="Times New Roman" w:cs="Arial"/>
        </w:rPr>
      </w:pPr>
      <w:r w:rsidRPr="00604A87">
        <w:rPr>
          <w:rFonts w:eastAsia="Times New Roman" w:cs="Arial"/>
          <w:b/>
        </w:rPr>
        <w:t>STATEMENT 3</w:t>
      </w:r>
    </w:p>
    <w:p w:rsidRPr="00604A87" w:rsidR="00604A87" w:rsidP="00604A87" w:rsidRDefault="00604A87" w14:paraId="4B58546E" w14:textId="61CCB29A">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rsidRPr="00604A87" w:rsidR="00604A87" w:rsidP="00604A87" w:rsidRDefault="00604A87" w14:paraId="5C25443E" w14:textId="75DE97E0">
      <w:pPr>
        <w:rPr>
          <w:rFonts w:eastAsia="Times New Roman" w:cs="Arial"/>
        </w:rPr>
      </w:pPr>
      <w:r w:rsidRPr="3DF02E74" w:rsidR="0A924A93">
        <w:rPr>
          <w:rFonts w:eastAsia="Times New Roman" w:cs="Arial"/>
        </w:rPr>
        <w:t>Signed…</w:t>
      </w:r>
      <w:r w:rsidRPr="3DF02E74" w:rsidR="43AD2D5E">
        <w:rPr>
          <w:rFonts w:eastAsia="Times New Roman" w:cs="Arial"/>
        </w:rPr>
        <w:t>T</w:t>
      </w:r>
      <w:r w:rsidRPr="3DF02E74" w:rsidR="1946E6FD">
        <w:rPr>
          <w:rFonts w:eastAsia="Times New Roman" w:cs="Arial"/>
        </w:rPr>
        <w:t>ah</w:t>
      </w:r>
      <w:r w:rsidRPr="3DF02E74" w:rsidR="43AD2D5E">
        <w:rPr>
          <w:rFonts w:eastAsia="Times New Roman" w:cs="Arial"/>
        </w:rPr>
        <w:t>ira Aziz</w:t>
      </w:r>
      <w:r w:rsidRPr="3DF02E74" w:rsidR="0A924A93">
        <w:rPr>
          <w:rFonts w:eastAsia="Times New Roman" w:cs="Arial"/>
        </w:rPr>
        <w:t>……………………………………………</w:t>
      </w:r>
    </w:p>
    <w:p w:rsidRPr="00604A87" w:rsidR="00604A87" w:rsidP="00604A87" w:rsidRDefault="00604A87" w14:paraId="021196D1" w14:textId="7D4EF21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3DF02E74" w:rsidR="243CA655">
        <w:rPr>
          <w:rFonts w:eastAsia="Times New Roman" w:cs="Arial"/>
        </w:rPr>
        <w:t>Date………</w:t>
      </w:r>
      <w:r w:rsidRPr="3DF02E74" w:rsidR="667BDA1D">
        <w:rPr>
          <w:rFonts w:eastAsia="Times New Roman" w:cs="Arial"/>
        </w:rPr>
        <w:t>23/06/2026</w:t>
      </w:r>
      <w:r w:rsidRPr="3DF02E74" w:rsidR="243CA655">
        <w:rPr>
          <w:rFonts w:eastAsia="Times New Roman" w:cs="Arial"/>
        </w:rPr>
        <w:t>…………………………………………</w:t>
      </w:r>
    </w:p>
    <w:p w:rsidRPr="00604A87" w:rsidR="00604A87" w:rsidP="00604A87" w:rsidRDefault="00604A87" w14:paraId="77D38054" w14:textId="77777777">
      <w:pPr>
        <w:rPr>
          <w:rFonts w:eastAsia="Times New Roman" w:cs="Arial"/>
          <w:b/>
        </w:rPr>
      </w:pPr>
      <w:r w:rsidRPr="00604A87">
        <w:rPr>
          <w:rFonts w:eastAsia="Times New Roman" w:cs="Arial"/>
          <w:b/>
        </w:rPr>
        <w:t>STATEMENT 4</w:t>
      </w:r>
    </w:p>
    <w:p w:rsidRPr="00604A87" w:rsidR="00604A87" w:rsidP="00604A87" w:rsidRDefault="00604A87" w14:paraId="0A15E499" w14:textId="1F9546C0">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rsidRPr="00604A87" w:rsidR="00604A87" w:rsidP="00604A87" w:rsidRDefault="00604A87" w14:paraId="73D7762F" w14:textId="7C702AEF">
      <w:pPr>
        <w:rPr>
          <w:rFonts w:eastAsia="Times New Roman" w:cs="Arial"/>
        </w:rPr>
      </w:pPr>
      <w:r w:rsidRPr="3DF02E74" w:rsidR="0A924A93">
        <w:rPr>
          <w:rFonts w:eastAsia="Times New Roman" w:cs="Arial"/>
        </w:rPr>
        <w:t>Signed………</w:t>
      </w:r>
      <w:r w:rsidRPr="3DF02E74" w:rsidR="4C38DBBC">
        <w:rPr>
          <w:rFonts w:eastAsia="Times New Roman" w:cs="Arial"/>
        </w:rPr>
        <w:t>T</w:t>
      </w:r>
      <w:r w:rsidRPr="3DF02E74" w:rsidR="22872A78">
        <w:rPr>
          <w:rFonts w:eastAsia="Times New Roman" w:cs="Arial"/>
        </w:rPr>
        <w:t>ah</w:t>
      </w:r>
      <w:r w:rsidRPr="3DF02E74" w:rsidR="4C38DBBC">
        <w:rPr>
          <w:rFonts w:eastAsia="Times New Roman" w:cs="Arial"/>
        </w:rPr>
        <w:t>ira Aziz</w:t>
      </w:r>
      <w:r w:rsidRPr="3DF02E74" w:rsidR="0A924A93">
        <w:rPr>
          <w:rFonts w:eastAsia="Times New Roman" w:cs="Arial"/>
        </w:rPr>
        <w:t>………………………………………</w:t>
      </w:r>
    </w:p>
    <w:p w:rsidRPr="00604A87" w:rsidR="00604A87" w:rsidP="00604A87" w:rsidRDefault="00604A87" w14:paraId="2BDDE109" w14:textId="1E8841D0">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3DF02E74" w:rsidR="243CA655">
        <w:rPr>
          <w:rFonts w:eastAsia="Times New Roman" w:cs="Arial"/>
        </w:rPr>
        <w:t>Date……………</w:t>
      </w:r>
      <w:r w:rsidRPr="3DF02E74" w:rsidR="0DC2F1A4">
        <w:rPr>
          <w:rFonts w:eastAsia="Times New Roman" w:cs="Arial"/>
        </w:rPr>
        <w:t>23/06/2026</w:t>
      </w:r>
      <w:r w:rsidRPr="3DF02E74" w:rsidR="243CA655">
        <w:rPr>
          <w:rFonts w:eastAsia="Times New Roman" w:cs="Arial"/>
        </w:rPr>
        <w:t>……………………………………</w:t>
      </w:r>
    </w:p>
    <w:p w:rsidR="00063B4C" w:rsidRDefault="00063B4C" w14:paraId="324943A4" w14:textId="77777777"/>
    <w:p w:rsidR="00063B4C" w:rsidRDefault="00063B4C" w14:paraId="13649F9E" w14:textId="77777777"/>
    <w:p w:rsidR="00995444" w:rsidP="00995444" w:rsidRDefault="00995444" w14:paraId="4E014F16" w14:textId="77777777">
      <w:pPr>
        <w:jc w:val="center"/>
        <w:rPr>
          <w:rFonts w:ascii="Arial" w:hAnsi="Arial" w:eastAsia="Arial Unicode MS" w:cs="Arial"/>
          <w:b/>
          <w:sz w:val="56"/>
          <w:szCs w:val="56"/>
        </w:rPr>
      </w:pPr>
    </w:p>
    <w:p w:rsidR="00995444" w:rsidP="00995444" w:rsidRDefault="00995444" w14:paraId="7CE514EB" w14:textId="77777777">
      <w:pPr>
        <w:jc w:val="center"/>
        <w:rPr>
          <w:rFonts w:ascii="Arial" w:hAnsi="Arial" w:eastAsia="Arial Unicode MS" w:cs="Arial"/>
          <w:b/>
          <w:sz w:val="56"/>
          <w:szCs w:val="56"/>
        </w:rPr>
      </w:pPr>
    </w:p>
    <w:p w:rsidR="00804B94" w:rsidP="072C3F49" w:rsidRDefault="00804B94" w14:paraId="30D96DF1" w14:textId="45A34909">
      <w:pPr>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00804B94" w:rsidP="072C3F49" w:rsidRDefault="00804B94" w14:paraId="4BDC9398" w14:textId="36CC150B">
      <w:pPr>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00804B94" w:rsidP="072C3F49" w:rsidRDefault="00804B94" w14:paraId="467A63B2" w14:textId="7F849E53">
      <w:pPr>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00804B94" w:rsidP="072C3F49" w:rsidRDefault="00804B94" w14:paraId="783B93D2" w14:textId="35571B8C">
      <w:pPr>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00804B94" w:rsidP="072C3F49" w:rsidRDefault="00804B94" w14:paraId="27E306C3" w14:textId="4010E723">
      <w:pPr>
        <w:pStyle w:val="Normal"/>
        <w:spacing w:before="240" w:beforeAutospacing="off" w:after="240" w:afterAutospacing="off" w:line="360" w:lineRule="auto"/>
      </w:pPr>
      <w:r w:rsidRPr="072C3F49" w:rsidR="7F9D8318">
        <w:rPr>
          <w:rFonts w:ascii="Arial" w:hAnsi="Arial" w:eastAsia="Arial" w:cs="Arial"/>
          <w:b w:val="1"/>
          <w:bCs w:val="1"/>
          <w:i w:val="0"/>
          <w:iCs w:val="0"/>
          <w:caps w:val="0"/>
          <w:smallCaps w:val="0"/>
          <w:noProof w:val="0"/>
          <w:color w:val="000000" w:themeColor="text1" w:themeTint="FF" w:themeShade="FF"/>
          <w:sz w:val="24"/>
          <w:szCs w:val="24"/>
          <w:u w:val="single"/>
          <w:lang w:val="en-GB"/>
        </w:rPr>
        <w:t>Exploring the Experiences of Women Over 30 Diagnosed with ADHD in the UK: A</w:t>
      </w:r>
      <w:r w:rsidRPr="072C3F49" w:rsidR="34A56D91">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 </w:t>
      </w:r>
      <w:r w:rsidRPr="072C3F49" w:rsidR="7F9D8318">
        <w:rPr>
          <w:rFonts w:ascii="Arial" w:hAnsi="Arial" w:eastAsia="Arial" w:cs="Arial"/>
          <w:b w:val="1"/>
          <w:bCs w:val="1"/>
          <w:i w:val="0"/>
          <w:iCs w:val="0"/>
          <w:caps w:val="0"/>
          <w:smallCaps w:val="0"/>
          <w:noProof w:val="0"/>
          <w:color w:val="000000" w:themeColor="text1" w:themeTint="FF" w:themeShade="FF"/>
          <w:sz w:val="24"/>
          <w:szCs w:val="24"/>
          <w:u w:val="single"/>
          <w:lang w:val="en-GB"/>
        </w:rPr>
        <w:t xml:space="preserve">Critical Investigation into Diagnostic Barriers, Delayed Recognition, and Service </w:t>
      </w:r>
      <w:r w:rsidRPr="072C3F49" w:rsidR="6A097E87">
        <w:rPr>
          <w:rFonts w:ascii="Arial" w:hAnsi="Arial" w:eastAsia="Arial" w:cs="Arial"/>
          <w:b w:val="1"/>
          <w:bCs w:val="1"/>
          <w:i w:val="0"/>
          <w:iCs w:val="0"/>
          <w:caps w:val="0"/>
          <w:smallCaps w:val="0"/>
          <w:noProof w:val="0"/>
          <w:color w:val="000000" w:themeColor="text1" w:themeTint="FF" w:themeShade="FF"/>
          <w:sz w:val="24"/>
          <w:szCs w:val="24"/>
          <w:u w:val="single"/>
          <w:lang w:val="en-GB"/>
        </w:rPr>
        <w:t>Provision</w:t>
      </w:r>
    </w:p>
    <w:p w:rsidR="00804B94" w:rsidP="072C3F49" w:rsidRDefault="00804B94" w14:paraId="4B173174" w14:textId="1B89713A">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rPr>
          <w:rFonts w:ascii="Arial" w:hAnsi="Arial" w:eastAsia="Arial" w:cs="Arial"/>
          <w:b w:val="1"/>
          <w:bCs w:val="1"/>
          <w:sz w:val="40"/>
          <w:szCs w:val="40"/>
        </w:rPr>
      </w:pPr>
      <w:r w:rsidRPr="072C3F49" w:rsidR="6A097E87">
        <w:rPr>
          <w:rFonts w:ascii="Arial" w:hAnsi="Arial" w:eastAsia="Arial" w:cs="Arial"/>
          <w:b w:val="1"/>
          <w:bCs w:val="1"/>
          <w:sz w:val="40"/>
          <w:szCs w:val="40"/>
        </w:rPr>
        <w:t>Student Name:</w:t>
      </w:r>
      <w:r w:rsidRPr="072C3F49" w:rsidR="6A097E87">
        <w:rPr>
          <w:rFonts w:ascii="Arial" w:hAnsi="Arial" w:eastAsia="Arial" w:cs="Arial"/>
          <w:b w:val="1"/>
          <w:bCs w:val="1"/>
          <w:sz w:val="40"/>
          <w:szCs w:val="40"/>
        </w:rPr>
        <w:t xml:space="preserve"> </w:t>
      </w:r>
      <w:r w:rsidRPr="072C3F49" w:rsidR="6A097E87">
        <w:rPr>
          <w:rFonts w:ascii="Arial" w:hAnsi="Arial" w:eastAsia="Arial" w:cs="Arial"/>
          <w:b w:val="1"/>
          <w:bCs w:val="1"/>
          <w:sz w:val="40"/>
          <w:szCs w:val="40"/>
        </w:rPr>
        <w:t>Tahira Aziz</w:t>
      </w:r>
    </w:p>
    <w:p w:rsidR="00804B94" w:rsidP="072C3F49" w:rsidRDefault="00804B94" w14:paraId="334DD299" w14:textId="2F58BDAF">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 w:rsidRPr="072C3F49" w:rsidR="6A097E87">
        <w:rPr>
          <w:rFonts w:ascii="Arial" w:hAnsi="Arial" w:eastAsia="Arial" w:cs="Arial"/>
          <w:b w:val="1"/>
          <w:bCs w:val="1"/>
          <w:sz w:val="40"/>
          <w:szCs w:val="40"/>
        </w:rPr>
        <w:t>Student ID: 2216458</w:t>
      </w:r>
    </w:p>
    <w:p w:rsidR="00804B94" w:rsidP="072C3F49" w:rsidRDefault="00804B94" w14:paraId="41EC451F" w14:textId="7F03E50B">
      <w:pPr>
        <w:tabs>
          <w:tab w:val="left" w:leader="none" w:pos="720"/>
          <w:tab w:val="left" w:leader="none" w:pos="1440"/>
          <w:tab w:val="left" w:leader="none" w:pos="2160"/>
          <w:tab w:val="left" w:leader="none" w:pos="2880"/>
          <w:tab w:val="left" w:leader="none" w:pos="3600"/>
          <w:tab w:val="left" w:leader="none" w:pos="4320"/>
          <w:tab w:val="left" w:leader="none" w:pos="5040"/>
          <w:tab w:val="left" w:leader="none" w:pos="5760"/>
          <w:tab w:val="left" w:leader="none" w:pos="6480"/>
          <w:tab w:val="left" w:leader="none" w:pos="7200"/>
          <w:tab w:val="left" w:leader="none" w:pos="7920"/>
          <w:tab w:val="left" w:leader="none" w:pos="8640"/>
        </w:tabs>
        <w:jc w:val="center"/>
      </w:pPr>
      <w:r w:rsidRPr="072C3F49" w:rsidR="6A097E87">
        <w:rPr>
          <w:rFonts w:ascii="Arial" w:hAnsi="Arial" w:eastAsia="Arial" w:cs="Arial"/>
          <w:b w:val="1"/>
          <w:bCs w:val="1"/>
          <w:sz w:val="40"/>
          <w:szCs w:val="40"/>
        </w:rPr>
        <w:t>Lecturer Name: Chloe Harries</w:t>
      </w:r>
    </w:p>
    <w:p w:rsidR="00804B94" w:rsidP="072C3F49" w:rsidRDefault="00804B94" w14:paraId="73668DA4" w14:textId="4FB74BCA">
      <w:pPr>
        <w:pStyle w:val="Normal"/>
        <w:spacing w:before="240" w:beforeAutospacing="off" w:after="240" w:afterAutospacing="off" w:line="360" w:lineRule="auto"/>
        <w:rPr>
          <w:rFonts w:ascii="Arial" w:hAnsi="Arial" w:eastAsia="Arial" w:cs="Arial"/>
          <w:b w:val="1"/>
          <w:bCs w:val="1"/>
          <w:i w:val="0"/>
          <w:iCs w:val="0"/>
          <w:caps w:val="0"/>
          <w:smallCaps w:val="0"/>
          <w:noProof w:val="0"/>
          <w:color w:val="000000" w:themeColor="text1" w:themeTint="FF" w:themeShade="FF"/>
          <w:sz w:val="24"/>
          <w:szCs w:val="24"/>
          <w:u w:val="single"/>
          <w:lang w:val="en-GB"/>
        </w:rPr>
      </w:pPr>
    </w:p>
    <w:p w:rsidR="00804B94" w:rsidP="072C3F49" w:rsidRDefault="00804B94" w14:paraId="4B5CC9E3" w14:textId="3BE71ECD">
      <w:pPr>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p>
    <w:p w:rsidR="00804B94" w:rsidP="072C3F49" w:rsidRDefault="00804B94" w14:paraId="4D4A6B7F" w14:textId="71E18D2C">
      <w:pPr>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r w:rsidRPr="072C3F49" w:rsidR="7561A300">
        <w:rPr>
          <w:rFonts w:ascii="Arial" w:hAnsi="Arial" w:eastAsia="Arial" w:cs="Arial"/>
          <w:b w:val="1"/>
          <w:bCs w:val="1"/>
          <w:noProof w:val="0"/>
          <w:color w:val="000000" w:themeColor="text1" w:themeTint="FF" w:themeShade="FF"/>
          <w:sz w:val="22"/>
          <w:szCs w:val="22"/>
          <w:lang w:val="en-GB"/>
        </w:rPr>
        <w:t>Acknowledgements</w:t>
      </w:r>
    </w:p>
    <w:p w:rsidR="00804B94" w:rsidP="072C3F49" w:rsidRDefault="00804B94" w14:paraId="0AC3EA1F" w14:textId="6A01C41B">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072C3F49" w:rsidR="7561A300">
        <w:rPr>
          <w:rFonts w:ascii="Arial" w:hAnsi="Arial" w:eastAsia="Arial" w:cs="Arial"/>
          <w:noProof w:val="0"/>
          <w:color w:val="000000" w:themeColor="text1" w:themeTint="FF" w:themeShade="FF"/>
          <w:sz w:val="22"/>
          <w:szCs w:val="22"/>
          <w:lang w:val="en-GB"/>
        </w:rPr>
        <w:t>I would like to express my sincere gratitude to everyone who supported me throughout the completion of this dissertation.</w:t>
      </w:r>
    </w:p>
    <w:p w:rsidR="00804B94" w:rsidP="072C3F49" w:rsidRDefault="00804B94" w14:paraId="43851620" w14:textId="72C82840">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072C3F49" w:rsidR="7561A300">
        <w:rPr>
          <w:rFonts w:ascii="Arial" w:hAnsi="Arial" w:eastAsia="Arial" w:cs="Arial"/>
          <w:noProof w:val="0"/>
          <w:color w:val="000000" w:themeColor="text1" w:themeTint="FF" w:themeShade="FF"/>
          <w:sz w:val="22"/>
          <w:szCs w:val="22"/>
          <w:lang w:val="en-GB"/>
        </w:rPr>
        <w:t>This research is particularly meaningful to me because neurodiversity has had a significant impact on my own family. My daughter experienced many years of challenges before receiving an ADHD diagnosis at the age of 20 after previously being misdiagnosed. Witnessing her journey inspired me to explore the experiences of women who receive a diagnosis later in life and to gain a greater understanding of the barriers they face. Throughout this dissertation, I have dedicated considerable time to researching this topic with the hope of increasing awareness and contributing to a better understanding of ADHD in adult women.</w:t>
      </w:r>
    </w:p>
    <w:p w:rsidR="00804B94" w:rsidP="072C3F49" w:rsidRDefault="00804B94" w14:paraId="7C29992C" w14:textId="08C776F7">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072C3F49" w:rsidR="7561A300">
        <w:rPr>
          <w:rFonts w:ascii="Arial" w:hAnsi="Arial" w:eastAsia="Arial" w:cs="Arial"/>
          <w:noProof w:val="0"/>
          <w:color w:val="000000" w:themeColor="text1" w:themeTint="FF" w:themeShade="FF"/>
          <w:sz w:val="22"/>
          <w:szCs w:val="22"/>
          <w:lang w:val="en-GB"/>
        </w:rPr>
        <w:t>I would like to thank my family for their patience, encouragement and unwavering support throughout my studies. Their belief in me motivated me to continue, even during the most challenging periods of this project.</w:t>
      </w:r>
    </w:p>
    <w:p w:rsidR="00804B94" w:rsidP="072C3F49" w:rsidRDefault="00804B94" w14:paraId="402E02F9" w14:textId="437E9F70">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072C3F49" w:rsidR="7561A300">
        <w:rPr>
          <w:rFonts w:ascii="Arial" w:hAnsi="Arial" w:eastAsia="Arial" w:cs="Arial"/>
          <w:noProof w:val="0"/>
          <w:color w:val="000000" w:themeColor="text1" w:themeTint="FF" w:themeShade="FF"/>
          <w:sz w:val="22"/>
          <w:szCs w:val="22"/>
          <w:lang w:val="en-GB"/>
        </w:rPr>
        <w:t>I am also extremely grateful to my lecturers and supervisors at the University of Wales Trinity Saint David for their guidance, constructive feedback and encouragement throughout this dissertation. Their support has been invaluable in helping me develop both academically and personally.</w:t>
      </w:r>
    </w:p>
    <w:p w:rsidR="00804B94" w:rsidP="072C3F49" w:rsidRDefault="00804B94" w14:paraId="4A9A1D2F" w14:textId="474CAC4F">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072C3F49" w:rsidR="7561A300">
        <w:rPr>
          <w:rFonts w:ascii="Arial" w:hAnsi="Arial" w:eastAsia="Arial" w:cs="Arial"/>
          <w:noProof w:val="0"/>
          <w:color w:val="000000" w:themeColor="text1" w:themeTint="FF" w:themeShade="FF"/>
          <w:sz w:val="22"/>
          <w:szCs w:val="22"/>
          <w:lang w:val="en-GB"/>
        </w:rPr>
        <w:t>Finally, I hope that this dissertation will become a useful and informative piece of research for students, healthcare professionals, policymakers and anyone seeking to understand the experiences of women diagnosed with ADHD later in adulthood. It is my hope that this work contributes, even in a small way, to improving awareness, reducing diagnostic inequalities and encouraging further research into this important area.</w:t>
      </w:r>
    </w:p>
    <w:p w:rsidR="00804B94" w:rsidP="072C3F49" w:rsidRDefault="00804B94" w14:paraId="72C12F5B" w14:textId="285A60AA">
      <w:pPr>
        <w:pStyle w:val="Heading2"/>
        <w:spacing w:line="360" w:lineRule="auto"/>
        <w:rPr>
          <w:rFonts w:ascii="Arial" w:hAnsi="Arial" w:eastAsia="Arial" w:cs="Arial"/>
          <w:b w:val="1"/>
          <w:bCs w:val="1"/>
          <w:noProof w:val="0"/>
          <w:color w:val="000000" w:themeColor="text1" w:themeTint="FF" w:themeShade="FF"/>
          <w:sz w:val="22"/>
          <w:szCs w:val="22"/>
          <w:lang w:val="en-GB"/>
        </w:rPr>
      </w:pPr>
    </w:p>
    <w:p w:rsidR="00804B94" w:rsidP="072C3F49" w:rsidRDefault="00804B94" w14:paraId="09450E74" w14:textId="68DF180C">
      <w:pPr>
        <w:pStyle w:val="Heading2"/>
        <w:spacing w:line="360" w:lineRule="auto"/>
        <w:rPr>
          <w:rFonts w:ascii="Arial" w:hAnsi="Arial" w:eastAsia="Arial" w:cs="Arial"/>
          <w:b w:val="1"/>
          <w:bCs w:val="1"/>
          <w:noProof w:val="0"/>
          <w:color w:val="000000" w:themeColor="text1" w:themeTint="FF" w:themeShade="FF"/>
          <w:sz w:val="22"/>
          <w:szCs w:val="22"/>
          <w:lang w:val="en-GB"/>
        </w:rPr>
      </w:pPr>
      <w:bookmarkStart w:name="_Toc1386143060" w:id="1955699114"/>
      <w:r w:rsidRPr="4B13576D" w:rsidR="6AE571DD">
        <w:rPr>
          <w:rFonts w:ascii="Arial" w:hAnsi="Arial" w:eastAsia="Arial" w:cs="Arial"/>
          <w:b w:val="1"/>
          <w:bCs w:val="1"/>
          <w:noProof w:val="0"/>
          <w:color w:val="000000" w:themeColor="text1" w:themeTint="FF" w:themeShade="FF"/>
          <w:sz w:val="22"/>
          <w:szCs w:val="22"/>
          <w:lang w:val="en-GB"/>
        </w:rPr>
        <w:t>Abstract</w:t>
      </w:r>
      <w:bookmarkEnd w:id="1955699114"/>
    </w:p>
    <w:p w:rsidR="00804B94" w:rsidP="072C3F49" w:rsidRDefault="00804B94" w14:paraId="0E36B1BD" w14:textId="73503BCF">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072C3F49" w:rsidR="6AE571DD">
        <w:rPr>
          <w:rFonts w:ascii="Arial" w:hAnsi="Arial" w:eastAsia="Arial" w:cs="Arial"/>
          <w:noProof w:val="0"/>
          <w:color w:val="000000" w:themeColor="text1" w:themeTint="FF" w:themeShade="FF"/>
          <w:sz w:val="22"/>
          <w:szCs w:val="22"/>
          <w:lang w:val="en-GB"/>
        </w:rPr>
        <w:t>Attention Deficit Hyperactivity Disorder (ADHD) has traditionally been viewed as a childhood neurodevelopmental disorder predominantly affecting boys, resulting in the under-recognition of symptoms among women and contributing to delayed diagnosis in adulthood. This dissertation aimed to critically explore the experiences of women in the United Kingdom who received an ADHD diagnosis after the age of 30. The research examined the factors contributing to delayed diagnosis, the psychological and social consequences of late recognition, and the effectiveness of UK health and social care services in supporting women following diagnosis. This topic is significant within health and social care, as improving awareness of female ADHD presentations has the potential to reduce misdiagnosis, improve access to appropriate support, and enhance long-term wellbeing.</w:t>
      </w:r>
    </w:p>
    <w:p w:rsidR="00804B94" w:rsidP="072C3F49" w:rsidRDefault="00804B94" w14:paraId="7F3CC190" w14:textId="04488D12">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072C3F49" w:rsidR="6AE571DD">
        <w:rPr>
          <w:rFonts w:ascii="Arial" w:hAnsi="Arial" w:eastAsia="Arial" w:cs="Arial"/>
          <w:noProof w:val="0"/>
          <w:color w:val="000000" w:themeColor="text1" w:themeTint="FF" w:themeShade="FF"/>
          <w:sz w:val="22"/>
          <w:szCs w:val="22"/>
          <w:lang w:val="en-GB"/>
        </w:rPr>
        <w:t>A qualitative secondary research design was adopted through a structured literature review of published academic studies, healthcare reports and policy documents. Relevant literature was identified using Google Scholar, PubMed, PsycINFO and CINAHL. Sources were critically evaluated using the CRAAP framework to ensure credibility and reliability, while Braun and Clarke’s (2006) thematic analysis framework was used to identify recurring patterns across the selected literature.</w:t>
      </w:r>
    </w:p>
    <w:p w:rsidR="00804B94" w:rsidP="072C3F49" w:rsidRDefault="00804B94" w14:paraId="61E92BCB" w14:textId="7B937F62">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072C3F49" w:rsidR="6AE571DD">
        <w:rPr>
          <w:rFonts w:ascii="Arial" w:hAnsi="Arial" w:eastAsia="Arial" w:cs="Arial"/>
          <w:noProof w:val="0"/>
          <w:color w:val="000000" w:themeColor="text1" w:themeTint="FF" w:themeShade="FF"/>
          <w:sz w:val="22"/>
          <w:szCs w:val="22"/>
          <w:lang w:val="en-GB"/>
        </w:rPr>
        <w:t>The analysis identified three key themes: diagnostic barriers and gender bias; the psychological and social impact of delayed diagnosis; and health and social care provision. The findings demonstrated that historical gender bias, masking behaviours and symptom overlap with anxiety and depression frequently delayed diagnosis in women. Late diagnosis was associated with emotional distress, reduced self-esteem and difficulties within education, employment and personal relationships, although diagnosis also promoted self-understanding and improved access to support. The review further identified significant inequalities in UK ADHD services, including lengthy waiting times, inconsistent post-diagnostic support and regional variation in service provision.</w:t>
      </w:r>
    </w:p>
    <w:p w:rsidR="00804B94" w:rsidP="072C3F49" w:rsidRDefault="00804B94" w14:paraId="63FE4DFF" w14:textId="775059EC">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072C3F49" w:rsidR="6AE571DD">
        <w:rPr>
          <w:rFonts w:ascii="Arial" w:hAnsi="Arial" w:eastAsia="Arial" w:cs="Arial"/>
          <w:noProof w:val="0"/>
          <w:color w:val="000000" w:themeColor="text1" w:themeTint="FF" w:themeShade="FF"/>
          <w:sz w:val="22"/>
          <w:szCs w:val="22"/>
          <w:lang w:val="en-GB"/>
        </w:rPr>
        <w:t>The study was limited by its reliance on secondary literature and the limited availability of UK research focusing specifically on women diagnosed after the age of 30. It recommends improving professional education, increasing public awareness of female ADHD, expanding post-diagnostic support services, and undertaking further UK-based research to strengthen evidence, inform policy, and improve health and social care practice</w:t>
      </w:r>
    </w:p>
    <w:p w:rsidR="00804B94" w:rsidP="072C3F49" w:rsidRDefault="00804B94" w14:paraId="74496276" w14:textId="08EAA458">
      <w:pPr>
        <w:pStyle w:val="Heading1"/>
        <w:rPr>
          <w:rFonts w:ascii="Arial" w:hAnsi="Arial" w:eastAsia="Arial" w:cs="Arial"/>
          <w:b w:val="1"/>
          <w:bCs w:val="1"/>
          <w:noProof w:val="0"/>
          <w:sz w:val="22"/>
          <w:szCs w:val="22"/>
          <w:lang w:val="en-GB"/>
        </w:rPr>
      </w:pPr>
    </w:p>
    <w:p w:rsidR="00804B94" w:rsidP="072C3F49" w:rsidRDefault="00804B94" w14:paraId="674A1576" w14:textId="06647E0C">
      <w:pPr>
        <w:pStyle w:val="Heading1"/>
        <w:rPr>
          <w:rFonts w:ascii="Arial" w:hAnsi="Arial" w:eastAsia="Arial" w:cs="Arial"/>
          <w:b w:val="1"/>
          <w:bCs w:val="1"/>
          <w:noProof w:val="0"/>
          <w:sz w:val="22"/>
          <w:szCs w:val="22"/>
          <w:lang w:val="en-GB"/>
        </w:rPr>
      </w:pPr>
    </w:p>
    <w:p w:rsidR="00804B94" w:rsidP="072C3F49" w:rsidRDefault="00804B94" w14:paraId="6C367940" w14:textId="739D1D13">
      <w:pPr>
        <w:pStyle w:val="Heading1"/>
        <w:ind w:left="0"/>
        <w:rPr>
          <w:rFonts w:ascii="Arial" w:hAnsi="Arial" w:eastAsia="Arial" w:cs="Arial"/>
          <w:b w:val="1"/>
          <w:bCs w:val="1"/>
          <w:noProof w:val="0"/>
          <w:sz w:val="22"/>
          <w:szCs w:val="22"/>
          <w:lang w:val="en-GB"/>
        </w:rPr>
      </w:pPr>
    </w:p>
    <w:p w:rsidR="00804B94" w:rsidP="072C3F49" w:rsidRDefault="00804B94" w14:paraId="2721F16B" w14:textId="3F199B92">
      <w:pPr>
        <w:pStyle w:val="Heading1"/>
        <w:ind w:left="0"/>
        <w:rPr>
          <w:rFonts w:ascii="Arial" w:hAnsi="Arial" w:eastAsia="Arial" w:cs="Arial"/>
          <w:b w:val="1"/>
          <w:bCs w:val="1"/>
          <w:noProof w:val="0"/>
          <w:sz w:val="22"/>
          <w:szCs w:val="22"/>
          <w:lang w:val="en-GB"/>
        </w:rPr>
      </w:pPr>
    </w:p>
    <w:p w:rsidR="00804B94" w:rsidP="072C3F49" w:rsidRDefault="00804B94" w14:paraId="11BFE231" w14:textId="370B4F56">
      <w:pPr>
        <w:pStyle w:val="Heading1"/>
        <w:ind w:left="0"/>
        <w:rPr>
          <w:rFonts w:ascii="Arial" w:hAnsi="Arial" w:eastAsia="Arial" w:cs="Arial"/>
          <w:b w:val="1"/>
          <w:bCs w:val="1"/>
          <w:noProof w:val="0"/>
          <w:sz w:val="22"/>
          <w:szCs w:val="22"/>
          <w:lang w:val="en-GB"/>
        </w:rPr>
      </w:pPr>
    </w:p>
    <w:p w:rsidR="00804B94" w:rsidP="072C3F49" w:rsidRDefault="00804B94" w14:paraId="35C44760" w14:textId="1FA7EAAB">
      <w:pPr>
        <w:pStyle w:val="Heading1"/>
        <w:ind w:left="0"/>
        <w:rPr>
          <w:rFonts w:ascii="Arial" w:hAnsi="Arial" w:eastAsia="Arial" w:cs="Arial"/>
          <w:b w:val="1"/>
          <w:bCs w:val="1"/>
          <w:noProof w:val="0"/>
          <w:sz w:val="22"/>
          <w:szCs w:val="22"/>
          <w:lang w:val="en-GB"/>
        </w:rPr>
      </w:pPr>
    </w:p>
    <w:p w:rsidR="00804B94" w:rsidP="072C3F49" w:rsidRDefault="00804B94" w14:paraId="71D302DB" w14:textId="76F6A980">
      <w:pPr>
        <w:pStyle w:val="Heading1"/>
        <w:ind w:left="0"/>
        <w:rPr>
          <w:rFonts w:ascii="Arial" w:hAnsi="Arial" w:eastAsia="Arial" w:cs="Arial"/>
          <w:b w:val="1"/>
          <w:bCs w:val="1"/>
          <w:noProof w:val="0"/>
          <w:sz w:val="22"/>
          <w:szCs w:val="22"/>
          <w:lang w:val="en-GB"/>
        </w:rPr>
      </w:pPr>
    </w:p>
    <w:p w:rsidR="00804B94" w:rsidP="072C3F49" w:rsidRDefault="00804B94" w14:paraId="68696632" w14:textId="6C00DCF4">
      <w:pPr>
        <w:pStyle w:val="Heading1"/>
        <w:ind w:left="0"/>
        <w:rPr>
          <w:rFonts w:ascii="Arial" w:hAnsi="Arial" w:eastAsia="Arial" w:cs="Arial"/>
          <w:b w:val="1"/>
          <w:bCs w:val="1"/>
          <w:noProof w:val="0"/>
          <w:sz w:val="22"/>
          <w:szCs w:val="22"/>
          <w:lang w:val="en-GB"/>
        </w:rPr>
      </w:pPr>
    </w:p>
    <w:p w:rsidR="00804B94" w:rsidP="072C3F49" w:rsidRDefault="00804B94" w14:paraId="5181232C" w14:textId="094F1AC9">
      <w:pPr>
        <w:pStyle w:val="Heading1"/>
        <w:ind w:left="0"/>
        <w:rPr>
          <w:rFonts w:ascii="Arial" w:hAnsi="Arial" w:eastAsia="Arial" w:cs="Arial"/>
          <w:b w:val="1"/>
          <w:bCs w:val="1"/>
          <w:noProof w:val="0"/>
          <w:sz w:val="22"/>
          <w:szCs w:val="22"/>
          <w:lang w:val="en-GB"/>
        </w:rPr>
      </w:pPr>
    </w:p>
    <w:p w:rsidR="00804B94" w:rsidP="072C3F49" w:rsidRDefault="00804B94" w14:paraId="242B6FBA" w14:textId="41911736">
      <w:pPr>
        <w:pStyle w:val="Heading1"/>
        <w:ind w:left="0"/>
        <w:rPr>
          <w:rFonts w:ascii="Arial" w:hAnsi="Arial" w:eastAsia="Arial" w:cs="Arial"/>
          <w:b w:val="1"/>
          <w:bCs w:val="1"/>
          <w:noProof w:val="0"/>
          <w:sz w:val="22"/>
          <w:szCs w:val="22"/>
          <w:lang w:val="en-GB"/>
        </w:rPr>
      </w:pPr>
    </w:p>
    <w:p w:rsidR="4B13576D" w:rsidP="4B13576D" w:rsidRDefault="4B13576D" w14:paraId="4896D4AB" w14:textId="6512FAEB">
      <w:pPr>
        <w:pStyle w:val="Heading1"/>
        <w:ind w:left="0"/>
        <w:rPr>
          <w:rFonts w:ascii="Arial" w:hAnsi="Arial" w:eastAsia="Arial" w:cs="Arial"/>
          <w:b w:val="1"/>
          <w:bCs w:val="1"/>
          <w:noProof w:val="0"/>
          <w:sz w:val="22"/>
          <w:szCs w:val="22"/>
          <w:lang w:val="en-GB"/>
        </w:rPr>
      </w:pPr>
    </w:p>
    <w:p w:rsidR="4B13576D" w:rsidP="4B13576D" w:rsidRDefault="4B13576D" w14:paraId="18D73BDC" w14:textId="2B03C01F">
      <w:pPr>
        <w:pStyle w:val="Heading1"/>
        <w:ind w:left="0"/>
        <w:rPr>
          <w:rFonts w:ascii="Arial" w:hAnsi="Arial" w:eastAsia="Arial" w:cs="Arial"/>
          <w:b w:val="1"/>
          <w:bCs w:val="1"/>
          <w:noProof w:val="0"/>
          <w:sz w:val="22"/>
          <w:szCs w:val="22"/>
          <w:lang w:val="en-GB"/>
        </w:rPr>
      </w:pPr>
    </w:p>
    <w:p w:rsidR="4B13576D" w:rsidP="4B13576D" w:rsidRDefault="4B13576D" w14:paraId="20C3786F" w14:textId="48EA4E87">
      <w:pPr>
        <w:pStyle w:val="Heading1"/>
        <w:ind w:left="0"/>
        <w:rPr>
          <w:rFonts w:ascii="Arial" w:hAnsi="Arial" w:eastAsia="Arial" w:cs="Arial"/>
          <w:b w:val="1"/>
          <w:bCs w:val="1"/>
          <w:noProof w:val="0"/>
          <w:sz w:val="22"/>
          <w:szCs w:val="22"/>
          <w:lang w:val="en-GB"/>
        </w:rPr>
      </w:pPr>
    </w:p>
    <w:p w:rsidR="4B13576D" w:rsidP="4B13576D" w:rsidRDefault="4B13576D" w14:paraId="4C5B3D04" w14:textId="373DA9E4">
      <w:pPr>
        <w:pStyle w:val="Heading1"/>
        <w:ind w:left="0"/>
        <w:rPr>
          <w:rFonts w:ascii="Arial" w:hAnsi="Arial" w:eastAsia="Arial" w:cs="Arial"/>
          <w:b w:val="1"/>
          <w:bCs w:val="1"/>
          <w:noProof w:val="0"/>
          <w:sz w:val="22"/>
          <w:szCs w:val="22"/>
          <w:lang w:val="en-GB"/>
        </w:rPr>
      </w:pPr>
    </w:p>
    <w:p w:rsidR="4B13576D" w:rsidP="4B13576D" w:rsidRDefault="4B13576D" w14:paraId="75C6435A" w14:textId="63E18C22">
      <w:pPr>
        <w:pStyle w:val="Heading1"/>
        <w:ind w:left="0"/>
        <w:rPr>
          <w:rFonts w:ascii="Arial" w:hAnsi="Arial" w:eastAsia="Arial" w:cs="Arial"/>
          <w:b w:val="1"/>
          <w:bCs w:val="1"/>
          <w:noProof w:val="0"/>
          <w:sz w:val="22"/>
          <w:szCs w:val="22"/>
          <w:lang w:val="en-GB"/>
        </w:rPr>
      </w:pPr>
    </w:p>
    <w:p w:rsidR="00804B94" w:rsidP="072C3F49" w:rsidRDefault="00804B94" w14:paraId="3E7E98E6" w14:textId="607356BC">
      <w:pPr>
        <w:pStyle w:val="Heading1"/>
        <w:ind w:left="0"/>
        <w:rPr>
          <w:rFonts w:ascii="Arial" w:hAnsi="Arial" w:eastAsia="Arial" w:cs="Arial"/>
          <w:b w:val="1"/>
          <w:bCs w:val="1"/>
          <w:noProof w:val="0"/>
          <w:sz w:val="22"/>
          <w:szCs w:val="22"/>
          <w:lang w:val="en-GB"/>
        </w:rPr>
      </w:pPr>
    </w:p>
    <w:p w:rsidR="00804B94" w:rsidP="072C3F49" w:rsidRDefault="00804B94" w14:paraId="0AC9286E" w14:textId="2E614AC3">
      <w:pPr>
        <w:pStyle w:val="Heading1"/>
        <w:ind w:left="0"/>
        <w:rPr>
          <w:rFonts w:ascii="Arial" w:hAnsi="Arial" w:eastAsia="Arial" w:cs="Arial"/>
          <w:b w:val="1"/>
          <w:bCs w:val="1"/>
          <w:noProof w:val="0"/>
          <w:sz w:val="22"/>
          <w:szCs w:val="22"/>
          <w:lang w:val="en-GB"/>
        </w:rPr>
      </w:pPr>
    </w:p>
    <w:p w:rsidR="00804B94" w:rsidP="072C3F49" w:rsidRDefault="00804B94" w14:paraId="099EBB10" w14:textId="153D46F5">
      <w:pPr>
        <w:pStyle w:val="Heading1"/>
        <w:ind w:left="0"/>
        <w:rPr>
          <w:rFonts w:ascii="Arial" w:hAnsi="Arial" w:eastAsia="Arial" w:cs="Arial"/>
          <w:b w:val="1"/>
          <w:bCs w:val="1"/>
          <w:noProof w:val="0"/>
          <w:sz w:val="22"/>
          <w:szCs w:val="22"/>
          <w:lang w:val="en-GB"/>
        </w:rPr>
      </w:pPr>
    </w:p>
    <w:sdt>
      <w:sdtPr>
        <w:id w:val="1780697313"/>
        <w:docPartObj>
          <w:docPartGallery w:val="Table of Contents"/>
          <w:docPartUnique/>
        </w:docPartObj>
      </w:sdtPr>
      <w:sdtContent>
        <w:p w:rsidR="4B13576D" w:rsidP="4B13576D" w:rsidRDefault="4B13576D" w14:paraId="1EEA7F1B" w14:textId="51DCF678">
          <w:pPr>
            <w:pStyle w:val="TOC1"/>
            <w:tabs>
              <w:tab w:val="right" w:leader="dot" w:pos="9015"/>
            </w:tabs>
            <w:bidi w:val="0"/>
            <w:rPr>
              <w:rStyle w:val="Hyperlink"/>
            </w:rPr>
          </w:pPr>
          <w:r>
            <w:fldChar w:fldCharType="begin"/>
          </w:r>
          <w:r>
            <w:instrText xml:space="preserve">TOC \o \z \u \h</w:instrText>
          </w:r>
          <w:r>
            <w:fldChar w:fldCharType="separate"/>
          </w:r>
          <w:hyperlink w:anchor="_Toc759076263">
            <w:r w:rsidRPr="4B13576D" w:rsidR="4B13576D">
              <w:rPr>
                <w:rStyle w:val="Hyperlink"/>
              </w:rPr>
              <w:t>Disclaimer</w:t>
            </w:r>
            <w:r>
              <w:tab/>
            </w:r>
            <w:r>
              <w:fldChar w:fldCharType="begin"/>
            </w:r>
            <w:r>
              <w:instrText xml:space="preserve">PAGEREF _Toc759076263 \h</w:instrText>
            </w:r>
            <w:r>
              <w:fldChar w:fldCharType="separate"/>
            </w:r>
            <w:r w:rsidRPr="4B13576D" w:rsidR="4B13576D">
              <w:rPr>
                <w:rStyle w:val="Hyperlink"/>
              </w:rPr>
              <w:t>1</w:t>
            </w:r>
            <w:r>
              <w:fldChar w:fldCharType="end"/>
            </w:r>
          </w:hyperlink>
        </w:p>
        <w:p w:rsidR="4B13576D" w:rsidP="4B13576D" w:rsidRDefault="4B13576D" w14:paraId="41A8221E" w14:textId="570694EA">
          <w:pPr>
            <w:pStyle w:val="TOC2"/>
            <w:tabs>
              <w:tab w:val="right" w:leader="dot" w:pos="9015"/>
            </w:tabs>
            <w:bidi w:val="0"/>
            <w:rPr>
              <w:rStyle w:val="Hyperlink"/>
            </w:rPr>
          </w:pPr>
          <w:hyperlink w:anchor="_Toc1386143060">
            <w:r w:rsidRPr="4B13576D" w:rsidR="4B13576D">
              <w:rPr>
                <w:rStyle w:val="Hyperlink"/>
              </w:rPr>
              <w:t>Abstract</w:t>
            </w:r>
            <w:r>
              <w:tab/>
            </w:r>
            <w:r>
              <w:fldChar w:fldCharType="begin"/>
            </w:r>
            <w:r>
              <w:instrText xml:space="preserve">PAGEREF _Toc1386143060 \h</w:instrText>
            </w:r>
            <w:r>
              <w:fldChar w:fldCharType="separate"/>
            </w:r>
            <w:r w:rsidRPr="4B13576D" w:rsidR="4B13576D">
              <w:rPr>
                <w:rStyle w:val="Hyperlink"/>
              </w:rPr>
              <w:t>4</w:t>
            </w:r>
            <w:r>
              <w:fldChar w:fldCharType="end"/>
            </w:r>
          </w:hyperlink>
        </w:p>
        <w:p w:rsidR="4B13576D" w:rsidP="4B13576D" w:rsidRDefault="4B13576D" w14:paraId="7F3AA383" w14:textId="2D08E303">
          <w:pPr>
            <w:pStyle w:val="TOC2"/>
            <w:tabs>
              <w:tab w:val="right" w:leader="dot" w:pos="9015"/>
            </w:tabs>
            <w:bidi w:val="0"/>
            <w:rPr>
              <w:rStyle w:val="Hyperlink"/>
            </w:rPr>
          </w:pPr>
          <w:hyperlink w:anchor="_Toc1341106955">
            <w:r w:rsidRPr="4B13576D" w:rsidR="4B13576D">
              <w:rPr>
                <w:rStyle w:val="Hyperlink"/>
              </w:rPr>
              <w:t>1.1 Introduction</w:t>
            </w:r>
            <w:r>
              <w:tab/>
            </w:r>
            <w:r>
              <w:fldChar w:fldCharType="begin"/>
            </w:r>
            <w:r>
              <w:instrText xml:space="preserve">PAGEREF _Toc1341106955 \h</w:instrText>
            </w:r>
            <w:r>
              <w:fldChar w:fldCharType="separate"/>
            </w:r>
            <w:r w:rsidRPr="4B13576D" w:rsidR="4B13576D">
              <w:rPr>
                <w:rStyle w:val="Hyperlink"/>
              </w:rPr>
              <w:t>6</w:t>
            </w:r>
            <w:r>
              <w:fldChar w:fldCharType="end"/>
            </w:r>
          </w:hyperlink>
        </w:p>
        <w:p w:rsidR="4B13576D" w:rsidP="4B13576D" w:rsidRDefault="4B13576D" w14:paraId="7EE2D224" w14:textId="27F13F00">
          <w:pPr>
            <w:pStyle w:val="TOC2"/>
            <w:tabs>
              <w:tab w:val="right" w:leader="dot" w:pos="9015"/>
            </w:tabs>
            <w:bidi w:val="0"/>
            <w:rPr>
              <w:rStyle w:val="Hyperlink"/>
            </w:rPr>
          </w:pPr>
          <w:hyperlink w:anchor="_Toc1547142092">
            <w:r w:rsidRPr="4B13576D" w:rsidR="4B13576D">
              <w:rPr>
                <w:rStyle w:val="Hyperlink"/>
              </w:rPr>
              <w:t>1.2 Definitions and Terminology</w:t>
            </w:r>
            <w:r>
              <w:tab/>
            </w:r>
            <w:r>
              <w:fldChar w:fldCharType="begin"/>
            </w:r>
            <w:r>
              <w:instrText xml:space="preserve">PAGEREF _Toc1547142092 \h</w:instrText>
            </w:r>
            <w:r>
              <w:fldChar w:fldCharType="separate"/>
            </w:r>
            <w:r w:rsidRPr="4B13576D" w:rsidR="4B13576D">
              <w:rPr>
                <w:rStyle w:val="Hyperlink"/>
              </w:rPr>
              <w:t>6</w:t>
            </w:r>
            <w:r>
              <w:fldChar w:fldCharType="end"/>
            </w:r>
          </w:hyperlink>
        </w:p>
        <w:p w:rsidR="4B13576D" w:rsidP="4B13576D" w:rsidRDefault="4B13576D" w14:paraId="1621FAB1" w14:textId="0B6A35E9">
          <w:pPr>
            <w:pStyle w:val="TOC2"/>
            <w:tabs>
              <w:tab w:val="right" w:leader="dot" w:pos="9015"/>
            </w:tabs>
            <w:bidi w:val="0"/>
            <w:rPr>
              <w:rStyle w:val="Hyperlink"/>
            </w:rPr>
          </w:pPr>
          <w:hyperlink w:anchor="_Toc742566104">
            <w:r w:rsidRPr="4B13576D" w:rsidR="4B13576D">
              <w:rPr>
                <w:rStyle w:val="Hyperlink"/>
              </w:rPr>
              <w:t>1.4 Research Aim and Objectives</w:t>
            </w:r>
            <w:r>
              <w:tab/>
            </w:r>
            <w:r>
              <w:fldChar w:fldCharType="begin"/>
            </w:r>
            <w:r>
              <w:instrText xml:space="preserve">PAGEREF _Toc742566104 \h</w:instrText>
            </w:r>
            <w:r>
              <w:fldChar w:fldCharType="separate"/>
            </w:r>
            <w:r w:rsidRPr="4B13576D" w:rsidR="4B13576D">
              <w:rPr>
                <w:rStyle w:val="Hyperlink"/>
              </w:rPr>
              <w:t>8</w:t>
            </w:r>
            <w:r>
              <w:fldChar w:fldCharType="end"/>
            </w:r>
          </w:hyperlink>
        </w:p>
        <w:p w:rsidR="4B13576D" w:rsidP="4B13576D" w:rsidRDefault="4B13576D" w14:paraId="58AEB78F" w14:textId="227065D8">
          <w:pPr>
            <w:pStyle w:val="TOC2"/>
            <w:tabs>
              <w:tab w:val="right" w:leader="dot" w:pos="9015"/>
            </w:tabs>
            <w:bidi w:val="0"/>
            <w:rPr>
              <w:rStyle w:val="Hyperlink"/>
            </w:rPr>
          </w:pPr>
          <w:hyperlink w:anchor="_Toc49705360">
            <w:r w:rsidRPr="4B13576D" w:rsidR="4B13576D">
              <w:rPr>
                <w:rStyle w:val="Hyperlink"/>
              </w:rPr>
              <w:t>1.5 Conclusion</w:t>
            </w:r>
            <w:r>
              <w:tab/>
            </w:r>
            <w:r>
              <w:fldChar w:fldCharType="begin"/>
            </w:r>
            <w:r>
              <w:instrText xml:space="preserve">PAGEREF _Toc49705360 \h</w:instrText>
            </w:r>
            <w:r>
              <w:fldChar w:fldCharType="separate"/>
            </w:r>
            <w:r w:rsidRPr="4B13576D" w:rsidR="4B13576D">
              <w:rPr>
                <w:rStyle w:val="Hyperlink"/>
              </w:rPr>
              <w:t>8</w:t>
            </w:r>
            <w:r>
              <w:fldChar w:fldCharType="end"/>
            </w:r>
          </w:hyperlink>
        </w:p>
        <w:p w:rsidR="4B13576D" w:rsidP="4B13576D" w:rsidRDefault="4B13576D" w14:paraId="3E2372E6" w14:textId="3F75D0C6">
          <w:pPr>
            <w:pStyle w:val="TOC1"/>
            <w:tabs>
              <w:tab w:val="right" w:leader="dot" w:pos="9015"/>
            </w:tabs>
            <w:bidi w:val="0"/>
            <w:rPr>
              <w:rStyle w:val="Hyperlink"/>
            </w:rPr>
          </w:pPr>
          <w:hyperlink w:anchor="_Toc2041329554">
            <w:r w:rsidRPr="4B13576D" w:rsidR="4B13576D">
              <w:rPr>
                <w:rStyle w:val="Hyperlink"/>
              </w:rPr>
              <w:t>CHAPTER 2:</w:t>
            </w:r>
            <w:r>
              <w:tab/>
            </w:r>
            <w:r>
              <w:fldChar w:fldCharType="begin"/>
            </w:r>
            <w:r>
              <w:instrText xml:space="preserve">PAGEREF _Toc2041329554 \h</w:instrText>
            </w:r>
            <w:r>
              <w:fldChar w:fldCharType="separate"/>
            </w:r>
            <w:r w:rsidRPr="4B13576D" w:rsidR="4B13576D">
              <w:rPr>
                <w:rStyle w:val="Hyperlink"/>
              </w:rPr>
              <w:t>9</w:t>
            </w:r>
            <w:r>
              <w:fldChar w:fldCharType="end"/>
            </w:r>
          </w:hyperlink>
        </w:p>
        <w:p w:rsidR="4B13576D" w:rsidP="4B13576D" w:rsidRDefault="4B13576D" w14:paraId="385AACE4" w14:textId="7183AA80">
          <w:pPr>
            <w:pStyle w:val="TOC1"/>
            <w:tabs>
              <w:tab w:val="right" w:leader="dot" w:pos="9015"/>
            </w:tabs>
            <w:bidi w:val="0"/>
            <w:rPr>
              <w:rStyle w:val="Hyperlink"/>
            </w:rPr>
          </w:pPr>
          <w:hyperlink w:anchor="_Toc1835908004">
            <w:r w:rsidRPr="4B13576D" w:rsidR="4B13576D">
              <w:rPr>
                <w:rStyle w:val="Hyperlink"/>
              </w:rPr>
              <w:t>BACKGROUND INFORMATION AND ANALYSIS</w:t>
            </w:r>
            <w:r>
              <w:tab/>
            </w:r>
            <w:r>
              <w:fldChar w:fldCharType="begin"/>
            </w:r>
            <w:r>
              <w:instrText xml:space="preserve">PAGEREF _Toc1835908004 \h</w:instrText>
            </w:r>
            <w:r>
              <w:fldChar w:fldCharType="separate"/>
            </w:r>
            <w:r w:rsidRPr="4B13576D" w:rsidR="4B13576D">
              <w:rPr>
                <w:rStyle w:val="Hyperlink"/>
              </w:rPr>
              <w:t>9</w:t>
            </w:r>
            <w:r>
              <w:fldChar w:fldCharType="end"/>
            </w:r>
          </w:hyperlink>
        </w:p>
        <w:p w:rsidR="4B13576D" w:rsidP="4B13576D" w:rsidRDefault="4B13576D" w14:paraId="50B09C7B" w14:textId="6A47C1F5">
          <w:pPr>
            <w:pStyle w:val="TOC1"/>
            <w:tabs>
              <w:tab w:val="right" w:leader="dot" w:pos="9015"/>
            </w:tabs>
            <w:bidi w:val="0"/>
            <w:rPr>
              <w:rStyle w:val="Hyperlink"/>
            </w:rPr>
          </w:pPr>
          <w:hyperlink w:anchor="_Toc342681300">
            <w:r w:rsidRPr="4B13576D" w:rsidR="4B13576D">
              <w:rPr>
                <w:rStyle w:val="Hyperlink"/>
              </w:rPr>
              <w:t>2.1 Introduction</w:t>
            </w:r>
            <w:r>
              <w:tab/>
            </w:r>
            <w:r>
              <w:fldChar w:fldCharType="begin"/>
            </w:r>
            <w:r>
              <w:instrText xml:space="preserve">PAGEREF _Toc342681300 \h</w:instrText>
            </w:r>
            <w:r>
              <w:fldChar w:fldCharType="separate"/>
            </w:r>
            <w:r w:rsidRPr="4B13576D" w:rsidR="4B13576D">
              <w:rPr>
                <w:rStyle w:val="Hyperlink"/>
              </w:rPr>
              <w:t>9</w:t>
            </w:r>
            <w:r>
              <w:fldChar w:fldCharType="end"/>
            </w:r>
          </w:hyperlink>
        </w:p>
        <w:p w:rsidR="4B13576D" w:rsidP="4B13576D" w:rsidRDefault="4B13576D" w14:paraId="75E49826" w14:textId="55ED820A">
          <w:pPr>
            <w:pStyle w:val="TOC2"/>
            <w:tabs>
              <w:tab w:val="right" w:leader="dot" w:pos="9015"/>
            </w:tabs>
            <w:bidi w:val="0"/>
            <w:rPr>
              <w:rStyle w:val="Hyperlink"/>
            </w:rPr>
          </w:pPr>
          <w:hyperlink w:anchor="_Toc426239143">
            <w:r w:rsidRPr="4B13576D" w:rsidR="4B13576D">
              <w:rPr>
                <w:rStyle w:val="Hyperlink"/>
              </w:rPr>
              <w:t>2.2 Historical Background</w:t>
            </w:r>
            <w:r>
              <w:tab/>
            </w:r>
            <w:r>
              <w:fldChar w:fldCharType="begin"/>
            </w:r>
            <w:r>
              <w:instrText xml:space="preserve">PAGEREF _Toc426239143 \h</w:instrText>
            </w:r>
            <w:r>
              <w:fldChar w:fldCharType="separate"/>
            </w:r>
            <w:r w:rsidRPr="4B13576D" w:rsidR="4B13576D">
              <w:rPr>
                <w:rStyle w:val="Hyperlink"/>
              </w:rPr>
              <w:t>10</w:t>
            </w:r>
            <w:r>
              <w:fldChar w:fldCharType="end"/>
            </w:r>
          </w:hyperlink>
        </w:p>
        <w:p w:rsidR="4B13576D" w:rsidP="4B13576D" w:rsidRDefault="4B13576D" w14:paraId="36C52816" w14:textId="48C49A9E">
          <w:pPr>
            <w:pStyle w:val="TOC2"/>
            <w:tabs>
              <w:tab w:val="right" w:leader="dot" w:pos="9015"/>
            </w:tabs>
            <w:bidi w:val="0"/>
            <w:rPr>
              <w:rStyle w:val="Hyperlink"/>
            </w:rPr>
          </w:pPr>
          <w:hyperlink w:anchor="_Toc452574552">
            <w:r w:rsidRPr="4B13576D" w:rsidR="4B13576D">
              <w:rPr>
                <w:rStyle w:val="Hyperlink"/>
              </w:rPr>
              <w:t>2.4 International Context</w:t>
            </w:r>
            <w:r>
              <w:tab/>
            </w:r>
            <w:r>
              <w:fldChar w:fldCharType="begin"/>
            </w:r>
            <w:r>
              <w:instrText xml:space="preserve">PAGEREF _Toc452574552 \h</w:instrText>
            </w:r>
            <w:r>
              <w:fldChar w:fldCharType="separate"/>
            </w:r>
            <w:r w:rsidRPr="4B13576D" w:rsidR="4B13576D">
              <w:rPr>
                <w:rStyle w:val="Hyperlink"/>
              </w:rPr>
              <w:t>12</w:t>
            </w:r>
            <w:r>
              <w:fldChar w:fldCharType="end"/>
            </w:r>
          </w:hyperlink>
        </w:p>
        <w:p w:rsidR="4B13576D" w:rsidP="4B13576D" w:rsidRDefault="4B13576D" w14:paraId="6308A3A0" w14:textId="65F73C96">
          <w:pPr>
            <w:pStyle w:val="TOC2"/>
            <w:tabs>
              <w:tab w:val="right" w:leader="dot" w:pos="9015"/>
            </w:tabs>
            <w:bidi w:val="0"/>
            <w:rPr>
              <w:rStyle w:val="Hyperlink"/>
            </w:rPr>
          </w:pPr>
          <w:hyperlink w:anchor="_Toc1071758483">
            <w:r w:rsidRPr="4B13576D" w:rsidR="4B13576D">
              <w:rPr>
                <w:rStyle w:val="Hyperlink"/>
              </w:rPr>
              <w:t>2.5 National/Local UK Context</w:t>
            </w:r>
            <w:r>
              <w:tab/>
            </w:r>
            <w:r>
              <w:fldChar w:fldCharType="begin"/>
            </w:r>
            <w:r>
              <w:instrText xml:space="preserve">PAGEREF _Toc1071758483 \h</w:instrText>
            </w:r>
            <w:r>
              <w:fldChar w:fldCharType="separate"/>
            </w:r>
            <w:r w:rsidRPr="4B13576D" w:rsidR="4B13576D">
              <w:rPr>
                <w:rStyle w:val="Hyperlink"/>
              </w:rPr>
              <w:t>14</w:t>
            </w:r>
            <w:r>
              <w:fldChar w:fldCharType="end"/>
            </w:r>
          </w:hyperlink>
        </w:p>
        <w:p w:rsidR="4B13576D" w:rsidP="4B13576D" w:rsidRDefault="4B13576D" w14:paraId="636D8A18" w14:textId="21D025BA">
          <w:pPr>
            <w:pStyle w:val="TOC2"/>
            <w:tabs>
              <w:tab w:val="right" w:leader="dot" w:pos="9015"/>
            </w:tabs>
            <w:bidi w:val="0"/>
            <w:rPr>
              <w:rStyle w:val="Hyperlink"/>
            </w:rPr>
          </w:pPr>
          <w:hyperlink w:anchor="_Toc94726107">
            <w:r w:rsidRPr="4B13576D" w:rsidR="4B13576D">
              <w:rPr>
                <w:rStyle w:val="Hyperlink"/>
              </w:rPr>
              <w:t>2.6 Conclusion</w:t>
            </w:r>
            <w:r>
              <w:tab/>
            </w:r>
            <w:r>
              <w:fldChar w:fldCharType="begin"/>
            </w:r>
            <w:r>
              <w:instrText xml:space="preserve">PAGEREF _Toc94726107 \h</w:instrText>
            </w:r>
            <w:r>
              <w:fldChar w:fldCharType="separate"/>
            </w:r>
            <w:r w:rsidRPr="4B13576D" w:rsidR="4B13576D">
              <w:rPr>
                <w:rStyle w:val="Hyperlink"/>
              </w:rPr>
              <w:t>15</w:t>
            </w:r>
            <w:r>
              <w:fldChar w:fldCharType="end"/>
            </w:r>
          </w:hyperlink>
        </w:p>
        <w:p w:rsidR="4B13576D" w:rsidP="4B13576D" w:rsidRDefault="4B13576D" w14:paraId="326386D3" w14:textId="2770DF80">
          <w:pPr>
            <w:pStyle w:val="TOC3"/>
            <w:tabs>
              <w:tab w:val="right" w:leader="dot" w:pos="9015"/>
            </w:tabs>
            <w:bidi w:val="0"/>
            <w:rPr>
              <w:rStyle w:val="Hyperlink"/>
            </w:rPr>
          </w:pPr>
          <w:hyperlink w:anchor="_Toc1056999386">
            <w:r w:rsidRPr="4B13576D" w:rsidR="4B13576D">
              <w:rPr>
                <w:rStyle w:val="Hyperlink"/>
              </w:rPr>
              <w:t>3.2 Research Design</w:t>
            </w:r>
            <w:r>
              <w:tab/>
            </w:r>
            <w:r>
              <w:fldChar w:fldCharType="begin"/>
            </w:r>
            <w:r>
              <w:instrText xml:space="preserve">PAGEREF _Toc1056999386 \h</w:instrText>
            </w:r>
            <w:r>
              <w:fldChar w:fldCharType="separate"/>
            </w:r>
            <w:r w:rsidRPr="4B13576D" w:rsidR="4B13576D">
              <w:rPr>
                <w:rStyle w:val="Hyperlink"/>
              </w:rPr>
              <w:t>16</w:t>
            </w:r>
            <w:r>
              <w:fldChar w:fldCharType="end"/>
            </w:r>
          </w:hyperlink>
        </w:p>
        <w:p w:rsidR="4B13576D" w:rsidP="4B13576D" w:rsidRDefault="4B13576D" w14:paraId="4D8890F7" w14:textId="5429A0FE">
          <w:pPr>
            <w:pStyle w:val="TOC3"/>
            <w:tabs>
              <w:tab w:val="right" w:leader="dot" w:pos="9015"/>
            </w:tabs>
            <w:bidi w:val="0"/>
            <w:rPr>
              <w:rStyle w:val="Hyperlink"/>
            </w:rPr>
          </w:pPr>
          <w:hyperlink w:anchor="_Toc803868093">
            <w:r w:rsidRPr="4B13576D" w:rsidR="4B13576D">
              <w:rPr>
                <w:rStyle w:val="Hyperlink"/>
              </w:rPr>
              <w:t>3.3 Search Strategy and Searching for Information</w:t>
            </w:r>
            <w:r>
              <w:tab/>
            </w:r>
            <w:r>
              <w:fldChar w:fldCharType="begin"/>
            </w:r>
            <w:r>
              <w:instrText xml:space="preserve">PAGEREF _Toc803868093 \h</w:instrText>
            </w:r>
            <w:r>
              <w:fldChar w:fldCharType="separate"/>
            </w:r>
            <w:r w:rsidRPr="4B13576D" w:rsidR="4B13576D">
              <w:rPr>
                <w:rStyle w:val="Hyperlink"/>
              </w:rPr>
              <w:t>16</w:t>
            </w:r>
            <w:r>
              <w:fldChar w:fldCharType="end"/>
            </w:r>
          </w:hyperlink>
        </w:p>
        <w:p w:rsidR="4B13576D" w:rsidP="4B13576D" w:rsidRDefault="4B13576D" w14:paraId="20E89E0C" w14:textId="30B609B0">
          <w:pPr>
            <w:pStyle w:val="TOC3"/>
            <w:tabs>
              <w:tab w:val="right" w:leader="dot" w:pos="9015"/>
            </w:tabs>
            <w:bidi w:val="0"/>
            <w:rPr>
              <w:rStyle w:val="Hyperlink"/>
            </w:rPr>
          </w:pPr>
          <w:hyperlink w:anchor="_Toc1285171401">
            <w:r w:rsidRPr="4B13576D" w:rsidR="4B13576D">
              <w:rPr>
                <w:rStyle w:val="Hyperlink"/>
              </w:rPr>
              <w:t>3.4 Research Validation</w:t>
            </w:r>
            <w:r>
              <w:tab/>
            </w:r>
            <w:r>
              <w:fldChar w:fldCharType="begin"/>
            </w:r>
            <w:r>
              <w:instrText xml:space="preserve">PAGEREF _Toc1285171401 \h</w:instrText>
            </w:r>
            <w:r>
              <w:fldChar w:fldCharType="separate"/>
            </w:r>
            <w:r w:rsidRPr="4B13576D" w:rsidR="4B13576D">
              <w:rPr>
                <w:rStyle w:val="Hyperlink"/>
              </w:rPr>
              <w:t>17</w:t>
            </w:r>
            <w:r>
              <w:fldChar w:fldCharType="end"/>
            </w:r>
          </w:hyperlink>
        </w:p>
        <w:p w:rsidR="4B13576D" w:rsidP="4B13576D" w:rsidRDefault="4B13576D" w14:paraId="48E99D57" w14:textId="791A5C82">
          <w:pPr>
            <w:pStyle w:val="TOC3"/>
            <w:tabs>
              <w:tab w:val="right" w:leader="dot" w:pos="9015"/>
            </w:tabs>
            <w:bidi w:val="0"/>
            <w:rPr>
              <w:rStyle w:val="Hyperlink"/>
            </w:rPr>
          </w:pPr>
          <w:hyperlink w:anchor="_Toc163995660">
            <w:r w:rsidRPr="4B13576D" w:rsidR="4B13576D">
              <w:rPr>
                <w:rStyle w:val="Hyperlink"/>
              </w:rPr>
              <w:t>3.5 Inclusion and Exclusion Criteria</w:t>
            </w:r>
            <w:r>
              <w:tab/>
            </w:r>
            <w:r>
              <w:fldChar w:fldCharType="begin"/>
            </w:r>
            <w:r>
              <w:instrText xml:space="preserve">PAGEREF _Toc163995660 \h</w:instrText>
            </w:r>
            <w:r>
              <w:fldChar w:fldCharType="separate"/>
            </w:r>
            <w:r w:rsidRPr="4B13576D" w:rsidR="4B13576D">
              <w:rPr>
                <w:rStyle w:val="Hyperlink"/>
              </w:rPr>
              <w:t>17</w:t>
            </w:r>
            <w:r>
              <w:fldChar w:fldCharType="end"/>
            </w:r>
          </w:hyperlink>
        </w:p>
        <w:p w:rsidR="4B13576D" w:rsidP="4B13576D" w:rsidRDefault="4B13576D" w14:paraId="4F0E530A" w14:textId="50C8705B">
          <w:pPr>
            <w:pStyle w:val="TOC3"/>
            <w:tabs>
              <w:tab w:val="right" w:leader="dot" w:pos="9015"/>
            </w:tabs>
            <w:bidi w:val="0"/>
            <w:rPr>
              <w:rStyle w:val="Hyperlink"/>
            </w:rPr>
          </w:pPr>
          <w:hyperlink w:anchor="_Toc1174622455">
            <w:r w:rsidRPr="4B13576D" w:rsidR="4B13576D">
              <w:rPr>
                <w:rStyle w:val="Hyperlink"/>
              </w:rPr>
              <w:t>3.6 Analysing Research</w:t>
            </w:r>
            <w:r>
              <w:tab/>
            </w:r>
            <w:r>
              <w:fldChar w:fldCharType="begin"/>
            </w:r>
            <w:r>
              <w:instrText xml:space="preserve">PAGEREF _Toc1174622455 \h</w:instrText>
            </w:r>
            <w:r>
              <w:fldChar w:fldCharType="separate"/>
            </w:r>
            <w:r w:rsidRPr="4B13576D" w:rsidR="4B13576D">
              <w:rPr>
                <w:rStyle w:val="Hyperlink"/>
              </w:rPr>
              <w:t>18</w:t>
            </w:r>
            <w:r>
              <w:fldChar w:fldCharType="end"/>
            </w:r>
          </w:hyperlink>
        </w:p>
        <w:p w:rsidR="4B13576D" w:rsidP="4B13576D" w:rsidRDefault="4B13576D" w14:paraId="3B24AFDE" w14:textId="0A8F3616">
          <w:pPr>
            <w:pStyle w:val="TOC3"/>
            <w:tabs>
              <w:tab w:val="right" w:leader="dot" w:pos="9015"/>
            </w:tabs>
            <w:bidi w:val="0"/>
            <w:rPr>
              <w:rStyle w:val="Hyperlink"/>
            </w:rPr>
          </w:pPr>
          <w:hyperlink w:anchor="_Toc65510281">
            <w:r w:rsidRPr="4B13576D" w:rsidR="4B13576D">
              <w:rPr>
                <w:rStyle w:val="Hyperlink"/>
              </w:rPr>
              <w:t>3.7 Ethical Considerations</w:t>
            </w:r>
            <w:r>
              <w:tab/>
            </w:r>
            <w:r>
              <w:fldChar w:fldCharType="begin"/>
            </w:r>
            <w:r>
              <w:instrText xml:space="preserve">PAGEREF _Toc65510281 \h</w:instrText>
            </w:r>
            <w:r>
              <w:fldChar w:fldCharType="separate"/>
            </w:r>
            <w:r w:rsidRPr="4B13576D" w:rsidR="4B13576D">
              <w:rPr>
                <w:rStyle w:val="Hyperlink"/>
              </w:rPr>
              <w:t>18</w:t>
            </w:r>
            <w:r>
              <w:fldChar w:fldCharType="end"/>
            </w:r>
          </w:hyperlink>
        </w:p>
        <w:p w:rsidR="4B13576D" w:rsidP="4B13576D" w:rsidRDefault="4B13576D" w14:paraId="38385A35" w14:textId="2EC9D78B">
          <w:pPr>
            <w:pStyle w:val="TOC3"/>
            <w:tabs>
              <w:tab w:val="right" w:leader="dot" w:pos="9015"/>
            </w:tabs>
            <w:bidi w:val="0"/>
            <w:rPr>
              <w:rStyle w:val="Hyperlink"/>
            </w:rPr>
          </w:pPr>
          <w:hyperlink w:anchor="_Toc1766519133">
            <w:r w:rsidRPr="4B13576D" w:rsidR="4B13576D">
              <w:rPr>
                <w:rStyle w:val="Hyperlink"/>
              </w:rPr>
              <w:t>3.8 Conclusion</w:t>
            </w:r>
            <w:r>
              <w:tab/>
            </w:r>
            <w:r>
              <w:fldChar w:fldCharType="begin"/>
            </w:r>
            <w:r>
              <w:instrText xml:space="preserve">PAGEREF _Toc1766519133 \h</w:instrText>
            </w:r>
            <w:r>
              <w:fldChar w:fldCharType="separate"/>
            </w:r>
            <w:r w:rsidRPr="4B13576D" w:rsidR="4B13576D">
              <w:rPr>
                <w:rStyle w:val="Hyperlink"/>
              </w:rPr>
              <w:t>18</w:t>
            </w:r>
            <w:r>
              <w:fldChar w:fldCharType="end"/>
            </w:r>
          </w:hyperlink>
        </w:p>
        <w:p w:rsidR="4B13576D" w:rsidP="4B13576D" w:rsidRDefault="4B13576D" w14:paraId="515A1C1A" w14:textId="02D41FCC">
          <w:pPr>
            <w:pStyle w:val="TOC1"/>
            <w:tabs>
              <w:tab w:val="right" w:leader="dot" w:pos="9015"/>
            </w:tabs>
            <w:bidi w:val="0"/>
            <w:rPr>
              <w:rStyle w:val="Hyperlink"/>
            </w:rPr>
          </w:pPr>
          <w:hyperlink w:anchor="_Toc1420894041">
            <w:r w:rsidRPr="4B13576D" w:rsidR="4B13576D">
              <w:rPr>
                <w:rStyle w:val="Hyperlink"/>
              </w:rPr>
              <w:t>CHAPTER 4: FINDINGS AND DISCUSSION</w:t>
            </w:r>
            <w:r>
              <w:tab/>
            </w:r>
            <w:r>
              <w:fldChar w:fldCharType="begin"/>
            </w:r>
            <w:r>
              <w:instrText xml:space="preserve">PAGEREF _Toc1420894041 \h</w:instrText>
            </w:r>
            <w:r>
              <w:fldChar w:fldCharType="separate"/>
            </w:r>
            <w:r w:rsidRPr="4B13576D" w:rsidR="4B13576D">
              <w:rPr>
                <w:rStyle w:val="Hyperlink"/>
              </w:rPr>
              <w:t>19</w:t>
            </w:r>
            <w:r>
              <w:fldChar w:fldCharType="end"/>
            </w:r>
          </w:hyperlink>
        </w:p>
        <w:p w:rsidR="4B13576D" w:rsidP="4B13576D" w:rsidRDefault="4B13576D" w14:paraId="4A531E86" w14:textId="6F65559F">
          <w:pPr>
            <w:pStyle w:val="TOC2"/>
            <w:tabs>
              <w:tab w:val="right" w:leader="dot" w:pos="9015"/>
            </w:tabs>
            <w:bidi w:val="0"/>
            <w:rPr>
              <w:rStyle w:val="Hyperlink"/>
            </w:rPr>
          </w:pPr>
          <w:hyperlink w:anchor="_Toc1280484689">
            <w:r w:rsidRPr="4B13576D" w:rsidR="4B13576D">
              <w:rPr>
                <w:rStyle w:val="Hyperlink"/>
              </w:rPr>
              <w:t>4.1 Introduction</w:t>
            </w:r>
            <w:r>
              <w:tab/>
            </w:r>
            <w:r>
              <w:fldChar w:fldCharType="begin"/>
            </w:r>
            <w:r>
              <w:instrText xml:space="preserve">PAGEREF _Toc1280484689 \h</w:instrText>
            </w:r>
            <w:r>
              <w:fldChar w:fldCharType="separate"/>
            </w:r>
            <w:r w:rsidRPr="4B13576D" w:rsidR="4B13576D">
              <w:rPr>
                <w:rStyle w:val="Hyperlink"/>
              </w:rPr>
              <w:t>19</w:t>
            </w:r>
            <w:r>
              <w:fldChar w:fldCharType="end"/>
            </w:r>
          </w:hyperlink>
        </w:p>
        <w:p w:rsidR="4B13576D" w:rsidP="4B13576D" w:rsidRDefault="4B13576D" w14:paraId="20F5C108" w14:textId="53802144">
          <w:pPr>
            <w:pStyle w:val="TOC3"/>
            <w:tabs>
              <w:tab w:val="right" w:leader="dot" w:pos="9015"/>
            </w:tabs>
            <w:bidi w:val="0"/>
            <w:rPr>
              <w:rStyle w:val="Hyperlink"/>
            </w:rPr>
          </w:pPr>
          <w:hyperlink w:anchor="_Toc1417315174">
            <w:r w:rsidRPr="4B13576D" w:rsidR="4B13576D">
              <w:rPr>
                <w:rStyle w:val="Hyperlink"/>
              </w:rPr>
              <w:t>4.2 Thematic Analysis</w:t>
            </w:r>
            <w:r>
              <w:tab/>
            </w:r>
            <w:r>
              <w:fldChar w:fldCharType="begin"/>
            </w:r>
            <w:r>
              <w:instrText xml:space="preserve">PAGEREF _Toc1417315174 \h</w:instrText>
            </w:r>
            <w:r>
              <w:fldChar w:fldCharType="separate"/>
            </w:r>
            <w:r w:rsidRPr="4B13576D" w:rsidR="4B13576D">
              <w:rPr>
                <w:rStyle w:val="Hyperlink"/>
              </w:rPr>
              <w:t>19</w:t>
            </w:r>
            <w:r>
              <w:fldChar w:fldCharType="end"/>
            </w:r>
          </w:hyperlink>
        </w:p>
        <w:p w:rsidR="4B13576D" w:rsidP="4B13576D" w:rsidRDefault="4B13576D" w14:paraId="673244C1" w14:textId="3EAB3723">
          <w:pPr>
            <w:pStyle w:val="TOC2"/>
            <w:tabs>
              <w:tab w:val="right" w:leader="dot" w:pos="9015"/>
            </w:tabs>
            <w:bidi w:val="0"/>
            <w:rPr>
              <w:rStyle w:val="Hyperlink"/>
            </w:rPr>
          </w:pPr>
          <w:hyperlink w:anchor="_Toc438403719">
            <w:r w:rsidRPr="4B13576D" w:rsidR="4B13576D">
              <w:rPr>
                <w:rStyle w:val="Hyperlink"/>
              </w:rPr>
              <w:t>4.3 Theme 1: Diagnostic Barriers and Gender Bias</w:t>
            </w:r>
            <w:r>
              <w:tab/>
            </w:r>
            <w:r>
              <w:fldChar w:fldCharType="begin"/>
            </w:r>
            <w:r>
              <w:instrText xml:space="preserve">PAGEREF _Toc438403719 \h</w:instrText>
            </w:r>
            <w:r>
              <w:fldChar w:fldCharType="separate"/>
            </w:r>
            <w:r w:rsidRPr="4B13576D" w:rsidR="4B13576D">
              <w:rPr>
                <w:rStyle w:val="Hyperlink"/>
              </w:rPr>
              <w:t>20</w:t>
            </w:r>
            <w:r>
              <w:fldChar w:fldCharType="end"/>
            </w:r>
          </w:hyperlink>
        </w:p>
        <w:p w:rsidR="4B13576D" w:rsidP="4B13576D" w:rsidRDefault="4B13576D" w14:paraId="4D2919A6" w14:textId="321DE061">
          <w:pPr>
            <w:pStyle w:val="TOC2"/>
            <w:tabs>
              <w:tab w:val="right" w:leader="dot" w:pos="9015"/>
            </w:tabs>
            <w:bidi w:val="0"/>
            <w:rPr>
              <w:rStyle w:val="Hyperlink"/>
            </w:rPr>
          </w:pPr>
          <w:hyperlink w:anchor="_Toc635188740">
            <w:r w:rsidRPr="4B13576D" w:rsidR="4B13576D">
              <w:rPr>
                <w:rStyle w:val="Hyperlink"/>
              </w:rPr>
              <w:t>4.4 Theme 2: Psychological and Social Impact of Late Diagnosis</w:t>
            </w:r>
            <w:r>
              <w:tab/>
            </w:r>
            <w:r>
              <w:fldChar w:fldCharType="begin"/>
            </w:r>
            <w:r>
              <w:instrText xml:space="preserve">PAGEREF _Toc635188740 \h</w:instrText>
            </w:r>
            <w:r>
              <w:fldChar w:fldCharType="separate"/>
            </w:r>
            <w:r w:rsidRPr="4B13576D" w:rsidR="4B13576D">
              <w:rPr>
                <w:rStyle w:val="Hyperlink"/>
              </w:rPr>
              <w:t>23</w:t>
            </w:r>
            <w:r>
              <w:fldChar w:fldCharType="end"/>
            </w:r>
          </w:hyperlink>
        </w:p>
        <w:p w:rsidR="4B13576D" w:rsidP="4B13576D" w:rsidRDefault="4B13576D" w14:paraId="47F516C7" w14:textId="5B7CF7E2">
          <w:pPr>
            <w:pStyle w:val="TOC2"/>
            <w:tabs>
              <w:tab w:val="right" w:leader="dot" w:pos="9015"/>
            </w:tabs>
            <w:bidi w:val="0"/>
            <w:rPr>
              <w:rStyle w:val="Hyperlink"/>
            </w:rPr>
          </w:pPr>
          <w:hyperlink w:anchor="_Toc206013470">
            <w:r w:rsidRPr="4B13576D" w:rsidR="4B13576D">
              <w:rPr>
                <w:rStyle w:val="Hyperlink"/>
              </w:rPr>
              <w:t>4.5 Theme 3: Health and Social Care Provision in the United Kingdom</w:t>
            </w:r>
            <w:r>
              <w:tab/>
            </w:r>
            <w:r>
              <w:fldChar w:fldCharType="begin"/>
            </w:r>
            <w:r>
              <w:instrText xml:space="preserve">PAGEREF _Toc206013470 \h</w:instrText>
            </w:r>
            <w:r>
              <w:fldChar w:fldCharType="separate"/>
            </w:r>
            <w:r w:rsidRPr="4B13576D" w:rsidR="4B13576D">
              <w:rPr>
                <w:rStyle w:val="Hyperlink"/>
              </w:rPr>
              <w:t>26</w:t>
            </w:r>
            <w:r>
              <w:fldChar w:fldCharType="end"/>
            </w:r>
          </w:hyperlink>
        </w:p>
        <w:p w:rsidR="4B13576D" w:rsidP="4B13576D" w:rsidRDefault="4B13576D" w14:paraId="5AC98D06" w14:textId="140D1F42">
          <w:pPr>
            <w:pStyle w:val="TOC2"/>
            <w:tabs>
              <w:tab w:val="right" w:leader="dot" w:pos="9015"/>
            </w:tabs>
            <w:bidi w:val="0"/>
            <w:rPr>
              <w:rStyle w:val="Hyperlink"/>
            </w:rPr>
          </w:pPr>
          <w:hyperlink w:anchor="_Toc1981617761">
            <w:r w:rsidRPr="4B13576D" w:rsidR="4B13576D">
              <w:rPr>
                <w:rStyle w:val="Hyperlink"/>
              </w:rPr>
              <w:t>4.6</w:t>
            </w:r>
            <w:r>
              <w:tab/>
            </w:r>
            <w:r>
              <w:fldChar w:fldCharType="begin"/>
            </w:r>
            <w:r>
              <w:instrText xml:space="preserve">PAGEREF _Toc1981617761 \h</w:instrText>
            </w:r>
            <w:r>
              <w:fldChar w:fldCharType="separate"/>
            </w:r>
            <w:r w:rsidRPr="4B13576D" w:rsidR="4B13576D">
              <w:rPr>
                <w:rStyle w:val="Hyperlink"/>
              </w:rPr>
              <w:t>29</w:t>
            </w:r>
            <w:r>
              <w:fldChar w:fldCharType="end"/>
            </w:r>
          </w:hyperlink>
        </w:p>
        <w:p w:rsidR="4B13576D" w:rsidP="4B13576D" w:rsidRDefault="4B13576D" w14:paraId="026FE750" w14:textId="4505C797">
          <w:pPr>
            <w:pStyle w:val="TOC2"/>
            <w:tabs>
              <w:tab w:val="right" w:leader="dot" w:pos="9015"/>
            </w:tabs>
            <w:bidi w:val="0"/>
            <w:rPr>
              <w:rStyle w:val="Hyperlink"/>
            </w:rPr>
          </w:pPr>
          <w:hyperlink w:anchor="_Toc757071883">
            <w:r w:rsidRPr="4B13576D" w:rsidR="4B13576D">
              <w:rPr>
                <w:rStyle w:val="Hyperlink"/>
              </w:rPr>
              <w:t>Conclusion</w:t>
            </w:r>
            <w:r>
              <w:tab/>
            </w:r>
            <w:r>
              <w:fldChar w:fldCharType="begin"/>
            </w:r>
            <w:r>
              <w:instrText xml:space="preserve">PAGEREF _Toc757071883 \h</w:instrText>
            </w:r>
            <w:r>
              <w:fldChar w:fldCharType="separate"/>
            </w:r>
            <w:r w:rsidRPr="4B13576D" w:rsidR="4B13576D">
              <w:rPr>
                <w:rStyle w:val="Hyperlink"/>
              </w:rPr>
              <w:t>29</w:t>
            </w:r>
            <w:r>
              <w:fldChar w:fldCharType="end"/>
            </w:r>
          </w:hyperlink>
        </w:p>
        <w:p w:rsidR="4B13576D" w:rsidP="4B13576D" w:rsidRDefault="4B13576D" w14:paraId="5CD42E19" w14:textId="56B3FC4B">
          <w:pPr>
            <w:pStyle w:val="TOC1"/>
            <w:tabs>
              <w:tab w:val="right" w:leader="dot" w:pos="9015"/>
            </w:tabs>
            <w:bidi w:val="0"/>
            <w:rPr>
              <w:rStyle w:val="Hyperlink"/>
            </w:rPr>
          </w:pPr>
          <w:hyperlink w:anchor="_Toc221492182">
            <w:r w:rsidRPr="4B13576D" w:rsidR="4B13576D">
              <w:rPr>
                <w:rStyle w:val="Hyperlink"/>
              </w:rPr>
              <w:t>CHAPTER 5: CONCLUSION AND RECOMMENDATIONS</w:t>
            </w:r>
            <w:r>
              <w:tab/>
            </w:r>
            <w:r>
              <w:fldChar w:fldCharType="begin"/>
            </w:r>
            <w:r>
              <w:instrText xml:space="preserve">PAGEREF _Toc221492182 \h</w:instrText>
            </w:r>
            <w:r>
              <w:fldChar w:fldCharType="separate"/>
            </w:r>
            <w:r w:rsidRPr="4B13576D" w:rsidR="4B13576D">
              <w:rPr>
                <w:rStyle w:val="Hyperlink"/>
              </w:rPr>
              <w:t>29</w:t>
            </w:r>
            <w:r>
              <w:fldChar w:fldCharType="end"/>
            </w:r>
          </w:hyperlink>
        </w:p>
        <w:p w:rsidR="4B13576D" w:rsidP="4B13576D" w:rsidRDefault="4B13576D" w14:paraId="6E1BC679" w14:textId="115A269C">
          <w:pPr>
            <w:pStyle w:val="TOC2"/>
            <w:tabs>
              <w:tab w:val="right" w:leader="dot" w:pos="9015"/>
            </w:tabs>
            <w:bidi w:val="0"/>
            <w:rPr>
              <w:rStyle w:val="Hyperlink"/>
            </w:rPr>
          </w:pPr>
          <w:hyperlink w:anchor="_Toc2087529810">
            <w:r w:rsidRPr="4B13576D" w:rsidR="4B13576D">
              <w:rPr>
                <w:rStyle w:val="Hyperlink"/>
              </w:rPr>
              <w:t>5.1 Overall Conclusion</w:t>
            </w:r>
            <w:r>
              <w:tab/>
            </w:r>
            <w:r>
              <w:fldChar w:fldCharType="begin"/>
            </w:r>
            <w:r>
              <w:instrText xml:space="preserve">PAGEREF _Toc2087529810 \h</w:instrText>
            </w:r>
            <w:r>
              <w:fldChar w:fldCharType="separate"/>
            </w:r>
            <w:r w:rsidRPr="4B13576D" w:rsidR="4B13576D">
              <w:rPr>
                <w:rStyle w:val="Hyperlink"/>
              </w:rPr>
              <w:t>29</w:t>
            </w:r>
            <w:r>
              <w:fldChar w:fldCharType="end"/>
            </w:r>
          </w:hyperlink>
        </w:p>
        <w:p w:rsidR="4B13576D" w:rsidP="4B13576D" w:rsidRDefault="4B13576D" w14:paraId="4AE3BB95" w14:textId="3C65F3B3">
          <w:pPr>
            <w:pStyle w:val="TOC2"/>
            <w:tabs>
              <w:tab w:val="right" w:leader="dot" w:pos="9015"/>
            </w:tabs>
            <w:bidi w:val="0"/>
            <w:rPr>
              <w:rStyle w:val="Hyperlink"/>
            </w:rPr>
          </w:pPr>
          <w:hyperlink w:anchor="_Toc1421217245">
            <w:r w:rsidRPr="4B13576D" w:rsidR="4B13576D">
              <w:rPr>
                <w:rStyle w:val="Hyperlink"/>
              </w:rPr>
              <w:t>5.2 Recommendations</w:t>
            </w:r>
            <w:r>
              <w:tab/>
            </w:r>
            <w:r>
              <w:fldChar w:fldCharType="begin"/>
            </w:r>
            <w:r>
              <w:instrText xml:space="preserve">PAGEREF _Toc1421217245 \h</w:instrText>
            </w:r>
            <w:r>
              <w:fldChar w:fldCharType="separate"/>
            </w:r>
            <w:r w:rsidRPr="4B13576D" w:rsidR="4B13576D">
              <w:rPr>
                <w:rStyle w:val="Hyperlink"/>
              </w:rPr>
              <w:t>30</w:t>
            </w:r>
            <w:r>
              <w:fldChar w:fldCharType="end"/>
            </w:r>
          </w:hyperlink>
        </w:p>
        <w:p w:rsidR="4B13576D" w:rsidP="4B13576D" w:rsidRDefault="4B13576D" w14:paraId="564B55CF" w14:textId="60F87FBF">
          <w:pPr>
            <w:pStyle w:val="TOC3"/>
            <w:tabs>
              <w:tab w:val="right" w:leader="dot" w:pos="9015"/>
            </w:tabs>
            <w:bidi w:val="0"/>
            <w:rPr>
              <w:rStyle w:val="Hyperlink"/>
            </w:rPr>
          </w:pPr>
          <w:hyperlink w:anchor="_Toc1945512264">
            <w:r w:rsidRPr="4B13576D" w:rsidR="4B13576D">
              <w:rPr>
                <w:rStyle w:val="Hyperlink"/>
              </w:rPr>
              <w:t>5.2.1 Recommendation 1: Increase Research on Women Diagnosed with ADHD After the Age of 30</w:t>
            </w:r>
            <w:r>
              <w:tab/>
            </w:r>
            <w:r>
              <w:fldChar w:fldCharType="begin"/>
            </w:r>
            <w:r>
              <w:instrText xml:space="preserve">PAGEREF _Toc1945512264 \h</w:instrText>
            </w:r>
            <w:r>
              <w:fldChar w:fldCharType="separate"/>
            </w:r>
            <w:r w:rsidRPr="4B13576D" w:rsidR="4B13576D">
              <w:rPr>
                <w:rStyle w:val="Hyperlink"/>
              </w:rPr>
              <w:t>30</w:t>
            </w:r>
            <w:r>
              <w:fldChar w:fldCharType="end"/>
            </w:r>
          </w:hyperlink>
        </w:p>
        <w:p w:rsidR="4B13576D" w:rsidP="4B13576D" w:rsidRDefault="4B13576D" w14:paraId="16DC1ED0" w14:textId="5F8716EA">
          <w:pPr>
            <w:pStyle w:val="TOC3"/>
            <w:tabs>
              <w:tab w:val="right" w:leader="dot" w:pos="9015"/>
            </w:tabs>
            <w:bidi w:val="0"/>
            <w:rPr>
              <w:rStyle w:val="Hyperlink"/>
            </w:rPr>
          </w:pPr>
          <w:hyperlink w:anchor="_Toc859088902">
            <w:r w:rsidRPr="4B13576D" w:rsidR="4B13576D">
              <w:rPr>
                <w:rStyle w:val="Hyperlink"/>
              </w:rPr>
              <w:t>5.2.2 Recommendation 2: Improve Public Awareness and Education About ADHD in Women</w:t>
            </w:r>
            <w:r>
              <w:tab/>
            </w:r>
            <w:r>
              <w:fldChar w:fldCharType="begin"/>
            </w:r>
            <w:r>
              <w:instrText xml:space="preserve">PAGEREF _Toc859088902 \h</w:instrText>
            </w:r>
            <w:r>
              <w:fldChar w:fldCharType="separate"/>
            </w:r>
            <w:r w:rsidRPr="4B13576D" w:rsidR="4B13576D">
              <w:rPr>
                <w:rStyle w:val="Hyperlink"/>
              </w:rPr>
              <w:t>31</w:t>
            </w:r>
            <w:r>
              <w:fldChar w:fldCharType="end"/>
            </w:r>
          </w:hyperlink>
        </w:p>
        <w:p w:rsidR="4B13576D" w:rsidP="4B13576D" w:rsidRDefault="4B13576D" w14:paraId="425E81F0" w14:textId="43185505">
          <w:pPr>
            <w:pStyle w:val="TOC3"/>
            <w:tabs>
              <w:tab w:val="right" w:leader="dot" w:pos="9015"/>
            </w:tabs>
            <w:bidi w:val="0"/>
            <w:rPr>
              <w:rStyle w:val="Hyperlink"/>
            </w:rPr>
          </w:pPr>
          <w:hyperlink w:anchor="_Toc2073516467">
            <w:r w:rsidRPr="4B13576D" w:rsidR="4B13576D">
              <w:rPr>
                <w:rStyle w:val="Hyperlink"/>
              </w:rPr>
              <w:t>5.2.3 Recommendation 3: Enhance Professional Training and ADHD Service Provision</w:t>
            </w:r>
            <w:r>
              <w:tab/>
            </w:r>
            <w:r>
              <w:fldChar w:fldCharType="begin"/>
            </w:r>
            <w:r>
              <w:instrText xml:space="preserve">PAGEREF _Toc2073516467 \h</w:instrText>
            </w:r>
            <w:r>
              <w:fldChar w:fldCharType="separate"/>
            </w:r>
            <w:r w:rsidRPr="4B13576D" w:rsidR="4B13576D">
              <w:rPr>
                <w:rStyle w:val="Hyperlink"/>
              </w:rPr>
              <w:t>31</w:t>
            </w:r>
            <w:r>
              <w:fldChar w:fldCharType="end"/>
            </w:r>
          </w:hyperlink>
        </w:p>
        <w:p w:rsidR="4B13576D" w:rsidP="4B13576D" w:rsidRDefault="4B13576D" w14:paraId="5EA8121F" w14:textId="4ABC615D">
          <w:pPr>
            <w:pStyle w:val="TOC1"/>
            <w:tabs>
              <w:tab w:val="right" w:leader="dot" w:pos="9015"/>
            </w:tabs>
            <w:bidi w:val="0"/>
            <w:rPr>
              <w:rStyle w:val="Hyperlink"/>
            </w:rPr>
          </w:pPr>
          <w:hyperlink w:anchor="_Toc2078940901">
            <w:r w:rsidRPr="4B13576D" w:rsidR="4B13576D">
              <w:rPr>
                <w:rStyle w:val="Hyperlink"/>
              </w:rPr>
              <w:t>CHAPTER 6 – References and Appendices</w:t>
            </w:r>
            <w:r>
              <w:tab/>
            </w:r>
            <w:r>
              <w:fldChar w:fldCharType="begin"/>
            </w:r>
            <w:r>
              <w:instrText xml:space="preserve">PAGEREF _Toc2078940901 \h</w:instrText>
            </w:r>
            <w:r>
              <w:fldChar w:fldCharType="separate"/>
            </w:r>
            <w:r w:rsidRPr="4B13576D" w:rsidR="4B13576D">
              <w:rPr>
                <w:rStyle w:val="Hyperlink"/>
              </w:rPr>
              <w:t>33</w:t>
            </w:r>
            <w:r>
              <w:fldChar w:fldCharType="end"/>
            </w:r>
          </w:hyperlink>
        </w:p>
        <w:p w:rsidR="4B13576D" w:rsidP="4B13576D" w:rsidRDefault="4B13576D" w14:paraId="66F0FA37" w14:textId="5C128D56">
          <w:pPr>
            <w:pStyle w:val="TOC1"/>
            <w:tabs>
              <w:tab w:val="right" w:leader="dot" w:pos="9015"/>
            </w:tabs>
            <w:bidi w:val="0"/>
            <w:rPr>
              <w:rStyle w:val="Hyperlink"/>
            </w:rPr>
          </w:pPr>
          <w:hyperlink w:anchor="_Toc1153530554">
            <w:r w:rsidRPr="4B13576D" w:rsidR="4B13576D">
              <w:rPr>
                <w:rStyle w:val="Hyperlink"/>
              </w:rPr>
              <w:t>6.1 – References List:</w:t>
            </w:r>
            <w:r>
              <w:tab/>
            </w:r>
            <w:r>
              <w:fldChar w:fldCharType="begin"/>
            </w:r>
            <w:r>
              <w:instrText xml:space="preserve">PAGEREF _Toc1153530554 \h</w:instrText>
            </w:r>
            <w:r>
              <w:fldChar w:fldCharType="separate"/>
            </w:r>
            <w:r w:rsidRPr="4B13576D" w:rsidR="4B13576D">
              <w:rPr>
                <w:rStyle w:val="Hyperlink"/>
              </w:rPr>
              <w:t>33</w:t>
            </w:r>
            <w:r>
              <w:fldChar w:fldCharType="end"/>
            </w:r>
          </w:hyperlink>
        </w:p>
        <w:p w:rsidR="4B13576D" w:rsidP="4B13576D" w:rsidRDefault="4B13576D" w14:paraId="1DCEEF26" w14:textId="63EDE6C1">
          <w:pPr>
            <w:pStyle w:val="TOC1"/>
            <w:tabs>
              <w:tab w:val="right" w:leader="dot" w:pos="9015"/>
            </w:tabs>
            <w:bidi w:val="0"/>
            <w:rPr>
              <w:rStyle w:val="Hyperlink"/>
            </w:rPr>
          </w:pPr>
          <w:hyperlink w:anchor="_Toc1023399151">
            <w:r w:rsidRPr="4B13576D" w:rsidR="4B13576D">
              <w:rPr>
                <w:rStyle w:val="Hyperlink"/>
              </w:rPr>
              <w:t>6.2 – Appendices</w:t>
            </w:r>
            <w:r>
              <w:tab/>
            </w:r>
            <w:r>
              <w:fldChar w:fldCharType="begin"/>
            </w:r>
            <w:r>
              <w:instrText xml:space="preserve">PAGEREF _Toc1023399151 \h</w:instrText>
            </w:r>
            <w:r>
              <w:fldChar w:fldCharType="separate"/>
            </w:r>
            <w:r w:rsidRPr="4B13576D" w:rsidR="4B13576D">
              <w:rPr>
                <w:rStyle w:val="Hyperlink"/>
              </w:rPr>
              <w:t>41</w:t>
            </w:r>
            <w:r>
              <w:fldChar w:fldCharType="end"/>
            </w:r>
          </w:hyperlink>
        </w:p>
        <w:p w:rsidR="4B13576D" w:rsidP="4B13576D" w:rsidRDefault="4B13576D" w14:paraId="5A170123" w14:textId="0B4DB839">
          <w:pPr>
            <w:pStyle w:val="TOC1"/>
            <w:tabs>
              <w:tab w:val="right" w:leader="dot" w:pos="9015"/>
            </w:tabs>
            <w:bidi w:val="0"/>
            <w:rPr>
              <w:rStyle w:val="Hyperlink"/>
            </w:rPr>
          </w:pPr>
          <w:hyperlink w:anchor="_Toc1040727803">
            <w:r w:rsidRPr="4B13576D" w:rsidR="4B13576D">
              <w:rPr>
                <w:rStyle w:val="Hyperlink"/>
              </w:rPr>
              <w:t>Appendix A</w:t>
            </w:r>
            <w:r>
              <w:tab/>
            </w:r>
            <w:r>
              <w:fldChar w:fldCharType="begin"/>
            </w:r>
            <w:r>
              <w:instrText xml:space="preserve">PAGEREF _Toc1040727803 \h</w:instrText>
            </w:r>
            <w:r>
              <w:fldChar w:fldCharType="separate"/>
            </w:r>
            <w:r w:rsidRPr="4B13576D" w:rsidR="4B13576D">
              <w:rPr>
                <w:rStyle w:val="Hyperlink"/>
              </w:rPr>
              <w:t>41</w:t>
            </w:r>
            <w:r>
              <w:fldChar w:fldCharType="end"/>
            </w:r>
          </w:hyperlink>
        </w:p>
        <w:p w:rsidR="4B13576D" w:rsidP="4B13576D" w:rsidRDefault="4B13576D" w14:paraId="46A94EC1" w14:textId="6B84AEF1">
          <w:pPr>
            <w:pStyle w:val="TOC1"/>
            <w:tabs>
              <w:tab w:val="right" w:leader="dot" w:pos="9015"/>
            </w:tabs>
            <w:bidi w:val="0"/>
            <w:rPr>
              <w:rStyle w:val="Hyperlink"/>
            </w:rPr>
          </w:pPr>
          <w:hyperlink w:anchor="_Toc584973177">
            <w:r w:rsidRPr="4B13576D" w:rsidR="4B13576D">
              <w:rPr>
                <w:rStyle w:val="Hyperlink"/>
              </w:rPr>
              <w:t>BMHP6020 Independent Project Source Tracking Table</w:t>
            </w:r>
            <w:r>
              <w:tab/>
            </w:r>
            <w:r>
              <w:fldChar w:fldCharType="begin"/>
            </w:r>
            <w:r>
              <w:instrText xml:space="preserve">PAGEREF _Toc584973177 \h</w:instrText>
            </w:r>
            <w:r>
              <w:fldChar w:fldCharType="separate"/>
            </w:r>
            <w:r w:rsidRPr="4B13576D" w:rsidR="4B13576D">
              <w:rPr>
                <w:rStyle w:val="Hyperlink"/>
              </w:rPr>
              <w:t>41</w:t>
            </w:r>
            <w:r>
              <w:fldChar w:fldCharType="end"/>
            </w:r>
          </w:hyperlink>
        </w:p>
        <w:p w:rsidR="4B13576D" w:rsidP="4B13576D" w:rsidRDefault="4B13576D" w14:paraId="4DADA24D" w14:textId="351C4318">
          <w:pPr>
            <w:pStyle w:val="TOC1"/>
            <w:tabs>
              <w:tab w:val="right" w:leader="dot" w:pos="9015"/>
            </w:tabs>
            <w:bidi w:val="0"/>
            <w:rPr>
              <w:rStyle w:val="Hyperlink"/>
            </w:rPr>
          </w:pPr>
          <w:hyperlink w:anchor="_Toc1321279001">
            <w:r w:rsidRPr="4B13576D" w:rsidR="4B13576D">
              <w:rPr>
                <w:rStyle w:val="Hyperlink"/>
              </w:rPr>
              <w:t>Appendix B: BMHP6020 Independent Project Results Summary Table</w:t>
            </w:r>
            <w:r>
              <w:tab/>
            </w:r>
            <w:r>
              <w:fldChar w:fldCharType="begin"/>
            </w:r>
            <w:r>
              <w:instrText xml:space="preserve">PAGEREF _Toc1321279001 \h</w:instrText>
            </w:r>
            <w:r>
              <w:fldChar w:fldCharType="separate"/>
            </w:r>
            <w:r w:rsidRPr="4B13576D" w:rsidR="4B13576D">
              <w:rPr>
                <w:rStyle w:val="Hyperlink"/>
              </w:rPr>
              <w:t>46</w:t>
            </w:r>
            <w:r>
              <w:fldChar w:fldCharType="end"/>
            </w:r>
          </w:hyperlink>
        </w:p>
        <w:p w:rsidR="4B13576D" w:rsidRDefault="4B13576D" w14:paraId="3F5C24A6" w14:textId="7E3EE5F6">
          <w:r>
            <w:fldChar w:fldCharType="end"/>
          </w:r>
        </w:p>
      </w:sdtContent>
    </w:sdt>
    <w:p w:rsidR="00804B94" w:rsidP="072C3F49" w:rsidRDefault="00804B94" w14:paraId="51AE7989" w14:textId="769AC9A2">
      <w:pPr>
        <w:pStyle w:val="Heading1"/>
        <w:ind w:left="0"/>
        <w:rPr>
          <w:rFonts w:ascii="Arial" w:hAnsi="Arial" w:eastAsia="Arial" w:cs="Arial"/>
          <w:b w:val="1"/>
          <w:bCs w:val="1"/>
          <w:noProof w:val="0"/>
          <w:sz w:val="22"/>
          <w:szCs w:val="22"/>
          <w:lang w:val="en-GB"/>
        </w:rPr>
      </w:pPr>
    </w:p>
    <w:p w:rsidR="00804B94" w:rsidP="072C3F49" w:rsidRDefault="00804B94" w14:paraId="3FAF8A0B" w14:textId="71406CDC">
      <w:pPr>
        <w:pStyle w:val="Heading1"/>
        <w:ind w:left="0"/>
        <w:rPr>
          <w:rFonts w:ascii="Arial" w:hAnsi="Arial" w:eastAsia="Arial" w:cs="Arial"/>
          <w:b w:val="1"/>
          <w:bCs w:val="1"/>
          <w:noProof w:val="0"/>
          <w:sz w:val="22"/>
          <w:szCs w:val="22"/>
          <w:lang w:val="en-GB"/>
        </w:rPr>
      </w:pPr>
    </w:p>
    <w:p w:rsidR="00804B94" w:rsidP="072C3F49" w:rsidRDefault="00804B94" w14:paraId="2EB3D2D5" w14:textId="2C9A2BD4">
      <w:pPr>
        <w:pStyle w:val="Heading1"/>
        <w:ind w:left="0"/>
        <w:rPr>
          <w:rFonts w:ascii="Arial" w:hAnsi="Arial" w:eastAsia="Arial" w:cs="Arial"/>
          <w:b w:val="1"/>
          <w:bCs w:val="1"/>
          <w:noProof w:val="0"/>
          <w:sz w:val="22"/>
          <w:szCs w:val="22"/>
          <w:lang w:val="en-GB"/>
        </w:rPr>
      </w:pPr>
    </w:p>
    <w:p w:rsidR="00804B94" w:rsidP="072C3F49" w:rsidRDefault="00804B94" w14:paraId="7A1F8C8C" w14:textId="79E3863C">
      <w:pPr>
        <w:pStyle w:val="Heading1"/>
        <w:ind w:left="0"/>
        <w:rPr>
          <w:rFonts w:ascii="Arial" w:hAnsi="Arial" w:eastAsia="Arial" w:cs="Arial"/>
          <w:b w:val="1"/>
          <w:bCs w:val="1"/>
          <w:noProof w:val="0"/>
          <w:sz w:val="22"/>
          <w:szCs w:val="22"/>
          <w:lang w:val="en-GB"/>
        </w:rPr>
      </w:pPr>
    </w:p>
    <w:p w:rsidR="00804B94" w:rsidP="072C3F49" w:rsidRDefault="00804B94" w14:paraId="4A2E2EEA" w14:textId="682D4FB4">
      <w:pPr>
        <w:pStyle w:val="Heading1"/>
        <w:ind w:left="0"/>
        <w:rPr>
          <w:rFonts w:ascii="Arial" w:hAnsi="Arial" w:eastAsia="Arial" w:cs="Arial"/>
          <w:b w:val="1"/>
          <w:bCs w:val="1"/>
          <w:noProof w:val="0"/>
          <w:sz w:val="22"/>
          <w:szCs w:val="22"/>
          <w:lang w:val="en-GB"/>
        </w:rPr>
      </w:pPr>
    </w:p>
    <w:p w:rsidR="00804B94" w:rsidP="072C3F49" w:rsidRDefault="00804B94" w14:paraId="1E7DF57B" w14:textId="31414596">
      <w:pPr>
        <w:pStyle w:val="Heading1"/>
        <w:ind w:left="0"/>
        <w:rPr>
          <w:rFonts w:ascii="Arial" w:hAnsi="Arial" w:eastAsia="Arial" w:cs="Arial"/>
          <w:b w:val="1"/>
          <w:bCs w:val="1"/>
          <w:noProof w:val="0"/>
          <w:sz w:val="22"/>
          <w:szCs w:val="22"/>
          <w:lang w:val="en-GB"/>
        </w:rPr>
      </w:pPr>
    </w:p>
    <w:p w:rsidR="00804B94" w:rsidP="072C3F49" w:rsidRDefault="00804B94" w14:paraId="04FF43B6" w14:textId="32202BFA">
      <w:pPr>
        <w:pStyle w:val="Heading1"/>
        <w:ind w:left="0"/>
        <w:rPr>
          <w:rFonts w:ascii="Arial" w:hAnsi="Arial" w:eastAsia="Arial" w:cs="Arial"/>
          <w:b w:val="1"/>
          <w:bCs w:val="1"/>
          <w:noProof w:val="0"/>
          <w:sz w:val="22"/>
          <w:szCs w:val="22"/>
          <w:lang w:val="en-GB"/>
        </w:rPr>
      </w:pPr>
    </w:p>
    <w:p w:rsidR="00804B94" w:rsidP="072C3F49" w:rsidRDefault="00804B94" w14:paraId="4518CADE" w14:textId="222CA879">
      <w:pPr>
        <w:pStyle w:val="Heading1"/>
        <w:ind w:left="0"/>
        <w:rPr>
          <w:rFonts w:ascii="Arial" w:hAnsi="Arial" w:eastAsia="Arial" w:cs="Arial"/>
          <w:b w:val="1"/>
          <w:bCs w:val="1"/>
          <w:noProof w:val="0"/>
          <w:sz w:val="22"/>
          <w:szCs w:val="22"/>
          <w:lang w:val="en-GB"/>
        </w:rPr>
      </w:pPr>
    </w:p>
    <w:p w:rsidR="00804B94" w:rsidP="072C3F49" w:rsidRDefault="00804B94" w14:paraId="6D1783D7" w14:textId="2FF9A6A5">
      <w:pPr>
        <w:pStyle w:val="Heading1"/>
        <w:ind w:left="0"/>
        <w:rPr>
          <w:rFonts w:ascii="Arial" w:hAnsi="Arial" w:eastAsia="Arial" w:cs="Arial"/>
          <w:b w:val="1"/>
          <w:bCs w:val="1"/>
          <w:noProof w:val="0"/>
          <w:sz w:val="22"/>
          <w:szCs w:val="22"/>
          <w:lang w:val="en-GB"/>
        </w:rPr>
      </w:pPr>
    </w:p>
    <w:p w:rsidR="00804B94" w:rsidP="072C3F49" w:rsidRDefault="00804B94" w14:paraId="4BC6FA18" w14:textId="2F728C8E">
      <w:pPr>
        <w:pStyle w:val="Heading1"/>
        <w:ind w:left="0"/>
        <w:rPr>
          <w:rFonts w:ascii="Arial" w:hAnsi="Arial" w:eastAsia="Arial" w:cs="Arial"/>
          <w:b w:val="1"/>
          <w:bCs w:val="1"/>
          <w:noProof w:val="0"/>
          <w:sz w:val="22"/>
          <w:szCs w:val="22"/>
          <w:lang w:val="en-GB"/>
        </w:rPr>
      </w:pPr>
    </w:p>
    <w:p w:rsidR="00804B94" w:rsidP="072C3F49" w:rsidRDefault="00804B94" w14:paraId="7B1A8671" w14:textId="0FCFF4DE">
      <w:pPr>
        <w:pStyle w:val="Heading1"/>
        <w:ind w:left="0"/>
        <w:rPr>
          <w:rFonts w:ascii="Arial" w:hAnsi="Arial" w:eastAsia="Arial" w:cs="Arial"/>
          <w:b w:val="1"/>
          <w:bCs w:val="1"/>
          <w:noProof w:val="0"/>
          <w:sz w:val="22"/>
          <w:szCs w:val="22"/>
          <w:lang w:val="en-GB"/>
        </w:rPr>
      </w:pPr>
    </w:p>
    <w:p w:rsidR="00804B94" w:rsidP="072C3F49" w:rsidRDefault="00804B94" w14:paraId="25100F92" w14:textId="2F3BD4CC">
      <w:pPr>
        <w:pStyle w:val="Heading1"/>
        <w:ind w:left="0"/>
        <w:rPr>
          <w:rFonts w:ascii="Arial" w:hAnsi="Arial" w:eastAsia="Arial" w:cs="Arial"/>
          <w:b w:val="1"/>
          <w:bCs w:val="1"/>
          <w:noProof w:val="0"/>
          <w:sz w:val="22"/>
          <w:szCs w:val="22"/>
          <w:lang w:val="en-GB"/>
        </w:rPr>
      </w:pPr>
    </w:p>
    <w:p w:rsidR="00804B94" w:rsidP="4B13576D" w:rsidRDefault="00804B94" w14:paraId="719B49F7" w14:textId="1A1DDD88">
      <w:pPr>
        <w:pStyle w:val="Heading1"/>
        <w:spacing w:line="360" w:lineRule="auto"/>
        <w:ind w:left="0"/>
        <w:rPr>
          <w:rFonts w:ascii="Arial" w:hAnsi="Arial" w:eastAsia="Arial" w:cs="Arial"/>
          <w:b w:val="1"/>
          <w:bCs w:val="1"/>
          <w:noProof w:val="0"/>
          <w:sz w:val="22"/>
          <w:szCs w:val="22"/>
          <w:lang w:val="en-GB"/>
        </w:rPr>
      </w:pPr>
    </w:p>
    <w:p w:rsidR="00804B94" w:rsidP="4B13576D" w:rsidRDefault="00804B94" w14:paraId="4AF00D47" w14:textId="3FFA0FD0">
      <w:pPr>
        <w:pStyle w:val="Heading1"/>
        <w:spacing w:line="360" w:lineRule="auto"/>
        <w:ind w:left="0"/>
        <w:rPr>
          <w:rFonts w:ascii="Arial" w:hAnsi="Arial" w:eastAsia="Arial" w:cs="Arial"/>
          <w:b w:val="1"/>
          <w:bCs w:val="1"/>
          <w:noProof w:val="0"/>
          <w:sz w:val="22"/>
          <w:szCs w:val="22"/>
          <w:lang w:val="en-GB"/>
        </w:rPr>
      </w:pPr>
    </w:p>
    <w:p w:rsidR="4B13576D" w:rsidP="4B13576D" w:rsidRDefault="4B13576D" w14:paraId="7040A300" w14:textId="32E0D57F">
      <w:pPr>
        <w:pStyle w:val="Normal"/>
        <w:spacing w:line="360" w:lineRule="auto"/>
        <w:ind w:left="0"/>
        <w:rPr>
          <w:rFonts w:ascii="Arial" w:hAnsi="Arial" w:eastAsia="Arial" w:cs="Arial"/>
          <w:b w:val="1"/>
          <w:bCs w:val="1"/>
          <w:sz w:val="22"/>
          <w:szCs w:val="22"/>
        </w:rPr>
      </w:pPr>
    </w:p>
    <w:p w:rsidR="4B13576D" w:rsidP="4B13576D" w:rsidRDefault="4B13576D" w14:paraId="10315209" w14:textId="1F402698">
      <w:pPr>
        <w:pStyle w:val="Normal"/>
        <w:spacing w:line="360" w:lineRule="auto"/>
        <w:ind w:left="0"/>
        <w:rPr>
          <w:rFonts w:ascii="Arial" w:hAnsi="Arial" w:eastAsia="Arial" w:cs="Arial"/>
          <w:b w:val="1"/>
          <w:bCs w:val="1"/>
          <w:sz w:val="22"/>
          <w:szCs w:val="22"/>
        </w:rPr>
      </w:pPr>
    </w:p>
    <w:p w:rsidR="4B13576D" w:rsidP="4B13576D" w:rsidRDefault="4B13576D" w14:paraId="78FCABF4" w14:textId="13F0CAA3">
      <w:pPr>
        <w:pStyle w:val="Normal"/>
        <w:spacing w:line="360" w:lineRule="auto"/>
        <w:ind w:left="0"/>
        <w:rPr>
          <w:rFonts w:ascii="Arial" w:hAnsi="Arial" w:eastAsia="Arial" w:cs="Arial"/>
          <w:b w:val="1"/>
          <w:bCs w:val="1"/>
          <w:sz w:val="22"/>
          <w:szCs w:val="22"/>
        </w:rPr>
      </w:pPr>
    </w:p>
    <w:p w:rsidR="4B13576D" w:rsidP="4B13576D" w:rsidRDefault="4B13576D" w14:paraId="1A2DE420" w14:textId="53CA7FAD">
      <w:pPr>
        <w:pStyle w:val="Normal"/>
        <w:spacing w:line="360" w:lineRule="auto"/>
        <w:ind w:left="0"/>
        <w:rPr>
          <w:rFonts w:ascii="Arial" w:hAnsi="Arial" w:eastAsia="Arial" w:cs="Arial"/>
          <w:b w:val="1"/>
          <w:bCs w:val="1"/>
          <w:sz w:val="22"/>
          <w:szCs w:val="22"/>
        </w:rPr>
      </w:pPr>
    </w:p>
    <w:p w:rsidR="00804B94" w:rsidP="4B13576D" w:rsidRDefault="00804B94" w14:paraId="70EE4511" w14:textId="140EAC54">
      <w:pPr>
        <w:pStyle w:val="Normal"/>
        <w:spacing w:line="360" w:lineRule="auto"/>
        <w:ind w:left="0"/>
        <w:rPr>
          <w:rFonts w:ascii="Arial" w:hAnsi="Arial" w:eastAsia="Arial" w:cs="Arial"/>
          <w:b w:val="1"/>
          <w:bCs w:val="1"/>
          <w:sz w:val="22"/>
          <w:szCs w:val="22"/>
        </w:rPr>
      </w:pPr>
      <w:r w:rsidRPr="4B13576D" w:rsidR="1C1770C6">
        <w:rPr>
          <w:rFonts w:ascii="Arial" w:hAnsi="Arial" w:eastAsia="Arial" w:cs="Arial"/>
          <w:b w:val="1"/>
          <w:bCs w:val="1"/>
          <w:sz w:val="22"/>
          <w:szCs w:val="22"/>
        </w:rPr>
        <w:t>Chapter 1</w:t>
      </w:r>
    </w:p>
    <w:p w:rsidR="00730C3C" w:rsidP="51A6AB2E" w:rsidRDefault="00730C3C" w14:paraId="610D8207" w14:textId="288E6207">
      <w:pPr>
        <w:pStyle w:val="Heading2"/>
        <w:spacing w:line="360" w:lineRule="auto"/>
        <w:rPr>
          <w:rFonts w:ascii="Arial" w:hAnsi="Arial" w:eastAsia="Arial" w:cs="Arial"/>
          <w:b w:val="1"/>
          <w:bCs w:val="1"/>
          <w:noProof w:val="0"/>
          <w:color w:val="000000" w:themeColor="text1" w:themeTint="FF" w:themeShade="FF"/>
          <w:sz w:val="22"/>
          <w:szCs w:val="22"/>
          <w:lang w:val="en-GB"/>
        </w:rPr>
      </w:pPr>
      <w:bookmarkStart w:name="_Toc1341106955" w:id="642064345"/>
      <w:r w:rsidRPr="4B13576D" w:rsidR="1C1770C6">
        <w:rPr>
          <w:rFonts w:ascii="Arial" w:hAnsi="Arial" w:eastAsia="Arial" w:cs="Arial"/>
          <w:b w:val="1"/>
          <w:bCs w:val="1"/>
          <w:noProof w:val="0"/>
          <w:color w:val="000000" w:themeColor="text1" w:themeTint="FF" w:themeShade="FF"/>
          <w:sz w:val="22"/>
          <w:szCs w:val="22"/>
          <w:lang w:val="en-GB"/>
        </w:rPr>
        <w:t>1.1 Introduction</w:t>
      </w:r>
      <w:bookmarkEnd w:id="642064345"/>
    </w:p>
    <w:p w:rsidR="00730C3C" w:rsidP="072C3F49" w:rsidRDefault="00730C3C" w14:paraId="0EB414E2" w14:textId="6815A01F">
      <w:pPr>
        <w:pStyle w:val="Normal"/>
        <w:spacing w:line="360" w:lineRule="auto"/>
        <w:rPr>
          <w:rFonts w:ascii="Arial" w:hAnsi="Arial" w:eastAsia="Arial" w:cs="Arial"/>
          <w:noProof w:val="0"/>
          <w:color w:val="000000" w:themeColor="text1" w:themeTint="FF" w:themeShade="FF"/>
          <w:sz w:val="22"/>
          <w:szCs w:val="22"/>
          <w:lang w:val="en-GB"/>
        </w:rPr>
      </w:pPr>
      <w:r w:rsidRPr="4B13576D" w:rsidR="5F096321">
        <w:rPr>
          <w:rFonts w:ascii="Arial" w:hAnsi="Arial" w:eastAsia="Arial" w:cs="Arial"/>
          <w:noProof w:val="0"/>
          <w:color w:val="000000" w:themeColor="text1" w:themeTint="FF" w:themeShade="FF"/>
          <w:sz w:val="22"/>
          <w:szCs w:val="22"/>
          <w:lang w:val="en-GB"/>
        </w:rPr>
        <w:t xml:space="preserve">Attention Deficit Hyperactivity Disorder (ADHD) is a neurodevelopmental condition characterised by persistent patterns of inattention, hyperactivity, and impulsivity that affect daily functioning (American Psychiatric Association, 2013; Faraone </w:t>
      </w:r>
      <w:r w:rsidRPr="4B13576D" w:rsidR="5F096321">
        <w:rPr>
          <w:rFonts w:ascii="Arial" w:hAnsi="Arial" w:eastAsia="Arial" w:cs="Arial"/>
          <w:i w:val="1"/>
          <w:iCs w:val="1"/>
          <w:noProof w:val="0"/>
          <w:color w:val="000000" w:themeColor="text1" w:themeTint="FF" w:themeShade="FF"/>
          <w:sz w:val="22"/>
          <w:szCs w:val="22"/>
          <w:lang w:val="en-GB"/>
        </w:rPr>
        <w:t>et al.,</w:t>
      </w:r>
      <w:r w:rsidRPr="4B13576D" w:rsidR="5F096321">
        <w:rPr>
          <w:rFonts w:ascii="Arial" w:hAnsi="Arial" w:eastAsia="Arial" w:cs="Arial"/>
          <w:noProof w:val="0"/>
          <w:color w:val="000000" w:themeColor="text1" w:themeTint="FF" w:themeShade="FF"/>
          <w:sz w:val="22"/>
          <w:szCs w:val="22"/>
          <w:lang w:val="en-GB"/>
        </w:rPr>
        <w:t xml:space="preserve"> 2003). Traditionally, ADHD research has focused on young boys displaying externalised and disruptive behaviours. Consequently, diagnostic frameworks have prioritised visible symptoms such as hyperactivity and impulsivity, contributing to a gender-biased understanding of the condition (Rucklidge, 2008; Quinn and Madhoo, 2014).</w:t>
      </w:r>
    </w:p>
    <w:p w:rsidR="00730C3C" w:rsidP="51A6AB2E" w:rsidRDefault="00730C3C" w14:paraId="5E981DAA" w14:textId="178637A2">
      <w:pPr>
        <w:spacing w:line="360" w:lineRule="auto"/>
        <w:rPr>
          <w:rFonts w:ascii="Arial" w:hAnsi="Arial" w:eastAsia="Arial" w:cs="Arial"/>
          <w:noProof w:val="0"/>
          <w:color w:val="000000" w:themeColor="text1" w:themeTint="FF" w:themeShade="FF"/>
          <w:sz w:val="22"/>
          <w:szCs w:val="22"/>
          <w:lang w:val="en-GB"/>
        </w:rPr>
      </w:pPr>
      <w:r w:rsidRPr="4B13576D" w:rsidR="2E5D3782">
        <w:rPr>
          <w:rFonts w:ascii="Arial" w:hAnsi="Arial" w:eastAsia="Arial" w:cs="Arial"/>
          <w:noProof w:val="0"/>
          <w:color w:val="000000" w:themeColor="text1" w:themeTint="FF" w:themeShade="FF"/>
          <w:sz w:val="22"/>
          <w:szCs w:val="22"/>
          <w:lang w:val="en-GB"/>
        </w:rPr>
        <w:t xml:space="preserve">Recent research highlights that ADHD in women often presents through internalised symptoms, including disorganisation, forgetfulness, emotional dysregulation, and cognitive overload (Skoglund </w:t>
      </w:r>
      <w:r w:rsidRPr="4B13576D" w:rsidR="2E5D3782">
        <w:rPr>
          <w:rFonts w:ascii="Arial" w:hAnsi="Arial" w:eastAsia="Arial" w:cs="Arial"/>
          <w:i w:val="1"/>
          <w:iCs w:val="1"/>
          <w:noProof w:val="0"/>
          <w:color w:val="000000" w:themeColor="text1" w:themeTint="FF" w:themeShade="FF"/>
          <w:sz w:val="22"/>
          <w:szCs w:val="22"/>
          <w:lang w:val="en-GB"/>
        </w:rPr>
        <w:t>et al.</w:t>
      </w:r>
      <w:r w:rsidRPr="4B13576D" w:rsidR="2E5D3782">
        <w:rPr>
          <w:rFonts w:ascii="Arial" w:hAnsi="Arial" w:eastAsia="Arial" w:cs="Arial"/>
          <w:noProof w:val="0"/>
          <w:color w:val="000000" w:themeColor="text1" w:themeTint="FF" w:themeShade="FF"/>
          <w:sz w:val="22"/>
          <w:szCs w:val="22"/>
          <w:lang w:val="en-GB"/>
        </w:rPr>
        <w:t xml:space="preserve">, 2024; Slobodin, Har Sinay and Zohar, 2025). These symptoms are less visible and are frequently mistaken for personality traits or attributed to conditions such as anxiety and depression, contributing to delayed or missed diagnosis (Attoe and Climie, 2023; French </w:t>
      </w:r>
      <w:r w:rsidRPr="4B13576D" w:rsidR="2E5D3782">
        <w:rPr>
          <w:rFonts w:ascii="Arial" w:hAnsi="Arial" w:eastAsia="Arial" w:cs="Arial"/>
          <w:i w:val="1"/>
          <w:iCs w:val="1"/>
          <w:noProof w:val="0"/>
          <w:color w:val="000000" w:themeColor="text1" w:themeTint="FF" w:themeShade="FF"/>
          <w:sz w:val="22"/>
          <w:szCs w:val="22"/>
          <w:lang w:val="en-GB"/>
        </w:rPr>
        <w:t>et al</w:t>
      </w:r>
      <w:r w:rsidRPr="4B13576D" w:rsidR="2E5D3782">
        <w:rPr>
          <w:rFonts w:ascii="Arial" w:hAnsi="Arial" w:eastAsia="Arial" w:cs="Arial"/>
          <w:noProof w:val="0"/>
          <w:color w:val="000000" w:themeColor="text1" w:themeTint="FF" w:themeShade="FF"/>
          <w:sz w:val="22"/>
          <w:szCs w:val="22"/>
          <w:lang w:val="en-GB"/>
        </w:rPr>
        <w:t>., 2023).</w:t>
      </w:r>
    </w:p>
    <w:p w:rsidR="00730C3C" w:rsidP="51A6AB2E" w:rsidRDefault="00730C3C" w14:paraId="05A83A5D" w14:textId="1EB3BA5C">
      <w:pPr>
        <w:spacing w:line="360" w:lineRule="auto"/>
        <w:rPr>
          <w:rFonts w:ascii="Arial" w:hAnsi="Arial" w:eastAsia="Arial" w:cs="Arial"/>
          <w:noProof w:val="0"/>
          <w:color w:val="000000" w:themeColor="text1" w:themeTint="FF" w:themeShade="FF"/>
          <w:sz w:val="22"/>
          <w:szCs w:val="22"/>
          <w:lang w:val="en-GB"/>
        </w:rPr>
      </w:pPr>
      <w:r w:rsidRPr="4B13576D" w:rsidR="2E5D3782">
        <w:rPr>
          <w:rFonts w:ascii="Arial" w:hAnsi="Arial" w:eastAsia="Arial" w:cs="Arial"/>
          <w:noProof w:val="0"/>
          <w:color w:val="000000" w:themeColor="text1" w:themeTint="FF" w:themeShade="FF"/>
          <w:sz w:val="22"/>
          <w:szCs w:val="22"/>
          <w:lang w:val="en-GB"/>
        </w:rPr>
        <w:t xml:space="preserve">Despite growing awareness, limited research has explored the lived experiences of women diagnosed later in life within the UK context (Baig and Kahya, 2025; Wills and Chakraborty, 2026). ADHD also remains underdiagnosed in the United Kingdom, with a significant gap between those experiencing symptoms and those receiving a formal diagnosis (NHS Digital, 2023). Global health organisations similarly highlight continuing gaps in awareness and diagnosis, particularly among women (Centers for Disease Control and Prevention, 2024; Platania </w:t>
      </w:r>
      <w:r w:rsidRPr="4B13576D" w:rsidR="2E5D3782">
        <w:rPr>
          <w:rFonts w:ascii="Arial" w:hAnsi="Arial" w:eastAsia="Arial" w:cs="Arial"/>
          <w:i w:val="1"/>
          <w:iCs w:val="1"/>
          <w:noProof w:val="0"/>
          <w:color w:val="000000" w:themeColor="text1" w:themeTint="FF" w:themeShade="FF"/>
          <w:sz w:val="22"/>
          <w:szCs w:val="22"/>
          <w:lang w:val="en-GB"/>
        </w:rPr>
        <w:t>et al.</w:t>
      </w:r>
      <w:r w:rsidRPr="4B13576D" w:rsidR="2E5D3782">
        <w:rPr>
          <w:rFonts w:ascii="Arial" w:hAnsi="Arial" w:eastAsia="Arial" w:cs="Arial"/>
          <w:noProof w:val="0"/>
          <w:color w:val="000000" w:themeColor="text1" w:themeTint="FF" w:themeShade="FF"/>
          <w:sz w:val="22"/>
          <w:szCs w:val="22"/>
          <w:lang w:val="en-GB"/>
        </w:rPr>
        <w:t>, 2025).</w:t>
      </w:r>
    </w:p>
    <w:p w:rsidR="00730C3C" w:rsidP="51A6AB2E" w:rsidRDefault="00730C3C" w14:paraId="2414B6B3" w14:textId="6E927F24">
      <w:pPr>
        <w:spacing w:line="360" w:lineRule="auto"/>
        <w:rPr>
          <w:rFonts w:ascii="Arial" w:hAnsi="Arial" w:eastAsia="Arial" w:cs="Arial"/>
          <w:noProof w:val="0"/>
          <w:color w:val="000000" w:themeColor="text1" w:themeTint="FF" w:themeShade="FF"/>
          <w:sz w:val="22"/>
          <w:szCs w:val="22"/>
          <w:lang w:val="en-GB"/>
        </w:rPr>
      </w:pPr>
      <w:r w:rsidRPr="4B13576D" w:rsidR="7A94E457">
        <w:rPr>
          <w:rFonts w:ascii="Arial" w:hAnsi="Arial" w:eastAsia="Arial" w:cs="Arial"/>
          <w:noProof w:val="0"/>
          <w:color w:val="000000" w:themeColor="text1" w:themeTint="FF" w:themeShade="FF"/>
          <w:sz w:val="22"/>
          <w:szCs w:val="22"/>
          <w:lang w:val="en-GB"/>
        </w:rPr>
        <w:t>This dissertation critically explores the experiences of women in the UK diagnosed with ADHD after the age of 30, focusing on diagnostic barriers, psychological impact, and service provision.</w:t>
      </w:r>
    </w:p>
    <w:p w:rsidR="00730C3C" w:rsidP="51A6AB2E" w:rsidRDefault="00730C3C" w14:paraId="700424DA" w14:textId="20BD056D">
      <w:pPr>
        <w:pStyle w:val="Heading2"/>
        <w:spacing w:line="360" w:lineRule="auto"/>
        <w:rPr>
          <w:rFonts w:ascii="Arial" w:hAnsi="Arial" w:eastAsia="Arial" w:cs="Arial"/>
          <w:b w:val="1"/>
          <w:bCs w:val="1"/>
          <w:noProof w:val="0"/>
          <w:color w:val="000000" w:themeColor="text1" w:themeTint="FF" w:themeShade="FF"/>
          <w:sz w:val="22"/>
          <w:szCs w:val="22"/>
          <w:lang w:val="en-GB"/>
        </w:rPr>
      </w:pPr>
      <w:bookmarkStart w:name="_Toc1547142092" w:id="36830655"/>
      <w:r w:rsidRPr="4B13576D" w:rsidR="3CD5E3A5">
        <w:rPr>
          <w:rFonts w:ascii="Arial" w:hAnsi="Arial" w:eastAsia="Arial" w:cs="Arial"/>
          <w:b w:val="1"/>
          <w:bCs w:val="1"/>
          <w:noProof w:val="0"/>
          <w:color w:val="000000" w:themeColor="text1" w:themeTint="FF" w:themeShade="FF"/>
          <w:sz w:val="22"/>
          <w:szCs w:val="22"/>
          <w:lang w:val="en-GB"/>
        </w:rPr>
        <w:t>1.2 Definitions and Terminology</w:t>
      </w:r>
      <w:bookmarkEnd w:id="36830655"/>
    </w:p>
    <w:p w:rsidR="00730C3C" w:rsidP="51A6AB2E" w:rsidRDefault="00730C3C" w14:paraId="18D9479B" w14:textId="24B92458">
      <w:pPr>
        <w:spacing w:line="360" w:lineRule="auto"/>
        <w:rPr>
          <w:rFonts w:ascii="Arial" w:hAnsi="Arial" w:eastAsia="Arial" w:cs="Arial"/>
          <w:noProof w:val="0"/>
          <w:sz w:val="22"/>
          <w:szCs w:val="22"/>
          <w:lang w:val="en-GB"/>
        </w:rPr>
      </w:pPr>
      <w:r w:rsidRPr="4B13576D" w:rsidR="4D7D42A6">
        <w:rPr>
          <w:rFonts w:ascii="Arial" w:hAnsi="Arial" w:eastAsia="Arial" w:cs="Arial"/>
          <w:noProof w:val="0"/>
          <w:sz w:val="22"/>
          <w:szCs w:val="22"/>
          <w:lang w:val="en-GB"/>
        </w:rPr>
        <w:t>Attention Deficit Hyperactivity Disorder (ADHD) is a neurodevelopmental disorder characterised by persistent patterns of inattention and/or hyperactivity-impulsivity that interfere with functioning and development (American Psychiatric Association, 2013; Magnus, Anilkumar and Shaban, 2023). Although early diagnostic frameworks focused on hyperactive and disruptive behaviours, contemporary research highlights important gender differences in presentation. Women are more likely to exhibit inattentive and internalised symptoms, which are less visible and therefore more likely to be overlooked (Rucklidge, 2008; Quinn and Madhoo, 2014).</w:t>
      </w:r>
    </w:p>
    <w:p w:rsidR="00730C3C" w:rsidP="51A6AB2E" w:rsidRDefault="00730C3C" w14:paraId="11EC26A3" w14:textId="0D1EF42E">
      <w:pPr>
        <w:spacing w:line="360" w:lineRule="auto"/>
        <w:rPr>
          <w:rFonts w:ascii="Arial" w:hAnsi="Arial" w:eastAsia="Arial" w:cs="Arial"/>
          <w:noProof w:val="0"/>
          <w:sz w:val="22"/>
          <w:szCs w:val="22"/>
          <w:lang w:val="en-GB"/>
        </w:rPr>
      </w:pPr>
      <w:r w:rsidRPr="4B13576D" w:rsidR="4D7D42A6">
        <w:rPr>
          <w:rFonts w:ascii="Arial" w:hAnsi="Arial" w:eastAsia="Arial" w:cs="Arial"/>
          <w:noProof w:val="0"/>
          <w:sz w:val="22"/>
          <w:szCs w:val="22"/>
          <w:lang w:val="en-GB"/>
        </w:rPr>
        <w:t xml:space="preserve">A key concept within this study is </w:t>
      </w:r>
      <w:r w:rsidRPr="4B13576D" w:rsidR="4D7D42A6">
        <w:rPr>
          <w:rFonts w:ascii="Arial" w:hAnsi="Arial" w:eastAsia="Arial" w:cs="Arial"/>
          <w:i w:val="1"/>
          <w:iCs w:val="1"/>
          <w:noProof w:val="0"/>
          <w:sz w:val="22"/>
          <w:szCs w:val="22"/>
          <w:lang w:val="en-GB"/>
        </w:rPr>
        <w:t>masking</w:t>
      </w:r>
      <w:r w:rsidRPr="4B13576D" w:rsidR="4D7D42A6">
        <w:rPr>
          <w:rFonts w:ascii="Arial" w:hAnsi="Arial" w:eastAsia="Arial" w:cs="Arial"/>
          <w:noProof w:val="0"/>
          <w:sz w:val="22"/>
          <w:szCs w:val="22"/>
          <w:lang w:val="en-GB"/>
        </w:rPr>
        <w:t xml:space="preserve">, which refers to strategies used to conceal or compensate for symptoms in order to meet social expectations (Wurth </w:t>
      </w:r>
      <w:r w:rsidRPr="4B13576D" w:rsidR="4D7D42A6">
        <w:rPr>
          <w:rFonts w:ascii="Arial" w:hAnsi="Arial" w:eastAsia="Arial" w:cs="Arial"/>
          <w:i w:val="1"/>
          <w:iCs w:val="1"/>
          <w:noProof w:val="0"/>
          <w:sz w:val="22"/>
          <w:szCs w:val="22"/>
          <w:lang w:val="en-GB"/>
        </w:rPr>
        <w:t xml:space="preserve">et </w:t>
      </w:r>
      <w:r w:rsidRPr="4B13576D" w:rsidR="4D7D42A6">
        <w:rPr>
          <w:rFonts w:ascii="Arial" w:hAnsi="Arial" w:eastAsia="Arial" w:cs="Arial"/>
          <w:i w:val="1"/>
          <w:iCs w:val="1"/>
          <w:noProof w:val="0"/>
          <w:sz w:val="22"/>
          <w:szCs w:val="22"/>
          <w:lang w:val="en-GB"/>
        </w:rPr>
        <w:t>a</w:t>
      </w:r>
      <w:r w:rsidRPr="4B13576D" w:rsidR="4D7D42A6">
        <w:rPr>
          <w:rFonts w:ascii="Arial" w:hAnsi="Arial" w:eastAsia="Arial" w:cs="Arial"/>
          <w:i w:val="1"/>
          <w:iCs w:val="1"/>
          <w:noProof w:val="0"/>
          <w:sz w:val="22"/>
          <w:szCs w:val="22"/>
          <w:lang w:val="en-GB"/>
        </w:rPr>
        <w:t>l</w:t>
      </w:r>
      <w:r w:rsidRPr="4B13576D" w:rsidR="4D7D42A6">
        <w:rPr>
          <w:rFonts w:ascii="Arial" w:hAnsi="Arial" w:eastAsia="Arial" w:cs="Arial"/>
          <w:noProof w:val="0"/>
          <w:sz w:val="22"/>
          <w:szCs w:val="22"/>
          <w:lang w:val="en-GB"/>
        </w:rPr>
        <w:t xml:space="preserve">., 2025). Masking is particularly common among women with ADHD and can contribute to delayed diagnosis by reducing symptom visibility and increasing the likelihood of misinterpretation (Attoe and Climie, 2023). This behaviour is often influenced by societal expectations surrounding organisation and emotional regulation (Banire </w:t>
      </w:r>
      <w:r w:rsidRPr="4B13576D" w:rsidR="4D7D42A6">
        <w:rPr>
          <w:rFonts w:ascii="Arial" w:hAnsi="Arial" w:eastAsia="Arial" w:cs="Arial"/>
          <w:i w:val="1"/>
          <w:iCs w:val="1"/>
          <w:noProof w:val="0"/>
          <w:sz w:val="22"/>
          <w:szCs w:val="22"/>
          <w:lang w:val="en-GB"/>
        </w:rPr>
        <w:t>et al</w:t>
      </w:r>
      <w:r w:rsidRPr="4B13576D" w:rsidR="4D7D42A6">
        <w:rPr>
          <w:rFonts w:ascii="Arial" w:hAnsi="Arial" w:eastAsia="Arial" w:cs="Arial"/>
          <w:noProof w:val="0"/>
          <w:sz w:val="22"/>
          <w:szCs w:val="22"/>
          <w:lang w:val="en-GB"/>
        </w:rPr>
        <w:t>., 2025).</w:t>
      </w:r>
    </w:p>
    <w:p w:rsidR="00730C3C" w:rsidP="51A6AB2E" w:rsidRDefault="00730C3C" w14:paraId="52B513F0" w14:textId="527344C5">
      <w:pPr>
        <w:spacing w:line="360" w:lineRule="auto"/>
        <w:rPr>
          <w:rFonts w:ascii="Arial" w:hAnsi="Arial" w:eastAsia="Arial" w:cs="Arial"/>
          <w:noProof w:val="0"/>
          <w:sz w:val="22"/>
          <w:szCs w:val="22"/>
          <w:lang w:val="en-GB"/>
        </w:rPr>
      </w:pPr>
      <w:r w:rsidRPr="4B13576D" w:rsidR="4D7D42A6">
        <w:rPr>
          <w:rFonts w:ascii="Arial" w:hAnsi="Arial" w:eastAsia="Arial" w:cs="Arial"/>
          <w:b w:val="1"/>
          <w:bCs w:val="1"/>
          <w:i w:val="0"/>
          <w:iCs w:val="0"/>
          <w:noProof w:val="0"/>
          <w:sz w:val="22"/>
          <w:szCs w:val="22"/>
          <w:lang w:val="en-GB"/>
        </w:rPr>
        <w:t>Late diagnosis</w:t>
      </w:r>
      <w:r w:rsidRPr="4B13576D" w:rsidR="4D7D42A6">
        <w:rPr>
          <w:rFonts w:ascii="Arial" w:hAnsi="Arial" w:eastAsia="Arial" w:cs="Arial"/>
          <w:b w:val="1"/>
          <w:bCs w:val="1"/>
          <w:i w:val="0"/>
          <w:iCs w:val="0"/>
          <w:noProof w:val="0"/>
          <w:sz w:val="22"/>
          <w:szCs w:val="22"/>
          <w:lang w:val="en-GB"/>
        </w:rPr>
        <w:t xml:space="preserve"> </w:t>
      </w:r>
      <w:r w:rsidRPr="4B13576D" w:rsidR="4D7D42A6">
        <w:rPr>
          <w:rFonts w:ascii="Arial" w:hAnsi="Arial" w:eastAsia="Arial" w:cs="Arial"/>
          <w:noProof w:val="0"/>
          <w:sz w:val="22"/>
          <w:szCs w:val="22"/>
          <w:lang w:val="en-GB"/>
        </w:rPr>
        <w:t>refers to receiving an ADHD diagnosis after the age of 30. Prolonged periods of undiagnosed ADHD have been associated with low self-esteem, chronic stress, and increased vulnerability to mental health difficulties (Skoglund et al., 2024; Sibley</w:t>
      </w:r>
      <w:r w:rsidRPr="4B13576D" w:rsidR="4D7D42A6">
        <w:rPr>
          <w:rFonts w:ascii="Arial" w:hAnsi="Arial" w:eastAsia="Arial" w:cs="Arial"/>
          <w:i w:val="1"/>
          <w:iCs w:val="1"/>
          <w:noProof w:val="0"/>
          <w:sz w:val="22"/>
          <w:szCs w:val="22"/>
          <w:lang w:val="en-GB"/>
        </w:rPr>
        <w:t xml:space="preserve"> et al.</w:t>
      </w:r>
      <w:r w:rsidRPr="4B13576D" w:rsidR="4D7D42A6">
        <w:rPr>
          <w:rFonts w:ascii="Arial" w:hAnsi="Arial" w:eastAsia="Arial" w:cs="Arial"/>
          <w:noProof w:val="0"/>
          <w:sz w:val="22"/>
          <w:szCs w:val="22"/>
          <w:lang w:val="en-GB"/>
        </w:rPr>
        <w:t xml:space="preserve">, 2018; French </w:t>
      </w:r>
      <w:r w:rsidRPr="4B13576D" w:rsidR="4D7D42A6">
        <w:rPr>
          <w:rFonts w:ascii="Arial" w:hAnsi="Arial" w:eastAsia="Arial" w:cs="Arial"/>
          <w:i w:val="1"/>
          <w:iCs w:val="1"/>
          <w:noProof w:val="0"/>
          <w:sz w:val="22"/>
          <w:szCs w:val="22"/>
          <w:lang w:val="en-GB"/>
        </w:rPr>
        <w:t>et al</w:t>
      </w:r>
      <w:r w:rsidRPr="4B13576D" w:rsidR="4D7D42A6">
        <w:rPr>
          <w:rFonts w:ascii="Arial" w:hAnsi="Arial" w:eastAsia="Arial" w:cs="Arial"/>
          <w:noProof w:val="0"/>
          <w:sz w:val="22"/>
          <w:szCs w:val="22"/>
          <w:lang w:val="en-GB"/>
        </w:rPr>
        <w:t>., 2023).</w:t>
      </w:r>
    </w:p>
    <w:p w:rsidR="00730C3C" w:rsidP="51A6AB2E" w:rsidRDefault="00730C3C" w14:paraId="629FC3E2" w14:textId="4EA650EF">
      <w:pPr>
        <w:spacing w:line="360" w:lineRule="auto"/>
        <w:rPr>
          <w:rFonts w:ascii="Arial" w:hAnsi="Arial" w:eastAsia="Arial" w:cs="Arial"/>
          <w:noProof w:val="0"/>
          <w:sz w:val="22"/>
          <w:szCs w:val="22"/>
          <w:lang w:val="en-GB"/>
        </w:rPr>
      </w:pPr>
      <w:r w:rsidRPr="4B13576D" w:rsidR="4D7D42A6">
        <w:rPr>
          <w:rFonts w:ascii="Arial" w:hAnsi="Arial" w:eastAsia="Arial" w:cs="Arial"/>
          <w:b w:val="1"/>
          <w:bCs w:val="1"/>
          <w:i w:val="0"/>
          <w:iCs w:val="0"/>
          <w:noProof w:val="0"/>
          <w:sz w:val="22"/>
          <w:szCs w:val="22"/>
          <w:lang w:val="en-GB"/>
        </w:rPr>
        <w:t>Diagnostic barriers</w:t>
      </w:r>
      <w:r w:rsidRPr="4B13576D" w:rsidR="4D7D42A6">
        <w:rPr>
          <w:rFonts w:ascii="Arial" w:hAnsi="Arial" w:eastAsia="Arial" w:cs="Arial"/>
          <w:noProof w:val="0"/>
          <w:sz w:val="22"/>
          <w:szCs w:val="22"/>
          <w:lang w:val="en-GB"/>
        </w:rPr>
        <w:t xml:space="preserve"> refer to factors that delay identification, including gender bias and limited clinician awareness (Slobodin and Davidovitch, 2019).</w:t>
      </w:r>
      <w:r w:rsidRPr="4B13576D" w:rsidR="4D7D42A6">
        <w:rPr>
          <w:rFonts w:ascii="Arial" w:hAnsi="Arial" w:eastAsia="Arial" w:cs="Arial"/>
          <w:b w:val="1"/>
          <w:bCs w:val="1"/>
          <w:noProof w:val="0"/>
          <w:sz w:val="22"/>
          <w:szCs w:val="22"/>
          <w:lang w:val="en-GB"/>
        </w:rPr>
        <w:t xml:space="preserve"> </w:t>
      </w:r>
      <w:r w:rsidRPr="4B13576D" w:rsidR="4D7D42A6">
        <w:rPr>
          <w:rFonts w:ascii="Arial" w:hAnsi="Arial" w:eastAsia="Arial" w:cs="Arial"/>
          <w:b w:val="1"/>
          <w:bCs w:val="1"/>
          <w:i w:val="0"/>
          <w:iCs w:val="0"/>
          <w:noProof w:val="0"/>
          <w:sz w:val="22"/>
          <w:szCs w:val="22"/>
          <w:lang w:val="en-GB"/>
        </w:rPr>
        <w:t>Service provision</w:t>
      </w:r>
      <w:r w:rsidRPr="4B13576D" w:rsidR="4D7D42A6">
        <w:rPr>
          <w:rFonts w:ascii="Arial" w:hAnsi="Arial" w:eastAsia="Arial" w:cs="Arial"/>
          <w:noProof w:val="0"/>
          <w:sz w:val="22"/>
          <w:szCs w:val="22"/>
          <w:lang w:val="en-GB"/>
        </w:rPr>
        <w:t xml:space="preserve"> refers to the accessibility and effectiveness of ADHD support within healthcare systems, particularly the NHS (Young </w:t>
      </w:r>
      <w:r w:rsidRPr="4B13576D" w:rsidR="4D7D42A6">
        <w:rPr>
          <w:rFonts w:ascii="Arial" w:hAnsi="Arial" w:eastAsia="Arial" w:cs="Arial"/>
          <w:i w:val="1"/>
          <w:iCs w:val="1"/>
          <w:noProof w:val="0"/>
          <w:sz w:val="22"/>
          <w:szCs w:val="22"/>
          <w:lang w:val="en-GB"/>
        </w:rPr>
        <w:t>et al</w:t>
      </w:r>
      <w:r w:rsidRPr="4B13576D" w:rsidR="4D7D42A6">
        <w:rPr>
          <w:rFonts w:ascii="Arial" w:hAnsi="Arial" w:eastAsia="Arial" w:cs="Arial"/>
          <w:noProof w:val="0"/>
          <w:sz w:val="22"/>
          <w:szCs w:val="22"/>
          <w:lang w:val="en-GB"/>
        </w:rPr>
        <w:t>., 2021; NHS England, 2025).</w:t>
      </w:r>
    </w:p>
    <w:p w:rsidR="00730C3C" w:rsidP="51A6AB2E" w:rsidRDefault="00730C3C" w14:paraId="39C084E7" w14:textId="04B27D2F">
      <w:pPr>
        <w:pStyle w:val="Normal"/>
        <w:spacing w:line="360" w:lineRule="auto"/>
        <w:ind/>
        <w:rPr>
          <w:rFonts w:ascii="Arial" w:hAnsi="Arial" w:eastAsia="Arial" w:cs="Arial"/>
          <w:b w:val="1"/>
          <w:bCs w:val="1"/>
          <w:noProof w:val="0"/>
          <w:sz w:val="22"/>
          <w:szCs w:val="22"/>
          <w:lang w:val="en-GB"/>
        </w:rPr>
      </w:pPr>
      <w:r w:rsidRPr="4B13576D" w:rsidR="36E6435B">
        <w:rPr>
          <w:rFonts w:ascii="Arial" w:hAnsi="Arial" w:eastAsia="Arial" w:cs="Arial"/>
          <w:b w:val="1"/>
          <w:bCs w:val="1"/>
          <w:noProof w:val="0"/>
          <w:sz w:val="22"/>
          <w:szCs w:val="22"/>
          <w:lang w:val="en-GB"/>
        </w:rPr>
        <w:t>1.3 Rationale for Research</w:t>
      </w:r>
    </w:p>
    <w:p w:rsidR="00730C3C" w:rsidP="4B13576D" w:rsidRDefault="00730C3C" w14:paraId="7EAEC8B1" w14:textId="51FCB07E">
      <w:pPr>
        <w:pStyle w:val="Normal"/>
        <w:spacing w:line="360" w:lineRule="auto"/>
        <w:ind/>
        <w:rPr>
          <w:rFonts w:ascii="Arial" w:hAnsi="Arial" w:eastAsia="Arial" w:cs="Arial"/>
          <w:noProof w:val="0"/>
          <w:sz w:val="22"/>
          <w:szCs w:val="22"/>
          <w:lang w:val="en-GB"/>
        </w:rPr>
      </w:pPr>
      <w:r w:rsidRPr="4B13576D" w:rsidR="36E6435B">
        <w:rPr>
          <w:rFonts w:ascii="Arial" w:hAnsi="Arial" w:eastAsia="Arial" w:cs="Arial"/>
          <w:noProof w:val="0"/>
          <w:sz w:val="22"/>
          <w:szCs w:val="22"/>
          <w:lang w:val="en-GB"/>
        </w:rPr>
        <w:t xml:space="preserve">The focus on women over the age of 30 diagnosed with ADHD reflects a significant gap in both academic research and clinical practice. Historically, ADHD has been viewed as a childhood condition primarily affecting boys, resulting in limited understanding of how it presents in adult women (Lange </w:t>
      </w:r>
      <w:r w:rsidRPr="4B13576D" w:rsidR="36E6435B">
        <w:rPr>
          <w:rFonts w:ascii="Arial" w:hAnsi="Arial" w:eastAsia="Arial" w:cs="Arial"/>
          <w:i w:val="1"/>
          <w:iCs w:val="1"/>
          <w:noProof w:val="0"/>
          <w:sz w:val="22"/>
          <w:szCs w:val="22"/>
          <w:lang w:val="en-GB"/>
        </w:rPr>
        <w:t>et al.</w:t>
      </w:r>
      <w:r w:rsidRPr="4B13576D" w:rsidR="36E6435B">
        <w:rPr>
          <w:rFonts w:ascii="Arial" w:hAnsi="Arial" w:eastAsia="Arial" w:cs="Arial"/>
          <w:noProof w:val="0"/>
          <w:sz w:val="22"/>
          <w:szCs w:val="22"/>
          <w:lang w:val="en-GB"/>
        </w:rPr>
        <w:t xml:space="preserve">, 2010; Mahone and </w:t>
      </w:r>
      <w:r w:rsidRPr="4B13576D" w:rsidR="36E6435B">
        <w:rPr>
          <w:rFonts w:ascii="Arial" w:hAnsi="Arial" w:eastAsia="Arial" w:cs="Arial"/>
          <w:noProof w:val="0"/>
          <w:sz w:val="22"/>
          <w:szCs w:val="22"/>
          <w:lang w:val="en-GB"/>
        </w:rPr>
        <w:t>Denckla</w:t>
      </w:r>
      <w:r w:rsidRPr="4B13576D" w:rsidR="36E6435B">
        <w:rPr>
          <w:rFonts w:ascii="Arial" w:hAnsi="Arial" w:eastAsia="Arial" w:cs="Arial"/>
          <w:noProof w:val="0"/>
          <w:sz w:val="22"/>
          <w:szCs w:val="22"/>
          <w:lang w:val="en-GB"/>
        </w:rPr>
        <w:t xml:space="preserve">, 2017). Consequently, many women experience prolonged periods of undiagnosed ADHD and may receive treatment for secondary conditions such as anxiety or depression rather than the underlying disorder (Rucklidge, 2008; Attoe and Climie, 2023; Krebs and Donnellan-Fernandez, 2025). This research is particularly relevant within the United Kingdom, where demand for adult ADHD assessments has increased substantially. NHS services face significant pressures, including long waiting times, regional inconsistencies, and limited access to specialist care (NHS England, 2025; Independent Review into Mental Health Conditions, </w:t>
      </w:r>
      <w:r w:rsidRPr="4B13576D" w:rsidR="36E6435B">
        <w:rPr>
          <w:rFonts w:ascii="Arial" w:hAnsi="Arial" w:eastAsia="Arial" w:cs="Arial"/>
          <w:noProof w:val="0"/>
          <w:sz w:val="22"/>
          <w:szCs w:val="22"/>
          <w:lang w:val="en-GB"/>
        </w:rPr>
        <w:t>ADHD</w:t>
      </w:r>
      <w:r w:rsidRPr="4B13576D" w:rsidR="36E6435B">
        <w:rPr>
          <w:rFonts w:ascii="Arial" w:hAnsi="Arial" w:eastAsia="Arial" w:cs="Arial"/>
          <w:noProof w:val="0"/>
          <w:sz w:val="22"/>
          <w:szCs w:val="22"/>
          <w:lang w:val="en-GB"/>
        </w:rPr>
        <w:t xml:space="preserve"> and Autism, 2026; Department of Health and Social Care, 2025). These challenges can delay diagnosis and access to support, particularly for women whose symptoms may already have been overlooked due to gender bias in diagnostic frameworks (Strudwick, 2025). Although existing literature acknowledges gender differences in ADHD, limited research explores the lived experiences of women diagnosed later in life. There is also insufficient evaluation of how effectively UK health and social care services respond to their needs. This dissertation addresses these gaps by examining the experiences of women diagnosed with ADHD after the age of 30 and evaluating current UK service provision (Baig and Kahya, 2025; Wills and Chakraborty, 2026).</w:t>
      </w:r>
    </w:p>
    <w:p w:rsidR="2435D186" w:rsidP="072C3F49" w:rsidRDefault="2435D186" w14:paraId="52F77F2B" w14:textId="6C7997E4">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bookmarkStart w:name="_Toc742566104" w:id="1134490913"/>
      <w:r w:rsidRPr="4B13576D" w:rsidR="2435D186">
        <w:rPr>
          <w:rFonts w:ascii="Arial" w:hAnsi="Arial" w:eastAsia="Arial" w:cs="Arial"/>
          <w:b w:val="1"/>
          <w:bCs w:val="1"/>
          <w:noProof w:val="0"/>
          <w:color w:val="000000" w:themeColor="text1" w:themeTint="FF" w:themeShade="FF"/>
          <w:sz w:val="22"/>
          <w:szCs w:val="22"/>
          <w:lang w:val="en-GB"/>
        </w:rPr>
        <w:t>1.4 Research Aim and Objectives</w:t>
      </w:r>
      <w:bookmarkEnd w:id="1134490913"/>
    </w:p>
    <w:p w:rsidR="2435D186" w:rsidP="072C3F49" w:rsidRDefault="2435D186" w14:paraId="207F010C" w14:textId="0D50BF96">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2435D186">
        <w:rPr>
          <w:rFonts w:ascii="Arial" w:hAnsi="Arial" w:eastAsia="Arial" w:cs="Arial"/>
          <w:noProof w:val="0"/>
          <w:color w:val="000000" w:themeColor="text1" w:themeTint="FF" w:themeShade="FF"/>
          <w:sz w:val="22"/>
          <w:szCs w:val="22"/>
          <w:lang w:val="en-GB"/>
        </w:rPr>
        <w:t>The overall aim of this dissertation is to critically explore the experiences of women in the United Kingdom who were diagnosed with Attention Deficit Hyperactivity Disorder (ADHD) after the age of 30. The study examines the factors contributing to delayed diagnosis, the psychological and social impact of receiving a diagnosis later in adulthood, and the effectiveness of UK health and social care services in supporting women throughout the diagnostic process and beyond. By synthesising current literature, this research seeks to increase understanding of the unique challenges experienced by women with late-diagnosed ADHD and identify opportunities to improve awareness, policy, and professional practice.</w:t>
      </w:r>
    </w:p>
    <w:p w:rsidR="2435D186" w:rsidP="072C3F49" w:rsidRDefault="2435D186" w14:paraId="7627C86B" w14:textId="36208608">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2435D186">
        <w:rPr>
          <w:rFonts w:ascii="Arial" w:hAnsi="Arial" w:eastAsia="Arial" w:cs="Arial"/>
          <w:noProof w:val="0"/>
          <w:color w:val="000000" w:themeColor="text1" w:themeTint="FF" w:themeShade="FF"/>
          <w:sz w:val="22"/>
          <w:szCs w:val="22"/>
          <w:lang w:val="en-GB"/>
        </w:rPr>
        <w:t>To achieve this aim, the following research objectives were established:</w:t>
      </w:r>
    </w:p>
    <w:p w:rsidR="2435D186" w:rsidP="072C3F49" w:rsidRDefault="2435D186" w14:paraId="750B6E1E" w14:textId="17F838F3">
      <w:pPr>
        <w:pStyle w:val="ListParagraph"/>
        <w:numPr>
          <w:ilvl w:val="0"/>
          <w:numId w:val="122"/>
        </w:num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B13576D" w:rsidR="2435D186">
        <w:rPr>
          <w:rFonts w:ascii="Arial" w:hAnsi="Arial" w:eastAsia="Arial" w:cs="Arial"/>
          <w:b w:val="1"/>
          <w:bCs w:val="1"/>
          <w:noProof w:val="0"/>
          <w:color w:val="000000" w:themeColor="text1" w:themeTint="FF" w:themeShade="FF"/>
          <w:sz w:val="22"/>
          <w:szCs w:val="22"/>
          <w:lang w:val="en-GB"/>
        </w:rPr>
        <w:t>To critically examine the factors contributing to the delayed diagnosis of ADHD in women over the age of 30 within the United Kingdom.</w:t>
      </w:r>
      <w:r w:rsidRPr="4B13576D" w:rsidR="2435D186">
        <w:rPr>
          <w:rFonts w:ascii="Arial" w:hAnsi="Arial" w:eastAsia="Arial" w:cs="Arial"/>
          <w:noProof w:val="0"/>
          <w:color w:val="000000" w:themeColor="text1" w:themeTint="FF" w:themeShade="FF"/>
          <w:sz w:val="22"/>
          <w:szCs w:val="22"/>
          <w:lang w:val="en-GB"/>
        </w:rPr>
        <w:t xml:space="preserve"> </w:t>
      </w:r>
    </w:p>
    <w:p w:rsidR="2435D186" w:rsidP="072C3F49" w:rsidRDefault="2435D186" w14:paraId="0B3B3673" w14:textId="6D93DCAB">
      <w:pPr>
        <w:pStyle w:val="ListParagraph"/>
        <w:numPr>
          <w:ilvl w:val="0"/>
          <w:numId w:val="122"/>
        </w:num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B13576D" w:rsidR="2435D186">
        <w:rPr>
          <w:rFonts w:ascii="Arial" w:hAnsi="Arial" w:eastAsia="Arial" w:cs="Arial"/>
          <w:b w:val="1"/>
          <w:bCs w:val="1"/>
          <w:noProof w:val="0"/>
          <w:color w:val="000000" w:themeColor="text1" w:themeTint="FF" w:themeShade="FF"/>
          <w:sz w:val="22"/>
          <w:szCs w:val="22"/>
          <w:lang w:val="en-GB"/>
        </w:rPr>
        <w:t>To explore the psychological, social, educational, employment, and interpersonal impacts of receiving an ADHD diagnosis later in adulthood.</w:t>
      </w:r>
      <w:r w:rsidRPr="4B13576D" w:rsidR="2435D186">
        <w:rPr>
          <w:rFonts w:ascii="Arial" w:hAnsi="Arial" w:eastAsia="Arial" w:cs="Arial"/>
          <w:noProof w:val="0"/>
          <w:color w:val="000000" w:themeColor="text1" w:themeTint="FF" w:themeShade="FF"/>
          <w:sz w:val="22"/>
          <w:szCs w:val="22"/>
          <w:lang w:val="en-GB"/>
        </w:rPr>
        <w:t xml:space="preserve"> </w:t>
      </w:r>
    </w:p>
    <w:p w:rsidR="2435D186" w:rsidP="072C3F49" w:rsidRDefault="2435D186" w14:paraId="2A163D0D" w14:textId="02A4BE58">
      <w:pPr>
        <w:pStyle w:val="ListParagraph"/>
        <w:numPr>
          <w:ilvl w:val="0"/>
          <w:numId w:val="122"/>
        </w:num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B13576D" w:rsidR="2435D186">
        <w:rPr>
          <w:rFonts w:ascii="Arial" w:hAnsi="Arial" w:eastAsia="Arial" w:cs="Arial"/>
          <w:b w:val="1"/>
          <w:bCs w:val="1"/>
          <w:noProof w:val="0"/>
          <w:color w:val="000000" w:themeColor="text1" w:themeTint="FF" w:themeShade="FF"/>
          <w:sz w:val="22"/>
          <w:szCs w:val="22"/>
          <w:lang w:val="en-GB"/>
        </w:rPr>
        <w:t>To critically evaluate the effectiveness of current UK health and social care services in recognising, diagnosing, and supporting women with ADHD.</w:t>
      </w:r>
      <w:r w:rsidRPr="4B13576D" w:rsidR="2435D186">
        <w:rPr>
          <w:rFonts w:ascii="Arial" w:hAnsi="Arial" w:eastAsia="Arial" w:cs="Arial"/>
          <w:noProof w:val="0"/>
          <w:color w:val="000000" w:themeColor="text1" w:themeTint="FF" w:themeShade="FF"/>
          <w:sz w:val="22"/>
          <w:szCs w:val="22"/>
          <w:lang w:val="en-GB"/>
        </w:rPr>
        <w:t xml:space="preserve"> </w:t>
      </w:r>
    </w:p>
    <w:p w:rsidR="2435D186" w:rsidP="072C3F49" w:rsidRDefault="2435D186" w14:paraId="5CAE6FC7" w14:textId="47B1A5A3">
      <w:pPr>
        <w:pStyle w:val="ListParagraph"/>
        <w:numPr>
          <w:ilvl w:val="0"/>
          <w:numId w:val="122"/>
        </w:numPr>
        <w:spacing w:before="0" w:beforeAutospacing="off" w:after="0" w:afterAutospacing="off" w:line="360" w:lineRule="auto"/>
        <w:rPr>
          <w:rFonts w:ascii="Arial" w:hAnsi="Arial" w:eastAsia="Arial" w:cs="Arial"/>
          <w:noProof w:val="0"/>
          <w:color w:val="000000" w:themeColor="text1" w:themeTint="FF" w:themeShade="FF"/>
          <w:sz w:val="22"/>
          <w:szCs w:val="22"/>
          <w:lang w:val="en-GB"/>
        </w:rPr>
      </w:pPr>
      <w:r w:rsidRPr="4B13576D" w:rsidR="2435D186">
        <w:rPr>
          <w:rFonts w:ascii="Arial" w:hAnsi="Arial" w:eastAsia="Arial" w:cs="Arial"/>
          <w:b w:val="1"/>
          <w:bCs w:val="1"/>
          <w:noProof w:val="0"/>
          <w:color w:val="000000" w:themeColor="text1" w:themeTint="FF" w:themeShade="FF"/>
          <w:sz w:val="22"/>
          <w:szCs w:val="22"/>
          <w:lang w:val="en-GB"/>
        </w:rPr>
        <w:t>To identify recommendations for improving awareness, early identification, professional education, and service provision for women diagnosed with ADHD later in life.</w:t>
      </w:r>
      <w:r w:rsidRPr="4B13576D" w:rsidR="2435D186">
        <w:rPr>
          <w:rFonts w:ascii="Arial" w:hAnsi="Arial" w:eastAsia="Arial" w:cs="Arial"/>
          <w:noProof w:val="0"/>
          <w:color w:val="000000" w:themeColor="text1" w:themeTint="FF" w:themeShade="FF"/>
          <w:sz w:val="22"/>
          <w:szCs w:val="22"/>
          <w:lang w:val="en-GB"/>
        </w:rPr>
        <w:t xml:space="preserve"> </w:t>
      </w:r>
    </w:p>
    <w:p w:rsidR="2435D186" w:rsidP="072C3F49" w:rsidRDefault="2435D186" w14:paraId="68C286AB" w14:textId="5C0723F6">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2435D186">
        <w:rPr>
          <w:rFonts w:ascii="Arial" w:hAnsi="Arial" w:eastAsia="Arial" w:cs="Arial"/>
          <w:noProof w:val="0"/>
          <w:color w:val="000000" w:themeColor="text1" w:themeTint="FF" w:themeShade="FF"/>
          <w:sz w:val="22"/>
          <w:szCs w:val="22"/>
          <w:lang w:val="en-GB"/>
        </w:rPr>
        <w:t>These objectives provide a structured framework for the dissertation and guide the literature review, thematic analysis, findings, and recommendations presented in the following chapters.</w:t>
      </w:r>
    </w:p>
    <w:p w:rsidR="072C3F49" w:rsidP="072C3F49" w:rsidRDefault="072C3F49" w14:paraId="30FC66D6" w14:textId="5C159A51">
      <w:pPr>
        <w:pStyle w:val="Normal"/>
        <w:spacing w:line="360" w:lineRule="auto"/>
        <w:rPr>
          <w:rFonts w:ascii="Arial" w:hAnsi="Arial" w:eastAsia="Arial" w:cs="Arial"/>
          <w:noProof w:val="0"/>
          <w:sz w:val="22"/>
          <w:szCs w:val="22"/>
          <w:lang w:val="en-GB"/>
        </w:rPr>
      </w:pPr>
    </w:p>
    <w:p w:rsidR="00730C3C" w:rsidP="51A6AB2E" w:rsidRDefault="00730C3C" w14:paraId="230B952C" w14:textId="79C64543">
      <w:pPr>
        <w:pStyle w:val="Heading2"/>
        <w:spacing w:before="299" w:beforeAutospacing="off" w:after="299" w:afterAutospacing="off" w:line="360" w:lineRule="auto"/>
        <w:ind/>
        <w:rPr>
          <w:rFonts w:ascii="Arial" w:hAnsi="Arial" w:eastAsia="Arial" w:cs="Arial"/>
          <w:b w:val="1"/>
          <w:bCs w:val="1"/>
          <w:noProof w:val="0"/>
          <w:color w:val="000000" w:themeColor="text1" w:themeTint="FF" w:themeShade="FF"/>
          <w:sz w:val="22"/>
          <w:szCs w:val="22"/>
          <w:lang w:val="en-GB"/>
        </w:rPr>
      </w:pPr>
      <w:bookmarkStart w:name="_Toc49705360" w:id="1418432949"/>
      <w:r w:rsidRPr="4B13576D" w:rsidR="1D7B0A8A">
        <w:rPr>
          <w:rFonts w:ascii="Arial" w:hAnsi="Arial" w:eastAsia="Arial" w:cs="Arial"/>
          <w:b w:val="1"/>
          <w:bCs w:val="1"/>
          <w:noProof w:val="0"/>
          <w:color w:val="000000" w:themeColor="text1" w:themeTint="FF" w:themeShade="FF"/>
          <w:sz w:val="22"/>
          <w:szCs w:val="22"/>
          <w:lang w:val="en-GB"/>
        </w:rPr>
        <w:t>1.5 Conclusion</w:t>
      </w:r>
      <w:bookmarkEnd w:id="1418432949"/>
      <w:r w:rsidRPr="4B13576D" w:rsidR="1D7B0A8A">
        <w:rPr>
          <w:rFonts w:ascii="Arial" w:hAnsi="Arial" w:eastAsia="Arial" w:cs="Arial"/>
          <w:b w:val="1"/>
          <w:bCs w:val="1"/>
          <w:noProof w:val="0"/>
          <w:color w:val="000000" w:themeColor="text1" w:themeTint="FF" w:themeShade="FF"/>
          <w:sz w:val="22"/>
          <w:szCs w:val="22"/>
          <w:lang w:val="en-GB"/>
        </w:rPr>
        <w:t xml:space="preserve"> </w:t>
      </w:r>
    </w:p>
    <w:p w:rsidR="00730C3C" w:rsidP="51A6AB2E" w:rsidRDefault="00730C3C" w14:paraId="45BEAD0E" w14:textId="58066A68">
      <w:pPr>
        <w:spacing w:before="240" w:beforeAutospacing="off" w:after="240" w:afterAutospacing="off" w:line="360" w:lineRule="auto"/>
        <w:ind/>
        <w:rPr>
          <w:rFonts w:ascii="Arial" w:hAnsi="Arial" w:eastAsia="Arial" w:cs="Arial"/>
          <w:noProof w:val="0"/>
          <w:sz w:val="22"/>
          <w:szCs w:val="22"/>
          <w:lang w:val="en-GB"/>
        </w:rPr>
      </w:pPr>
      <w:r w:rsidRPr="4B13576D" w:rsidR="0FC627F0">
        <w:rPr>
          <w:rFonts w:ascii="Arial" w:hAnsi="Arial" w:eastAsia="Arial" w:cs="Arial"/>
          <w:noProof w:val="0"/>
          <w:sz w:val="22"/>
          <w:szCs w:val="22"/>
          <w:lang w:val="en-GB"/>
        </w:rPr>
        <w:t xml:space="preserve">This chapter has introduced the central focus of the dissertation, outlining the growing recognition of ADHD in adult women and the challenges associated with delayed diagnosis. It has defined key concepts and terminology to </w:t>
      </w:r>
      <w:r w:rsidRPr="4B13576D" w:rsidR="0FC627F0">
        <w:rPr>
          <w:rFonts w:ascii="Arial" w:hAnsi="Arial" w:eastAsia="Arial" w:cs="Arial"/>
          <w:noProof w:val="0"/>
          <w:sz w:val="22"/>
          <w:szCs w:val="22"/>
          <w:lang w:val="en-GB"/>
        </w:rPr>
        <w:t>establish</w:t>
      </w:r>
      <w:r w:rsidRPr="4B13576D" w:rsidR="0FC627F0">
        <w:rPr>
          <w:rFonts w:ascii="Arial" w:hAnsi="Arial" w:eastAsia="Arial" w:cs="Arial"/>
          <w:noProof w:val="0"/>
          <w:sz w:val="22"/>
          <w:szCs w:val="22"/>
          <w:lang w:val="en-GB"/>
        </w:rPr>
        <w:t xml:space="preserve"> clarity and presented a clear rationale for the research by </w:t>
      </w:r>
      <w:r w:rsidRPr="4B13576D" w:rsidR="0FC627F0">
        <w:rPr>
          <w:rFonts w:ascii="Arial" w:hAnsi="Arial" w:eastAsia="Arial" w:cs="Arial"/>
          <w:noProof w:val="0"/>
          <w:sz w:val="22"/>
          <w:szCs w:val="22"/>
          <w:lang w:val="en-GB"/>
        </w:rPr>
        <w:t>identifying</w:t>
      </w:r>
      <w:r w:rsidRPr="4B13576D" w:rsidR="0FC627F0">
        <w:rPr>
          <w:rFonts w:ascii="Arial" w:hAnsi="Arial" w:eastAsia="Arial" w:cs="Arial"/>
          <w:noProof w:val="0"/>
          <w:sz w:val="22"/>
          <w:szCs w:val="22"/>
          <w:lang w:val="en-GB"/>
        </w:rPr>
        <w:t xml:space="preserve"> gaps in both academic literature and UK service provision.</w:t>
      </w:r>
    </w:p>
    <w:p w:rsidR="00730C3C" w:rsidP="51A6AB2E" w:rsidRDefault="00730C3C" w14:paraId="5649F99D" w14:textId="05802888">
      <w:pPr>
        <w:pStyle w:val="Normal"/>
        <w:spacing w:before="240" w:beforeAutospacing="off" w:after="240" w:afterAutospacing="off" w:line="360" w:lineRule="auto"/>
        <w:ind/>
        <w:rPr>
          <w:rFonts w:ascii="Arial" w:hAnsi="Arial" w:eastAsia="Arial" w:cs="Arial"/>
          <w:b w:val="0"/>
          <w:bCs w:val="0"/>
          <w:noProof w:val="0"/>
          <w:sz w:val="22"/>
          <w:szCs w:val="22"/>
          <w:lang w:val="en-GB"/>
        </w:rPr>
      </w:pPr>
      <w:r w:rsidRPr="4B13576D" w:rsidR="0FC627F0">
        <w:rPr>
          <w:rFonts w:ascii="Arial" w:hAnsi="Arial" w:eastAsia="Arial" w:cs="Arial"/>
          <w:noProof w:val="0"/>
          <w:sz w:val="22"/>
          <w:szCs w:val="22"/>
          <w:lang w:val="en-GB"/>
        </w:rPr>
        <w:t xml:space="preserve">The discussion highlights the significance of addressing gender disparities in ADHD diagnosis and the limitations of current diagnostic frameworks and healthcare systems. These limitations contribute to the under-recognition of ADHD in women, emphasising the need for more inclusive and gender-sensitive approaches to identification and support </w:t>
      </w:r>
      <w:r w:rsidRPr="4B13576D" w:rsidR="08A7C46A">
        <w:rPr>
          <w:rFonts w:ascii="Arial" w:hAnsi="Arial" w:eastAsia="Arial" w:cs="Arial"/>
          <w:noProof w:val="0"/>
          <w:sz w:val="22"/>
          <w:szCs w:val="22"/>
          <w:lang w:val="en-GB"/>
        </w:rPr>
        <w:t>(Krebs and Donnellan-Fernandez, 2025b</w:t>
      </w:r>
      <w:r w:rsidRPr="4B13576D" w:rsidR="3BD7DDAE">
        <w:rPr>
          <w:rFonts w:ascii="Arial" w:hAnsi="Arial" w:eastAsia="Arial" w:cs="Arial"/>
          <w:noProof w:val="0"/>
          <w:sz w:val="22"/>
          <w:szCs w:val="22"/>
          <w:lang w:val="en-GB"/>
        </w:rPr>
        <w:t>;</w:t>
      </w:r>
      <w:r w:rsidRPr="4B13576D" w:rsidR="3BD7DDAE">
        <w:rPr>
          <w:rFonts w:ascii="Arial" w:hAnsi="Arial" w:eastAsia="Arial" w:cs="Arial"/>
          <w:b w:val="1"/>
          <w:bCs w:val="1"/>
          <w:noProof w:val="0"/>
          <w:sz w:val="22"/>
          <w:szCs w:val="22"/>
          <w:lang w:val="en-GB"/>
        </w:rPr>
        <w:t xml:space="preserve"> </w:t>
      </w:r>
      <w:r w:rsidRPr="4B13576D" w:rsidR="3BD7DDAE">
        <w:rPr>
          <w:rFonts w:ascii="Arial" w:hAnsi="Arial" w:eastAsia="Arial" w:cs="Arial"/>
          <w:b w:val="0"/>
          <w:bCs w:val="0"/>
          <w:noProof w:val="0"/>
          <w:sz w:val="22"/>
          <w:szCs w:val="22"/>
          <w:lang w:val="en-GB"/>
        </w:rPr>
        <w:t xml:space="preserve">Young </w:t>
      </w:r>
      <w:r w:rsidRPr="4B13576D" w:rsidR="3BD7DDAE">
        <w:rPr>
          <w:rFonts w:ascii="Arial" w:hAnsi="Arial" w:eastAsia="Arial" w:cs="Arial"/>
          <w:b w:val="0"/>
          <w:bCs w:val="0"/>
          <w:i w:val="1"/>
          <w:iCs w:val="1"/>
          <w:noProof w:val="0"/>
          <w:sz w:val="22"/>
          <w:szCs w:val="22"/>
          <w:lang w:val="en-GB"/>
        </w:rPr>
        <w:t>et al.</w:t>
      </w:r>
      <w:r w:rsidRPr="4B13576D" w:rsidR="3BD7DDAE">
        <w:rPr>
          <w:rFonts w:ascii="Arial" w:hAnsi="Arial" w:eastAsia="Arial" w:cs="Arial"/>
          <w:b w:val="0"/>
          <w:bCs w:val="0"/>
          <w:noProof w:val="0"/>
          <w:sz w:val="22"/>
          <w:szCs w:val="22"/>
          <w:lang w:val="en-GB"/>
        </w:rPr>
        <w:t>, 2021).</w:t>
      </w:r>
    </w:p>
    <w:p w:rsidR="00730C3C" w:rsidP="51A6AB2E" w:rsidRDefault="00730C3C" w14:paraId="41F84272" w14:textId="64E82232">
      <w:pPr>
        <w:spacing w:before="240" w:beforeAutospacing="off" w:after="240" w:afterAutospacing="off" w:line="360" w:lineRule="auto"/>
        <w:ind/>
        <w:rPr>
          <w:rFonts w:ascii="Arial" w:hAnsi="Arial" w:eastAsia="Arial" w:cs="Arial"/>
          <w:noProof w:val="0"/>
          <w:sz w:val="22"/>
          <w:szCs w:val="22"/>
          <w:lang w:val="en-GB"/>
        </w:rPr>
      </w:pPr>
      <w:r w:rsidRPr="4B13576D" w:rsidR="0FC627F0">
        <w:rPr>
          <w:rFonts w:ascii="Arial" w:hAnsi="Arial" w:eastAsia="Arial" w:cs="Arial"/>
          <w:noProof w:val="0"/>
          <w:sz w:val="22"/>
          <w:szCs w:val="22"/>
          <w:lang w:val="en-GB"/>
        </w:rPr>
        <w:t>Overall, this chapter provides a foundation for the study by situating the research within a broader context. The following chapter will critically review existing literature, examining key perspectives on ADHD in women to inform the analysis presented in later chapters.</w:t>
      </w:r>
    </w:p>
    <w:p w:rsidR="00804B94" w:rsidP="4B13576D" w:rsidRDefault="00804B94" w14:paraId="1E1A58B1" w14:textId="1874A1E0">
      <w:pPr>
        <w:spacing w:line="360" w:lineRule="auto"/>
        <w:rPr>
          <w:rFonts w:ascii="Arial" w:hAnsi="Arial" w:eastAsia="Arial" w:cs="Arial"/>
          <w:sz w:val="22"/>
          <w:szCs w:val="22"/>
        </w:rPr>
      </w:pPr>
    </w:p>
    <w:p w:rsidR="0148ACA6" w:rsidP="4B13576D" w:rsidRDefault="0148ACA6" w14:paraId="425EE8B2" w14:textId="36F15145">
      <w:pPr>
        <w:pStyle w:val="Heading1"/>
        <w:spacing w:before="322" w:beforeAutospacing="off" w:after="322" w:afterAutospacing="off" w:line="360" w:lineRule="auto"/>
        <w:ind w:left="0"/>
        <w:rPr>
          <w:rFonts w:ascii="Arial" w:hAnsi="Arial" w:eastAsia="Arial" w:cs="Arial"/>
          <w:b w:val="1"/>
          <w:bCs w:val="1"/>
          <w:noProof w:val="0"/>
          <w:color w:val="000000" w:themeColor="text1" w:themeTint="FF" w:themeShade="FF"/>
          <w:sz w:val="22"/>
          <w:szCs w:val="22"/>
          <w:lang w:val="en-GB"/>
        </w:rPr>
      </w:pPr>
      <w:bookmarkStart w:name="_Toc2041329554" w:id="1044964855"/>
      <w:r w:rsidRPr="4B13576D" w:rsidR="52D11602">
        <w:rPr>
          <w:rFonts w:ascii="Arial" w:hAnsi="Arial" w:eastAsia="Arial" w:cs="Arial"/>
          <w:b w:val="1"/>
          <w:bCs w:val="1"/>
          <w:noProof w:val="0"/>
          <w:color w:val="000000" w:themeColor="text1" w:themeTint="FF" w:themeShade="FF"/>
          <w:sz w:val="22"/>
          <w:szCs w:val="22"/>
          <w:lang w:val="en-GB"/>
        </w:rPr>
        <w:t>CHAPTER 2:</w:t>
      </w:r>
      <w:bookmarkEnd w:id="1044964855"/>
    </w:p>
    <w:p w:rsidR="0148ACA6" w:rsidP="4B13576D" w:rsidRDefault="0148ACA6" w14:paraId="3E00DBC4" w14:textId="3CEB196A">
      <w:pPr>
        <w:pStyle w:val="Heading1"/>
        <w:spacing w:before="322" w:beforeAutospacing="off" w:after="322" w:afterAutospacing="off" w:line="360" w:lineRule="auto"/>
        <w:ind w:left="0"/>
        <w:rPr>
          <w:rFonts w:ascii="Arial" w:hAnsi="Arial" w:eastAsia="Arial" w:cs="Arial"/>
          <w:b w:val="1"/>
          <w:bCs w:val="1"/>
          <w:noProof w:val="0"/>
          <w:color w:val="000000" w:themeColor="text1" w:themeTint="FF" w:themeShade="FF"/>
          <w:sz w:val="22"/>
          <w:szCs w:val="22"/>
          <w:lang w:val="en-GB"/>
        </w:rPr>
      </w:pPr>
    </w:p>
    <w:p w:rsidR="0148ACA6" w:rsidP="4B13576D" w:rsidRDefault="0148ACA6" w14:paraId="72ECA93C" w14:textId="77968234">
      <w:pPr>
        <w:pStyle w:val="Heading1"/>
        <w:spacing w:before="322" w:beforeAutospacing="off" w:after="322" w:afterAutospacing="off" w:line="360" w:lineRule="auto"/>
        <w:ind w:left="0"/>
        <w:rPr>
          <w:rFonts w:ascii="Arial" w:hAnsi="Arial" w:eastAsia="Arial" w:cs="Arial"/>
          <w:b w:val="1"/>
          <w:bCs w:val="1"/>
          <w:noProof w:val="0"/>
          <w:color w:val="000000" w:themeColor="text1" w:themeTint="FF" w:themeShade="FF"/>
          <w:sz w:val="22"/>
          <w:szCs w:val="22"/>
          <w:lang w:val="en-GB"/>
        </w:rPr>
      </w:pPr>
      <w:bookmarkStart w:name="_Toc1835908004" w:id="736342940"/>
      <w:r w:rsidRPr="4B13576D" w:rsidR="52D11602">
        <w:rPr>
          <w:rFonts w:ascii="Arial" w:hAnsi="Arial" w:eastAsia="Arial" w:cs="Arial"/>
          <w:b w:val="1"/>
          <w:bCs w:val="1"/>
          <w:noProof w:val="0"/>
          <w:color w:val="000000" w:themeColor="text1" w:themeTint="FF" w:themeShade="FF"/>
          <w:sz w:val="22"/>
          <w:szCs w:val="22"/>
          <w:lang w:val="en-GB"/>
        </w:rPr>
        <w:t>BACKGROUND INFORMATION AND ANALYSIS</w:t>
      </w:r>
      <w:bookmarkEnd w:id="736342940"/>
      <w:r w:rsidRPr="4B13576D" w:rsidR="6F2934EB">
        <w:rPr>
          <w:rFonts w:ascii="Arial" w:hAnsi="Arial" w:eastAsia="Arial" w:cs="Arial"/>
          <w:b w:val="1"/>
          <w:bCs w:val="1"/>
          <w:noProof w:val="0"/>
          <w:color w:val="000000" w:themeColor="text1" w:themeTint="FF" w:themeShade="FF"/>
          <w:sz w:val="22"/>
          <w:szCs w:val="22"/>
          <w:lang w:val="en-GB"/>
        </w:rPr>
        <w:t xml:space="preserve"> </w:t>
      </w:r>
    </w:p>
    <w:p w:rsidR="0148ACA6" w:rsidP="4B13576D" w:rsidRDefault="0148ACA6" w14:paraId="3A5CCE42" w14:textId="3E2B71C1">
      <w:pPr>
        <w:pStyle w:val="Heading1"/>
        <w:spacing w:before="322" w:beforeAutospacing="off" w:after="322" w:afterAutospacing="off" w:line="360" w:lineRule="auto"/>
        <w:ind w:left="0"/>
        <w:rPr>
          <w:rFonts w:ascii="Arial" w:hAnsi="Arial" w:eastAsia="Arial" w:cs="Arial"/>
          <w:b w:val="1"/>
          <w:bCs w:val="1"/>
          <w:noProof w:val="0"/>
          <w:color w:val="000000" w:themeColor="text1" w:themeTint="FF" w:themeShade="FF"/>
          <w:sz w:val="22"/>
          <w:szCs w:val="22"/>
          <w:lang w:val="en-GB"/>
        </w:rPr>
      </w:pPr>
    </w:p>
    <w:p w:rsidR="0148ACA6" w:rsidP="4B13576D" w:rsidRDefault="0148ACA6" w14:paraId="6D7F68A5" w14:textId="602E911C">
      <w:pPr>
        <w:pStyle w:val="Heading1"/>
        <w:spacing w:before="322" w:beforeAutospacing="off" w:after="322" w:afterAutospacing="off" w:line="360" w:lineRule="auto"/>
        <w:ind w:left="0"/>
        <w:rPr>
          <w:rFonts w:ascii="Arial" w:hAnsi="Arial" w:eastAsia="Arial" w:cs="Arial"/>
          <w:b w:val="1"/>
          <w:bCs w:val="1"/>
          <w:noProof w:val="0"/>
          <w:color w:val="000000" w:themeColor="text1" w:themeTint="FF" w:themeShade="FF"/>
          <w:sz w:val="22"/>
          <w:szCs w:val="22"/>
          <w:lang w:val="en-GB"/>
        </w:rPr>
      </w:pPr>
    </w:p>
    <w:p w:rsidR="0148ACA6" w:rsidP="072C3F49" w:rsidRDefault="0148ACA6" w14:paraId="22F60F88" w14:textId="5DBB5F93">
      <w:pPr>
        <w:pStyle w:val="Heading1"/>
        <w:spacing w:before="322" w:beforeAutospacing="off" w:after="322" w:afterAutospacing="off" w:line="360" w:lineRule="auto"/>
        <w:ind w:left="0"/>
        <w:rPr>
          <w:rFonts w:ascii="Arial" w:hAnsi="Arial" w:eastAsia="Arial" w:cs="Arial"/>
          <w:b w:val="1"/>
          <w:bCs w:val="1"/>
          <w:noProof w:val="0"/>
          <w:color w:val="000000" w:themeColor="text1" w:themeTint="FF" w:themeShade="FF"/>
          <w:sz w:val="22"/>
          <w:szCs w:val="22"/>
          <w:lang w:val="en-GB"/>
        </w:rPr>
      </w:pPr>
      <w:bookmarkStart w:name="_Toc342681300" w:id="981101514"/>
      <w:r w:rsidRPr="4B13576D" w:rsidR="508A3033">
        <w:rPr>
          <w:rFonts w:ascii="Arial" w:hAnsi="Arial" w:eastAsia="Arial" w:cs="Arial"/>
          <w:b w:val="1"/>
          <w:bCs w:val="1"/>
          <w:noProof w:val="0"/>
          <w:color w:val="000000" w:themeColor="text1" w:themeTint="FF" w:themeShade="FF"/>
          <w:sz w:val="22"/>
          <w:szCs w:val="22"/>
          <w:lang w:val="en-GB"/>
        </w:rPr>
        <w:t>2.1 Introduction</w:t>
      </w:r>
      <w:bookmarkEnd w:id="981101514"/>
    </w:p>
    <w:p w:rsidR="0148ACA6" w:rsidP="4B13576D" w:rsidRDefault="0148ACA6" w14:paraId="53393C93" w14:textId="015773E9">
      <w:pPr>
        <w:pStyle w:val="Normal"/>
        <w:spacing w:line="360" w:lineRule="auto"/>
        <w:rPr>
          <w:rFonts w:ascii="Arial" w:hAnsi="Arial" w:eastAsia="Arial" w:cs="Arial"/>
          <w:b w:val="0"/>
          <w:bCs w:val="0"/>
          <w:noProof w:val="0"/>
          <w:color w:val="000000" w:themeColor="text1" w:themeTint="FF" w:themeShade="FF"/>
          <w:sz w:val="22"/>
          <w:szCs w:val="22"/>
          <w:lang w:val="en-GB"/>
        </w:rPr>
      </w:pPr>
      <w:r w:rsidRPr="4B13576D" w:rsidR="508A3033">
        <w:rPr>
          <w:rFonts w:ascii="Arial" w:hAnsi="Arial" w:eastAsia="Arial" w:cs="Arial"/>
          <w:noProof w:val="0"/>
          <w:sz w:val="22"/>
          <w:szCs w:val="22"/>
          <w:lang w:val="en-GB"/>
        </w:rPr>
        <w:t xml:space="preserve">This chapter provides the contextual foundation for the study by critically examining the historical, theoretical, international, and UK-specific background of </w:t>
      </w:r>
      <w:r w:rsidRPr="4B13576D" w:rsidR="508A3033">
        <w:rPr>
          <w:rFonts w:ascii="Arial" w:hAnsi="Arial" w:eastAsia="Arial" w:cs="Arial"/>
          <w:noProof w:val="0"/>
          <w:sz w:val="22"/>
          <w:szCs w:val="22"/>
          <w:lang w:val="en-GB"/>
        </w:rPr>
        <w:t>Attention Deficit Hyperactivity Disorder</w:t>
      </w:r>
      <w:r w:rsidRPr="4B13576D" w:rsidR="508A3033">
        <w:rPr>
          <w:rFonts w:ascii="Arial" w:hAnsi="Arial" w:eastAsia="Arial" w:cs="Arial"/>
          <w:noProof w:val="0"/>
          <w:sz w:val="22"/>
          <w:szCs w:val="22"/>
          <w:lang w:val="en-GB"/>
        </w:rPr>
        <w:t xml:space="preserve"> (ADHD), with particular emphasis on gender differences and adult diagnosis. Its purpose is not only to outline existing knowledge but also to evaluate how evolving conceptualisations of ADHD have contributed to ongoing challenges in recognising the condition in women across the lifespan (Platania </w:t>
      </w:r>
      <w:r w:rsidRPr="4B13576D" w:rsidR="508A3033">
        <w:rPr>
          <w:rFonts w:ascii="Arial" w:hAnsi="Arial" w:eastAsia="Arial" w:cs="Arial"/>
          <w:noProof w:val="0"/>
          <w:sz w:val="22"/>
          <w:szCs w:val="22"/>
          <w:lang w:val="en-GB"/>
        </w:rPr>
        <w:t>et al</w:t>
      </w:r>
      <w:r w:rsidRPr="4B13576D" w:rsidR="508A3033">
        <w:rPr>
          <w:rFonts w:ascii="Arial" w:hAnsi="Arial" w:eastAsia="Arial" w:cs="Arial"/>
          <w:noProof w:val="0"/>
          <w:sz w:val="22"/>
          <w:szCs w:val="22"/>
          <w:lang w:val="en-GB"/>
        </w:rPr>
        <w:t>., 2025).</w:t>
      </w:r>
    </w:p>
    <w:p w:rsidR="0148ACA6" w:rsidP="4B13576D" w:rsidRDefault="0148ACA6" w14:paraId="57422919" w14:textId="331A3CE4">
      <w:pPr>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r w:rsidRPr="4B13576D" w:rsidR="4FCA9102">
        <w:rPr>
          <w:rFonts w:ascii="Arial" w:hAnsi="Arial" w:eastAsia="Arial" w:cs="Arial"/>
          <w:noProof w:val="0"/>
          <w:color w:val="000000" w:themeColor="text1" w:themeTint="FF" w:themeShade="FF"/>
          <w:sz w:val="22"/>
          <w:szCs w:val="22"/>
          <w:lang w:val="en-GB"/>
        </w:rPr>
        <w:t xml:space="preserve">Historically, ADHD research has been shaped by male-centred diagnostic models, which continue to influence clinical practice. This chapter therefore explores how these early frameworks have contributed to systemic under-recognition in women. It further evaluates key theoretical perspectives, including neurobiological, cognitive, developmental, and sociocultural approaches, highlighting both their contributions and limitations. The chapter also considers international differences in recognition and service provision before critically analysing the UK context. Collectively, this discussion establishes a framework for understanding why delayed diagnosis remains a significant issue for women with ADHD (Lange </w:t>
      </w:r>
      <w:r w:rsidRPr="4B13576D" w:rsidR="4FCA9102">
        <w:rPr>
          <w:rFonts w:ascii="Arial" w:hAnsi="Arial" w:eastAsia="Arial" w:cs="Arial"/>
          <w:i w:val="1"/>
          <w:iCs w:val="1"/>
          <w:noProof w:val="0"/>
          <w:color w:val="000000" w:themeColor="text1" w:themeTint="FF" w:themeShade="FF"/>
          <w:sz w:val="22"/>
          <w:szCs w:val="22"/>
          <w:lang w:val="en-GB"/>
        </w:rPr>
        <w:t>et al.,</w:t>
      </w:r>
      <w:r w:rsidRPr="4B13576D" w:rsidR="4FCA9102">
        <w:rPr>
          <w:rFonts w:ascii="Arial" w:hAnsi="Arial" w:eastAsia="Arial" w:cs="Arial"/>
          <w:noProof w:val="0"/>
          <w:color w:val="000000" w:themeColor="text1" w:themeTint="FF" w:themeShade="FF"/>
          <w:sz w:val="22"/>
          <w:szCs w:val="22"/>
          <w:lang w:val="en-GB"/>
        </w:rPr>
        <w:t xml:space="preserve"> 2010).</w:t>
      </w:r>
      <w:r w:rsidRPr="4B13576D" w:rsidR="4FCA9102">
        <w:rPr>
          <w:rFonts w:ascii="Arial" w:hAnsi="Arial" w:eastAsia="Arial" w:cs="Arial"/>
          <w:b w:val="1"/>
          <w:bCs w:val="1"/>
          <w:noProof w:val="0"/>
          <w:color w:val="000000" w:themeColor="text1" w:themeTint="FF" w:themeShade="FF"/>
          <w:sz w:val="22"/>
          <w:szCs w:val="22"/>
          <w:lang w:val="en-GB"/>
        </w:rPr>
        <w:t xml:space="preserve"> </w:t>
      </w:r>
    </w:p>
    <w:p w:rsidR="42BF2452" w:rsidP="51A6AB2E" w:rsidRDefault="42BF2452" w14:paraId="3B298C35" w14:textId="08809A33">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bookmarkStart w:name="_Toc426239143" w:id="136863176"/>
      <w:r w:rsidRPr="4B13576D" w:rsidR="1DB57D09">
        <w:rPr>
          <w:rFonts w:ascii="Arial" w:hAnsi="Arial" w:eastAsia="Arial" w:cs="Arial"/>
          <w:b w:val="1"/>
          <w:bCs w:val="1"/>
          <w:noProof w:val="0"/>
          <w:color w:val="000000" w:themeColor="text1" w:themeTint="FF" w:themeShade="FF"/>
          <w:sz w:val="22"/>
          <w:szCs w:val="22"/>
          <w:lang w:val="en-GB"/>
        </w:rPr>
        <w:t>2.2 Historical Background</w:t>
      </w:r>
      <w:bookmarkEnd w:id="136863176"/>
    </w:p>
    <w:p w:rsidR="42BF2452" w:rsidP="28856244" w:rsidRDefault="42BF2452" w14:paraId="71DB065B" w14:textId="0A85481F">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7A528D4D">
        <w:rPr>
          <w:rFonts w:ascii="Arial" w:hAnsi="Arial" w:eastAsia="Arial" w:cs="Arial"/>
          <w:noProof w:val="0"/>
          <w:color w:val="000000" w:themeColor="text1" w:themeTint="FF" w:themeShade="FF"/>
          <w:sz w:val="22"/>
          <w:szCs w:val="22"/>
          <w:lang w:val="en-GB"/>
        </w:rPr>
        <w:t>The conceptualisation of Attention Deficit Hyperactivity Disorder (ADHD) has evolved significantly over the past century, reflecting shifts in medical, psychological, and social understanding. Early descriptions of behaviours now associated with ADHD were often framed in moral or disciplinary terms, with individuals perceived as lacking self-control rather than experiencing neurodevelopmental differences. This perspective not only limited clinical understanding but also contributed to stigma, reinforcing negative perceptions of individuals who struggled with attention and behavioural regulation. Such interpretations highlight how early conceptualisations were shaped more by societal expectations than by scientific evidence.</w:t>
      </w:r>
    </w:p>
    <w:p w:rsidR="42BF2452" w:rsidP="28856244" w:rsidRDefault="42BF2452" w14:paraId="2151BE24" w14:textId="45C22087">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7A528D4D">
        <w:rPr>
          <w:rFonts w:ascii="Arial" w:hAnsi="Arial" w:eastAsia="Arial" w:cs="Arial"/>
          <w:noProof w:val="0"/>
          <w:color w:val="000000" w:themeColor="text1" w:themeTint="FF" w:themeShade="FF"/>
          <w:sz w:val="22"/>
          <w:szCs w:val="22"/>
          <w:lang w:val="en-GB"/>
        </w:rPr>
        <w:t>George Still’s (1902) early work is widely recognised as foundational in identifying patterns of impulsivity, inattention, and behavioural dysregulation. However, his interpretations remained rooted in moral frameworks, emphasising deficits in character rather than neurological explanations. While Still’s work marked an important step toward recognising consistent behavioural patterns, it also illustrates the limitations of early approaches that failed to consider biological or developmental factors. The transition towards biological explanations during the mid-twentieth century marked a significant shift, with ADHD increasingly understood as a neurological condition often described as “minimal brain dysfunction.” This development represented progress in medicalising the condition; however, research during this period remained heavily focused on boys displaying hyperactive and disruptive behaviours. As a result, early scientific knowledge was shaped by a narrow population sample, reinforcing a gender-biased understanding of ADHD.</w:t>
      </w:r>
    </w:p>
    <w:p w:rsidR="42BF2452" w:rsidP="28856244" w:rsidRDefault="42BF2452" w14:paraId="02DF3A5F" w14:textId="482311A6">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7A528D4D">
        <w:rPr>
          <w:rFonts w:ascii="Arial" w:hAnsi="Arial" w:eastAsia="Arial" w:cs="Arial"/>
          <w:noProof w:val="0"/>
          <w:color w:val="000000" w:themeColor="text1" w:themeTint="FF" w:themeShade="FF"/>
          <w:sz w:val="22"/>
          <w:szCs w:val="22"/>
          <w:lang w:val="en-GB"/>
        </w:rPr>
        <w:t>The introduction of Attention Deficit Disorder (ADD) in the DSM-III, later revised into ADHD, represented a critical milestone by formally recognising inattentive symptoms (American Psychiatric Association, 2013). This broadened diagnostic criteria and acknowledged that ADHD extends beyond overt hyperactivity. However, these frameworks were still largely informed by male-dominated research samples, meaning that diagnostic criteria continued to prioritise externalised behaviours. Consequently, more subtle and internalised presentations, commonly observed in females, remained underrepresented within clinical definitions.</w:t>
      </w:r>
    </w:p>
    <w:p w:rsidR="42BF2452" w:rsidP="28856244" w:rsidRDefault="42BF2452" w14:paraId="206C39FD" w14:textId="170D841F">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7A528D4D">
        <w:rPr>
          <w:rFonts w:ascii="Arial" w:hAnsi="Arial" w:eastAsia="Arial" w:cs="Arial"/>
          <w:noProof w:val="0"/>
          <w:color w:val="000000" w:themeColor="text1" w:themeTint="FF" w:themeShade="FF"/>
          <w:sz w:val="22"/>
          <w:szCs w:val="22"/>
          <w:lang w:val="en-GB"/>
        </w:rPr>
        <w:t xml:space="preserve">Historically, boys have been diagnosed with ADHD at significantly higher rates than girls, largely due to the visibility of hyperactive behaviours in structured environments such as schools (Mowlem </w:t>
      </w:r>
      <w:r w:rsidRPr="4B13576D" w:rsidR="7A528D4D">
        <w:rPr>
          <w:rFonts w:ascii="Arial" w:hAnsi="Arial" w:eastAsia="Arial" w:cs="Arial"/>
          <w:i w:val="1"/>
          <w:iCs w:val="1"/>
          <w:noProof w:val="0"/>
          <w:color w:val="000000" w:themeColor="text1" w:themeTint="FF" w:themeShade="FF"/>
          <w:sz w:val="22"/>
          <w:szCs w:val="22"/>
          <w:lang w:val="en-GB"/>
        </w:rPr>
        <w:t>et al</w:t>
      </w:r>
      <w:r w:rsidRPr="4B13576D" w:rsidR="7A528D4D">
        <w:rPr>
          <w:rFonts w:ascii="Arial" w:hAnsi="Arial" w:eastAsia="Arial" w:cs="Arial"/>
          <w:noProof w:val="0"/>
          <w:color w:val="000000" w:themeColor="text1" w:themeTint="FF" w:themeShade="FF"/>
          <w:sz w:val="22"/>
          <w:szCs w:val="22"/>
          <w:lang w:val="en-GB"/>
        </w:rPr>
        <w:t xml:space="preserve">., 2018; Klefsjö </w:t>
      </w:r>
      <w:r w:rsidRPr="4B13576D" w:rsidR="7A528D4D">
        <w:rPr>
          <w:rFonts w:ascii="Arial" w:hAnsi="Arial" w:eastAsia="Arial" w:cs="Arial"/>
          <w:i w:val="1"/>
          <w:iCs w:val="1"/>
          <w:noProof w:val="0"/>
          <w:color w:val="000000" w:themeColor="text1" w:themeTint="FF" w:themeShade="FF"/>
          <w:sz w:val="22"/>
          <w:szCs w:val="22"/>
          <w:lang w:val="en-GB"/>
        </w:rPr>
        <w:t>et al</w:t>
      </w:r>
      <w:r w:rsidRPr="4B13576D" w:rsidR="7A528D4D">
        <w:rPr>
          <w:rFonts w:ascii="Arial" w:hAnsi="Arial" w:eastAsia="Arial" w:cs="Arial"/>
          <w:noProof w:val="0"/>
          <w:color w:val="000000" w:themeColor="text1" w:themeTint="FF" w:themeShade="FF"/>
          <w:sz w:val="22"/>
          <w:szCs w:val="22"/>
          <w:lang w:val="en-GB"/>
        </w:rPr>
        <w:t>., 2021). In contrast, girls are more likely to present with inattentional symptoms such as disorganisation, forgetfulness, and reduced concentration, which are less disruptive and therefore less likely to be recognised by educators and clinicians (Nussbaum, 2012). This discrepancy highlights a critical limitation in diagnostic practices, as it reflects not only differences in symptom presentation but also biases in how behaviours are interpreted and prioritised.</w:t>
      </w:r>
    </w:p>
    <w:p w:rsidR="42BF2452" w:rsidP="28856244" w:rsidRDefault="42BF2452" w14:paraId="4DA4523E" w14:textId="1AA8C70D">
      <w:pPr>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4B13576D" w:rsidR="7A528D4D">
        <w:rPr>
          <w:rFonts w:ascii="Arial" w:hAnsi="Arial" w:eastAsia="Arial" w:cs="Arial"/>
          <w:noProof w:val="0"/>
          <w:color w:val="000000" w:themeColor="text1" w:themeTint="FF" w:themeShade="FF"/>
          <w:sz w:val="22"/>
          <w:szCs w:val="22"/>
          <w:lang w:val="en-GB"/>
        </w:rPr>
        <w:t xml:space="preserve">Importantly, this historical bias continues to influence contemporary diagnosis. Although diagnostic frameworks have evolved, they </w:t>
      </w:r>
      <w:r w:rsidRPr="4B13576D" w:rsidR="7A528D4D">
        <w:rPr>
          <w:rFonts w:ascii="Arial" w:hAnsi="Arial" w:eastAsia="Arial" w:cs="Arial"/>
          <w:noProof w:val="0"/>
          <w:color w:val="000000" w:themeColor="text1" w:themeTint="FF" w:themeShade="FF"/>
          <w:sz w:val="22"/>
          <w:szCs w:val="22"/>
          <w:lang w:val="en-GB"/>
        </w:rPr>
        <w:t>remain</w:t>
      </w:r>
      <w:r w:rsidRPr="4B13576D" w:rsidR="7A528D4D">
        <w:rPr>
          <w:rFonts w:ascii="Arial" w:hAnsi="Arial" w:eastAsia="Arial" w:cs="Arial"/>
          <w:noProof w:val="0"/>
          <w:color w:val="000000" w:themeColor="text1" w:themeTint="FF" w:themeShade="FF"/>
          <w:sz w:val="22"/>
          <w:szCs w:val="22"/>
          <w:lang w:val="en-GB"/>
        </w:rPr>
        <w:t xml:space="preserve"> rooted in earlier assumptions that prioritise externalised symptoms. This suggests that current practices may still inadequately reflect female presentations of ADHD, contributing to ongoing underdiagnosis and delayed recognition. Overall, the historical development of ADHD </w:t>
      </w:r>
      <w:r w:rsidRPr="4B13576D" w:rsidR="7A528D4D">
        <w:rPr>
          <w:rFonts w:ascii="Arial" w:hAnsi="Arial" w:eastAsia="Arial" w:cs="Arial"/>
          <w:noProof w:val="0"/>
          <w:color w:val="000000" w:themeColor="text1" w:themeTint="FF" w:themeShade="FF"/>
          <w:sz w:val="22"/>
          <w:szCs w:val="22"/>
          <w:lang w:val="en-GB"/>
        </w:rPr>
        <w:t>demonstrates</w:t>
      </w:r>
      <w:r w:rsidRPr="4B13576D" w:rsidR="7A528D4D">
        <w:rPr>
          <w:rFonts w:ascii="Arial" w:hAnsi="Arial" w:eastAsia="Arial" w:cs="Arial"/>
          <w:noProof w:val="0"/>
          <w:color w:val="000000" w:themeColor="text1" w:themeTint="FF" w:themeShade="FF"/>
          <w:sz w:val="22"/>
          <w:szCs w:val="22"/>
          <w:lang w:val="en-GB"/>
        </w:rPr>
        <w:t xml:space="preserve"> both significant progress and persistent limitations, particularly in relation to gender inclusivity within diagnostic models.</w:t>
      </w:r>
      <w:r w:rsidRPr="4B13576D" w:rsidR="33E4783C">
        <w:rPr>
          <w:rFonts w:ascii="Arial" w:hAnsi="Arial" w:eastAsia="Arial" w:cs="Arial"/>
          <w:b w:val="1"/>
          <w:bCs w:val="1"/>
          <w:noProof w:val="0"/>
          <w:color w:val="000000" w:themeColor="text1" w:themeTint="FF" w:themeShade="FF"/>
          <w:sz w:val="22"/>
          <w:szCs w:val="22"/>
          <w:lang w:val="en-GB"/>
        </w:rPr>
        <w:t xml:space="preserve"> </w:t>
      </w:r>
    </w:p>
    <w:p w:rsidR="640B87EC" w:rsidP="28856244" w:rsidRDefault="640B87EC" w14:paraId="6602D421" w14:textId="27287E7A">
      <w:pPr>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r w:rsidRPr="4B13576D" w:rsidR="33E4783C">
        <w:rPr>
          <w:rFonts w:ascii="Arial" w:hAnsi="Arial" w:eastAsia="Arial" w:cs="Arial"/>
          <w:b w:val="1"/>
          <w:bCs w:val="1"/>
          <w:noProof w:val="0"/>
          <w:color w:val="000000" w:themeColor="text1" w:themeTint="FF" w:themeShade="FF"/>
          <w:sz w:val="22"/>
          <w:szCs w:val="22"/>
          <w:lang w:val="en-GB"/>
        </w:rPr>
        <w:t xml:space="preserve"> </w:t>
      </w:r>
      <w:r w:rsidRPr="4B13576D" w:rsidR="49DD8B4C">
        <w:rPr>
          <w:rFonts w:ascii="Arial" w:hAnsi="Arial" w:eastAsia="Arial" w:cs="Arial"/>
          <w:b w:val="1"/>
          <w:bCs w:val="1"/>
          <w:noProof w:val="0"/>
          <w:color w:val="000000" w:themeColor="text1" w:themeTint="FF" w:themeShade="FF"/>
          <w:sz w:val="22"/>
          <w:szCs w:val="22"/>
          <w:lang w:val="en-GB"/>
        </w:rPr>
        <w:t xml:space="preserve">2.3 Theoretical Background </w:t>
      </w:r>
    </w:p>
    <w:p w:rsidR="2E24AF27" w:rsidP="28856244" w:rsidRDefault="2E24AF27" w14:paraId="4127C7C8" w14:textId="66961AD5">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7C223F4D">
        <w:rPr>
          <w:rFonts w:ascii="Arial" w:hAnsi="Arial" w:eastAsia="Arial" w:cs="Arial"/>
          <w:noProof w:val="0"/>
          <w:color w:val="000000" w:themeColor="text1" w:themeTint="FF" w:themeShade="FF"/>
          <w:sz w:val="22"/>
          <w:szCs w:val="22"/>
          <w:lang w:val="en-GB"/>
        </w:rPr>
        <w:t>Understanding Attention Deficit Hyperactivity Disorder (ADHD) requires engagement with multiple theoretical perspectives, each offering distinct insights into its causes, presentation, and diagnosis</w:t>
      </w:r>
      <w:r w:rsidRPr="4B13576D" w:rsidR="406276AF">
        <w:rPr>
          <w:rFonts w:ascii="Arial" w:hAnsi="Arial" w:eastAsia="Arial" w:cs="Arial"/>
          <w:noProof w:val="0"/>
          <w:color w:val="000000" w:themeColor="text1" w:themeTint="FF" w:themeShade="FF"/>
          <w:sz w:val="22"/>
          <w:szCs w:val="22"/>
          <w:lang w:val="en-GB"/>
        </w:rPr>
        <w:t xml:space="preserve"> </w:t>
      </w:r>
      <w:r w:rsidRPr="4B13576D" w:rsidR="406276AF">
        <w:rPr>
          <w:rFonts w:ascii="Arial" w:hAnsi="Arial" w:eastAsia="Arial" w:cs="Arial"/>
          <w:noProof w:val="0"/>
          <w:color w:val="000000" w:themeColor="text1" w:themeTint="FF" w:themeShade="FF"/>
          <w:sz w:val="22"/>
          <w:szCs w:val="22"/>
          <w:lang w:val="en-GB"/>
        </w:rPr>
        <w:t>(Wilens and Spencer, 2010).</w:t>
      </w:r>
      <w:r w:rsidRPr="4B13576D" w:rsidR="7C223F4D">
        <w:rPr>
          <w:rFonts w:ascii="Arial" w:hAnsi="Arial" w:eastAsia="Arial" w:cs="Arial"/>
          <w:noProof w:val="0"/>
          <w:color w:val="000000" w:themeColor="text1" w:themeTint="FF" w:themeShade="FF"/>
          <w:sz w:val="22"/>
          <w:szCs w:val="22"/>
          <w:lang w:val="en-GB"/>
        </w:rPr>
        <w:t xml:space="preserve"> </w:t>
      </w:r>
      <w:r w:rsidRPr="4B13576D" w:rsidR="7C223F4D">
        <w:rPr>
          <w:rFonts w:ascii="Arial" w:hAnsi="Arial" w:eastAsia="Arial" w:cs="Arial"/>
          <w:noProof w:val="0"/>
          <w:color w:val="000000" w:themeColor="text1" w:themeTint="FF" w:themeShade="FF"/>
          <w:sz w:val="22"/>
          <w:szCs w:val="22"/>
          <w:lang w:val="en-GB"/>
        </w:rPr>
        <w:t>However, no single framework provides a complete explanation, highlighting the need for a more integrated and multidimensional approach. This is particularly important when examining ADHD in women, as traditional models have often failed to account for gender differences in symptom expression and recognition</w:t>
      </w:r>
      <w:r w:rsidRPr="4B13576D" w:rsidR="26030197">
        <w:rPr>
          <w:rFonts w:ascii="Arial" w:hAnsi="Arial" w:eastAsia="Arial" w:cs="Arial"/>
          <w:noProof w:val="0"/>
          <w:color w:val="000000" w:themeColor="text1" w:themeTint="FF" w:themeShade="FF"/>
          <w:sz w:val="22"/>
          <w:szCs w:val="22"/>
          <w:lang w:val="en-GB"/>
        </w:rPr>
        <w:t xml:space="preserve"> </w:t>
      </w:r>
      <w:r w:rsidRPr="4B13576D" w:rsidR="26030197">
        <w:rPr>
          <w:rFonts w:ascii="Arial" w:hAnsi="Arial" w:eastAsia="Arial" w:cs="Arial"/>
          <w:noProof w:val="0"/>
          <w:color w:val="000000" w:themeColor="text1" w:themeTint="FF" w:themeShade="FF"/>
          <w:sz w:val="22"/>
          <w:szCs w:val="22"/>
          <w:lang w:val="en-GB"/>
        </w:rPr>
        <w:t xml:space="preserve">(Young </w:t>
      </w:r>
      <w:r w:rsidRPr="4B13576D" w:rsidR="26030197">
        <w:rPr>
          <w:rFonts w:ascii="Arial" w:hAnsi="Arial" w:eastAsia="Arial" w:cs="Arial"/>
          <w:i w:val="1"/>
          <w:iCs w:val="1"/>
          <w:noProof w:val="0"/>
          <w:color w:val="000000" w:themeColor="text1" w:themeTint="FF" w:themeShade="FF"/>
          <w:sz w:val="22"/>
          <w:szCs w:val="22"/>
          <w:lang w:val="en-GB"/>
        </w:rPr>
        <w:t>et al.</w:t>
      </w:r>
      <w:r w:rsidRPr="4B13576D" w:rsidR="26030197">
        <w:rPr>
          <w:rFonts w:ascii="Arial" w:hAnsi="Arial" w:eastAsia="Arial" w:cs="Arial"/>
          <w:noProof w:val="0"/>
          <w:color w:val="000000" w:themeColor="text1" w:themeTint="FF" w:themeShade="FF"/>
          <w:sz w:val="22"/>
          <w:szCs w:val="22"/>
          <w:lang w:val="en-GB"/>
        </w:rPr>
        <w:t>, 2020).</w:t>
      </w:r>
    </w:p>
    <w:p w:rsidR="2E24AF27" w:rsidP="28856244" w:rsidRDefault="2E24AF27" w14:paraId="41A4D326" w14:textId="2A2522D7">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7C223F4D">
        <w:rPr>
          <w:rFonts w:ascii="Arial" w:hAnsi="Arial" w:eastAsia="Arial" w:cs="Arial"/>
          <w:noProof w:val="0"/>
          <w:color w:val="000000" w:themeColor="text1" w:themeTint="FF" w:themeShade="FF"/>
          <w:sz w:val="22"/>
          <w:szCs w:val="22"/>
          <w:lang w:val="en-GB"/>
        </w:rPr>
        <w:t>Neurobiological perspectives conceptualise ADHD as a neurodevelopmental disorder linked to differences in brain structure and function, particularly within the prefrontal cortex and dopamine systems (American Psychiatric Association, 2013). These models provide a strong scientific foundation and underpin widely used diagnostic frameworks, offering measurable and clinically observable explanations of the condition. However, they have been criticised for relying heavily on male-based research samples, which limits their generalisability to female populations. Furthermore, their focus on biological mechanisms may oversimplify ADHD by overlooking environmental and social influences</w:t>
      </w:r>
      <w:r w:rsidRPr="4B13576D" w:rsidR="7E055D32">
        <w:rPr>
          <w:rFonts w:ascii="Arial" w:hAnsi="Arial" w:eastAsia="Arial" w:cs="Arial"/>
          <w:noProof w:val="0"/>
          <w:color w:val="000000" w:themeColor="text1" w:themeTint="FF" w:themeShade="FF"/>
          <w:sz w:val="22"/>
          <w:szCs w:val="22"/>
          <w:lang w:val="en-GB"/>
        </w:rPr>
        <w:t xml:space="preserve"> </w:t>
      </w:r>
      <w:r w:rsidRPr="4B13576D" w:rsidR="7E055D32">
        <w:rPr>
          <w:rFonts w:ascii="Arial" w:hAnsi="Arial" w:eastAsia="Arial" w:cs="Arial"/>
          <w:noProof w:val="0"/>
          <w:color w:val="000000" w:themeColor="text1" w:themeTint="FF" w:themeShade="FF"/>
          <w:sz w:val="22"/>
          <w:szCs w:val="22"/>
          <w:lang w:val="en-GB"/>
        </w:rPr>
        <w:t xml:space="preserve">(Froehlich </w:t>
      </w:r>
      <w:r w:rsidRPr="4B13576D" w:rsidR="7E055D32">
        <w:rPr>
          <w:rFonts w:ascii="Arial" w:hAnsi="Arial" w:eastAsia="Arial" w:cs="Arial"/>
          <w:i w:val="1"/>
          <w:iCs w:val="1"/>
          <w:noProof w:val="0"/>
          <w:color w:val="000000" w:themeColor="text1" w:themeTint="FF" w:themeShade="FF"/>
          <w:sz w:val="22"/>
          <w:szCs w:val="22"/>
          <w:lang w:val="en-GB"/>
        </w:rPr>
        <w:t>et al.</w:t>
      </w:r>
      <w:r w:rsidRPr="4B13576D" w:rsidR="7E055D32">
        <w:rPr>
          <w:rFonts w:ascii="Arial" w:hAnsi="Arial" w:eastAsia="Arial" w:cs="Arial"/>
          <w:noProof w:val="0"/>
          <w:color w:val="000000" w:themeColor="text1" w:themeTint="FF" w:themeShade="FF"/>
          <w:sz w:val="22"/>
          <w:szCs w:val="22"/>
          <w:lang w:val="en-GB"/>
        </w:rPr>
        <w:t>, 2011).</w:t>
      </w:r>
      <w:r w:rsidRPr="4B13576D" w:rsidR="7C223F4D">
        <w:rPr>
          <w:rFonts w:ascii="Arial" w:hAnsi="Arial" w:eastAsia="Arial" w:cs="Arial"/>
          <w:noProof w:val="0"/>
          <w:color w:val="000000" w:themeColor="text1" w:themeTint="FF" w:themeShade="FF"/>
          <w:sz w:val="22"/>
          <w:szCs w:val="22"/>
          <w:lang w:val="en-GB"/>
        </w:rPr>
        <w:t xml:space="preserve"> This reductionist approach risks reinforcing a purely medical model of ADHD, potentially neglecting the broader context in which symptoms develop and are experienced (Hartung and </w:t>
      </w:r>
      <w:r w:rsidRPr="4B13576D" w:rsidR="7C223F4D">
        <w:rPr>
          <w:rFonts w:ascii="Arial" w:hAnsi="Arial" w:eastAsia="Arial" w:cs="Arial"/>
          <w:noProof w:val="0"/>
          <w:color w:val="000000" w:themeColor="text1" w:themeTint="FF" w:themeShade="FF"/>
          <w:sz w:val="22"/>
          <w:szCs w:val="22"/>
          <w:lang w:val="en-GB"/>
        </w:rPr>
        <w:t>Widiger</w:t>
      </w:r>
      <w:r w:rsidRPr="4B13576D" w:rsidR="7C223F4D">
        <w:rPr>
          <w:rFonts w:ascii="Arial" w:hAnsi="Arial" w:eastAsia="Arial" w:cs="Arial"/>
          <w:noProof w:val="0"/>
          <w:color w:val="000000" w:themeColor="text1" w:themeTint="FF" w:themeShade="FF"/>
          <w:sz w:val="22"/>
          <w:szCs w:val="22"/>
          <w:lang w:val="en-GB"/>
        </w:rPr>
        <w:t>, 1998).</w:t>
      </w:r>
    </w:p>
    <w:p w:rsidR="2E24AF27" w:rsidP="28856244" w:rsidRDefault="2E24AF27" w14:paraId="06D7838F" w14:textId="590DE9D5">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7C223F4D">
        <w:rPr>
          <w:rFonts w:ascii="Arial" w:hAnsi="Arial" w:eastAsia="Arial" w:cs="Arial"/>
          <w:noProof w:val="0"/>
          <w:color w:val="000000" w:themeColor="text1" w:themeTint="FF" w:themeShade="FF"/>
          <w:sz w:val="22"/>
          <w:szCs w:val="22"/>
          <w:lang w:val="en-GB"/>
        </w:rPr>
        <w:t>Cognitive theories, particularly Barkley’s Executive Function Model, shift the focus toward functional impairments, emphasising difficulties in self-regulation, working memory, attention control, and emotional regulation</w:t>
      </w:r>
      <w:r w:rsidRPr="4B13576D" w:rsidR="3D2C7191">
        <w:rPr>
          <w:rFonts w:ascii="Arial" w:hAnsi="Arial" w:eastAsia="Arial" w:cs="Arial"/>
          <w:noProof w:val="0"/>
          <w:color w:val="000000" w:themeColor="text1" w:themeTint="FF" w:themeShade="FF"/>
          <w:sz w:val="22"/>
          <w:szCs w:val="22"/>
          <w:lang w:val="en-GB"/>
        </w:rPr>
        <w:t xml:space="preserve"> </w:t>
      </w:r>
      <w:r w:rsidRPr="4B13576D" w:rsidR="3D2C7191">
        <w:rPr>
          <w:rFonts w:ascii="Arial" w:hAnsi="Arial" w:eastAsia="Arial" w:cs="Arial"/>
          <w:noProof w:val="0"/>
          <w:color w:val="000000" w:themeColor="text1" w:themeTint="FF" w:themeShade="FF"/>
          <w:sz w:val="22"/>
          <w:szCs w:val="22"/>
          <w:lang w:val="en-GB"/>
        </w:rPr>
        <w:t xml:space="preserve">(Groves </w:t>
      </w:r>
      <w:r w:rsidRPr="4B13576D" w:rsidR="3D2C7191">
        <w:rPr>
          <w:rFonts w:ascii="Arial" w:hAnsi="Arial" w:eastAsia="Arial" w:cs="Arial"/>
          <w:i w:val="1"/>
          <w:iCs w:val="1"/>
          <w:noProof w:val="0"/>
          <w:color w:val="000000" w:themeColor="text1" w:themeTint="FF" w:themeShade="FF"/>
          <w:sz w:val="22"/>
          <w:szCs w:val="22"/>
          <w:lang w:val="en-GB"/>
        </w:rPr>
        <w:t>et al.</w:t>
      </w:r>
      <w:r w:rsidRPr="4B13576D" w:rsidR="3D2C7191">
        <w:rPr>
          <w:rFonts w:ascii="Arial" w:hAnsi="Arial" w:eastAsia="Arial" w:cs="Arial"/>
          <w:noProof w:val="0"/>
          <w:color w:val="000000" w:themeColor="text1" w:themeTint="FF" w:themeShade="FF"/>
          <w:sz w:val="22"/>
          <w:szCs w:val="22"/>
          <w:lang w:val="en-GB"/>
        </w:rPr>
        <w:t xml:space="preserve">, 2021). </w:t>
      </w:r>
      <w:r w:rsidRPr="4B13576D" w:rsidR="7C223F4D">
        <w:rPr>
          <w:rFonts w:ascii="Arial" w:hAnsi="Arial" w:eastAsia="Arial" w:cs="Arial"/>
          <w:noProof w:val="0"/>
          <w:color w:val="000000" w:themeColor="text1" w:themeTint="FF" w:themeShade="FF"/>
          <w:sz w:val="22"/>
          <w:szCs w:val="22"/>
          <w:lang w:val="en-GB"/>
        </w:rPr>
        <w:t xml:space="preserve">These frameworks offer insight into how ADHD affects </w:t>
      </w:r>
      <w:r w:rsidRPr="4B13576D" w:rsidR="7C223F4D">
        <w:rPr>
          <w:rFonts w:ascii="Arial" w:hAnsi="Arial" w:eastAsia="Arial" w:cs="Arial"/>
          <w:noProof w:val="0"/>
          <w:color w:val="000000" w:themeColor="text1" w:themeTint="FF" w:themeShade="FF"/>
          <w:sz w:val="22"/>
          <w:szCs w:val="22"/>
          <w:lang w:val="en-GB"/>
        </w:rPr>
        <w:t>everyday</w:t>
      </w:r>
      <w:r w:rsidRPr="4B13576D" w:rsidR="7C223F4D">
        <w:rPr>
          <w:rFonts w:ascii="Arial" w:hAnsi="Arial" w:eastAsia="Arial" w:cs="Arial"/>
          <w:noProof w:val="0"/>
          <w:color w:val="000000" w:themeColor="text1" w:themeTint="FF" w:themeShade="FF"/>
          <w:sz w:val="22"/>
          <w:szCs w:val="22"/>
          <w:lang w:val="en-GB"/>
        </w:rPr>
        <w:t xml:space="preserve"> functioning, especially in organisation and task management. Research suggests that women are more likely to experience internalised cognitive difficulties, such as chronic disorganisation and emotional sensitivity (Williamson and Johnston, 2015). However, while cognitive models provide a practical understanding of behavioural outcomes, they have been criticised for their deficit-focused perspective. By emphasising impairments, these models may reinforce negative stereotypes and </w:t>
      </w:r>
      <w:r w:rsidRPr="4B13576D" w:rsidR="7C223F4D">
        <w:rPr>
          <w:rFonts w:ascii="Arial" w:hAnsi="Arial" w:eastAsia="Arial" w:cs="Arial"/>
          <w:noProof w:val="0"/>
          <w:color w:val="000000" w:themeColor="text1" w:themeTint="FF" w:themeShade="FF"/>
          <w:sz w:val="22"/>
          <w:szCs w:val="22"/>
          <w:lang w:val="en-GB"/>
        </w:rPr>
        <w:t>fail to</w:t>
      </w:r>
      <w:r w:rsidRPr="4B13576D" w:rsidR="7C223F4D">
        <w:rPr>
          <w:rFonts w:ascii="Arial" w:hAnsi="Arial" w:eastAsia="Arial" w:cs="Arial"/>
          <w:noProof w:val="0"/>
          <w:color w:val="000000" w:themeColor="text1" w:themeTint="FF" w:themeShade="FF"/>
          <w:sz w:val="22"/>
          <w:szCs w:val="22"/>
          <w:lang w:val="en-GB"/>
        </w:rPr>
        <w:t xml:space="preserve"> recognise adaptive strategies developed by individuals</w:t>
      </w:r>
      <w:r w:rsidRPr="4B13576D" w:rsidR="0F7AF12A">
        <w:rPr>
          <w:rFonts w:ascii="Arial" w:hAnsi="Arial" w:eastAsia="Arial" w:cs="Arial"/>
          <w:noProof w:val="0"/>
          <w:color w:val="000000" w:themeColor="text1" w:themeTint="FF" w:themeShade="FF"/>
          <w:sz w:val="22"/>
          <w:szCs w:val="22"/>
          <w:lang w:val="en-GB"/>
        </w:rPr>
        <w:t xml:space="preserve"> </w:t>
      </w:r>
      <w:r w:rsidRPr="4B13576D" w:rsidR="0F7AF12A">
        <w:rPr>
          <w:rFonts w:ascii="Arial" w:hAnsi="Arial" w:eastAsia="Arial" w:cs="Arial"/>
          <w:noProof w:val="0"/>
          <w:color w:val="000000" w:themeColor="text1" w:themeTint="FF" w:themeShade="FF"/>
          <w:sz w:val="22"/>
          <w:szCs w:val="22"/>
          <w:lang w:val="en-GB"/>
        </w:rPr>
        <w:t>(Schmader, Johns and Forbes, 2008).</w:t>
      </w:r>
    </w:p>
    <w:p w:rsidR="2E24AF27" w:rsidP="28856244" w:rsidRDefault="2E24AF27" w14:paraId="64B19E33" w14:textId="3AF524B3">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49DD8B4C">
        <w:rPr>
          <w:rFonts w:ascii="Arial" w:hAnsi="Arial" w:eastAsia="Arial" w:cs="Arial"/>
          <w:noProof w:val="0"/>
          <w:color w:val="000000" w:themeColor="text1" w:themeTint="FF" w:themeShade="FF"/>
          <w:sz w:val="22"/>
          <w:szCs w:val="22"/>
          <w:lang w:val="en-GB"/>
        </w:rPr>
        <w:t xml:space="preserve">Developmental perspectives conceptualise ADHD as a condition that persists across the lifespan, with symptoms evolving over time. During childhood, boys are more likely to display hyperactive behaviours, increasing the likelihood of diagnosis. In contrast, girls often present with inattentive symptoms that may go unnoticed until later life (Mowlem </w:t>
      </w:r>
      <w:r w:rsidRPr="4B13576D" w:rsidR="49DD8B4C">
        <w:rPr>
          <w:rFonts w:ascii="Arial" w:hAnsi="Arial" w:eastAsia="Arial" w:cs="Arial"/>
          <w:i w:val="1"/>
          <w:iCs w:val="1"/>
          <w:noProof w:val="0"/>
          <w:color w:val="000000" w:themeColor="text1" w:themeTint="FF" w:themeShade="FF"/>
          <w:sz w:val="22"/>
          <w:szCs w:val="22"/>
          <w:lang w:val="en-GB"/>
        </w:rPr>
        <w:t>et al.</w:t>
      </w:r>
      <w:r w:rsidRPr="4B13576D" w:rsidR="49DD8B4C">
        <w:rPr>
          <w:rFonts w:ascii="Arial" w:hAnsi="Arial" w:eastAsia="Arial" w:cs="Arial"/>
          <w:noProof w:val="0"/>
          <w:color w:val="000000" w:themeColor="text1" w:themeTint="FF" w:themeShade="FF"/>
          <w:sz w:val="22"/>
          <w:szCs w:val="22"/>
          <w:lang w:val="en-GB"/>
        </w:rPr>
        <w:t>, 2018). As individuals transition into adulthood, increasing life demands—such as employment and caregiving—can exacerbate these difficulties. This often results in delayed diagnosis, particularly among women. Such findings highlight the importance of a lifespan perspective, as late diagnosis can significantly influence identity, self-esteem, and wellbeing (Stenner</w:t>
      </w:r>
      <w:r w:rsidRPr="4B13576D" w:rsidR="49DD8B4C">
        <w:rPr>
          <w:rFonts w:ascii="Arial" w:hAnsi="Arial" w:eastAsia="Arial" w:cs="Arial"/>
          <w:i w:val="1"/>
          <w:iCs w:val="1"/>
          <w:noProof w:val="0"/>
          <w:color w:val="000000" w:themeColor="text1" w:themeTint="FF" w:themeShade="FF"/>
          <w:sz w:val="22"/>
          <w:szCs w:val="22"/>
          <w:lang w:val="en-GB"/>
        </w:rPr>
        <w:t xml:space="preserve"> et al</w:t>
      </w:r>
      <w:r w:rsidRPr="4B13576D" w:rsidR="49DD8B4C">
        <w:rPr>
          <w:rFonts w:ascii="Arial" w:hAnsi="Arial" w:eastAsia="Arial" w:cs="Arial"/>
          <w:noProof w:val="0"/>
          <w:color w:val="000000" w:themeColor="text1" w:themeTint="FF" w:themeShade="FF"/>
          <w:sz w:val="22"/>
          <w:szCs w:val="22"/>
          <w:lang w:val="en-GB"/>
        </w:rPr>
        <w:t>., 2019).</w:t>
      </w:r>
    </w:p>
    <w:p w:rsidR="2E24AF27" w:rsidP="28856244" w:rsidRDefault="2E24AF27" w14:paraId="76800674" w14:textId="58C5DAF6">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49DD8B4C">
        <w:rPr>
          <w:rFonts w:ascii="Arial" w:hAnsi="Arial" w:eastAsia="Arial" w:cs="Arial"/>
          <w:noProof w:val="0"/>
          <w:color w:val="000000" w:themeColor="text1" w:themeTint="FF" w:themeShade="FF"/>
          <w:sz w:val="22"/>
          <w:szCs w:val="22"/>
          <w:lang w:val="en-GB"/>
        </w:rPr>
        <w:t>Sociocultural theories provide a critical lens by examining the influence of gender norms and societal expectations on the recognition of ADHD. Women are often expected to display organisation and emotional control, encouraging the masking of symptoms. Educational and social environments reinforce these expectations, contributing to under-recognition (Lynch and Davison, 2022).</w:t>
      </w:r>
    </w:p>
    <w:p w:rsidR="2E24AF27" w:rsidP="28856244" w:rsidRDefault="2E24AF27" w14:paraId="07358A23" w14:textId="516645BF">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49DD8B4C">
        <w:rPr>
          <w:rFonts w:ascii="Arial" w:hAnsi="Arial" w:eastAsia="Arial" w:cs="Arial"/>
          <w:noProof w:val="0"/>
          <w:color w:val="000000" w:themeColor="text1" w:themeTint="FF" w:themeShade="FF"/>
          <w:sz w:val="22"/>
          <w:szCs w:val="22"/>
          <w:lang w:val="en-GB"/>
        </w:rPr>
        <w:t>While each perspective offers valuable insights, they also present limitations. Neurobiological models may overlook social influences, whereas sociocultural perspectives may underemphasise biological factors. This debate suggests ADHD is shaped by both biological and social processes, requiring an integrated, gender-sensitive approach.</w:t>
      </w:r>
    </w:p>
    <w:p w:rsidR="00292A36" w:rsidP="28856244" w:rsidRDefault="00292A36" w14:paraId="1194D067" w14:textId="0DD1384C">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bookmarkStart w:name="_Toc452574552" w:id="1997542064"/>
      <w:r w:rsidRPr="4B13576D" w:rsidR="6B5C1A5D">
        <w:rPr>
          <w:rFonts w:ascii="Arial" w:hAnsi="Arial" w:eastAsia="Arial" w:cs="Arial"/>
          <w:b w:val="1"/>
          <w:bCs w:val="1"/>
          <w:noProof w:val="0"/>
          <w:color w:val="000000" w:themeColor="text1" w:themeTint="FF" w:themeShade="FF"/>
          <w:sz w:val="22"/>
          <w:szCs w:val="22"/>
          <w:lang w:val="en-GB"/>
        </w:rPr>
        <w:t>2.4 International Context</w:t>
      </w:r>
      <w:bookmarkEnd w:id="1997542064"/>
    </w:p>
    <w:p w:rsidR="00292A36" w:rsidP="28856244" w:rsidRDefault="00292A36" w14:paraId="67FC607D" w14:textId="0088FEBD">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0ADD738D">
        <w:rPr>
          <w:rFonts w:ascii="Arial" w:hAnsi="Arial" w:eastAsia="Arial" w:cs="Arial"/>
          <w:noProof w:val="0"/>
          <w:color w:val="000000" w:themeColor="text1" w:themeTint="FF" w:themeShade="FF"/>
          <w:sz w:val="22"/>
          <w:szCs w:val="22"/>
          <w:lang w:val="en-GB"/>
        </w:rPr>
        <w:t xml:space="preserve">The recognition and management of </w:t>
      </w:r>
      <w:r w:rsidRPr="4B13576D" w:rsidR="0ADD738D">
        <w:rPr>
          <w:rFonts w:ascii="Arial" w:hAnsi="Arial" w:eastAsia="Arial" w:cs="Arial"/>
          <w:noProof w:val="0"/>
          <w:color w:val="000000" w:themeColor="text1" w:themeTint="FF" w:themeShade="FF"/>
          <w:sz w:val="22"/>
          <w:szCs w:val="22"/>
          <w:lang w:val="en-GB"/>
        </w:rPr>
        <w:t>Attention Deficit Hyperactivity Disorder</w:t>
      </w:r>
      <w:r w:rsidRPr="4B13576D" w:rsidR="0ADD738D">
        <w:rPr>
          <w:rFonts w:ascii="Arial" w:hAnsi="Arial" w:eastAsia="Arial" w:cs="Arial"/>
          <w:noProof w:val="0"/>
          <w:color w:val="000000" w:themeColor="text1" w:themeTint="FF" w:themeShade="FF"/>
          <w:sz w:val="22"/>
          <w:szCs w:val="22"/>
          <w:lang w:val="en-GB"/>
        </w:rPr>
        <w:t xml:space="preserve"> (ADHD) in women varies </w:t>
      </w:r>
      <w:r w:rsidRPr="4B13576D" w:rsidR="0ADD738D">
        <w:rPr>
          <w:rFonts w:ascii="Arial" w:hAnsi="Arial" w:eastAsia="Arial" w:cs="Arial"/>
          <w:noProof w:val="0"/>
          <w:color w:val="000000" w:themeColor="text1" w:themeTint="FF" w:themeShade="FF"/>
          <w:sz w:val="22"/>
          <w:szCs w:val="22"/>
          <w:lang w:val="en-GB"/>
        </w:rPr>
        <w:t>considerably across</w:t>
      </w:r>
      <w:r w:rsidRPr="4B13576D" w:rsidR="0ADD738D">
        <w:rPr>
          <w:rFonts w:ascii="Arial" w:hAnsi="Arial" w:eastAsia="Arial" w:cs="Arial"/>
          <w:noProof w:val="0"/>
          <w:color w:val="000000" w:themeColor="text1" w:themeTint="FF" w:themeShade="FF"/>
          <w:sz w:val="22"/>
          <w:szCs w:val="22"/>
          <w:lang w:val="en-GB"/>
        </w:rPr>
        <w:t xml:space="preserve"> the global context, influenced by differences in healthcare systems, cultural attitudes, and levels of awareness</w:t>
      </w:r>
      <w:r w:rsidRPr="4B13576D" w:rsidR="76AED349">
        <w:rPr>
          <w:rFonts w:ascii="Arial" w:hAnsi="Arial" w:eastAsia="Arial" w:cs="Arial"/>
          <w:noProof w:val="0"/>
          <w:color w:val="000000" w:themeColor="text1" w:themeTint="FF" w:themeShade="FF"/>
          <w:sz w:val="22"/>
          <w:szCs w:val="22"/>
          <w:lang w:val="en-GB"/>
        </w:rPr>
        <w:t xml:space="preserve"> </w:t>
      </w:r>
      <w:r w:rsidRPr="4B13576D" w:rsidR="76AED349">
        <w:rPr>
          <w:rFonts w:ascii="Arial" w:hAnsi="Arial" w:eastAsia="Arial" w:cs="Arial"/>
          <w:noProof w:val="0"/>
          <w:color w:val="000000" w:themeColor="text1" w:themeTint="FF" w:themeShade="FF"/>
          <w:sz w:val="22"/>
          <w:szCs w:val="22"/>
          <w:lang w:val="en-GB"/>
        </w:rPr>
        <w:t xml:space="preserve">(Chan, </w:t>
      </w:r>
      <w:r w:rsidRPr="4B13576D" w:rsidR="76AED349">
        <w:rPr>
          <w:rFonts w:ascii="Arial" w:hAnsi="Arial" w:eastAsia="Arial" w:cs="Arial"/>
          <w:noProof w:val="0"/>
          <w:color w:val="000000" w:themeColor="text1" w:themeTint="FF" w:themeShade="FF"/>
          <w:sz w:val="22"/>
          <w:szCs w:val="22"/>
          <w:lang w:val="en-GB"/>
        </w:rPr>
        <w:t>Shum</w:t>
      </w:r>
      <w:r w:rsidRPr="4B13576D" w:rsidR="76AED349">
        <w:rPr>
          <w:rFonts w:ascii="Arial" w:hAnsi="Arial" w:eastAsia="Arial" w:cs="Arial"/>
          <w:noProof w:val="0"/>
          <w:color w:val="000000" w:themeColor="text1" w:themeTint="FF" w:themeShade="FF"/>
          <w:sz w:val="22"/>
          <w:szCs w:val="22"/>
          <w:lang w:val="en-GB"/>
        </w:rPr>
        <w:t xml:space="preserve"> and </w:t>
      </w:r>
      <w:r w:rsidRPr="4B13576D" w:rsidR="76AED349">
        <w:rPr>
          <w:rFonts w:ascii="Arial" w:hAnsi="Arial" w:eastAsia="Arial" w:cs="Arial"/>
          <w:noProof w:val="0"/>
          <w:color w:val="000000" w:themeColor="text1" w:themeTint="FF" w:themeShade="FF"/>
          <w:sz w:val="22"/>
          <w:szCs w:val="22"/>
          <w:lang w:val="en-GB"/>
        </w:rPr>
        <w:t>Sonuga</w:t>
      </w:r>
      <w:r w:rsidRPr="4B13576D" w:rsidR="76AED349">
        <w:rPr>
          <w:rFonts w:ascii="Arial" w:hAnsi="Arial" w:eastAsia="Arial" w:cs="Arial"/>
          <w:noProof w:val="0"/>
          <w:color w:val="000000" w:themeColor="text1" w:themeTint="FF" w:themeShade="FF"/>
          <w:sz w:val="22"/>
          <w:szCs w:val="22"/>
          <w:lang w:val="en-GB"/>
        </w:rPr>
        <w:t>‐Barke, 2022).</w:t>
      </w:r>
      <w:r w:rsidRPr="4B13576D" w:rsidR="76AED349">
        <w:rPr>
          <w:rFonts w:ascii="Arial" w:hAnsi="Arial" w:eastAsia="Arial" w:cs="Arial"/>
          <w:noProof w:val="0"/>
          <w:color w:val="000000" w:themeColor="text1" w:themeTint="FF" w:themeShade="FF"/>
          <w:sz w:val="22"/>
          <w:szCs w:val="22"/>
          <w:lang w:val="en-GB"/>
        </w:rPr>
        <w:t xml:space="preserve"> </w:t>
      </w:r>
      <w:r w:rsidRPr="4B13576D" w:rsidR="0ADD738D">
        <w:rPr>
          <w:rFonts w:ascii="Arial" w:hAnsi="Arial" w:eastAsia="Arial" w:cs="Arial"/>
          <w:noProof w:val="0"/>
          <w:color w:val="000000" w:themeColor="text1" w:themeTint="FF" w:themeShade="FF"/>
          <w:sz w:val="22"/>
          <w:szCs w:val="22"/>
          <w:lang w:val="en-GB"/>
        </w:rPr>
        <w:t xml:space="preserve">Historically, ADHD has been understood as a childhood condition, </w:t>
      </w:r>
      <w:r w:rsidRPr="4B13576D" w:rsidR="0ADD738D">
        <w:rPr>
          <w:rFonts w:ascii="Arial" w:hAnsi="Arial" w:eastAsia="Arial" w:cs="Arial"/>
          <w:noProof w:val="0"/>
          <w:color w:val="000000" w:themeColor="text1" w:themeTint="FF" w:themeShade="FF"/>
          <w:sz w:val="22"/>
          <w:szCs w:val="22"/>
          <w:lang w:val="en-GB"/>
        </w:rPr>
        <w:t>most commonly associated</w:t>
      </w:r>
      <w:r w:rsidRPr="4B13576D" w:rsidR="0ADD738D">
        <w:rPr>
          <w:rFonts w:ascii="Arial" w:hAnsi="Arial" w:eastAsia="Arial" w:cs="Arial"/>
          <w:noProof w:val="0"/>
          <w:color w:val="000000" w:themeColor="text1" w:themeTint="FF" w:themeShade="FF"/>
          <w:sz w:val="22"/>
          <w:szCs w:val="22"/>
          <w:lang w:val="en-GB"/>
        </w:rPr>
        <w:t xml:space="preserve"> with hyperactive boys. However, international research has increasingly recognised ADHD as a lifespan disorder, leading to growing awareness of adult presentations, particularly in women</w:t>
      </w:r>
      <w:r w:rsidRPr="4B13576D" w:rsidR="2C3F8548">
        <w:rPr>
          <w:rFonts w:ascii="Arial" w:hAnsi="Arial" w:eastAsia="Arial" w:cs="Arial"/>
          <w:noProof w:val="0"/>
          <w:color w:val="000000" w:themeColor="text1" w:themeTint="FF" w:themeShade="FF"/>
          <w:sz w:val="22"/>
          <w:szCs w:val="22"/>
          <w:lang w:val="en-GB"/>
        </w:rPr>
        <w:t xml:space="preserve"> </w:t>
      </w:r>
      <w:r w:rsidRPr="4B13576D" w:rsidR="2C3F8548">
        <w:rPr>
          <w:rFonts w:ascii="Arial" w:hAnsi="Arial" w:eastAsia="Arial" w:cs="Arial"/>
          <w:noProof w:val="0"/>
          <w:color w:val="000000" w:themeColor="text1" w:themeTint="FF" w:themeShade="FF"/>
          <w:sz w:val="22"/>
          <w:szCs w:val="22"/>
          <w:lang w:val="en-GB"/>
        </w:rPr>
        <w:t xml:space="preserve">(Williams </w:t>
      </w:r>
      <w:r w:rsidRPr="4B13576D" w:rsidR="2C3F8548">
        <w:rPr>
          <w:rFonts w:ascii="Arial" w:hAnsi="Arial" w:eastAsia="Arial" w:cs="Arial"/>
          <w:i w:val="1"/>
          <w:iCs w:val="1"/>
          <w:noProof w:val="0"/>
          <w:color w:val="000000" w:themeColor="text1" w:themeTint="FF" w:themeShade="FF"/>
          <w:sz w:val="22"/>
          <w:szCs w:val="22"/>
          <w:lang w:val="en-GB"/>
        </w:rPr>
        <w:t>et al.</w:t>
      </w:r>
      <w:r w:rsidRPr="4B13576D" w:rsidR="2C3F8548">
        <w:rPr>
          <w:rFonts w:ascii="Arial" w:hAnsi="Arial" w:eastAsia="Arial" w:cs="Arial"/>
          <w:noProof w:val="0"/>
          <w:color w:val="000000" w:themeColor="text1" w:themeTint="FF" w:themeShade="FF"/>
          <w:sz w:val="22"/>
          <w:szCs w:val="22"/>
          <w:lang w:val="en-GB"/>
        </w:rPr>
        <w:t>, 2023).</w:t>
      </w:r>
    </w:p>
    <w:p w:rsidR="00292A36" w:rsidP="28856244" w:rsidRDefault="00292A36" w14:paraId="6C30B18C" w14:textId="7D99390D">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0ADD738D">
        <w:rPr>
          <w:rFonts w:ascii="Arial" w:hAnsi="Arial" w:eastAsia="Arial" w:cs="Arial"/>
          <w:noProof w:val="0"/>
          <w:color w:val="000000" w:themeColor="text1" w:themeTint="FF" w:themeShade="FF"/>
          <w:sz w:val="22"/>
          <w:szCs w:val="22"/>
          <w:lang w:val="en-GB"/>
        </w:rPr>
        <w:t>In countries such as the United States, ADHD is widely acknowledged across the lifespan, with greater access to both public and private diagnostic services</w:t>
      </w:r>
      <w:r w:rsidRPr="4B13576D" w:rsidR="5FD2D8E9">
        <w:rPr>
          <w:rFonts w:ascii="Arial" w:hAnsi="Arial" w:eastAsia="Arial" w:cs="Arial"/>
          <w:noProof w:val="0"/>
          <w:color w:val="000000" w:themeColor="text1" w:themeTint="FF" w:themeShade="FF"/>
          <w:sz w:val="22"/>
          <w:szCs w:val="22"/>
          <w:lang w:val="en-GB"/>
        </w:rPr>
        <w:t xml:space="preserve"> </w:t>
      </w:r>
      <w:r w:rsidRPr="4B13576D" w:rsidR="5FD2D8E9">
        <w:rPr>
          <w:rFonts w:ascii="Arial" w:hAnsi="Arial" w:eastAsia="Arial" w:cs="Arial"/>
          <w:noProof w:val="0"/>
          <w:color w:val="000000" w:themeColor="text1" w:themeTint="FF" w:themeShade="FF"/>
          <w:sz w:val="22"/>
          <w:szCs w:val="22"/>
          <w:lang w:val="en-GB"/>
        </w:rPr>
        <w:t>(Hamed, Kauer and Stevens, 2015).</w:t>
      </w:r>
      <w:r w:rsidRPr="4B13576D" w:rsidR="0ADD738D">
        <w:rPr>
          <w:rFonts w:ascii="Arial" w:hAnsi="Arial" w:eastAsia="Arial" w:cs="Arial"/>
          <w:noProof w:val="0"/>
          <w:color w:val="000000" w:themeColor="text1" w:themeTint="FF" w:themeShade="FF"/>
          <w:sz w:val="22"/>
          <w:szCs w:val="22"/>
          <w:lang w:val="en-GB"/>
        </w:rPr>
        <w:t xml:space="preserve"> </w:t>
      </w:r>
      <w:r w:rsidRPr="4B13576D" w:rsidR="0ADD738D">
        <w:rPr>
          <w:rFonts w:ascii="Arial" w:hAnsi="Arial" w:eastAsia="Arial" w:cs="Arial"/>
          <w:noProof w:val="0"/>
          <w:color w:val="000000" w:themeColor="text1" w:themeTint="FF" w:themeShade="FF"/>
          <w:sz w:val="22"/>
          <w:szCs w:val="22"/>
          <w:lang w:val="en-GB"/>
        </w:rPr>
        <w:t>Increased research activity and public awareness campaigns have contributed to improved identification of ADHD in women, particularly those diagnosed in adulthood. Similarly, Scandinavian countries, including Sweden and Norway, are often cited as examples of progressive mental health systems. These countries emphasise early identification, long-term support, and a more holistic understanding of mental health, including recognition of gender differences in ADHD presentation.</w:t>
      </w:r>
    </w:p>
    <w:p w:rsidR="00292A36" w:rsidP="28856244" w:rsidRDefault="00292A36" w14:paraId="0E5F2170" w14:textId="580951B9">
      <w:pPr>
        <w:pStyle w:val="Normal"/>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0ADD738D">
        <w:rPr>
          <w:rFonts w:ascii="Arial" w:hAnsi="Arial" w:eastAsia="Arial" w:cs="Arial"/>
          <w:noProof w:val="0"/>
          <w:color w:val="000000" w:themeColor="text1" w:themeTint="FF" w:themeShade="FF"/>
          <w:sz w:val="22"/>
          <w:szCs w:val="22"/>
          <w:lang w:val="en-GB"/>
        </w:rPr>
        <w:t xml:space="preserve">In contrast, other regions </w:t>
      </w:r>
      <w:r w:rsidRPr="4B13576D" w:rsidR="0ADD738D">
        <w:rPr>
          <w:rFonts w:ascii="Arial" w:hAnsi="Arial" w:eastAsia="Arial" w:cs="Arial"/>
          <w:noProof w:val="0"/>
          <w:color w:val="000000" w:themeColor="text1" w:themeTint="FF" w:themeShade="FF"/>
          <w:sz w:val="22"/>
          <w:szCs w:val="22"/>
          <w:lang w:val="en-GB"/>
        </w:rPr>
        <w:t>demonstrate</w:t>
      </w:r>
      <w:r w:rsidRPr="4B13576D" w:rsidR="0ADD738D">
        <w:rPr>
          <w:rFonts w:ascii="Arial" w:hAnsi="Arial" w:eastAsia="Arial" w:cs="Arial"/>
          <w:noProof w:val="0"/>
          <w:color w:val="000000" w:themeColor="text1" w:themeTint="FF" w:themeShade="FF"/>
          <w:sz w:val="22"/>
          <w:szCs w:val="22"/>
          <w:lang w:val="en-GB"/>
        </w:rPr>
        <w:t xml:space="preserve"> more limited recognition of ADHD in adults. In some countries, mental health stigma and restricted access to specialist services can delay or prevent diagnosis altogether</w:t>
      </w:r>
      <w:r w:rsidRPr="4B13576D" w:rsidR="28C9A1CE">
        <w:rPr>
          <w:rFonts w:ascii="Arial" w:hAnsi="Arial" w:eastAsia="Arial" w:cs="Arial"/>
          <w:noProof w:val="0"/>
          <w:color w:val="000000" w:themeColor="text1" w:themeTint="FF" w:themeShade="FF"/>
          <w:sz w:val="22"/>
          <w:szCs w:val="22"/>
          <w:lang w:val="en-GB"/>
        </w:rPr>
        <w:t xml:space="preserve"> </w:t>
      </w:r>
      <w:r w:rsidRPr="4B13576D" w:rsidR="28C9A1CE">
        <w:rPr>
          <w:rFonts w:ascii="Arial" w:hAnsi="Arial" w:eastAsia="Arial" w:cs="Arial"/>
          <w:noProof w:val="0"/>
          <w:color w:val="000000" w:themeColor="text1" w:themeTint="FF" w:themeShade="FF"/>
          <w:sz w:val="22"/>
          <w:szCs w:val="22"/>
          <w:lang w:val="en-GB"/>
        </w:rPr>
        <w:t xml:space="preserve">(Brod </w:t>
      </w:r>
      <w:r w:rsidRPr="4B13576D" w:rsidR="28C9A1CE">
        <w:rPr>
          <w:rFonts w:ascii="Arial" w:hAnsi="Arial" w:eastAsia="Arial" w:cs="Arial"/>
          <w:i w:val="1"/>
          <w:iCs w:val="1"/>
          <w:noProof w:val="0"/>
          <w:color w:val="000000" w:themeColor="text1" w:themeTint="FF" w:themeShade="FF"/>
          <w:sz w:val="22"/>
          <w:szCs w:val="22"/>
          <w:lang w:val="en-GB"/>
        </w:rPr>
        <w:t>et al.</w:t>
      </w:r>
      <w:r w:rsidRPr="4B13576D" w:rsidR="28C9A1CE">
        <w:rPr>
          <w:rFonts w:ascii="Arial" w:hAnsi="Arial" w:eastAsia="Arial" w:cs="Arial"/>
          <w:noProof w:val="0"/>
          <w:color w:val="000000" w:themeColor="text1" w:themeTint="FF" w:themeShade="FF"/>
          <w:sz w:val="22"/>
          <w:szCs w:val="22"/>
          <w:lang w:val="en-GB"/>
        </w:rPr>
        <w:t xml:space="preserve">, 2012). </w:t>
      </w:r>
      <w:r w:rsidRPr="4B13576D" w:rsidR="0ADD738D">
        <w:rPr>
          <w:rFonts w:ascii="Arial" w:hAnsi="Arial" w:eastAsia="Arial" w:cs="Arial"/>
          <w:noProof w:val="0"/>
          <w:color w:val="000000" w:themeColor="text1" w:themeTint="FF" w:themeShade="FF"/>
          <w:sz w:val="22"/>
          <w:szCs w:val="22"/>
          <w:lang w:val="en-GB"/>
        </w:rPr>
        <w:t>Cultural expectations may also influence how symptoms are interpreted, particularly in women, where behaviours may be dismissed as personality traits rather than indicators of a neurodevelopmental condition. This highlights the role of both social and structural factors in shaping ADHD recognition globally</w:t>
      </w:r>
      <w:r w:rsidRPr="4B13576D" w:rsidR="00C2747F">
        <w:rPr>
          <w:rFonts w:ascii="Arial" w:hAnsi="Arial" w:eastAsia="Arial" w:cs="Arial"/>
          <w:noProof w:val="0"/>
          <w:color w:val="000000" w:themeColor="text1" w:themeTint="FF" w:themeShade="FF"/>
          <w:sz w:val="22"/>
          <w:szCs w:val="22"/>
          <w:lang w:val="en-GB"/>
        </w:rPr>
        <w:t xml:space="preserve"> </w:t>
      </w:r>
      <w:r w:rsidRPr="4B13576D" w:rsidR="00C2747F">
        <w:rPr>
          <w:rFonts w:ascii="Arial" w:hAnsi="Arial" w:eastAsia="Arial" w:cs="Arial"/>
          <w:noProof w:val="0"/>
          <w:color w:val="000000" w:themeColor="text1" w:themeTint="FF" w:themeShade="FF"/>
          <w:sz w:val="22"/>
          <w:szCs w:val="22"/>
          <w:lang w:val="en-GB"/>
        </w:rPr>
        <w:t xml:space="preserve">(de Leeuw, </w:t>
      </w:r>
      <w:r w:rsidRPr="4B13576D" w:rsidR="00C2747F">
        <w:rPr>
          <w:rFonts w:ascii="Arial" w:hAnsi="Arial" w:eastAsia="Arial" w:cs="Arial"/>
          <w:noProof w:val="0"/>
          <w:color w:val="000000" w:themeColor="text1" w:themeTint="FF" w:themeShade="FF"/>
          <w:sz w:val="22"/>
          <w:szCs w:val="22"/>
          <w:lang w:val="en-GB"/>
        </w:rPr>
        <w:t>Happé</w:t>
      </w:r>
      <w:r w:rsidRPr="4B13576D" w:rsidR="00C2747F">
        <w:rPr>
          <w:rFonts w:ascii="Arial" w:hAnsi="Arial" w:eastAsia="Arial" w:cs="Arial"/>
          <w:noProof w:val="0"/>
          <w:color w:val="000000" w:themeColor="text1" w:themeTint="FF" w:themeShade="FF"/>
          <w:sz w:val="22"/>
          <w:szCs w:val="22"/>
          <w:lang w:val="en-GB"/>
        </w:rPr>
        <w:t xml:space="preserve"> and Hoekstra, 2020).</w:t>
      </w:r>
    </w:p>
    <w:p w:rsidR="00292A36" w:rsidP="28856244" w:rsidRDefault="00292A36" w14:paraId="469A77AD" w14:textId="73F65F74">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0ADD738D">
        <w:rPr>
          <w:rFonts w:ascii="Arial" w:hAnsi="Arial" w:eastAsia="Arial" w:cs="Arial"/>
          <w:noProof w:val="0"/>
          <w:color w:val="000000" w:themeColor="text1" w:themeTint="FF" w:themeShade="FF"/>
          <w:sz w:val="22"/>
          <w:szCs w:val="22"/>
          <w:lang w:val="en-GB"/>
        </w:rPr>
        <w:t>Comparatively, countries with more developed healthcare systems tend to</w:t>
      </w:r>
      <w:r w:rsidRPr="4B13576D" w:rsidR="0ADD738D">
        <w:rPr>
          <w:rFonts w:ascii="Arial" w:hAnsi="Arial" w:eastAsia="Arial" w:cs="Arial"/>
          <w:noProof w:val="0"/>
          <w:color w:val="000000" w:themeColor="text1" w:themeTint="FF" w:themeShade="FF"/>
          <w:sz w:val="22"/>
          <w:szCs w:val="22"/>
          <w:lang w:val="en-GB"/>
        </w:rPr>
        <w:t xml:space="preserve"> provide earlier diagnosis and more structured support, while those with fewer resources face significant barriers. However, even in more developed systems, gender bias </w:t>
      </w:r>
      <w:r w:rsidRPr="4B13576D" w:rsidR="0ADD738D">
        <w:rPr>
          <w:rFonts w:ascii="Arial" w:hAnsi="Arial" w:eastAsia="Arial" w:cs="Arial"/>
          <w:noProof w:val="0"/>
          <w:color w:val="000000" w:themeColor="text1" w:themeTint="FF" w:themeShade="FF"/>
          <w:sz w:val="22"/>
          <w:szCs w:val="22"/>
          <w:lang w:val="en-GB"/>
        </w:rPr>
        <w:t>remains</w:t>
      </w:r>
      <w:r w:rsidRPr="4B13576D" w:rsidR="0ADD738D">
        <w:rPr>
          <w:rFonts w:ascii="Arial" w:hAnsi="Arial" w:eastAsia="Arial" w:cs="Arial"/>
          <w:noProof w:val="0"/>
          <w:color w:val="000000" w:themeColor="text1" w:themeTint="FF" w:themeShade="FF"/>
          <w:sz w:val="22"/>
          <w:szCs w:val="22"/>
          <w:lang w:val="en-GB"/>
        </w:rPr>
        <w:t xml:space="preserve"> a persistent issue. Diagnostic criteria and clinical frameworks continue to be influenced by male-centred research, which can limit the recognition of inattentive or internalised symptoms more commonly </w:t>
      </w:r>
      <w:r w:rsidRPr="4B13576D" w:rsidR="0ADD738D">
        <w:rPr>
          <w:rFonts w:ascii="Arial" w:hAnsi="Arial" w:eastAsia="Arial" w:cs="Arial"/>
          <w:noProof w:val="0"/>
          <w:color w:val="000000" w:themeColor="text1" w:themeTint="FF" w:themeShade="FF"/>
          <w:sz w:val="22"/>
          <w:szCs w:val="22"/>
          <w:lang w:val="en-GB"/>
        </w:rPr>
        <w:t>observed</w:t>
      </w:r>
      <w:r w:rsidRPr="4B13576D" w:rsidR="0ADD738D">
        <w:rPr>
          <w:rFonts w:ascii="Arial" w:hAnsi="Arial" w:eastAsia="Arial" w:cs="Arial"/>
          <w:noProof w:val="0"/>
          <w:color w:val="000000" w:themeColor="text1" w:themeTint="FF" w:themeShade="FF"/>
          <w:sz w:val="22"/>
          <w:szCs w:val="22"/>
          <w:lang w:val="en-GB"/>
        </w:rPr>
        <w:t xml:space="preserve"> in women.</w:t>
      </w:r>
    </w:p>
    <w:p w:rsidR="00292A36" w:rsidP="28856244" w:rsidRDefault="00292A36" w14:paraId="1F9CC64D" w14:textId="4782DD72">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3E6482C5">
        <w:rPr>
          <w:rFonts w:ascii="Arial" w:hAnsi="Arial" w:eastAsia="Arial" w:cs="Arial"/>
          <w:noProof w:val="0"/>
          <w:color w:val="000000" w:themeColor="text1" w:themeTint="FF" w:themeShade="FF"/>
          <w:sz w:val="22"/>
          <w:szCs w:val="22"/>
          <w:lang w:val="en-GB"/>
        </w:rPr>
        <w:t xml:space="preserve">International initiatives have increasingly focused on improving awareness and reducing disparities in mental health care. Collaborative research and global mental health strategies emphasise the importance of early identification and </w:t>
      </w:r>
      <w:r w:rsidRPr="4B13576D" w:rsidR="3E6482C5">
        <w:rPr>
          <w:rFonts w:ascii="Arial" w:hAnsi="Arial" w:eastAsia="Arial" w:cs="Arial"/>
          <w:noProof w:val="0"/>
          <w:color w:val="000000" w:themeColor="text1" w:themeTint="FF" w:themeShade="FF"/>
          <w:sz w:val="22"/>
          <w:szCs w:val="22"/>
          <w:lang w:val="en-GB"/>
        </w:rPr>
        <w:t>equitable</w:t>
      </w:r>
      <w:r w:rsidRPr="4B13576D" w:rsidR="3E6482C5">
        <w:rPr>
          <w:rFonts w:ascii="Arial" w:hAnsi="Arial" w:eastAsia="Arial" w:cs="Arial"/>
          <w:noProof w:val="0"/>
          <w:color w:val="000000" w:themeColor="text1" w:themeTint="FF" w:themeShade="FF"/>
          <w:sz w:val="22"/>
          <w:szCs w:val="22"/>
          <w:lang w:val="en-GB"/>
        </w:rPr>
        <w:t xml:space="preserve"> access to services. Case examples from countries such as the United States and Sweden </w:t>
      </w:r>
      <w:r w:rsidRPr="4B13576D" w:rsidR="3E6482C5">
        <w:rPr>
          <w:rFonts w:ascii="Arial" w:hAnsi="Arial" w:eastAsia="Arial" w:cs="Arial"/>
          <w:noProof w:val="0"/>
          <w:color w:val="000000" w:themeColor="text1" w:themeTint="FF" w:themeShade="FF"/>
          <w:sz w:val="22"/>
          <w:szCs w:val="22"/>
          <w:lang w:val="en-GB"/>
        </w:rPr>
        <w:t>demonstrate</w:t>
      </w:r>
      <w:r w:rsidRPr="4B13576D" w:rsidR="3E6482C5">
        <w:rPr>
          <w:rFonts w:ascii="Arial" w:hAnsi="Arial" w:eastAsia="Arial" w:cs="Arial"/>
          <w:noProof w:val="0"/>
          <w:color w:val="000000" w:themeColor="text1" w:themeTint="FF" w:themeShade="FF"/>
          <w:sz w:val="22"/>
          <w:szCs w:val="22"/>
          <w:lang w:val="en-GB"/>
        </w:rPr>
        <w:t xml:space="preserve"> progress in recognising adult ADHD and improving access to support. However, ongoing challenges include inconsistent service provision, limited gender-sensitive approaches, and variations in policy implementation.</w:t>
      </w:r>
    </w:p>
    <w:p w:rsidR="00292A36" w:rsidP="28856244" w:rsidRDefault="00292A36" w14:paraId="42689D40" w14:textId="3933FC7A">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3E6482C5">
        <w:rPr>
          <w:rFonts w:ascii="Arial" w:hAnsi="Arial" w:eastAsia="Arial" w:cs="Arial"/>
          <w:noProof w:val="0"/>
          <w:color w:val="000000" w:themeColor="text1" w:themeTint="FF" w:themeShade="FF"/>
          <w:sz w:val="22"/>
          <w:szCs w:val="22"/>
          <w:lang w:val="en-GB"/>
        </w:rPr>
        <w:t xml:space="preserve">Overall, while international awareness of ADHD in women is improving, significant disparities </w:t>
      </w:r>
      <w:r w:rsidRPr="4B13576D" w:rsidR="3E6482C5">
        <w:rPr>
          <w:rFonts w:ascii="Arial" w:hAnsi="Arial" w:eastAsia="Arial" w:cs="Arial"/>
          <w:noProof w:val="0"/>
          <w:color w:val="000000" w:themeColor="text1" w:themeTint="FF" w:themeShade="FF"/>
          <w:sz w:val="22"/>
          <w:szCs w:val="22"/>
          <w:lang w:val="en-GB"/>
        </w:rPr>
        <w:t>remain</w:t>
      </w:r>
      <w:r w:rsidRPr="4B13576D" w:rsidR="3E6482C5">
        <w:rPr>
          <w:rFonts w:ascii="Arial" w:hAnsi="Arial" w:eastAsia="Arial" w:cs="Arial"/>
          <w:noProof w:val="0"/>
          <w:color w:val="000000" w:themeColor="text1" w:themeTint="FF" w:themeShade="FF"/>
          <w:sz w:val="22"/>
          <w:szCs w:val="22"/>
          <w:lang w:val="en-GB"/>
        </w:rPr>
        <w:t xml:space="preserve">. Differences in healthcare infrastructure, cultural attitudes, and diagnostic practices continue to </w:t>
      </w:r>
      <w:r w:rsidRPr="4B13576D" w:rsidR="3E6482C5">
        <w:rPr>
          <w:rFonts w:ascii="Arial" w:hAnsi="Arial" w:eastAsia="Arial" w:cs="Arial"/>
          <w:noProof w:val="0"/>
          <w:color w:val="000000" w:themeColor="text1" w:themeTint="FF" w:themeShade="FF"/>
          <w:sz w:val="22"/>
          <w:szCs w:val="22"/>
          <w:lang w:val="en-GB"/>
        </w:rPr>
        <w:t>impact</w:t>
      </w:r>
      <w:r w:rsidRPr="4B13576D" w:rsidR="3E6482C5">
        <w:rPr>
          <w:rFonts w:ascii="Arial" w:hAnsi="Arial" w:eastAsia="Arial" w:cs="Arial"/>
          <w:noProof w:val="0"/>
          <w:color w:val="000000" w:themeColor="text1" w:themeTint="FF" w:themeShade="FF"/>
          <w:sz w:val="22"/>
          <w:szCs w:val="22"/>
          <w:lang w:val="en-GB"/>
        </w:rPr>
        <w:t xml:space="preserve"> recognition and support, highlighting the need for more consistent and inclusive global approaches.</w:t>
      </w:r>
    </w:p>
    <w:p w:rsidR="28856244" w:rsidP="28856244" w:rsidRDefault="28856244" w14:paraId="1020899A" w14:textId="61B90E5A">
      <w:pPr>
        <w:pStyle w:val="Heading2"/>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p>
    <w:p w:rsidR="00292A36" w:rsidP="28856244" w:rsidRDefault="00292A36" w14:paraId="75D54A9F" w14:textId="27015BCF">
      <w:pPr>
        <w:pStyle w:val="Heading2"/>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bookmarkStart w:name="_Toc1071758483" w:id="1895513694"/>
      <w:r w:rsidRPr="4B13576D" w:rsidR="3CAB44AA">
        <w:rPr>
          <w:rFonts w:ascii="Arial" w:hAnsi="Arial" w:eastAsia="Arial" w:cs="Arial"/>
          <w:b w:val="1"/>
          <w:bCs w:val="1"/>
          <w:noProof w:val="0"/>
          <w:color w:val="000000" w:themeColor="text1" w:themeTint="FF" w:themeShade="FF"/>
          <w:sz w:val="22"/>
          <w:szCs w:val="22"/>
          <w:lang w:val="en-GB"/>
        </w:rPr>
        <w:t>2.5 National/Local UK Context</w:t>
      </w:r>
      <w:bookmarkEnd w:id="1895513694"/>
    </w:p>
    <w:p w:rsidR="00292A36" w:rsidP="28856244" w:rsidRDefault="00292A36" w14:paraId="35EAC444" w14:textId="35EEAECC">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6C93EEFC">
        <w:rPr>
          <w:rFonts w:ascii="Arial" w:hAnsi="Arial" w:eastAsia="Arial" w:cs="Arial"/>
          <w:noProof w:val="0"/>
          <w:color w:val="000000" w:themeColor="text1" w:themeTint="FF" w:themeShade="FF"/>
          <w:sz w:val="22"/>
          <w:szCs w:val="22"/>
          <w:lang w:val="en-GB"/>
        </w:rPr>
        <w:t xml:space="preserve">In the United Kingdom, Attention Deficit Hyperactivity Disorder (ADHD) is increasingly recognised as a condition that persists into adulthood, affecting both men and women. Despite this growing awareness, ADHD has historically been associated with childhood and male behavioural patterns, particularly hyperactivity and impulsivity. This traditional understanding continues to influence diagnostic practices, often resulting in the </w:t>
      </w:r>
      <w:r w:rsidRPr="4B13576D" w:rsidR="6C93EEFC">
        <w:rPr>
          <w:rFonts w:ascii="Arial" w:hAnsi="Arial" w:eastAsia="Arial" w:cs="Arial"/>
          <w:noProof w:val="0"/>
          <w:color w:val="000000" w:themeColor="text1" w:themeTint="FF" w:themeShade="FF"/>
          <w:sz w:val="22"/>
          <w:szCs w:val="22"/>
          <w:lang w:val="en-GB"/>
        </w:rPr>
        <w:t>underrecognition</w:t>
      </w:r>
      <w:r w:rsidRPr="4B13576D" w:rsidR="6C93EEFC">
        <w:rPr>
          <w:rFonts w:ascii="Arial" w:hAnsi="Arial" w:eastAsia="Arial" w:cs="Arial"/>
          <w:noProof w:val="0"/>
          <w:color w:val="000000" w:themeColor="text1" w:themeTint="FF" w:themeShade="FF"/>
          <w:sz w:val="22"/>
          <w:szCs w:val="22"/>
          <w:lang w:val="en-GB"/>
        </w:rPr>
        <w:t xml:space="preserve"> of ADHD in adult women. In recent years, there has been a notable increase in the number of adults seeking assessment, particularly women, reflecting improved awareness and shifting </w:t>
      </w:r>
      <w:r w:rsidRPr="4B13576D" w:rsidR="6C93EEFC">
        <w:rPr>
          <w:rFonts w:ascii="Arial" w:hAnsi="Arial" w:eastAsia="Arial" w:cs="Arial"/>
          <w:noProof w:val="0"/>
          <w:color w:val="000000" w:themeColor="text1" w:themeTint="FF" w:themeShade="FF"/>
          <w:sz w:val="22"/>
          <w:szCs w:val="22"/>
          <w:lang w:val="en-GB"/>
        </w:rPr>
        <w:t>perceptions</w:t>
      </w:r>
      <w:r w:rsidRPr="4B13576D" w:rsidR="6C93EEFC">
        <w:rPr>
          <w:rFonts w:ascii="Arial" w:hAnsi="Arial" w:eastAsia="Arial" w:cs="Arial"/>
          <w:noProof w:val="0"/>
          <w:color w:val="000000" w:themeColor="text1" w:themeTint="FF" w:themeShade="FF"/>
          <w:sz w:val="22"/>
          <w:szCs w:val="22"/>
          <w:lang w:val="en-GB"/>
        </w:rPr>
        <w:t xml:space="preserve"> of the condition.</w:t>
      </w:r>
    </w:p>
    <w:p w:rsidR="00292A36" w:rsidP="28856244" w:rsidRDefault="00292A36" w14:paraId="1033BF63" w14:textId="3FD3F193">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6C93EEFC">
        <w:rPr>
          <w:rFonts w:ascii="Arial" w:hAnsi="Arial" w:eastAsia="Arial" w:cs="Arial"/>
          <w:noProof w:val="0"/>
          <w:color w:val="000000" w:themeColor="text1" w:themeTint="FF" w:themeShade="FF"/>
          <w:sz w:val="22"/>
          <w:szCs w:val="22"/>
          <w:lang w:val="en-GB"/>
        </w:rPr>
        <w:t xml:space="preserve">At a national level, ADHD is primarily managed through clinical guidelines </w:t>
      </w:r>
      <w:r w:rsidRPr="4B13576D" w:rsidR="6C93EEFC">
        <w:rPr>
          <w:rFonts w:ascii="Arial" w:hAnsi="Arial" w:eastAsia="Arial" w:cs="Arial"/>
          <w:noProof w:val="0"/>
          <w:color w:val="000000" w:themeColor="text1" w:themeTint="FF" w:themeShade="FF"/>
          <w:sz w:val="22"/>
          <w:szCs w:val="22"/>
          <w:lang w:val="en-GB"/>
        </w:rPr>
        <w:t>established</w:t>
      </w:r>
      <w:r w:rsidRPr="4B13576D" w:rsidR="6C93EEFC">
        <w:rPr>
          <w:rFonts w:ascii="Arial" w:hAnsi="Arial" w:eastAsia="Arial" w:cs="Arial"/>
          <w:noProof w:val="0"/>
          <w:color w:val="000000" w:themeColor="text1" w:themeTint="FF" w:themeShade="FF"/>
          <w:sz w:val="22"/>
          <w:szCs w:val="22"/>
          <w:lang w:val="en-GB"/>
        </w:rPr>
        <w:t xml:space="preserve"> by the National Institute for Health and Care Excellence (NICE). The NICE (2018) guidelines provide a structured framework for diagnosis, assessment, and treatment, emphasising a comprehensive and multidisciplinary approach. These guidelines acknowledge that ADHD can persist across the lifespan; however, they have been criticised for insufficiently addressing gender differences in symptom presentation. Consequently, women who present with inattentive or internalised symptoms may still experience barriers to </w:t>
      </w:r>
      <w:r w:rsidRPr="4B13576D" w:rsidR="6C93EEFC">
        <w:rPr>
          <w:rFonts w:ascii="Arial" w:hAnsi="Arial" w:eastAsia="Arial" w:cs="Arial"/>
          <w:noProof w:val="0"/>
          <w:color w:val="000000" w:themeColor="text1" w:themeTint="FF" w:themeShade="FF"/>
          <w:sz w:val="22"/>
          <w:szCs w:val="22"/>
          <w:lang w:val="en-GB"/>
        </w:rPr>
        <w:t>accurate</w:t>
      </w:r>
      <w:r w:rsidRPr="4B13576D" w:rsidR="6C93EEFC">
        <w:rPr>
          <w:rFonts w:ascii="Arial" w:hAnsi="Arial" w:eastAsia="Arial" w:cs="Arial"/>
          <w:noProof w:val="0"/>
          <w:color w:val="000000" w:themeColor="text1" w:themeTint="FF" w:themeShade="FF"/>
          <w:sz w:val="22"/>
          <w:szCs w:val="22"/>
          <w:lang w:val="en-GB"/>
        </w:rPr>
        <w:t xml:space="preserve"> diagnosis.</w:t>
      </w:r>
    </w:p>
    <w:p w:rsidR="00292A36" w:rsidP="28856244" w:rsidRDefault="00292A36" w14:paraId="39AF0BED" w14:textId="1B4BF509">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6C93EEFC">
        <w:rPr>
          <w:rFonts w:ascii="Arial" w:hAnsi="Arial" w:eastAsia="Arial" w:cs="Arial"/>
          <w:noProof w:val="0"/>
          <w:color w:val="000000" w:themeColor="text1" w:themeTint="FF" w:themeShade="FF"/>
          <w:sz w:val="22"/>
          <w:szCs w:val="22"/>
          <w:lang w:val="en-GB"/>
        </w:rPr>
        <w:t xml:space="preserve">Policy and regulation within the UK aim to ensure </w:t>
      </w:r>
      <w:r w:rsidRPr="4B13576D" w:rsidR="6C93EEFC">
        <w:rPr>
          <w:rFonts w:ascii="Arial" w:hAnsi="Arial" w:eastAsia="Arial" w:cs="Arial"/>
          <w:noProof w:val="0"/>
          <w:color w:val="000000" w:themeColor="text1" w:themeTint="FF" w:themeShade="FF"/>
          <w:sz w:val="22"/>
          <w:szCs w:val="22"/>
          <w:lang w:val="en-GB"/>
        </w:rPr>
        <w:t>equitable</w:t>
      </w:r>
      <w:r w:rsidRPr="4B13576D" w:rsidR="6C93EEFC">
        <w:rPr>
          <w:rFonts w:ascii="Arial" w:hAnsi="Arial" w:eastAsia="Arial" w:cs="Arial"/>
          <w:noProof w:val="0"/>
          <w:color w:val="000000" w:themeColor="text1" w:themeTint="FF" w:themeShade="FF"/>
          <w:sz w:val="22"/>
          <w:szCs w:val="22"/>
          <w:lang w:val="en-GB"/>
        </w:rPr>
        <w:t xml:space="preserve"> access to ADHD services through the National Health Service (NHS). However, increasing demand for adult ADHD assessments has placed considerable strain on existing services. Long waiting times are a significant issue, with many individuals facing delays of several months or even years before receiving a diagnosis (NHS, 2025). These delays can be particularly impactful for women, who may already have experienced years of misdiagnosis or lack of recognition. As a result, some individuals seek private assessments to obtain a diagnosis more quickly, raising concerns about inequalities in access to care.</w:t>
      </w:r>
    </w:p>
    <w:p w:rsidR="00292A36" w:rsidP="28856244" w:rsidRDefault="00292A36" w14:paraId="1C784E08" w14:textId="6DA220A1">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6C93EEFC">
        <w:rPr>
          <w:rFonts w:ascii="Arial" w:hAnsi="Arial" w:eastAsia="Arial" w:cs="Arial"/>
          <w:noProof w:val="0"/>
          <w:color w:val="000000" w:themeColor="text1" w:themeTint="FF" w:themeShade="FF"/>
          <w:sz w:val="22"/>
          <w:szCs w:val="22"/>
          <w:lang w:val="en-GB"/>
        </w:rPr>
        <w:t xml:space="preserve">At a local level, there is considerable variation in the availability and quality of ADHD services across different regions of the UK. Some areas offer specialised adult ADHD clinics, clearer referral pathways, and more comprehensive support services. In contrast, other regions have limited provision, resulting in inconsistent access to diagnosis and treatment. This regional variation, often described as a “postcode lottery,” highlights disparities within the healthcare system. Local initiatives, such as targeted training for general practitioners and awareness campaigns, have been introduced in some areas to improve recognition of ADHD, particularly in adults. However, knowledge among healthcare professionals </w:t>
      </w:r>
      <w:r w:rsidRPr="4B13576D" w:rsidR="6C93EEFC">
        <w:rPr>
          <w:rFonts w:ascii="Arial" w:hAnsi="Arial" w:eastAsia="Arial" w:cs="Arial"/>
          <w:noProof w:val="0"/>
          <w:color w:val="000000" w:themeColor="text1" w:themeTint="FF" w:themeShade="FF"/>
          <w:sz w:val="22"/>
          <w:szCs w:val="22"/>
          <w:lang w:val="en-GB"/>
        </w:rPr>
        <w:t>remains</w:t>
      </w:r>
      <w:r w:rsidRPr="4B13576D" w:rsidR="6C93EEFC">
        <w:rPr>
          <w:rFonts w:ascii="Arial" w:hAnsi="Arial" w:eastAsia="Arial" w:cs="Arial"/>
          <w:noProof w:val="0"/>
          <w:color w:val="000000" w:themeColor="text1" w:themeTint="FF" w:themeShade="FF"/>
          <w:sz w:val="22"/>
          <w:szCs w:val="22"/>
          <w:lang w:val="en-GB"/>
        </w:rPr>
        <w:t xml:space="preserve"> uneven, especially </w:t>
      </w:r>
      <w:r w:rsidRPr="4B13576D" w:rsidR="6C93EEFC">
        <w:rPr>
          <w:rFonts w:ascii="Arial" w:hAnsi="Arial" w:eastAsia="Arial" w:cs="Arial"/>
          <w:noProof w:val="0"/>
          <w:color w:val="000000" w:themeColor="text1" w:themeTint="FF" w:themeShade="FF"/>
          <w:sz w:val="22"/>
          <w:szCs w:val="22"/>
          <w:lang w:val="en-GB"/>
        </w:rPr>
        <w:t>regarding</w:t>
      </w:r>
      <w:r w:rsidRPr="4B13576D" w:rsidR="6C93EEFC">
        <w:rPr>
          <w:rFonts w:ascii="Arial" w:hAnsi="Arial" w:eastAsia="Arial" w:cs="Arial"/>
          <w:noProof w:val="0"/>
          <w:color w:val="000000" w:themeColor="text1" w:themeTint="FF" w:themeShade="FF"/>
          <w:sz w:val="22"/>
          <w:szCs w:val="22"/>
          <w:lang w:val="en-GB"/>
        </w:rPr>
        <w:t xml:space="preserve"> female presentations of the condition.</w:t>
      </w:r>
    </w:p>
    <w:p w:rsidR="00292A36" w:rsidP="28856244" w:rsidRDefault="00292A36" w14:paraId="79B8D2CE" w14:textId="7B83B83A">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6C93EEFC">
        <w:rPr>
          <w:rFonts w:ascii="Arial" w:hAnsi="Arial" w:eastAsia="Arial" w:cs="Arial"/>
          <w:noProof w:val="0"/>
          <w:color w:val="000000" w:themeColor="text1" w:themeTint="FF" w:themeShade="FF"/>
          <w:sz w:val="22"/>
          <w:szCs w:val="22"/>
          <w:lang w:val="en-GB"/>
        </w:rPr>
        <w:t xml:space="preserve">Overall, while progress has been made in recognising ADHD within the UK, significant challenges </w:t>
      </w:r>
      <w:r w:rsidRPr="4B13576D" w:rsidR="6C93EEFC">
        <w:rPr>
          <w:rFonts w:ascii="Arial" w:hAnsi="Arial" w:eastAsia="Arial" w:cs="Arial"/>
          <w:noProof w:val="0"/>
          <w:color w:val="000000" w:themeColor="text1" w:themeTint="FF" w:themeShade="FF"/>
          <w:sz w:val="22"/>
          <w:szCs w:val="22"/>
          <w:lang w:val="en-GB"/>
        </w:rPr>
        <w:t>remain</w:t>
      </w:r>
      <w:r w:rsidRPr="4B13576D" w:rsidR="6C93EEFC">
        <w:rPr>
          <w:rFonts w:ascii="Arial" w:hAnsi="Arial" w:eastAsia="Arial" w:cs="Arial"/>
          <w:noProof w:val="0"/>
          <w:color w:val="000000" w:themeColor="text1" w:themeTint="FF" w:themeShade="FF"/>
          <w:sz w:val="22"/>
          <w:szCs w:val="22"/>
          <w:lang w:val="en-GB"/>
        </w:rPr>
        <w:t xml:space="preserve">. Structural limitations, gender bias, and regional inequalities continue to affect the </w:t>
      </w:r>
      <w:r w:rsidRPr="4B13576D" w:rsidR="6C93EEFC">
        <w:rPr>
          <w:rFonts w:ascii="Arial" w:hAnsi="Arial" w:eastAsia="Arial" w:cs="Arial"/>
          <w:noProof w:val="0"/>
          <w:color w:val="000000" w:themeColor="text1" w:themeTint="FF" w:themeShade="FF"/>
          <w:sz w:val="22"/>
          <w:szCs w:val="22"/>
          <w:lang w:val="en-GB"/>
        </w:rPr>
        <w:t>timely</w:t>
      </w:r>
      <w:r w:rsidRPr="4B13576D" w:rsidR="6C93EEFC">
        <w:rPr>
          <w:rFonts w:ascii="Arial" w:hAnsi="Arial" w:eastAsia="Arial" w:cs="Arial"/>
          <w:noProof w:val="0"/>
          <w:color w:val="000000" w:themeColor="text1" w:themeTint="FF" w:themeShade="FF"/>
          <w:sz w:val="22"/>
          <w:szCs w:val="22"/>
          <w:lang w:val="en-GB"/>
        </w:rPr>
        <w:t xml:space="preserve"> diagnosis and effective support of women with ADHD, </w:t>
      </w:r>
      <w:r w:rsidRPr="4B13576D" w:rsidR="6C93EEFC">
        <w:rPr>
          <w:rFonts w:ascii="Arial" w:hAnsi="Arial" w:eastAsia="Arial" w:cs="Arial"/>
          <w:noProof w:val="0"/>
          <w:color w:val="000000" w:themeColor="text1" w:themeTint="FF" w:themeShade="FF"/>
          <w:sz w:val="22"/>
          <w:szCs w:val="22"/>
          <w:lang w:val="en-GB"/>
        </w:rPr>
        <w:t>indicating</w:t>
      </w:r>
      <w:r w:rsidRPr="4B13576D" w:rsidR="6C93EEFC">
        <w:rPr>
          <w:rFonts w:ascii="Arial" w:hAnsi="Arial" w:eastAsia="Arial" w:cs="Arial"/>
          <w:noProof w:val="0"/>
          <w:color w:val="000000" w:themeColor="text1" w:themeTint="FF" w:themeShade="FF"/>
          <w:sz w:val="22"/>
          <w:szCs w:val="22"/>
          <w:lang w:val="en-GB"/>
        </w:rPr>
        <w:t xml:space="preserve"> a need for more consistent and gender-sensitive approaches across both national and local levels.</w:t>
      </w:r>
    </w:p>
    <w:p w:rsidR="00292A36" w:rsidP="28856244" w:rsidRDefault="00292A36" w14:paraId="268BE451" w14:textId="1697EB51">
      <w:pPr>
        <w:pStyle w:val="Heading2"/>
        <w:spacing w:before="299" w:beforeAutospacing="off" w:after="299" w:afterAutospacing="off" w:line="360" w:lineRule="auto"/>
        <w:rPr>
          <w:rFonts w:ascii="Arial" w:hAnsi="Arial" w:eastAsia="Arial" w:cs="Arial"/>
          <w:b w:val="1"/>
          <w:bCs w:val="1"/>
          <w:noProof w:val="0"/>
          <w:color w:val="000000" w:themeColor="text1" w:themeTint="FF" w:themeShade="FF"/>
          <w:sz w:val="22"/>
          <w:szCs w:val="22"/>
          <w:lang w:val="en-GB"/>
        </w:rPr>
      </w:pPr>
      <w:bookmarkStart w:name="_Toc94726107" w:id="1710192390"/>
      <w:r w:rsidRPr="4B13576D" w:rsidR="2123EFBC">
        <w:rPr>
          <w:rFonts w:ascii="Arial" w:hAnsi="Arial" w:eastAsia="Arial" w:cs="Arial"/>
          <w:b w:val="1"/>
          <w:bCs w:val="1"/>
          <w:noProof w:val="0"/>
          <w:color w:val="000000" w:themeColor="text1" w:themeTint="FF" w:themeShade="FF"/>
          <w:sz w:val="22"/>
          <w:szCs w:val="22"/>
          <w:lang w:val="en-GB"/>
        </w:rPr>
        <w:t>2.6 Conclusion</w:t>
      </w:r>
      <w:bookmarkEnd w:id="1710192390"/>
    </w:p>
    <w:p w:rsidR="00292A36" w:rsidP="28856244" w:rsidRDefault="00292A36" w14:paraId="56B624D1" w14:textId="5A549317">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20DC9026">
        <w:rPr>
          <w:rFonts w:ascii="Arial" w:hAnsi="Arial" w:eastAsia="Arial" w:cs="Arial"/>
          <w:noProof w:val="0"/>
          <w:color w:val="000000" w:themeColor="text1" w:themeTint="FF" w:themeShade="FF"/>
          <w:sz w:val="22"/>
          <w:szCs w:val="22"/>
          <w:lang w:val="en-GB"/>
        </w:rPr>
        <w:t xml:space="preserve">This chapter has explored the key background factors relevant to understanding </w:t>
      </w:r>
      <w:r w:rsidRPr="4B13576D" w:rsidR="20DC9026">
        <w:rPr>
          <w:rFonts w:ascii="Arial" w:hAnsi="Arial" w:eastAsia="Arial" w:cs="Arial"/>
          <w:noProof w:val="0"/>
          <w:color w:val="000000" w:themeColor="text1" w:themeTint="FF" w:themeShade="FF"/>
          <w:sz w:val="22"/>
          <w:szCs w:val="22"/>
          <w:lang w:val="en-GB"/>
        </w:rPr>
        <w:t>Attention Deficit Hyperactivity Disorder</w:t>
      </w:r>
      <w:r w:rsidRPr="4B13576D" w:rsidR="20DC9026">
        <w:rPr>
          <w:rFonts w:ascii="Arial" w:hAnsi="Arial" w:eastAsia="Arial" w:cs="Arial"/>
          <w:noProof w:val="0"/>
          <w:color w:val="000000" w:themeColor="text1" w:themeTint="FF" w:themeShade="FF"/>
          <w:sz w:val="22"/>
          <w:szCs w:val="22"/>
          <w:lang w:val="en-GB"/>
        </w:rPr>
        <w:t xml:space="preserve"> (ADHD), with particular focus on the experiences of women. It has traced the historical development of ADHD, highlighting how early male-focused research has influenced current diagnostic practices and contributed to gender disparities. The chapter also examined major theoretical perspectives, </w:t>
      </w:r>
      <w:r w:rsidRPr="4B13576D" w:rsidR="20DC9026">
        <w:rPr>
          <w:rFonts w:ascii="Arial" w:hAnsi="Arial" w:eastAsia="Arial" w:cs="Arial"/>
          <w:noProof w:val="0"/>
          <w:color w:val="000000" w:themeColor="text1" w:themeTint="FF" w:themeShade="FF"/>
          <w:sz w:val="22"/>
          <w:szCs w:val="22"/>
          <w:lang w:val="en-GB"/>
        </w:rPr>
        <w:t>demonstrating</w:t>
      </w:r>
      <w:r w:rsidRPr="4B13576D" w:rsidR="20DC9026">
        <w:rPr>
          <w:rFonts w:ascii="Arial" w:hAnsi="Arial" w:eastAsia="Arial" w:cs="Arial"/>
          <w:noProof w:val="0"/>
          <w:color w:val="000000" w:themeColor="text1" w:themeTint="FF" w:themeShade="FF"/>
          <w:sz w:val="22"/>
          <w:szCs w:val="22"/>
          <w:lang w:val="en-GB"/>
        </w:rPr>
        <w:t xml:space="preserve"> how biological, cognitive, developmental, and sociocultural frameworks help explain differences in symptom presentation and the challenges of recognising ADHD in women.</w:t>
      </w:r>
    </w:p>
    <w:p w:rsidR="00292A36" w:rsidP="28856244" w:rsidRDefault="00292A36" w14:paraId="1985B8FF" w14:textId="68533D5D">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20DC9026">
        <w:rPr>
          <w:rFonts w:ascii="Arial" w:hAnsi="Arial" w:eastAsia="Arial" w:cs="Arial"/>
          <w:noProof w:val="0"/>
          <w:color w:val="000000" w:themeColor="text1" w:themeTint="FF" w:themeShade="FF"/>
          <w:sz w:val="22"/>
          <w:szCs w:val="22"/>
          <w:lang w:val="en-GB"/>
        </w:rPr>
        <w:t xml:space="preserve">Furthermore, the international context revealed growing awareness of adult ADHD, alongside ongoing global inconsistencies in diagnosis and support. Within the UK, although national policies and clinical guidelines acknowledge ADHD as a lifelong condition, structural challenges and regional inequalities continue to </w:t>
      </w:r>
      <w:r w:rsidRPr="4B13576D" w:rsidR="20DC9026">
        <w:rPr>
          <w:rFonts w:ascii="Arial" w:hAnsi="Arial" w:eastAsia="Arial" w:cs="Arial"/>
          <w:noProof w:val="0"/>
          <w:color w:val="000000" w:themeColor="text1" w:themeTint="FF" w:themeShade="FF"/>
          <w:sz w:val="22"/>
          <w:szCs w:val="22"/>
          <w:lang w:val="en-GB"/>
        </w:rPr>
        <w:t>impact</w:t>
      </w:r>
      <w:r w:rsidRPr="4B13576D" w:rsidR="20DC9026">
        <w:rPr>
          <w:rFonts w:ascii="Arial" w:hAnsi="Arial" w:eastAsia="Arial" w:cs="Arial"/>
          <w:noProof w:val="0"/>
          <w:color w:val="000000" w:themeColor="text1" w:themeTint="FF" w:themeShade="FF"/>
          <w:sz w:val="22"/>
          <w:szCs w:val="22"/>
          <w:lang w:val="en-GB"/>
        </w:rPr>
        <w:t xml:space="preserve"> service provision.</w:t>
      </w:r>
    </w:p>
    <w:p w:rsidR="20DC9026" w:rsidP="4B13576D" w:rsidRDefault="20DC9026" w14:paraId="3F23128E" w14:textId="4D271C21">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20DC9026">
        <w:rPr>
          <w:rFonts w:ascii="Arial" w:hAnsi="Arial" w:eastAsia="Arial" w:cs="Arial"/>
          <w:noProof w:val="0"/>
          <w:color w:val="000000" w:themeColor="text1" w:themeTint="FF" w:themeShade="FF"/>
          <w:sz w:val="22"/>
          <w:szCs w:val="22"/>
          <w:lang w:val="en-GB"/>
        </w:rPr>
        <w:t xml:space="preserve">This background provides a foundation for the next chapter, which will outline the research </w:t>
      </w:r>
      <w:r w:rsidRPr="4B13576D" w:rsidR="20DC9026">
        <w:rPr>
          <w:rFonts w:ascii="Arial" w:hAnsi="Arial" w:eastAsia="Arial" w:cs="Arial"/>
          <w:noProof w:val="0"/>
          <w:color w:val="000000" w:themeColor="text1" w:themeTint="FF" w:themeShade="FF"/>
          <w:sz w:val="22"/>
          <w:szCs w:val="22"/>
          <w:lang w:val="en-GB"/>
        </w:rPr>
        <w:t>methodology</w:t>
      </w:r>
      <w:r w:rsidRPr="4B13576D" w:rsidR="20DC9026">
        <w:rPr>
          <w:rFonts w:ascii="Arial" w:hAnsi="Arial" w:eastAsia="Arial" w:cs="Arial"/>
          <w:noProof w:val="0"/>
          <w:color w:val="000000" w:themeColor="text1" w:themeTint="FF" w:themeShade="FF"/>
          <w:sz w:val="22"/>
          <w:szCs w:val="22"/>
          <w:lang w:val="en-GB"/>
        </w:rPr>
        <w:t xml:space="preserve"> used to systematically investigate the experiences of women diagnosed with ADHD after the age of 3</w:t>
      </w:r>
      <w:r w:rsidRPr="4B13576D" w:rsidR="4FC323CB">
        <w:rPr>
          <w:rFonts w:ascii="Arial" w:hAnsi="Arial" w:eastAsia="Arial" w:cs="Arial"/>
          <w:noProof w:val="0"/>
          <w:color w:val="000000" w:themeColor="text1" w:themeTint="FF" w:themeShade="FF"/>
          <w:sz w:val="22"/>
          <w:szCs w:val="22"/>
          <w:lang w:val="en-GB"/>
        </w:rPr>
        <w:t>0</w:t>
      </w:r>
    </w:p>
    <w:p w:rsidR="00880B2D" w:rsidP="4B43C52F" w:rsidRDefault="00880B2D" w14:paraId="407ABDAE" w14:textId="0ADFF25B">
      <w:pPr>
        <w:rPr>
          <w:rFonts w:ascii="Arial" w:hAnsi="Arial" w:eastAsia="Arial" w:cs="Arial"/>
          <w:sz w:val="24"/>
          <w:szCs w:val="24"/>
        </w:rPr>
        <w:sectPr w:rsidR="00880B2D">
          <w:footerReference w:type="default" r:id="rId9"/>
          <w:pgSz w:w="11906" w:h="16838" w:orient="portrait"/>
          <w:pgMar w:top="1440" w:right="1440" w:bottom="1440" w:left="1440" w:header="708" w:footer="708" w:gutter="0"/>
          <w:cols w:space="708"/>
          <w:docGrid w:linePitch="360"/>
          <w:headerReference w:type="default" r:id="Rb5eb5dba3ae24792"/>
        </w:sectPr>
      </w:pPr>
    </w:p>
    <w:p w:rsidR="2A57AE0E" w:rsidP="4B13576D" w:rsidRDefault="2A57AE0E" w14:paraId="2EC662AA" w14:textId="0113103C">
      <w:pPr>
        <w:pStyle w:val="Normal"/>
        <w:rPr>
          <w:rFonts w:ascii="Aptos" w:hAnsi="Aptos" w:eastAsia="Aptos" w:cs="Aptos"/>
          <w:b w:val="1"/>
          <w:bCs w:val="1"/>
          <w:noProof w:val="0"/>
          <w:sz w:val="22"/>
          <w:szCs w:val="22"/>
          <w:lang w:val="en-GB"/>
        </w:rPr>
      </w:pPr>
      <w:r w:rsidRPr="4B13576D" w:rsidR="6BF108C4">
        <w:rPr>
          <w:rFonts w:ascii="Arial" w:hAnsi="Arial" w:eastAsia="Arial" w:cs="Arial"/>
          <w:b w:val="1"/>
          <w:bCs w:val="1"/>
          <w:noProof w:val="0"/>
          <w:sz w:val="22"/>
          <w:szCs w:val="22"/>
          <w:lang w:val="en-GB"/>
        </w:rPr>
        <w:t>Chapter 3</w:t>
      </w:r>
      <w:r w:rsidRPr="4B13576D" w:rsidR="30AA8A13">
        <w:rPr>
          <w:rFonts w:ascii="Arial" w:hAnsi="Arial" w:eastAsia="Arial" w:cs="Arial"/>
          <w:b w:val="1"/>
          <w:bCs w:val="1"/>
          <w:noProof w:val="0"/>
          <w:sz w:val="22"/>
          <w:szCs w:val="22"/>
          <w:lang w:val="en-GB"/>
        </w:rPr>
        <w:t>:</w:t>
      </w:r>
      <w:r w:rsidRPr="4B13576D" w:rsidR="6BF108C4">
        <w:rPr>
          <w:rFonts w:ascii="Arial" w:hAnsi="Arial" w:eastAsia="Arial" w:cs="Arial"/>
          <w:b w:val="1"/>
          <w:bCs w:val="1"/>
          <w:noProof w:val="0"/>
          <w:sz w:val="22"/>
          <w:szCs w:val="22"/>
          <w:lang w:val="en-GB"/>
        </w:rPr>
        <w:t xml:space="preserve"> </w:t>
      </w:r>
      <w:r w:rsidRPr="4B13576D" w:rsidR="6BF108C4">
        <w:rPr>
          <w:rFonts w:ascii="Aptos" w:hAnsi="Aptos" w:eastAsia="Aptos" w:cs="Aptos"/>
          <w:b w:val="1"/>
          <w:bCs w:val="1"/>
          <w:noProof w:val="0"/>
          <w:sz w:val="22"/>
          <w:szCs w:val="22"/>
          <w:lang w:val="en-GB"/>
        </w:rPr>
        <w:t>Methods and Search Strategy</w:t>
      </w:r>
    </w:p>
    <w:p w:rsidR="2A57AE0E" w:rsidP="4B13576D" w:rsidRDefault="2A57AE0E" w14:paraId="57941550" w14:textId="6D560CCD">
      <w:pPr>
        <w:pStyle w:val="Normal"/>
        <w:rPr>
          <w:rFonts w:ascii="Arial" w:hAnsi="Arial" w:eastAsia="Arial" w:cs="Arial"/>
          <w:b w:val="1"/>
          <w:bCs w:val="1"/>
          <w:noProof w:val="0"/>
          <w:sz w:val="22"/>
          <w:szCs w:val="22"/>
          <w:lang w:val="en-GB"/>
        </w:rPr>
      </w:pPr>
      <w:r w:rsidRPr="4B13576D" w:rsidR="6BF108C4">
        <w:rPr>
          <w:rFonts w:ascii="Arial" w:hAnsi="Arial" w:eastAsia="Arial" w:cs="Arial"/>
          <w:b w:val="1"/>
          <w:bCs w:val="1"/>
          <w:noProof w:val="0"/>
          <w:sz w:val="22"/>
          <w:szCs w:val="22"/>
          <w:lang w:val="en-GB"/>
        </w:rPr>
        <w:t>Chapter 3.1</w:t>
      </w:r>
    </w:p>
    <w:p w:rsidR="2A57AE0E" w:rsidP="4B13576D" w:rsidRDefault="2A57AE0E" w14:paraId="3685CF8F" w14:textId="18FC3353">
      <w:pPr>
        <w:pStyle w:val="Normal"/>
        <w:rPr>
          <w:rFonts w:ascii="Arial" w:hAnsi="Arial" w:eastAsia="Arial" w:cs="Arial"/>
          <w:noProof w:val="0"/>
          <w:sz w:val="22"/>
          <w:szCs w:val="22"/>
          <w:lang w:val="en-GB"/>
        </w:rPr>
      </w:pPr>
      <w:r w:rsidRPr="4B13576D" w:rsidR="7D22CE36">
        <w:rPr>
          <w:rFonts w:ascii="Arial" w:hAnsi="Arial" w:eastAsia="Arial" w:cs="Arial"/>
          <w:noProof w:val="0"/>
          <w:sz w:val="22"/>
          <w:szCs w:val="22"/>
          <w:lang w:val="en-GB"/>
        </w:rPr>
        <w:t xml:space="preserve">This chapter outlines the </w:t>
      </w:r>
      <w:r w:rsidRPr="4B13576D" w:rsidR="7D22CE36">
        <w:rPr>
          <w:rFonts w:ascii="Arial" w:hAnsi="Arial" w:eastAsia="Arial" w:cs="Arial"/>
          <w:noProof w:val="0"/>
          <w:sz w:val="22"/>
          <w:szCs w:val="22"/>
          <w:lang w:val="en-GB"/>
        </w:rPr>
        <w:t>methodology</w:t>
      </w:r>
      <w:r w:rsidRPr="4B13576D" w:rsidR="7D22CE36">
        <w:rPr>
          <w:rFonts w:ascii="Arial" w:hAnsi="Arial" w:eastAsia="Arial" w:cs="Arial"/>
          <w:noProof w:val="0"/>
          <w:sz w:val="22"/>
          <w:szCs w:val="22"/>
          <w:lang w:val="en-GB"/>
        </w:rPr>
        <w:t xml:space="preserve"> used to investigate the experiences of women in the United Kingdom diagnosed with ADHD after the age of 30. A secondary research approach was adopted, using a structured literature review to </w:t>
      </w:r>
      <w:r w:rsidRPr="4B13576D" w:rsidR="7D22CE36">
        <w:rPr>
          <w:rFonts w:ascii="Arial" w:hAnsi="Arial" w:eastAsia="Arial" w:cs="Arial"/>
          <w:noProof w:val="0"/>
          <w:sz w:val="22"/>
          <w:szCs w:val="22"/>
          <w:lang w:val="en-GB"/>
        </w:rPr>
        <w:t>identify</w:t>
      </w:r>
      <w:r w:rsidRPr="4B13576D" w:rsidR="7D22CE36">
        <w:rPr>
          <w:rFonts w:ascii="Arial" w:hAnsi="Arial" w:eastAsia="Arial" w:cs="Arial"/>
          <w:noProof w:val="0"/>
          <w:sz w:val="22"/>
          <w:szCs w:val="22"/>
          <w:lang w:val="en-GB"/>
        </w:rPr>
        <w:t>, evaluate, and synthesise relevant academic studies, policy documents, and healthcare reports (Aveyard, 2019).</w:t>
      </w:r>
    </w:p>
    <w:p w:rsidR="2A57AE0E" w:rsidP="51A6AB2E" w:rsidRDefault="2A57AE0E" w14:paraId="541E8E34" w14:textId="5238D23C">
      <w:pPr>
        <w:spacing w:line="360" w:lineRule="auto"/>
        <w:rPr>
          <w:rFonts w:ascii="Arial" w:hAnsi="Arial" w:eastAsia="Arial" w:cs="Arial"/>
          <w:noProof w:val="0"/>
          <w:sz w:val="22"/>
          <w:szCs w:val="22"/>
          <w:lang w:val="en-GB"/>
        </w:rPr>
      </w:pPr>
      <w:r w:rsidRPr="51A6AB2E" w:rsidR="7D22CE36">
        <w:rPr>
          <w:rFonts w:ascii="Arial" w:hAnsi="Arial" w:eastAsia="Arial" w:cs="Arial"/>
          <w:noProof w:val="0"/>
          <w:sz w:val="22"/>
          <w:szCs w:val="22"/>
          <w:lang w:val="en-GB"/>
        </w:rPr>
        <w:t>The chapter explains the search strategy, source selection process, inclusion and exclusion criteria, validation methods, and thematic analysis used to interpret the data. These methods were applied to ensure the credibility and reliability of the research (Saunders, Lewis and Thornhill, 2019). The resulting themes informed the findings and discussion presented in Chapter 4.</w:t>
      </w:r>
    </w:p>
    <w:p w:rsidR="2A57AE0E" w:rsidP="51A6AB2E" w:rsidRDefault="2A57AE0E" w14:paraId="45CEB100" w14:textId="1A6F0AE9">
      <w:pPr>
        <w:pStyle w:val="Normal"/>
        <w:rPr>
          <w:noProof w:val="0"/>
          <w:lang w:val="en-GB"/>
        </w:rPr>
      </w:pPr>
    </w:p>
    <w:p w:rsidR="2A57AE0E" w:rsidP="51A6AB2E" w:rsidRDefault="2A57AE0E" w14:paraId="6B996467" w14:textId="012541C4">
      <w:pPr>
        <w:pStyle w:val="Heading3"/>
        <w:spacing w:line="360" w:lineRule="auto"/>
        <w:rPr>
          <w:rFonts w:ascii="Arial" w:hAnsi="Arial" w:eastAsia="Arial" w:cs="Arial"/>
          <w:b w:val="1"/>
          <w:bCs w:val="1"/>
          <w:noProof w:val="0"/>
          <w:color w:val="000000" w:themeColor="text1" w:themeTint="FF" w:themeShade="FF"/>
          <w:sz w:val="22"/>
          <w:szCs w:val="22"/>
          <w:lang w:val="en-GB"/>
        </w:rPr>
      </w:pPr>
      <w:bookmarkStart w:name="_Toc1056999386" w:id="1545672877"/>
      <w:r w:rsidRPr="4B13576D" w:rsidR="243D3E24">
        <w:rPr>
          <w:rFonts w:ascii="Arial" w:hAnsi="Arial" w:eastAsia="Arial" w:cs="Arial"/>
          <w:b w:val="1"/>
          <w:bCs w:val="1"/>
          <w:noProof w:val="0"/>
          <w:color w:val="000000" w:themeColor="text1" w:themeTint="FF" w:themeShade="FF"/>
          <w:sz w:val="22"/>
          <w:szCs w:val="22"/>
          <w:lang w:val="en-GB"/>
        </w:rPr>
        <w:t>3.2 Research Design</w:t>
      </w:r>
      <w:bookmarkEnd w:id="1545672877"/>
    </w:p>
    <w:p w:rsidR="2A57AE0E" w:rsidP="51A6AB2E" w:rsidRDefault="2A57AE0E" w14:paraId="5E47D7F7" w14:textId="1833E977">
      <w:pPr>
        <w:spacing w:line="360" w:lineRule="auto"/>
        <w:rPr>
          <w:rFonts w:ascii="Arial" w:hAnsi="Arial" w:eastAsia="Arial" w:cs="Arial"/>
          <w:noProof w:val="0"/>
          <w:sz w:val="22"/>
          <w:szCs w:val="22"/>
          <w:lang w:val="en-GB"/>
        </w:rPr>
      </w:pPr>
      <w:r w:rsidRPr="51A6AB2E" w:rsidR="770EEFC1">
        <w:rPr>
          <w:rFonts w:ascii="Arial" w:hAnsi="Arial" w:eastAsia="Arial" w:cs="Arial"/>
          <w:noProof w:val="0"/>
          <w:sz w:val="22"/>
          <w:szCs w:val="22"/>
          <w:lang w:val="en-GB"/>
        </w:rPr>
        <w:t>This study adopted a qualitative secondary research design, involving the analysis of existing literature rather than the collection of primary data (Aveyard, 2019). This approach was appropriate as it enabled exploration of the experiences of women diagnosed with ADHD later in life using published research and healthcare evidence.</w:t>
      </w:r>
    </w:p>
    <w:p w:rsidR="2A57AE0E" w:rsidP="51A6AB2E" w:rsidRDefault="2A57AE0E" w14:paraId="4B7B19E9" w14:textId="4E0C250C">
      <w:pPr>
        <w:spacing w:line="360" w:lineRule="auto"/>
        <w:rPr>
          <w:rFonts w:ascii="Arial" w:hAnsi="Arial" w:eastAsia="Arial" w:cs="Arial"/>
          <w:noProof w:val="0"/>
          <w:sz w:val="22"/>
          <w:szCs w:val="22"/>
          <w:lang w:val="en-GB"/>
        </w:rPr>
      </w:pPr>
      <w:r w:rsidRPr="51A6AB2E" w:rsidR="770EEFC1">
        <w:rPr>
          <w:rFonts w:ascii="Arial" w:hAnsi="Arial" w:eastAsia="Arial" w:cs="Arial"/>
          <w:noProof w:val="0"/>
          <w:sz w:val="22"/>
          <w:szCs w:val="22"/>
          <w:lang w:val="en-GB"/>
        </w:rPr>
        <w:t>A qualitative approach was selected because it focuses on understanding experiences, perceptions, and social contexts rather than numerical data (Saunders, Lewis and Thornhill, 2019). Secondary research also provided access to a wide range of relevant studies while avoiding the ethical and practical challenges associated with primary data collection. To ensure quality, only credible and relevant sources were included.</w:t>
      </w:r>
      <w:r w:rsidRPr="51A6AB2E" w:rsidR="770EEFC1">
        <w:rPr>
          <w:rFonts w:ascii="Arial" w:hAnsi="Arial" w:eastAsia="Arial" w:cs="Arial"/>
          <w:noProof w:val="0"/>
          <w:sz w:val="22"/>
          <w:szCs w:val="22"/>
          <w:lang w:val="en-GB"/>
        </w:rPr>
        <w:t xml:space="preserve"> </w:t>
      </w:r>
    </w:p>
    <w:p w:rsidR="2A57AE0E" w:rsidP="51A6AB2E" w:rsidRDefault="2A57AE0E" w14:paraId="3121009C" w14:textId="38C4E20A">
      <w:pPr>
        <w:spacing w:line="360" w:lineRule="auto"/>
        <w:rPr>
          <w:rFonts w:ascii="Arial" w:hAnsi="Arial" w:eastAsia="Arial" w:cs="Arial"/>
          <w:noProof w:val="0"/>
          <w:sz w:val="22"/>
          <w:szCs w:val="22"/>
          <w:lang w:val="en-GB"/>
        </w:rPr>
      </w:pPr>
    </w:p>
    <w:p w:rsidR="2A57AE0E" w:rsidP="51A6AB2E" w:rsidRDefault="2A57AE0E" w14:paraId="5A6D8227" w14:textId="410A2E6F">
      <w:pPr>
        <w:pStyle w:val="Heading3"/>
        <w:spacing w:line="360" w:lineRule="auto"/>
        <w:rPr>
          <w:rFonts w:ascii="Arial" w:hAnsi="Arial" w:eastAsia="Arial" w:cs="Arial"/>
          <w:b w:val="1"/>
          <w:bCs w:val="1"/>
          <w:noProof w:val="0"/>
          <w:color w:val="000000" w:themeColor="text1" w:themeTint="FF" w:themeShade="FF"/>
          <w:sz w:val="22"/>
          <w:szCs w:val="22"/>
          <w:lang w:val="en-GB"/>
        </w:rPr>
      </w:pPr>
      <w:bookmarkStart w:name="_Toc803868093" w:id="507799658"/>
      <w:r w:rsidRPr="4B13576D" w:rsidR="3F1B85B3">
        <w:rPr>
          <w:rFonts w:ascii="Arial" w:hAnsi="Arial" w:eastAsia="Arial" w:cs="Arial"/>
          <w:b w:val="1"/>
          <w:bCs w:val="1"/>
          <w:noProof w:val="0"/>
          <w:color w:val="000000" w:themeColor="text1" w:themeTint="FF" w:themeShade="FF"/>
          <w:sz w:val="22"/>
          <w:szCs w:val="22"/>
          <w:lang w:val="en-GB"/>
        </w:rPr>
        <w:t>3.3 Search Strategy and Searching for Information</w:t>
      </w:r>
      <w:bookmarkEnd w:id="507799658"/>
    </w:p>
    <w:p w:rsidR="2A57AE0E" w:rsidP="51A6AB2E" w:rsidRDefault="2A57AE0E" w14:paraId="3F00FBD3" w14:textId="25862A25">
      <w:pPr>
        <w:spacing w:line="360" w:lineRule="auto"/>
        <w:rPr>
          <w:rFonts w:ascii="Arial" w:hAnsi="Arial" w:eastAsia="Arial" w:cs="Arial"/>
          <w:noProof w:val="0"/>
          <w:color w:val="000000" w:themeColor="text1" w:themeTint="FF" w:themeShade="FF"/>
          <w:sz w:val="22"/>
          <w:szCs w:val="22"/>
          <w:lang w:val="en-GB"/>
        </w:rPr>
      </w:pPr>
      <w:r w:rsidRPr="51A6AB2E" w:rsidR="33EA6B5E">
        <w:rPr>
          <w:rFonts w:ascii="Arial" w:hAnsi="Arial" w:eastAsia="Arial" w:cs="Arial"/>
          <w:noProof w:val="0"/>
          <w:color w:val="000000" w:themeColor="text1" w:themeTint="FF" w:themeShade="FF"/>
          <w:sz w:val="22"/>
          <w:szCs w:val="22"/>
          <w:lang w:val="en-GB"/>
        </w:rPr>
        <w:t>A structured search strategy was developed to identify literature relevant to the research aim. A search strategy is a systematic process used to locate, select, and retrieve research evidence in a transparent and reproducible manner (Booth, Sutton and Papaioannou, 2016). The primary databases used were Google Scholar, PubMed, PsycINFO, and CINAHL. These databases were selected because they provide access to peer-reviewed literature relating to healthcare, psychology, and social science, ensuring the credibility and relevance of sources.</w:t>
      </w:r>
    </w:p>
    <w:p w:rsidR="2A57AE0E" w:rsidP="51A6AB2E" w:rsidRDefault="2A57AE0E" w14:paraId="43F0A0DE" w14:textId="3CB3751D">
      <w:pPr>
        <w:spacing w:line="360" w:lineRule="auto"/>
        <w:rPr>
          <w:rFonts w:ascii="Arial" w:hAnsi="Arial" w:eastAsia="Arial" w:cs="Arial"/>
          <w:noProof w:val="0"/>
          <w:color w:val="000000" w:themeColor="text1" w:themeTint="FF" w:themeShade="FF"/>
          <w:sz w:val="22"/>
          <w:szCs w:val="22"/>
          <w:lang w:val="en-GB"/>
        </w:rPr>
      </w:pPr>
      <w:r w:rsidRPr="51A6AB2E" w:rsidR="33EA6B5E">
        <w:rPr>
          <w:rFonts w:ascii="Arial" w:hAnsi="Arial" w:eastAsia="Arial" w:cs="Arial"/>
          <w:noProof w:val="0"/>
          <w:color w:val="000000" w:themeColor="text1" w:themeTint="FF" w:themeShade="FF"/>
          <w:sz w:val="22"/>
          <w:szCs w:val="22"/>
          <w:lang w:val="en-GB"/>
        </w:rPr>
        <w:t>Keywords were derived from the research objectives and included “ADHD”, “women”, “adult ADHD”, “late diagnosis”, “masking”, “gender differences”, and “diagnostic barriers”. Boolean operators were used to refine searches. For example, “ADHD AND women” narrowed results to studies focusing on female experiences, while “ADHD OR attention deficit” broadened the search to include alternative terminology.</w:t>
      </w:r>
    </w:p>
    <w:p w:rsidR="2A57AE0E" w:rsidP="51A6AB2E" w:rsidRDefault="2A57AE0E" w14:paraId="6B300160" w14:textId="0DC5995A">
      <w:pPr>
        <w:spacing w:line="360" w:lineRule="auto"/>
        <w:rPr>
          <w:rFonts w:ascii="Arial" w:hAnsi="Arial" w:eastAsia="Arial" w:cs="Arial"/>
          <w:noProof w:val="0"/>
          <w:color w:val="000000" w:themeColor="text1" w:themeTint="FF" w:themeShade="FF"/>
          <w:sz w:val="22"/>
          <w:szCs w:val="22"/>
          <w:lang w:val="en-GB"/>
        </w:rPr>
      </w:pPr>
      <w:r w:rsidRPr="51A6AB2E" w:rsidR="33EA6B5E">
        <w:rPr>
          <w:rFonts w:ascii="Arial" w:hAnsi="Arial" w:eastAsia="Arial" w:cs="Arial"/>
          <w:noProof w:val="0"/>
          <w:color w:val="000000" w:themeColor="text1" w:themeTint="FF" w:themeShade="FF"/>
          <w:sz w:val="22"/>
          <w:szCs w:val="22"/>
          <w:lang w:val="en-GB"/>
        </w:rPr>
        <w:t>To improve relevance, filters were applied to limit results to English-language publications, peer-reviewed articles, adult populations, and studies published within the last ten years where possible. UK-based sources were prioritised to align with the research context. During the search process, keywords were refined as new themes emerged, including emotional dysregulation and misdiagnosis. A source tracking table was used to record and summarise selected studies, supporting organisation and transparency throughout the review process (see Appendix 1).</w:t>
      </w:r>
    </w:p>
    <w:p w:rsidR="2A57AE0E" w:rsidP="51A6AB2E" w:rsidRDefault="2A57AE0E" w14:paraId="0602BAA5" w14:textId="0A525BCA">
      <w:pPr>
        <w:spacing w:line="360" w:lineRule="auto"/>
        <w:rPr>
          <w:rFonts w:ascii="Arial" w:hAnsi="Arial" w:eastAsia="Arial" w:cs="Arial"/>
          <w:noProof w:val="0"/>
          <w:color w:val="000000" w:themeColor="text1" w:themeTint="FF" w:themeShade="FF"/>
          <w:sz w:val="22"/>
          <w:szCs w:val="22"/>
          <w:lang w:val="en-GB"/>
        </w:rPr>
      </w:pPr>
    </w:p>
    <w:p w:rsidR="2A57AE0E" w:rsidP="51A6AB2E" w:rsidRDefault="2A57AE0E" w14:paraId="0659BADA" w14:textId="3C619FC4">
      <w:pPr>
        <w:pStyle w:val="Heading3"/>
        <w:spacing w:line="360" w:lineRule="auto"/>
        <w:rPr>
          <w:rFonts w:ascii="Arial" w:hAnsi="Arial" w:eastAsia="Arial" w:cs="Arial"/>
          <w:noProof w:val="0"/>
          <w:color w:val="000000" w:themeColor="text1" w:themeTint="FF" w:themeShade="FF"/>
          <w:sz w:val="22"/>
          <w:szCs w:val="22"/>
          <w:lang w:val="en-GB"/>
        </w:rPr>
      </w:pPr>
      <w:bookmarkStart w:name="_Toc1285171401" w:id="1927910241"/>
      <w:r w:rsidRPr="4B13576D" w:rsidR="6162CE8F">
        <w:rPr>
          <w:rFonts w:ascii="Arial" w:hAnsi="Arial" w:eastAsia="Arial" w:cs="Arial"/>
          <w:b w:val="1"/>
          <w:bCs w:val="1"/>
          <w:noProof w:val="0"/>
          <w:color w:val="000000" w:themeColor="text1" w:themeTint="FF" w:themeShade="FF"/>
          <w:sz w:val="22"/>
          <w:szCs w:val="22"/>
          <w:lang w:val="en-GB"/>
        </w:rPr>
        <w:t>3.4 Research Validation</w:t>
      </w:r>
      <w:bookmarkEnd w:id="1927910241"/>
    </w:p>
    <w:p w:rsidR="2A57AE0E" w:rsidP="51A6AB2E" w:rsidRDefault="2A57AE0E" w14:paraId="3126C094" w14:textId="3AC7DFD9">
      <w:pPr>
        <w:spacing w:line="360" w:lineRule="auto"/>
        <w:rPr>
          <w:rFonts w:ascii="Arial" w:hAnsi="Arial" w:eastAsia="Arial" w:cs="Arial"/>
          <w:noProof w:val="0"/>
          <w:color w:val="000000" w:themeColor="text1" w:themeTint="FF" w:themeShade="FF"/>
          <w:sz w:val="22"/>
          <w:szCs w:val="22"/>
          <w:lang w:val="en-GB"/>
        </w:rPr>
      </w:pPr>
      <w:r w:rsidRPr="51A6AB2E" w:rsidR="090FDC60">
        <w:rPr>
          <w:rFonts w:ascii="Arial" w:hAnsi="Arial" w:eastAsia="Arial" w:cs="Arial"/>
          <w:noProof w:val="0"/>
          <w:color w:val="000000" w:themeColor="text1" w:themeTint="FF" w:themeShade="FF"/>
          <w:sz w:val="22"/>
          <w:szCs w:val="22"/>
          <w:lang w:val="en-GB"/>
        </w:rPr>
        <w:t>To ensure the quality and credibility of sources, a structured validation process was applied. Initially, articles were skimmed by reviewing the title, abstract, introduction, and conclusion to assess their relevance to the research topic. This enabled unsuitable sources to be excluded at an early stage and ensured that only studies relating to ADHD in adult women were considered.</w:t>
      </w:r>
    </w:p>
    <w:p w:rsidR="2A57AE0E" w:rsidP="51A6AB2E" w:rsidRDefault="2A57AE0E" w14:paraId="3B4577B0" w14:textId="7B8E3E54">
      <w:pPr>
        <w:spacing w:line="360" w:lineRule="auto"/>
        <w:rPr>
          <w:rFonts w:ascii="Arial" w:hAnsi="Arial" w:eastAsia="Arial" w:cs="Arial"/>
          <w:noProof w:val="0"/>
          <w:color w:val="000000" w:themeColor="text1" w:themeTint="FF" w:themeShade="FF"/>
          <w:sz w:val="22"/>
          <w:szCs w:val="22"/>
          <w:lang w:val="en-GB"/>
        </w:rPr>
      </w:pPr>
      <w:r w:rsidRPr="51A6AB2E" w:rsidR="090FDC60">
        <w:rPr>
          <w:rFonts w:ascii="Arial" w:hAnsi="Arial" w:eastAsia="Arial" w:cs="Arial"/>
          <w:noProof w:val="0"/>
          <w:color w:val="000000" w:themeColor="text1" w:themeTint="FF" w:themeShade="FF"/>
          <w:sz w:val="22"/>
          <w:szCs w:val="22"/>
          <w:lang w:val="en-GB"/>
        </w:rPr>
        <w:t>The CRAAP test (Currency, Relevance, Authority, Accuracy and Purpose) was then used to evaluate each source. Particular importance was placed on currency, relevance, and authority, as these were most closely aligned with the research aims. Preference was given to recent peer-reviewed journal articles and publications from reputable organisations such as the NHS and NICE.</w:t>
      </w:r>
    </w:p>
    <w:p w:rsidR="2A57AE0E" w:rsidP="2A57AE0E" w:rsidRDefault="2A57AE0E" w14:paraId="03EA8298" w14:textId="37BE73B7">
      <w:pPr>
        <w:spacing w:line="360" w:lineRule="auto"/>
      </w:pPr>
      <w:r w:rsidRPr="51A6AB2E" w:rsidR="090FDC60">
        <w:rPr>
          <w:rFonts w:ascii="Arial" w:hAnsi="Arial" w:eastAsia="Arial" w:cs="Arial"/>
          <w:noProof w:val="0"/>
          <w:color w:val="000000" w:themeColor="text1" w:themeTint="FF" w:themeShade="FF"/>
          <w:sz w:val="22"/>
          <w:szCs w:val="22"/>
          <w:lang w:val="en-GB"/>
        </w:rPr>
        <w:t>For example, Attoe and Climie (2023) were included because their systematic review provided comprehensive evidence on ADHD in adult women. Applying these validation methods ensured that only reliable and relevant sources informed the study, strengthening the credibility and trustworthiness of the findings.</w:t>
      </w:r>
    </w:p>
    <w:p w:rsidR="2A57AE0E" w:rsidP="51A6AB2E" w:rsidRDefault="2A57AE0E" w14:paraId="0BE62DE2" w14:textId="4659E967">
      <w:pPr>
        <w:spacing w:line="360" w:lineRule="auto"/>
        <w:rPr>
          <w:rFonts w:ascii="Arial" w:hAnsi="Arial" w:eastAsia="Arial" w:cs="Arial"/>
          <w:noProof w:val="0"/>
          <w:color w:val="000000" w:themeColor="text1" w:themeTint="FF" w:themeShade="FF"/>
          <w:sz w:val="22"/>
          <w:szCs w:val="22"/>
          <w:lang w:val="en-GB"/>
        </w:rPr>
      </w:pPr>
    </w:p>
    <w:p w:rsidR="2A57AE0E" w:rsidP="51A6AB2E" w:rsidRDefault="2A57AE0E" w14:paraId="4106E002" w14:textId="16C9DFEA">
      <w:pPr>
        <w:pStyle w:val="Heading3"/>
        <w:spacing w:line="360" w:lineRule="auto"/>
        <w:rPr>
          <w:rFonts w:ascii="Arial" w:hAnsi="Arial" w:eastAsia="Arial" w:cs="Arial"/>
          <w:noProof w:val="0"/>
          <w:color w:val="000000" w:themeColor="text1" w:themeTint="FF" w:themeShade="FF"/>
          <w:sz w:val="22"/>
          <w:szCs w:val="22"/>
          <w:lang w:val="en-GB"/>
        </w:rPr>
      </w:pPr>
      <w:bookmarkStart w:name="_Toc163995660" w:id="1506172196"/>
      <w:r w:rsidRPr="4B13576D" w:rsidR="6162CE8F">
        <w:rPr>
          <w:rFonts w:ascii="Arial" w:hAnsi="Arial" w:eastAsia="Arial" w:cs="Arial"/>
          <w:b w:val="1"/>
          <w:bCs w:val="1"/>
          <w:noProof w:val="0"/>
          <w:color w:val="000000" w:themeColor="text1" w:themeTint="FF" w:themeShade="FF"/>
          <w:sz w:val="22"/>
          <w:szCs w:val="22"/>
          <w:lang w:val="en-GB"/>
        </w:rPr>
        <w:t>3.5 Inclusion and Exclusion Criteria</w:t>
      </w:r>
      <w:bookmarkEnd w:id="1506172196"/>
    </w:p>
    <w:p w:rsidR="2A57AE0E" w:rsidP="51A6AB2E" w:rsidRDefault="2A57AE0E" w14:paraId="262F0A9C" w14:textId="40C8114F">
      <w:pPr>
        <w:spacing w:line="360" w:lineRule="auto"/>
        <w:rPr>
          <w:rFonts w:ascii="Arial" w:hAnsi="Arial" w:eastAsia="Arial" w:cs="Arial"/>
          <w:noProof w:val="0"/>
          <w:color w:val="000000" w:themeColor="text1" w:themeTint="FF" w:themeShade="FF"/>
          <w:sz w:val="22"/>
          <w:szCs w:val="22"/>
          <w:lang w:val="en-GB"/>
        </w:rPr>
      </w:pPr>
      <w:r w:rsidRPr="51A6AB2E" w:rsidR="090FDC60">
        <w:rPr>
          <w:rFonts w:ascii="Arial" w:hAnsi="Arial" w:eastAsia="Arial" w:cs="Arial"/>
          <w:noProof w:val="0"/>
          <w:color w:val="000000" w:themeColor="text1" w:themeTint="FF" w:themeShade="FF"/>
          <w:sz w:val="22"/>
          <w:szCs w:val="22"/>
          <w:lang w:val="en-GB"/>
        </w:rPr>
        <w:t>Clear inclusion and exclusion criteria were established to maintain focus and consistency throughout the review process. Inclusion criteria consisted of peer-reviewed journal articles, studies published within the last ten years where possible, UK-based research, and literature focusing on adult women with ADHD. Exclusion criteria included studies focused solely on children, non-academic sources such as blogs, non-English publications, and outdated research lacking relevance to the topic.</w:t>
      </w:r>
    </w:p>
    <w:p w:rsidR="2A57AE0E" w:rsidP="51A6AB2E" w:rsidRDefault="2A57AE0E" w14:paraId="34DB1EBC" w14:textId="7BFA741C">
      <w:pPr>
        <w:spacing w:line="360" w:lineRule="auto"/>
        <w:rPr>
          <w:rFonts w:ascii="Arial" w:hAnsi="Arial" w:eastAsia="Arial" w:cs="Arial"/>
          <w:noProof w:val="0"/>
          <w:color w:val="000000" w:themeColor="text1" w:themeTint="FF" w:themeShade="FF"/>
          <w:sz w:val="22"/>
          <w:szCs w:val="22"/>
          <w:lang w:val="en-GB"/>
        </w:rPr>
      </w:pPr>
      <w:r w:rsidRPr="51A6AB2E" w:rsidR="090FDC60">
        <w:rPr>
          <w:rFonts w:ascii="Arial" w:hAnsi="Arial" w:eastAsia="Arial" w:cs="Arial"/>
          <w:noProof w:val="0"/>
          <w:color w:val="000000" w:themeColor="text1" w:themeTint="FF" w:themeShade="FF"/>
          <w:sz w:val="22"/>
          <w:szCs w:val="22"/>
          <w:lang w:val="en-GB"/>
        </w:rPr>
        <w:t>These criteria helped ensure that the literature remained relevant to the research aim while maintaining academic quality and credibility. They also reduced the risk of including unreliable or irrelevant evidence within the review.</w:t>
      </w:r>
    </w:p>
    <w:p w:rsidR="2A57AE0E" w:rsidP="51A6AB2E" w:rsidRDefault="2A57AE0E" w14:paraId="05CC97A9" w14:textId="436853DC">
      <w:pPr>
        <w:spacing w:line="360" w:lineRule="auto"/>
        <w:rPr>
          <w:rFonts w:ascii="Arial" w:hAnsi="Arial" w:eastAsia="Arial" w:cs="Arial"/>
          <w:color w:val="000000" w:themeColor="text1" w:themeTint="FF" w:themeShade="FF"/>
          <w:sz w:val="22"/>
          <w:szCs w:val="22"/>
        </w:rPr>
      </w:pPr>
    </w:p>
    <w:p w:rsidR="2A57AE0E" w:rsidP="51A6AB2E" w:rsidRDefault="2A57AE0E" w14:paraId="4581662A" w14:textId="6FCEBAB0">
      <w:pPr>
        <w:pStyle w:val="Heading3"/>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bookmarkStart w:name="_Toc1174622455" w:id="1445413167"/>
      <w:r w:rsidRPr="4B13576D" w:rsidR="08414C04">
        <w:rPr>
          <w:rFonts w:ascii="Arial" w:hAnsi="Arial" w:eastAsia="Arial" w:cs="Arial"/>
          <w:b w:val="1"/>
          <w:bCs w:val="1"/>
          <w:noProof w:val="0"/>
          <w:color w:val="000000" w:themeColor="text1" w:themeTint="FF" w:themeShade="FF"/>
          <w:sz w:val="22"/>
          <w:szCs w:val="22"/>
          <w:lang w:val="en-GB"/>
        </w:rPr>
        <w:t>3.6 Analysing Research</w:t>
      </w:r>
      <w:bookmarkEnd w:id="1445413167"/>
    </w:p>
    <w:p w:rsidR="2A57AE0E" w:rsidP="51A6AB2E" w:rsidRDefault="2A57AE0E" w14:paraId="37DDDBDC" w14:textId="11EB7FBE">
      <w:pPr>
        <w:spacing w:before="240" w:beforeAutospacing="off" w:after="240" w:afterAutospacing="off" w:line="360" w:lineRule="auto"/>
        <w:rPr>
          <w:rFonts w:ascii="Arial" w:hAnsi="Arial" w:eastAsia="Arial" w:cs="Arial"/>
          <w:noProof w:val="0"/>
          <w:sz w:val="22"/>
          <w:szCs w:val="22"/>
          <w:lang w:val="en-GB"/>
        </w:rPr>
      </w:pPr>
      <w:r w:rsidRPr="51A6AB2E" w:rsidR="13E622F0">
        <w:rPr>
          <w:rFonts w:ascii="Arial" w:hAnsi="Arial" w:eastAsia="Arial" w:cs="Arial"/>
          <w:noProof w:val="0"/>
          <w:sz w:val="22"/>
          <w:szCs w:val="22"/>
          <w:lang w:val="en-GB"/>
        </w:rPr>
        <w:t>The selected literature was analysed using thematic analysis, a qualitative method used to identify patterns and themes across data (Braun and Clarke, 2006). Each source was reviewed in detail to identify recurring ideas relevant to the research question. Initial codes included “delayed diagnosis”, “masking”, “gender bias”, “misdiagnosis”, and “emotional distress”.</w:t>
      </w:r>
    </w:p>
    <w:p w:rsidR="2A57AE0E" w:rsidP="51A6AB2E" w:rsidRDefault="2A57AE0E" w14:paraId="275443A3" w14:textId="5BE0A809">
      <w:pPr>
        <w:spacing w:before="240" w:beforeAutospacing="off" w:after="240" w:afterAutospacing="off" w:line="360" w:lineRule="auto"/>
        <w:rPr>
          <w:rFonts w:ascii="Arial" w:hAnsi="Arial" w:eastAsia="Arial" w:cs="Arial"/>
          <w:noProof w:val="0"/>
          <w:sz w:val="22"/>
          <w:szCs w:val="22"/>
          <w:lang w:val="en-GB"/>
        </w:rPr>
      </w:pPr>
      <w:r w:rsidRPr="51A6AB2E" w:rsidR="13E622F0">
        <w:rPr>
          <w:rFonts w:ascii="Arial" w:hAnsi="Arial" w:eastAsia="Arial" w:cs="Arial"/>
          <w:noProof w:val="0"/>
          <w:sz w:val="22"/>
          <w:szCs w:val="22"/>
          <w:lang w:val="en-GB"/>
        </w:rPr>
        <w:t>These codes were compared across studies and grouped into broader themes reflecting common experiences reported in the literature. This process enabled patterns and relationships to be identified while supporting a more critical interpretation of findings. Contrasting perspectives were also considered to ensure a balanced analysis.</w:t>
      </w:r>
    </w:p>
    <w:p w:rsidR="2A57AE0E" w:rsidP="51A6AB2E" w:rsidRDefault="2A57AE0E" w14:paraId="0BC5310A" w14:textId="6688BAD3">
      <w:pPr>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r w:rsidRPr="51A6AB2E" w:rsidR="13E622F0">
        <w:rPr>
          <w:rFonts w:ascii="Arial" w:hAnsi="Arial" w:eastAsia="Arial" w:cs="Arial"/>
          <w:noProof w:val="0"/>
          <w:sz w:val="22"/>
          <w:szCs w:val="22"/>
          <w:lang w:val="en-GB"/>
        </w:rPr>
        <w:t>To organise the data, a source tracking table and results summary table were used to record key findings, codes, and emerging themes from each study (see Appendices A and B). Three main themes emerged from the analysis: diagnostic barriers and gender bias, the psychological impact of late diagnosis, and health and social care provision. These themes form the basis of the findings presented in Chapter 4.</w:t>
      </w:r>
      <w:r w:rsidRPr="51A6AB2E" w:rsidR="13E622F0">
        <w:rPr>
          <w:rFonts w:ascii="Arial" w:hAnsi="Arial" w:eastAsia="Arial" w:cs="Arial"/>
          <w:b w:val="1"/>
          <w:bCs w:val="1"/>
          <w:noProof w:val="0"/>
          <w:color w:val="000000" w:themeColor="text1" w:themeTint="FF" w:themeShade="FF"/>
          <w:sz w:val="22"/>
          <w:szCs w:val="22"/>
          <w:lang w:val="en-GB"/>
        </w:rPr>
        <w:t xml:space="preserve"> </w:t>
      </w:r>
    </w:p>
    <w:p w:rsidR="2A57AE0E" w:rsidP="28856244" w:rsidRDefault="2A57AE0E" w14:paraId="1AB82AE2" w14:textId="7E51E4EB">
      <w:pPr>
        <w:pStyle w:val="Heading3"/>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bookmarkStart w:name="_Toc65510281" w:id="635428856"/>
      <w:r w:rsidRPr="4B13576D" w:rsidR="667DB3FA">
        <w:rPr>
          <w:rFonts w:ascii="Arial" w:hAnsi="Arial" w:eastAsia="Arial" w:cs="Arial"/>
          <w:b w:val="1"/>
          <w:bCs w:val="1"/>
          <w:noProof w:val="0"/>
          <w:color w:val="000000" w:themeColor="text1" w:themeTint="FF" w:themeShade="FF"/>
          <w:sz w:val="22"/>
          <w:szCs w:val="22"/>
          <w:lang w:val="en-GB"/>
        </w:rPr>
        <w:t>3.7 Ethical Considerations</w:t>
      </w:r>
      <w:bookmarkEnd w:id="635428856"/>
    </w:p>
    <w:p w:rsidR="2A57AE0E" w:rsidP="51A6AB2E" w:rsidRDefault="2A57AE0E" w14:paraId="12D194E6" w14:textId="123E3C3C">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51A6AB2E" w:rsidR="5D2D021A">
        <w:rPr>
          <w:rFonts w:ascii="Arial" w:hAnsi="Arial" w:eastAsia="Arial" w:cs="Arial"/>
          <w:noProof w:val="0"/>
          <w:color w:val="000000" w:themeColor="text1" w:themeTint="FF" w:themeShade="FF"/>
          <w:sz w:val="22"/>
          <w:szCs w:val="22"/>
          <w:lang w:val="en-GB"/>
        </w:rPr>
        <w:t>This study was based entirely on secondary research, meaning no primary data collection involving human participants was undertaken. Consequently, ethical approval was not required. However, ethical principles remained important throughout the research process (Aveyard, 2019).</w:t>
      </w:r>
    </w:p>
    <w:p w:rsidR="2A57AE0E" w:rsidP="51A6AB2E" w:rsidRDefault="2A57AE0E" w14:paraId="1E96D066" w14:textId="016B9E6A">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51A6AB2E" w:rsidR="5D2D021A">
        <w:rPr>
          <w:rFonts w:ascii="Arial" w:hAnsi="Arial" w:eastAsia="Arial" w:cs="Arial"/>
          <w:noProof w:val="0"/>
          <w:color w:val="000000" w:themeColor="text1" w:themeTint="FF" w:themeShade="FF"/>
          <w:sz w:val="22"/>
          <w:szCs w:val="22"/>
          <w:lang w:val="en-GB"/>
        </w:rPr>
        <w:t>Academic integrity was maintained by accurately citing all sources using Harvard referencing and ensuring that original authors received appropriate acknowledgement. Care was taken to avoid plagiarism, misrepresentation, and selective reporting of findings.</w:t>
      </w:r>
    </w:p>
    <w:p w:rsidR="2A57AE0E" w:rsidP="51A6AB2E" w:rsidRDefault="2A57AE0E" w14:paraId="4635C550" w14:textId="77868982">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51A6AB2E" w:rsidR="5D2D021A">
        <w:rPr>
          <w:rFonts w:ascii="Arial" w:hAnsi="Arial" w:eastAsia="Arial" w:cs="Arial"/>
          <w:noProof w:val="0"/>
          <w:color w:val="000000" w:themeColor="text1" w:themeTint="FF" w:themeShade="FF"/>
          <w:sz w:val="22"/>
          <w:szCs w:val="22"/>
          <w:lang w:val="en-GB"/>
        </w:rPr>
        <w:t>To enhance transparency and credibility, literature was critically evaluated and presented fairly, with consideration given to differing perspectives. This helped minimise researcher bias and ensured that conclusions were based on reliable and credible evidence.</w:t>
      </w:r>
    </w:p>
    <w:p w:rsidR="2A57AE0E" w:rsidP="51A6AB2E" w:rsidRDefault="2A57AE0E" w14:paraId="07DF04B4" w14:textId="1757472F">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p>
    <w:p w:rsidR="2A57AE0E" w:rsidP="51A6AB2E" w:rsidRDefault="2A57AE0E" w14:paraId="792611C9" w14:textId="66745DAA">
      <w:pPr>
        <w:pStyle w:val="Heading3"/>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bookmarkStart w:name="_Toc1766519133" w:id="1454936944"/>
      <w:r w:rsidRPr="4B13576D" w:rsidR="120183E5">
        <w:rPr>
          <w:rFonts w:ascii="Arial" w:hAnsi="Arial" w:eastAsia="Arial" w:cs="Arial"/>
          <w:b w:val="1"/>
          <w:bCs w:val="1"/>
          <w:noProof w:val="0"/>
          <w:color w:val="000000" w:themeColor="text1" w:themeTint="FF" w:themeShade="FF"/>
          <w:sz w:val="22"/>
          <w:szCs w:val="22"/>
          <w:lang w:val="en-GB"/>
        </w:rPr>
        <w:t>3.8 Conclusion</w:t>
      </w:r>
      <w:bookmarkEnd w:id="1454936944"/>
    </w:p>
    <w:p w:rsidR="2A57AE0E" w:rsidP="51A6AB2E" w:rsidRDefault="2A57AE0E" w14:paraId="79542C5C" w14:textId="181E3018">
      <w:pPr>
        <w:spacing w:before="240" w:beforeAutospacing="off" w:after="240" w:afterAutospacing="off" w:line="360" w:lineRule="auto"/>
        <w:rPr>
          <w:rFonts w:ascii="Arial" w:hAnsi="Arial" w:eastAsia="Arial" w:cs="Arial"/>
          <w:noProof w:val="0"/>
          <w:sz w:val="22"/>
          <w:szCs w:val="22"/>
          <w:lang w:val="en-GB"/>
        </w:rPr>
      </w:pPr>
      <w:r w:rsidRPr="51A6AB2E" w:rsidR="341F5E08">
        <w:rPr>
          <w:rFonts w:ascii="Arial" w:hAnsi="Arial" w:eastAsia="Arial" w:cs="Arial"/>
          <w:noProof w:val="0"/>
          <w:sz w:val="22"/>
          <w:szCs w:val="22"/>
          <w:lang w:val="en-GB"/>
        </w:rPr>
        <w:t>This chapter has outlined the methodological approach used to conduct this study. A structured search strategy was implemented to identify relevant literature, supported by clear inclusion and exclusion criteria to ensure focus and consistency. The selected sources were critically evaluated using a validation process to enhance the credibility and reliability of the research.</w:t>
      </w:r>
    </w:p>
    <w:p w:rsidR="2A57AE0E" w:rsidP="51A6AB2E" w:rsidRDefault="2A57AE0E" w14:paraId="06108671" w14:textId="42EDA5AF">
      <w:pPr>
        <w:spacing w:before="240" w:beforeAutospacing="off" w:after="240" w:afterAutospacing="off" w:line="360" w:lineRule="auto"/>
        <w:rPr>
          <w:rFonts w:ascii="Arial" w:hAnsi="Arial" w:eastAsia="Arial" w:cs="Arial"/>
          <w:noProof w:val="0"/>
          <w:sz w:val="22"/>
          <w:szCs w:val="22"/>
          <w:lang w:val="en-GB"/>
        </w:rPr>
      </w:pPr>
      <w:r w:rsidRPr="51A6AB2E" w:rsidR="341F5E08">
        <w:rPr>
          <w:rFonts w:ascii="Arial" w:hAnsi="Arial" w:eastAsia="Arial" w:cs="Arial"/>
          <w:noProof w:val="0"/>
          <w:sz w:val="22"/>
          <w:szCs w:val="22"/>
          <w:lang w:val="en-GB"/>
        </w:rPr>
        <w:t>Thematic analysis was used to systematically identify, organise, and interpret key patterns across the literature. This approach enabled the development of themes directly linked to the research aim and objectives. Chapter 4 will present and discuss these findings, organised according to the themes that emerged from the analysis.</w:t>
      </w:r>
    </w:p>
    <w:p w:rsidR="2A57AE0E" w:rsidP="51A6AB2E" w:rsidRDefault="2A57AE0E" w14:paraId="4AE70961" w14:textId="54177A6E">
      <w:pPr>
        <w:pStyle w:val="Heading3"/>
        <w:spacing w:before="240" w:beforeAutospacing="off" w:after="240" w:afterAutospacing="off" w:line="360" w:lineRule="auto"/>
        <w:rPr>
          <w:rFonts w:ascii="Arial" w:hAnsi="Arial" w:eastAsia="Arial" w:cs="Arial"/>
          <w:noProof w:val="0"/>
          <w:sz w:val="24"/>
          <w:szCs w:val="24"/>
          <w:lang w:val="en-GB"/>
        </w:rPr>
      </w:pPr>
    </w:p>
    <w:p w:rsidR="3DE12AD4" w:rsidP="072C3F49" w:rsidRDefault="3DE12AD4" w14:paraId="7B2F8255" w14:textId="4CD4B798">
      <w:pPr>
        <w:pStyle w:val="Heading1"/>
        <w:ind w:left="0"/>
        <w:rPr>
          <w:rFonts w:ascii="Aptos" w:hAnsi="Aptos" w:eastAsia="Aptos" w:cs="Aptos"/>
          <w:noProof w:val="0"/>
          <w:sz w:val="22"/>
          <w:szCs w:val="22"/>
          <w:lang w:val="en-GB"/>
        </w:rPr>
      </w:pPr>
      <w:bookmarkStart w:name="_Toc1420894041" w:id="1976286277"/>
      <w:r w:rsidRPr="4B13576D" w:rsidR="5A04B2BC">
        <w:rPr>
          <w:rFonts w:ascii="Aptos" w:hAnsi="Aptos" w:eastAsia="Aptos" w:cs="Aptos"/>
          <w:noProof w:val="0"/>
          <w:sz w:val="22"/>
          <w:szCs w:val="22"/>
          <w:lang w:val="en-GB"/>
        </w:rPr>
        <w:t>CHAPTER 4: FINDINGS AND DISCUSSION</w:t>
      </w:r>
      <w:bookmarkEnd w:id="1976286277"/>
    </w:p>
    <w:p w:rsidR="51A6AB2E" w:rsidP="51A6AB2E" w:rsidRDefault="51A6AB2E" w14:paraId="11CC007E" w14:textId="442E3B32">
      <w:pPr>
        <w:pStyle w:val="Heading2"/>
        <w:rPr>
          <w:rFonts w:ascii="Arial" w:hAnsi="Arial" w:eastAsia="Arial" w:cs="Arial"/>
          <w:noProof w:val="0"/>
          <w:color w:val="000000" w:themeColor="text1" w:themeTint="FF" w:themeShade="FF"/>
          <w:sz w:val="22"/>
          <w:szCs w:val="22"/>
          <w:lang w:val="en-GB"/>
        </w:rPr>
      </w:pPr>
    </w:p>
    <w:p w:rsidR="3DE12AD4" w:rsidP="3DF02E74" w:rsidRDefault="3DE12AD4" w14:paraId="56AF2A19" w14:textId="473C1DA5">
      <w:pPr>
        <w:pStyle w:val="Heading2"/>
        <w:rPr>
          <w:rFonts w:ascii="Arial" w:hAnsi="Arial" w:eastAsia="Arial" w:cs="Arial"/>
          <w:b w:val="1"/>
          <w:bCs w:val="1"/>
          <w:noProof w:val="0"/>
          <w:color w:val="000000" w:themeColor="text1" w:themeTint="FF" w:themeShade="FF"/>
          <w:sz w:val="22"/>
          <w:szCs w:val="22"/>
          <w:lang w:val="en-GB"/>
        </w:rPr>
      </w:pPr>
      <w:bookmarkStart w:name="_Toc1280484689" w:id="949851303"/>
      <w:r w:rsidRPr="4B13576D" w:rsidR="5A04B2BC">
        <w:rPr>
          <w:rFonts w:ascii="Arial" w:hAnsi="Arial" w:eastAsia="Arial" w:cs="Arial"/>
          <w:b w:val="1"/>
          <w:bCs w:val="1"/>
          <w:noProof w:val="0"/>
          <w:color w:val="000000" w:themeColor="text1" w:themeTint="FF" w:themeShade="FF"/>
          <w:sz w:val="22"/>
          <w:szCs w:val="22"/>
          <w:lang w:val="en-GB"/>
        </w:rPr>
        <w:t>4.1 Introduction</w:t>
      </w:r>
      <w:bookmarkEnd w:id="949851303"/>
    </w:p>
    <w:p w:rsidR="3DE12AD4" w:rsidP="4B13576D" w:rsidRDefault="3DE12AD4" w14:paraId="2223D0A0" w14:textId="54ED9D08">
      <w:pPr>
        <w:spacing w:line="360" w:lineRule="auto"/>
        <w:rPr>
          <w:rFonts w:ascii="Arial" w:hAnsi="Arial" w:eastAsia="Arial" w:cs="Arial"/>
          <w:noProof w:val="0"/>
          <w:color w:val="000000" w:themeColor="text1" w:themeTint="FF" w:themeShade="FF"/>
          <w:sz w:val="22"/>
          <w:szCs w:val="22"/>
          <w:lang w:val="en-GB"/>
        </w:rPr>
      </w:pPr>
      <w:r w:rsidRPr="4B13576D" w:rsidR="3DE12AD4">
        <w:rPr>
          <w:rFonts w:ascii="Arial" w:hAnsi="Arial" w:eastAsia="Arial" w:cs="Arial"/>
          <w:noProof w:val="0"/>
          <w:color w:val="000000" w:themeColor="text1" w:themeTint="FF" w:themeShade="FF"/>
          <w:sz w:val="22"/>
          <w:szCs w:val="22"/>
          <w:lang w:val="en-GB"/>
        </w:rPr>
        <w:t>This chapter presents and discusses the findings identified through the thematic analysis of the selected literature. Thematic analysis enabled the identification of recurring patterns relating to the experiences of women diagnosed with Attention Deficit Hyperactivity Disorder (ADHD) after the age of 30. The findings are organised into three key themes: diagnostic barriers and gender bias, the psychological and social impact of late diagnosis, and health and social care provision within the United Kingdom. Each theme is critically examined in relation to the research aim and objectives, drawing upon evidence from the literature reviewed in Chapter 3. The chapter not only presents the findings but also evaluates their significance in understanding the experiences of women who receive an ADHD diagnosis later in life.</w:t>
      </w:r>
    </w:p>
    <w:p w:rsidR="28D4AEB5" w:rsidP="4B13576D" w:rsidRDefault="28D4AEB5" w14:paraId="076B716B" w14:textId="73D938F0">
      <w:pPr>
        <w:pStyle w:val="Heading3"/>
        <w:spacing w:before="281" w:beforeAutospacing="off" w:after="281" w:afterAutospacing="off" w:line="360" w:lineRule="auto"/>
        <w:rPr>
          <w:rFonts w:ascii="Arial" w:hAnsi="Arial" w:eastAsia="Arial" w:cs="Arial"/>
          <w:b w:val="1"/>
          <w:bCs w:val="1"/>
          <w:noProof w:val="0"/>
          <w:color w:val="000000" w:themeColor="text1" w:themeTint="FF" w:themeShade="FF"/>
          <w:sz w:val="22"/>
          <w:szCs w:val="22"/>
          <w:lang w:val="en-GB"/>
        </w:rPr>
      </w:pPr>
      <w:bookmarkStart w:name="_Toc1417315174" w:id="1617596979"/>
      <w:r w:rsidRPr="4B13576D" w:rsidR="5DCA72D1">
        <w:rPr>
          <w:rFonts w:ascii="Arial" w:hAnsi="Arial" w:eastAsia="Arial" w:cs="Arial"/>
          <w:b w:val="1"/>
          <w:bCs w:val="1"/>
          <w:noProof w:val="0"/>
          <w:color w:val="000000" w:themeColor="text1" w:themeTint="FF" w:themeShade="FF"/>
          <w:sz w:val="22"/>
          <w:szCs w:val="22"/>
          <w:lang w:val="en-GB"/>
        </w:rPr>
        <w:t>4.2 Thematic Analysis</w:t>
      </w:r>
      <w:bookmarkEnd w:id="1617596979"/>
    </w:p>
    <w:p w:rsidR="28D4AEB5" w:rsidP="4B13576D" w:rsidRDefault="28D4AEB5" w14:paraId="2966C97A" w14:textId="55CC2DDE">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5DCA72D1">
        <w:rPr>
          <w:rFonts w:ascii="Arial" w:hAnsi="Arial" w:eastAsia="Arial" w:cs="Arial"/>
          <w:noProof w:val="0"/>
          <w:color w:val="000000" w:themeColor="text1" w:themeTint="FF" w:themeShade="FF"/>
          <w:sz w:val="22"/>
          <w:szCs w:val="22"/>
          <w:lang w:val="en-GB"/>
        </w:rPr>
        <w:t>Thematic analysis is a qualitative method used to identify, analyse, and interpret patterns of meaning within a dataset (Braun and Clarke, 2006). Within this study, thematic analysis was applied to the selected literature to identify recurring issues, experiences, and perspectives relating to ADHD in women diagnosed after the age of 30.</w:t>
      </w:r>
    </w:p>
    <w:p w:rsidR="28D4AEB5" w:rsidP="4B13576D" w:rsidRDefault="28D4AEB5" w14:paraId="0CA27EE0" w14:textId="12523537">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5DCA72D1">
        <w:rPr>
          <w:rFonts w:ascii="Arial" w:hAnsi="Arial" w:eastAsia="Arial" w:cs="Arial"/>
          <w:noProof w:val="0"/>
          <w:color w:val="000000" w:themeColor="text1" w:themeTint="FF" w:themeShade="FF"/>
          <w:sz w:val="22"/>
          <w:szCs w:val="22"/>
          <w:lang w:val="en-GB"/>
        </w:rPr>
        <w:t xml:space="preserve">Following a detailed review of the literature, initial codes such as </w:t>
      </w:r>
      <w:r w:rsidRPr="4B13576D" w:rsidR="5DCA72D1">
        <w:rPr>
          <w:rFonts w:ascii="Arial" w:hAnsi="Arial" w:eastAsia="Arial" w:cs="Arial"/>
          <w:b w:val="1"/>
          <w:bCs w:val="1"/>
          <w:noProof w:val="0"/>
          <w:color w:val="000000" w:themeColor="text1" w:themeTint="FF" w:themeShade="FF"/>
          <w:sz w:val="22"/>
          <w:szCs w:val="22"/>
          <w:lang w:val="en-GB"/>
        </w:rPr>
        <w:t>delayed diagnosis</w:t>
      </w:r>
      <w:r w:rsidRPr="4B13576D" w:rsidR="5DCA72D1">
        <w:rPr>
          <w:rFonts w:ascii="Arial" w:hAnsi="Arial" w:eastAsia="Arial" w:cs="Arial"/>
          <w:noProof w:val="0"/>
          <w:color w:val="000000" w:themeColor="text1" w:themeTint="FF" w:themeShade="FF"/>
          <w:sz w:val="22"/>
          <w:szCs w:val="22"/>
          <w:lang w:val="en-GB"/>
        </w:rPr>
        <w:t xml:space="preserve">, </w:t>
      </w:r>
      <w:r w:rsidRPr="4B13576D" w:rsidR="5DCA72D1">
        <w:rPr>
          <w:rFonts w:ascii="Arial" w:hAnsi="Arial" w:eastAsia="Arial" w:cs="Arial"/>
          <w:b w:val="1"/>
          <w:bCs w:val="1"/>
          <w:noProof w:val="0"/>
          <w:color w:val="000000" w:themeColor="text1" w:themeTint="FF" w:themeShade="FF"/>
          <w:sz w:val="22"/>
          <w:szCs w:val="22"/>
          <w:lang w:val="en-GB"/>
        </w:rPr>
        <w:t>masking</w:t>
      </w:r>
      <w:r w:rsidRPr="4B13576D" w:rsidR="5DCA72D1">
        <w:rPr>
          <w:rFonts w:ascii="Arial" w:hAnsi="Arial" w:eastAsia="Arial" w:cs="Arial"/>
          <w:noProof w:val="0"/>
          <w:color w:val="000000" w:themeColor="text1" w:themeTint="FF" w:themeShade="FF"/>
          <w:sz w:val="22"/>
          <w:szCs w:val="22"/>
          <w:lang w:val="en-GB"/>
        </w:rPr>
        <w:t xml:space="preserve">, </w:t>
      </w:r>
      <w:r w:rsidRPr="4B13576D" w:rsidR="5DCA72D1">
        <w:rPr>
          <w:rFonts w:ascii="Arial" w:hAnsi="Arial" w:eastAsia="Arial" w:cs="Arial"/>
          <w:b w:val="1"/>
          <w:bCs w:val="1"/>
          <w:noProof w:val="0"/>
          <w:color w:val="000000" w:themeColor="text1" w:themeTint="FF" w:themeShade="FF"/>
          <w:sz w:val="22"/>
          <w:szCs w:val="22"/>
          <w:lang w:val="en-GB"/>
        </w:rPr>
        <w:t>gender bias</w:t>
      </w:r>
      <w:r w:rsidRPr="4B13576D" w:rsidR="5DCA72D1">
        <w:rPr>
          <w:rFonts w:ascii="Arial" w:hAnsi="Arial" w:eastAsia="Arial" w:cs="Arial"/>
          <w:noProof w:val="0"/>
          <w:color w:val="000000" w:themeColor="text1" w:themeTint="FF" w:themeShade="FF"/>
          <w:sz w:val="22"/>
          <w:szCs w:val="22"/>
          <w:lang w:val="en-GB"/>
        </w:rPr>
        <w:t xml:space="preserve">, </w:t>
      </w:r>
      <w:r w:rsidRPr="4B13576D" w:rsidR="5DCA72D1">
        <w:rPr>
          <w:rFonts w:ascii="Arial" w:hAnsi="Arial" w:eastAsia="Arial" w:cs="Arial"/>
          <w:b w:val="1"/>
          <w:bCs w:val="1"/>
          <w:noProof w:val="0"/>
          <w:color w:val="000000" w:themeColor="text1" w:themeTint="FF" w:themeShade="FF"/>
          <w:sz w:val="22"/>
          <w:szCs w:val="22"/>
          <w:lang w:val="en-GB"/>
        </w:rPr>
        <w:t>emotional distress</w:t>
      </w:r>
      <w:r w:rsidRPr="4B13576D" w:rsidR="5DCA72D1">
        <w:rPr>
          <w:rFonts w:ascii="Arial" w:hAnsi="Arial" w:eastAsia="Arial" w:cs="Arial"/>
          <w:noProof w:val="0"/>
          <w:color w:val="000000" w:themeColor="text1" w:themeTint="FF" w:themeShade="FF"/>
          <w:sz w:val="22"/>
          <w:szCs w:val="22"/>
          <w:lang w:val="en-GB"/>
        </w:rPr>
        <w:t xml:space="preserve">, </w:t>
      </w:r>
      <w:r w:rsidRPr="4B13576D" w:rsidR="5DCA72D1">
        <w:rPr>
          <w:rFonts w:ascii="Arial" w:hAnsi="Arial" w:eastAsia="Arial" w:cs="Arial"/>
          <w:b w:val="1"/>
          <w:bCs w:val="1"/>
          <w:noProof w:val="0"/>
          <w:color w:val="000000" w:themeColor="text1" w:themeTint="FF" w:themeShade="FF"/>
          <w:sz w:val="22"/>
          <w:szCs w:val="22"/>
          <w:lang w:val="en-GB"/>
        </w:rPr>
        <w:t>misdiagnosis</w:t>
      </w:r>
      <w:r w:rsidRPr="4B13576D" w:rsidR="5DCA72D1">
        <w:rPr>
          <w:rFonts w:ascii="Arial" w:hAnsi="Arial" w:eastAsia="Arial" w:cs="Arial"/>
          <w:noProof w:val="0"/>
          <w:color w:val="000000" w:themeColor="text1" w:themeTint="FF" w:themeShade="FF"/>
          <w:sz w:val="22"/>
          <w:szCs w:val="22"/>
          <w:lang w:val="en-GB"/>
        </w:rPr>
        <w:t xml:space="preserve">, </w:t>
      </w:r>
      <w:r w:rsidRPr="4B13576D" w:rsidR="5DCA72D1">
        <w:rPr>
          <w:rFonts w:ascii="Arial" w:hAnsi="Arial" w:eastAsia="Arial" w:cs="Arial"/>
          <w:b w:val="1"/>
          <w:bCs w:val="1"/>
          <w:noProof w:val="0"/>
          <w:color w:val="000000" w:themeColor="text1" w:themeTint="FF" w:themeShade="FF"/>
          <w:sz w:val="22"/>
          <w:szCs w:val="22"/>
          <w:lang w:val="en-GB"/>
        </w:rPr>
        <w:t>identity reconstruction</w:t>
      </w:r>
      <w:r w:rsidRPr="4B13576D" w:rsidR="5DCA72D1">
        <w:rPr>
          <w:rFonts w:ascii="Arial" w:hAnsi="Arial" w:eastAsia="Arial" w:cs="Arial"/>
          <w:noProof w:val="0"/>
          <w:color w:val="000000" w:themeColor="text1" w:themeTint="FF" w:themeShade="FF"/>
          <w:sz w:val="22"/>
          <w:szCs w:val="22"/>
          <w:lang w:val="en-GB"/>
        </w:rPr>
        <w:t xml:space="preserve">, and </w:t>
      </w:r>
      <w:r w:rsidRPr="4B13576D" w:rsidR="5DCA72D1">
        <w:rPr>
          <w:rFonts w:ascii="Arial" w:hAnsi="Arial" w:eastAsia="Arial" w:cs="Arial"/>
          <w:b w:val="1"/>
          <w:bCs w:val="1"/>
          <w:noProof w:val="0"/>
          <w:color w:val="000000" w:themeColor="text1" w:themeTint="FF" w:themeShade="FF"/>
          <w:sz w:val="22"/>
          <w:szCs w:val="22"/>
          <w:lang w:val="en-GB"/>
        </w:rPr>
        <w:t>healthcare barriers</w:t>
      </w:r>
      <w:r w:rsidRPr="4B13576D" w:rsidR="5DCA72D1">
        <w:rPr>
          <w:rFonts w:ascii="Arial" w:hAnsi="Arial" w:eastAsia="Arial" w:cs="Arial"/>
          <w:noProof w:val="0"/>
          <w:color w:val="000000" w:themeColor="text1" w:themeTint="FF" w:themeShade="FF"/>
          <w:sz w:val="22"/>
          <w:szCs w:val="22"/>
          <w:lang w:val="en-GB"/>
        </w:rPr>
        <w:t xml:space="preserve"> were identified. These codes were recorded within the Source Tracking Table and Results Summary Table (Appendices A and B) before being grouped into broader themes. Similar codes were compared across multiple studies to identify consistent patterns and relationships. This systematic process enabled the literature to be organised into meaningful categories while ensuring that the findings remained grounded in the published evidence rather than individual interpretation (Braun and Clarke, 2006).</w:t>
      </w:r>
    </w:p>
    <w:p w:rsidR="28D4AEB5" w:rsidP="4B13576D" w:rsidRDefault="28D4AEB5" w14:paraId="1E8D589F" w14:textId="40D82E5F">
      <w:pPr>
        <w:spacing w:before="240" w:beforeAutospacing="off" w:after="240" w:afterAutospacing="off" w:line="360" w:lineRule="auto"/>
        <w:rPr>
          <w:rFonts w:ascii="Arial" w:hAnsi="Arial" w:eastAsia="Arial" w:cs="Arial"/>
          <w:noProof w:val="0"/>
          <w:color w:val="000000" w:themeColor="text1" w:themeTint="FF" w:themeShade="FF"/>
          <w:sz w:val="22"/>
          <w:szCs w:val="22"/>
          <w:lang w:val="en-GB"/>
        </w:rPr>
      </w:pPr>
      <w:r w:rsidRPr="4B13576D" w:rsidR="5DCA72D1">
        <w:rPr>
          <w:rFonts w:ascii="Arial" w:hAnsi="Arial" w:eastAsia="Arial" w:cs="Arial"/>
          <w:noProof w:val="0"/>
          <w:color w:val="000000" w:themeColor="text1" w:themeTint="FF" w:themeShade="FF"/>
          <w:sz w:val="22"/>
          <w:szCs w:val="22"/>
          <w:lang w:val="en-GB"/>
        </w:rPr>
        <w:t>The three themes were developed through an iterative process of coding, reviewing and refining the data. During this process, overlapping concepts were merged, while distinct ideas were retained where they provided unique insights into women's experiences. Using this structured approach strengthened the credibility and transparency of the analysis by ensuring that each theme accurately reflected the evidence presented within the selected studies.</w:t>
      </w:r>
    </w:p>
    <w:p w:rsidR="28D4AEB5" w:rsidP="4B13576D" w:rsidRDefault="28D4AEB5" w14:paraId="165E161A" w14:textId="468AF34A">
      <w:pPr>
        <w:spacing w:before="240" w:beforeAutospacing="off" w:after="240" w:afterAutospacing="off" w:line="360" w:lineRule="auto"/>
        <w:rPr>
          <w:rFonts w:ascii="Arial" w:hAnsi="Arial" w:eastAsia="Arial" w:cs="Arial"/>
          <w:b w:val="1"/>
          <w:bCs w:val="1"/>
          <w:noProof w:val="0"/>
          <w:color w:val="000000" w:themeColor="text1" w:themeTint="FF" w:themeShade="FF"/>
          <w:sz w:val="22"/>
          <w:szCs w:val="22"/>
          <w:lang w:val="en-GB"/>
        </w:rPr>
      </w:pPr>
      <w:r w:rsidRPr="4B13576D" w:rsidR="5DCA72D1">
        <w:rPr>
          <w:rFonts w:ascii="Arial" w:hAnsi="Arial" w:eastAsia="Arial" w:cs="Arial"/>
          <w:noProof w:val="0"/>
          <w:color w:val="000000" w:themeColor="text1" w:themeTint="FF" w:themeShade="FF"/>
          <w:sz w:val="22"/>
          <w:szCs w:val="22"/>
          <w:lang w:val="en-GB"/>
        </w:rPr>
        <w:t xml:space="preserve">Three principal themes emerged from the analysis. The first theme, </w:t>
      </w:r>
      <w:r w:rsidRPr="4B13576D" w:rsidR="5DCA72D1">
        <w:rPr>
          <w:rFonts w:ascii="Arial" w:hAnsi="Arial" w:eastAsia="Arial" w:cs="Arial"/>
          <w:b w:val="1"/>
          <w:bCs w:val="1"/>
          <w:noProof w:val="0"/>
          <w:color w:val="000000" w:themeColor="text1" w:themeTint="FF" w:themeShade="FF"/>
          <w:sz w:val="22"/>
          <w:szCs w:val="22"/>
          <w:lang w:val="en-GB"/>
        </w:rPr>
        <w:t>Diagnostic Barriers and Gender Bias</w:t>
      </w:r>
      <w:r w:rsidRPr="4B13576D" w:rsidR="5DCA72D1">
        <w:rPr>
          <w:rFonts w:ascii="Arial" w:hAnsi="Arial" w:eastAsia="Arial" w:cs="Arial"/>
          <w:noProof w:val="0"/>
          <w:color w:val="000000" w:themeColor="text1" w:themeTint="FF" w:themeShade="FF"/>
          <w:sz w:val="22"/>
          <w:szCs w:val="22"/>
          <w:lang w:val="en-GB"/>
        </w:rPr>
        <w:t xml:space="preserve">, explores the factors contributing to delayed identification of ADHD in women. The second theme, </w:t>
      </w:r>
      <w:r w:rsidRPr="4B13576D" w:rsidR="5DCA72D1">
        <w:rPr>
          <w:rFonts w:ascii="Arial" w:hAnsi="Arial" w:eastAsia="Arial" w:cs="Arial"/>
          <w:b w:val="1"/>
          <w:bCs w:val="1"/>
          <w:noProof w:val="0"/>
          <w:color w:val="000000" w:themeColor="text1" w:themeTint="FF" w:themeShade="FF"/>
          <w:sz w:val="22"/>
          <w:szCs w:val="22"/>
          <w:lang w:val="en-GB"/>
        </w:rPr>
        <w:t>Psychological and Social Impact of Late Diagnosis</w:t>
      </w:r>
      <w:r w:rsidRPr="4B13576D" w:rsidR="5DCA72D1">
        <w:rPr>
          <w:rFonts w:ascii="Arial" w:hAnsi="Arial" w:eastAsia="Arial" w:cs="Arial"/>
          <w:noProof w:val="0"/>
          <w:color w:val="000000" w:themeColor="text1" w:themeTint="FF" w:themeShade="FF"/>
          <w:sz w:val="22"/>
          <w:szCs w:val="22"/>
          <w:lang w:val="en-GB"/>
        </w:rPr>
        <w:t xml:space="preserve">, examines the emotional, social and personal consequences associated with receiving a diagnosis later in life. The final theme, </w:t>
      </w:r>
      <w:r w:rsidRPr="4B13576D" w:rsidR="5DCA72D1">
        <w:rPr>
          <w:rFonts w:ascii="Arial" w:hAnsi="Arial" w:eastAsia="Arial" w:cs="Arial"/>
          <w:b w:val="1"/>
          <w:bCs w:val="1"/>
          <w:noProof w:val="0"/>
          <w:color w:val="000000" w:themeColor="text1" w:themeTint="FF" w:themeShade="FF"/>
          <w:sz w:val="22"/>
          <w:szCs w:val="22"/>
          <w:lang w:val="en-GB"/>
        </w:rPr>
        <w:t>Health and Social Care Provision in the United Kingdom</w:t>
      </w:r>
      <w:r w:rsidRPr="4B13576D" w:rsidR="5DCA72D1">
        <w:rPr>
          <w:rFonts w:ascii="Arial" w:hAnsi="Arial" w:eastAsia="Arial" w:cs="Arial"/>
          <w:noProof w:val="0"/>
          <w:color w:val="000000" w:themeColor="text1" w:themeTint="FF" w:themeShade="FF"/>
          <w:sz w:val="22"/>
          <w:szCs w:val="22"/>
          <w:lang w:val="en-GB"/>
        </w:rPr>
        <w:t>, evaluates the effectiveness of current services and the challenges women encounter when accessing assessment, diagnosis and ongoing support. Collectively, these themes provide a comprehensive framework for understanding the complex experiences of women diagnosed with ADHD during adulthood and directly address the research aim and objectives established in Chapter 1.</w:t>
      </w:r>
      <w:r w:rsidRPr="4B13576D" w:rsidR="5DCA72D1">
        <w:rPr>
          <w:rFonts w:ascii="Arial" w:hAnsi="Arial" w:eastAsia="Arial" w:cs="Arial"/>
          <w:b w:val="1"/>
          <w:bCs w:val="1"/>
          <w:noProof w:val="0"/>
          <w:color w:val="000000" w:themeColor="text1" w:themeTint="FF" w:themeShade="FF"/>
          <w:sz w:val="22"/>
          <w:szCs w:val="22"/>
          <w:lang w:val="en-GB"/>
        </w:rPr>
        <w:t xml:space="preserve"> </w:t>
      </w:r>
    </w:p>
    <w:p w:rsidR="28D4AEB5" w:rsidP="3DF02E74" w:rsidRDefault="28D4AEB5" w14:paraId="29F54BA5" w14:textId="48265E28">
      <w:pPr>
        <w:pStyle w:val="Heading2"/>
        <w:rPr>
          <w:rFonts w:ascii="Arial" w:hAnsi="Arial" w:eastAsia="Arial" w:cs="Arial"/>
          <w:b w:val="1"/>
          <w:bCs w:val="1"/>
          <w:noProof w:val="0"/>
          <w:color w:val="000000" w:themeColor="text1" w:themeTint="FF" w:themeShade="FF"/>
          <w:sz w:val="22"/>
          <w:szCs w:val="22"/>
          <w:lang w:val="en-GB"/>
        </w:rPr>
      </w:pPr>
      <w:bookmarkStart w:name="_Toc438403719" w:id="1562112722"/>
      <w:r w:rsidRPr="4B13576D" w:rsidR="5A75A53A">
        <w:rPr>
          <w:rFonts w:ascii="Arial" w:hAnsi="Arial" w:eastAsia="Arial" w:cs="Arial"/>
          <w:b w:val="1"/>
          <w:bCs w:val="1"/>
          <w:noProof w:val="0"/>
          <w:color w:val="000000" w:themeColor="text1" w:themeTint="FF" w:themeShade="FF"/>
          <w:sz w:val="22"/>
          <w:szCs w:val="22"/>
          <w:lang w:val="en-GB"/>
        </w:rPr>
        <w:t>4.3 Theme 1: Diagnostic Barriers and Gender Bias</w:t>
      </w:r>
      <w:bookmarkEnd w:id="1562112722"/>
    </w:p>
    <w:p w:rsidR="28D4AEB5" w:rsidRDefault="28D4AEB5" w14:paraId="1697679A" w14:textId="1901A433">
      <w:r w:rsidRPr="51A6AB2E" w:rsidR="28D4AEB5">
        <w:rPr>
          <w:rFonts w:ascii="Arial" w:hAnsi="Arial" w:eastAsia="Arial" w:cs="Arial"/>
          <w:noProof w:val="0"/>
          <w:sz w:val="22"/>
          <w:szCs w:val="22"/>
          <w:lang w:val="en-GB"/>
        </w:rPr>
        <w:t>The first theme identified through thematic analysis was diagnostic barriers and gender bias. This theme was evident across multiple studies and emerged as one of the most significant factors influencing the experiences of women diagnosed with ADHD after the age of 30. The findings suggest that delayed diagnosis is not solely the result of individual circumstances but is strongly influenced by historical, social, and clinical factors that shape how ADHD is recognised and assessed.</w:t>
      </w:r>
    </w:p>
    <w:p w:rsidR="28D4AEB5" w:rsidP="3DF02E74" w:rsidRDefault="28D4AEB5" w14:paraId="589E5B8A" w14:textId="1DC812F0">
      <w:pPr>
        <w:pStyle w:val="Normal"/>
      </w:pPr>
      <w:r w:rsidRPr="3DF02E74" w:rsidR="0D0AB587">
        <w:rPr>
          <w:rFonts w:ascii="Arial" w:hAnsi="Arial" w:eastAsia="Arial" w:cs="Arial"/>
          <w:noProof w:val="0"/>
          <w:sz w:val="22"/>
          <w:szCs w:val="22"/>
          <w:lang w:val="en-GB"/>
        </w:rPr>
        <w:t xml:space="preserve">Historically, ADHD has been conceptualised as a disorder primarily affecting young boys displaying hyperactive and disruptive behaviours. As discussed in Chapter 2, early diagnostic frameworks were developed using </w:t>
      </w:r>
      <w:r w:rsidRPr="3DF02E74" w:rsidR="0D0AB587">
        <w:rPr>
          <w:rFonts w:ascii="Arial" w:hAnsi="Arial" w:eastAsia="Arial" w:cs="Arial"/>
          <w:noProof w:val="0"/>
          <w:sz w:val="22"/>
          <w:szCs w:val="22"/>
          <w:lang w:val="en-GB"/>
        </w:rPr>
        <w:t>predominantly male</w:t>
      </w:r>
      <w:r w:rsidRPr="3DF02E74" w:rsidR="0D0AB587">
        <w:rPr>
          <w:rFonts w:ascii="Arial" w:hAnsi="Arial" w:eastAsia="Arial" w:cs="Arial"/>
          <w:noProof w:val="0"/>
          <w:sz w:val="22"/>
          <w:szCs w:val="22"/>
          <w:lang w:val="en-GB"/>
        </w:rPr>
        <w:t xml:space="preserve"> research samples, creating a narrow understanding of ADHD symptom presentation</w:t>
      </w:r>
      <w:r w:rsidRPr="3DF02E74" w:rsidR="48E57738">
        <w:rPr>
          <w:rFonts w:ascii="Times New Roman" w:hAnsi="Times New Roman" w:eastAsia="Times New Roman" w:cs="Times New Roman"/>
          <w:noProof w:val="0"/>
          <w:sz w:val="24"/>
          <w:szCs w:val="24"/>
          <w:lang w:val="en-GB"/>
        </w:rPr>
        <w:t xml:space="preserve"> (Mowlem </w:t>
      </w:r>
      <w:r w:rsidRPr="3DF02E74" w:rsidR="48E57738">
        <w:rPr>
          <w:rFonts w:ascii="Times New Roman" w:hAnsi="Times New Roman" w:eastAsia="Times New Roman" w:cs="Times New Roman"/>
          <w:i w:val="1"/>
          <w:iCs w:val="1"/>
          <w:noProof w:val="0"/>
          <w:sz w:val="24"/>
          <w:szCs w:val="24"/>
          <w:lang w:val="en-GB"/>
        </w:rPr>
        <w:t>et al.</w:t>
      </w:r>
      <w:r w:rsidRPr="3DF02E74" w:rsidR="48E57738">
        <w:rPr>
          <w:rFonts w:ascii="Times New Roman" w:hAnsi="Times New Roman" w:eastAsia="Times New Roman" w:cs="Times New Roman"/>
          <w:noProof w:val="0"/>
          <w:sz w:val="24"/>
          <w:szCs w:val="24"/>
          <w:lang w:val="en-GB"/>
        </w:rPr>
        <w:t>, 2019)</w:t>
      </w:r>
      <w:r w:rsidRPr="3DF02E74" w:rsidR="0D0AB587">
        <w:rPr>
          <w:rFonts w:ascii="Arial" w:hAnsi="Arial" w:eastAsia="Arial" w:cs="Arial"/>
          <w:noProof w:val="0"/>
          <w:sz w:val="22"/>
          <w:szCs w:val="22"/>
          <w:lang w:val="en-GB"/>
        </w:rPr>
        <w:t xml:space="preserve">. Although contemporary diagnostic criteria acknowledge inattentive symptoms, the literature </w:t>
      </w:r>
      <w:r w:rsidRPr="3DF02E74" w:rsidR="0D0AB587">
        <w:rPr>
          <w:rFonts w:ascii="Arial" w:hAnsi="Arial" w:eastAsia="Arial" w:cs="Arial"/>
          <w:noProof w:val="0"/>
          <w:sz w:val="22"/>
          <w:szCs w:val="22"/>
          <w:lang w:val="en-GB"/>
        </w:rPr>
        <w:t>indicates</w:t>
      </w:r>
      <w:r w:rsidRPr="3DF02E74" w:rsidR="0D0AB587">
        <w:rPr>
          <w:rFonts w:ascii="Arial" w:hAnsi="Arial" w:eastAsia="Arial" w:cs="Arial"/>
          <w:noProof w:val="0"/>
          <w:sz w:val="22"/>
          <w:szCs w:val="22"/>
          <w:lang w:val="en-GB"/>
        </w:rPr>
        <w:t xml:space="preserve"> that many healthcare professionals continue to associate ADHD with externalising behaviours. Consequently, women whose symptoms are internalised may not fit traditional diagnostic expectations and are therefore at greater risk of remaining undiagnosed into adulthood.</w:t>
      </w:r>
    </w:p>
    <w:p w:rsidR="28D4AEB5" w:rsidRDefault="28D4AEB5" w14:paraId="385FBCE2" w14:textId="29FB8232">
      <w:r w:rsidRPr="51A6AB2E" w:rsidR="28D4AEB5">
        <w:rPr>
          <w:rFonts w:ascii="Arial" w:hAnsi="Arial" w:eastAsia="Arial" w:cs="Arial"/>
          <w:noProof w:val="0"/>
          <w:sz w:val="22"/>
          <w:szCs w:val="22"/>
          <w:lang w:val="en-GB"/>
        </w:rPr>
        <w:t>The findings from Attoe and Climie (2023) strongly support this argument. Their systematic review identified substantial differences in how ADHD presents in women compared with men. Women were found to experience symptoms such as chronic disorganisation, emotional dysregulation, forgetfulness, and cognitive overload, yet these difficulties were frequently overlooked or attributed to alternative explanations. Importantly, the review suggests that diagnostic systems continue to reflect male-centred assumptions, creating barriers for women seeking assessment. This finding is particularly relevant to the current study because it demonstrates how delayed diagnosis may originate from systemic shortcomings rather than individual failure to seek help.</w:t>
      </w:r>
    </w:p>
    <w:p w:rsidR="28D4AEB5" w:rsidRDefault="28D4AEB5" w14:paraId="789FC60C" w14:textId="01A9708C">
      <w:r w:rsidRPr="51A6AB2E" w:rsidR="28D4AEB5">
        <w:rPr>
          <w:rFonts w:ascii="Arial" w:hAnsi="Arial" w:eastAsia="Arial" w:cs="Arial"/>
          <w:noProof w:val="0"/>
          <w:sz w:val="22"/>
          <w:szCs w:val="22"/>
          <w:lang w:val="en-GB"/>
        </w:rPr>
        <w:t>A recurring issue identified within the literature is the tendency for women's symptoms to be misinterpreted. Quinn and Madhoo (2014) argue that female presentations of ADHD are often less disruptive and therefore less visible within educational and healthcare settings. Unlike boys who may attract attention due to behavioural difficulties, girls are more likely to internalise symptoms and develop coping strategies that conceal their challenges. Consequently, difficulties may be interpreted as anxiety, stress, poor organisation, or personality traits rather than indicators of ADHD. The findings suggest that this process contributes significantly to diagnostic delay and may explain why many women do not receive a diagnosis until adulthood.</w:t>
      </w:r>
    </w:p>
    <w:p w:rsidR="28D4AEB5" w:rsidRDefault="28D4AEB5" w14:paraId="2488C738" w14:textId="3FFC32DA">
      <w:r w:rsidRPr="51A6AB2E" w:rsidR="28D4AEB5">
        <w:rPr>
          <w:rFonts w:ascii="Arial" w:hAnsi="Arial" w:eastAsia="Arial" w:cs="Arial"/>
          <w:noProof w:val="0"/>
          <w:sz w:val="22"/>
          <w:szCs w:val="22"/>
          <w:lang w:val="en-GB"/>
        </w:rPr>
        <w:t>The concept of masking emerged as a particularly important diagnostic barrier. Attoe and Climie (2023) found that many women consciously or unconsciously develop strategies to compensate for ADHD-related difficulties. These strategies often involve excessive preparation, perfectionism, overworking, or carefully managing social interactions to avoid negative judgement. While masking may help women meet social expectations, it can simultaneously reduce the visibility of symptoms during clinical assessment. This creates a paradox whereby individuals experiencing significant difficulties appear outwardly successful, making diagnosis less likely.</w:t>
      </w:r>
    </w:p>
    <w:p w:rsidR="28D4AEB5" w:rsidRDefault="28D4AEB5" w14:paraId="4739CC15" w14:textId="0D923B46">
      <w:r w:rsidRPr="51A6AB2E" w:rsidR="28D4AEB5">
        <w:rPr>
          <w:rFonts w:ascii="Arial" w:hAnsi="Arial" w:eastAsia="Arial" w:cs="Arial"/>
          <w:noProof w:val="0"/>
          <w:sz w:val="22"/>
          <w:szCs w:val="22"/>
          <w:lang w:val="en-GB"/>
        </w:rPr>
        <w:t>The findings of Platania et al. (2025) further strengthen this argument by demonstrating that gender influences both symptom recognition and diagnostic decision-making. Their study suggests that identical behaviours may be interpreted differently depending on whether they are displayed by men or women. Such findings indicate that diagnostic processes are not entirely objective but may be influenced by unconscious assumptions regarding gender. This supports wider debates surrounding equality within healthcare and raises questions regarding whether current diagnostic frameworks adequately capture female experiences of ADHD.</w:t>
      </w:r>
    </w:p>
    <w:p w:rsidR="28D4AEB5" w:rsidRDefault="28D4AEB5" w14:paraId="3D2F055E" w14:textId="661FAC8D">
      <w:r w:rsidRPr="51A6AB2E" w:rsidR="28D4AEB5">
        <w:rPr>
          <w:rFonts w:ascii="Arial" w:hAnsi="Arial" w:eastAsia="Arial" w:cs="Arial"/>
          <w:noProof w:val="0"/>
          <w:sz w:val="22"/>
          <w:szCs w:val="22"/>
          <w:lang w:val="en-GB"/>
        </w:rPr>
        <w:t>From a sociocultural perspective, gender norms appear to play a substantial role in shaping diagnostic experiences. Women are often expected to demonstrate organisation, attentiveness, emotional regulation, and effective management of multiple responsibilities. These expectations can encourage individuals to conceal difficulties and discourage help-seeking behaviour. The findings suggest that many women attribute their struggles to personal inadequacy rather than considering a neurodevelopmental explanation. As a result, self-blame may develop long before diagnosis occurs.</w:t>
      </w:r>
    </w:p>
    <w:p w:rsidR="28D4AEB5" w:rsidRDefault="28D4AEB5" w14:paraId="04649D2C" w14:textId="755B2DFE">
      <w:r w:rsidRPr="51A6AB2E" w:rsidR="28D4AEB5">
        <w:rPr>
          <w:rFonts w:ascii="Arial" w:hAnsi="Arial" w:eastAsia="Arial" w:cs="Arial"/>
          <w:noProof w:val="0"/>
          <w:sz w:val="22"/>
          <w:szCs w:val="22"/>
          <w:lang w:val="en-GB"/>
        </w:rPr>
        <w:t>The literature also highlights the relationship between diagnostic barriers and misdiagnosis. Because ADHD symptoms frequently overlap with conditions such as anxiety and depression, women may receive alternative diagnoses before ADHD is considered. While mental health difficulties are common among individuals with ADHD, the findings indicate that clinicians may focus on secondary symptoms without exploring potential underlying causes. This can result in years of ineffective treatment and continued uncertainty. The experiences described across the literature suggest that delayed diagnosis often represents a cumulative process involving multiple missed opportunities for identification.</w:t>
      </w:r>
    </w:p>
    <w:p w:rsidR="6C2B01DD" w:rsidRDefault="6C2B01DD" w14:paraId="4EB8118C" w14:textId="43DB4955">
      <w:r w:rsidRPr="51A6AB2E" w:rsidR="6C2B01DD">
        <w:rPr>
          <w:rFonts w:ascii="Arial" w:hAnsi="Arial" w:eastAsia="Arial" w:cs="Arial"/>
          <w:noProof w:val="0"/>
          <w:sz w:val="22"/>
          <w:szCs w:val="22"/>
          <w:lang w:val="en-GB"/>
        </w:rPr>
        <w:t>importantly</w:t>
      </w:r>
      <w:r w:rsidRPr="51A6AB2E" w:rsidR="6C2B01DD">
        <w:rPr>
          <w:rFonts w:ascii="Arial" w:hAnsi="Arial" w:eastAsia="Arial" w:cs="Arial"/>
          <w:noProof w:val="0"/>
          <w:sz w:val="22"/>
          <w:szCs w:val="22"/>
          <w:lang w:val="en-GB"/>
        </w:rPr>
        <w:t xml:space="preserve">, there is strong consistency across the studies included within this review. Although Attoe and Climie (2023), </w:t>
      </w:r>
      <w:r w:rsidRPr="51A6AB2E" w:rsidR="6C2B01DD">
        <w:rPr>
          <w:rFonts w:ascii="Arial" w:hAnsi="Arial" w:eastAsia="Arial" w:cs="Arial"/>
          <w:noProof w:val="0"/>
          <w:sz w:val="22"/>
          <w:szCs w:val="22"/>
          <w:lang w:val="en-GB"/>
        </w:rPr>
        <w:t>Quinn</w:t>
      </w:r>
      <w:r w:rsidRPr="51A6AB2E" w:rsidR="6C2B01DD">
        <w:rPr>
          <w:rFonts w:ascii="Arial" w:hAnsi="Arial" w:eastAsia="Arial" w:cs="Arial"/>
          <w:noProof w:val="0"/>
          <w:sz w:val="22"/>
          <w:szCs w:val="22"/>
          <w:lang w:val="en-GB"/>
        </w:rPr>
        <w:t xml:space="preserve"> and Madhoo (2014), and Platania et al. (2025) employ different methodologies, all </w:t>
      </w:r>
      <w:r w:rsidRPr="51A6AB2E" w:rsidR="6C2B01DD">
        <w:rPr>
          <w:rFonts w:ascii="Arial" w:hAnsi="Arial" w:eastAsia="Arial" w:cs="Arial"/>
          <w:noProof w:val="0"/>
          <w:sz w:val="22"/>
          <w:szCs w:val="22"/>
          <w:lang w:val="en-GB"/>
        </w:rPr>
        <w:t>identify</w:t>
      </w:r>
      <w:r w:rsidRPr="51A6AB2E" w:rsidR="6C2B01DD">
        <w:rPr>
          <w:rFonts w:ascii="Arial" w:hAnsi="Arial" w:eastAsia="Arial" w:cs="Arial"/>
          <w:noProof w:val="0"/>
          <w:sz w:val="22"/>
          <w:szCs w:val="22"/>
          <w:lang w:val="en-GB"/>
        </w:rPr>
        <w:t xml:space="preserve"> gender bias as a significant contributor to delayed diagnosis. This convergence strengthens the credibility of the findings and suggests that the issue extends beyond isolated cases. The consistency across studies also </w:t>
      </w:r>
      <w:r w:rsidRPr="51A6AB2E" w:rsidR="6C2B01DD">
        <w:rPr>
          <w:rFonts w:ascii="Arial" w:hAnsi="Arial" w:eastAsia="Arial" w:cs="Arial"/>
          <w:noProof w:val="0"/>
          <w:sz w:val="22"/>
          <w:szCs w:val="22"/>
          <w:lang w:val="en-GB"/>
        </w:rPr>
        <w:t>indicates</w:t>
      </w:r>
      <w:r w:rsidRPr="51A6AB2E" w:rsidR="6C2B01DD">
        <w:rPr>
          <w:rFonts w:ascii="Arial" w:hAnsi="Arial" w:eastAsia="Arial" w:cs="Arial"/>
          <w:noProof w:val="0"/>
          <w:sz w:val="22"/>
          <w:szCs w:val="22"/>
          <w:lang w:val="en-GB"/>
        </w:rPr>
        <w:t xml:space="preserve"> that gender bias </w:t>
      </w:r>
      <w:r w:rsidRPr="51A6AB2E" w:rsidR="6C2B01DD">
        <w:rPr>
          <w:rFonts w:ascii="Arial" w:hAnsi="Arial" w:eastAsia="Arial" w:cs="Arial"/>
          <w:noProof w:val="0"/>
          <w:sz w:val="22"/>
          <w:szCs w:val="22"/>
          <w:lang w:val="en-GB"/>
        </w:rPr>
        <w:t>remains</w:t>
      </w:r>
      <w:r w:rsidRPr="51A6AB2E" w:rsidR="6C2B01DD">
        <w:rPr>
          <w:rFonts w:ascii="Arial" w:hAnsi="Arial" w:eastAsia="Arial" w:cs="Arial"/>
          <w:noProof w:val="0"/>
          <w:sz w:val="22"/>
          <w:szCs w:val="22"/>
          <w:lang w:val="en-GB"/>
        </w:rPr>
        <w:t xml:space="preserve"> a persistent challenge despite growing awareness of ADHD in women.</w:t>
      </w:r>
    </w:p>
    <w:p w:rsidR="6C2B01DD" w:rsidRDefault="6C2B01DD" w14:paraId="092CFD65" w14:textId="27AA5313">
      <w:r w:rsidRPr="51A6AB2E" w:rsidR="6C2B01DD">
        <w:rPr>
          <w:rFonts w:ascii="Arial" w:hAnsi="Arial" w:eastAsia="Arial" w:cs="Arial"/>
          <w:noProof w:val="0"/>
          <w:sz w:val="22"/>
          <w:szCs w:val="22"/>
          <w:lang w:val="en-GB"/>
        </w:rPr>
        <w:t>An important implication of these findings is the potential impact on equality within healthcare provision. If women are less likely to be recognised within existing diagnostic frameworks, they may experience reduced access to assessment, treatment, and support compared with men displaying similar symptoms. This raises concerns regarding the fairness and inclusivity of current diagnostic practices. Platania et al. (2025) argue that gender-based differences in symptom recognition continue to influence clinical decision-making, suggesting that improvements in diagnostic criteria alone may not be sufficient. Greater awareness and training among healthcare professionals may therefore be required to reduce unconscious bias and improve diagnostic accuracy.</w:t>
      </w:r>
    </w:p>
    <w:p w:rsidR="6C2B01DD" w:rsidRDefault="6C2B01DD" w14:paraId="420C19D6" w14:textId="0599CF93">
      <w:r w:rsidRPr="51A6AB2E" w:rsidR="6C2B01DD">
        <w:rPr>
          <w:rFonts w:ascii="Arial" w:hAnsi="Arial" w:eastAsia="Arial" w:cs="Arial"/>
          <w:noProof w:val="0"/>
          <w:sz w:val="22"/>
          <w:szCs w:val="22"/>
          <w:lang w:val="en-GB"/>
        </w:rPr>
        <w:t>The findings also indicate that delayed diagnosis can have long-term consequences across multiple areas of life. Women who remain undiagnosed may experience persistent difficulties within education, employment, relationships, and daily functioning. Because ADHD often remains unrecognised, many individuals develop negative perceptions of themselves and their abilities. Quinn and Madhoo (2014) suggest that years of misunderstanding and unmet needs can reinforce feelings of inadequacy and frustration. This highlights the broader significance of early identification, as diagnosis may provide access to appropriate interventions and improve long-term outcomes.</w:t>
      </w:r>
    </w:p>
    <w:p w:rsidR="6C2B01DD" w:rsidRDefault="6C2B01DD" w14:paraId="46919332" w14:textId="1C886E32">
      <w:r w:rsidRPr="51A6AB2E" w:rsidR="6C2B01DD">
        <w:rPr>
          <w:rFonts w:ascii="Arial" w:hAnsi="Arial" w:eastAsia="Arial" w:cs="Arial"/>
          <w:noProof w:val="0"/>
          <w:sz w:val="22"/>
          <w:szCs w:val="22"/>
          <w:lang w:val="en-GB"/>
        </w:rPr>
        <w:t>Furthermore, the evidence suggests that diagnostic barriers are interconnected with wider social attitudes towards ADHD. Increasing public awareness may help challenge misconceptions surrounding female ADHD presentations and encourage earlier recognition. Such developments could reduce diagnostic delays and improve access to support for future generations of women experiencing similar difficulties.</w:t>
      </w:r>
    </w:p>
    <w:p w:rsidR="6C2B01DD" w:rsidRDefault="6C2B01DD" w14:paraId="5857DD73" w14:textId="12FA3327">
      <w:r w:rsidRPr="51A6AB2E" w:rsidR="6C2B01DD">
        <w:rPr>
          <w:rFonts w:ascii="Arial" w:hAnsi="Arial" w:eastAsia="Arial" w:cs="Arial"/>
          <w:noProof w:val="0"/>
          <w:sz w:val="22"/>
          <w:szCs w:val="22"/>
          <w:lang w:val="en-GB"/>
        </w:rPr>
        <w:t>The implications of these findings are considerable. Delayed diagnosis can restrict access to treatment, support services, and reasonable adjustments within education and employment. Furthermore, the findings suggest that prolonged periods of undiagnosed ADHD may contribute to reduced self-esteem, chronic stress, and emotional distress. Addressing these barriers therefore has implications not only for diagnostic accuracy but also for long-term wellbeing and quality of life.</w:t>
      </w:r>
    </w:p>
    <w:p w:rsidR="6C2B01DD" w:rsidRDefault="6C2B01DD" w14:paraId="531A90A7" w14:textId="73A6E040">
      <w:r w:rsidRPr="51A6AB2E" w:rsidR="6C2B01DD">
        <w:rPr>
          <w:rFonts w:ascii="Arial" w:hAnsi="Arial" w:eastAsia="Arial" w:cs="Arial"/>
          <w:noProof w:val="0"/>
          <w:sz w:val="22"/>
          <w:szCs w:val="22"/>
          <w:lang w:val="en-GB"/>
        </w:rPr>
        <w:t>Overall, diagnostic barriers and gender bias emerged as a central theme within the literature. The evidence suggests that delayed diagnosis is influenced by a combination of historical diagnostic practices, gendered expectations, masking behaviours, and limited awareness of female ADHD presentations. This theme directly addresses Research Objective Two and provides a foundation for understanding the psychological consequences explored within the following theme.</w:t>
      </w:r>
    </w:p>
    <w:p w:rsidR="7DAEE5D6" w:rsidP="51A6AB2E" w:rsidRDefault="7DAEE5D6" w14:paraId="5D5784EE" w14:textId="54AFA6A0">
      <w:pPr>
        <w:pStyle w:val="Heading2"/>
        <w:rPr>
          <w:rFonts w:ascii="Arial" w:hAnsi="Arial" w:eastAsia="Arial" w:cs="Arial"/>
          <w:b w:val="1"/>
          <w:bCs w:val="1"/>
          <w:noProof w:val="0"/>
          <w:color w:val="000000" w:themeColor="text1" w:themeTint="FF" w:themeShade="FF"/>
          <w:sz w:val="22"/>
          <w:szCs w:val="22"/>
          <w:lang w:val="en-GB"/>
        </w:rPr>
      </w:pPr>
      <w:bookmarkStart w:name="_Toc635188740" w:id="873835707"/>
      <w:r w:rsidRPr="4B13576D" w:rsidR="147EEDBE">
        <w:rPr>
          <w:rFonts w:ascii="Arial" w:hAnsi="Arial" w:eastAsia="Arial" w:cs="Arial"/>
          <w:b w:val="1"/>
          <w:bCs w:val="1"/>
          <w:noProof w:val="0"/>
          <w:color w:val="000000" w:themeColor="text1" w:themeTint="FF" w:themeShade="FF"/>
          <w:sz w:val="22"/>
          <w:szCs w:val="22"/>
          <w:lang w:val="en-GB"/>
        </w:rPr>
        <w:t>4.4 Theme 2: Psychological and Social Impact of Late Diagnosis</w:t>
      </w:r>
      <w:bookmarkEnd w:id="873835707"/>
    </w:p>
    <w:p w:rsidR="7DAEE5D6" w:rsidP="51A6AB2E" w:rsidRDefault="7DAEE5D6" w14:paraId="746C371D" w14:textId="72539893">
      <w:pPr>
        <w:rPr>
          <w:rFonts w:ascii="Arial" w:hAnsi="Arial" w:eastAsia="Arial" w:cs="Arial"/>
          <w:noProof w:val="0"/>
          <w:color w:val="000000" w:themeColor="text1" w:themeTint="FF" w:themeShade="FF"/>
          <w:sz w:val="22"/>
          <w:szCs w:val="22"/>
          <w:lang w:val="en-GB"/>
        </w:rPr>
      </w:pPr>
      <w:r w:rsidRPr="51A6AB2E" w:rsidR="7DAEE5D6">
        <w:rPr>
          <w:rFonts w:ascii="Arial" w:hAnsi="Arial" w:eastAsia="Arial" w:cs="Arial"/>
          <w:noProof w:val="0"/>
          <w:color w:val="000000" w:themeColor="text1" w:themeTint="FF" w:themeShade="FF"/>
          <w:sz w:val="22"/>
          <w:szCs w:val="22"/>
          <w:lang w:val="en-GB"/>
        </w:rPr>
        <w:t>The second theme identified through thematic analysis was the psychological and social impact of receiving an ADHD diagnosis later in life. This theme emerged consistently across the literature and highlights the emotional, interpersonal, and identity-related consequences experienced by women whose ADHD remained unrecognised for many years. The findings suggest that delayed diagnosis can have a profound effect on wellbeing, influencing self-esteem, relationships, education, employment, and mental health. For many women, receiving a diagnosis after the age of 30 represented both a source of relief and a reminder of years of misunderstanding and unmet support needs.</w:t>
      </w:r>
    </w:p>
    <w:p w:rsidR="7DAEE5D6" w:rsidP="072C3F49" w:rsidRDefault="7DAEE5D6" w14:paraId="1C0A9801" w14:textId="5DE53004">
      <w:pPr>
        <w:spacing w:line="360" w:lineRule="auto"/>
        <w:rPr>
          <w:rFonts w:ascii="Arial" w:hAnsi="Arial" w:eastAsia="Arial" w:cs="Arial"/>
          <w:noProof w:val="0"/>
          <w:color w:val="000000" w:themeColor="text1" w:themeTint="FF" w:themeShade="FF"/>
          <w:sz w:val="22"/>
          <w:szCs w:val="22"/>
          <w:lang w:val="en-GB"/>
        </w:rPr>
      </w:pPr>
      <w:r w:rsidRPr="072C3F49" w:rsidR="147EEDBE">
        <w:rPr>
          <w:rFonts w:ascii="Arial" w:hAnsi="Arial" w:eastAsia="Arial" w:cs="Arial"/>
          <w:noProof w:val="0"/>
          <w:color w:val="000000" w:themeColor="text1" w:themeTint="FF" w:themeShade="FF"/>
          <w:sz w:val="22"/>
          <w:szCs w:val="22"/>
          <w:lang w:val="en-GB"/>
        </w:rPr>
        <w:t>A recurring finding across the literature was the negative impact of undiagnosed ADHD on self-perception. Baig and Kahya (2025) found that many women described feeling fundamentally different from others throughout childhood and adulthood. Participants frequently reported struggling to understand why everyday tasks appeared more difficult for them than for their peers. Without an explanation for these difficulties, many attributed their experiences to personal failings rather than a neurodevelopmental condition. This often resulted in feelings of shame, guilt, and inadequacy. Such findings suggest that the absence of diagnosis may contribute to the development of negative self-concepts that persist into adulthood.</w:t>
      </w:r>
    </w:p>
    <w:p w:rsidR="7DAEE5D6" w:rsidP="072C3F49" w:rsidRDefault="7DAEE5D6" w14:paraId="4D27B78D" w14:textId="5219462A">
      <w:pPr>
        <w:spacing w:line="360" w:lineRule="auto"/>
        <w:rPr>
          <w:rFonts w:ascii="Arial" w:hAnsi="Arial" w:eastAsia="Arial" w:cs="Arial"/>
          <w:noProof w:val="0"/>
          <w:color w:val="000000" w:themeColor="text1" w:themeTint="FF" w:themeShade="FF"/>
          <w:sz w:val="22"/>
          <w:szCs w:val="22"/>
          <w:lang w:val="en-GB"/>
        </w:rPr>
      </w:pPr>
      <w:r w:rsidRPr="072C3F49" w:rsidR="147EEDBE">
        <w:rPr>
          <w:rFonts w:ascii="Arial" w:hAnsi="Arial" w:eastAsia="Arial" w:cs="Arial"/>
          <w:noProof w:val="0"/>
          <w:color w:val="000000" w:themeColor="text1" w:themeTint="FF" w:themeShade="FF"/>
          <w:sz w:val="22"/>
          <w:szCs w:val="22"/>
          <w:lang w:val="en-GB"/>
        </w:rPr>
        <w:t>These findings are supported by Wills and Chakraborty (2026), whose qualitative study explored the experiences of adult females diagnosed with ADHD later in life. Participants described diagnosis as a transformative experience that enabled them to reinterpret previous difficulties through a new lens. Many reported that receiving a diagnosis provided validation and helped them understand challenges that had previously been attributed to laziness, disorganisation, or lack of effort. However, diagnosis was also associated with feelings of anger and grief, particularly when reflecting on missed opportunities and years spent without appropriate support.</w:t>
      </w:r>
    </w:p>
    <w:p w:rsidR="7DAEE5D6" w:rsidP="51A6AB2E" w:rsidRDefault="7DAEE5D6" w14:paraId="0116961B" w14:textId="666FD90D">
      <w:pPr>
        <w:rPr>
          <w:rFonts w:ascii="Arial" w:hAnsi="Arial" w:eastAsia="Arial" w:cs="Arial"/>
          <w:noProof w:val="0"/>
          <w:color w:val="000000" w:themeColor="text1" w:themeTint="FF" w:themeShade="FF"/>
          <w:sz w:val="22"/>
          <w:szCs w:val="22"/>
          <w:lang w:val="en-GB"/>
        </w:rPr>
      </w:pPr>
      <w:r w:rsidRPr="51A6AB2E" w:rsidR="7DAEE5D6">
        <w:rPr>
          <w:rFonts w:ascii="Arial" w:hAnsi="Arial" w:eastAsia="Arial" w:cs="Arial"/>
          <w:noProof w:val="0"/>
          <w:color w:val="000000" w:themeColor="text1" w:themeTint="FF" w:themeShade="FF"/>
          <w:sz w:val="22"/>
          <w:szCs w:val="22"/>
          <w:lang w:val="en-GB"/>
        </w:rPr>
        <w:t>The emotional consequences of delayed diagnosis were further highlighted by Slobodin, Har Sinay and Zohar (2025). Their findings indicate that women with ADHD frequently experience emotional dysregulation, characterised by difficulties managing emotional responses and coping with stress. While emotional dysregulation is increasingly recognised as an important feature of ADHD, it is often overlooked during assessment processes. The study suggests that prolonged periods of undiagnosed ADHD may intensify emotional difficulties, increasing vulnerability to anxiety, depression, and low self-esteem.</w:t>
      </w:r>
    </w:p>
    <w:p w:rsidR="143688B6" w:rsidP="51A6AB2E" w:rsidRDefault="143688B6" w14:paraId="315A498D" w14:textId="31562626">
      <w:pPr>
        <w:pStyle w:val="Normal"/>
      </w:pPr>
      <w:r w:rsidRPr="51A6AB2E" w:rsidR="143688B6">
        <w:rPr>
          <w:rFonts w:ascii="Arial" w:hAnsi="Arial" w:eastAsia="Arial" w:cs="Arial"/>
          <w:noProof w:val="0"/>
          <w:sz w:val="22"/>
          <w:szCs w:val="22"/>
          <w:lang w:val="en-GB"/>
        </w:rPr>
        <w:t>The relationship between ADHD and mental health emerged as a significant issue throughout the literature. Women whose ADHD remains unidentified may seek support for symptoms such as anxiety, stress, or depression without recognising the underlying cause of their difficulties. As discussed within Theme 1, this can result in misdiagnosis and ineffective treatment. The findings suggest that mental health difficulties often develop alongside the challenges associated with managing undiagnosed ADHD, creating a complex interaction between neurodevelopmental and psychological factors.</w:t>
      </w:r>
    </w:p>
    <w:p w:rsidR="60307EBA" w:rsidP="072C3F49" w:rsidRDefault="60307EBA" w14:paraId="38B93FFE" w14:textId="587FC1DC">
      <w:pPr>
        <w:pStyle w:val="Normal"/>
        <w:spacing w:line="360" w:lineRule="auto"/>
      </w:pPr>
      <w:r w:rsidRPr="072C3F49" w:rsidR="53C0E4E0">
        <w:rPr>
          <w:rFonts w:ascii="Arial" w:hAnsi="Arial" w:eastAsia="Arial" w:cs="Arial"/>
          <w:i w:val="1"/>
          <w:iCs w:val="1"/>
          <w:noProof w:val="0"/>
          <w:sz w:val="22"/>
          <w:szCs w:val="22"/>
          <w:lang w:val="en-GB"/>
        </w:rPr>
        <w:t xml:space="preserve">French et </w:t>
      </w:r>
      <w:r w:rsidRPr="072C3F49" w:rsidR="643C20DC">
        <w:rPr>
          <w:rFonts w:ascii="Arial" w:hAnsi="Arial" w:eastAsia="Arial" w:cs="Arial"/>
          <w:i w:val="1"/>
          <w:iCs w:val="1"/>
          <w:noProof w:val="0"/>
          <w:sz w:val="22"/>
          <w:szCs w:val="22"/>
          <w:lang w:val="en-GB"/>
        </w:rPr>
        <w:t>al.</w:t>
      </w:r>
      <w:r w:rsidRPr="072C3F49" w:rsidR="173127C2">
        <w:rPr>
          <w:rFonts w:ascii="Arial" w:hAnsi="Arial" w:eastAsia="Arial" w:cs="Arial"/>
          <w:i w:val="1"/>
          <w:iCs w:val="1"/>
          <w:noProof w:val="0"/>
          <w:sz w:val="22"/>
          <w:szCs w:val="22"/>
          <w:lang w:val="en-GB"/>
        </w:rPr>
        <w:t>,</w:t>
      </w:r>
      <w:r w:rsidRPr="072C3F49" w:rsidR="53D3B0E4">
        <w:rPr>
          <w:rFonts w:ascii="Arial" w:hAnsi="Arial" w:eastAsia="Arial" w:cs="Arial"/>
          <w:i w:val="1"/>
          <w:iCs w:val="1"/>
          <w:noProof w:val="0"/>
          <w:sz w:val="22"/>
          <w:szCs w:val="22"/>
          <w:lang w:val="en-GB"/>
        </w:rPr>
        <w:t xml:space="preserve"> </w:t>
      </w:r>
      <w:r w:rsidRPr="072C3F49" w:rsidR="643C20DC">
        <w:rPr>
          <w:rFonts w:ascii="Arial" w:hAnsi="Arial" w:eastAsia="Arial" w:cs="Arial"/>
          <w:noProof w:val="0"/>
          <w:sz w:val="22"/>
          <w:szCs w:val="22"/>
          <w:lang w:val="en-GB"/>
        </w:rPr>
        <w:t xml:space="preserve">(2023) highlight the broader risks associated with undiagnosed neurodevelopmental conditions. Their review suggests that delayed identification can contribute to reduced wellbeing, social isolation, and poorer life outcomes. Although the study examines both ADHD and autism, its findings reinforce the argument that prolonged periods without diagnosis may have significant consequences for mental health and quality of life. This is particularly relevant to the current research, as many women described living for decades without understanding the reasons for their difficulties. </w:t>
      </w:r>
    </w:p>
    <w:p w:rsidR="328D91C0" w:rsidP="51A6AB2E" w:rsidRDefault="328D91C0" w14:paraId="5AF282F5" w14:textId="27CB445E">
      <w:pPr>
        <w:pStyle w:val="Normal"/>
      </w:pPr>
      <w:r w:rsidRPr="51A6AB2E" w:rsidR="328D91C0">
        <w:rPr>
          <w:rFonts w:ascii="Arial" w:hAnsi="Arial" w:eastAsia="Arial" w:cs="Arial"/>
          <w:noProof w:val="0"/>
          <w:sz w:val="22"/>
          <w:szCs w:val="22"/>
          <w:lang w:val="en-GB"/>
        </w:rPr>
        <w:t xml:space="preserve">The findings also reveal the impact of delayed diagnosis on social relationships. Women reported difficulties </w:t>
      </w:r>
      <w:r w:rsidRPr="51A6AB2E" w:rsidR="328D91C0">
        <w:rPr>
          <w:rFonts w:ascii="Arial" w:hAnsi="Arial" w:eastAsia="Arial" w:cs="Arial"/>
          <w:noProof w:val="0"/>
          <w:sz w:val="22"/>
          <w:szCs w:val="22"/>
          <w:lang w:val="en-GB"/>
        </w:rPr>
        <w:t>maintaining</w:t>
      </w:r>
      <w:r w:rsidRPr="51A6AB2E" w:rsidR="328D91C0">
        <w:rPr>
          <w:rFonts w:ascii="Arial" w:hAnsi="Arial" w:eastAsia="Arial" w:cs="Arial"/>
          <w:noProof w:val="0"/>
          <w:sz w:val="22"/>
          <w:szCs w:val="22"/>
          <w:lang w:val="en-GB"/>
        </w:rPr>
        <w:t xml:space="preserve"> friendships, managing family responsibilities, and navigating workplace expectations. Challenges relating to forgetfulness, organisation, and emotional regulation sometimes created misunderstandings within interpersonal relationships. Baig and Kahya (2025) found that participants </w:t>
      </w:r>
      <w:r w:rsidRPr="51A6AB2E" w:rsidR="328D91C0">
        <w:rPr>
          <w:rFonts w:ascii="Arial" w:hAnsi="Arial" w:eastAsia="Arial" w:cs="Arial"/>
          <w:noProof w:val="0"/>
          <w:sz w:val="22"/>
          <w:szCs w:val="22"/>
          <w:lang w:val="en-GB"/>
        </w:rPr>
        <w:t>frequently</w:t>
      </w:r>
      <w:r w:rsidRPr="51A6AB2E" w:rsidR="328D91C0">
        <w:rPr>
          <w:rFonts w:ascii="Arial" w:hAnsi="Arial" w:eastAsia="Arial" w:cs="Arial"/>
          <w:noProof w:val="0"/>
          <w:sz w:val="22"/>
          <w:szCs w:val="22"/>
          <w:lang w:val="en-GB"/>
        </w:rPr>
        <w:t xml:space="preserve"> experienced judgement from others who misunderstood their behaviours. This </w:t>
      </w:r>
      <w:r w:rsidRPr="51A6AB2E" w:rsidR="328D91C0">
        <w:rPr>
          <w:rFonts w:ascii="Arial" w:hAnsi="Arial" w:eastAsia="Arial" w:cs="Arial"/>
          <w:noProof w:val="0"/>
          <w:sz w:val="22"/>
          <w:szCs w:val="22"/>
          <w:lang w:val="en-GB"/>
        </w:rPr>
        <w:t>often reinforced</w:t>
      </w:r>
      <w:r w:rsidRPr="51A6AB2E" w:rsidR="328D91C0">
        <w:rPr>
          <w:rFonts w:ascii="Arial" w:hAnsi="Arial" w:eastAsia="Arial" w:cs="Arial"/>
          <w:noProof w:val="0"/>
          <w:sz w:val="22"/>
          <w:szCs w:val="22"/>
          <w:lang w:val="en-GB"/>
        </w:rPr>
        <w:t xml:space="preserve"> feelings of inadequacy and contributed to social withdrawal. </w:t>
      </w:r>
    </w:p>
    <w:p w:rsidR="6FBBBAA7" w:rsidP="51A6AB2E" w:rsidRDefault="6FBBBAA7" w14:paraId="5CD7CF5B" w14:textId="4BEB1BC0">
      <w:pPr>
        <w:pStyle w:val="Normal"/>
      </w:pPr>
      <w:r w:rsidRPr="51A6AB2E" w:rsidR="6FBBBAA7">
        <w:rPr>
          <w:rFonts w:ascii="Arial" w:hAnsi="Arial" w:eastAsia="Arial" w:cs="Arial"/>
          <w:noProof w:val="0"/>
          <w:sz w:val="22"/>
          <w:szCs w:val="22"/>
          <w:lang w:val="en-GB"/>
        </w:rPr>
        <w:t>Employment was another area significantly affected by undiagnosed ADHD. Difficulties with time management, organisation, concentration, and task completion may create barriers within professional environments. Women often reported working harder than colleagues to compensate for these difficulties while simultaneously fearing criticism or failure. Such experiences further demonstrate the cumulative impact of undiagnosed ADHD across different areas of life.</w:t>
      </w:r>
    </w:p>
    <w:p w:rsidR="72C9C5C8" w:rsidP="51A6AB2E" w:rsidRDefault="72C9C5C8" w14:paraId="146A1995" w14:textId="166680EB">
      <w:pPr>
        <w:pStyle w:val="Normal"/>
      </w:pPr>
      <w:r w:rsidRPr="51A6AB2E" w:rsidR="72C9C5C8">
        <w:rPr>
          <w:rFonts w:ascii="Arial" w:hAnsi="Arial" w:eastAsia="Arial" w:cs="Arial"/>
          <w:noProof w:val="0"/>
          <w:sz w:val="22"/>
          <w:szCs w:val="22"/>
          <w:lang w:val="en-GB"/>
        </w:rPr>
        <w:t>Although diagnosis was often described as empowering, enabling women to access support and better understand their experiences, it was not universally viewed positively. Wills and Chakraborty (2026) found that while diagnosis reduced self-blame and improved self-awareness, some participants also reported frustration and grief when reflecting on years of unmet needs and missed opportunities. These findings demonstrate the complex emotional impact of receiving an ADHD diagnosis later in life.</w:t>
      </w:r>
    </w:p>
    <w:p w:rsidR="342D8500" w:rsidRDefault="342D8500" w14:paraId="7B6E92E4" w14:textId="0DE4FFB0">
      <w:r w:rsidRPr="51A6AB2E" w:rsidR="342D8500">
        <w:rPr>
          <w:rFonts w:ascii="Arial" w:hAnsi="Arial" w:eastAsia="Arial" w:cs="Arial"/>
          <w:noProof w:val="0"/>
          <w:sz w:val="22"/>
          <w:szCs w:val="22"/>
          <w:lang w:val="en-GB"/>
        </w:rPr>
        <w:t>A notable finding across the literature is the relationship between diagnosis and identity reconstruction. Many women described re-evaluating their past experiences following diagnosis, leading to a shift in how they understood themselves and their life histories. Baig and Kahya (2025) found that diagnosis often enabled participants to replace self-criticism with self-compassion, as difficulties previously viewed as personal failures could be understood within the context of ADHD. Similarly, Wills and Chakraborty (2026) reported that diagnosis helped women make sense of long-standing challenges within education, employment, and relationships. This suggests that diagnosis is not merely a clinical event but also a significant psychological process that can reshape identity, improve self-awareness, and promote greater acceptance of individual differences.</w:t>
      </w:r>
    </w:p>
    <w:p w:rsidR="342D8500" w:rsidRDefault="342D8500" w14:paraId="76FA77CB" w14:textId="74753EB0">
      <w:r w:rsidRPr="51A6AB2E" w:rsidR="342D8500">
        <w:rPr>
          <w:rFonts w:ascii="Arial" w:hAnsi="Arial" w:eastAsia="Arial" w:cs="Arial"/>
          <w:noProof w:val="0"/>
          <w:sz w:val="22"/>
          <w:szCs w:val="22"/>
          <w:lang w:val="en-GB"/>
        </w:rPr>
        <w:t xml:space="preserve">Another </w:t>
      </w:r>
      <w:r w:rsidRPr="51A6AB2E" w:rsidR="342D8500">
        <w:rPr>
          <w:rFonts w:ascii="Arial" w:hAnsi="Arial" w:eastAsia="Arial" w:cs="Arial"/>
          <w:noProof w:val="0"/>
          <w:sz w:val="22"/>
          <w:szCs w:val="22"/>
          <w:lang w:val="en-GB"/>
        </w:rPr>
        <w:t>important issue</w:t>
      </w:r>
      <w:r w:rsidRPr="51A6AB2E" w:rsidR="342D8500">
        <w:rPr>
          <w:rFonts w:ascii="Arial" w:hAnsi="Arial" w:eastAsia="Arial" w:cs="Arial"/>
          <w:noProof w:val="0"/>
          <w:sz w:val="22"/>
          <w:szCs w:val="22"/>
          <w:lang w:val="en-GB"/>
        </w:rPr>
        <w:t xml:space="preserve"> </w:t>
      </w:r>
      <w:r w:rsidRPr="51A6AB2E" w:rsidR="342D8500">
        <w:rPr>
          <w:rFonts w:ascii="Arial" w:hAnsi="Arial" w:eastAsia="Arial" w:cs="Arial"/>
          <w:noProof w:val="0"/>
          <w:sz w:val="22"/>
          <w:szCs w:val="22"/>
          <w:lang w:val="en-GB"/>
        </w:rPr>
        <w:t>identified</w:t>
      </w:r>
      <w:r w:rsidRPr="51A6AB2E" w:rsidR="342D8500">
        <w:rPr>
          <w:rFonts w:ascii="Arial" w:hAnsi="Arial" w:eastAsia="Arial" w:cs="Arial"/>
          <w:noProof w:val="0"/>
          <w:sz w:val="22"/>
          <w:szCs w:val="22"/>
          <w:lang w:val="en-GB"/>
        </w:rPr>
        <w:t xml:space="preserve"> within the literature is the effect of delayed diagnosis on self-confidence and future aspirations. Many women reported that years of struggling with undiagnosed ADHD affected their willingness to pursue educational, professional, or personal opportunities. Fear of failure, combined with repeated experiences of underachievement, often reduced </w:t>
      </w:r>
      <w:r w:rsidRPr="51A6AB2E" w:rsidR="342D8500">
        <w:rPr>
          <w:rFonts w:ascii="Arial" w:hAnsi="Arial" w:eastAsia="Arial" w:cs="Arial"/>
          <w:noProof w:val="0"/>
          <w:sz w:val="22"/>
          <w:szCs w:val="22"/>
          <w:lang w:val="en-GB"/>
        </w:rPr>
        <w:t>confidence</w:t>
      </w:r>
      <w:r w:rsidRPr="51A6AB2E" w:rsidR="342D8500">
        <w:rPr>
          <w:rFonts w:ascii="Arial" w:hAnsi="Arial" w:eastAsia="Arial" w:cs="Arial"/>
          <w:noProof w:val="0"/>
          <w:sz w:val="22"/>
          <w:szCs w:val="22"/>
          <w:lang w:val="en-GB"/>
        </w:rPr>
        <w:t xml:space="preserve"> and reinforced negative self-beliefs. Baig and Kahya (2025) found that participants </w:t>
      </w:r>
      <w:r w:rsidRPr="51A6AB2E" w:rsidR="342D8500">
        <w:rPr>
          <w:rFonts w:ascii="Arial" w:hAnsi="Arial" w:eastAsia="Arial" w:cs="Arial"/>
          <w:noProof w:val="0"/>
          <w:sz w:val="22"/>
          <w:szCs w:val="22"/>
          <w:lang w:val="en-GB"/>
        </w:rPr>
        <w:t>frequently</w:t>
      </w:r>
      <w:r w:rsidRPr="51A6AB2E" w:rsidR="342D8500">
        <w:rPr>
          <w:rFonts w:ascii="Arial" w:hAnsi="Arial" w:eastAsia="Arial" w:cs="Arial"/>
          <w:noProof w:val="0"/>
          <w:sz w:val="22"/>
          <w:szCs w:val="22"/>
          <w:lang w:val="en-GB"/>
        </w:rPr>
        <w:t xml:space="preserve"> questioned their abilities despite evidence of success, reflecting the long-term impact of living without an explanation for their difficulties. These findings suggest that delayed diagnosis can influence not only past experiences but also future decision-making, highlighting the importance of </w:t>
      </w:r>
      <w:r w:rsidRPr="51A6AB2E" w:rsidR="342D8500">
        <w:rPr>
          <w:rFonts w:ascii="Arial" w:hAnsi="Arial" w:eastAsia="Arial" w:cs="Arial"/>
          <w:noProof w:val="0"/>
          <w:sz w:val="22"/>
          <w:szCs w:val="22"/>
          <w:lang w:val="en-GB"/>
        </w:rPr>
        <w:t>timely</w:t>
      </w:r>
      <w:r w:rsidRPr="51A6AB2E" w:rsidR="342D8500">
        <w:rPr>
          <w:rFonts w:ascii="Arial" w:hAnsi="Arial" w:eastAsia="Arial" w:cs="Arial"/>
          <w:noProof w:val="0"/>
          <w:sz w:val="22"/>
          <w:szCs w:val="22"/>
          <w:lang w:val="en-GB"/>
        </w:rPr>
        <w:t xml:space="preserve"> recognition and support in promoting wellbeing and personal development.</w:t>
      </w:r>
    </w:p>
    <w:p w:rsidR="7DAEE5D6" w:rsidP="51A6AB2E" w:rsidRDefault="7DAEE5D6" w14:paraId="617632A6" w14:textId="79EA16CF">
      <w:pPr>
        <w:rPr>
          <w:rFonts w:ascii="Arial" w:hAnsi="Arial" w:eastAsia="Arial" w:cs="Arial"/>
          <w:noProof w:val="0"/>
          <w:color w:val="000000" w:themeColor="text1" w:themeTint="FF" w:themeShade="FF"/>
          <w:sz w:val="22"/>
          <w:szCs w:val="22"/>
          <w:lang w:val="en-GB"/>
        </w:rPr>
      </w:pPr>
      <w:r w:rsidRPr="51A6AB2E" w:rsidR="7DAEE5D6">
        <w:rPr>
          <w:rFonts w:ascii="Arial" w:hAnsi="Arial" w:eastAsia="Arial" w:cs="Arial"/>
          <w:noProof w:val="0"/>
          <w:color w:val="000000" w:themeColor="text1" w:themeTint="FF" w:themeShade="FF"/>
          <w:sz w:val="22"/>
          <w:szCs w:val="22"/>
          <w:lang w:val="en-GB"/>
        </w:rPr>
        <w:t>Importantly, there is strong agreement across the literature regarding the psychological impact of delayed diagnosis. Baig and Kahya (2025), Wills and Chakraborty (2026), and Slobodin, Har Sinay and Zohar (2025) all identify significant emotional consequences associated with years of living without recognition or support. Although each study approaches the issue from a different perspective, they collectively demonstrate that delayed diagnosis affects far more than symptom management alone.</w:t>
      </w:r>
    </w:p>
    <w:p w:rsidR="7DAEE5D6" w:rsidP="51A6AB2E" w:rsidRDefault="7DAEE5D6" w14:paraId="1E6B5437" w14:textId="2A3CFB30">
      <w:pPr>
        <w:rPr>
          <w:rFonts w:ascii="Arial" w:hAnsi="Arial" w:eastAsia="Arial" w:cs="Arial"/>
          <w:noProof w:val="0"/>
          <w:color w:val="000000" w:themeColor="text1" w:themeTint="FF" w:themeShade="FF"/>
          <w:sz w:val="22"/>
          <w:szCs w:val="22"/>
          <w:lang w:val="en-GB"/>
        </w:rPr>
      </w:pPr>
      <w:r w:rsidRPr="51A6AB2E" w:rsidR="7DAEE5D6">
        <w:rPr>
          <w:rFonts w:ascii="Arial" w:hAnsi="Arial" w:eastAsia="Arial" w:cs="Arial"/>
          <w:noProof w:val="0"/>
          <w:color w:val="000000" w:themeColor="text1" w:themeTint="FF" w:themeShade="FF"/>
          <w:sz w:val="22"/>
          <w:szCs w:val="22"/>
          <w:lang w:val="en-GB"/>
        </w:rPr>
        <w:t>The findings have important implications for healthcare professionals and policymakers. Earlier identification of ADHD may help reduce the psychological burden experienced by women and improve access to timely support. Furthermore, greater awareness of female ADHD presentations may prevent the development of secondary mental health difficulties associated with prolonged diagnostic delay.</w:t>
      </w:r>
    </w:p>
    <w:p w:rsidR="7DAEE5D6" w:rsidP="51A6AB2E" w:rsidRDefault="7DAEE5D6" w14:paraId="4CDD5F33" w14:textId="46298CB1">
      <w:pPr>
        <w:pStyle w:val="Normal"/>
        <w:rPr>
          <w:rFonts w:ascii="Arial" w:hAnsi="Arial" w:eastAsia="Arial" w:cs="Arial"/>
          <w:noProof w:val="0"/>
          <w:color w:val="000000" w:themeColor="text1" w:themeTint="FF" w:themeShade="FF"/>
          <w:sz w:val="22"/>
          <w:szCs w:val="22"/>
          <w:lang w:val="en-GB"/>
        </w:rPr>
      </w:pPr>
      <w:r w:rsidRPr="51A6AB2E" w:rsidR="7DAEE5D6">
        <w:rPr>
          <w:rFonts w:ascii="Arial" w:hAnsi="Arial" w:eastAsia="Arial" w:cs="Arial"/>
          <w:noProof w:val="0"/>
          <w:color w:val="000000" w:themeColor="text1" w:themeTint="FF" w:themeShade="FF"/>
          <w:sz w:val="22"/>
          <w:szCs w:val="22"/>
          <w:lang w:val="en-GB"/>
        </w:rPr>
        <w:t xml:space="preserve">Overall, the psychological and social impact of late diagnosis </w:t>
      </w:r>
      <w:r w:rsidRPr="51A6AB2E" w:rsidR="7DAEE5D6">
        <w:rPr>
          <w:rFonts w:ascii="Arial" w:hAnsi="Arial" w:eastAsia="Arial" w:cs="Arial"/>
          <w:noProof w:val="0"/>
          <w:color w:val="000000" w:themeColor="text1" w:themeTint="FF" w:themeShade="FF"/>
          <w:sz w:val="22"/>
          <w:szCs w:val="22"/>
          <w:lang w:val="en-GB"/>
        </w:rPr>
        <w:t>emerged</w:t>
      </w:r>
      <w:r w:rsidRPr="51A6AB2E" w:rsidR="7DAEE5D6">
        <w:rPr>
          <w:rFonts w:ascii="Arial" w:hAnsi="Arial" w:eastAsia="Arial" w:cs="Arial"/>
          <w:noProof w:val="0"/>
          <w:color w:val="000000" w:themeColor="text1" w:themeTint="FF" w:themeShade="FF"/>
          <w:sz w:val="22"/>
          <w:szCs w:val="22"/>
          <w:lang w:val="en-GB"/>
        </w:rPr>
        <w:t xml:space="preserve"> as a major theme within the literature. The evidence suggests that delayed diagnosis influences self-esteem, mental health, relationships, employment, and identity. While diagnosis can provide validation and self-understanding, it may also prompt reflection on years of unmet needs and missed opportunities. This theme directly addresses Research Objective Three and </w:t>
      </w:r>
      <w:r w:rsidRPr="51A6AB2E" w:rsidR="7DAEE5D6">
        <w:rPr>
          <w:rFonts w:ascii="Arial" w:hAnsi="Arial" w:eastAsia="Arial" w:cs="Arial"/>
          <w:noProof w:val="0"/>
          <w:color w:val="000000" w:themeColor="text1" w:themeTint="FF" w:themeShade="FF"/>
          <w:sz w:val="22"/>
          <w:szCs w:val="22"/>
          <w:lang w:val="en-GB"/>
        </w:rPr>
        <w:t>demonstrates</w:t>
      </w:r>
      <w:r w:rsidRPr="51A6AB2E" w:rsidR="7DAEE5D6">
        <w:rPr>
          <w:rFonts w:ascii="Arial" w:hAnsi="Arial" w:eastAsia="Arial" w:cs="Arial"/>
          <w:noProof w:val="0"/>
          <w:color w:val="000000" w:themeColor="text1" w:themeTint="FF" w:themeShade="FF"/>
          <w:sz w:val="22"/>
          <w:szCs w:val="22"/>
          <w:lang w:val="en-GB"/>
        </w:rPr>
        <w:t xml:space="preserve"> the significant personal consequences associated with delayed ADHD recognition in women.</w:t>
      </w:r>
    </w:p>
    <w:p w:rsidR="76DCC01C" w:rsidP="51A6AB2E" w:rsidRDefault="76DCC01C" w14:paraId="0A4F6A0B" w14:textId="303BE91E">
      <w:pPr>
        <w:pStyle w:val="Heading2"/>
        <w:spacing w:line="360" w:lineRule="auto"/>
        <w:rPr>
          <w:rFonts w:ascii="Arial" w:hAnsi="Arial" w:eastAsia="Arial" w:cs="Arial"/>
          <w:noProof w:val="0"/>
          <w:color w:val="000000" w:themeColor="text1" w:themeTint="FF" w:themeShade="FF"/>
          <w:sz w:val="22"/>
          <w:szCs w:val="22"/>
          <w:lang w:val="en-GB"/>
        </w:rPr>
      </w:pPr>
      <w:bookmarkStart w:name="_Toc206013470" w:id="832651871"/>
      <w:r w:rsidRPr="4B13576D" w:rsidR="2904DDD2">
        <w:rPr>
          <w:rFonts w:ascii="Arial" w:hAnsi="Arial" w:eastAsia="Arial" w:cs="Arial"/>
          <w:b w:val="1"/>
          <w:bCs w:val="1"/>
          <w:noProof w:val="0"/>
          <w:color w:val="000000" w:themeColor="text1" w:themeTint="FF" w:themeShade="FF"/>
          <w:sz w:val="22"/>
          <w:szCs w:val="22"/>
          <w:lang w:val="en-GB"/>
        </w:rPr>
        <w:t>4.5 Theme 3: Health and Social Care Provision in the United Kingdom</w:t>
      </w:r>
      <w:bookmarkEnd w:id="832651871"/>
    </w:p>
    <w:p w:rsidR="76DCC01C" w:rsidP="51A6AB2E" w:rsidRDefault="76DCC01C" w14:paraId="00653232" w14:textId="30BF4D25">
      <w:pPr>
        <w:spacing w:line="360" w:lineRule="auto"/>
        <w:rPr>
          <w:rFonts w:ascii="Arial" w:hAnsi="Arial" w:eastAsia="Arial" w:cs="Arial"/>
          <w:noProof w:val="0"/>
          <w:color w:val="000000" w:themeColor="text1" w:themeTint="FF" w:themeShade="FF"/>
          <w:sz w:val="22"/>
          <w:szCs w:val="22"/>
          <w:lang w:val="en-GB"/>
        </w:rPr>
      </w:pPr>
      <w:r w:rsidRPr="51A6AB2E" w:rsidR="76DCC01C">
        <w:rPr>
          <w:rFonts w:ascii="Arial" w:hAnsi="Arial" w:eastAsia="Arial" w:cs="Arial"/>
          <w:noProof w:val="0"/>
          <w:color w:val="000000" w:themeColor="text1" w:themeTint="FF" w:themeShade="FF"/>
          <w:sz w:val="22"/>
          <w:szCs w:val="22"/>
          <w:lang w:val="en-GB"/>
        </w:rPr>
        <w:t>The third theme identified through thematic analysis was health and social care provision within the United Kingdom. This theme emerged across the literature as an important factor influencing the experiences of women diagnosed with ADHD after the age of 30. While awareness of adult ADHD has increased in recent years, the findings suggest that significant challenges remain regarding access to diagnosis, service availability, and ongoing support. The literature indicates that limitations within healthcare systems may contribute to delayed diagnosis and negatively affect the experiences of women seeking assessment and treatment.</w:t>
      </w:r>
    </w:p>
    <w:p w:rsidR="76DCC01C" w:rsidP="51A6AB2E" w:rsidRDefault="76DCC01C" w14:paraId="5DFD4266" w14:textId="038A023C">
      <w:pPr>
        <w:spacing w:line="360" w:lineRule="auto"/>
        <w:rPr>
          <w:rFonts w:ascii="Arial" w:hAnsi="Arial" w:eastAsia="Arial" w:cs="Arial"/>
          <w:noProof w:val="0"/>
          <w:color w:val="000000" w:themeColor="text1" w:themeTint="FF" w:themeShade="FF"/>
          <w:sz w:val="22"/>
          <w:szCs w:val="22"/>
          <w:lang w:val="en-GB"/>
        </w:rPr>
      </w:pPr>
      <w:r w:rsidRPr="51A6AB2E" w:rsidR="76DCC01C">
        <w:rPr>
          <w:rFonts w:ascii="Arial" w:hAnsi="Arial" w:eastAsia="Arial" w:cs="Arial"/>
          <w:noProof w:val="0"/>
          <w:color w:val="000000" w:themeColor="text1" w:themeTint="FF" w:themeShade="FF"/>
          <w:sz w:val="22"/>
          <w:szCs w:val="22"/>
          <w:lang w:val="en-GB"/>
        </w:rPr>
        <w:t>Within the UK, ADHD services are primarily delivered through the National Health Service (NHS), with guidance provided by the National Institute for Health and Care Excellence (NICE). Although ADHD is recognised as a lifelong condition, evidence suggests that adult services remain under significant pressure. Young et al. (2021) argue that ADHD provision within the UK has historically been inconsistent, resulting in unequal access to assessment and treatment. Their consensus statement highlights substantial regional variation in service provision, creating disparities in the support available to individuals seeking diagnosis.</w:t>
      </w:r>
    </w:p>
    <w:p w:rsidR="76DCC01C" w:rsidP="51A6AB2E" w:rsidRDefault="76DCC01C" w14:paraId="4581E524" w14:textId="4F8AEC4E">
      <w:pPr>
        <w:spacing w:line="360" w:lineRule="auto"/>
        <w:rPr>
          <w:rFonts w:ascii="Arial" w:hAnsi="Arial" w:eastAsia="Arial" w:cs="Arial"/>
          <w:noProof w:val="0"/>
          <w:color w:val="000000" w:themeColor="text1" w:themeTint="FF" w:themeShade="FF"/>
          <w:sz w:val="22"/>
          <w:szCs w:val="22"/>
          <w:lang w:val="en-GB"/>
        </w:rPr>
      </w:pPr>
      <w:r w:rsidRPr="51A6AB2E" w:rsidR="76DCC01C">
        <w:rPr>
          <w:rFonts w:ascii="Arial" w:hAnsi="Arial" w:eastAsia="Arial" w:cs="Arial"/>
          <w:noProof w:val="0"/>
          <w:color w:val="000000" w:themeColor="text1" w:themeTint="FF" w:themeShade="FF"/>
          <w:sz w:val="22"/>
          <w:szCs w:val="22"/>
          <w:lang w:val="en-GB"/>
        </w:rPr>
        <w:t>One of the most frequently reported challenges within the literature is the issue of lengthy waiting times. Increasing awareness of ADHD has led to greater demand for adult assessments, placing considerable strain on NHS services. Women seeking diagnosis may therefore experience delays of several months or years before receiving assessment. Young et al. (2021) suggest that these delays can have significant consequences, particularly for individuals who have already spent many years living with undiagnosed symptoms. Such findings indicate that healthcare accessibility remains a key concern within current ADHD provision.</w:t>
      </w:r>
    </w:p>
    <w:p w:rsidR="76DCC01C" w:rsidP="51A6AB2E" w:rsidRDefault="76DCC01C" w14:paraId="25B350EE" w14:textId="49C265C0">
      <w:pPr>
        <w:spacing w:line="360" w:lineRule="auto"/>
        <w:rPr>
          <w:rFonts w:ascii="Arial" w:hAnsi="Arial" w:eastAsia="Arial" w:cs="Arial"/>
          <w:noProof w:val="0"/>
          <w:color w:val="000000" w:themeColor="text1" w:themeTint="FF" w:themeShade="FF"/>
          <w:sz w:val="22"/>
          <w:szCs w:val="22"/>
          <w:lang w:val="en-GB"/>
        </w:rPr>
      </w:pPr>
      <w:r w:rsidRPr="51A6AB2E" w:rsidR="76DCC01C">
        <w:rPr>
          <w:rFonts w:ascii="Arial" w:hAnsi="Arial" w:eastAsia="Arial" w:cs="Arial"/>
          <w:noProof w:val="0"/>
          <w:color w:val="000000" w:themeColor="text1" w:themeTint="FF" w:themeShade="FF"/>
          <w:sz w:val="22"/>
          <w:szCs w:val="22"/>
          <w:lang w:val="en-GB"/>
        </w:rPr>
        <w:t>The literature also highlights concerns regarding professional awareness and understanding of ADHD in women. As discussed within Theme 1, many healthcare professionals continue to associate ADHD with hyperactive behaviours commonly observed in males. Consequently, women presenting with inattentive symptoms may not always be recognised as potential ADHD cases. Krebs and Donnellan-Fernandez (2025) emphasise the importance of adopting a lifespan perspective when supporting women with ADHD, arguing that healthcare systems must become more responsive to gender-specific experiences. Their review suggests that greater awareness of female symptom presentation could improve both diagnostic accuracy and patient outcomes.</w:t>
      </w:r>
    </w:p>
    <w:p w:rsidR="76DCC01C" w:rsidP="51A6AB2E" w:rsidRDefault="76DCC01C" w14:paraId="204E5986" w14:textId="0FBDA848">
      <w:pPr>
        <w:spacing w:line="360" w:lineRule="auto"/>
        <w:rPr>
          <w:rFonts w:ascii="Arial" w:hAnsi="Arial" w:eastAsia="Arial" w:cs="Arial"/>
          <w:noProof w:val="0"/>
          <w:color w:val="000000" w:themeColor="text1" w:themeTint="FF" w:themeShade="FF"/>
          <w:sz w:val="22"/>
          <w:szCs w:val="22"/>
          <w:lang w:val="en-GB"/>
        </w:rPr>
      </w:pPr>
      <w:r w:rsidRPr="51A6AB2E" w:rsidR="76DCC01C">
        <w:rPr>
          <w:rFonts w:ascii="Arial" w:hAnsi="Arial" w:eastAsia="Arial" w:cs="Arial"/>
          <w:noProof w:val="0"/>
          <w:color w:val="000000" w:themeColor="text1" w:themeTint="FF" w:themeShade="FF"/>
          <w:sz w:val="22"/>
          <w:szCs w:val="22"/>
          <w:lang w:val="en-GB"/>
        </w:rPr>
        <w:t>The findings further suggest that support following diagnosis can vary considerably. While receiving a diagnosis may provide access to treatment and support services, some women report difficulties navigating healthcare pathways. Wills and Chakraborty (2026) found that participants often experienced uncertainty regarding available support after diagnosis. Although diagnosis provided validation and explanation, access to ongoing assistance was not always straightforward. This suggests that diagnosis alone may not be sufficient to meet the long-term needs of women living with ADHD.</w:t>
      </w:r>
    </w:p>
    <w:p w:rsidR="76DCC01C" w:rsidP="51A6AB2E" w:rsidRDefault="76DCC01C" w14:paraId="07B84992" w14:textId="54ABFBE4">
      <w:pPr>
        <w:spacing w:line="360" w:lineRule="auto"/>
        <w:rPr>
          <w:rFonts w:ascii="Arial" w:hAnsi="Arial" w:eastAsia="Arial" w:cs="Arial"/>
          <w:noProof w:val="0"/>
          <w:color w:val="000000" w:themeColor="text1" w:themeTint="FF" w:themeShade="FF"/>
          <w:sz w:val="22"/>
          <w:szCs w:val="22"/>
          <w:lang w:val="en-GB"/>
        </w:rPr>
      </w:pPr>
      <w:r w:rsidRPr="51A6AB2E" w:rsidR="76DCC01C">
        <w:rPr>
          <w:rFonts w:ascii="Arial" w:hAnsi="Arial" w:eastAsia="Arial" w:cs="Arial"/>
          <w:noProof w:val="0"/>
          <w:color w:val="000000" w:themeColor="text1" w:themeTint="FF" w:themeShade="FF"/>
          <w:sz w:val="22"/>
          <w:szCs w:val="22"/>
          <w:lang w:val="en-GB"/>
        </w:rPr>
        <w:t>An important issue identified within the literature is the role of healthcare services in reducing the psychological impact of delayed diagnosis. Themes 1 and 2 demonstrated that many women experience emotional distress, reduced self-esteem, and mental health difficulties as a result of living with undiagnosed ADHD. Effective healthcare provision therefore extends beyond assessment and medication management. Women may also benefit from psychological support, psychoeducation, coaching, and workplace guidance. The findings suggest that a more holistic approach could improve long-term wellbeing and quality of life.</w:t>
      </w:r>
    </w:p>
    <w:p w:rsidR="76DCC01C" w:rsidP="51A6AB2E" w:rsidRDefault="76DCC01C" w14:paraId="686E280A" w14:textId="05903674">
      <w:pPr>
        <w:spacing w:line="360" w:lineRule="auto"/>
        <w:rPr>
          <w:rFonts w:ascii="Arial" w:hAnsi="Arial" w:eastAsia="Arial" w:cs="Arial"/>
          <w:noProof w:val="0"/>
          <w:color w:val="000000" w:themeColor="text1" w:themeTint="FF" w:themeShade="FF"/>
          <w:sz w:val="22"/>
          <w:szCs w:val="22"/>
          <w:lang w:val="en-GB"/>
        </w:rPr>
      </w:pPr>
      <w:r w:rsidRPr="51A6AB2E" w:rsidR="76DCC01C">
        <w:rPr>
          <w:rFonts w:ascii="Arial" w:hAnsi="Arial" w:eastAsia="Arial" w:cs="Arial"/>
          <w:noProof w:val="0"/>
          <w:color w:val="000000" w:themeColor="text1" w:themeTint="FF" w:themeShade="FF"/>
          <w:sz w:val="22"/>
          <w:szCs w:val="22"/>
          <w:lang w:val="en-GB"/>
        </w:rPr>
        <w:t>The literature also highlights the importance of equity within healthcare provision. Regional differences in service availability have resulted in what is often described as a “postcode lottery,” where access to assessment and treatment depends largely on geographical location. Such disparities raise concerns regarding fairness and consistency within healthcare systems. Young et al. (2021) argue that national improvements are required to ensure that individuals receive timely and appropriate support regardless of where they live. This is particularly important for women, who may already face barriers relating to symptom recognition and gender bias.</w:t>
      </w:r>
    </w:p>
    <w:p w:rsidR="0EB6BD60" w:rsidRDefault="0EB6BD60" w14:paraId="26609993" w14:textId="71AB6940">
      <w:r w:rsidRPr="51A6AB2E" w:rsidR="0EB6BD60">
        <w:rPr>
          <w:rFonts w:ascii="Arial" w:hAnsi="Arial" w:eastAsia="Arial" w:cs="Arial"/>
          <w:noProof w:val="0"/>
          <w:sz w:val="22"/>
          <w:szCs w:val="22"/>
          <w:lang w:val="en-GB"/>
        </w:rPr>
        <w:t>The findings also suggest that delayed access to ADHD services may have wider implications for social care and overall quality of life. Women who remain undiagnosed for extended periods may experience difficulties maintaining employment, managing family responsibilities, and accessing appropriate support networks. Consequently, unmet needs can extend beyond healthcare settings and influence broader aspects of daily living. This highlights the importance of adopting an integrated approach in which health and social care services work collaboratively to support individuals with ADHD throughout adulthood.</w:t>
      </w:r>
    </w:p>
    <w:p w:rsidR="0EB6BD60" w:rsidRDefault="0EB6BD60" w14:paraId="4024DFCA" w14:textId="741C9E8E">
      <w:r w:rsidRPr="072C3F49" w:rsidR="10048881">
        <w:rPr>
          <w:rFonts w:ascii="Arial" w:hAnsi="Arial" w:eastAsia="Arial" w:cs="Arial"/>
          <w:noProof w:val="0"/>
          <w:sz w:val="22"/>
          <w:szCs w:val="22"/>
          <w:lang w:val="en-GB"/>
        </w:rPr>
        <w:t xml:space="preserve">Another issue </w:t>
      </w:r>
      <w:r w:rsidRPr="072C3F49" w:rsidR="10048881">
        <w:rPr>
          <w:rFonts w:ascii="Arial" w:hAnsi="Arial" w:eastAsia="Arial" w:cs="Arial"/>
          <w:noProof w:val="0"/>
          <w:sz w:val="22"/>
          <w:szCs w:val="22"/>
          <w:lang w:val="en-GB"/>
        </w:rPr>
        <w:t>identified</w:t>
      </w:r>
      <w:r w:rsidRPr="072C3F49" w:rsidR="10048881">
        <w:rPr>
          <w:rFonts w:ascii="Arial" w:hAnsi="Arial" w:eastAsia="Arial" w:cs="Arial"/>
          <w:noProof w:val="0"/>
          <w:sz w:val="22"/>
          <w:szCs w:val="22"/>
          <w:lang w:val="en-GB"/>
        </w:rPr>
        <w:t xml:space="preserve"> within the literature is the growing demand for adult ADHD services within the UK. Increased awareness of ADHD, particularly among women, has encouraged more individuals to seek assessment and diagnosis. While this reflects positive progress in recognition, it has also placed </w:t>
      </w:r>
      <w:r w:rsidRPr="072C3F49" w:rsidR="10048881">
        <w:rPr>
          <w:rFonts w:ascii="Arial" w:hAnsi="Arial" w:eastAsia="Arial" w:cs="Arial"/>
          <w:noProof w:val="0"/>
          <w:sz w:val="22"/>
          <w:szCs w:val="22"/>
          <w:lang w:val="en-GB"/>
        </w:rPr>
        <w:t>additional</w:t>
      </w:r>
      <w:r w:rsidRPr="072C3F49" w:rsidR="10048881">
        <w:rPr>
          <w:rFonts w:ascii="Arial" w:hAnsi="Arial" w:eastAsia="Arial" w:cs="Arial"/>
          <w:noProof w:val="0"/>
          <w:sz w:val="22"/>
          <w:szCs w:val="22"/>
          <w:lang w:val="en-GB"/>
        </w:rPr>
        <w:t xml:space="preserve"> pressure on already stretched services. Young </w:t>
      </w:r>
      <w:r w:rsidRPr="072C3F49" w:rsidR="10048881">
        <w:rPr>
          <w:rFonts w:ascii="Arial" w:hAnsi="Arial" w:eastAsia="Arial" w:cs="Arial"/>
          <w:i w:val="1"/>
          <w:iCs w:val="1"/>
          <w:noProof w:val="0"/>
          <w:sz w:val="22"/>
          <w:szCs w:val="22"/>
          <w:lang w:val="en-GB"/>
        </w:rPr>
        <w:t>et al</w:t>
      </w:r>
      <w:r w:rsidRPr="072C3F49" w:rsidR="10048881">
        <w:rPr>
          <w:rFonts w:ascii="Arial" w:hAnsi="Arial" w:eastAsia="Arial" w:cs="Arial"/>
          <w:noProof w:val="0"/>
          <w:sz w:val="22"/>
          <w:szCs w:val="22"/>
          <w:lang w:val="en-GB"/>
        </w:rPr>
        <w:t>.</w:t>
      </w:r>
      <w:r w:rsidRPr="072C3F49" w:rsidR="138BF991">
        <w:rPr>
          <w:rFonts w:ascii="Arial" w:hAnsi="Arial" w:eastAsia="Arial" w:cs="Arial"/>
          <w:noProof w:val="0"/>
          <w:sz w:val="22"/>
          <w:szCs w:val="22"/>
          <w:lang w:val="en-GB"/>
        </w:rPr>
        <w:t>,</w:t>
      </w:r>
      <w:r w:rsidRPr="072C3F49" w:rsidR="10048881">
        <w:rPr>
          <w:rFonts w:ascii="Arial" w:hAnsi="Arial" w:eastAsia="Arial" w:cs="Arial"/>
          <w:noProof w:val="0"/>
          <w:sz w:val="22"/>
          <w:szCs w:val="22"/>
          <w:lang w:val="en-GB"/>
        </w:rPr>
        <w:t xml:space="preserve"> (2021) argue that without increased investment and workforce development, healthcare systems may struggle to meet rising demand. This may further </w:t>
      </w:r>
      <w:r w:rsidRPr="072C3F49" w:rsidR="10048881">
        <w:rPr>
          <w:rFonts w:ascii="Arial" w:hAnsi="Arial" w:eastAsia="Arial" w:cs="Arial"/>
          <w:noProof w:val="0"/>
          <w:sz w:val="22"/>
          <w:szCs w:val="22"/>
          <w:lang w:val="en-GB"/>
        </w:rPr>
        <w:t>exacerbate</w:t>
      </w:r>
      <w:r w:rsidRPr="072C3F49" w:rsidR="10048881">
        <w:rPr>
          <w:rFonts w:ascii="Arial" w:hAnsi="Arial" w:eastAsia="Arial" w:cs="Arial"/>
          <w:noProof w:val="0"/>
          <w:sz w:val="22"/>
          <w:szCs w:val="22"/>
          <w:lang w:val="en-GB"/>
        </w:rPr>
        <w:t xml:space="preserve"> waiting times and reduce access to </w:t>
      </w:r>
      <w:r w:rsidRPr="072C3F49" w:rsidR="10048881">
        <w:rPr>
          <w:rFonts w:ascii="Arial" w:hAnsi="Arial" w:eastAsia="Arial" w:cs="Arial"/>
          <w:noProof w:val="0"/>
          <w:sz w:val="22"/>
          <w:szCs w:val="22"/>
          <w:lang w:val="en-GB"/>
        </w:rPr>
        <w:t>timely</w:t>
      </w:r>
      <w:r w:rsidRPr="072C3F49" w:rsidR="10048881">
        <w:rPr>
          <w:rFonts w:ascii="Arial" w:hAnsi="Arial" w:eastAsia="Arial" w:cs="Arial"/>
          <w:noProof w:val="0"/>
          <w:sz w:val="22"/>
          <w:szCs w:val="22"/>
          <w:lang w:val="en-GB"/>
        </w:rPr>
        <w:t xml:space="preserve"> interventions.</w:t>
      </w:r>
    </w:p>
    <w:p w:rsidR="0EB6BD60" w:rsidRDefault="0EB6BD60" w14:paraId="1A4EE706" w14:textId="6335BB85">
      <w:r w:rsidRPr="51A6AB2E" w:rsidR="0EB6BD60">
        <w:rPr>
          <w:rFonts w:ascii="Arial" w:hAnsi="Arial" w:eastAsia="Arial" w:cs="Arial"/>
          <w:noProof w:val="0"/>
          <w:sz w:val="22"/>
          <w:szCs w:val="22"/>
          <w:lang w:val="en-GB"/>
        </w:rPr>
        <w:t>Furthermore, the literature suggests that post-diagnostic support should be viewed as an ongoing process rather than a single clinical event. Women diagnosed later in life may require support to understand their diagnosis, develop coping strategies, and manage the emotional impact associated with years of unmet needs. Wills and Chakraborty (2026) highlight the importance of continued guidance following diagnosis, suggesting that comprehensive support services can improve long-term wellbeing and promote greater self-management.</w:t>
      </w:r>
    </w:p>
    <w:p w:rsidR="76DCC01C" w:rsidP="51A6AB2E" w:rsidRDefault="76DCC01C" w14:paraId="4C2599BC" w14:textId="214DC98B">
      <w:pPr>
        <w:spacing w:line="360" w:lineRule="auto"/>
        <w:rPr>
          <w:rFonts w:ascii="Arial" w:hAnsi="Arial" w:eastAsia="Arial" w:cs="Arial"/>
          <w:noProof w:val="0"/>
          <w:color w:val="000000" w:themeColor="text1" w:themeTint="FF" w:themeShade="FF"/>
          <w:sz w:val="22"/>
          <w:szCs w:val="22"/>
          <w:lang w:val="en-GB"/>
        </w:rPr>
      </w:pPr>
      <w:r w:rsidRPr="51A6AB2E" w:rsidR="76DCC01C">
        <w:rPr>
          <w:rFonts w:ascii="Arial" w:hAnsi="Arial" w:eastAsia="Arial" w:cs="Arial"/>
          <w:noProof w:val="0"/>
          <w:color w:val="000000" w:themeColor="text1" w:themeTint="FF" w:themeShade="FF"/>
          <w:sz w:val="22"/>
          <w:szCs w:val="22"/>
          <w:lang w:val="en-GB"/>
        </w:rPr>
        <w:t>Despite these challenges, the findings also demonstrate evidence of progress. Increased public awareness, growing research into ADHD in women, and improvements in professional education have contributed to greater recognition of female presentations. Krebs and Donnellan-Fernandez (2025) suggest that continued research and policy development may further improve services and reduce diagnostic inequalities. However, the literature indicates that significant work remains necessary before healthcare provision can fully meet the needs of women diagnosed later in life.</w:t>
      </w:r>
    </w:p>
    <w:p w:rsidR="76DCC01C" w:rsidP="51A6AB2E" w:rsidRDefault="76DCC01C" w14:paraId="15F740EB" w14:textId="4977AF73">
      <w:pPr>
        <w:spacing w:line="360" w:lineRule="auto"/>
        <w:rPr>
          <w:rFonts w:ascii="Arial" w:hAnsi="Arial" w:eastAsia="Arial" w:cs="Arial"/>
          <w:noProof w:val="0"/>
          <w:color w:val="000000" w:themeColor="text1" w:themeTint="FF" w:themeShade="FF"/>
          <w:sz w:val="22"/>
          <w:szCs w:val="22"/>
          <w:lang w:val="en-GB"/>
        </w:rPr>
      </w:pPr>
      <w:r w:rsidRPr="51A6AB2E" w:rsidR="76DCC01C">
        <w:rPr>
          <w:rFonts w:ascii="Arial" w:hAnsi="Arial" w:eastAsia="Arial" w:cs="Arial"/>
          <w:noProof w:val="0"/>
          <w:color w:val="000000" w:themeColor="text1" w:themeTint="FF" w:themeShade="FF"/>
          <w:sz w:val="22"/>
          <w:szCs w:val="22"/>
          <w:lang w:val="en-GB"/>
        </w:rPr>
        <w:t>A notable area of agreement across the studies is the need for more gender-sensitive approaches to ADHD assessment and support. Although Young et al. (2021), Krebs and Donnellan-Fernandez (2025), and Wills and Chakraborty (2026) examine different aspects of healthcare provision, all highlight shortcomings within existing systems. The consistency of these findings strengthens the argument that service improvements are required at both policy and practice levels.</w:t>
      </w:r>
    </w:p>
    <w:p w:rsidR="76DCC01C" w:rsidP="51A6AB2E" w:rsidRDefault="76DCC01C" w14:paraId="69A09D27" w14:textId="71774762">
      <w:pPr>
        <w:spacing w:line="360" w:lineRule="auto"/>
        <w:rPr>
          <w:rFonts w:ascii="Arial" w:hAnsi="Arial" w:eastAsia="Arial" w:cs="Arial"/>
          <w:noProof w:val="0"/>
          <w:color w:val="000000" w:themeColor="text1" w:themeTint="FF" w:themeShade="FF"/>
          <w:sz w:val="22"/>
          <w:szCs w:val="22"/>
          <w:lang w:val="en-GB"/>
        </w:rPr>
      </w:pPr>
      <w:r w:rsidRPr="51A6AB2E" w:rsidR="76DCC01C">
        <w:rPr>
          <w:rFonts w:ascii="Arial" w:hAnsi="Arial" w:eastAsia="Arial" w:cs="Arial"/>
          <w:noProof w:val="0"/>
          <w:color w:val="000000" w:themeColor="text1" w:themeTint="FF" w:themeShade="FF"/>
          <w:sz w:val="22"/>
          <w:szCs w:val="22"/>
          <w:lang w:val="en-GB"/>
        </w:rPr>
        <w:t>The implications of these findings are considerable. Delayed access to diagnosis may prolong psychological distress and limit opportunities for intervention. Furthermore, inadequate post-diagnostic support may reduce the potential benefits associated with receiving a diagnosis. Improving clinician awareness, reducing waiting times, and expanding access to specialist services may therefore enhance outcomes for women living with ADHD.</w:t>
      </w:r>
    </w:p>
    <w:p w:rsidR="76DCC01C" w:rsidP="51A6AB2E" w:rsidRDefault="76DCC01C" w14:paraId="1266AB6A" w14:textId="7B58D8C3">
      <w:pPr>
        <w:spacing w:line="360" w:lineRule="auto"/>
        <w:rPr>
          <w:rFonts w:ascii="Arial" w:hAnsi="Arial" w:eastAsia="Arial" w:cs="Arial"/>
          <w:noProof w:val="0"/>
          <w:color w:val="000000" w:themeColor="text1" w:themeTint="FF" w:themeShade="FF"/>
          <w:sz w:val="22"/>
          <w:szCs w:val="22"/>
          <w:lang w:val="en-GB"/>
        </w:rPr>
      </w:pPr>
      <w:r w:rsidRPr="51A6AB2E" w:rsidR="76DCC01C">
        <w:rPr>
          <w:rFonts w:ascii="Arial" w:hAnsi="Arial" w:eastAsia="Arial" w:cs="Arial"/>
          <w:noProof w:val="0"/>
          <w:color w:val="000000" w:themeColor="text1" w:themeTint="FF" w:themeShade="FF"/>
          <w:sz w:val="22"/>
          <w:szCs w:val="22"/>
          <w:lang w:val="en-GB"/>
        </w:rPr>
        <w:t>Overall, health and social care provision emerged as a significant theme within the literature. While increasing awareness of ADHD has led to improvements in recognition and diagnosis, substantial challenges remain regarding service accessibility, consistency, and gender sensitivity. The findings suggest that more inclusive and responsive healthcare systems are required to support women diagnosed with ADHD after the age of 30. This theme directly addresses Research Objective Four and highlights the importance of service development in improving outcomes for women with ADHD.</w:t>
      </w:r>
    </w:p>
    <w:p w:rsidR="280C31E8" w:rsidP="072C3F49" w:rsidRDefault="280C31E8" w14:paraId="4980B050" w14:textId="564FCFC4">
      <w:pPr>
        <w:pStyle w:val="Heading2"/>
        <w:rPr>
          <w:rFonts w:ascii="Arial" w:hAnsi="Arial" w:eastAsia="Arial" w:cs="Arial"/>
          <w:b w:val="1"/>
          <w:bCs w:val="1"/>
          <w:noProof w:val="0"/>
          <w:color w:val="000000" w:themeColor="text1" w:themeTint="FF" w:themeShade="FF"/>
          <w:sz w:val="22"/>
          <w:szCs w:val="22"/>
          <w:lang w:val="en-GB"/>
        </w:rPr>
      </w:pPr>
      <w:bookmarkStart w:name="_Toc1981617761" w:id="1946749432"/>
      <w:r w:rsidRPr="4B13576D" w:rsidR="3DBFBC36">
        <w:rPr>
          <w:rFonts w:ascii="Arial" w:hAnsi="Arial" w:eastAsia="Arial" w:cs="Arial"/>
          <w:b w:val="1"/>
          <w:bCs w:val="1"/>
          <w:noProof w:val="0"/>
          <w:color w:val="000000" w:themeColor="text1" w:themeTint="FF" w:themeShade="FF"/>
          <w:sz w:val="22"/>
          <w:szCs w:val="22"/>
          <w:lang w:val="en-GB"/>
        </w:rPr>
        <w:t>4.6</w:t>
      </w:r>
      <w:bookmarkEnd w:id="1946749432"/>
    </w:p>
    <w:p w:rsidR="280C31E8" w:rsidP="51A6AB2E" w:rsidRDefault="280C31E8" w14:paraId="18C0346A" w14:textId="163783AB">
      <w:pPr>
        <w:pStyle w:val="Heading2"/>
        <w:rPr>
          <w:rFonts w:ascii="Arial" w:hAnsi="Arial" w:eastAsia="Arial" w:cs="Arial"/>
          <w:noProof w:val="0"/>
          <w:color w:val="000000" w:themeColor="text1" w:themeTint="FF" w:themeShade="FF"/>
          <w:sz w:val="22"/>
          <w:szCs w:val="22"/>
          <w:lang w:val="en-GB"/>
        </w:rPr>
      </w:pPr>
      <w:bookmarkStart w:name="_Toc757071883" w:id="886369408"/>
      <w:r w:rsidRPr="4B13576D" w:rsidR="3DBFBC36">
        <w:rPr>
          <w:rFonts w:ascii="Arial" w:hAnsi="Arial" w:eastAsia="Arial" w:cs="Arial"/>
          <w:b w:val="1"/>
          <w:bCs w:val="1"/>
          <w:noProof w:val="0"/>
          <w:color w:val="000000" w:themeColor="text1" w:themeTint="FF" w:themeShade="FF"/>
          <w:sz w:val="22"/>
          <w:szCs w:val="22"/>
          <w:lang w:val="en-GB"/>
        </w:rPr>
        <w:t>Conclusion</w:t>
      </w:r>
      <w:bookmarkEnd w:id="886369408"/>
    </w:p>
    <w:p w:rsidR="280C31E8" w:rsidP="51A6AB2E" w:rsidRDefault="280C31E8" w14:paraId="629EBF32" w14:textId="4B4FAECA">
      <w:pPr>
        <w:rPr>
          <w:rFonts w:ascii="Arial" w:hAnsi="Arial" w:eastAsia="Arial" w:cs="Arial"/>
          <w:noProof w:val="0"/>
          <w:color w:val="000000" w:themeColor="text1" w:themeTint="FF" w:themeShade="FF"/>
          <w:sz w:val="22"/>
          <w:szCs w:val="22"/>
          <w:lang w:val="en-GB"/>
        </w:rPr>
      </w:pPr>
      <w:r w:rsidRPr="51A6AB2E" w:rsidR="280C31E8">
        <w:rPr>
          <w:rFonts w:ascii="Arial" w:hAnsi="Arial" w:eastAsia="Arial" w:cs="Arial"/>
          <w:noProof w:val="0"/>
          <w:color w:val="000000" w:themeColor="text1" w:themeTint="FF" w:themeShade="FF"/>
          <w:sz w:val="22"/>
          <w:szCs w:val="22"/>
          <w:lang w:val="en-GB"/>
        </w:rPr>
        <w:t>This chapter has presented and discussed the findings identified through thematic analysis of the selected literature relating to the experiences of women diagnosed with ADHD after the age of 30. Three key themes emerged from the analysis: diagnostic barriers and gender bias, the psychological and social impact of late diagnosis, and health and social care provision within the United Kingdom.</w:t>
      </w:r>
    </w:p>
    <w:p w:rsidR="280C31E8" w:rsidP="51A6AB2E" w:rsidRDefault="280C31E8" w14:paraId="04727108" w14:textId="6E35DA8E">
      <w:pPr>
        <w:rPr>
          <w:rFonts w:ascii="Arial" w:hAnsi="Arial" w:eastAsia="Arial" w:cs="Arial"/>
          <w:noProof w:val="0"/>
          <w:color w:val="000000" w:themeColor="text1" w:themeTint="FF" w:themeShade="FF"/>
          <w:sz w:val="22"/>
          <w:szCs w:val="22"/>
          <w:lang w:val="en-GB"/>
        </w:rPr>
      </w:pPr>
      <w:r w:rsidRPr="51A6AB2E" w:rsidR="280C31E8">
        <w:rPr>
          <w:rFonts w:ascii="Arial" w:hAnsi="Arial" w:eastAsia="Arial" w:cs="Arial"/>
          <w:noProof w:val="0"/>
          <w:color w:val="000000" w:themeColor="text1" w:themeTint="FF" w:themeShade="FF"/>
          <w:sz w:val="22"/>
          <w:szCs w:val="22"/>
          <w:lang w:val="en-GB"/>
        </w:rPr>
        <w:t>The findings demonstrated that delayed diagnosis is influenced by a combination of male-centred diagnostic frameworks, gendered expectations, and masking behaviours, which often reduce the visibility of symptoms in women. The literature also highlighted the significant psychological and social consequences associated with living with undiagnosed ADHD, including reduced self-esteem, emotional distress, difficulties within relationships, and challenges in education and employment. Furthermore, the analysis identified limitations within UK healthcare services, including lengthy waiting times, regional inconsistencies, and a need for more gender-sensitive approaches to assessment and support.</w:t>
      </w:r>
    </w:p>
    <w:p w:rsidR="280C31E8" w:rsidRDefault="280C31E8" w14:paraId="2FFC2BB9" w14:textId="6EE456D2">
      <w:r w:rsidRPr="51A6AB2E" w:rsidR="280C31E8">
        <w:rPr>
          <w:rFonts w:ascii="Arial" w:hAnsi="Arial" w:eastAsia="Arial" w:cs="Arial"/>
          <w:noProof w:val="0"/>
          <w:color w:val="000000" w:themeColor="text1" w:themeTint="FF" w:themeShade="FF"/>
          <w:sz w:val="22"/>
          <w:szCs w:val="22"/>
          <w:lang w:val="en-GB"/>
        </w:rPr>
        <w:t>Overall, the findings suggest that women diagnosed later in life face a range of interconnected challenges that extend beyond the symptoms of ADHD itself. Addressing these challenges requires improvements in awareness, diagnostic practices, and service provision. The following chapter will draw together the key findings of the study, evaluate their implications for practice, and provide recommendations for future research and service development.</w:t>
      </w:r>
    </w:p>
    <w:p w:rsidR="51A6AB2E" w:rsidP="51A6AB2E" w:rsidRDefault="51A6AB2E" w14:paraId="6A53D6DA" w14:textId="257C27E5">
      <w:pPr>
        <w:spacing w:line="360" w:lineRule="auto"/>
        <w:rPr>
          <w:rFonts w:ascii="Arial" w:hAnsi="Arial" w:eastAsia="Arial" w:cs="Arial"/>
          <w:noProof w:val="0"/>
          <w:color w:val="000000" w:themeColor="text1" w:themeTint="FF" w:themeShade="FF"/>
          <w:sz w:val="22"/>
          <w:szCs w:val="22"/>
          <w:lang w:val="en-GB"/>
        </w:rPr>
      </w:pPr>
    </w:p>
    <w:p w:rsidR="1D476A4F" w:rsidP="3DF02E74" w:rsidRDefault="1D476A4F" w14:paraId="1C5DFFEA" w14:textId="6A311BD9">
      <w:pPr>
        <w:pStyle w:val="Heading1"/>
        <w:ind w:left="0"/>
        <w:rPr>
          <w:noProof w:val="0"/>
          <w:sz w:val="22"/>
          <w:szCs w:val="22"/>
          <w:lang w:val="en-GB"/>
        </w:rPr>
      </w:pPr>
      <w:bookmarkStart w:name="_Toc221492182" w:id="379103989"/>
      <w:r w:rsidRPr="4B13576D" w:rsidR="0912B066">
        <w:rPr>
          <w:noProof w:val="0"/>
          <w:sz w:val="22"/>
          <w:szCs w:val="22"/>
          <w:lang w:val="en-GB"/>
        </w:rPr>
        <w:t>CHAPTER 5: CONCLUSION AND RECOMMENDATIONS</w:t>
      </w:r>
      <w:bookmarkEnd w:id="379103989"/>
    </w:p>
    <w:p w:rsidR="1D476A4F" w:rsidP="51A6AB2E" w:rsidRDefault="1D476A4F" w14:paraId="0B93BD27" w14:textId="3B45751C">
      <w:pPr>
        <w:pStyle w:val="Heading2"/>
        <w:spacing w:line="360" w:lineRule="auto"/>
        <w:rPr>
          <w:rFonts w:ascii="Arial" w:hAnsi="Arial" w:eastAsia="Arial" w:cs="Arial"/>
          <w:b w:val="1"/>
          <w:bCs w:val="1"/>
          <w:noProof w:val="0"/>
          <w:color w:val="000000" w:themeColor="text1" w:themeTint="FF" w:themeShade="FF"/>
          <w:sz w:val="22"/>
          <w:szCs w:val="22"/>
          <w:lang w:val="en-GB"/>
        </w:rPr>
      </w:pPr>
      <w:bookmarkStart w:name="_Toc2087529810" w:id="1751099336"/>
      <w:r w:rsidRPr="4B13576D" w:rsidR="00B35972">
        <w:rPr>
          <w:rFonts w:ascii="Arial" w:hAnsi="Arial" w:eastAsia="Arial" w:cs="Arial"/>
          <w:b w:val="1"/>
          <w:bCs w:val="1"/>
          <w:noProof w:val="0"/>
          <w:color w:val="000000" w:themeColor="text1" w:themeTint="FF" w:themeShade="FF"/>
          <w:sz w:val="22"/>
          <w:szCs w:val="22"/>
          <w:lang w:val="en-GB"/>
        </w:rPr>
        <w:t>5.1 Overall Conclusion</w:t>
      </w:r>
      <w:bookmarkEnd w:id="1751099336"/>
    </w:p>
    <w:p w:rsidR="1D476A4F" w:rsidP="51A6AB2E" w:rsidRDefault="1D476A4F" w14:paraId="7FB8D75D" w14:textId="21D0CCE6">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This dissertation aimed to critically explore the experiences of women in the United Kingdom who received a diagnosis of Attention Deficit Hyperactivity Disorder (ADHD) after the age of 30. Through a secondary literature review, the study examined gender differences in ADHD presentation, barriers contributing to delayed diagnosis, the psychological and social impact of living with undiagnosed ADHD, and the effectiveness of UK health and social care services in supporting women following diagnosis.</w:t>
      </w:r>
    </w:p>
    <w:p w:rsidR="1D476A4F" w:rsidP="51A6AB2E" w:rsidRDefault="1D476A4F" w14:paraId="38D472B7" w14:textId="56B7E64D">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The findings demonstrated that ADHD in women often presents differently from the traditional male-centred understanding of the condition. Internalised symptoms such as inattentiveness, emotional dysregulation, and masking behaviours frequently reduce symptom visibility, contributing to delayed diagnosis. The research also identified significant diagnostic barriers, including gender bias within diagnostic frameworks and limited awareness of female ADHD presentations among healthcare professionals.</w:t>
      </w:r>
    </w:p>
    <w:p w:rsidR="1D476A4F" w:rsidP="51A6AB2E" w:rsidRDefault="1D476A4F" w14:paraId="01B89AFB" w14:textId="7A49DC48">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Furthermore, the study highlighted the considerable psychological and social consequences associated with receiving a diagnosis later in life. Many women experienced low self-esteem, emotional distress, difficulties within relationships, and challenges in education and employment before obtaining an explanation for their experiences. While diagnosis was often associated with relief and increased self-understanding, it also prompted reflection on years of unmet needs and missed opportunities.</w:t>
      </w:r>
    </w:p>
    <w:p w:rsidR="1D476A4F" w:rsidP="51A6AB2E" w:rsidRDefault="1D476A4F" w14:paraId="62B390B9" w14:textId="049771E8">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Finally, the research identified ongoing challenges within UK healthcare services, including lengthy waiting times, regional inconsistencies, and limited access to specialist support. Overall, the research aim and objectives were achieved, demonstrating that delayed ADHD diagnosis in women is influenced by a complex interaction of clinical, social, and structural factors. The findings highlight the need for greater awareness, earlier identification, and more responsive support services for women living with ADHD.</w:t>
      </w:r>
    </w:p>
    <w:p w:rsidR="1D476A4F" w:rsidP="51A6AB2E" w:rsidRDefault="1D476A4F" w14:paraId="1D0CE5CA" w14:textId="67051DB5">
      <w:pPr>
        <w:pStyle w:val="Heading2"/>
        <w:spacing w:line="360" w:lineRule="auto"/>
        <w:rPr>
          <w:rFonts w:ascii="Arial" w:hAnsi="Arial" w:eastAsia="Arial" w:cs="Arial"/>
          <w:b w:val="1"/>
          <w:bCs w:val="1"/>
          <w:noProof w:val="0"/>
          <w:color w:val="000000" w:themeColor="text1" w:themeTint="FF" w:themeShade="FF"/>
          <w:sz w:val="22"/>
          <w:szCs w:val="22"/>
          <w:lang w:val="en-GB"/>
        </w:rPr>
      </w:pPr>
      <w:bookmarkStart w:name="_Toc1421217245" w:id="923201076"/>
      <w:r w:rsidRPr="4B13576D" w:rsidR="00B35972">
        <w:rPr>
          <w:rFonts w:ascii="Arial" w:hAnsi="Arial" w:eastAsia="Arial" w:cs="Arial"/>
          <w:b w:val="1"/>
          <w:bCs w:val="1"/>
          <w:noProof w:val="0"/>
          <w:color w:val="000000" w:themeColor="text1" w:themeTint="FF" w:themeShade="FF"/>
          <w:sz w:val="22"/>
          <w:szCs w:val="22"/>
          <w:lang w:val="en-GB"/>
        </w:rPr>
        <w:t>5.2 Recommendations</w:t>
      </w:r>
      <w:bookmarkEnd w:id="923201076"/>
    </w:p>
    <w:p w:rsidR="1D476A4F" w:rsidP="51A6AB2E" w:rsidRDefault="1D476A4F" w14:paraId="6C7D84D7" w14:textId="2F18FD26">
      <w:pPr>
        <w:pStyle w:val="Heading3"/>
        <w:spacing w:line="360" w:lineRule="auto"/>
        <w:rPr>
          <w:rFonts w:ascii="Arial" w:hAnsi="Arial" w:eastAsia="Arial" w:cs="Arial"/>
          <w:b w:val="1"/>
          <w:bCs w:val="1"/>
          <w:noProof w:val="0"/>
          <w:color w:val="000000" w:themeColor="text1" w:themeTint="FF" w:themeShade="FF"/>
          <w:sz w:val="22"/>
          <w:szCs w:val="22"/>
          <w:lang w:val="en-GB"/>
        </w:rPr>
      </w:pPr>
      <w:bookmarkStart w:name="_Toc1945512264" w:id="1128444757"/>
      <w:r w:rsidRPr="4B13576D" w:rsidR="00B35972">
        <w:rPr>
          <w:rFonts w:ascii="Arial" w:hAnsi="Arial" w:eastAsia="Arial" w:cs="Arial"/>
          <w:b w:val="1"/>
          <w:bCs w:val="1"/>
          <w:noProof w:val="0"/>
          <w:color w:val="000000" w:themeColor="text1" w:themeTint="FF" w:themeShade="FF"/>
          <w:sz w:val="22"/>
          <w:szCs w:val="22"/>
          <w:lang w:val="en-GB"/>
        </w:rPr>
        <w:t>5.2.1 Recommendation 1: Increase Research on Women Diagnosed with ADHD After the Age of 30</w:t>
      </w:r>
      <w:bookmarkEnd w:id="1128444757"/>
    </w:p>
    <w:p w:rsidR="1D476A4F" w:rsidP="51A6AB2E" w:rsidRDefault="1D476A4F" w14:paraId="5FF90064" w14:textId="637CABF9">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The findings identified a significant lack of research focusing specifically on women diagnosed with ADHD later in life. Much of the existing literature continues to focus on children or male populations, limiting understanding of how ADHD affects women across adulthood. Future research should therefore prioritise women over the age of 30 to improve understanding of symptom presentation, diagnostic experiences, and long-term outcomes.</w:t>
      </w:r>
    </w:p>
    <w:p w:rsidR="1D476A4F" w:rsidP="51A6AB2E" w:rsidRDefault="1D476A4F" w14:paraId="4C2C6710" w14:textId="44B04AB1">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Increased participation of adult women within ADHD studies would provide valuable insight into the challenges associated with late diagnosis and help inform more gender-sensitive diagnostic frameworks. This may also improve professional awareness and contribute to the development of more effective interventions.</w:t>
      </w:r>
    </w:p>
    <w:p w:rsidR="1D476A4F" w:rsidP="51A6AB2E" w:rsidRDefault="1D476A4F" w14:paraId="0E94C5B6" w14:textId="397578F4">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A potential barrier to this recommendation is the difficulty of recruiting participants due to stigma surrounding ADHD and mental health conditions. Some women may feel uncomfortable discussing personal experiences or may remain undiagnosed. This barrier could be overcome through awareness campaigns, collaboration with ADHD support organisations, and the use of online recruitment methods that provide greater accessibility and anonymity.</w:t>
      </w:r>
    </w:p>
    <w:p w:rsidR="1D476A4F" w:rsidP="51A6AB2E" w:rsidRDefault="1D476A4F" w14:paraId="1D4CB297" w14:textId="6D3F84A6">
      <w:pPr>
        <w:pStyle w:val="Heading3"/>
        <w:spacing w:line="360" w:lineRule="auto"/>
        <w:rPr>
          <w:rFonts w:ascii="Arial" w:hAnsi="Arial" w:eastAsia="Arial" w:cs="Arial"/>
          <w:b w:val="1"/>
          <w:bCs w:val="1"/>
          <w:noProof w:val="0"/>
          <w:color w:val="000000" w:themeColor="text1" w:themeTint="FF" w:themeShade="FF"/>
          <w:sz w:val="22"/>
          <w:szCs w:val="22"/>
          <w:lang w:val="en-GB"/>
        </w:rPr>
      </w:pPr>
      <w:bookmarkStart w:name="_Toc859088902" w:id="706247574"/>
      <w:r w:rsidRPr="4B13576D" w:rsidR="00B35972">
        <w:rPr>
          <w:rFonts w:ascii="Arial" w:hAnsi="Arial" w:eastAsia="Arial" w:cs="Arial"/>
          <w:b w:val="1"/>
          <w:bCs w:val="1"/>
          <w:noProof w:val="0"/>
          <w:color w:val="000000" w:themeColor="text1" w:themeTint="FF" w:themeShade="FF"/>
          <w:sz w:val="22"/>
          <w:szCs w:val="22"/>
          <w:lang w:val="en-GB"/>
        </w:rPr>
        <w:t>5.2.2 Recommendation 2: Improve Public Awareness and Education About ADHD in Women</w:t>
      </w:r>
      <w:bookmarkEnd w:id="706247574"/>
    </w:p>
    <w:p w:rsidR="1D476A4F" w:rsidP="51A6AB2E" w:rsidRDefault="1D476A4F" w14:paraId="695EC23B" w14:textId="1A3EA9AA">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The findings demonstrated that many women experienced years of misunderstanding before receiving a diagnosis. Symptoms were frequently attributed to personality traits, anxiety, stress, or poor organisation rather than ADHD. Increased public education could help women recognise symptoms earlier and encourage help-seeking behaviour.</w:t>
      </w:r>
    </w:p>
    <w:p w:rsidR="1D476A4F" w:rsidP="51A6AB2E" w:rsidRDefault="1D476A4F" w14:paraId="17BCB5CF" w14:textId="5D73B102">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Awareness campaigns should specifically address female presentations of ADHD, including inattentiveness, emotional dysregulation, and masking behaviours. Educational resources could be delivered through schools, universities, workplaces, social media platforms, and healthcare services. Improved awareness may reduce stigma, increase understanding of ADHD, and encourage earlier assessment.</w:t>
      </w:r>
    </w:p>
    <w:p w:rsidR="1D476A4F" w:rsidP="51A6AB2E" w:rsidRDefault="1D476A4F" w14:paraId="168E1F51" w14:textId="1AC7A971">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A potential limitation is the financial cost associated with large-scale awareness campaigns. Additionally, misinformation on social media may contribute to confusion regarding ADHD symptoms. These challenges could be addressed through partnerships between healthcare organisations, educational institutions, charities, and government agencies to ensure that information remains accurate, evidence-based, and accessible.</w:t>
      </w:r>
    </w:p>
    <w:p w:rsidR="1D476A4F" w:rsidP="51A6AB2E" w:rsidRDefault="1D476A4F" w14:paraId="2E592BA8" w14:textId="1311746C">
      <w:pPr>
        <w:pStyle w:val="Heading3"/>
        <w:spacing w:line="360" w:lineRule="auto"/>
        <w:rPr>
          <w:rFonts w:ascii="Arial" w:hAnsi="Arial" w:eastAsia="Arial" w:cs="Arial"/>
          <w:b w:val="1"/>
          <w:bCs w:val="1"/>
          <w:noProof w:val="0"/>
          <w:color w:val="000000" w:themeColor="text1" w:themeTint="FF" w:themeShade="FF"/>
          <w:sz w:val="22"/>
          <w:szCs w:val="22"/>
          <w:lang w:val="en-GB"/>
        </w:rPr>
      </w:pPr>
      <w:bookmarkStart w:name="_Toc2073516467" w:id="496932832"/>
      <w:r w:rsidRPr="4B13576D" w:rsidR="00B35972">
        <w:rPr>
          <w:rFonts w:ascii="Arial" w:hAnsi="Arial" w:eastAsia="Arial" w:cs="Arial"/>
          <w:b w:val="1"/>
          <w:bCs w:val="1"/>
          <w:noProof w:val="0"/>
          <w:color w:val="000000" w:themeColor="text1" w:themeTint="FF" w:themeShade="FF"/>
          <w:sz w:val="22"/>
          <w:szCs w:val="22"/>
          <w:lang w:val="en-GB"/>
        </w:rPr>
        <w:t>5.2.3 Recommendation 3: Enhance Professional Training and ADHD Service Provision</w:t>
      </w:r>
      <w:bookmarkEnd w:id="496932832"/>
    </w:p>
    <w:p w:rsidR="1D476A4F" w:rsidP="51A6AB2E" w:rsidRDefault="1D476A4F" w14:paraId="71AD28C7" w14:textId="3A911C14">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The findings identified limitations within current healthcare provision, including long waiting times, inconsistent service availability, and limited awareness of female ADHD presentations among healthcare professionals. Improved professional training should therefore be implemented for general practitioners, mental health practitioners, and other frontline healthcare staff.</w:t>
      </w:r>
    </w:p>
    <w:p w:rsidR="1D476A4F" w:rsidP="51A6AB2E" w:rsidRDefault="1D476A4F" w14:paraId="4971007F" w14:textId="0B42D6F0">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Training programmes should focus on recognising ADHD symptoms in women, understanding the impact of masking behaviours, and identifying potential overlaps with anxiety and depression. Earlier recognition may reduce misdiagnosis and improve referral pathways to specialist services.</w:t>
      </w:r>
    </w:p>
    <w:p w:rsidR="1D476A4F" w:rsidP="51A6AB2E" w:rsidRDefault="1D476A4F" w14:paraId="6CE00D91" w14:textId="274403F6">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In addition, investment in adult ADHD services is required to reduce waiting times and improve access to assessment and support. Post-diagnostic services should also be strengthened to ensure women receive appropriate guidance following diagnosis.</w:t>
      </w:r>
    </w:p>
    <w:p w:rsidR="1D476A4F" w:rsidP="51A6AB2E" w:rsidRDefault="1D476A4F" w14:paraId="4EE65C1C" w14:textId="3E9F4FAB">
      <w:pPr>
        <w:spacing w:line="360" w:lineRule="auto"/>
        <w:rPr>
          <w:rFonts w:ascii="Arial" w:hAnsi="Arial" w:eastAsia="Arial" w:cs="Arial"/>
          <w:noProof w:val="0"/>
          <w:sz w:val="22"/>
          <w:szCs w:val="22"/>
          <w:lang w:val="en-GB"/>
        </w:rPr>
      </w:pPr>
      <w:r w:rsidRPr="51A6AB2E" w:rsidR="1D476A4F">
        <w:rPr>
          <w:rFonts w:ascii="Arial" w:hAnsi="Arial" w:eastAsia="Arial" w:cs="Arial"/>
          <w:noProof w:val="0"/>
          <w:sz w:val="22"/>
          <w:szCs w:val="22"/>
          <w:lang w:val="en-GB"/>
        </w:rPr>
        <w:t>A key barrier to this recommendation is the current pressure on NHS resources and workforce capacity. However, investment in earlier identification and intervention may reduce longer-term healthcare costs by preventing misdiagnosis, repeated assessments, and untreated mental health difficulties. Improved service provision could therefore benefit both individuals and healthcare systems in the long term.</w:t>
      </w:r>
    </w:p>
    <w:p w:rsidR="51A6AB2E" w:rsidP="51A6AB2E" w:rsidRDefault="51A6AB2E" w14:paraId="5F14EF7A" w14:textId="7F6478B1">
      <w:pPr>
        <w:pStyle w:val="Heading1"/>
        <w:spacing w:line="360" w:lineRule="auto"/>
        <w:rPr>
          <w:rFonts w:ascii="Arial" w:hAnsi="Arial" w:eastAsia="Arial" w:cs="Arial"/>
          <w:sz w:val="22"/>
          <w:szCs w:val="22"/>
        </w:rPr>
      </w:pPr>
    </w:p>
    <w:p w:rsidR="51A6AB2E" w:rsidP="51A6AB2E" w:rsidRDefault="51A6AB2E" w14:paraId="497A153B" w14:textId="596FFD38">
      <w:pPr>
        <w:pStyle w:val="Heading1"/>
        <w:ind w:left="0"/>
        <w:rPr>
          <w:rFonts w:ascii="Aptos" w:hAnsi="Aptos"/>
        </w:rPr>
      </w:pPr>
    </w:p>
    <w:p w:rsidRPr="00636D9A" w:rsidR="00211184" w:rsidP="4B13576D" w:rsidRDefault="00211184" w14:paraId="43C5841E" w14:textId="0C2AC951">
      <w:pPr>
        <w:pStyle w:val="Heading1"/>
        <w:ind w:left="0"/>
        <w:rPr>
          <w:rFonts w:ascii="Aptos" w:hAnsi="Aptos"/>
        </w:rPr>
      </w:pPr>
    </w:p>
    <w:p w:rsidRPr="00636D9A" w:rsidR="00211184" w:rsidP="4B13576D" w:rsidRDefault="00211184" w14:paraId="0017879F" w14:textId="2F702FD1">
      <w:pPr>
        <w:pStyle w:val="Heading1"/>
        <w:ind w:left="0"/>
        <w:rPr>
          <w:rFonts w:ascii="Aptos" w:hAnsi="Aptos"/>
        </w:rPr>
      </w:pPr>
    </w:p>
    <w:p w:rsidRPr="00636D9A" w:rsidR="00211184" w:rsidP="4B13576D" w:rsidRDefault="00211184" w14:paraId="47307908" w14:textId="6FB9014F">
      <w:pPr>
        <w:pStyle w:val="Heading1"/>
        <w:ind w:left="0"/>
        <w:rPr>
          <w:rFonts w:ascii="Aptos" w:hAnsi="Aptos"/>
        </w:rPr>
      </w:pPr>
    </w:p>
    <w:p w:rsidRPr="00636D9A" w:rsidR="00211184" w:rsidP="4B13576D" w:rsidRDefault="00211184" w14:paraId="0629AC58" w14:textId="47B7B90D">
      <w:pPr>
        <w:pStyle w:val="Heading1"/>
        <w:ind w:left="0"/>
        <w:rPr>
          <w:rFonts w:ascii="Aptos" w:hAnsi="Aptos"/>
        </w:rPr>
      </w:pPr>
    </w:p>
    <w:p w:rsidRPr="00636D9A" w:rsidR="00211184" w:rsidP="4B13576D" w:rsidRDefault="00211184" w14:paraId="794127E2" w14:textId="13AA741E">
      <w:pPr>
        <w:pStyle w:val="Heading1"/>
        <w:ind w:left="0"/>
        <w:rPr>
          <w:rFonts w:ascii="Aptos" w:hAnsi="Aptos"/>
        </w:rPr>
      </w:pPr>
    </w:p>
    <w:p w:rsidRPr="00636D9A" w:rsidR="00211184" w:rsidP="4B13576D" w:rsidRDefault="00211184" w14:paraId="60A812CC" w14:textId="1E244185">
      <w:pPr>
        <w:pStyle w:val="Heading1"/>
        <w:ind w:left="0"/>
        <w:rPr>
          <w:rFonts w:ascii="Aptos" w:hAnsi="Aptos"/>
        </w:rPr>
      </w:pPr>
    </w:p>
    <w:p w:rsidRPr="00636D9A" w:rsidR="00211184" w:rsidP="4B13576D" w:rsidRDefault="00211184" w14:paraId="285B6BA3" w14:textId="120AC435">
      <w:pPr>
        <w:pStyle w:val="Heading1"/>
        <w:ind w:left="0"/>
        <w:rPr>
          <w:rFonts w:ascii="Aptos" w:hAnsi="Aptos"/>
        </w:rPr>
      </w:pPr>
    </w:p>
    <w:p w:rsidRPr="00636D9A" w:rsidR="00211184" w:rsidP="4B13576D" w:rsidRDefault="00211184" w14:paraId="66DB5059" w14:textId="0673F840">
      <w:pPr>
        <w:pStyle w:val="Heading1"/>
        <w:ind w:left="0"/>
        <w:rPr>
          <w:rFonts w:ascii="Aptos" w:hAnsi="Aptos"/>
        </w:rPr>
      </w:pPr>
    </w:p>
    <w:p w:rsidRPr="00636D9A" w:rsidR="00211184" w:rsidP="4B13576D" w:rsidRDefault="00211184" w14:paraId="5E2FD9B0" w14:textId="5ED70B09">
      <w:pPr>
        <w:pStyle w:val="Heading1"/>
        <w:ind w:left="0"/>
        <w:rPr>
          <w:rFonts w:ascii="Aptos" w:hAnsi="Aptos"/>
        </w:rPr>
      </w:pPr>
    </w:p>
    <w:p w:rsidRPr="00636D9A" w:rsidR="00211184" w:rsidP="4B13576D" w:rsidRDefault="00211184" w14:paraId="63330A8E" w14:textId="21F531E3">
      <w:pPr>
        <w:pStyle w:val="Heading1"/>
        <w:ind w:left="0"/>
        <w:rPr>
          <w:rFonts w:ascii="Aptos" w:hAnsi="Aptos"/>
        </w:rPr>
      </w:pPr>
    </w:p>
    <w:p w:rsidRPr="00636D9A" w:rsidR="00211184" w:rsidP="4B13576D" w:rsidRDefault="00211184" w14:paraId="0E073CE2" w14:textId="437519D0">
      <w:pPr>
        <w:pStyle w:val="Heading1"/>
        <w:ind w:left="0"/>
        <w:rPr>
          <w:rFonts w:ascii="Aptos" w:hAnsi="Aptos"/>
        </w:rPr>
      </w:pPr>
    </w:p>
    <w:p w:rsidRPr="00636D9A" w:rsidR="00211184" w:rsidP="4B13576D" w:rsidRDefault="00211184" w14:paraId="48745BF3" w14:textId="49B66E0A">
      <w:pPr>
        <w:pStyle w:val="Heading1"/>
        <w:ind w:left="0"/>
        <w:rPr>
          <w:rFonts w:ascii="Aptos" w:hAnsi="Aptos"/>
        </w:rPr>
      </w:pPr>
    </w:p>
    <w:p w:rsidRPr="00636D9A" w:rsidR="00211184" w:rsidP="4B13576D" w:rsidRDefault="00211184" w14:paraId="6BC0A522" w14:textId="4015BDD8">
      <w:pPr>
        <w:pStyle w:val="Heading1"/>
        <w:ind w:left="0"/>
        <w:rPr>
          <w:rFonts w:ascii="Aptos" w:hAnsi="Aptos"/>
        </w:rPr>
      </w:pPr>
    </w:p>
    <w:p w:rsidRPr="00636D9A" w:rsidR="00211184" w:rsidP="4B13576D" w:rsidRDefault="00211184" w14:paraId="1E5CE96F" w14:textId="25C14F4C">
      <w:pPr>
        <w:pStyle w:val="Heading1"/>
        <w:ind w:left="0"/>
        <w:rPr>
          <w:rFonts w:ascii="Aptos" w:hAnsi="Aptos"/>
        </w:rPr>
      </w:pPr>
    </w:p>
    <w:p w:rsidRPr="00636D9A" w:rsidR="00211184" w:rsidP="4B13576D" w:rsidRDefault="00211184" w14:paraId="49641DDF" w14:textId="6AA0E7A3">
      <w:pPr>
        <w:pStyle w:val="Heading1"/>
        <w:ind w:left="0"/>
        <w:rPr>
          <w:rFonts w:ascii="Aptos" w:hAnsi="Aptos"/>
        </w:rPr>
      </w:pPr>
    </w:p>
    <w:p w:rsidRPr="00636D9A" w:rsidR="00211184" w:rsidP="4B13576D" w:rsidRDefault="00211184" w14:paraId="47C38072" w14:textId="40A29C65">
      <w:pPr>
        <w:pStyle w:val="Heading1"/>
        <w:ind w:left="0"/>
        <w:rPr>
          <w:rFonts w:ascii="Aptos" w:hAnsi="Aptos"/>
        </w:rPr>
      </w:pPr>
    </w:p>
    <w:p w:rsidRPr="00636D9A" w:rsidR="00211184" w:rsidP="4B13576D" w:rsidRDefault="00211184" w14:paraId="052C3749" w14:textId="52BDDBDF">
      <w:pPr>
        <w:pStyle w:val="Heading1"/>
        <w:ind w:left="0"/>
        <w:rPr>
          <w:rFonts w:ascii="Aptos" w:hAnsi="Aptos"/>
        </w:rPr>
      </w:pPr>
    </w:p>
    <w:p w:rsidRPr="00636D9A" w:rsidR="00211184" w:rsidP="4B13576D" w:rsidRDefault="00211184" w14:paraId="2127456D" w14:textId="0CCEA6FD">
      <w:pPr>
        <w:pStyle w:val="Heading1"/>
        <w:ind w:left="0"/>
        <w:rPr>
          <w:rFonts w:ascii="Aptos" w:hAnsi="Aptos"/>
        </w:rPr>
      </w:pPr>
    </w:p>
    <w:p w:rsidRPr="00636D9A" w:rsidR="00211184" w:rsidP="4B13576D" w:rsidRDefault="00211184" w14:paraId="02FAF43A" w14:textId="322C74F5">
      <w:pPr>
        <w:pStyle w:val="Heading1"/>
        <w:ind w:left="0"/>
        <w:rPr>
          <w:rFonts w:ascii="Aptos" w:hAnsi="Aptos"/>
        </w:rPr>
      </w:pPr>
    </w:p>
    <w:p w:rsidRPr="00636D9A" w:rsidR="00211184" w:rsidP="4B13576D" w:rsidRDefault="00211184" w14:paraId="2ACB502C" w14:textId="47A8FC2F">
      <w:pPr>
        <w:pStyle w:val="Heading1"/>
        <w:ind w:left="0"/>
        <w:rPr>
          <w:rFonts w:ascii="Aptos" w:hAnsi="Aptos"/>
        </w:rPr>
      </w:pPr>
    </w:p>
    <w:p w:rsidRPr="00636D9A" w:rsidR="00211184" w:rsidP="4B13576D" w:rsidRDefault="00211184" w14:paraId="7A5D6CEE" w14:textId="43DAC8DA">
      <w:pPr>
        <w:pStyle w:val="Heading1"/>
        <w:ind w:left="0"/>
        <w:rPr>
          <w:rFonts w:ascii="Aptos" w:hAnsi="Aptos"/>
        </w:rPr>
      </w:pPr>
    </w:p>
    <w:p w:rsidRPr="00636D9A" w:rsidR="00211184" w:rsidP="4B13576D" w:rsidRDefault="00211184" w14:paraId="65235E34" w14:textId="284D0D77">
      <w:pPr>
        <w:pStyle w:val="Heading1"/>
        <w:ind w:left="0"/>
        <w:rPr>
          <w:rFonts w:ascii="Aptos" w:hAnsi="Aptos"/>
        </w:rPr>
      </w:pPr>
    </w:p>
    <w:p w:rsidRPr="00636D9A" w:rsidR="00211184" w:rsidP="4B13576D" w:rsidRDefault="00211184" w14:paraId="5F8FF82D" w14:textId="2DAF6848">
      <w:pPr>
        <w:pStyle w:val="Heading1"/>
        <w:ind w:left="0"/>
        <w:rPr>
          <w:rFonts w:ascii="Aptos" w:hAnsi="Aptos"/>
        </w:rPr>
      </w:pPr>
    </w:p>
    <w:p w:rsidRPr="00636D9A" w:rsidR="00211184" w:rsidP="4B13576D" w:rsidRDefault="00211184" w14:paraId="2986BE9F" w14:textId="62278267">
      <w:pPr>
        <w:pStyle w:val="Heading1"/>
        <w:ind w:left="0"/>
        <w:rPr>
          <w:rFonts w:ascii="Aptos" w:hAnsi="Aptos"/>
        </w:rPr>
      </w:pPr>
    </w:p>
    <w:p w:rsidRPr="00636D9A" w:rsidR="00211184" w:rsidP="4B13576D" w:rsidRDefault="00211184" w14:paraId="47C3459F" w14:textId="11230690">
      <w:pPr>
        <w:pStyle w:val="Heading1"/>
        <w:ind w:left="0"/>
        <w:rPr>
          <w:rFonts w:ascii="Aptos" w:hAnsi="Aptos"/>
        </w:rPr>
      </w:pPr>
    </w:p>
    <w:p w:rsidRPr="00636D9A" w:rsidR="00211184" w:rsidP="4B13576D" w:rsidRDefault="00211184" w14:paraId="6376A242" w14:textId="7A4917BA">
      <w:pPr>
        <w:pStyle w:val="Heading1"/>
        <w:ind w:left="0"/>
        <w:rPr>
          <w:rFonts w:ascii="Aptos" w:hAnsi="Aptos"/>
        </w:rPr>
      </w:pPr>
    </w:p>
    <w:p w:rsidRPr="00636D9A" w:rsidR="00211184" w:rsidP="4B13576D" w:rsidRDefault="00211184" w14:paraId="3F2FF9AB" w14:textId="44A92458">
      <w:pPr>
        <w:pStyle w:val="Heading1"/>
        <w:ind w:left="0"/>
        <w:rPr>
          <w:rFonts w:ascii="Aptos" w:hAnsi="Aptos"/>
        </w:rPr>
      </w:pPr>
    </w:p>
    <w:p w:rsidRPr="00636D9A" w:rsidR="00211184" w:rsidP="4B13576D" w:rsidRDefault="00211184" w14:paraId="382CD096" w14:textId="039CCE68">
      <w:pPr>
        <w:pStyle w:val="Heading1"/>
        <w:ind w:left="0"/>
        <w:rPr>
          <w:rFonts w:ascii="Aptos" w:hAnsi="Aptos"/>
        </w:rPr>
      </w:pPr>
    </w:p>
    <w:p w:rsidRPr="00636D9A" w:rsidR="00211184" w:rsidP="4B13576D" w:rsidRDefault="00211184" w14:paraId="3B543653" w14:textId="7C33A34E">
      <w:pPr>
        <w:pStyle w:val="Heading1"/>
        <w:spacing w:line="360" w:lineRule="auto"/>
        <w:ind w:left="0"/>
        <w:rPr>
          <w:rFonts w:ascii="Arial" w:hAnsi="Arial" w:eastAsia="Arial" w:cs="Arial"/>
          <w:sz w:val="22"/>
          <w:szCs w:val="22"/>
        </w:rPr>
      </w:pPr>
    </w:p>
    <w:p w:rsidRPr="00636D9A" w:rsidR="00211184" w:rsidP="4B13576D" w:rsidRDefault="00211184" w14:paraId="3D3F3B28" w14:textId="317654EA">
      <w:pPr>
        <w:pStyle w:val="Heading1"/>
        <w:spacing w:line="360" w:lineRule="auto"/>
        <w:ind w:left="0"/>
        <w:rPr>
          <w:rFonts w:ascii="Arial" w:hAnsi="Arial" w:eastAsia="Arial" w:cs="Arial"/>
          <w:sz w:val="22"/>
          <w:szCs w:val="22"/>
        </w:rPr>
      </w:pPr>
      <w:bookmarkStart w:name="_Toc2078940901" w:id="1316720103"/>
      <w:r w:rsidRPr="4B13576D" w:rsidR="1377C6CE">
        <w:rPr>
          <w:rFonts w:ascii="Arial" w:hAnsi="Arial" w:eastAsia="Arial" w:cs="Arial"/>
          <w:sz w:val="22"/>
          <w:szCs w:val="22"/>
        </w:rPr>
        <w:t>C</w:t>
      </w:r>
      <w:r w:rsidRPr="4B13576D" w:rsidR="1377C6CE">
        <w:rPr>
          <w:rFonts w:ascii="Arial" w:hAnsi="Arial" w:eastAsia="Arial" w:cs="Arial"/>
          <w:sz w:val="22"/>
          <w:szCs w:val="22"/>
        </w:rPr>
        <w:t>HAPTER</w:t>
      </w:r>
      <w:r w:rsidRPr="4B13576D" w:rsidR="1377C6CE">
        <w:rPr>
          <w:rFonts w:ascii="Arial" w:hAnsi="Arial" w:eastAsia="Arial" w:cs="Arial"/>
          <w:sz w:val="22"/>
          <w:szCs w:val="22"/>
        </w:rPr>
        <w:t xml:space="preserve"> </w:t>
      </w:r>
      <w:r w:rsidRPr="4B13576D" w:rsidR="1377C6CE">
        <w:rPr>
          <w:rFonts w:ascii="Arial" w:hAnsi="Arial" w:eastAsia="Arial" w:cs="Arial"/>
          <w:sz w:val="22"/>
          <w:szCs w:val="22"/>
        </w:rPr>
        <w:t>6</w:t>
      </w:r>
      <w:r w:rsidRPr="4B13576D" w:rsidR="1377C6CE">
        <w:rPr>
          <w:rFonts w:ascii="Arial" w:hAnsi="Arial" w:eastAsia="Arial" w:cs="Arial"/>
          <w:sz w:val="22"/>
          <w:szCs w:val="22"/>
        </w:rPr>
        <w:t xml:space="preserve"> – </w:t>
      </w:r>
      <w:r w:rsidRPr="4B13576D" w:rsidR="1377C6CE">
        <w:rPr>
          <w:rFonts w:ascii="Arial" w:hAnsi="Arial" w:eastAsia="Arial" w:cs="Arial"/>
          <w:sz w:val="22"/>
          <w:szCs w:val="22"/>
        </w:rPr>
        <w:t>References and Appendices</w:t>
      </w:r>
      <w:bookmarkEnd w:id="1316720103"/>
      <w:r w:rsidRPr="4B13576D" w:rsidR="1377C6CE">
        <w:rPr>
          <w:rFonts w:ascii="Arial" w:hAnsi="Arial" w:eastAsia="Arial" w:cs="Arial"/>
          <w:sz w:val="22"/>
          <w:szCs w:val="22"/>
        </w:rPr>
        <w:t xml:space="preserve"> </w:t>
      </w:r>
    </w:p>
    <w:p w:rsidR="00211184" w:rsidP="4B13576D" w:rsidRDefault="00211184" w14:paraId="2EE69DD1" w14:textId="77777777">
      <w:pPr>
        <w:spacing w:line="360" w:lineRule="auto"/>
        <w:rPr>
          <w:rFonts w:ascii="Arial" w:hAnsi="Arial" w:eastAsia="Arial" w:cs="Arial"/>
          <w:sz w:val="22"/>
          <w:szCs w:val="22"/>
        </w:rPr>
      </w:pPr>
    </w:p>
    <w:p w:rsidRPr="008C38C3" w:rsidR="00621776" w:rsidP="4B13576D" w:rsidRDefault="00621776" w14:paraId="020975DD" w14:textId="1CB15436">
      <w:pPr>
        <w:pStyle w:val="Heading1"/>
        <w:spacing w:line="360" w:lineRule="auto"/>
        <w:ind w:left="0"/>
        <w:rPr>
          <w:rFonts w:ascii="Arial" w:hAnsi="Arial" w:eastAsia="Arial" w:cs="Arial"/>
          <w:sz w:val="22"/>
          <w:szCs w:val="22"/>
        </w:rPr>
      </w:pPr>
      <w:bookmarkStart w:name="_Toc1153530554" w:id="1694508429"/>
      <w:r w:rsidRPr="4B13576D" w:rsidR="4359338D">
        <w:rPr>
          <w:rFonts w:ascii="Arial" w:hAnsi="Arial" w:eastAsia="Arial" w:cs="Arial"/>
          <w:sz w:val="22"/>
          <w:szCs w:val="22"/>
        </w:rPr>
        <w:t xml:space="preserve">6.1 – References </w:t>
      </w:r>
      <w:r w:rsidRPr="4B13576D" w:rsidR="57932D7E">
        <w:rPr>
          <w:rFonts w:ascii="Arial" w:hAnsi="Arial" w:eastAsia="Arial" w:cs="Arial"/>
          <w:sz w:val="22"/>
          <w:szCs w:val="22"/>
        </w:rPr>
        <w:t>List:</w:t>
      </w:r>
      <w:bookmarkEnd w:id="1694508429"/>
    </w:p>
    <w:p w:rsidR="3DF02E74" w:rsidP="4B13576D" w:rsidRDefault="3DF02E74" w14:paraId="54CD66CB" w14:textId="4B73F372">
      <w:pPr>
        <w:spacing w:line="360" w:lineRule="auto"/>
        <w:rPr>
          <w:rFonts w:ascii="Arial" w:hAnsi="Arial" w:eastAsia="Arial" w:cs="Arial"/>
          <w:noProof w:val="0"/>
          <w:sz w:val="22"/>
          <w:szCs w:val="22"/>
          <w:lang w:val="en-GB"/>
        </w:rPr>
      </w:pPr>
    </w:p>
    <w:p w:rsidR="483FCAD9" w:rsidP="3DF02E74" w:rsidRDefault="483FCAD9" w14:paraId="4B3761FD" w14:textId="00ED0EBB">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American Psychiatric Association (2013) </w:t>
      </w:r>
      <w:r w:rsidRPr="4B13576D" w:rsidR="483FCAD9">
        <w:rPr>
          <w:rFonts w:ascii="Arial" w:hAnsi="Arial" w:eastAsia="Arial" w:cs="Arial"/>
          <w:i w:val="1"/>
          <w:iCs w:val="1"/>
          <w:noProof w:val="0"/>
          <w:sz w:val="22"/>
          <w:szCs w:val="22"/>
          <w:lang w:val="en-GB"/>
        </w:rPr>
        <w:t>Diagnostic and statistical manual of mental disorders</w:t>
      </w:r>
      <w:r w:rsidRPr="4B13576D" w:rsidR="483FCAD9">
        <w:rPr>
          <w:rFonts w:ascii="Arial" w:hAnsi="Arial" w:eastAsia="Arial" w:cs="Arial"/>
          <w:noProof w:val="0"/>
          <w:sz w:val="22"/>
          <w:szCs w:val="22"/>
          <w:lang w:val="en-GB"/>
        </w:rPr>
        <w:t>. 5th edn. Washington, DC: American Psychiatric Publishing (Accessed: 16 May 2026).</w:t>
      </w:r>
    </w:p>
    <w:p w:rsidR="483FCAD9" w:rsidP="3DF02E74" w:rsidRDefault="483FCAD9" w14:paraId="1D073800" w14:textId="76F50F38">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Attoe, D.E. and Climie, E.A. (2023) ‘Miss. Diagnosis: A systematic review of ADHD in adult women’, </w:t>
      </w:r>
      <w:r w:rsidRPr="4B13576D" w:rsidR="483FCAD9">
        <w:rPr>
          <w:rFonts w:ascii="Arial" w:hAnsi="Arial" w:eastAsia="Arial" w:cs="Arial"/>
          <w:i w:val="1"/>
          <w:iCs w:val="1"/>
          <w:noProof w:val="0"/>
          <w:sz w:val="22"/>
          <w:szCs w:val="22"/>
          <w:lang w:val="en-GB"/>
        </w:rPr>
        <w:t>Journal of Attention Disorders</w:t>
      </w:r>
      <w:r w:rsidRPr="4B13576D" w:rsidR="483FCAD9">
        <w:rPr>
          <w:rFonts w:ascii="Arial" w:hAnsi="Arial" w:eastAsia="Arial" w:cs="Arial"/>
          <w:noProof w:val="0"/>
          <w:sz w:val="22"/>
          <w:szCs w:val="22"/>
          <w:lang w:val="en-GB"/>
        </w:rPr>
        <w:t xml:space="preserve">, 27(7), pp. 645–657. doi: </w:t>
      </w:r>
      <w:hyperlink r:id="Rd7bcd9d6ac604065">
        <w:r w:rsidRPr="4B13576D" w:rsidR="483FCAD9">
          <w:rPr>
            <w:rStyle w:val="Hyperlink"/>
            <w:rFonts w:ascii="Arial" w:hAnsi="Arial" w:eastAsia="Arial" w:cs="Arial"/>
            <w:noProof w:val="0"/>
            <w:sz w:val="22"/>
            <w:szCs w:val="22"/>
            <w:lang w:val="en-GB"/>
          </w:rPr>
          <w:t>https://doi.org/10.1177/10870547231161533</w:t>
        </w:r>
      </w:hyperlink>
      <w:r w:rsidRPr="4B13576D" w:rsidR="483FCAD9">
        <w:rPr>
          <w:rFonts w:ascii="Arial" w:hAnsi="Arial" w:eastAsia="Arial" w:cs="Arial"/>
          <w:noProof w:val="0"/>
          <w:sz w:val="22"/>
          <w:szCs w:val="22"/>
          <w:lang w:val="en-GB"/>
        </w:rPr>
        <w:t xml:space="preserve"> (Accessed: 17 May 2026).</w:t>
      </w:r>
    </w:p>
    <w:p w:rsidR="483FCAD9" w:rsidP="3DF02E74" w:rsidRDefault="483FCAD9" w14:paraId="244B02BD" w14:textId="7F4541BA">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Aveyard, H. (2019) </w:t>
      </w:r>
      <w:r w:rsidRPr="4B13576D" w:rsidR="483FCAD9">
        <w:rPr>
          <w:rFonts w:ascii="Arial" w:hAnsi="Arial" w:eastAsia="Arial" w:cs="Arial"/>
          <w:i w:val="1"/>
          <w:iCs w:val="1"/>
          <w:noProof w:val="0"/>
          <w:sz w:val="22"/>
          <w:szCs w:val="22"/>
          <w:lang w:val="en-GB"/>
        </w:rPr>
        <w:t>Doing a literature review in health and social care</w:t>
      </w:r>
      <w:r w:rsidRPr="4B13576D" w:rsidR="483FCAD9">
        <w:rPr>
          <w:rFonts w:ascii="Arial" w:hAnsi="Arial" w:eastAsia="Arial" w:cs="Arial"/>
          <w:noProof w:val="0"/>
          <w:sz w:val="22"/>
          <w:szCs w:val="22"/>
          <w:lang w:val="en-GB"/>
        </w:rPr>
        <w:t>. 4th edn. London: Open University Press (Accessed: 18 May 2026).</w:t>
      </w:r>
    </w:p>
    <w:p w:rsidR="483FCAD9" w:rsidP="3DF02E74" w:rsidRDefault="483FCAD9" w14:paraId="0A7E6971" w14:textId="23621350">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Baig, S.K. and Kahya, H.H. (2025) ‘“I felt like a broken person”: The experiences of women navigating a late ADHD diagnosis in the UK’, </w:t>
      </w:r>
      <w:r w:rsidRPr="4B13576D" w:rsidR="483FCAD9">
        <w:rPr>
          <w:rFonts w:ascii="Arial" w:hAnsi="Arial" w:eastAsia="Arial" w:cs="Arial"/>
          <w:i w:val="1"/>
          <w:iCs w:val="1"/>
          <w:noProof w:val="0"/>
          <w:sz w:val="22"/>
          <w:szCs w:val="22"/>
          <w:lang w:val="en-GB"/>
        </w:rPr>
        <w:t>Advances in Mental Health</w:t>
      </w:r>
      <w:r w:rsidRPr="4B13576D" w:rsidR="483FCAD9">
        <w:rPr>
          <w:rFonts w:ascii="Arial" w:hAnsi="Arial" w:eastAsia="Arial" w:cs="Arial"/>
          <w:noProof w:val="0"/>
          <w:sz w:val="22"/>
          <w:szCs w:val="22"/>
          <w:lang w:val="en-GB"/>
        </w:rPr>
        <w:t xml:space="preserve">, pp. 1–25. doi: </w:t>
      </w:r>
      <w:hyperlink r:id="Rb0d5e532ee3745b8">
        <w:r w:rsidRPr="4B13576D" w:rsidR="483FCAD9">
          <w:rPr>
            <w:rStyle w:val="Hyperlink"/>
            <w:rFonts w:ascii="Arial" w:hAnsi="Arial" w:eastAsia="Arial" w:cs="Arial"/>
            <w:noProof w:val="0"/>
            <w:sz w:val="22"/>
            <w:szCs w:val="22"/>
            <w:lang w:val="en-GB"/>
          </w:rPr>
          <w:t>https://doi.org/10.1080/18387357.2025.2524513</w:t>
        </w:r>
      </w:hyperlink>
      <w:r w:rsidRPr="4B13576D" w:rsidR="483FCAD9">
        <w:rPr>
          <w:rFonts w:ascii="Arial" w:hAnsi="Arial" w:eastAsia="Arial" w:cs="Arial"/>
          <w:noProof w:val="0"/>
          <w:sz w:val="22"/>
          <w:szCs w:val="22"/>
          <w:lang w:val="en-GB"/>
        </w:rPr>
        <w:t xml:space="preserve"> (Accessed: 19 May 2026).</w:t>
      </w:r>
    </w:p>
    <w:p w:rsidR="483FCAD9" w:rsidP="3DF02E74" w:rsidRDefault="483FCAD9" w14:paraId="3D79B5FA" w14:textId="15F0D223">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Banire, B., Burns, H., Sutherland, D., McGowan, Y., Stewart, S.H., Klein, R.M. and Meier, S. (2025) ‘Role of social competence in emotion processing among emerging adults with anxiety’, </w:t>
      </w:r>
      <w:r w:rsidRPr="4B13576D" w:rsidR="483FCAD9">
        <w:rPr>
          <w:rFonts w:ascii="Arial" w:hAnsi="Arial" w:eastAsia="Arial" w:cs="Arial"/>
          <w:i w:val="1"/>
          <w:iCs w:val="1"/>
          <w:noProof w:val="0"/>
          <w:sz w:val="22"/>
          <w:szCs w:val="22"/>
          <w:lang w:val="en-GB"/>
        </w:rPr>
        <w:t>Scientific Reports</w:t>
      </w:r>
      <w:r w:rsidRPr="4B13576D" w:rsidR="483FCAD9">
        <w:rPr>
          <w:rFonts w:ascii="Arial" w:hAnsi="Arial" w:eastAsia="Arial" w:cs="Arial"/>
          <w:noProof w:val="0"/>
          <w:sz w:val="22"/>
          <w:szCs w:val="22"/>
          <w:lang w:val="en-GB"/>
        </w:rPr>
        <w:t xml:space="preserve">, 15(1). doi: </w:t>
      </w:r>
      <w:hyperlink r:id="Rba4b68cf059c4340">
        <w:r w:rsidRPr="4B13576D" w:rsidR="483FCAD9">
          <w:rPr>
            <w:rStyle w:val="Hyperlink"/>
            <w:rFonts w:ascii="Arial" w:hAnsi="Arial" w:eastAsia="Arial" w:cs="Arial"/>
            <w:noProof w:val="0"/>
            <w:sz w:val="22"/>
            <w:szCs w:val="22"/>
            <w:lang w:val="en-GB"/>
          </w:rPr>
          <w:t>https://doi.org/10.1038/s41598-025-20351-9</w:t>
        </w:r>
      </w:hyperlink>
      <w:r w:rsidRPr="4B13576D" w:rsidR="483FCAD9">
        <w:rPr>
          <w:rFonts w:ascii="Arial" w:hAnsi="Arial" w:eastAsia="Arial" w:cs="Arial"/>
          <w:noProof w:val="0"/>
          <w:sz w:val="22"/>
          <w:szCs w:val="22"/>
          <w:lang w:val="en-GB"/>
        </w:rPr>
        <w:t xml:space="preserve"> (Accessed: 20 May 2026).</w:t>
      </w:r>
    </w:p>
    <w:p w:rsidR="483FCAD9" w:rsidP="3DF02E74" w:rsidRDefault="483FCAD9" w14:paraId="408C5741" w14:textId="5479E62B">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Booth, A., Sutton, A. and Papaioannou, D. (2016) </w:t>
      </w:r>
      <w:r w:rsidRPr="4B13576D" w:rsidR="483FCAD9">
        <w:rPr>
          <w:rFonts w:ascii="Arial" w:hAnsi="Arial" w:eastAsia="Arial" w:cs="Arial"/>
          <w:i w:val="1"/>
          <w:iCs w:val="1"/>
          <w:noProof w:val="0"/>
          <w:sz w:val="22"/>
          <w:szCs w:val="22"/>
          <w:lang w:val="en-GB"/>
        </w:rPr>
        <w:t>Systematic approaches to a successful literature review</w:t>
      </w:r>
      <w:r w:rsidRPr="4B13576D" w:rsidR="483FCAD9">
        <w:rPr>
          <w:rFonts w:ascii="Arial" w:hAnsi="Arial" w:eastAsia="Arial" w:cs="Arial"/>
          <w:noProof w:val="0"/>
          <w:sz w:val="22"/>
          <w:szCs w:val="22"/>
          <w:lang w:val="en-GB"/>
        </w:rPr>
        <w:t>. 2nd edn. London: Sage (Accessed: 21 May 2026).</w:t>
      </w:r>
    </w:p>
    <w:p w:rsidR="483FCAD9" w:rsidP="3DF02E74" w:rsidRDefault="483FCAD9" w14:paraId="2852353E" w14:textId="742B7C23">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Bramer, W.M. et al. (2018) ‘A systematic approach to searching: An efficient and c</w:t>
      </w:r>
      <w:r w:rsidRPr="4B13576D" w:rsidR="483FCAD9">
        <w:rPr>
          <w:rFonts w:ascii="Arial" w:hAnsi="Arial" w:eastAsia="Arial" w:cs="Arial"/>
          <w:noProof w:val="0"/>
          <w:sz w:val="22"/>
          <w:szCs w:val="22"/>
          <w:lang w:val="en-GB"/>
        </w:rPr>
        <w:t xml:space="preserve">omplete method to develop literature searches’, </w:t>
      </w:r>
      <w:r w:rsidRPr="4B13576D" w:rsidR="483FCAD9">
        <w:rPr>
          <w:rFonts w:ascii="Arial" w:hAnsi="Arial" w:eastAsia="Arial" w:cs="Arial"/>
          <w:i w:val="1"/>
          <w:iCs w:val="1"/>
          <w:noProof w:val="0"/>
          <w:sz w:val="22"/>
          <w:szCs w:val="22"/>
          <w:lang w:val="en-GB"/>
        </w:rPr>
        <w:t>Journal of the Medical Library Association</w:t>
      </w:r>
      <w:r w:rsidRPr="4B13576D" w:rsidR="483FCAD9">
        <w:rPr>
          <w:rFonts w:ascii="Arial" w:hAnsi="Arial" w:eastAsia="Arial" w:cs="Arial"/>
          <w:noProof w:val="0"/>
          <w:sz w:val="22"/>
          <w:szCs w:val="22"/>
          <w:lang w:val="en-GB"/>
        </w:rPr>
        <w:t xml:space="preserve">, 106(4), pp. 531–541. doi: </w:t>
      </w:r>
      <w:hyperlink r:id="R5c52feffe5c54161">
        <w:r w:rsidRPr="4B13576D" w:rsidR="483FCAD9">
          <w:rPr>
            <w:rStyle w:val="Hyperlink"/>
            <w:rFonts w:ascii="Arial" w:hAnsi="Arial" w:eastAsia="Arial" w:cs="Arial"/>
            <w:noProof w:val="0"/>
            <w:sz w:val="22"/>
            <w:szCs w:val="22"/>
            <w:lang w:val="en-GB"/>
          </w:rPr>
          <w:t>https://doi.org/10.5195/jmla.2018.283</w:t>
        </w:r>
      </w:hyperlink>
      <w:r w:rsidRPr="4B13576D" w:rsidR="483FCAD9">
        <w:rPr>
          <w:rFonts w:ascii="Arial" w:hAnsi="Arial" w:eastAsia="Arial" w:cs="Arial"/>
          <w:noProof w:val="0"/>
          <w:sz w:val="22"/>
          <w:szCs w:val="22"/>
          <w:lang w:val="en-GB"/>
        </w:rPr>
        <w:t xml:space="preserve"> (Accessed: 22 May 2026).</w:t>
      </w:r>
    </w:p>
    <w:p w:rsidR="483FCAD9" w:rsidP="3DF02E74" w:rsidRDefault="483FCAD9" w14:paraId="205F7B35" w14:textId="4655B3F8">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Braun, V. and Clarke, V. (2006) ‘Using thematic analysis in psychology’, </w:t>
      </w:r>
      <w:r w:rsidRPr="4B13576D" w:rsidR="483FCAD9">
        <w:rPr>
          <w:rFonts w:ascii="Arial" w:hAnsi="Arial" w:eastAsia="Arial" w:cs="Arial"/>
          <w:i w:val="1"/>
          <w:iCs w:val="1"/>
          <w:noProof w:val="0"/>
          <w:sz w:val="22"/>
          <w:szCs w:val="22"/>
          <w:lang w:val="en-GB"/>
        </w:rPr>
        <w:t>Qualitative Research in Psychology</w:t>
      </w:r>
      <w:r w:rsidRPr="4B13576D" w:rsidR="483FCAD9">
        <w:rPr>
          <w:rFonts w:ascii="Arial" w:hAnsi="Arial" w:eastAsia="Arial" w:cs="Arial"/>
          <w:noProof w:val="0"/>
          <w:sz w:val="22"/>
          <w:szCs w:val="22"/>
          <w:lang w:val="en-GB"/>
        </w:rPr>
        <w:t xml:space="preserve">, 3(2), pp. 77–101. doi: </w:t>
      </w:r>
      <w:hyperlink r:id="Rd8629fadfab1474d">
        <w:r w:rsidRPr="4B13576D" w:rsidR="483FCAD9">
          <w:rPr>
            <w:rStyle w:val="Hyperlink"/>
            <w:rFonts w:ascii="Arial" w:hAnsi="Arial" w:eastAsia="Arial" w:cs="Arial"/>
            <w:noProof w:val="0"/>
            <w:sz w:val="22"/>
            <w:szCs w:val="22"/>
            <w:lang w:val="en-GB"/>
          </w:rPr>
          <w:t>https://doi.org/10.1191/1478088706qp063oa</w:t>
        </w:r>
      </w:hyperlink>
      <w:r w:rsidRPr="4B13576D" w:rsidR="483FCAD9">
        <w:rPr>
          <w:rFonts w:ascii="Arial" w:hAnsi="Arial" w:eastAsia="Arial" w:cs="Arial"/>
          <w:noProof w:val="0"/>
          <w:sz w:val="22"/>
          <w:szCs w:val="22"/>
          <w:lang w:val="en-GB"/>
        </w:rPr>
        <w:t xml:space="preserve"> (Accessed: 23 May 2026).</w:t>
      </w:r>
    </w:p>
    <w:p w:rsidR="483FCAD9" w:rsidP="3DF02E74" w:rsidRDefault="483FCAD9" w14:paraId="47B6F0BA" w14:textId="70C06346">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Brod, M. et al. (2012) ‘Comparison of the burden of illness for adults with ADHD across seven countries: A qualitative study’, </w:t>
      </w:r>
      <w:r w:rsidRPr="4B13576D" w:rsidR="483FCAD9">
        <w:rPr>
          <w:rFonts w:ascii="Arial" w:hAnsi="Arial" w:eastAsia="Arial" w:cs="Arial"/>
          <w:i w:val="1"/>
          <w:iCs w:val="1"/>
          <w:noProof w:val="0"/>
          <w:sz w:val="22"/>
          <w:szCs w:val="22"/>
          <w:lang w:val="en-GB"/>
        </w:rPr>
        <w:t>Health and Quality of Life Outcomes</w:t>
      </w:r>
      <w:r w:rsidRPr="4B13576D" w:rsidR="483FCAD9">
        <w:rPr>
          <w:rFonts w:ascii="Arial" w:hAnsi="Arial" w:eastAsia="Arial" w:cs="Arial"/>
          <w:noProof w:val="0"/>
          <w:sz w:val="22"/>
          <w:szCs w:val="22"/>
          <w:lang w:val="en-GB"/>
        </w:rPr>
        <w:t xml:space="preserve">, 10(1), p. 47. doi: </w:t>
      </w:r>
      <w:hyperlink r:id="Re8371cad1f3f49a7">
        <w:r w:rsidRPr="4B13576D" w:rsidR="483FCAD9">
          <w:rPr>
            <w:rStyle w:val="Hyperlink"/>
            <w:rFonts w:ascii="Arial" w:hAnsi="Arial" w:eastAsia="Arial" w:cs="Arial"/>
            <w:noProof w:val="0"/>
            <w:sz w:val="22"/>
            <w:szCs w:val="22"/>
            <w:lang w:val="en-GB"/>
          </w:rPr>
          <w:t>https://doi.org/10.1186/1477-7525-10-47</w:t>
        </w:r>
      </w:hyperlink>
      <w:r w:rsidRPr="4B13576D" w:rsidR="483FCAD9">
        <w:rPr>
          <w:rFonts w:ascii="Arial" w:hAnsi="Arial" w:eastAsia="Arial" w:cs="Arial"/>
          <w:noProof w:val="0"/>
          <w:sz w:val="22"/>
          <w:szCs w:val="22"/>
          <w:lang w:val="en-GB"/>
        </w:rPr>
        <w:t xml:space="preserve"> (Accessed: 24 May 2026).</w:t>
      </w:r>
    </w:p>
    <w:p w:rsidR="483FCAD9" w:rsidP="3DF02E74" w:rsidRDefault="483FCAD9" w14:paraId="6DA50377" w14:textId="4BAA8F21">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Centers for Disease Control and Prevention (2024) </w:t>
      </w:r>
      <w:r w:rsidRPr="4B13576D" w:rsidR="483FCAD9">
        <w:rPr>
          <w:rFonts w:ascii="Arial" w:hAnsi="Arial" w:eastAsia="Arial" w:cs="Arial"/>
          <w:i w:val="1"/>
          <w:iCs w:val="1"/>
          <w:noProof w:val="0"/>
          <w:sz w:val="22"/>
          <w:szCs w:val="22"/>
          <w:lang w:val="en-GB"/>
        </w:rPr>
        <w:t>About attention-deficit/hyperactivity disorder (ADHD)</w:t>
      </w:r>
      <w:r w:rsidRPr="4B13576D" w:rsidR="483FCAD9">
        <w:rPr>
          <w:rFonts w:ascii="Arial" w:hAnsi="Arial" w:eastAsia="Arial" w:cs="Arial"/>
          <w:noProof w:val="0"/>
          <w:sz w:val="22"/>
          <w:szCs w:val="22"/>
          <w:lang w:val="en-GB"/>
        </w:rPr>
        <w:t xml:space="preserve">. Available at: </w:t>
      </w:r>
      <w:hyperlink r:id="R00f23f51bab34000">
        <w:r w:rsidRPr="4B13576D" w:rsidR="483FCAD9">
          <w:rPr>
            <w:rStyle w:val="Hyperlink"/>
            <w:rFonts w:ascii="Arial" w:hAnsi="Arial" w:eastAsia="Arial" w:cs="Arial"/>
            <w:noProof w:val="0"/>
            <w:sz w:val="22"/>
            <w:szCs w:val="22"/>
            <w:lang w:val="en-GB"/>
          </w:rPr>
          <w:t>https://www.cdc.gov/adhd/about/index.html</w:t>
        </w:r>
      </w:hyperlink>
      <w:r w:rsidRPr="4B13576D" w:rsidR="483FCAD9">
        <w:rPr>
          <w:rFonts w:ascii="Arial" w:hAnsi="Arial" w:eastAsia="Arial" w:cs="Arial"/>
          <w:noProof w:val="0"/>
          <w:sz w:val="22"/>
          <w:szCs w:val="22"/>
          <w:lang w:val="en-GB"/>
        </w:rPr>
        <w:t xml:space="preserve"> (Accessed: 25 May 2026).</w:t>
      </w:r>
    </w:p>
    <w:p w:rsidR="483FCAD9" w:rsidP="3DF02E74" w:rsidRDefault="483FCAD9" w14:paraId="59E8928B" w14:textId="4828A551">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Chan, W.W.Y., Shum, K.K. and Sonuga-Barke, E.J.S. (2022) ‘Attention-deficit/hyperactivity disorder (ADHD) in cultural context’, </w:t>
      </w:r>
      <w:r w:rsidRPr="4B13576D" w:rsidR="483FCAD9">
        <w:rPr>
          <w:rFonts w:ascii="Arial" w:hAnsi="Arial" w:eastAsia="Arial" w:cs="Arial"/>
          <w:i w:val="1"/>
          <w:iCs w:val="1"/>
          <w:noProof w:val="0"/>
          <w:sz w:val="22"/>
          <w:szCs w:val="22"/>
          <w:lang w:val="en-GB"/>
        </w:rPr>
        <w:t>International Journal of Methods in Psychiatric Research</w:t>
      </w:r>
      <w:r w:rsidRPr="4B13576D" w:rsidR="483FCAD9">
        <w:rPr>
          <w:rFonts w:ascii="Arial" w:hAnsi="Arial" w:eastAsia="Arial" w:cs="Arial"/>
          <w:noProof w:val="0"/>
          <w:sz w:val="22"/>
          <w:szCs w:val="22"/>
          <w:lang w:val="en-GB"/>
        </w:rPr>
        <w:t xml:space="preserve">, 31(3). doi: </w:t>
      </w:r>
      <w:hyperlink r:id="Rdccab55018264855">
        <w:r w:rsidRPr="4B13576D" w:rsidR="483FCAD9">
          <w:rPr>
            <w:rStyle w:val="Hyperlink"/>
            <w:rFonts w:ascii="Arial" w:hAnsi="Arial" w:eastAsia="Arial" w:cs="Arial"/>
            <w:noProof w:val="0"/>
            <w:sz w:val="22"/>
            <w:szCs w:val="22"/>
            <w:lang w:val="en-GB"/>
          </w:rPr>
          <w:t>https://doi.org/10.1002/mpr.1923</w:t>
        </w:r>
      </w:hyperlink>
      <w:r w:rsidRPr="4B13576D" w:rsidR="483FCAD9">
        <w:rPr>
          <w:rFonts w:ascii="Arial" w:hAnsi="Arial" w:eastAsia="Arial" w:cs="Arial"/>
          <w:noProof w:val="0"/>
          <w:sz w:val="22"/>
          <w:szCs w:val="22"/>
          <w:lang w:val="en-GB"/>
        </w:rPr>
        <w:t xml:space="preserve"> (Accessed: 26 May 2026).</w:t>
      </w:r>
    </w:p>
    <w:p w:rsidR="483FCAD9" w:rsidP="3DF02E74" w:rsidRDefault="483FCAD9" w14:paraId="69E72683" w14:textId="7F916A5E">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Chaulagain, A. et al. (2023) ‘A systematic meta-review of systematic reviews on attention deficit hyperactivity disorder’, </w:t>
      </w:r>
      <w:r w:rsidRPr="4B13576D" w:rsidR="483FCAD9">
        <w:rPr>
          <w:rFonts w:ascii="Arial" w:hAnsi="Arial" w:eastAsia="Arial" w:cs="Arial"/>
          <w:i w:val="1"/>
          <w:iCs w:val="1"/>
          <w:noProof w:val="0"/>
          <w:sz w:val="22"/>
          <w:szCs w:val="22"/>
          <w:lang w:val="en-GB"/>
        </w:rPr>
        <w:t>European Psychiatry</w:t>
      </w:r>
      <w:r w:rsidRPr="4B13576D" w:rsidR="483FCAD9">
        <w:rPr>
          <w:rFonts w:ascii="Arial" w:hAnsi="Arial" w:eastAsia="Arial" w:cs="Arial"/>
          <w:noProof w:val="0"/>
          <w:sz w:val="22"/>
          <w:szCs w:val="22"/>
          <w:lang w:val="en-GB"/>
        </w:rPr>
        <w:t xml:space="preserve">, 66(1). doi: </w:t>
      </w:r>
      <w:hyperlink r:id="Rfc8fc84df2ca42c9">
        <w:r w:rsidRPr="4B13576D" w:rsidR="483FCAD9">
          <w:rPr>
            <w:rStyle w:val="Hyperlink"/>
            <w:rFonts w:ascii="Arial" w:hAnsi="Arial" w:eastAsia="Arial" w:cs="Arial"/>
            <w:noProof w:val="0"/>
            <w:sz w:val="22"/>
            <w:szCs w:val="22"/>
            <w:lang w:val="en-GB"/>
          </w:rPr>
          <w:t>https://doi.org/10.1192/j.eurpsy.2023.2451</w:t>
        </w:r>
      </w:hyperlink>
      <w:r w:rsidRPr="4B13576D" w:rsidR="483FCAD9">
        <w:rPr>
          <w:rFonts w:ascii="Arial" w:hAnsi="Arial" w:eastAsia="Arial" w:cs="Arial"/>
          <w:noProof w:val="0"/>
          <w:sz w:val="22"/>
          <w:szCs w:val="22"/>
          <w:lang w:val="en-GB"/>
        </w:rPr>
        <w:t xml:space="preserve"> (Accessed: 27 May 2026).</w:t>
      </w:r>
    </w:p>
    <w:p w:rsidR="483FCAD9" w:rsidP="3DF02E74" w:rsidRDefault="483FCAD9" w14:paraId="2E453072" w14:textId="7262F888">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Dean, J. (2024) </w:t>
      </w:r>
      <w:r w:rsidRPr="4B13576D" w:rsidR="483FCAD9">
        <w:rPr>
          <w:rFonts w:ascii="Arial" w:hAnsi="Arial" w:eastAsia="Arial" w:cs="Arial"/>
          <w:i w:val="1"/>
          <w:iCs w:val="1"/>
          <w:noProof w:val="0"/>
          <w:sz w:val="22"/>
          <w:szCs w:val="22"/>
          <w:lang w:val="en-GB"/>
        </w:rPr>
        <w:t>Subject guides: Critical evaluation: Criteria checklist approach: CRAAP</w:t>
      </w:r>
      <w:r w:rsidRPr="4B13576D" w:rsidR="483FCAD9">
        <w:rPr>
          <w:rFonts w:ascii="Arial" w:hAnsi="Arial" w:eastAsia="Arial" w:cs="Arial"/>
          <w:noProof w:val="0"/>
          <w:sz w:val="22"/>
          <w:szCs w:val="22"/>
          <w:lang w:val="en-GB"/>
        </w:rPr>
        <w:t xml:space="preserve">. Available at: </w:t>
      </w:r>
      <w:hyperlink r:id="R34244cb0d9c54d3a">
        <w:r w:rsidRPr="4B13576D" w:rsidR="483FCAD9">
          <w:rPr>
            <w:rStyle w:val="Hyperlink"/>
            <w:rFonts w:ascii="Arial" w:hAnsi="Arial" w:eastAsia="Arial" w:cs="Arial"/>
            <w:noProof w:val="0"/>
            <w:sz w:val="22"/>
            <w:szCs w:val="22"/>
            <w:lang w:val="en-GB"/>
          </w:rPr>
          <w:t>https://libguides.bcu.ac.uk/critical-evaluation/checklist-approach</w:t>
        </w:r>
      </w:hyperlink>
      <w:r w:rsidRPr="4B13576D" w:rsidR="483FCAD9">
        <w:rPr>
          <w:rFonts w:ascii="Arial" w:hAnsi="Arial" w:eastAsia="Arial" w:cs="Arial"/>
          <w:noProof w:val="0"/>
          <w:sz w:val="22"/>
          <w:szCs w:val="22"/>
          <w:lang w:val="en-GB"/>
        </w:rPr>
        <w:t xml:space="preserve"> (Accessed: 28 May 2026).</w:t>
      </w:r>
    </w:p>
    <w:p w:rsidR="483FCAD9" w:rsidP="3DF02E74" w:rsidRDefault="483FCAD9" w14:paraId="687F8E50" w14:textId="5C8EB58C">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de Leeuw, A., Happé, F. and Hoekstra, R.A. (2020) ‘A conceptual framework for understanding the cultural and contextual factors on autism across the globe’, </w:t>
      </w:r>
      <w:r w:rsidRPr="4B13576D" w:rsidR="483FCAD9">
        <w:rPr>
          <w:rFonts w:ascii="Arial" w:hAnsi="Arial" w:eastAsia="Arial" w:cs="Arial"/>
          <w:i w:val="1"/>
          <w:iCs w:val="1"/>
          <w:noProof w:val="0"/>
          <w:sz w:val="22"/>
          <w:szCs w:val="22"/>
          <w:lang w:val="en-GB"/>
        </w:rPr>
        <w:t>Autism Research</w:t>
      </w:r>
      <w:r w:rsidRPr="4B13576D" w:rsidR="483FCAD9">
        <w:rPr>
          <w:rFonts w:ascii="Arial" w:hAnsi="Arial" w:eastAsia="Arial" w:cs="Arial"/>
          <w:noProof w:val="0"/>
          <w:sz w:val="22"/>
          <w:szCs w:val="22"/>
          <w:lang w:val="en-GB"/>
        </w:rPr>
        <w:t xml:space="preserve">, 13(7). doi: </w:t>
      </w:r>
      <w:hyperlink r:id="R4aaf48d92b6c4b68">
        <w:r w:rsidRPr="4B13576D" w:rsidR="483FCAD9">
          <w:rPr>
            <w:rStyle w:val="Hyperlink"/>
            <w:rFonts w:ascii="Arial" w:hAnsi="Arial" w:eastAsia="Arial" w:cs="Arial"/>
            <w:noProof w:val="0"/>
            <w:sz w:val="22"/>
            <w:szCs w:val="22"/>
            <w:lang w:val="en-GB"/>
          </w:rPr>
          <w:t>https://doi.org/10.1002/aur.2276</w:t>
        </w:r>
      </w:hyperlink>
      <w:r w:rsidRPr="4B13576D" w:rsidR="483FCAD9">
        <w:rPr>
          <w:rFonts w:ascii="Arial" w:hAnsi="Arial" w:eastAsia="Arial" w:cs="Arial"/>
          <w:noProof w:val="0"/>
          <w:sz w:val="22"/>
          <w:szCs w:val="22"/>
          <w:lang w:val="en-GB"/>
        </w:rPr>
        <w:t xml:space="preserve"> (Accessed: 29 May 2026).</w:t>
      </w:r>
    </w:p>
    <w:p w:rsidR="483FCAD9" w:rsidP="3DF02E74" w:rsidRDefault="483FCAD9" w14:paraId="26A0046F" w14:textId="1402E187">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Department of Health and Social Care (2025) </w:t>
      </w:r>
      <w:r w:rsidRPr="4B13576D" w:rsidR="483FCAD9">
        <w:rPr>
          <w:rFonts w:ascii="Arial" w:hAnsi="Arial" w:eastAsia="Arial" w:cs="Arial"/>
          <w:i w:val="1"/>
          <w:iCs w:val="1"/>
          <w:noProof w:val="0"/>
          <w:sz w:val="22"/>
          <w:szCs w:val="22"/>
          <w:lang w:val="en-GB"/>
        </w:rPr>
        <w:t>Independent review into mental health conditions, ADHD and autism: Terms of reference</w:t>
      </w:r>
      <w:r w:rsidRPr="4B13576D" w:rsidR="483FCAD9">
        <w:rPr>
          <w:rFonts w:ascii="Arial" w:hAnsi="Arial" w:eastAsia="Arial" w:cs="Arial"/>
          <w:noProof w:val="0"/>
          <w:sz w:val="22"/>
          <w:szCs w:val="22"/>
          <w:lang w:val="en-GB"/>
        </w:rPr>
        <w:t xml:space="preserve">. Available at: </w:t>
      </w:r>
      <w:hyperlink r:id="R464017119fa641e1">
        <w:r w:rsidRPr="4B13576D" w:rsidR="483FCAD9">
          <w:rPr>
            <w:rStyle w:val="Hyperlink"/>
            <w:rFonts w:ascii="Arial" w:hAnsi="Arial" w:eastAsia="Arial" w:cs="Arial"/>
            <w:noProof w:val="0"/>
            <w:sz w:val="22"/>
            <w:szCs w:val="22"/>
            <w:lang w:val="en-GB"/>
          </w:rPr>
          <w:t>https://www.gov.uk</w:t>
        </w:r>
      </w:hyperlink>
      <w:r w:rsidRPr="4B13576D" w:rsidR="483FCAD9">
        <w:rPr>
          <w:rFonts w:ascii="Arial" w:hAnsi="Arial" w:eastAsia="Arial" w:cs="Arial"/>
          <w:noProof w:val="0"/>
          <w:sz w:val="22"/>
          <w:szCs w:val="22"/>
          <w:lang w:val="en-GB"/>
        </w:rPr>
        <w:t xml:space="preserve"> (Accessed: 30 May 2026).</w:t>
      </w:r>
    </w:p>
    <w:p w:rsidR="483FCAD9" w:rsidP="3DF02E74" w:rsidRDefault="483FCAD9" w14:paraId="79C7C191" w14:textId="5756EC42">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Department of Health and Social Care (2026) </w:t>
      </w:r>
      <w:r w:rsidRPr="4B13576D" w:rsidR="483FCAD9">
        <w:rPr>
          <w:rFonts w:ascii="Arial" w:hAnsi="Arial" w:eastAsia="Arial" w:cs="Arial"/>
          <w:i w:val="1"/>
          <w:iCs w:val="1"/>
          <w:noProof w:val="0"/>
          <w:sz w:val="22"/>
          <w:szCs w:val="22"/>
          <w:lang w:val="en-GB"/>
        </w:rPr>
        <w:t>Independent review into mental health conditions, ADHD and autism: Interim report</w:t>
      </w:r>
      <w:r w:rsidRPr="4B13576D" w:rsidR="483FCAD9">
        <w:rPr>
          <w:rFonts w:ascii="Arial" w:hAnsi="Arial" w:eastAsia="Arial" w:cs="Arial"/>
          <w:noProof w:val="0"/>
          <w:sz w:val="22"/>
          <w:szCs w:val="22"/>
          <w:lang w:val="en-GB"/>
        </w:rPr>
        <w:t xml:space="preserve">. Available at: </w:t>
      </w:r>
      <w:hyperlink r:id="R2753cf7ac30f407f">
        <w:r w:rsidRPr="4B13576D" w:rsidR="483FCAD9">
          <w:rPr>
            <w:rStyle w:val="Hyperlink"/>
            <w:rFonts w:ascii="Arial" w:hAnsi="Arial" w:eastAsia="Arial" w:cs="Arial"/>
            <w:noProof w:val="0"/>
            <w:sz w:val="22"/>
            <w:szCs w:val="22"/>
            <w:lang w:val="en-GB"/>
          </w:rPr>
          <w:t>https://assets.publishing.service.gov.uk</w:t>
        </w:r>
      </w:hyperlink>
      <w:r w:rsidRPr="4B13576D" w:rsidR="483FCAD9">
        <w:rPr>
          <w:rFonts w:ascii="Arial" w:hAnsi="Arial" w:eastAsia="Arial" w:cs="Arial"/>
          <w:noProof w:val="0"/>
          <w:sz w:val="22"/>
          <w:szCs w:val="22"/>
          <w:lang w:val="en-GB"/>
        </w:rPr>
        <w:t xml:space="preserve"> (Accessed: 31 May 2026).</w:t>
      </w:r>
    </w:p>
    <w:p w:rsidR="483FCAD9" w:rsidP="3DF02E74" w:rsidRDefault="483FCAD9" w14:paraId="79D1FF2E" w14:textId="2C8B0537">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Faraone, S.V., Sergeant, J., Gillberg, C. and Biederman, J. (2003) ‘The worldwide prevalence of ADHD: Is it an American condition?’, </w:t>
      </w:r>
      <w:r w:rsidRPr="4B13576D" w:rsidR="483FCAD9">
        <w:rPr>
          <w:rFonts w:ascii="Arial" w:hAnsi="Arial" w:eastAsia="Arial" w:cs="Arial"/>
          <w:i w:val="1"/>
          <w:iCs w:val="1"/>
          <w:noProof w:val="0"/>
          <w:sz w:val="22"/>
          <w:szCs w:val="22"/>
          <w:lang w:val="en-GB"/>
        </w:rPr>
        <w:t>World Psychiatry</w:t>
      </w:r>
      <w:r w:rsidRPr="4B13576D" w:rsidR="483FCAD9">
        <w:rPr>
          <w:rFonts w:ascii="Arial" w:hAnsi="Arial" w:eastAsia="Arial" w:cs="Arial"/>
          <w:noProof w:val="0"/>
          <w:sz w:val="22"/>
          <w:szCs w:val="22"/>
          <w:lang w:val="en-GB"/>
        </w:rPr>
        <w:t>, 2(2), p. 104 (Accessed: 1 June 2026).</w:t>
      </w:r>
    </w:p>
    <w:p w:rsidR="483FCAD9" w:rsidP="3DF02E74" w:rsidRDefault="483FCAD9" w14:paraId="723DE8DA" w14:textId="55E10475">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French, B., Daley, D., Groom, M. and Cassidy, S. (2023) ‘Risks associated with undiagnosed ADHD and/or autism: A mixed-method systematic review’, </w:t>
      </w:r>
      <w:r w:rsidRPr="4B13576D" w:rsidR="483FCAD9">
        <w:rPr>
          <w:rFonts w:ascii="Arial" w:hAnsi="Arial" w:eastAsia="Arial" w:cs="Arial"/>
          <w:i w:val="1"/>
          <w:iCs w:val="1"/>
          <w:noProof w:val="0"/>
          <w:sz w:val="22"/>
          <w:szCs w:val="22"/>
          <w:lang w:val="en-GB"/>
        </w:rPr>
        <w:t>Journal of Attention Disorders</w:t>
      </w:r>
      <w:r w:rsidRPr="4B13576D" w:rsidR="483FCAD9">
        <w:rPr>
          <w:rFonts w:ascii="Arial" w:hAnsi="Arial" w:eastAsia="Arial" w:cs="Arial"/>
          <w:noProof w:val="0"/>
          <w:sz w:val="22"/>
          <w:szCs w:val="22"/>
          <w:lang w:val="en-GB"/>
        </w:rPr>
        <w:t xml:space="preserve">, 27(12). doi: </w:t>
      </w:r>
      <w:hyperlink r:id="R3d25eb13175a4b3a">
        <w:r w:rsidRPr="4B13576D" w:rsidR="483FCAD9">
          <w:rPr>
            <w:rStyle w:val="Hyperlink"/>
            <w:rFonts w:ascii="Arial" w:hAnsi="Arial" w:eastAsia="Arial" w:cs="Arial"/>
            <w:noProof w:val="0"/>
            <w:sz w:val="22"/>
            <w:szCs w:val="22"/>
            <w:lang w:val="en-GB"/>
          </w:rPr>
          <w:t>https://doi.org/10.1177/10870547231176862</w:t>
        </w:r>
      </w:hyperlink>
      <w:r w:rsidRPr="4B13576D" w:rsidR="483FCAD9">
        <w:rPr>
          <w:rFonts w:ascii="Arial" w:hAnsi="Arial" w:eastAsia="Arial" w:cs="Arial"/>
          <w:noProof w:val="0"/>
          <w:sz w:val="22"/>
          <w:szCs w:val="22"/>
          <w:lang w:val="en-GB"/>
        </w:rPr>
        <w:t xml:space="preserve"> (Accessed: 2 June 2026).</w:t>
      </w:r>
    </w:p>
    <w:p w:rsidR="483FCAD9" w:rsidP="3DF02E74" w:rsidRDefault="483FCAD9" w14:paraId="45872523" w14:textId="25F76BBC">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Froehlich, T.E. et al. (2011) ‘Update on environmental risk factors for attention-deficit/hyperactivity disorder’, </w:t>
      </w:r>
      <w:r w:rsidRPr="4B13576D" w:rsidR="483FCAD9">
        <w:rPr>
          <w:rFonts w:ascii="Arial" w:hAnsi="Arial" w:eastAsia="Arial" w:cs="Arial"/>
          <w:i w:val="1"/>
          <w:iCs w:val="1"/>
          <w:noProof w:val="0"/>
          <w:sz w:val="22"/>
          <w:szCs w:val="22"/>
          <w:lang w:val="en-GB"/>
        </w:rPr>
        <w:t>Current Psychiatry Reports</w:t>
      </w:r>
      <w:r w:rsidRPr="4B13576D" w:rsidR="483FCAD9">
        <w:rPr>
          <w:rFonts w:ascii="Arial" w:hAnsi="Arial" w:eastAsia="Arial" w:cs="Arial"/>
          <w:noProof w:val="0"/>
          <w:sz w:val="22"/>
          <w:szCs w:val="22"/>
          <w:lang w:val="en-GB"/>
        </w:rPr>
        <w:t xml:space="preserve">, 13(5), pp. 333–344. doi: </w:t>
      </w:r>
      <w:hyperlink r:id="R19e367d113b34b94">
        <w:r w:rsidRPr="4B13576D" w:rsidR="483FCAD9">
          <w:rPr>
            <w:rStyle w:val="Hyperlink"/>
            <w:rFonts w:ascii="Arial" w:hAnsi="Arial" w:eastAsia="Arial" w:cs="Arial"/>
            <w:noProof w:val="0"/>
            <w:sz w:val="22"/>
            <w:szCs w:val="22"/>
            <w:lang w:val="en-GB"/>
          </w:rPr>
          <w:t>https://doi.org/10.1007/s11920-011-0221-3</w:t>
        </w:r>
      </w:hyperlink>
      <w:r w:rsidRPr="4B13576D" w:rsidR="483FCAD9">
        <w:rPr>
          <w:rFonts w:ascii="Arial" w:hAnsi="Arial" w:eastAsia="Arial" w:cs="Arial"/>
          <w:noProof w:val="0"/>
          <w:sz w:val="22"/>
          <w:szCs w:val="22"/>
          <w:lang w:val="en-GB"/>
        </w:rPr>
        <w:t xml:space="preserve"> (Accessed: 3 June 2026).</w:t>
      </w:r>
    </w:p>
    <w:p w:rsidR="483FCAD9" w:rsidP="3DF02E74" w:rsidRDefault="483FCAD9" w14:paraId="3EBA2A59" w14:textId="44CA9F25">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Gale, N.K. et al. (2013) ‘Using the framework method for the analysis of qualitative data in multi-disciplinary health research’, </w:t>
      </w:r>
      <w:r w:rsidRPr="4B13576D" w:rsidR="483FCAD9">
        <w:rPr>
          <w:rFonts w:ascii="Arial" w:hAnsi="Arial" w:eastAsia="Arial" w:cs="Arial"/>
          <w:i w:val="1"/>
          <w:iCs w:val="1"/>
          <w:noProof w:val="0"/>
          <w:sz w:val="22"/>
          <w:szCs w:val="22"/>
          <w:lang w:val="en-GB"/>
        </w:rPr>
        <w:t>BMC Medical Research Methodology</w:t>
      </w:r>
      <w:r w:rsidRPr="4B13576D" w:rsidR="483FCAD9">
        <w:rPr>
          <w:rFonts w:ascii="Arial" w:hAnsi="Arial" w:eastAsia="Arial" w:cs="Arial"/>
          <w:noProof w:val="0"/>
          <w:sz w:val="22"/>
          <w:szCs w:val="22"/>
          <w:lang w:val="en-GB"/>
        </w:rPr>
        <w:t xml:space="preserve">, 13(1), pp. 1–8. doi: </w:t>
      </w:r>
      <w:hyperlink r:id="R5cfe355fffbd4d1d">
        <w:r w:rsidRPr="4B13576D" w:rsidR="483FCAD9">
          <w:rPr>
            <w:rStyle w:val="Hyperlink"/>
            <w:rFonts w:ascii="Arial" w:hAnsi="Arial" w:eastAsia="Arial" w:cs="Arial"/>
            <w:noProof w:val="0"/>
            <w:sz w:val="22"/>
            <w:szCs w:val="22"/>
            <w:lang w:val="en-GB"/>
          </w:rPr>
          <w:t>https://doi.org/10.1186/1471-2288-13-117</w:t>
        </w:r>
      </w:hyperlink>
      <w:r w:rsidRPr="4B13576D" w:rsidR="483FCAD9">
        <w:rPr>
          <w:rFonts w:ascii="Arial" w:hAnsi="Arial" w:eastAsia="Arial" w:cs="Arial"/>
          <w:noProof w:val="0"/>
          <w:sz w:val="22"/>
          <w:szCs w:val="22"/>
          <w:lang w:val="en-GB"/>
        </w:rPr>
        <w:t xml:space="preserve"> (Accessed: 4 June 2026).</w:t>
      </w:r>
    </w:p>
    <w:p w:rsidR="483FCAD9" w:rsidP="3DF02E74" w:rsidRDefault="483FCAD9" w14:paraId="14B3C3BA" w14:textId="2F631510">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Gershon, J. (2002) ‘A meta-analytic review of gender differences in ADHD’, </w:t>
      </w:r>
      <w:r w:rsidRPr="4B13576D" w:rsidR="483FCAD9">
        <w:rPr>
          <w:rFonts w:ascii="Arial" w:hAnsi="Arial" w:eastAsia="Arial" w:cs="Arial"/>
          <w:i w:val="1"/>
          <w:iCs w:val="1"/>
          <w:noProof w:val="0"/>
          <w:sz w:val="22"/>
          <w:szCs w:val="22"/>
          <w:lang w:val="en-GB"/>
        </w:rPr>
        <w:t>Journal of Attention Disorders</w:t>
      </w:r>
      <w:r w:rsidRPr="4B13576D" w:rsidR="483FCAD9">
        <w:rPr>
          <w:rFonts w:ascii="Arial" w:hAnsi="Arial" w:eastAsia="Arial" w:cs="Arial"/>
          <w:noProof w:val="0"/>
          <w:sz w:val="22"/>
          <w:szCs w:val="22"/>
          <w:lang w:val="en-GB"/>
        </w:rPr>
        <w:t>, 5(3), pp. 143–154 (Accessed: 5 June 2026).</w:t>
      </w:r>
    </w:p>
    <w:p w:rsidR="483FCAD9" w:rsidP="3DF02E74" w:rsidRDefault="483FCAD9" w14:paraId="08B60960" w14:textId="2ACC0490">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Grant, M.J. and Booth, A. (2009) ‘A typology of reviews’, </w:t>
      </w:r>
      <w:r w:rsidRPr="4B13576D" w:rsidR="483FCAD9">
        <w:rPr>
          <w:rFonts w:ascii="Arial" w:hAnsi="Arial" w:eastAsia="Arial" w:cs="Arial"/>
          <w:i w:val="1"/>
          <w:iCs w:val="1"/>
          <w:noProof w:val="0"/>
          <w:sz w:val="22"/>
          <w:szCs w:val="22"/>
          <w:lang w:val="en-GB"/>
        </w:rPr>
        <w:t>Health Information and Libraries Journal</w:t>
      </w:r>
      <w:r w:rsidRPr="4B13576D" w:rsidR="483FCAD9">
        <w:rPr>
          <w:rFonts w:ascii="Arial" w:hAnsi="Arial" w:eastAsia="Arial" w:cs="Arial"/>
          <w:noProof w:val="0"/>
          <w:sz w:val="22"/>
          <w:szCs w:val="22"/>
          <w:lang w:val="en-GB"/>
        </w:rPr>
        <w:t>, 26(2), pp. 91–108 (Accessed: 6 June 2026).</w:t>
      </w:r>
    </w:p>
    <w:p w:rsidR="483FCAD9" w:rsidP="3DF02E74" w:rsidRDefault="483FCAD9" w14:paraId="61E5688F" w14:textId="0F11B426">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Grice, N. (2023) ‘ADHD in women: “It’s like someone tuned in the radio”’, </w:t>
      </w:r>
      <w:r w:rsidRPr="4B13576D" w:rsidR="483FCAD9">
        <w:rPr>
          <w:rFonts w:ascii="Arial" w:hAnsi="Arial" w:eastAsia="Arial" w:cs="Arial"/>
          <w:i w:val="1"/>
          <w:iCs w:val="1"/>
          <w:noProof w:val="0"/>
          <w:sz w:val="22"/>
          <w:szCs w:val="22"/>
          <w:lang w:val="en-GB"/>
        </w:rPr>
        <w:t>BBC News</w:t>
      </w:r>
      <w:r w:rsidRPr="4B13576D" w:rsidR="483FCAD9">
        <w:rPr>
          <w:rFonts w:ascii="Arial" w:hAnsi="Arial" w:eastAsia="Arial" w:cs="Arial"/>
          <w:noProof w:val="0"/>
          <w:sz w:val="22"/>
          <w:szCs w:val="22"/>
          <w:lang w:val="en-GB"/>
        </w:rPr>
        <w:t xml:space="preserve">, 7 May. Available at: </w:t>
      </w:r>
      <w:hyperlink r:id="Ra13c34a15f9e41d1">
        <w:r w:rsidRPr="4B13576D" w:rsidR="483FCAD9">
          <w:rPr>
            <w:rStyle w:val="Hyperlink"/>
            <w:rFonts w:ascii="Arial" w:hAnsi="Arial" w:eastAsia="Arial" w:cs="Arial"/>
            <w:noProof w:val="0"/>
            <w:sz w:val="22"/>
            <w:szCs w:val="22"/>
            <w:lang w:val="en-GB"/>
          </w:rPr>
          <w:t>https://www.bbc.co.uk/news/uk-wales-65312650</w:t>
        </w:r>
      </w:hyperlink>
      <w:r w:rsidRPr="4B13576D" w:rsidR="483FCAD9">
        <w:rPr>
          <w:rFonts w:ascii="Arial" w:hAnsi="Arial" w:eastAsia="Arial" w:cs="Arial"/>
          <w:noProof w:val="0"/>
          <w:sz w:val="22"/>
          <w:szCs w:val="22"/>
          <w:lang w:val="en-GB"/>
        </w:rPr>
        <w:t xml:space="preserve"> (Accessed: 7 June 2026).</w:t>
      </w:r>
    </w:p>
    <w:p w:rsidR="483FCAD9" w:rsidP="3DF02E74" w:rsidRDefault="483FCAD9" w14:paraId="1B039CFC" w14:textId="7DAA8DF2">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Groves, N.B. et al. (2021) ‘Executive functioning and emotion regulation in children with and without ADHD’, </w:t>
      </w:r>
      <w:r w:rsidRPr="4B13576D" w:rsidR="483FCAD9">
        <w:rPr>
          <w:rFonts w:ascii="Arial" w:hAnsi="Arial" w:eastAsia="Arial" w:cs="Arial"/>
          <w:i w:val="1"/>
          <w:iCs w:val="1"/>
          <w:noProof w:val="0"/>
          <w:sz w:val="22"/>
          <w:szCs w:val="22"/>
          <w:lang w:val="en-GB"/>
        </w:rPr>
        <w:t>Research on Child and Adolescent Psychopathology</w:t>
      </w:r>
      <w:r w:rsidRPr="4B13576D" w:rsidR="483FCAD9">
        <w:rPr>
          <w:rFonts w:ascii="Arial" w:hAnsi="Arial" w:eastAsia="Arial" w:cs="Arial"/>
          <w:noProof w:val="0"/>
          <w:sz w:val="22"/>
          <w:szCs w:val="22"/>
          <w:lang w:val="en-GB"/>
        </w:rPr>
        <w:t xml:space="preserve">, 50(6). doi: </w:t>
      </w:r>
      <w:hyperlink r:id="Rdef9bb28d54644cc">
        <w:r w:rsidRPr="4B13576D" w:rsidR="483FCAD9">
          <w:rPr>
            <w:rStyle w:val="Hyperlink"/>
            <w:rFonts w:ascii="Arial" w:hAnsi="Arial" w:eastAsia="Arial" w:cs="Arial"/>
            <w:noProof w:val="0"/>
            <w:sz w:val="22"/>
            <w:szCs w:val="22"/>
            <w:lang w:val="en-GB"/>
          </w:rPr>
          <w:t>https://doi.org/10.1007/s10802-021-00883-0</w:t>
        </w:r>
      </w:hyperlink>
      <w:r w:rsidRPr="4B13576D" w:rsidR="483FCAD9">
        <w:rPr>
          <w:rFonts w:ascii="Arial" w:hAnsi="Arial" w:eastAsia="Arial" w:cs="Arial"/>
          <w:noProof w:val="0"/>
          <w:sz w:val="22"/>
          <w:szCs w:val="22"/>
          <w:lang w:val="en-GB"/>
        </w:rPr>
        <w:t xml:space="preserve"> (Accessed: 8 June 2026).</w:t>
      </w:r>
    </w:p>
    <w:p w:rsidR="483FCAD9" w:rsidP="3DF02E74" w:rsidRDefault="483FCAD9" w14:paraId="3B018AD2" w14:textId="4B571938">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Gudka, R. et al. (2025) ‘Digital health interventions with healthcare information and self-management resources for young people with ADHD: A mixed-methods systematic review and narrative synthesis’, </w:t>
      </w:r>
      <w:r w:rsidRPr="4B13576D" w:rsidR="483FCAD9">
        <w:rPr>
          <w:rFonts w:ascii="Arial" w:hAnsi="Arial" w:eastAsia="Arial" w:cs="Arial"/>
          <w:i w:val="1"/>
          <w:iCs w:val="1"/>
          <w:noProof w:val="0"/>
          <w:sz w:val="22"/>
          <w:szCs w:val="22"/>
          <w:lang w:val="en-GB"/>
        </w:rPr>
        <w:t>European Child &amp; Adolescent Psychiatry</w:t>
      </w:r>
      <w:r w:rsidRPr="4B13576D" w:rsidR="483FCAD9">
        <w:rPr>
          <w:rFonts w:ascii="Arial" w:hAnsi="Arial" w:eastAsia="Arial" w:cs="Arial"/>
          <w:noProof w:val="0"/>
          <w:sz w:val="22"/>
          <w:szCs w:val="22"/>
          <w:lang w:val="en-GB"/>
        </w:rPr>
        <w:t xml:space="preserve">. doi: </w:t>
      </w:r>
      <w:hyperlink r:id="R1e5d7c07777d4479">
        <w:r w:rsidRPr="4B13576D" w:rsidR="483FCAD9">
          <w:rPr>
            <w:rStyle w:val="Hyperlink"/>
            <w:rFonts w:ascii="Arial" w:hAnsi="Arial" w:eastAsia="Arial" w:cs="Arial"/>
            <w:noProof w:val="0"/>
            <w:sz w:val="22"/>
            <w:szCs w:val="22"/>
            <w:lang w:val="en-GB"/>
          </w:rPr>
          <w:t>https://doi.org/10.1007/s00787-025-02676-y</w:t>
        </w:r>
      </w:hyperlink>
      <w:r w:rsidRPr="4B13576D" w:rsidR="483FCAD9">
        <w:rPr>
          <w:rFonts w:ascii="Arial" w:hAnsi="Arial" w:eastAsia="Arial" w:cs="Arial"/>
          <w:noProof w:val="0"/>
          <w:sz w:val="22"/>
          <w:szCs w:val="22"/>
          <w:lang w:val="en-GB"/>
        </w:rPr>
        <w:t xml:space="preserve"> (Accessed: 9 June 2026).</w:t>
      </w:r>
    </w:p>
    <w:p w:rsidR="483FCAD9" w:rsidP="3DF02E74" w:rsidRDefault="483FCAD9" w14:paraId="34A4FBCF" w14:textId="4B01676B">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Gusenbauer, M. and Haddaway, N.R. (2020) ‘Which academic search systems are suitable for systematic reviews or meta-analyses? Evaluating retrieval qualities of Google Scholar, PubMed, and 26 other resources’, </w:t>
      </w:r>
      <w:r w:rsidRPr="4B13576D" w:rsidR="483FCAD9">
        <w:rPr>
          <w:rFonts w:ascii="Arial" w:hAnsi="Arial" w:eastAsia="Arial" w:cs="Arial"/>
          <w:i w:val="1"/>
          <w:iCs w:val="1"/>
          <w:noProof w:val="0"/>
          <w:sz w:val="22"/>
          <w:szCs w:val="22"/>
          <w:lang w:val="en-GB"/>
        </w:rPr>
        <w:t>Research Synthesis Methods</w:t>
      </w:r>
      <w:r w:rsidRPr="4B13576D" w:rsidR="483FCAD9">
        <w:rPr>
          <w:rFonts w:ascii="Arial" w:hAnsi="Arial" w:eastAsia="Arial" w:cs="Arial"/>
          <w:noProof w:val="0"/>
          <w:sz w:val="22"/>
          <w:szCs w:val="22"/>
          <w:lang w:val="en-GB"/>
        </w:rPr>
        <w:t xml:space="preserve">, 11(2), pp. 181–217. doi: </w:t>
      </w:r>
      <w:hyperlink r:id="Rd1b83b2bf51f49a9">
        <w:r w:rsidRPr="4B13576D" w:rsidR="483FCAD9">
          <w:rPr>
            <w:rStyle w:val="Hyperlink"/>
            <w:rFonts w:ascii="Arial" w:hAnsi="Arial" w:eastAsia="Arial" w:cs="Arial"/>
            <w:noProof w:val="0"/>
            <w:sz w:val="22"/>
            <w:szCs w:val="22"/>
            <w:lang w:val="en-GB"/>
          </w:rPr>
          <w:t>https://doi.org/10.1002/jrsm.1378</w:t>
        </w:r>
      </w:hyperlink>
      <w:r w:rsidRPr="4B13576D" w:rsidR="483FCAD9">
        <w:rPr>
          <w:rFonts w:ascii="Arial" w:hAnsi="Arial" w:eastAsia="Arial" w:cs="Arial"/>
          <w:noProof w:val="0"/>
          <w:sz w:val="22"/>
          <w:szCs w:val="22"/>
          <w:lang w:val="en-GB"/>
        </w:rPr>
        <w:t xml:space="preserve"> (Accessed: 10 June 2026).</w:t>
      </w:r>
    </w:p>
    <w:p w:rsidR="483FCAD9" w:rsidP="3DF02E74" w:rsidRDefault="483FCAD9" w14:paraId="0B673D74" w14:textId="62F175EF">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Hamed, A.M., Kauer, A.J. and Stevens, H.E. (2015) ‘Why the diagnosis of attention deficit hyperactivity disorder matters’, </w:t>
      </w:r>
      <w:r w:rsidRPr="4B13576D" w:rsidR="483FCAD9">
        <w:rPr>
          <w:rFonts w:ascii="Arial" w:hAnsi="Arial" w:eastAsia="Arial" w:cs="Arial"/>
          <w:i w:val="1"/>
          <w:iCs w:val="1"/>
          <w:noProof w:val="0"/>
          <w:sz w:val="22"/>
          <w:szCs w:val="22"/>
          <w:lang w:val="en-GB"/>
        </w:rPr>
        <w:t>Frontiers in Psychiatry</w:t>
      </w:r>
      <w:r w:rsidRPr="4B13576D" w:rsidR="483FCAD9">
        <w:rPr>
          <w:rFonts w:ascii="Arial" w:hAnsi="Arial" w:eastAsia="Arial" w:cs="Arial"/>
          <w:noProof w:val="0"/>
          <w:sz w:val="22"/>
          <w:szCs w:val="22"/>
          <w:lang w:val="en-GB"/>
        </w:rPr>
        <w:t xml:space="preserve">, 6(168). Available at: </w:t>
      </w:r>
      <w:hyperlink r:id="Rf364f35a43f84fb5">
        <w:r w:rsidRPr="4B13576D" w:rsidR="483FCAD9">
          <w:rPr>
            <w:rStyle w:val="Hyperlink"/>
            <w:rFonts w:ascii="Arial" w:hAnsi="Arial" w:eastAsia="Arial" w:cs="Arial"/>
            <w:noProof w:val="0"/>
            <w:sz w:val="22"/>
            <w:szCs w:val="22"/>
            <w:lang w:val="en-GB"/>
          </w:rPr>
          <w:t>https://www.ncbi.nlm.nih.gov/pmc/articles/PMC4659921</w:t>
        </w:r>
      </w:hyperlink>
      <w:r w:rsidRPr="4B13576D" w:rsidR="483FCAD9">
        <w:rPr>
          <w:rFonts w:ascii="Arial" w:hAnsi="Arial" w:eastAsia="Arial" w:cs="Arial"/>
          <w:noProof w:val="0"/>
          <w:sz w:val="22"/>
          <w:szCs w:val="22"/>
          <w:lang w:val="en-GB"/>
        </w:rPr>
        <w:t xml:space="preserve"> (Accessed: 11 June 2026).</w:t>
      </w:r>
    </w:p>
    <w:p w:rsidR="483FCAD9" w:rsidP="3DF02E74" w:rsidRDefault="483FCAD9" w14:paraId="76DD6D38" w14:textId="5FB1D1A4">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Hartung, C.M. and Widiger, T.A. (1998) ‘Gender differences in the diagnosis of mental disorders: Conclusions and controversies of the DSM-IV’, </w:t>
      </w:r>
      <w:r w:rsidRPr="4B13576D" w:rsidR="483FCAD9">
        <w:rPr>
          <w:rFonts w:ascii="Arial" w:hAnsi="Arial" w:eastAsia="Arial" w:cs="Arial"/>
          <w:i w:val="1"/>
          <w:iCs w:val="1"/>
          <w:noProof w:val="0"/>
          <w:sz w:val="22"/>
          <w:szCs w:val="22"/>
          <w:lang w:val="en-GB"/>
        </w:rPr>
        <w:t>Psychological Bulletin</w:t>
      </w:r>
      <w:r w:rsidRPr="4B13576D" w:rsidR="483FCAD9">
        <w:rPr>
          <w:rFonts w:ascii="Arial" w:hAnsi="Arial" w:eastAsia="Arial" w:cs="Arial"/>
          <w:noProof w:val="0"/>
          <w:sz w:val="22"/>
          <w:szCs w:val="22"/>
          <w:lang w:val="en-GB"/>
        </w:rPr>
        <w:t>, 123(3), pp. 260–278 (Accessed: 12 June 2026).</w:t>
      </w:r>
    </w:p>
    <w:p w:rsidR="483FCAD9" w:rsidP="3DF02E74" w:rsidRDefault="483FCAD9" w14:paraId="5E12B7B3" w14:textId="3CBB5CA2">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Hinshaw, S.P. and Ellison, K. (2016) </w:t>
      </w:r>
      <w:r w:rsidRPr="4B13576D" w:rsidR="483FCAD9">
        <w:rPr>
          <w:rFonts w:ascii="Arial" w:hAnsi="Arial" w:eastAsia="Arial" w:cs="Arial"/>
          <w:i w:val="1"/>
          <w:iCs w:val="1"/>
          <w:noProof w:val="0"/>
          <w:sz w:val="22"/>
          <w:szCs w:val="22"/>
          <w:lang w:val="en-GB"/>
        </w:rPr>
        <w:t>ADHD: What everyone needs to know</w:t>
      </w:r>
      <w:r w:rsidRPr="4B13576D" w:rsidR="483FCAD9">
        <w:rPr>
          <w:rFonts w:ascii="Arial" w:hAnsi="Arial" w:eastAsia="Arial" w:cs="Arial"/>
          <w:noProof w:val="0"/>
          <w:sz w:val="22"/>
          <w:szCs w:val="22"/>
          <w:lang w:val="en-GB"/>
        </w:rPr>
        <w:t>. Oxford: Oxford University Press (Accessed: 13 June 2026).</w:t>
      </w:r>
    </w:p>
    <w:p w:rsidR="483FCAD9" w:rsidP="3DF02E74" w:rsidRDefault="483FCAD9" w14:paraId="051A6458" w14:textId="78A8E683">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Hinshaw, S.P., Nguyen, P.T., O’Grady, S.M. and Rosenthal, E.A. (2022) ‘Annual research review: Attention-deficit/hyperactivity disorder in girls and women’, </w:t>
      </w:r>
      <w:r w:rsidRPr="4B13576D" w:rsidR="483FCAD9">
        <w:rPr>
          <w:rFonts w:ascii="Arial" w:hAnsi="Arial" w:eastAsia="Arial" w:cs="Arial"/>
          <w:i w:val="1"/>
          <w:iCs w:val="1"/>
          <w:noProof w:val="0"/>
          <w:sz w:val="22"/>
          <w:szCs w:val="22"/>
          <w:lang w:val="en-GB"/>
        </w:rPr>
        <w:t>Journal of Child Psychology and Psychiatry</w:t>
      </w:r>
      <w:r w:rsidRPr="4B13576D" w:rsidR="483FCAD9">
        <w:rPr>
          <w:rFonts w:ascii="Arial" w:hAnsi="Arial" w:eastAsia="Arial" w:cs="Arial"/>
          <w:noProof w:val="0"/>
          <w:sz w:val="22"/>
          <w:szCs w:val="22"/>
          <w:lang w:val="en-GB"/>
        </w:rPr>
        <w:t>, 63(4), pp. 484–510 (Accessed: 14 June 2026).</w:t>
      </w:r>
    </w:p>
    <w:p w:rsidR="483FCAD9" w:rsidP="3DF02E74" w:rsidRDefault="483FCAD9" w14:paraId="5F4A7AAD" w14:textId="02F73EC0">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Jowsey, T., Deng, C. and Weller, J. (2021) ‘General-purpose thematic analysis: A useful qualitative method for anaesthesia research’, </w:t>
      </w:r>
      <w:r w:rsidRPr="4B13576D" w:rsidR="483FCAD9">
        <w:rPr>
          <w:rFonts w:ascii="Arial" w:hAnsi="Arial" w:eastAsia="Arial" w:cs="Arial"/>
          <w:i w:val="1"/>
          <w:iCs w:val="1"/>
          <w:noProof w:val="0"/>
          <w:sz w:val="22"/>
          <w:szCs w:val="22"/>
          <w:lang w:val="en-GB"/>
        </w:rPr>
        <w:t>BJA Education</w:t>
      </w:r>
      <w:r w:rsidRPr="4B13576D" w:rsidR="483FCAD9">
        <w:rPr>
          <w:rFonts w:ascii="Arial" w:hAnsi="Arial" w:eastAsia="Arial" w:cs="Arial"/>
          <w:noProof w:val="0"/>
          <w:sz w:val="22"/>
          <w:szCs w:val="22"/>
          <w:lang w:val="en-GB"/>
        </w:rPr>
        <w:t xml:space="preserve">, 21(12), pp. 472–478. Available at: </w:t>
      </w:r>
      <w:hyperlink r:id="R7d02f60706594a4d">
        <w:r w:rsidRPr="4B13576D" w:rsidR="483FCAD9">
          <w:rPr>
            <w:rStyle w:val="Hyperlink"/>
            <w:rFonts w:ascii="Arial" w:hAnsi="Arial" w:eastAsia="Arial" w:cs="Arial"/>
            <w:noProof w:val="0"/>
            <w:sz w:val="22"/>
            <w:szCs w:val="22"/>
            <w:lang w:val="en-GB"/>
          </w:rPr>
          <w:t>https://pmc.ncbi.nlm.nih.gov/articles/PMC8606608/</w:t>
        </w:r>
      </w:hyperlink>
      <w:r w:rsidRPr="4B13576D" w:rsidR="483FCAD9">
        <w:rPr>
          <w:rFonts w:ascii="Arial" w:hAnsi="Arial" w:eastAsia="Arial" w:cs="Arial"/>
          <w:noProof w:val="0"/>
          <w:sz w:val="22"/>
          <w:szCs w:val="22"/>
          <w:lang w:val="en-GB"/>
        </w:rPr>
        <w:t xml:space="preserve"> (Accessed: 15 June 2026).</w:t>
      </w:r>
    </w:p>
    <w:p w:rsidR="483FCAD9" w:rsidP="3DF02E74" w:rsidRDefault="483FCAD9" w14:paraId="54463DF1" w14:textId="3EE728FB">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Klefsjö, U., Kantzer, A.K., Gillberg, C. and Billstedt, E. (2021) ‘The road to diagnosis and treatment in girls and boys with ADHD: Gender differences in the diagnostic process’, </w:t>
      </w:r>
      <w:r w:rsidRPr="4B13576D" w:rsidR="483FCAD9">
        <w:rPr>
          <w:rFonts w:ascii="Arial" w:hAnsi="Arial" w:eastAsia="Arial" w:cs="Arial"/>
          <w:i w:val="1"/>
          <w:iCs w:val="1"/>
          <w:noProof w:val="0"/>
          <w:sz w:val="22"/>
          <w:szCs w:val="22"/>
          <w:lang w:val="en-GB"/>
        </w:rPr>
        <w:t>Nordic Journal of Psychiatry</w:t>
      </w:r>
      <w:r w:rsidRPr="4B13576D" w:rsidR="483FCAD9">
        <w:rPr>
          <w:rFonts w:ascii="Arial" w:hAnsi="Arial" w:eastAsia="Arial" w:cs="Arial"/>
          <w:noProof w:val="0"/>
          <w:sz w:val="22"/>
          <w:szCs w:val="22"/>
          <w:lang w:val="en-GB"/>
        </w:rPr>
        <w:t xml:space="preserve">, 75(4), pp. 301–305. doi: </w:t>
      </w:r>
      <w:hyperlink r:id="R07a6fa3d24ca4267">
        <w:r w:rsidRPr="4B13576D" w:rsidR="483FCAD9">
          <w:rPr>
            <w:rStyle w:val="Hyperlink"/>
            <w:rFonts w:ascii="Arial" w:hAnsi="Arial" w:eastAsia="Arial" w:cs="Arial"/>
            <w:noProof w:val="0"/>
            <w:sz w:val="22"/>
            <w:szCs w:val="22"/>
            <w:lang w:val="en-GB"/>
          </w:rPr>
          <w:t>https://doi.org/10.1080/08039488.2020.1850857</w:t>
        </w:r>
      </w:hyperlink>
      <w:r w:rsidRPr="4B13576D" w:rsidR="483FCAD9">
        <w:rPr>
          <w:rFonts w:ascii="Arial" w:hAnsi="Arial" w:eastAsia="Arial" w:cs="Arial"/>
          <w:noProof w:val="0"/>
          <w:sz w:val="22"/>
          <w:szCs w:val="22"/>
          <w:lang w:val="en-GB"/>
        </w:rPr>
        <w:t xml:space="preserve"> (Accessed: 16 June 2026).</w:t>
      </w:r>
    </w:p>
    <w:p w:rsidR="483FCAD9" w:rsidP="3DF02E74" w:rsidRDefault="483FCAD9" w14:paraId="356DEC88" w14:textId="75C11322">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Kooij, J.J.S. et al. (2019) ‘Updated European consensus statement on diagnosis and treatment of adult ADHD’, </w:t>
      </w:r>
      <w:r w:rsidRPr="4B13576D" w:rsidR="483FCAD9">
        <w:rPr>
          <w:rFonts w:ascii="Arial" w:hAnsi="Arial" w:eastAsia="Arial" w:cs="Arial"/>
          <w:i w:val="1"/>
          <w:iCs w:val="1"/>
          <w:noProof w:val="0"/>
          <w:sz w:val="22"/>
          <w:szCs w:val="22"/>
          <w:lang w:val="en-GB"/>
        </w:rPr>
        <w:t>European Psychiatry</w:t>
      </w:r>
      <w:r w:rsidRPr="4B13576D" w:rsidR="483FCAD9">
        <w:rPr>
          <w:rFonts w:ascii="Arial" w:hAnsi="Arial" w:eastAsia="Arial" w:cs="Arial"/>
          <w:noProof w:val="0"/>
          <w:sz w:val="22"/>
          <w:szCs w:val="22"/>
          <w:lang w:val="en-GB"/>
        </w:rPr>
        <w:t>, 56, pp. 14–34 (Accessed: 17 June 2026).</w:t>
      </w:r>
    </w:p>
    <w:p w:rsidR="483FCAD9" w:rsidP="3DF02E74" w:rsidRDefault="483FCAD9" w14:paraId="1066050B" w14:textId="149BEF2F">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Krebs, K. and Donnellan-Fernandez, R. (2025) ‘Integrative literature review: The impact of ADHD across women’s lifespan’, </w:t>
      </w:r>
      <w:r w:rsidRPr="4B13576D" w:rsidR="483FCAD9">
        <w:rPr>
          <w:rFonts w:ascii="Arial" w:hAnsi="Arial" w:eastAsia="Arial" w:cs="Arial"/>
          <w:i w:val="1"/>
          <w:iCs w:val="1"/>
          <w:noProof w:val="0"/>
          <w:sz w:val="22"/>
          <w:szCs w:val="22"/>
          <w:lang w:val="en-GB"/>
        </w:rPr>
        <w:t>BMC Women’s Health</w:t>
      </w:r>
      <w:r w:rsidRPr="4B13576D" w:rsidR="483FCAD9">
        <w:rPr>
          <w:rFonts w:ascii="Arial" w:hAnsi="Arial" w:eastAsia="Arial" w:cs="Arial"/>
          <w:noProof w:val="0"/>
          <w:sz w:val="22"/>
          <w:szCs w:val="22"/>
          <w:lang w:val="en-GB"/>
        </w:rPr>
        <w:t xml:space="preserve">, 25(1), p. 593. doi: </w:t>
      </w:r>
      <w:hyperlink r:id="R2fef97ca6b304290">
        <w:r w:rsidRPr="4B13576D" w:rsidR="483FCAD9">
          <w:rPr>
            <w:rStyle w:val="Hyperlink"/>
            <w:rFonts w:ascii="Arial" w:hAnsi="Arial" w:eastAsia="Arial" w:cs="Arial"/>
            <w:noProof w:val="0"/>
            <w:sz w:val="22"/>
            <w:szCs w:val="22"/>
            <w:lang w:val="en-GB"/>
          </w:rPr>
          <w:t>https://doi.org/10.1186/s12905-025-04123-1</w:t>
        </w:r>
      </w:hyperlink>
      <w:r w:rsidRPr="4B13576D" w:rsidR="483FCAD9">
        <w:rPr>
          <w:rFonts w:ascii="Arial" w:hAnsi="Arial" w:eastAsia="Arial" w:cs="Arial"/>
          <w:noProof w:val="0"/>
          <w:sz w:val="22"/>
          <w:szCs w:val="22"/>
          <w:lang w:val="en-GB"/>
        </w:rPr>
        <w:t xml:space="preserve"> (Accessed: 18 June 2026).</w:t>
      </w:r>
    </w:p>
    <w:p w:rsidR="483FCAD9" w:rsidP="3DF02E74" w:rsidRDefault="483FCAD9" w14:paraId="2C94D373" w14:textId="1C991C02">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Lalwani, N. (2025) ‘Plagiarism in publications: All about being fair!’, </w:t>
      </w:r>
      <w:r w:rsidRPr="4B13576D" w:rsidR="483FCAD9">
        <w:rPr>
          <w:rFonts w:ascii="Arial" w:hAnsi="Arial" w:eastAsia="Arial" w:cs="Arial"/>
          <w:i w:val="1"/>
          <w:iCs w:val="1"/>
          <w:noProof w:val="0"/>
          <w:sz w:val="22"/>
          <w:szCs w:val="22"/>
          <w:lang w:val="en-GB"/>
        </w:rPr>
        <w:t>Indian Journal of Radiology and Imaging</w:t>
      </w:r>
      <w:r w:rsidRPr="4B13576D" w:rsidR="483FCAD9">
        <w:rPr>
          <w:rFonts w:ascii="Arial" w:hAnsi="Arial" w:eastAsia="Arial" w:cs="Arial"/>
          <w:noProof w:val="0"/>
          <w:sz w:val="22"/>
          <w:szCs w:val="22"/>
          <w:lang w:val="en-GB"/>
        </w:rPr>
        <w:t xml:space="preserve">, 35(S1), pp. S36–S45. doi: </w:t>
      </w:r>
      <w:hyperlink r:id="Re5052aa5ba6442be">
        <w:r w:rsidRPr="4B13576D" w:rsidR="483FCAD9">
          <w:rPr>
            <w:rStyle w:val="Hyperlink"/>
            <w:rFonts w:ascii="Arial" w:hAnsi="Arial" w:eastAsia="Arial" w:cs="Arial"/>
            <w:noProof w:val="0"/>
            <w:sz w:val="22"/>
            <w:szCs w:val="22"/>
            <w:lang w:val="en-GB"/>
          </w:rPr>
          <w:t>https://doi.org/10.1055/s-0044-1791745</w:t>
        </w:r>
      </w:hyperlink>
      <w:r w:rsidRPr="4B13576D" w:rsidR="483FCAD9">
        <w:rPr>
          <w:rFonts w:ascii="Arial" w:hAnsi="Arial" w:eastAsia="Arial" w:cs="Arial"/>
          <w:noProof w:val="0"/>
          <w:sz w:val="22"/>
          <w:szCs w:val="22"/>
          <w:lang w:val="en-GB"/>
        </w:rPr>
        <w:t xml:space="preserve"> (Accessed: 19 June 2026).</w:t>
      </w:r>
    </w:p>
    <w:p w:rsidR="483FCAD9" w:rsidP="3DF02E74" w:rsidRDefault="483FCAD9" w14:paraId="0A070A6B" w14:textId="4E1188FE">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Lange, K.W., Reichl, S., Lange, K.M., Tucha, L. and Tucha, O. (2010) ‘The history of attention deficit hyperactivity disorder’, </w:t>
      </w:r>
      <w:r w:rsidRPr="4B13576D" w:rsidR="483FCAD9">
        <w:rPr>
          <w:rFonts w:ascii="Arial" w:hAnsi="Arial" w:eastAsia="Arial" w:cs="Arial"/>
          <w:i w:val="1"/>
          <w:iCs w:val="1"/>
          <w:noProof w:val="0"/>
          <w:sz w:val="22"/>
          <w:szCs w:val="22"/>
          <w:lang w:val="en-GB"/>
        </w:rPr>
        <w:t>ADHD Attention Deficit and Hyperactivity Disorders</w:t>
      </w:r>
      <w:r w:rsidRPr="4B13576D" w:rsidR="483FCAD9">
        <w:rPr>
          <w:rFonts w:ascii="Arial" w:hAnsi="Arial" w:eastAsia="Arial" w:cs="Arial"/>
          <w:noProof w:val="0"/>
          <w:sz w:val="22"/>
          <w:szCs w:val="22"/>
          <w:lang w:val="en-GB"/>
        </w:rPr>
        <w:t xml:space="preserve">, 2(4), pp. 241–255. doi: </w:t>
      </w:r>
      <w:hyperlink r:id="Rb4c987da65524cfe">
        <w:r w:rsidRPr="4B13576D" w:rsidR="483FCAD9">
          <w:rPr>
            <w:rStyle w:val="Hyperlink"/>
            <w:rFonts w:ascii="Arial" w:hAnsi="Arial" w:eastAsia="Arial" w:cs="Arial"/>
            <w:noProof w:val="0"/>
            <w:sz w:val="22"/>
            <w:szCs w:val="22"/>
            <w:lang w:val="en-GB"/>
          </w:rPr>
          <w:t>https://doi.org/10.1007/s12402-010-0045-8</w:t>
        </w:r>
      </w:hyperlink>
      <w:r w:rsidRPr="4B13576D" w:rsidR="483FCAD9">
        <w:rPr>
          <w:rFonts w:ascii="Arial" w:hAnsi="Arial" w:eastAsia="Arial" w:cs="Arial"/>
          <w:noProof w:val="0"/>
          <w:sz w:val="22"/>
          <w:szCs w:val="22"/>
          <w:lang w:val="en-GB"/>
        </w:rPr>
        <w:t xml:space="preserve"> (Accessed: 20 June 2026).</w:t>
      </w:r>
    </w:p>
    <w:p w:rsidR="483FCAD9" w:rsidP="3DF02E74" w:rsidRDefault="483FCAD9" w14:paraId="0500D495" w14:textId="7ABE8249">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Lynch, A. and Davison, K. (2022) ‘Gendered expectations on the recognition of ADHD in young women and educational implications’, </w:t>
      </w:r>
      <w:r w:rsidRPr="4B13576D" w:rsidR="483FCAD9">
        <w:rPr>
          <w:rFonts w:ascii="Arial" w:hAnsi="Arial" w:eastAsia="Arial" w:cs="Arial"/>
          <w:i w:val="1"/>
          <w:iCs w:val="1"/>
          <w:noProof w:val="0"/>
          <w:sz w:val="22"/>
          <w:szCs w:val="22"/>
          <w:lang w:val="en-GB"/>
        </w:rPr>
        <w:t>Irish Educational Studies</w:t>
      </w:r>
      <w:r w:rsidRPr="4B13576D" w:rsidR="483FCAD9">
        <w:rPr>
          <w:rFonts w:ascii="Arial" w:hAnsi="Arial" w:eastAsia="Arial" w:cs="Arial"/>
          <w:noProof w:val="0"/>
          <w:sz w:val="22"/>
          <w:szCs w:val="22"/>
          <w:lang w:val="en-GB"/>
        </w:rPr>
        <w:t xml:space="preserve">. doi: </w:t>
      </w:r>
      <w:hyperlink r:id="R2a79a0dee1b7490c">
        <w:r w:rsidRPr="4B13576D" w:rsidR="483FCAD9">
          <w:rPr>
            <w:rStyle w:val="Hyperlink"/>
            <w:rFonts w:ascii="Arial" w:hAnsi="Arial" w:eastAsia="Arial" w:cs="Arial"/>
            <w:noProof w:val="0"/>
            <w:sz w:val="22"/>
            <w:szCs w:val="22"/>
            <w:lang w:val="en-GB"/>
          </w:rPr>
          <w:t>https://doi.org/10.1080/03323315.2022.2041210</w:t>
        </w:r>
      </w:hyperlink>
      <w:r w:rsidRPr="4B13576D" w:rsidR="483FCAD9">
        <w:rPr>
          <w:rFonts w:ascii="Arial" w:hAnsi="Arial" w:eastAsia="Arial" w:cs="Arial"/>
          <w:noProof w:val="0"/>
          <w:sz w:val="22"/>
          <w:szCs w:val="22"/>
          <w:lang w:val="en-GB"/>
        </w:rPr>
        <w:t xml:space="preserve"> (Accessed: 21 June 2026).</w:t>
      </w:r>
    </w:p>
    <w:p w:rsidR="483FCAD9" w:rsidP="3DF02E74" w:rsidRDefault="483FCAD9" w14:paraId="44243380" w14:textId="4F9C2AF2">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Magnus, W., Anilkumar, A.C. and Shaban, K. (2023) </w:t>
      </w:r>
      <w:r w:rsidRPr="4B13576D" w:rsidR="483FCAD9">
        <w:rPr>
          <w:rFonts w:ascii="Arial" w:hAnsi="Arial" w:eastAsia="Arial" w:cs="Arial"/>
          <w:i w:val="1"/>
          <w:iCs w:val="1"/>
          <w:noProof w:val="0"/>
          <w:sz w:val="22"/>
          <w:szCs w:val="22"/>
          <w:lang w:val="en-GB"/>
        </w:rPr>
        <w:t>Attention deficit hyperactivity disorder (ADHD)</w:t>
      </w:r>
      <w:r w:rsidRPr="4B13576D" w:rsidR="483FCAD9">
        <w:rPr>
          <w:rFonts w:ascii="Arial" w:hAnsi="Arial" w:eastAsia="Arial" w:cs="Arial"/>
          <w:noProof w:val="0"/>
          <w:sz w:val="22"/>
          <w:szCs w:val="22"/>
          <w:lang w:val="en-GB"/>
        </w:rPr>
        <w:t xml:space="preserve">. Available at: </w:t>
      </w:r>
      <w:hyperlink r:id="Ree681e35c3c14cb6">
        <w:r w:rsidRPr="4B13576D" w:rsidR="483FCAD9">
          <w:rPr>
            <w:rStyle w:val="Hyperlink"/>
            <w:rFonts w:ascii="Arial" w:hAnsi="Arial" w:eastAsia="Arial" w:cs="Arial"/>
            <w:noProof w:val="0"/>
            <w:sz w:val="22"/>
            <w:szCs w:val="22"/>
            <w:lang w:val="en-GB"/>
          </w:rPr>
          <w:t>https://www.ncbi.nlm.nih.gov/books/NBK441838/</w:t>
        </w:r>
      </w:hyperlink>
      <w:r w:rsidRPr="4B13576D" w:rsidR="483FCAD9">
        <w:rPr>
          <w:rFonts w:ascii="Arial" w:hAnsi="Arial" w:eastAsia="Arial" w:cs="Arial"/>
          <w:noProof w:val="0"/>
          <w:sz w:val="22"/>
          <w:szCs w:val="22"/>
          <w:lang w:val="en-GB"/>
        </w:rPr>
        <w:t xml:space="preserve"> (Accessed: 22 June 2026).</w:t>
      </w:r>
    </w:p>
    <w:p w:rsidR="483FCAD9" w:rsidP="3DF02E74" w:rsidRDefault="483FCAD9" w14:paraId="778406BD" w14:textId="1BA13E3E">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Mahone, E.M. and Denckla, M.B. (2017) ‘Attention-deficit/hyperactivity disorder: A historical neuropsychological perspective’, </w:t>
      </w:r>
      <w:r w:rsidRPr="4B13576D" w:rsidR="483FCAD9">
        <w:rPr>
          <w:rFonts w:ascii="Arial" w:hAnsi="Arial" w:eastAsia="Arial" w:cs="Arial"/>
          <w:i w:val="1"/>
          <w:iCs w:val="1"/>
          <w:noProof w:val="0"/>
          <w:sz w:val="22"/>
          <w:szCs w:val="22"/>
          <w:lang w:val="en-GB"/>
        </w:rPr>
        <w:t>Journal of the International Neuropsychological Society</w:t>
      </w:r>
      <w:r w:rsidRPr="4B13576D" w:rsidR="483FCAD9">
        <w:rPr>
          <w:rFonts w:ascii="Arial" w:hAnsi="Arial" w:eastAsia="Arial" w:cs="Arial"/>
          <w:noProof w:val="0"/>
          <w:sz w:val="22"/>
          <w:szCs w:val="22"/>
          <w:lang w:val="en-GB"/>
        </w:rPr>
        <w:t xml:space="preserve">, 23(9–10), pp. 916–929. doi: </w:t>
      </w:r>
      <w:hyperlink r:id="R584a11a8d0eb4c4e">
        <w:r w:rsidRPr="4B13576D" w:rsidR="483FCAD9">
          <w:rPr>
            <w:rStyle w:val="Hyperlink"/>
            <w:rFonts w:ascii="Arial" w:hAnsi="Arial" w:eastAsia="Arial" w:cs="Arial"/>
            <w:noProof w:val="0"/>
            <w:sz w:val="22"/>
            <w:szCs w:val="22"/>
            <w:lang w:val="en-GB"/>
          </w:rPr>
          <w:t>https://doi.org/10.1017/S1355617717000807</w:t>
        </w:r>
      </w:hyperlink>
      <w:r w:rsidRPr="4B13576D" w:rsidR="483FCAD9">
        <w:rPr>
          <w:rFonts w:ascii="Arial" w:hAnsi="Arial" w:eastAsia="Arial" w:cs="Arial"/>
          <w:noProof w:val="0"/>
          <w:sz w:val="22"/>
          <w:szCs w:val="22"/>
          <w:lang w:val="en-GB"/>
        </w:rPr>
        <w:t xml:space="preserve"> (Accessed: 23 June 2026).</w:t>
      </w:r>
    </w:p>
    <w:p w:rsidR="483FCAD9" w:rsidP="3DF02E74" w:rsidRDefault="483FCAD9" w14:paraId="388E4C42" w14:textId="38F92990">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McLeod, S. (2024) </w:t>
      </w:r>
      <w:r w:rsidRPr="4B13576D" w:rsidR="483FCAD9">
        <w:rPr>
          <w:rFonts w:ascii="Arial" w:hAnsi="Arial" w:eastAsia="Arial" w:cs="Arial"/>
          <w:i w:val="1"/>
          <w:iCs w:val="1"/>
          <w:noProof w:val="0"/>
          <w:sz w:val="22"/>
          <w:szCs w:val="22"/>
          <w:lang w:val="en-GB"/>
        </w:rPr>
        <w:t>Thematic analysis: A step-by-step guide</w:t>
      </w:r>
      <w:r w:rsidRPr="4B13576D" w:rsidR="483FCAD9">
        <w:rPr>
          <w:rFonts w:ascii="Arial" w:hAnsi="Arial" w:eastAsia="Arial" w:cs="Arial"/>
          <w:noProof w:val="0"/>
          <w:sz w:val="22"/>
          <w:szCs w:val="22"/>
          <w:lang w:val="en-GB"/>
        </w:rPr>
        <w:t xml:space="preserve">. Available at: </w:t>
      </w:r>
      <w:hyperlink r:id="Rb76584f26b594b15">
        <w:r w:rsidRPr="4B13576D" w:rsidR="483FCAD9">
          <w:rPr>
            <w:rStyle w:val="Hyperlink"/>
            <w:rFonts w:ascii="Arial" w:hAnsi="Arial" w:eastAsia="Arial" w:cs="Arial"/>
            <w:noProof w:val="0"/>
            <w:sz w:val="22"/>
            <w:szCs w:val="22"/>
            <w:lang w:val="en-GB"/>
          </w:rPr>
          <w:t>https://www.simplypsychology.org/thematic-analysis.html</w:t>
        </w:r>
      </w:hyperlink>
      <w:r w:rsidRPr="4B13576D" w:rsidR="483FCAD9">
        <w:rPr>
          <w:rFonts w:ascii="Arial" w:hAnsi="Arial" w:eastAsia="Arial" w:cs="Arial"/>
          <w:noProof w:val="0"/>
          <w:sz w:val="22"/>
          <w:szCs w:val="22"/>
          <w:lang w:val="en-GB"/>
        </w:rPr>
        <w:t xml:space="preserve"> (Accessed: 24 June 2026).</w:t>
      </w:r>
    </w:p>
    <w:p w:rsidR="483FCAD9" w:rsidP="3DF02E74" w:rsidRDefault="483FCAD9" w14:paraId="7949855C" w14:textId="56C5E048">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Miteu, G.D. (2024) ‘Ethics in scientific research: A lens into its importance, history, and future’, </w:t>
      </w:r>
      <w:r w:rsidRPr="4B13576D" w:rsidR="483FCAD9">
        <w:rPr>
          <w:rFonts w:ascii="Arial" w:hAnsi="Arial" w:eastAsia="Arial" w:cs="Arial"/>
          <w:i w:val="1"/>
          <w:iCs w:val="1"/>
          <w:noProof w:val="0"/>
          <w:sz w:val="22"/>
          <w:szCs w:val="22"/>
          <w:lang w:val="en-GB"/>
        </w:rPr>
        <w:t>Annals of Medicine and Surgery</w:t>
      </w:r>
      <w:r w:rsidRPr="4B13576D" w:rsidR="483FCAD9">
        <w:rPr>
          <w:rFonts w:ascii="Arial" w:hAnsi="Arial" w:eastAsia="Arial" w:cs="Arial"/>
          <w:noProof w:val="0"/>
          <w:sz w:val="22"/>
          <w:szCs w:val="22"/>
          <w:lang w:val="en-GB"/>
        </w:rPr>
        <w:t xml:space="preserve">, 86(5), pp. 2395–2398. doi: </w:t>
      </w:r>
      <w:hyperlink r:id="R115b9da8a10c4adf">
        <w:r w:rsidRPr="4B13576D" w:rsidR="483FCAD9">
          <w:rPr>
            <w:rStyle w:val="Hyperlink"/>
            <w:rFonts w:ascii="Arial" w:hAnsi="Arial" w:eastAsia="Arial" w:cs="Arial"/>
            <w:noProof w:val="0"/>
            <w:sz w:val="22"/>
            <w:szCs w:val="22"/>
            <w:lang w:val="en-GB"/>
          </w:rPr>
          <w:t>https://doi.org/10.1097/MS9.0000000000001959</w:t>
        </w:r>
      </w:hyperlink>
      <w:r w:rsidRPr="4B13576D" w:rsidR="483FCAD9">
        <w:rPr>
          <w:rFonts w:ascii="Arial" w:hAnsi="Arial" w:eastAsia="Arial" w:cs="Arial"/>
          <w:noProof w:val="0"/>
          <w:sz w:val="22"/>
          <w:szCs w:val="22"/>
          <w:lang w:val="en-GB"/>
        </w:rPr>
        <w:t xml:space="preserve"> (Accessed: 25 June 2026).</w:t>
      </w:r>
    </w:p>
    <w:p w:rsidR="483FCAD9" w:rsidP="3DF02E74" w:rsidRDefault="483FCAD9" w14:paraId="7A9B8330" w14:textId="3D854E79">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Mowlem, F.D., Rosenqvist, M.A., Martin, J., Lichtenstein, P., Asherson, P. and Larsson, H. (2018) ‘Sex differences in predicting ADHD clinical diagnosis and pharmacological treatment’, </w:t>
      </w:r>
      <w:r w:rsidRPr="4B13576D" w:rsidR="483FCAD9">
        <w:rPr>
          <w:rFonts w:ascii="Arial" w:hAnsi="Arial" w:eastAsia="Arial" w:cs="Arial"/>
          <w:i w:val="1"/>
          <w:iCs w:val="1"/>
          <w:noProof w:val="0"/>
          <w:sz w:val="22"/>
          <w:szCs w:val="22"/>
          <w:lang w:val="en-GB"/>
        </w:rPr>
        <w:t>European Child &amp; Adolescent Psychiatry</w:t>
      </w:r>
      <w:r w:rsidRPr="4B13576D" w:rsidR="483FCAD9">
        <w:rPr>
          <w:rFonts w:ascii="Arial" w:hAnsi="Arial" w:eastAsia="Arial" w:cs="Arial"/>
          <w:noProof w:val="0"/>
          <w:sz w:val="22"/>
          <w:szCs w:val="22"/>
          <w:lang w:val="en-GB"/>
        </w:rPr>
        <w:t xml:space="preserve">, 28, pp. 481–489. doi: </w:t>
      </w:r>
      <w:hyperlink r:id="Rb0576d9d28234f2f">
        <w:r w:rsidRPr="4B13576D" w:rsidR="483FCAD9">
          <w:rPr>
            <w:rStyle w:val="Hyperlink"/>
            <w:rFonts w:ascii="Arial" w:hAnsi="Arial" w:eastAsia="Arial" w:cs="Arial"/>
            <w:noProof w:val="0"/>
            <w:sz w:val="22"/>
            <w:szCs w:val="22"/>
            <w:lang w:val="en-GB"/>
          </w:rPr>
          <w:t>https://doi.org/10.1007/s00787-018-1211-3</w:t>
        </w:r>
      </w:hyperlink>
      <w:r w:rsidRPr="4B13576D" w:rsidR="483FCAD9">
        <w:rPr>
          <w:rFonts w:ascii="Arial" w:hAnsi="Arial" w:eastAsia="Arial" w:cs="Arial"/>
          <w:noProof w:val="0"/>
          <w:sz w:val="22"/>
          <w:szCs w:val="22"/>
          <w:lang w:val="en-GB"/>
        </w:rPr>
        <w:t xml:space="preserve"> (Accessed: 26 June 2026).</w:t>
      </w:r>
    </w:p>
    <w:p w:rsidR="483FCAD9" w:rsidP="3DF02E74" w:rsidRDefault="483FCAD9" w14:paraId="61319CE7" w14:textId="18AF6BCC">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Mowlem, F. et al. (2019) ‘Do different factors influence whether girls versus boys meet ADHD diagnostic criteria? Sex differences among children with high ADHD symptoms’, </w:t>
      </w:r>
      <w:r w:rsidRPr="4B13576D" w:rsidR="483FCAD9">
        <w:rPr>
          <w:rFonts w:ascii="Arial" w:hAnsi="Arial" w:eastAsia="Arial" w:cs="Arial"/>
          <w:i w:val="1"/>
          <w:iCs w:val="1"/>
          <w:noProof w:val="0"/>
          <w:sz w:val="22"/>
          <w:szCs w:val="22"/>
          <w:lang w:val="en-GB"/>
        </w:rPr>
        <w:t>Psychiatry Research</w:t>
      </w:r>
      <w:r w:rsidRPr="4B13576D" w:rsidR="483FCAD9">
        <w:rPr>
          <w:rFonts w:ascii="Arial" w:hAnsi="Arial" w:eastAsia="Arial" w:cs="Arial"/>
          <w:noProof w:val="0"/>
          <w:sz w:val="22"/>
          <w:szCs w:val="22"/>
          <w:lang w:val="en-GB"/>
        </w:rPr>
        <w:t xml:space="preserve">, 272, pp. 765–773. doi: </w:t>
      </w:r>
      <w:hyperlink r:id="R846cfc1100c54dea">
        <w:r w:rsidRPr="4B13576D" w:rsidR="483FCAD9">
          <w:rPr>
            <w:rStyle w:val="Hyperlink"/>
            <w:rFonts w:ascii="Arial" w:hAnsi="Arial" w:eastAsia="Arial" w:cs="Arial"/>
            <w:noProof w:val="0"/>
            <w:sz w:val="22"/>
            <w:szCs w:val="22"/>
            <w:lang w:val="en-GB"/>
          </w:rPr>
          <w:t>https://doi.org/10.1016/j.psychres.2018.12.128</w:t>
        </w:r>
      </w:hyperlink>
      <w:r w:rsidRPr="4B13576D" w:rsidR="483FCAD9">
        <w:rPr>
          <w:rFonts w:ascii="Arial" w:hAnsi="Arial" w:eastAsia="Arial" w:cs="Arial"/>
          <w:noProof w:val="0"/>
          <w:sz w:val="22"/>
          <w:szCs w:val="22"/>
          <w:lang w:val="en-GB"/>
        </w:rPr>
        <w:t xml:space="preserve"> (Accessed: 16 May 2026).</w:t>
      </w:r>
    </w:p>
    <w:p w:rsidR="483FCAD9" w:rsidP="3DF02E74" w:rsidRDefault="483FCAD9" w14:paraId="7AC4B56D" w14:textId="110F7181">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National Institute for Health and Care Excellence (2018) </w:t>
      </w:r>
      <w:r w:rsidRPr="4B13576D" w:rsidR="483FCAD9">
        <w:rPr>
          <w:rFonts w:ascii="Arial" w:hAnsi="Arial" w:eastAsia="Arial" w:cs="Arial"/>
          <w:i w:val="1"/>
          <w:iCs w:val="1"/>
          <w:noProof w:val="0"/>
          <w:sz w:val="22"/>
          <w:szCs w:val="22"/>
          <w:lang w:val="en-GB"/>
        </w:rPr>
        <w:t>Attention deficit hyperactivity disorder: Diagnosis and management (NG87)</w:t>
      </w:r>
      <w:r w:rsidRPr="4B13576D" w:rsidR="483FCAD9">
        <w:rPr>
          <w:rFonts w:ascii="Arial" w:hAnsi="Arial" w:eastAsia="Arial" w:cs="Arial"/>
          <w:noProof w:val="0"/>
          <w:sz w:val="22"/>
          <w:szCs w:val="22"/>
          <w:lang w:val="en-GB"/>
        </w:rPr>
        <w:t xml:space="preserve">. London: NICE. Available at: </w:t>
      </w:r>
      <w:hyperlink r:id="Rf7c3509ddaf84fde">
        <w:r w:rsidRPr="4B13576D" w:rsidR="483FCAD9">
          <w:rPr>
            <w:rStyle w:val="Hyperlink"/>
            <w:rFonts w:ascii="Arial" w:hAnsi="Arial" w:eastAsia="Arial" w:cs="Arial"/>
            <w:noProof w:val="0"/>
            <w:sz w:val="22"/>
            <w:szCs w:val="22"/>
            <w:lang w:val="en-GB"/>
          </w:rPr>
          <w:t>https://www.nice.org.uk/guidance/ng87</w:t>
        </w:r>
      </w:hyperlink>
      <w:r w:rsidRPr="4B13576D" w:rsidR="483FCAD9">
        <w:rPr>
          <w:rFonts w:ascii="Arial" w:hAnsi="Arial" w:eastAsia="Arial" w:cs="Arial"/>
          <w:noProof w:val="0"/>
          <w:sz w:val="22"/>
          <w:szCs w:val="22"/>
          <w:lang w:val="en-GB"/>
        </w:rPr>
        <w:t xml:space="preserve"> (Accessed: 17 May 2026).</w:t>
      </w:r>
    </w:p>
    <w:p w:rsidR="483FCAD9" w:rsidP="3DF02E74" w:rsidRDefault="483FCAD9" w14:paraId="1F9D7544" w14:textId="165BF182">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NHS (2025) </w:t>
      </w:r>
      <w:r w:rsidRPr="4B13576D" w:rsidR="483FCAD9">
        <w:rPr>
          <w:rFonts w:ascii="Arial" w:hAnsi="Arial" w:eastAsia="Arial" w:cs="Arial"/>
          <w:i w:val="1"/>
          <w:iCs w:val="1"/>
          <w:noProof w:val="0"/>
          <w:sz w:val="22"/>
          <w:szCs w:val="22"/>
          <w:lang w:val="en-GB"/>
        </w:rPr>
        <w:t>ADHD in adults</w:t>
      </w:r>
      <w:r w:rsidRPr="4B13576D" w:rsidR="483FCAD9">
        <w:rPr>
          <w:rFonts w:ascii="Arial" w:hAnsi="Arial" w:eastAsia="Arial" w:cs="Arial"/>
          <w:noProof w:val="0"/>
          <w:sz w:val="22"/>
          <w:szCs w:val="22"/>
          <w:lang w:val="en-GB"/>
        </w:rPr>
        <w:t xml:space="preserve">. Available at: </w:t>
      </w:r>
      <w:hyperlink r:id="Rddd3c4dc76394617">
        <w:r w:rsidRPr="4B13576D" w:rsidR="483FCAD9">
          <w:rPr>
            <w:rStyle w:val="Hyperlink"/>
            <w:rFonts w:ascii="Arial" w:hAnsi="Arial" w:eastAsia="Arial" w:cs="Arial"/>
            <w:noProof w:val="0"/>
            <w:sz w:val="22"/>
            <w:szCs w:val="22"/>
            <w:lang w:val="en-GB"/>
          </w:rPr>
          <w:t>https://www.nhs.uk/conditions/adhd-adults/</w:t>
        </w:r>
      </w:hyperlink>
      <w:r w:rsidRPr="4B13576D" w:rsidR="483FCAD9">
        <w:rPr>
          <w:rFonts w:ascii="Arial" w:hAnsi="Arial" w:eastAsia="Arial" w:cs="Arial"/>
          <w:noProof w:val="0"/>
          <w:sz w:val="22"/>
          <w:szCs w:val="22"/>
          <w:lang w:val="en-GB"/>
        </w:rPr>
        <w:t xml:space="preserve"> (Accessed: 18 May 2026).</w:t>
      </w:r>
    </w:p>
    <w:p w:rsidR="483FCAD9" w:rsidP="3DF02E74" w:rsidRDefault="483FCAD9" w14:paraId="42C4F1E6" w14:textId="3CA81DD5">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NHS Digital (2023) </w:t>
      </w:r>
      <w:r w:rsidRPr="4B13576D" w:rsidR="483FCAD9">
        <w:rPr>
          <w:rFonts w:ascii="Arial" w:hAnsi="Arial" w:eastAsia="Arial" w:cs="Arial"/>
          <w:i w:val="1"/>
          <w:iCs w:val="1"/>
          <w:noProof w:val="0"/>
          <w:sz w:val="22"/>
          <w:szCs w:val="22"/>
          <w:lang w:val="en-GB"/>
        </w:rPr>
        <w:t>Adult Psychiatric Morbidity Survey: Attention deficit hyperactivity disorder</w:t>
      </w:r>
      <w:r w:rsidRPr="4B13576D" w:rsidR="483FCAD9">
        <w:rPr>
          <w:rFonts w:ascii="Arial" w:hAnsi="Arial" w:eastAsia="Arial" w:cs="Arial"/>
          <w:noProof w:val="0"/>
          <w:sz w:val="22"/>
          <w:szCs w:val="22"/>
          <w:lang w:val="en-GB"/>
        </w:rPr>
        <w:t xml:space="preserve">. Available at: </w:t>
      </w:r>
      <w:hyperlink r:id="R0020c30581d7476f">
        <w:r w:rsidRPr="4B13576D" w:rsidR="483FCAD9">
          <w:rPr>
            <w:rStyle w:val="Hyperlink"/>
            <w:rFonts w:ascii="Arial" w:hAnsi="Arial" w:eastAsia="Arial" w:cs="Arial"/>
            <w:noProof w:val="0"/>
            <w:sz w:val="22"/>
            <w:szCs w:val="22"/>
            <w:lang w:val="en-GB"/>
          </w:rPr>
          <w:t>https://digital.nhs.uk</w:t>
        </w:r>
      </w:hyperlink>
      <w:r w:rsidRPr="4B13576D" w:rsidR="483FCAD9">
        <w:rPr>
          <w:rFonts w:ascii="Arial" w:hAnsi="Arial" w:eastAsia="Arial" w:cs="Arial"/>
          <w:noProof w:val="0"/>
          <w:sz w:val="22"/>
          <w:szCs w:val="22"/>
          <w:lang w:val="en-GB"/>
        </w:rPr>
        <w:t xml:space="preserve"> (Accessed: 19 May 2026).</w:t>
      </w:r>
    </w:p>
    <w:p w:rsidR="483FCAD9" w:rsidP="3DF02E74" w:rsidRDefault="483FCAD9" w14:paraId="26246F50" w14:textId="4CC9D1C1">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NHS England (2025) </w:t>
      </w:r>
      <w:r w:rsidRPr="4B13576D" w:rsidR="483FCAD9">
        <w:rPr>
          <w:rFonts w:ascii="Arial" w:hAnsi="Arial" w:eastAsia="Arial" w:cs="Arial"/>
          <w:i w:val="1"/>
          <w:iCs w:val="1"/>
          <w:noProof w:val="0"/>
          <w:sz w:val="22"/>
          <w:szCs w:val="22"/>
          <w:lang w:val="en-GB"/>
        </w:rPr>
        <w:t>Report of the independent ADHD Taskforce: Part 1</w:t>
      </w:r>
      <w:r w:rsidRPr="4B13576D" w:rsidR="483FCAD9">
        <w:rPr>
          <w:rFonts w:ascii="Arial" w:hAnsi="Arial" w:eastAsia="Arial" w:cs="Arial"/>
          <w:noProof w:val="0"/>
          <w:sz w:val="22"/>
          <w:szCs w:val="22"/>
          <w:lang w:val="en-GB"/>
        </w:rPr>
        <w:t xml:space="preserve">. Available at: </w:t>
      </w:r>
      <w:hyperlink r:id="R4fdbcf41ad644df1">
        <w:r w:rsidRPr="4B13576D" w:rsidR="483FCAD9">
          <w:rPr>
            <w:rStyle w:val="Hyperlink"/>
            <w:rFonts w:ascii="Arial" w:hAnsi="Arial" w:eastAsia="Arial" w:cs="Arial"/>
            <w:noProof w:val="0"/>
            <w:sz w:val="22"/>
            <w:szCs w:val="22"/>
            <w:lang w:val="en-GB"/>
          </w:rPr>
          <w:t>https://www.england.nhs.uk/long-read/report-of-the-independent-adhd-taskforce-part-1/</w:t>
        </w:r>
      </w:hyperlink>
      <w:r w:rsidRPr="4B13576D" w:rsidR="483FCAD9">
        <w:rPr>
          <w:rFonts w:ascii="Arial" w:hAnsi="Arial" w:eastAsia="Arial" w:cs="Arial"/>
          <w:noProof w:val="0"/>
          <w:sz w:val="22"/>
          <w:szCs w:val="22"/>
          <w:lang w:val="en-GB"/>
        </w:rPr>
        <w:t xml:space="preserve"> (Accessed: 20 May 2026).</w:t>
      </w:r>
    </w:p>
    <w:p w:rsidR="483FCAD9" w:rsidP="3DF02E74" w:rsidRDefault="483FCAD9" w14:paraId="14E166D6" w14:textId="71239770">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Noble, H. and Smith, J. (2025) ‘Ensuring validity and reliability in qualitative research’, </w:t>
      </w:r>
      <w:r w:rsidRPr="4B13576D" w:rsidR="483FCAD9">
        <w:rPr>
          <w:rFonts w:ascii="Arial" w:hAnsi="Arial" w:eastAsia="Arial" w:cs="Arial"/>
          <w:i w:val="1"/>
          <w:iCs w:val="1"/>
          <w:noProof w:val="0"/>
          <w:sz w:val="22"/>
          <w:szCs w:val="22"/>
          <w:lang w:val="en-GB"/>
        </w:rPr>
        <w:t>Evidence Based Nursing</w:t>
      </w:r>
      <w:r w:rsidRPr="4B13576D" w:rsidR="483FCAD9">
        <w:rPr>
          <w:rFonts w:ascii="Arial" w:hAnsi="Arial" w:eastAsia="Arial" w:cs="Arial"/>
          <w:noProof w:val="0"/>
          <w:sz w:val="22"/>
          <w:szCs w:val="22"/>
          <w:lang w:val="en-GB"/>
        </w:rPr>
        <w:t xml:space="preserve">, 0(0), p. ebnurs-2024-104232. doi: </w:t>
      </w:r>
      <w:hyperlink r:id="R0722c12c36704882">
        <w:r w:rsidRPr="4B13576D" w:rsidR="483FCAD9">
          <w:rPr>
            <w:rStyle w:val="Hyperlink"/>
            <w:rFonts w:ascii="Arial" w:hAnsi="Arial" w:eastAsia="Arial" w:cs="Arial"/>
            <w:noProof w:val="0"/>
            <w:sz w:val="22"/>
            <w:szCs w:val="22"/>
            <w:lang w:val="en-GB"/>
          </w:rPr>
          <w:t>https://doi.org/10.1136/ebnurs-2024-104232</w:t>
        </w:r>
      </w:hyperlink>
      <w:r w:rsidRPr="4B13576D" w:rsidR="483FCAD9">
        <w:rPr>
          <w:rFonts w:ascii="Arial" w:hAnsi="Arial" w:eastAsia="Arial" w:cs="Arial"/>
          <w:noProof w:val="0"/>
          <w:sz w:val="22"/>
          <w:szCs w:val="22"/>
          <w:lang w:val="en-GB"/>
        </w:rPr>
        <w:t xml:space="preserve"> (Accessed: 21 May 2026).</w:t>
      </w:r>
    </w:p>
    <w:p w:rsidR="483FCAD9" w:rsidP="3DF02E74" w:rsidRDefault="483FCAD9" w14:paraId="7573E11C" w14:textId="35872877">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Nussbaum, N.L. (2012) ‘ADHD and female specific concerns: A review of the literature and clinical implications’, </w:t>
      </w:r>
      <w:r w:rsidRPr="4B13576D" w:rsidR="483FCAD9">
        <w:rPr>
          <w:rFonts w:ascii="Arial" w:hAnsi="Arial" w:eastAsia="Arial" w:cs="Arial"/>
          <w:i w:val="1"/>
          <w:iCs w:val="1"/>
          <w:noProof w:val="0"/>
          <w:sz w:val="22"/>
          <w:szCs w:val="22"/>
          <w:lang w:val="en-GB"/>
        </w:rPr>
        <w:t>Journal of Attention Disorders</w:t>
      </w:r>
      <w:r w:rsidRPr="4B13576D" w:rsidR="483FCAD9">
        <w:rPr>
          <w:rFonts w:ascii="Arial" w:hAnsi="Arial" w:eastAsia="Arial" w:cs="Arial"/>
          <w:noProof w:val="0"/>
          <w:sz w:val="22"/>
          <w:szCs w:val="22"/>
          <w:lang w:val="en-GB"/>
        </w:rPr>
        <w:t xml:space="preserve">, 16(2), pp. 87–100. doi: </w:t>
      </w:r>
      <w:hyperlink r:id="R5aa98e8721de481f">
        <w:r w:rsidRPr="4B13576D" w:rsidR="483FCAD9">
          <w:rPr>
            <w:rStyle w:val="Hyperlink"/>
            <w:rFonts w:ascii="Arial" w:hAnsi="Arial" w:eastAsia="Arial" w:cs="Arial"/>
            <w:noProof w:val="0"/>
            <w:sz w:val="22"/>
            <w:szCs w:val="22"/>
            <w:lang w:val="en-GB"/>
          </w:rPr>
          <w:t>https://doi.org/10.1177/1087054711416909</w:t>
        </w:r>
      </w:hyperlink>
      <w:r w:rsidRPr="4B13576D" w:rsidR="483FCAD9">
        <w:rPr>
          <w:rFonts w:ascii="Arial" w:hAnsi="Arial" w:eastAsia="Arial" w:cs="Arial"/>
          <w:noProof w:val="0"/>
          <w:sz w:val="22"/>
          <w:szCs w:val="22"/>
          <w:lang w:val="en-GB"/>
        </w:rPr>
        <w:t xml:space="preserve"> (Accessed: 22 May 2026).</w:t>
      </w:r>
    </w:p>
    <w:p w:rsidR="483FCAD9" w:rsidP="3DF02E74" w:rsidRDefault="483FCAD9" w14:paraId="7B1E3717" w14:textId="7A787317">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O’Reilly, D. (2025) </w:t>
      </w:r>
      <w:r w:rsidRPr="4B13576D" w:rsidR="483FCAD9">
        <w:rPr>
          <w:rFonts w:ascii="Arial" w:hAnsi="Arial" w:eastAsia="Arial" w:cs="Arial"/>
          <w:i w:val="1"/>
          <w:iCs w:val="1"/>
          <w:noProof w:val="0"/>
          <w:sz w:val="22"/>
          <w:szCs w:val="22"/>
          <w:lang w:val="en-GB"/>
        </w:rPr>
        <w:t>ADHD in women: Missed diagnoses and hidden struggles</w:t>
      </w:r>
      <w:r w:rsidRPr="4B13576D" w:rsidR="483FCAD9">
        <w:rPr>
          <w:rFonts w:ascii="Arial" w:hAnsi="Arial" w:eastAsia="Arial" w:cs="Arial"/>
          <w:noProof w:val="0"/>
          <w:sz w:val="22"/>
          <w:szCs w:val="22"/>
          <w:lang w:val="en-GB"/>
        </w:rPr>
        <w:t xml:space="preserve">. Available at: </w:t>
      </w:r>
      <w:hyperlink r:id="Rf3b7cb1700b14ab5">
        <w:r w:rsidRPr="4B13576D" w:rsidR="483FCAD9">
          <w:rPr>
            <w:rStyle w:val="Hyperlink"/>
            <w:rFonts w:ascii="Arial" w:hAnsi="Arial" w:eastAsia="Arial" w:cs="Arial"/>
            <w:noProof w:val="0"/>
            <w:sz w:val="22"/>
            <w:szCs w:val="22"/>
            <w:lang w:val="en-GB"/>
          </w:rPr>
          <w:t>https://www.audhdpsychiatry.co.uk/undiagnosed-adhd-in-women/#early-signs</w:t>
        </w:r>
      </w:hyperlink>
      <w:r w:rsidRPr="4B13576D" w:rsidR="483FCAD9">
        <w:rPr>
          <w:rFonts w:ascii="Arial" w:hAnsi="Arial" w:eastAsia="Arial" w:cs="Arial"/>
          <w:noProof w:val="0"/>
          <w:sz w:val="22"/>
          <w:szCs w:val="22"/>
          <w:lang w:val="en-GB"/>
        </w:rPr>
        <w:t xml:space="preserve"> (Accessed: 23 May 2026).</w:t>
      </w:r>
    </w:p>
    <w:p w:rsidR="483FCAD9" w:rsidP="3DF02E74" w:rsidRDefault="483FCAD9" w14:paraId="1E00054D" w14:textId="2E06B1EA">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Page, M.J. et al. (2021) ‘The PRISMA 2020 statement: An updated guideline for reporting systematic reviews’, </w:t>
      </w:r>
      <w:r w:rsidRPr="4B13576D" w:rsidR="483FCAD9">
        <w:rPr>
          <w:rFonts w:ascii="Arial" w:hAnsi="Arial" w:eastAsia="Arial" w:cs="Arial"/>
          <w:i w:val="1"/>
          <w:iCs w:val="1"/>
          <w:noProof w:val="0"/>
          <w:sz w:val="22"/>
          <w:szCs w:val="22"/>
          <w:lang w:val="en-GB"/>
        </w:rPr>
        <w:t>BMJ</w:t>
      </w:r>
      <w:r w:rsidRPr="4B13576D" w:rsidR="483FCAD9">
        <w:rPr>
          <w:rFonts w:ascii="Arial" w:hAnsi="Arial" w:eastAsia="Arial" w:cs="Arial"/>
          <w:noProof w:val="0"/>
          <w:sz w:val="22"/>
          <w:szCs w:val="22"/>
          <w:lang w:val="en-GB"/>
        </w:rPr>
        <w:t>, 372, n71 (Accessed: 24 May 2026).</w:t>
      </w:r>
    </w:p>
    <w:p w:rsidR="483FCAD9" w:rsidP="3DF02E74" w:rsidRDefault="483FCAD9" w14:paraId="74D72F4B" w14:textId="67F6839D">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Paré, G. and Kitsiou, S. (2017) </w:t>
      </w:r>
      <w:r w:rsidRPr="4B13576D" w:rsidR="483FCAD9">
        <w:rPr>
          <w:rFonts w:ascii="Arial" w:hAnsi="Arial" w:eastAsia="Arial" w:cs="Arial"/>
          <w:i w:val="1"/>
          <w:iCs w:val="1"/>
          <w:noProof w:val="0"/>
          <w:sz w:val="22"/>
          <w:szCs w:val="22"/>
          <w:lang w:val="en-GB"/>
        </w:rPr>
        <w:t>Methods for literature reviews</w:t>
      </w:r>
      <w:r w:rsidRPr="4B13576D" w:rsidR="483FCAD9">
        <w:rPr>
          <w:rFonts w:ascii="Arial" w:hAnsi="Arial" w:eastAsia="Arial" w:cs="Arial"/>
          <w:noProof w:val="0"/>
          <w:sz w:val="22"/>
          <w:szCs w:val="22"/>
          <w:lang w:val="en-GB"/>
        </w:rPr>
        <w:t xml:space="preserve">. Victoria: University of Victoria. Available at: </w:t>
      </w:r>
      <w:hyperlink r:id="R1fef0fd5806b46cf">
        <w:r w:rsidRPr="4B13576D" w:rsidR="483FCAD9">
          <w:rPr>
            <w:rStyle w:val="Hyperlink"/>
            <w:rFonts w:ascii="Arial" w:hAnsi="Arial" w:eastAsia="Arial" w:cs="Arial"/>
            <w:noProof w:val="0"/>
            <w:sz w:val="22"/>
            <w:szCs w:val="22"/>
            <w:lang w:val="en-GB"/>
          </w:rPr>
          <w:t>https://www.ncbi.nlm.nih.gov/books/NBK481583/</w:t>
        </w:r>
      </w:hyperlink>
      <w:r w:rsidRPr="4B13576D" w:rsidR="483FCAD9">
        <w:rPr>
          <w:rFonts w:ascii="Arial" w:hAnsi="Arial" w:eastAsia="Arial" w:cs="Arial"/>
          <w:noProof w:val="0"/>
          <w:sz w:val="22"/>
          <w:szCs w:val="22"/>
          <w:lang w:val="en-GB"/>
        </w:rPr>
        <w:t xml:space="preserve"> (Accessed: 25 May 2026).</w:t>
      </w:r>
    </w:p>
    <w:p w:rsidR="483FCAD9" w:rsidP="3DF02E74" w:rsidRDefault="483FCAD9" w14:paraId="7CDF82D6" w14:textId="761FD5DF">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Patino, C.M. and Ferreira, J.C. (2018) ‘Inclusion and exclusion criteria in research studies: Definitions and why they matter’, </w:t>
      </w:r>
      <w:r w:rsidRPr="4B13576D" w:rsidR="483FCAD9">
        <w:rPr>
          <w:rFonts w:ascii="Arial" w:hAnsi="Arial" w:eastAsia="Arial" w:cs="Arial"/>
          <w:i w:val="1"/>
          <w:iCs w:val="1"/>
          <w:noProof w:val="0"/>
          <w:sz w:val="22"/>
          <w:szCs w:val="22"/>
          <w:lang w:val="en-GB"/>
        </w:rPr>
        <w:t>Jornal Brasileiro de Pneumologia</w:t>
      </w:r>
      <w:r w:rsidRPr="4B13576D" w:rsidR="483FCAD9">
        <w:rPr>
          <w:rFonts w:ascii="Arial" w:hAnsi="Arial" w:eastAsia="Arial" w:cs="Arial"/>
          <w:noProof w:val="0"/>
          <w:sz w:val="22"/>
          <w:szCs w:val="22"/>
          <w:lang w:val="en-GB"/>
        </w:rPr>
        <w:t xml:space="preserve">, 44(2), p. 84. doi: </w:t>
      </w:r>
      <w:hyperlink r:id="Re9371705221d4f26">
        <w:r w:rsidRPr="4B13576D" w:rsidR="483FCAD9">
          <w:rPr>
            <w:rStyle w:val="Hyperlink"/>
            <w:rFonts w:ascii="Arial" w:hAnsi="Arial" w:eastAsia="Arial" w:cs="Arial"/>
            <w:noProof w:val="0"/>
            <w:sz w:val="22"/>
            <w:szCs w:val="22"/>
            <w:lang w:val="en-GB"/>
          </w:rPr>
          <w:t>https://doi.org/10.1590/S1806-37562018000000088</w:t>
        </w:r>
      </w:hyperlink>
      <w:r w:rsidRPr="4B13576D" w:rsidR="483FCAD9">
        <w:rPr>
          <w:rFonts w:ascii="Arial" w:hAnsi="Arial" w:eastAsia="Arial" w:cs="Arial"/>
          <w:noProof w:val="0"/>
          <w:sz w:val="22"/>
          <w:szCs w:val="22"/>
          <w:lang w:val="en-GB"/>
        </w:rPr>
        <w:t xml:space="preserve"> (Accessed: 26 May 2026).</w:t>
      </w:r>
    </w:p>
    <w:p w:rsidR="483FCAD9" w:rsidP="3DF02E74" w:rsidRDefault="483FCAD9" w14:paraId="12C8634D" w14:textId="4C38A347">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Phillips, V. and Barker, E. (2021) ‘Systematic reviews: Structure, form and content’, </w:t>
      </w:r>
      <w:r w:rsidRPr="4B13576D" w:rsidR="483FCAD9">
        <w:rPr>
          <w:rFonts w:ascii="Arial" w:hAnsi="Arial" w:eastAsia="Arial" w:cs="Arial"/>
          <w:i w:val="1"/>
          <w:iCs w:val="1"/>
          <w:noProof w:val="0"/>
          <w:sz w:val="22"/>
          <w:szCs w:val="22"/>
          <w:lang w:val="en-GB"/>
        </w:rPr>
        <w:t>Journal of Perioperative Practice</w:t>
      </w:r>
      <w:r w:rsidRPr="4B13576D" w:rsidR="483FCAD9">
        <w:rPr>
          <w:rFonts w:ascii="Arial" w:hAnsi="Arial" w:eastAsia="Arial" w:cs="Arial"/>
          <w:noProof w:val="0"/>
          <w:sz w:val="22"/>
          <w:szCs w:val="22"/>
          <w:lang w:val="en-GB"/>
        </w:rPr>
        <w:t xml:space="preserve">, 31(9), pp. 349–353. doi: </w:t>
      </w:r>
      <w:hyperlink r:id="R3cb91ee759314157">
        <w:r w:rsidRPr="4B13576D" w:rsidR="483FCAD9">
          <w:rPr>
            <w:rStyle w:val="Hyperlink"/>
            <w:rFonts w:ascii="Arial" w:hAnsi="Arial" w:eastAsia="Arial" w:cs="Arial"/>
            <w:noProof w:val="0"/>
            <w:sz w:val="22"/>
            <w:szCs w:val="22"/>
            <w:lang w:val="en-GB"/>
          </w:rPr>
          <w:t>https://doi.org/10.1177/1750458921994693</w:t>
        </w:r>
      </w:hyperlink>
      <w:r w:rsidRPr="4B13576D" w:rsidR="483FCAD9">
        <w:rPr>
          <w:rFonts w:ascii="Arial" w:hAnsi="Arial" w:eastAsia="Arial" w:cs="Arial"/>
          <w:noProof w:val="0"/>
          <w:sz w:val="22"/>
          <w:szCs w:val="22"/>
          <w:lang w:val="en-GB"/>
        </w:rPr>
        <w:t xml:space="preserve"> (Accessed: 27 May 2026).</w:t>
      </w:r>
    </w:p>
    <w:p w:rsidR="483FCAD9" w:rsidP="3DF02E74" w:rsidRDefault="483FCAD9" w14:paraId="32448F54" w14:textId="3C6DB958">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Platania, N.M., Starreveld, D.E.J., Wynchank, D., Beekman, F. and Kooij, S. (2025) ‘Bias by gender: Exploring gender-based differences in ADHD symptoms’, </w:t>
      </w:r>
      <w:r w:rsidRPr="4B13576D" w:rsidR="483FCAD9">
        <w:rPr>
          <w:rFonts w:ascii="Arial" w:hAnsi="Arial" w:eastAsia="Arial" w:cs="Arial"/>
          <w:i w:val="1"/>
          <w:iCs w:val="1"/>
          <w:noProof w:val="0"/>
          <w:sz w:val="22"/>
          <w:szCs w:val="22"/>
          <w:lang w:val="en-GB"/>
        </w:rPr>
        <w:t>Frontiers in Global Women’s Health</w:t>
      </w:r>
      <w:r w:rsidRPr="4B13576D" w:rsidR="483FCAD9">
        <w:rPr>
          <w:rFonts w:ascii="Arial" w:hAnsi="Arial" w:eastAsia="Arial" w:cs="Arial"/>
          <w:noProof w:val="0"/>
          <w:sz w:val="22"/>
          <w:szCs w:val="22"/>
          <w:lang w:val="en-GB"/>
        </w:rPr>
        <w:t xml:space="preserve">, 6. doi: </w:t>
      </w:r>
      <w:hyperlink r:id="Rb1f54bcbe9574200">
        <w:r w:rsidRPr="4B13576D" w:rsidR="483FCAD9">
          <w:rPr>
            <w:rStyle w:val="Hyperlink"/>
            <w:rFonts w:ascii="Arial" w:hAnsi="Arial" w:eastAsia="Arial" w:cs="Arial"/>
            <w:noProof w:val="0"/>
            <w:sz w:val="22"/>
            <w:szCs w:val="22"/>
            <w:lang w:val="en-GB"/>
          </w:rPr>
          <w:t>https://doi.org/10.3389/fgwh.2025.1549028</w:t>
        </w:r>
      </w:hyperlink>
      <w:r w:rsidRPr="4B13576D" w:rsidR="483FCAD9">
        <w:rPr>
          <w:rFonts w:ascii="Arial" w:hAnsi="Arial" w:eastAsia="Arial" w:cs="Arial"/>
          <w:noProof w:val="0"/>
          <w:sz w:val="22"/>
          <w:szCs w:val="22"/>
          <w:lang w:val="en-GB"/>
        </w:rPr>
        <w:t xml:space="preserve"> (Accessed: 28 May 2026).</w:t>
      </w:r>
    </w:p>
    <w:p w:rsidR="483FCAD9" w:rsidP="3DF02E74" w:rsidRDefault="483FCAD9" w14:paraId="2859C8EF" w14:textId="3E276CB0">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Polanin, J.R., Pigott, T.D., Espelage, D.L. and Grotpeter, J.K. (2019) ‘Best practice guidelines for abstract screening large-evidence systematic reviews and meta-analyses’, </w:t>
      </w:r>
      <w:r w:rsidRPr="4B13576D" w:rsidR="483FCAD9">
        <w:rPr>
          <w:rFonts w:ascii="Arial" w:hAnsi="Arial" w:eastAsia="Arial" w:cs="Arial"/>
          <w:i w:val="1"/>
          <w:iCs w:val="1"/>
          <w:noProof w:val="0"/>
          <w:sz w:val="22"/>
          <w:szCs w:val="22"/>
          <w:lang w:val="en-GB"/>
        </w:rPr>
        <w:t>Research Synthesis Methods</w:t>
      </w:r>
      <w:r w:rsidRPr="4B13576D" w:rsidR="483FCAD9">
        <w:rPr>
          <w:rFonts w:ascii="Arial" w:hAnsi="Arial" w:eastAsia="Arial" w:cs="Arial"/>
          <w:noProof w:val="0"/>
          <w:sz w:val="22"/>
          <w:szCs w:val="22"/>
          <w:lang w:val="en-GB"/>
        </w:rPr>
        <w:t xml:space="preserve">, 10(3), pp. 330–342. doi: </w:t>
      </w:r>
      <w:hyperlink r:id="Rcd5fe69152ba4021">
        <w:r w:rsidRPr="4B13576D" w:rsidR="483FCAD9">
          <w:rPr>
            <w:rStyle w:val="Hyperlink"/>
            <w:rFonts w:ascii="Arial" w:hAnsi="Arial" w:eastAsia="Arial" w:cs="Arial"/>
            <w:noProof w:val="0"/>
            <w:sz w:val="22"/>
            <w:szCs w:val="22"/>
            <w:lang w:val="en-GB"/>
          </w:rPr>
          <w:t>https://doi.org/10.1002/jrsm.1354</w:t>
        </w:r>
      </w:hyperlink>
      <w:r w:rsidRPr="4B13576D" w:rsidR="483FCAD9">
        <w:rPr>
          <w:rFonts w:ascii="Arial" w:hAnsi="Arial" w:eastAsia="Arial" w:cs="Arial"/>
          <w:noProof w:val="0"/>
          <w:sz w:val="22"/>
          <w:szCs w:val="22"/>
          <w:lang w:val="en-GB"/>
        </w:rPr>
        <w:t xml:space="preserve"> (Accessed: 29 May 2026).</w:t>
      </w:r>
    </w:p>
    <w:p w:rsidR="483FCAD9" w:rsidP="3DF02E74" w:rsidRDefault="483FCAD9" w14:paraId="24A7CADD" w14:textId="75219E80">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Quinn, P.O. (2008) ‘Attention-deficit/hyperactivity disorder and its comorbidities in women and girls: An evolving picture’, </w:t>
      </w:r>
      <w:r w:rsidRPr="4B13576D" w:rsidR="483FCAD9">
        <w:rPr>
          <w:rFonts w:ascii="Arial" w:hAnsi="Arial" w:eastAsia="Arial" w:cs="Arial"/>
          <w:i w:val="1"/>
          <w:iCs w:val="1"/>
          <w:noProof w:val="0"/>
          <w:sz w:val="22"/>
          <w:szCs w:val="22"/>
          <w:lang w:val="en-GB"/>
        </w:rPr>
        <w:t>Current Psychiatry Reports</w:t>
      </w:r>
      <w:r w:rsidRPr="4B13576D" w:rsidR="483FCAD9">
        <w:rPr>
          <w:rFonts w:ascii="Arial" w:hAnsi="Arial" w:eastAsia="Arial" w:cs="Arial"/>
          <w:noProof w:val="0"/>
          <w:sz w:val="22"/>
          <w:szCs w:val="22"/>
          <w:lang w:val="en-GB"/>
        </w:rPr>
        <w:t xml:space="preserve">, 10(5), pp. 419–423. doi: </w:t>
      </w:r>
      <w:hyperlink r:id="Rd7e4480cd89144d0">
        <w:r w:rsidRPr="4B13576D" w:rsidR="483FCAD9">
          <w:rPr>
            <w:rStyle w:val="Hyperlink"/>
            <w:rFonts w:ascii="Arial" w:hAnsi="Arial" w:eastAsia="Arial" w:cs="Arial"/>
            <w:noProof w:val="0"/>
            <w:sz w:val="22"/>
            <w:szCs w:val="22"/>
            <w:lang w:val="en-GB"/>
          </w:rPr>
          <w:t>https://doi.org/10.1007/s11920-008-0068-5</w:t>
        </w:r>
      </w:hyperlink>
      <w:r w:rsidRPr="4B13576D" w:rsidR="483FCAD9">
        <w:rPr>
          <w:rFonts w:ascii="Arial" w:hAnsi="Arial" w:eastAsia="Arial" w:cs="Arial"/>
          <w:noProof w:val="0"/>
          <w:sz w:val="22"/>
          <w:szCs w:val="22"/>
          <w:lang w:val="en-GB"/>
        </w:rPr>
        <w:t xml:space="preserve"> (Accessed: 30 May 2026).</w:t>
      </w:r>
    </w:p>
    <w:p w:rsidR="483FCAD9" w:rsidP="3DF02E74" w:rsidRDefault="483FCAD9" w14:paraId="4933F8A8" w14:textId="4C508D8F">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Quinn, P. and Madhoo, M. (2014) ‘A review of attention-deficit/hyperactivity disorder in women and girls’, </w:t>
      </w:r>
      <w:r w:rsidRPr="4B13576D" w:rsidR="483FCAD9">
        <w:rPr>
          <w:rFonts w:ascii="Arial" w:hAnsi="Arial" w:eastAsia="Arial" w:cs="Arial"/>
          <w:i w:val="1"/>
          <w:iCs w:val="1"/>
          <w:noProof w:val="0"/>
          <w:sz w:val="22"/>
          <w:szCs w:val="22"/>
          <w:lang w:val="en-GB"/>
        </w:rPr>
        <w:t>Primary Care Companion for CNS Disorders</w:t>
      </w:r>
      <w:r w:rsidRPr="4B13576D" w:rsidR="483FCAD9">
        <w:rPr>
          <w:rFonts w:ascii="Arial" w:hAnsi="Arial" w:eastAsia="Arial" w:cs="Arial"/>
          <w:noProof w:val="0"/>
          <w:sz w:val="22"/>
          <w:szCs w:val="22"/>
          <w:lang w:val="en-GB"/>
        </w:rPr>
        <w:t xml:space="preserve">, 16(3). doi: </w:t>
      </w:r>
      <w:hyperlink r:id="R88745fd69a9140e1">
        <w:r w:rsidRPr="4B13576D" w:rsidR="483FCAD9">
          <w:rPr>
            <w:rStyle w:val="Hyperlink"/>
            <w:rFonts w:ascii="Arial" w:hAnsi="Arial" w:eastAsia="Arial" w:cs="Arial"/>
            <w:noProof w:val="0"/>
            <w:sz w:val="22"/>
            <w:szCs w:val="22"/>
            <w:lang w:val="en-GB"/>
          </w:rPr>
          <w:t>https://doi.org/10.4088/PCC.13r01596</w:t>
        </w:r>
      </w:hyperlink>
      <w:r w:rsidRPr="4B13576D" w:rsidR="483FCAD9">
        <w:rPr>
          <w:rFonts w:ascii="Arial" w:hAnsi="Arial" w:eastAsia="Arial" w:cs="Arial"/>
          <w:noProof w:val="0"/>
          <w:sz w:val="22"/>
          <w:szCs w:val="22"/>
          <w:lang w:val="en-GB"/>
        </w:rPr>
        <w:t xml:space="preserve"> (Accessed: 31 May 2026).</w:t>
      </w:r>
    </w:p>
    <w:p w:rsidR="483FCAD9" w:rsidP="3DF02E74" w:rsidRDefault="483FCAD9" w14:paraId="60FAF4A6" w14:textId="0F655013">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Ramtekkar, U.P., Reiersen, A.M., Todorov, A.A. and Todd, R.D. (2010) ‘Sex and age differences in attention-deficit/hyperactivity disorder symptoms’, </w:t>
      </w:r>
      <w:r w:rsidRPr="4B13576D" w:rsidR="483FCAD9">
        <w:rPr>
          <w:rFonts w:ascii="Arial" w:hAnsi="Arial" w:eastAsia="Arial" w:cs="Arial"/>
          <w:i w:val="1"/>
          <w:iCs w:val="1"/>
          <w:noProof w:val="0"/>
          <w:sz w:val="22"/>
          <w:szCs w:val="22"/>
          <w:lang w:val="en-GB"/>
        </w:rPr>
        <w:t>Journal of the American Academy of Child and Adolescent Psychiatry</w:t>
      </w:r>
      <w:r w:rsidRPr="4B13576D" w:rsidR="483FCAD9">
        <w:rPr>
          <w:rFonts w:ascii="Arial" w:hAnsi="Arial" w:eastAsia="Arial" w:cs="Arial"/>
          <w:noProof w:val="0"/>
          <w:sz w:val="22"/>
          <w:szCs w:val="22"/>
          <w:lang w:val="en-GB"/>
        </w:rPr>
        <w:t>, 49(3), pp. 217–228 (Accessed: 1 June 2026).</w:t>
      </w:r>
    </w:p>
    <w:p w:rsidR="483FCAD9" w:rsidP="3DF02E74" w:rsidRDefault="483FCAD9" w14:paraId="426533CE" w14:textId="2FFF8A5A">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Richardson, M. et al. (2015) </w:t>
      </w:r>
      <w:r w:rsidRPr="4B13576D" w:rsidR="483FCAD9">
        <w:rPr>
          <w:rFonts w:ascii="Arial" w:hAnsi="Arial" w:eastAsia="Arial" w:cs="Arial"/>
          <w:i w:val="1"/>
          <w:iCs w:val="1"/>
          <w:noProof w:val="0"/>
          <w:sz w:val="22"/>
          <w:szCs w:val="22"/>
          <w:lang w:val="en-GB"/>
        </w:rPr>
        <w:t>Review 4: A synthesis of qualitative studies about the school-related experiences and perceptions of pupils diagnosed with, or at risk of, ADHD, their teachers, parents and peers</w:t>
      </w:r>
      <w:r w:rsidRPr="4B13576D" w:rsidR="483FCAD9">
        <w:rPr>
          <w:rFonts w:ascii="Arial" w:hAnsi="Arial" w:eastAsia="Arial" w:cs="Arial"/>
          <w:noProof w:val="0"/>
          <w:sz w:val="22"/>
          <w:szCs w:val="22"/>
          <w:lang w:val="en-GB"/>
        </w:rPr>
        <w:t xml:space="preserve">. NIHR Journals Library. Available at: </w:t>
      </w:r>
      <w:hyperlink r:id="R2b72d42dc38144ad">
        <w:r w:rsidRPr="4B13576D" w:rsidR="483FCAD9">
          <w:rPr>
            <w:rStyle w:val="Hyperlink"/>
            <w:rFonts w:ascii="Arial" w:hAnsi="Arial" w:eastAsia="Arial" w:cs="Arial"/>
            <w:noProof w:val="0"/>
            <w:sz w:val="22"/>
            <w:szCs w:val="22"/>
            <w:lang w:val="en-GB"/>
          </w:rPr>
          <w:t>https://www.ncbi.nlm.nih.gov/books/NBK304045/</w:t>
        </w:r>
      </w:hyperlink>
      <w:r w:rsidRPr="4B13576D" w:rsidR="483FCAD9">
        <w:rPr>
          <w:rFonts w:ascii="Arial" w:hAnsi="Arial" w:eastAsia="Arial" w:cs="Arial"/>
          <w:noProof w:val="0"/>
          <w:sz w:val="22"/>
          <w:szCs w:val="22"/>
          <w:lang w:val="en-GB"/>
        </w:rPr>
        <w:t xml:space="preserve"> (Accessed: 2 June 2026).</w:t>
      </w:r>
    </w:p>
    <w:p w:rsidR="483FCAD9" w:rsidP="3DF02E74" w:rsidRDefault="483FCAD9" w14:paraId="2D8EE143" w14:textId="741B0014">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Rucklidge, J.J. (2008) ‘Gender differences in ADHD: Implications for psychosocial treatments’, </w:t>
      </w:r>
      <w:r w:rsidRPr="4B13576D" w:rsidR="483FCAD9">
        <w:rPr>
          <w:rFonts w:ascii="Arial" w:hAnsi="Arial" w:eastAsia="Arial" w:cs="Arial"/>
          <w:i w:val="1"/>
          <w:iCs w:val="1"/>
          <w:noProof w:val="0"/>
          <w:sz w:val="22"/>
          <w:szCs w:val="22"/>
          <w:lang w:val="en-GB"/>
        </w:rPr>
        <w:t>Expert Review of Neurotherapeutics</w:t>
      </w:r>
      <w:r w:rsidRPr="4B13576D" w:rsidR="483FCAD9">
        <w:rPr>
          <w:rFonts w:ascii="Arial" w:hAnsi="Arial" w:eastAsia="Arial" w:cs="Arial"/>
          <w:noProof w:val="0"/>
          <w:sz w:val="22"/>
          <w:szCs w:val="22"/>
          <w:lang w:val="en-GB"/>
        </w:rPr>
        <w:t xml:space="preserve">, 8(4), pp. 643–655. doi: </w:t>
      </w:r>
      <w:hyperlink r:id="R7cbce9305254486f">
        <w:r w:rsidRPr="4B13576D" w:rsidR="483FCAD9">
          <w:rPr>
            <w:rStyle w:val="Hyperlink"/>
            <w:rFonts w:ascii="Arial" w:hAnsi="Arial" w:eastAsia="Arial" w:cs="Arial"/>
            <w:noProof w:val="0"/>
            <w:sz w:val="22"/>
            <w:szCs w:val="22"/>
            <w:lang w:val="en-GB"/>
          </w:rPr>
          <w:t>https://doi.org/10.1586/14737175.8.4.643</w:t>
        </w:r>
      </w:hyperlink>
      <w:r w:rsidRPr="4B13576D" w:rsidR="483FCAD9">
        <w:rPr>
          <w:rFonts w:ascii="Arial" w:hAnsi="Arial" w:eastAsia="Arial" w:cs="Arial"/>
          <w:noProof w:val="0"/>
          <w:sz w:val="22"/>
          <w:szCs w:val="22"/>
          <w:lang w:val="en-GB"/>
        </w:rPr>
        <w:t xml:space="preserve"> (Accessed: 3 June 2026).</w:t>
      </w:r>
    </w:p>
    <w:p w:rsidR="483FCAD9" w:rsidP="3DF02E74" w:rsidRDefault="483FCAD9" w14:paraId="4822A316" w14:textId="5223F7F5">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Rucklidge, J.J. (2010) ‘Gender differences in attention-deficit/hyperactivity disorder’, </w:t>
      </w:r>
      <w:r w:rsidRPr="4B13576D" w:rsidR="483FCAD9">
        <w:rPr>
          <w:rFonts w:ascii="Arial" w:hAnsi="Arial" w:eastAsia="Arial" w:cs="Arial"/>
          <w:i w:val="1"/>
          <w:iCs w:val="1"/>
          <w:noProof w:val="0"/>
          <w:sz w:val="22"/>
          <w:szCs w:val="22"/>
          <w:lang w:val="en-GB"/>
        </w:rPr>
        <w:t>Psychiatric Clinics of North America</w:t>
      </w:r>
      <w:r w:rsidRPr="4B13576D" w:rsidR="483FCAD9">
        <w:rPr>
          <w:rFonts w:ascii="Arial" w:hAnsi="Arial" w:eastAsia="Arial" w:cs="Arial"/>
          <w:noProof w:val="0"/>
          <w:sz w:val="22"/>
          <w:szCs w:val="22"/>
          <w:lang w:val="en-GB"/>
        </w:rPr>
        <w:t>, 33(2), pp. 357–373 (Accessed: 4 June 2026).</w:t>
      </w:r>
    </w:p>
    <w:p w:rsidR="483FCAD9" w:rsidP="3DF02E74" w:rsidRDefault="483FCAD9" w14:paraId="5351BD65" w14:textId="13C24876">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Saunders, M., Lewis, P. and Thornhill, A. (2019) </w:t>
      </w:r>
      <w:r w:rsidRPr="4B13576D" w:rsidR="483FCAD9">
        <w:rPr>
          <w:rFonts w:ascii="Arial" w:hAnsi="Arial" w:eastAsia="Arial" w:cs="Arial"/>
          <w:i w:val="1"/>
          <w:iCs w:val="1"/>
          <w:noProof w:val="0"/>
          <w:sz w:val="22"/>
          <w:szCs w:val="22"/>
          <w:lang w:val="en-GB"/>
        </w:rPr>
        <w:t>Research methods for business students</w:t>
      </w:r>
      <w:r w:rsidRPr="4B13576D" w:rsidR="483FCAD9">
        <w:rPr>
          <w:rFonts w:ascii="Arial" w:hAnsi="Arial" w:eastAsia="Arial" w:cs="Arial"/>
          <w:noProof w:val="0"/>
          <w:sz w:val="22"/>
          <w:szCs w:val="22"/>
          <w:lang w:val="en-GB"/>
        </w:rPr>
        <w:t>. 8th edn. Harlow: Pearson Education (Accessed: 5 June 2026).</w:t>
      </w:r>
    </w:p>
    <w:p w:rsidR="483FCAD9" w:rsidP="3DF02E74" w:rsidRDefault="483FCAD9" w14:paraId="567933C8" w14:textId="4ABE5E14">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Schmader, T., Johns, M. and Forbes, C. (2008) ‘An integrated process model of stereotype threat effects on performance’, </w:t>
      </w:r>
      <w:r w:rsidRPr="4B13576D" w:rsidR="483FCAD9">
        <w:rPr>
          <w:rFonts w:ascii="Arial" w:hAnsi="Arial" w:eastAsia="Arial" w:cs="Arial"/>
          <w:i w:val="1"/>
          <w:iCs w:val="1"/>
          <w:noProof w:val="0"/>
          <w:sz w:val="22"/>
          <w:szCs w:val="22"/>
          <w:lang w:val="en-GB"/>
        </w:rPr>
        <w:t>Psychological Review</w:t>
      </w:r>
      <w:r w:rsidRPr="4B13576D" w:rsidR="483FCAD9">
        <w:rPr>
          <w:rFonts w:ascii="Arial" w:hAnsi="Arial" w:eastAsia="Arial" w:cs="Arial"/>
          <w:noProof w:val="0"/>
          <w:sz w:val="22"/>
          <w:szCs w:val="22"/>
          <w:lang w:val="en-GB"/>
        </w:rPr>
        <w:t xml:space="preserve">, 115(2), pp. 336–356. doi: </w:t>
      </w:r>
      <w:hyperlink r:id="R4147a00fc58d4d29">
        <w:r w:rsidRPr="4B13576D" w:rsidR="483FCAD9">
          <w:rPr>
            <w:rStyle w:val="Hyperlink"/>
            <w:rFonts w:ascii="Arial" w:hAnsi="Arial" w:eastAsia="Arial" w:cs="Arial"/>
            <w:noProof w:val="0"/>
            <w:sz w:val="22"/>
            <w:szCs w:val="22"/>
            <w:lang w:val="en-GB"/>
          </w:rPr>
          <w:t>https://doi.org/10.1037/0033-295x.115.2.336</w:t>
        </w:r>
      </w:hyperlink>
      <w:r w:rsidRPr="4B13576D" w:rsidR="483FCAD9">
        <w:rPr>
          <w:rFonts w:ascii="Arial" w:hAnsi="Arial" w:eastAsia="Arial" w:cs="Arial"/>
          <w:noProof w:val="0"/>
          <w:sz w:val="22"/>
          <w:szCs w:val="22"/>
          <w:lang w:val="en-GB"/>
        </w:rPr>
        <w:t xml:space="preserve"> (Accessed: 6 June 2026).</w:t>
      </w:r>
    </w:p>
    <w:p w:rsidR="483FCAD9" w:rsidP="3DF02E74" w:rsidRDefault="483FCAD9" w14:paraId="46E3DC69" w14:textId="1A575661">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Schmidt, L. et al. (2023) ‘Data extraction methods for systematic review (semi)automation: Update of a living systematic review’, </w:t>
      </w:r>
      <w:r w:rsidRPr="4B13576D" w:rsidR="483FCAD9">
        <w:rPr>
          <w:rFonts w:ascii="Arial" w:hAnsi="Arial" w:eastAsia="Arial" w:cs="Arial"/>
          <w:i w:val="1"/>
          <w:iCs w:val="1"/>
          <w:noProof w:val="0"/>
          <w:sz w:val="22"/>
          <w:szCs w:val="22"/>
          <w:lang w:val="en-GB"/>
        </w:rPr>
        <w:t>F1000Research</w:t>
      </w:r>
      <w:r w:rsidRPr="4B13576D" w:rsidR="483FCAD9">
        <w:rPr>
          <w:rFonts w:ascii="Arial" w:hAnsi="Arial" w:eastAsia="Arial" w:cs="Arial"/>
          <w:noProof w:val="0"/>
          <w:sz w:val="22"/>
          <w:szCs w:val="22"/>
          <w:lang w:val="en-GB"/>
        </w:rPr>
        <w:t xml:space="preserve">, 10, p. 401. doi: </w:t>
      </w:r>
      <w:hyperlink r:id="Rd0a4f63b54144a0d">
        <w:r w:rsidRPr="4B13576D" w:rsidR="483FCAD9">
          <w:rPr>
            <w:rStyle w:val="Hyperlink"/>
            <w:rFonts w:ascii="Arial" w:hAnsi="Arial" w:eastAsia="Arial" w:cs="Arial"/>
            <w:noProof w:val="0"/>
            <w:sz w:val="22"/>
            <w:szCs w:val="22"/>
            <w:lang w:val="en-GB"/>
          </w:rPr>
          <w:t>https://doi.org/10.12688/f1000research.51117.2</w:t>
        </w:r>
      </w:hyperlink>
      <w:r w:rsidRPr="4B13576D" w:rsidR="483FCAD9">
        <w:rPr>
          <w:rFonts w:ascii="Arial" w:hAnsi="Arial" w:eastAsia="Arial" w:cs="Arial"/>
          <w:noProof w:val="0"/>
          <w:sz w:val="22"/>
          <w:szCs w:val="22"/>
          <w:lang w:val="en-GB"/>
        </w:rPr>
        <w:t xml:space="preserve"> (Accessed: 7 June 2026).</w:t>
      </w:r>
    </w:p>
    <w:p w:rsidR="483FCAD9" w:rsidP="3DF02E74" w:rsidRDefault="483FCAD9" w14:paraId="7DCE796A" w14:textId="10386AC9">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Shaheen, N. et al. (2023) ‘Appraising systematic reviews: A comprehensive guide to ensuring validity and reliability’, </w:t>
      </w:r>
      <w:r w:rsidRPr="4B13576D" w:rsidR="483FCAD9">
        <w:rPr>
          <w:rFonts w:ascii="Arial" w:hAnsi="Arial" w:eastAsia="Arial" w:cs="Arial"/>
          <w:i w:val="1"/>
          <w:iCs w:val="1"/>
          <w:noProof w:val="0"/>
          <w:sz w:val="22"/>
          <w:szCs w:val="22"/>
          <w:lang w:val="en-GB"/>
        </w:rPr>
        <w:t>Frontiers in Research Metrics and Analytics</w:t>
      </w:r>
      <w:r w:rsidRPr="4B13576D" w:rsidR="483FCAD9">
        <w:rPr>
          <w:rFonts w:ascii="Arial" w:hAnsi="Arial" w:eastAsia="Arial" w:cs="Arial"/>
          <w:noProof w:val="0"/>
          <w:sz w:val="22"/>
          <w:szCs w:val="22"/>
          <w:lang w:val="en-GB"/>
        </w:rPr>
        <w:t xml:space="preserve">, 8. doi: </w:t>
      </w:r>
      <w:hyperlink r:id="R902e6e25e21c41e5">
        <w:r w:rsidRPr="4B13576D" w:rsidR="483FCAD9">
          <w:rPr>
            <w:rStyle w:val="Hyperlink"/>
            <w:rFonts w:ascii="Arial" w:hAnsi="Arial" w:eastAsia="Arial" w:cs="Arial"/>
            <w:noProof w:val="0"/>
            <w:sz w:val="22"/>
            <w:szCs w:val="22"/>
            <w:lang w:val="en-GB"/>
          </w:rPr>
          <w:t>https://doi.org/10.3389/frma.2023.1268045</w:t>
        </w:r>
      </w:hyperlink>
      <w:r w:rsidRPr="4B13576D" w:rsidR="483FCAD9">
        <w:rPr>
          <w:rFonts w:ascii="Arial" w:hAnsi="Arial" w:eastAsia="Arial" w:cs="Arial"/>
          <w:noProof w:val="0"/>
          <w:sz w:val="22"/>
          <w:szCs w:val="22"/>
          <w:lang w:val="en-GB"/>
        </w:rPr>
        <w:t xml:space="preserve"> (Accessed: 8 June 2026).</w:t>
      </w:r>
    </w:p>
    <w:p w:rsidR="483FCAD9" w:rsidP="3DF02E74" w:rsidRDefault="483FCAD9" w14:paraId="3433A8AB" w14:textId="166379A2">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Sibley, M.H., Rohde, L.A., Swanson, J.M., Hechtman, L.T., Molina, B.S.G., Mitchell, J.T., Arnold, L.E., Caye, A., Kennedy, T.M., Roy, A. and Stehli, A. (2018) ‘Late-onset ADHD reconsidered with comprehensive repeated assessments between ages 10 and 25’, </w:t>
      </w:r>
      <w:r w:rsidRPr="4B13576D" w:rsidR="483FCAD9">
        <w:rPr>
          <w:rFonts w:ascii="Arial" w:hAnsi="Arial" w:eastAsia="Arial" w:cs="Arial"/>
          <w:i w:val="1"/>
          <w:iCs w:val="1"/>
          <w:noProof w:val="0"/>
          <w:sz w:val="22"/>
          <w:szCs w:val="22"/>
          <w:lang w:val="en-GB"/>
        </w:rPr>
        <w:t>American Journal of Psychiatry</w:t>
      </w:r>
      <w:r w:rsidRPr="4B13576D" w:rsidR="483FCAD9">
        <w:rPr>
          <w:rFonts w:ascii="Arial" w:hAnsi="Arial" w:eastAsia="Arial" w:cs="Arial"/>
          <w:noProof w:val="0"/>
          <w:sz w:val="22"/>
          <w:szCs w:val="22"/>
          <w:lang w:val="en-GB"/>
        </w:rPr>
        <w:t xml:space="preserve">, 175(2), pp. 140–149. doi: </w:t>
      </w:r>
      <w:hyperlink r:id="Re61753655a3d4607">
        <w:r w:rsidRPr="4B13576D" w:rsidR="483FCAD9">
          <w:rPr>
            <w:rStyle w:val="Hyperlink"/>
            <w:rFonts w:ascii="Arial" w:hAnsi="Arial" w:eastAsia="Arial" w:cs="Arial"/>
            <w:noProof w:val="0"/>
            <w:sz w:val="22"/>
            <w:szCs w:val="22"/>
            <w:lang w:val="en-GB"/>
          </w:rPr>
          <w:t>https://doi.org/10.1176/appi.ajp.2017.17030298</w:t>
        </w:r>
      </w:hyperlink>
      <w:r w:rsidRPr="4B13576D" w:rsidR="483FCAD9">
        <w:rPr>
          <w:rFonts w:ascii="Arial" w:hAnsi="Arial" w:eastAsia="Arial" w:cs="Arial"/>
          <w:noProof w:val="0"/>
          <w:sz w:val="22"/>
          <w:szCs w:val="22"/>
          <w:lang w:val="en-GB"/>
        </w:rPr>
        <w:t xml:space="preserve"> (Accessed: 9 June 2026).</w:t>
      </w:r>
    </w:p>
    <w:p w:rsidR="483FCAD9" w:rsidP="3DF02E74" w:rsidRDefault="483FCAD9" w14:paraId="6A6B3F95" w14:textId="67046D60">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Skoglund, L.B. (2024) </w:t>
      </w:r>
      <w:r w:rsidRPr="4B13576D" w:rsidR="483FCAD9">
        <w:rPr>
          <w:rFonts w:ascii="Arial" w:hAnsi="Arial" w:eastAsia="Arial" w:cs="Arial"/>
          <w:i w:val="1"/>
          <w:iCs w:val="1"/>
          <w:noProof w:val="0"/>
          <w:sz w:val="22"/>
          <w:szCs w:val="22"/>
          <w:lang w:val="en-GB"/>
        </w:rPr>
        <w:t>ADHD girls to women</w:t>
      </w:r>
      <w:r w:rsidRPr="4B13576D" w:rsidR="483FCAD9">
        <w:rPr>
          <w:rFonts w:ascii="Arial" w:hAnsi="Arial" w:eastAsia="Arial" w:cs="Arial"/>
          <w:noProof w:val="0"/>
          <w:sz w:val="22"/>
          <w:szCs w:val="22"/>
          <w:lang w:val="en-GB"/>
        </w:rPr>
        <w:t xml:space="preserve">. London: Jessica Kingsley Publishers. Available at: </w:t>
      </w:r>
      <w:hyperlink r:id="Re667969d076c4f78">
        <w:r w:rsidRPr="4B13576D" w:rsidR="483FCAD9">
          <w:rPr>
            <w:rStyle w:val="Hyperlink"/>
            <w:rFonts w:ascii="Arial" w:hAnsi="Arial" w:eastAsia="Arial" w:cs="Arial"/>
            <w:noProof w:val="0"/>
            <w:sz w:val="22"/>
            <w:szCs w:val="22"/>
            <w:lang w:val="en-GB"/>
          </w:rPr>
          <w:t>https://uk.jkp.com/products/adhd-girls-to-women</w:t>
        </w:r>
      </w:hyperlink>
      <w:r w:rsidRPr="4B13576D" w:rsidR="483FCAD9">
        <w:rPr>
          <w:rFonts w:ascii="Arial" w:hAnsi="Arial" w:eastAsia="Arial" w:cs="Arial"/>
          <w:noProof w:val="0"/>
          <w:sz w:val="22"/>
          <w:szCs w:val="22"/>
          <w:lang w:val="en-GB"/>
        </w:rPr>
        <w:t xml:space="preserve"> (Accessed: 10 June 2026).</w:t>
      </w:r>
    </w:p>
    <w:p w:rsidR="483FCAD9" w:rsidP="3DF02E74" w:rsidRDefault="483FCAD9" w14:paraId="202D86A9" w14:textId="28BD1E5F">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Slobodin, O. and Davidovitch, M. (2019) ‘Gender differences in objective and subjective measures of ADHD among clinic-referred children’, </w:t>
      </w:r>
      <w:r w:rsidRPr="4B13576D" w:rsidR="483FCAD9">
        <w:rPr>
          <w:rFonts w:ascii="Arial" w:hAnsi="Arial" w:eastAsia="Arial" w:cs="Arial"/>
          <w:i w:val="1"/>
          <w:iCs w:val="1"/>
          <w:noProof w:val="0"/>
          <w:sz w:val="22"/>
          <w:szCs w:val="22"/>
          <w:lang w:val="en-GB"/>
        </w:rPr>
        <w:t>Frontiers in Human Neuroscience</w:t>
      </w:r>
      <w:r w:rsidRPr="4B13576D" w:rsidR="483FCAD9">
        <w:rPr>
          <w:rFonts w:ascii="Arial" w:hAnsi="Arial" w:eastAsia="Arial" w:cs="Arial"/>
          <w:noProof w:val="0"/>
          <w:sz w:val="22"/>
          <w:szCs w:val="22"/>
          <w:lang w:val="en-GB"/>
        </w:rPr>
        <w:t xml:space="preserve">, 13, p. 441. doi: </w:t>
      </w:r>
      <w:hyperlink r:id="R67f3259b46144f04">
        <w:r w:rsidRPr="4B13576D" w:rsidR="483FCAD9">
          <w:rPr>
            <w:rStyle w:val="Hyperlink"/>
            <w:rFonts w:ascii="Arial" w:hAnsi="Arial" w:eastAsia="Arial" w:cs="Arial"/>
            <w:noProof w:val="0"/>
            <w:sz w:val="22"/>
            <w:szCs w:val="22"/>
            <w:lang w:val="en-GB"/>
          </w:rPr>
          <w:t>https://doi.org/10.3389/fnhum.2019.00441</w:t>
        </w:r>
      </w:hyperlink>
      <w:r w:rsidRPr="4B13576D" w:rsidR="483FCAD9">
        <w:rPr>
          <w:rFonts w:ascii="Arial" w:hAnsi="Arial" w:eastAsia="Arial" w:cs="Arial"/>
          <w:noProof w:val="0"/>
          <w:sz w:val="22"/>
          <w:szCs w:val="22"/>
          <w:lang w:val="en-GB"/>
        </w:rPr>
        <w:t xml:space="preserve"> (Accessed: 11 June 2026).</w:t>
      </w:r>
    </w:p>
    <w:p w:rsidR="483FCAD9" w:rsidP="3DF02E74" w:rsidRDefault="483FCAD9" w14:paraId="15779697" w14:textId="5469434D">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Slobodin, O., Har Sinay, M. and Zohar, A.H. (2025) ‘A controlled study of emotional dysfunction in adult women with ADHD’, </w:t>
      </w:r>
      <w:r w:rsidRPr="4B13576D" w:rsidR="483FCAD9">
        <w:rPr>
          <w:rFonts w:ascii="Arial" w:hAnsi="Arial" w:eastAsia="Arial" w:cs="Arial"/>
          <w:i w:val="1"/>
          <w:iCs w:val="1"/>
          <w:noProof w:val="0"/>
          <w:sz w:val="22"/>
          <w:szCs w:val="22"/>
          <w:lang w:val="en-GB"/>
        </w:rPr>
        <w:t>PLOS One</w:t>
      </w:r>
      <w:r w:rsidRPr="4B13576D" w:rsidR="483FCAD9">
        <w:rPr>
          <w:rFonts w:ascii="Arial" w:hAnsi="Arial" w:eastAsia="Arial" w:cs="Arial"/>
          <w:noProof w:val="0"/>
          <w:sz w:val="22"/>
          <w:szCs w:val="22"/>
          <w:lang w:val="en-GB"/>
        </w:rPr>
        <w:t xml:space="preserve">, 20(12), p. e0337454. doi: </w:t>
      </w:r>
      <w:hyperlink r:id="R331bcf87b4ba424d">
        <w:r w:rsidRPr="4B13576D" w:rsidR="483FCAD9">
          <w:rPr>
            <w:rStyle w:val="Hyperlink"/>
            <w:rFonts w:ascii="Arial" w:hAnsi="Arial" w:eastAsia="Arial" w:cs="Arial"/>
            <w:noProof w:val="0"/>
            <w:sz w:val="22"/>
            <w:szCs w:val="22"/>
            <w:lang w:val="en-GB"/>
          </w:rPr>
          <w:t>https://doi.org/10.1371/journal.pone.0337454</w:t>
        </w:r>
      </w:hyperlink>
      <w:r w:rsidRPr="4B13576D" w:rsidR="483FCAD9">
        <w:rPr>
          <w:rFonts w:ascii="Arial" w:hAnsi="Arial" w:eastAsia="Arial" w:cs="Arial"/>
          <w:noProof w:val="0"/>
          <w:sz w:val="22"/>
          <w:szCs w:val="22"/>
          <w:lang w:val="en-GB"/>
        </w:rPr>
        <w:t xml:space="preserve"> (Accessed: 12 June 2026).</w:t>
      </w:r>
    </w:p>
    <w:p w:rsidR="483FCAD9" w:rsidP="3DF02E74" w:rsidRDefault="483FCAD9" w14:paraId="1255CE7D" w14:textId="21455BA9">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Smith, J.D. (2012) ‘Single-case experimental designs: A systematic review of published research and current standards’, </w:t>
      </w:r>
      <w:r w:rsidRPr="4B13576D" w:rsidR="483FCAD9">
        <w:rPr>
          <w:rFonts w:ascii="Arial" w:hAnsi="Arial" w:eastAsia="Arial" w:cs="Arial"/>
          <w:i w:val="1"/>
          <w:iCs w:val="1"/>
          <w:noProof w:val="0"/>
          <w:sz w:val="22"/>
          <w:szCs w:val="22"/>
          <w:lang w:val="en-GB"/>
        </w:rPr>
        <w:t>Psychological Methods</w:t>
      </w:r>
      <w:r w:rsidRPr="4B13576D" w:rsidR="483FCAD9">
        <w:rPr>
          <w:rFonts w:ascii="Arial" w:hAnsi="Arial" w:eastAsia="Arial" w:cs="Arial"/>
          <w:noProof w:val="0"/>
          <w:sz w:val="22"/>
          <w:szCs w:val="22"/>
          <w:lang w:val="en-GB"/>
        </w:rPr>
        <w:t xml:space="preserve">, 17(4), pp. 510–550. doi: </w:t>
      </w:r>
      <w:hyperlink r:id="R613680d25ddf405d">
        <w:r w:rsidRPr="4B13576D" w:rsidR="483FCAD9">
          <w:rPr>
            <w:rStyle w:val="Hyperlink"/>
            <w:rFonts w:ascii="Arial" w:hAnsi="Arial" w:eastAsia="Arial" w:cs="Arial"/>
            <w:noProof w:val="0"/>
            <w:sz w:val="22"/>
            <w:szCs w:val="22"/>
            <w:lang w:val="en-GB"/>
          </w:rPr>
          <w:t>https://doi.org/10.1037/a0029312</w:t>
        </w:r>
      </w:hyperlink>
      <w:r w:rsidRPr="4B13576D" w:rsidR="483FCAD9">
        <w:rPr>
          <w:rFonts w:ascii="Arial" w:hAnsi="Arial" w:eastAsia="Arial" w:cs="Arial"/>
          <w:noProof w:val="0"/>
          <w:sz w:val="22"/>
          <w:szCs w:val="22"/>
          <w:lang w:val="en-GB"/>
        </w:rPr>
        <w:t xml:space="preserve"> (Accessed: 13 June 2026).</w:t>
      </w:r>
    </w:p>
    <w:p w:rsidR="483FCAD9" w:rsidP="3DF02E74" w:rsidRDefault="483FCAD9" w14:paraId="30D8BB3F" w14:textId="2A19D565">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Snyder, H. (2019) ‘Literature review as a research methodology: An overview and guidelines’, </w:t>
      </w:r>
      <w:r w:rsidRPr="4B13576D" w:rsidR="483FCAD9">
        <w:rPr>
          <w:rFonts w:ascii="Arial" w:hAnsi="Arial" w:eastAsia="Arial" w:cs="Arial"/>
          <w:i w:val="1"/>
          <w:iCs w:val="1"/>
          <w:noProof w:val="0"/>
          <w:sz w:val="22"/>
          <w:szCs w:val="22"/>
          <w:lang w:val="en-GB"/>
        </w:rPr>
        <w:t>Journal of Business Research</w:t>
      </w:r>
      <w:r w:rsidRPr="4B13576D" w:rsidR="483FCAD9">
        <w:rPr>
          <w:rFonts w:ascii="Arial" w:hAnsi="Arial" w:eastAsia="Arial" w:cs="Arial"/>
          <w:noProof w:val="0"/>
          <w:sz w:val="22"/>
          <w:szCs w:val="22"/>
          <w:lang w:val="en-GB"/>
        </w:rPr>
        <w:t>, 104, pp. 333–339 (Accessed: 14 June 2026).</w:t>
      </w:r>
    </w:p>
    <w:p w:rsidR="483FCAD9" w:rsidP="3DF02E74" w:rsidRDefault="483FCAD9" w14:paraId="60C8557A" w14:textId="4E1E1308">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Stenner, P., O’Dell, L. and Davies, A. (2019) ‘Adult women and ADHD: On the temporal dimensions of ADHD identities’, </w:t>
      </w:r>
      <w:r w:rsidRPr="4B13576D" w:rsidR="483FCAD9">
        <w:rPr>
          <w:rFonts w:ascii="Arial" w:hAnsi="Arial" w:eastAsia="Arial" w:cs="Arial"/>
          <w:i w:val="1"/>
          <w:iCs w:val="1"/>
          <w:noProof w:val="0"/>
          <w:sz w:val="22"/>
          <w:szCs w:val="22"/>
          <w:lang w:val="en-GB"/>
        </w:rPr>
        <w:t>Journal for the Theory of Social Behaviour</w:t>
      </w:r>
      <w:r w:rsidRPr="4B13576D" w:rsidR="483FCAD9">
        <w:rPr>
          <w:rFonts w:ascii="Arial" w:hAnsi="Arial" w:eastAsia="Arial" w:cs="Arial"/>
          <w:noProof w:val="0"/>
          <w:sz w:val="22"/>
          <w:szCs w:val="22"/>
          <w:lang w:val="en-GB"/>
        </w:rPr>
        <w:t>, 49, pp. 179–197 (Accessed: 15 June 2026).</w:t>
      </w:r>
    </w:p>
    <w:p w:rsidR="483FCAD9" w:rsidP="3DF02E74" w:rsidRDefault="483FCAD9" w14:paraId="6F64FDDD" w14:textId="2B3F9BC3">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Strudwick, S. (2025) </w:t>
      </w:r>
      <w:r w:rsidRPr="4B13576D" w:rsidR="483FCAD9">
        <w:rPr>
          <w:rFonts w:ascii="Arial" w:hAnsi="Arial" w:eastAsia="Arial" w:cs="Arial"/>
          <w:i w:val="1"/>
          <w:iCs w:val="1"/>
          <w:noProof w:val="0"/>
          <w:sz w:val="22"/>
          <w:szCs w:val="22"/>
          <w:lang w:val="en-GB"/>
        </w:rPr>
        <w:t>Understanding ADHD in women with ThinkDivergent’s Dr Jasmine Murphy</w:t>
      </w:r>
      <w:r w:rsidRPr="4B13576D" w:rsidR="483FCAD9">
        <w:rPr>
          <w:rFonts w:ascii="Arial" w:hAnsi="Arial" w:eastAsia="Arial" w:cs="Arial"/>
          <w:noProof w:val="0"/>
          <w:sz w:val="22"/>
          <w:szCs w:val="22"/>
          <w:lang w:val="en-GB"/>
        </w:rPr>
        <w:t xml:space="preserve">. Available at: </w:t>
      </w:r>
      <w:hyperlink r:id="R54aacb7afe174120">
        <w:r w:rsidRPr="4B13576D" w:rsidR="483FCAD9">
          <w:rPr>
            <w:rStyle w:val="Hyperlink"/>
            <w:rFonts w:ascii="Arial" w:hAnsi="Arial" w:eastAsia="Arial" w:cs="Arial"/>
            <w:noProof w:val="0"/>
            <w:sz w:val="22"/>
            <w:szCs w:val="22"/>
            <w:lang w:val="en-GB"/>
          </w:rPr>
          <w:t>https://slam.nhs.uk/blog/understanding-adhd-in-women-with-thinkdivergents-dr-jasmine-murphy-4748</w:t>
        </w:r>
      </w:hyperlink>
      <w:r w:rsidRPr="4B13576D" w:rsidR="483FCAD9">
        <w:rPr>
          <w:rFonts w:ascii="Arial" w:hAnsi="Arial" w:eastAsia="Arial" w:cs="Arial"/>
          <w:noProof w:val="0"/>
          <w:sz w:val="22"/>
          <w:szCs w:val="22"/>
          <w:lang w:val="en-GB"/>
        </w:rPr>
        <w:t xml:space="preserve"> (Accessed: 16 June 2026).</w:t>
      </w:r>
    </w:p>
    <w:p w:rsidR="483FCAD9" w:rsidP="3DF02E74" w:rsidRDefault="483FCAD9" w14:paraId="605A2CCE" w14:textId="6B96DAD7">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Tranfield, D., Denyer, D. and Smart, P. (2003) ‘Towards a methodology for developing evidence-informed management knowledge’, </w:t>
      </w:r>
      <w:r w:rsidRPr="4B13576D" w:rsidR="483FCAD9">
        <w:rPr>
          <w:rFonts w:ascii="Arial" w:hAnsi="Arial" w:eastAsia="Arial" w:cs="Arial"/>
          <w:i w:val="1"/>
          <w:iCs w:val="1"/>
          <w:noProof w:val="0"/>
          <w:sz w:val="22"/>
          <w:szCs w:val="22"/>
          <w:lang w:val="en-GB"/>
        </w:rPr>
        <w:t>British Journal of Management</w:t>
      </w:r>
      <w:r w:rsidRPr="4B13576D" w:rsidR="483FCAD9">
        <w:rPr>
          <w:rFonts w:ascii="Arial" w:hAnsi="Arial" w:eastAsia="Arial" w:cs="Arial"/>
          <w:noProof w:val="0"/>
          <w:sz w:val="22"/>
          <w:szCs w:val="22"/>
          <w:lang w:val="en-GB"/>
        </w:rPr>
        <w:t>, 14(3), pp. 207–222 (Accessed: 17 June 2026).</w:t>
      </w:r>
    </w:p>
    <w:p w:rsidR="483FCAD9" w:rsidP="3DF02E74" w:rsidRDefault="483FCAD9" w14:paraId="55C8FFE3" w14:textId="3344F94F">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Tripathy, J.P. (2013) ‘Secondary data analysis: Ethical issues and challenges’, </w:t>
      </w:r>
      <w:r w:rsidRPr="4B13576D" w:rsidR="483FCAD9">
        <w:rPr>
          <w:rFonts w:ascii="Arial" w:hAnsi="Arial" w:eastAsia="Arial" w:cs="Arial"/>
          <w:i w:val="1"/>
          <w:iCs w:val="1"/>
          <w:noProof w:val="0"/>
          <w:sz w:val="22"/>
          <w:szCs w:val="22"/>
          <w:lang w:val="en-GB"/>
        </w:rPr>
        <w:t>Iranian Journal of Public Health</w:t>
      </w:r>
      <w:r w:rsidRPr="4B13576D" w:rsidR="483FCAD9">
        <w:rPr>
          <w:rFonts w:ascii="Arial" w:hAnsi="Arial" w:eastAsia="Arial" w:cs="Arial"/>
          <w:noProof w:val="0"/>
          <w:sz w:val="22"/>
          <w:szCs w:val="22"/>
          <w:lang w:val="en-GB"/>
        </w:rPr>
        <w:t xml:space="preserve">, 42(12), p. 1478. Available at: </w:t>
      </w:r>
      <w:hyperlink r:id="R669709680a264090">
        <w:r w:rsidRPr="4B13576D" w:rsidR="483FCAD9">
          <w:rPr>
            <w:rStyle w:val="Hyperlink"/>
            <w:rFonts w:ascii="Arial" w:hAnsi="Arial" w:eastAsia="Arial" w:cs="Arial"/>
            <w:noProof w:val="0"/>
            <w:sz w:val="22"/>
            <w:szCs w:val="22"/>
            <w:lang w:val="en-GB"/>
          </w:rPr>
          <w:t>https://pmc.ncbi.nlm.nih.gov/articles/PMC4441947/</w:t>
        </w:r>
      </w:hyperlink>
      <w:r w:rsidRPr="4B13576D" w:rsidR="483FCAD9">
        <w:rPr>
          <w:rFonts w:ascii="Arial" w:hAnsi="Arial" w:eastAsia="Arial" w:cs="Arial"/>
          <w:noProof w:val="0"/>
          <w:sz w:val="22"/>
          <w:szCs w:val="22"/>
          <w:lang w:val="en-GB"/>
        </w:rPr>
        <w:t xml:space="preserve"> (Accessed: 18 June 2026).</w:t>
      </w:r>
    </w:p>
    <w:p w:rsidR="483FCAD9" w:rsidP="3DF02E74" w:rsidRDefault="483FCAD9" w14:paraId="3526F6AB" w14:textId="05EDD138">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University of St Andrews (2025) </w:t>
      </w:r>
      <w:r w:rsidRPr="4B13576D" w:rsidR="483FCAD9">
        <w:rPr>
          <w:rFonts w:ascii="Arial" w:hAnsi="Arial" w:eastAsia="Arial" w:cs="Arial"/>
          <w:i w:val="1"/>
          <w:iCs w:val="1"/>
          <w:noProof w:val="0"/>
          <w:sz w:val="22"/>
          <w:szCs w:val="22"/>
          <w:lang w:val="en-GB"/>
        </w:rPr>
        <w:t>Secondary data: Research integrity and ethics</w:t>
      </w:r>
      <w:r w:rsidRPr="4B13576D" w:rsidR="483FCAD9">
        <w:rPr>
          <w:rFonts w:ascii="Arial" w:hAnsi="Arial" w:eastAsia="Arial" w:cs="Arial"/>
          <w:noProof w:val="0"/>
          <w:sz w:val="22"/>
          <w:szCs w:val="22"/>
          <w:lang w:val="en-GB"/>
        </w:rPr>
        <w:t xml:space="preserve">. Available at: </w:t>
      </w:r>
      <w:hyperlink r:id="R9a8a0257849e42a6">
        <w:r w:rsidRPr="4B13576D" w:rsidR="483FCAD9">
          <w:rPr>
            <w:rStyle w:val="Hyperlink"/>
            <w:rFonts w:ascii="Arial" w:hAnsi="Arial" w:eastAsia="Arial" w:cs="Arial"/>
            <w:noProof w:val="0"/>
            <w:sz w:val="22"/>
            <w:szCs w:val="22"/>
            <w:lang w:val="en-GB"/>
          </w:rPr>
          <w:t>https://www.st-andrews.ac.uk/research/integrity-ethics/humans/ethical-guidance/secondary-data/</w:t>
        </w:r>
      </w:hyperlink>
      <w:r w:rsidRPr="4B13576D" w:rsidR="483FCAD9">
        <w:rPr>
          <w:rFonts w:ascii="Arial" w:hAnsi="Arial" w:eastAsia="Arial" w:cs="Arial"/>
          <w:noProof w:val="0"/>
          <w:sz w:val="22"/>
          <w:szCs w:val="22"/>
          <w:lang w:val="en-GB"/>
        </w:rPr>
        <w:t xml:space="preserve"> (Accessed: 19 June 2026).</w:t>
      </w:r>
    </w:p>
    <w:p w:rsidR="483FCAD9" w:rsidP="3DF02E74" w:rsidRDefault="483FCAD9" w14:paraId="3C88CC2A" w14:textId="5FCC12A9">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University of Sussex (2024) </w:t>
      </w:r>
      <w:r w:rsidRPr="4B13576D" w:rsidR="483FCAD9">
        <w:rPr>
          <w:rFonts w:ascii="Arial" w:hAnsi="Arial" w:eastAsia="Arial" w:cs="Arial"/>
          <w:i w:val="1"/>
          <w:iCs w:val="1"/>
          <w:noProof w:val="0"/>
          <w:sz w:val="22"/>
          <w:szCs w:val="22"/>
          <w:lang w:val="en-GB"/>
        </w:rPr>
        <w:t>Referencing and academic integrity</w:t>
      </w:r>
      <w:r w:rsidRPr="4B13576D" w:rsidR="483FCAD9">
        <w:rPr>
          <w:rFonts w:ascii="Arial" w:hAnsi="Arial" w:eastAsia="Arial" w:cs="Arial"/>
          <w:noProof w:val="0"/>
          <w:sz w:val="22"/>
          <w:szCs w:val="22"/>
          <w:lang w:val="en-GB"/>
        </w:rPr>
        <w:t xml:space="preserve">. Available at: </w:t>
      </w:r>
      <w:hyperlink r:id="Rf1e3a07be233419f">
        <w:r w:rsidRPr="4B13576D" w:rsidR="483FCAD9">
          <w:rPr>
            <w:rStyle w:val="Hyperlink"/>
            <w:rFonts w:ascii="Arial" w:hAnsi="Arial" w:eastAsia="Arial" w:cs="Arial"/>
            <w:noProof w:val="0"/>
            <w:sz w:val="22"/>
            <w:szCs w:val="22"/>
            <w:lang w:val="en-GB"/>
          </w:rPr>
          <w:t>https://www.sussex.ac.uk/skills-hub/referencing-and-academic-integrity</w:t>
        </w:r>
      </w:hyperlink>
      <w:r w:rsidRPr="4B13576D" w:rsidR="483FCAD9">
        <w:rPr>
          <w:rFonts w:ascii="Arial" w:hAnsi="Arial" w:eastAsia="Arial" w:cs="Arial"/>
          <w:noProof w:val="0"/>
          <w:sz w:val="22"/>
          <w:szCs w:val="22"/>
          <w:lang w:val="en-GB"/>
        </w:rPr>
        <w:t xml:space="preserve"> (Accessed: 20 June 2026).</w:t>
      </w:r>
    </w:p>
    <w:p w:rsidR="483FCAD9" w:rsidP="3DF02E74" w:rsidRDefault="483FCAD9" w14:paraId="4388BE6F" w14:textId="0C6E7353">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Wilens, T.E. and Spencer, T.J. (2010) ‘Understanding attention-deficit/hyperactivity disorder from childhood to adulthood’, </w:t>
      </w:r>
      <w:r w:rsidRPr="4B13576D" w:rsidR="483FCAD9">
        <w:rPr>
          <w:rFonts w:ascii="Arial" w:hAnsi="Arial" w:eastAsia="Arial" w:cs="Arial"/>
          <w:i w:val="1"/>
          <w:iCs w:val="1"/>
          <w:noProof w:val="0"/>
          <w:sz w:val="22"/>
          <w:szCs w:val="22"/>
          <w:lang w:val="en-GB"/>
        </w:rPr>
        <w:t>Postgraduate Medicine</w:t>
      </w:r>
      <w:r w:rsidRPr="4B13576D" w:rsidR="483FCAD9">
        <w:rPr>
          <w:rFonts w:ascii="Arial" w:hAnsi="Arial" w:eastAsia="Arial" w:cs="Arial"/>
          <w:noProof w:val="0"/>
          <w:sz w:val="22"/>
          <w:szCs w:val="22"/>
          <w:lang w:val="en-GB"/>
        </w:rPr>
        <w:t xml:space="preserve">, 122(5), pp. 97–109. doi: </w:t>
      </w:r>
      <w:hyperlink r:id="R34c0caf624a849fb">
        <w:r w:rsidRPr="4B13576D" w:rsidR="483FCAD9">
          <w:rPr>
            <w:rStyle w:val="Hyperlink"/>
            <w:rFonts w:ascii="Arial" w:hAnsi="Arial" w:eastAsia="Arial" w:cs="Arial"/>
            <w:noProof w:val="0"/>
            <w:sz w:val="22"/>
            <w:szCs w:val="22"/>
            <w:lang w:val="en-GB"/>
          </w:rPr>
          <w:t>https://doi.org/10.3810/pgm.2010.09.2206</w:t>
        </w:r>
      </w:hyperlink>
      <w:r w:rsidRPr="4B13576D" w:rsidR="483FCAD9">
        <w:rPr>
          <w:rFonts w:ascii="Arial" w:hAnsi="Arial" w:eastAsia="Arial" w:cs="Arial"/>
          <w:noProof w:val="0"/>
          <w:sz w:val="22"/>
          <w:szCs w:val="22"/>
          <w:lang w:val="en-GB"/>
        </w:rPr>
        <w:t xml:space="preserve"> (Accessed: 21 June 2026).</w:t>
      </w:r>
    </w:p>
    <w:p w:rsidR="483FCAD9" w:rsidP="3DF02E74" w:rsidRDefault="483FCAD9" w14:paraId="7BF9F51D" w14:textId="24C93FEF">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Williams, O.C. et al. (2023) ‘Adult ADHD: A comprehensive review’, </w:t>
      </w:r>
      <w:r w:rsidRPr="4B13576D" w:rsidR="483FCAD9">
        <w:rPr>
          <w:rFonts w:ascii="Arial" w:hAnsi="Arial" w:eastAsia="Arial" w:cs="Arial"/>
          <w:i w:val="1"/>
          <w:iCs w:val="1"/>
          <w:noProof w:val="0"/>
          <w:sz w:val="22"/>
          <w:szCs w:val="22"/>
          <w:lang w:val="en-GB"/>
        </w:rPr>
        <w:t>Annals of Medicine &amp; Surgery</w:t>
      </w:r>
      <w:r w:rsidRPr="4B13576D" w:rsidR="483FCAD9">
        <w:rPr>
          <w:rFonts w:ascii="Arial" w:hAnsi="Arial" w:eastAsia="Arial" w:cs="Arial"/>
          <w:noProof w:val="0"/>
          <w:sz w:val="22"/>
          <w:szCs w:val="22"/>
          <w:lang w:val="en-GB"/>
        </w:rPr>
        <w:t xml:space="preserve">, 85(5). doi: </w:t>
      </w:r>
      <w:hyperlink r:id="R507f5e16604746a4">
        <w:r w:rsidRPr="4B13576D" w:rsidR="483FCAD9">
          <w:rPr>
            <w:rStyle w:val="Hyperlink"/>
            <w:rFonts w:ascii="Arial" w:hAnsi="Arial" w:eastAsia="Arial" w:cs="Arial"/>
            <w:noProof w:val="0"/>
            <w:sz w:val="22"/>
            <w:szCs w:val="22"/>
            <w:lang w:val="en-GB"/>
          </w:rPr>
          <w:t>https://doi.org/10.1097/MS9.0000000000000631</w:t>
        </w:r>
      </w:hyperlink>
      <w:r w:rsidRPr="4B13576D" w:rsidR="483FCAD9">
        <w:rPr>
          <w:rFonts w:ascii="Arial" w:hAnsi="Arial" w:eastAsia="Arial" w:cs="Arial"/>
          <w:noProof w:val="0"/>
          <w:sz w:val="22"/>
          <w:szCs w:val="22"/>
          <w:lang w:val="en-GB"/>
        </w:rPr>
        <w:t xml:space="preserve"> (Accessed: 22 June 2026).</w:t>
      </w:r>
    </w:p>
    <w:p w:rsidR="483FCAD9" w:rsidP="3DF02E74" w:rsidRDefault="483FCAD9" w14:paraId="2559C332" w14:textId="2733544F">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Williamson, D. and Johnston, C. (2015) ‘Gender differences in adults with attention-deficit/hyperactivity disorder’, </w:t>
      </w:r>
      <w:r w:rsidRPr="4B13576D" w:rsidR="483FCAD9">
        <w:rPr>
          <w:rFonts w:ascii="Arial" w:hAnsi="Arial" w:eastAsia="Arial" w:cs="Arial"/>
          <w:i w:val="1"/>
          <w:iCs w:val="1"/>
          <w:noProof w:val="0"/>
          <w:sz w:val="22"/>
          <w:szCs w:val="22"/>
          <w:lang w:val="en-GB"/>
        </w:rPr>
        <w:t>Clinical Psychology Review</w:t>
      </w:r>
      <w:r w:rsidRPr="4B13576D" w:rsidR="483FCAD9">
        <w:rPr>
          <w:rFonts w:ascii="Arial" w:hAnsi="Arial" w:eastAsia="Arial" w:cs="Arial"/>
          <w:noProof w:val="0"/>
          <w:sz w:val="22"/>
          <w:szCs w:val="22"/>
          <w:lang w:val="en-GB"/>
        </w:rPr>
        <w:t>, 40, pp. 15–27 (Accessed: 23 June 2026).</w:t>
      </w:r>
    </w:p>
    <w:p w:rsidR="483FCAD9" w:rsidP="3DF02E74" w:rsidRDefault="483FCAD9" w14:paraId="3D76BC45" w14:textId="1C8031CF">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Wills, V. and Chakraborty, R. (2026) ‘A qualitative study on the experiences of adult females with late diagnosis of ASD and ADHD in the UK’, </w:t>
      </w:r>
      <w:r w:rsidRPr="4B13576D" w:rsidR="483FCAD9">
        <w:rPr>
          <w:rFonts w:ascii="Arial" w:hAnsi="Arial" w:eastAsia="Arial" w:cs="Arial"/>
          <w:i w:val="1"/>
          <w:iCs w:val="1"/>
          <w:noProof w:val="0"/>
          <w:sz w:val="22"/>
          <w:szCs w:val="22"/>
          <w:lang w:val="en-GB"/>
        </w:rPr>
        <w:t>Healthcare</w:t>
      </w:r>
      <w:r w:rsidRPr="4B13576D" w:rsidR="483FCAD9">
        <w:rPr>
          <w:rFonts w:ascii="Arial" w:hAnsi="Arial" w:eastAsia="Arial" w:cs="Arial"/>
          <w:noProof w:val="0"/>
          <w:sz w:val="22"/>
          <w:szCs w:val="22"/>
          <w:lang w:val="en-GB"/>
        </w:rPr>
        <w:t xml:space="preserve">, 14(2), p. 209. doi: </w:t>
      </w:r>
      <w:hyperlink r:id="Rc5ca3b4b47954cd4">
        <w:r w:rsidRPr="4B13576D" w:rsidR="483FCAD9">
          <w:rPr>
            <w:rStyle w:val="Hyperlink"/>
            <w:rFonts w:ascii="Arial" w:hAnsi="Arial" w:eastAsia="Arial" w:cs="Arial"/>
            <w:noProof w:val="0"/>
            <w:sz w:val="22"/>
            <w:szCs w:val="22"/>
            <w:lang w:val="en-GB"/>
          </w:rPr>
          <w:t>https://doi.org/10.3390/healthcare14020209</w:t>
        </w:r>
      </w:hyperlink>
      <w:r w:rsidRPr="4B13576D" w:rsidR="483FCAD9">
        <w:rPr>
          <w:rFonts w:ascii="Arial" w:hAnsi="Arial" w:eastAsia="Arial" w:cs="Arial"/>
          <w:noProof w:val="0"/>
          <w:sz w:val="22"/>
          <w:szCs w:val="22"/>
          <w:lang w:val="en-GB"/>
        </w:rPr>
        <w:t xml:space="preserve"> (Accessed: 24 June 2026).</w:t>
      </w:r>
    </w:p>
    <w:p w:rsidR="483FCAD9" w:rsidP="3DF02E74" w:rsidRDefault="483FCAD9" w14:paraId="0C900E47" w14:textId="64CC06BD">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Wurth, P., Fuermaier, A.B.M., Strand, A.H. and Thorell, L.B. (2025) ‘Diagnosis acceptance, masking, and perceived benefits and challenges in adults with ADHD and ASD: Associations with quality of life’, </w:t>
      </w:r>
      <w:r w:rsidRPr="4B13576D" w:rsidR="483FCAD9">
        <w:rPr>
          <w:rFonts w:ascii="Arial" w:hAnsi="Arial" w:eastAsia="Arial" w:cs="Arial"/>
          <w:i w:val="1"/>
          <w:iCs w:val="1"/>
          <w:noProof w:val="0"/>
          <w:sz w:val="22"/>
          <w:szCs w:val="22"/>
          <w:lang w:val="en-GB"/>
        </w:rPr>
        <w:t>Frontiers in Psychiatry</w:t>
      </w:r>
      <w:r w:rsidRPr="4B13576D" w:rsidR="483FCAD9">
        <w:rPr>
          <w:rFonts w:ascii="Arial" w:hAnsi="Arial" w:eastAsia="Arial" w:cs="Arial"/>
          <w:noProof w:val="0"/>
          <w:sz w:val="22"/>
          <w:szCs w:val="22"/>
          <w:lang w:val="en-GB"/>
        </w:rPr>
        <w:t xml:space="preserve">, 16. doi: </w:t>
      </w:r>
      <w:hyperlink r:id="R937000ff3a464fe4">
        <w:r w:rsidRPr="4B13576D" w:rsidR="483FCAD9">
          <w:rPr>
            <w:rStyle w:val="Hyperlink"/>
            <w:rFonts w:ascii="Arial" w:hAnsi="Arial" w:eastAsia="Arial" w:cs="Arial"/>
            <w:noProof w:val="0"/>
            <w:sz w:val="22"/>
            <w:szCs w:val="22"/>
            <w:lang w:val="en-GB"/>
          </w:rPr>
          <w:t>https://doi.org/10.3389/fpsyt.2025.1668780</w:t>
        </w:r>
      </w:hyperlink>
      <w:r w:rsidRPr="4B13576D" w:rsidR="483FCAD9">
        <w:rPr>
          <w:rFonts w:ascii="Arial" w:hAnsi="Arial" w:eastAsia="Arial" w:cs="Arial"/>
          <w:noProof w:val="0"/>
          <w:sz w:val="22"/>
          <w:szCs w:val="22"/>
          <w:lang w:val="en-GB"/>
        </w:rPr>
        <w:t xml:space="preserve"> (Accessed: 25 June 2026).</w:t>
      </w:r>
    </w:p>
    <w:p w:rsidR="483FCAD9" w:rsidP="3DF02E74" w:rsidRDefault="483FCAD9" w14:paraId="4375A9F7" w14:textId="73AE2710">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Young, S. et al. (2020) ‘Females with ADHD: An expert consensus statement taking a lifespan approach providing guidance for the identification and treatment of attention-deficit/hyperactivity disorder in girls and women’, </w:t>
      </w:r>
      <w:r w:rsidRPr="4B13576D" w:rsidR="483FCAD9">
        <w:rPr>
          <w:rFonts w:ascii="Arial" w:hAnsi="Arial" w:eastAsia="Arial" w:cs="Arial"/>
          <w:i w:val="1"/>
          <w:iCs w:val="1"/>
          <w:noProof w:val="0"/>
          <w:sz w:val="22"/>
          <w:szCs w:val="22"/>
          <w:lang w:val="en-GB"/>
        </w:rPr>
        <w:t>BMC Psychiatry</w:t>
      </w:r>
      <w:r w:rsidRPr="4B13576D" w:rsidR="483FCAD9">
        <w:rPr>
          <w:rFonts w:ascii="Arial" w:hAnsi="Arial" w:eastAsia="Arial" w:cs="Arial"/>
          <w:noProof w:val="0"/>
          <w:sz w:val="22"/>
          <w:szCs w:val="22"/>
          <w:lang w:val="en-GB"/>
        </w:rPr>
        <w:t xml:space="preserve">, 20(1), p. 404. doi: </w:t>
      </w:r>
      <w:hyperlink r:id="R74c288429239487a">
        <w:r w:rsidRPr="4B13576D" w:rsidR="483FCAD9">
          <w:rPr>
            <w:rStyle w:val="Hyperlink"/>
            <w:rFonts w:ascii="Arial" w:hAnsi="Arial" w:eastAsia="Arial" w:cs="Arial"/>
            <w:noProof w:val="0"/>
            <w:sz w:val="22"/>
            <w:szCs w:val="22"/>
            <w:lang w:val="en-GB"/>
          </w:rPr>
          <w:t>https://doi.org/10.1186/s12888-020-02707-9</w:t>
        </w:r>
      </w:hyperlink>
      <w:r w:rsidRPr="4B13576D" w:rsidR="483FCAD9">
        <w:rPr>
          <w:rFonts w:ascii="Arial" w:hAnsi="Arial" w:eastAsia="Arial" w:cs="Arial"/>
          <w:noProof w:val="0"/>
          <w:sz w:val="22"/>
          <w:szCs w:val="22"/>
          <w:lang w:val="en-GB"/>
        </w:rPr>
        <w:t xml:space="preserve"> (Accessed: 26 June 2026).</w:t>
      </w:r>
    </w:p>
    <w:p w:rsidR="483FCAD9" w:rsidP="3DF02E74" w:rsidRDefault="483FCAD9" w14:paraId="2D690513" w14:textId="1773DDF4">
      <w:pPr>
        <w:spacing w:line="360" w:lineRule="auto"/>
        <w:rPr>
          <w:rFonts w:ascii="Arial" w:hAnsi="Arial" w:eastAsia="Arial" w:cs="Arial"/>
          <w:noProof w:val="0"/>
          <w:sz w:val="22"/>
          <w:szCs w:val="22"/>
          <w:lang w:val="en-GB"/>
        </w:rPr>
      </w:pPr>
      <w:r w:rsidRPr="4B13576D" w:rsidR="483FCAD9">
        <w:rPr>
          <w:rFonts w:ascii="Arial" w:hAnsi="Arial" w:eastAsia="Arial" w:cs="Arial"/>
          <w:noProof w:val="0"/>
          <w:sz w:val="22"/>
          <w:szCs w:val="22"/>
          <w:lang w:val="en-GB"/>
        </w:rPr>
        <w:t xml:space="preserve">Young, S. et al. (2021) ‘Failure of healthcare provision for attention-deficit/hyperactivity disorder in the United Kingdom: A consensus statement’, </w:t>
      </w:r>
      <w:r w:rsidRPr="4B13576D" w:rsidR="483FCAD9">
        <w:rPr>
          <w:rFonts w:ascii="Arial" w:hAnsi="Arial" w:eastAsia="Arial" w:cs="Arial"/>
          <w:i w:val="1"/>
          <w:iCs w:val="1"/>
          <w:noProof w:val="0"/>
          <w:sz w:val="22"/>
          <w:szCs w:val="22"/>
          <w:lang w:val="en-GB"/>
        </w:rPr>
        <w:t>Frontiers in Psychiatry</w:t>
      </w:r>
      <w:r w:rsidRPr="4B13576D" w:rsidR="483FCAD9">
        <w:rPr>
          <w:rFonts w:ascii="Arial" w:hAnsi="Arial" w:eastAsia="Arial" w:cs="Arial"/>
          <w:noProof w:val="0"/>
          <w:sz w:val="22"/>
          <w:szCs w:val="22"/>
          <w:lang w:val="en-GB"/>
        </w:rPr>
        <w:t xml:space="preserve">, 12, p. 649399. doi: </w:t>
      </w:r>
      <w:hyperlink r:id="R1b0c1e3477ad4c2b">
        <w:r w:rsidRPr="4B13576D" w:rsidR="483FCAD9">
          <w:rPr>
            <w:rStyle w:val="Hyperlink"/>
            <w:rFonts w:ascii="Arial" w:hAnsi="Arial" w:eastAsia="Arial" w:cs="Arial"/>
            <w:noProof w:val="0"/>
            <w:sz w:val="22"/>
            <w:szCs w:val="22"/>
            <w:lang w:val="en-GB"/>
          </w:rPr>
          <w:t>https://doi.org/10.3389/fpsyt.2021.649399</w:t>
        </w:r>
      </w:hyperlink>
      <w:r w:rsidRPr="4B13576D" w:rsidR="483FCAD9">
        <w:rPr>
          <w:rFonts w:ascii="Arial" w:hAnsi="Arial" w:eastAsia="Arial" w:cs="Arial"/>
          <w:noProof w:val="0"/>
          <w:sz w:val="22"/>
          <w:szCs w:val="22"/>
          <w:lang w:val="en-GB"/>
        </w:rPr>
        <w:t xml:space="preserve"> (Accessed: 26 June 2026).</w:t>
      </w:r>
    </w:p>
    <w:p w:rsidR="3DF02E74" w:rsidP="3DF02E74" w:rsidRDefault="3DF02E74" w14:paraId="210FC88D" w14:textId="61C912E1">
      <w:pPr>
        <w:pStyle w:val="Heading1"/>
        <w:spacing w:line="360" w:lineRule="auto"/>
        <w:ind w:left="0"/>
        <w:rPr>
          <w:rFonts w:ascii="Arial" w:hAnsi="Arial" w:eastAsia="Arial" w:cs="Arial"/>
          <w:sz w:val="22"/>
          <w:szCs w:val="22"/>
        </w:rPr>
      </w:pPr>
    </w:p>
    <w:p w:rsidR="00621776" w:rsidRDefault="00621776" w14:paraId="177D47C3" w14:textId="77777777"/>
    <w:p w:rsidR="51A6AB2E" w:rsidP="51A6AB2E" w:rsidRDefault="51A6AB2E" w14:paraId="74C16C3B" w14:textId="3CF5FF0C">
      <w:pPr>
        <w:pStyle w:val="Heading1"/>
        <w:ind w:left="0"/>
        <w:rPr>
          <w:rFonts w:ascii="Aptos" w:hAnsi="Aptos"/>
          <w:sz w:val="28"/>
          <w:szCs w:val="28"/>
        </w:rPr>
      </w:pPr>
    </w:p>
    <w:p w:rsidR="4B13576D" w:rsidP="4B13576D" w:rsidRDefault="4B13576D" w14:paraId="61108B4F" w14:textId="793FF492">
      <w:pPr>
        <w:pStyle w:val="Heading1"/>
        <w:ind w:left="0"/>
        <w:rPr>
          <w:rFonts w:ascii="Aptos" w:hAnsi="Aptos"/>
          <w:sz w:val="28"/>
          <w:szCs w:val="28"/>
        </w:rPr>
      </w:pPr>
    </w:p>
    <w:p w:rsidR="4B13576D" w:rsidP="4B13576D" w:rsidRDefault="4B13576D" w14:paraId="6CFF490F" w14:textId="57A7195D">
      <w:pPr>
        <w:pStyle w:val="Heading1"/>
        <w:ind w:left="0"/>
        <w:rPr>
          <w:rFonts w:ascii="Aptos" w:hAnsi="Aptos"/>
          <w:sz w:val="28"/>
          <w:szCs w:val="28"/>
        </w:rPr>
      </w:pPr>
    </w:p>
    <w:p w:rsidRPr="008C38C3" w:rsidR="00621776" w:rsidP="00621776" w:rsidRDefault="00621776" w14:paraId="6D7584F3" w14:textId="2AB6D45D">
      <w:pPr>
        <w:pStyle w:val="Heading1"/>
        <w:ind w:left="0"/>
        <w:rPr>
          <w:rFonts w:ascii="Aptos" w:hAnsi="Aptos"/>
          <w:sz w:val="28"/>
          <w:szCs w:val="28"/>
        </w:rPr>
      </w:pPr>
      <w:bookmarkStart w:name="_Toc1023399151" w:id="324874407"/>
      <w:r w:rsidRPr="4B13576D" w:rsidR="71F5EA8E">
        <w:rPr>
          <w:rFonts w:ascii="Aptos" w:hAnsi="Aptos"/>
          <w:sz w:val="28"/>
          <w:szCs w:val="28"/>
        </w:rPr>
        <w:t>6.2 – Appendices</w:t>
      </w:r>
      <w:bookmarkEnd w:id="324874407"/>
      <w:r w:rsidRPr="4B13576D" w:rsidR="71F5EA8E">
        <w:rPr>
          <w:rFonts w:ascii="Aptos" w:hAnsi="Aptos"/>
          <w:sz w:val="28"/>
          <w:szCs w:val="28"/>
        </w:rPr>
        <w:t xml:space="preserve"> </w:t>
      </w:r>
    </w:p>
    <w:p w:rsidR="77B7E535" w:rsidP="3DF02E74" w:rsidRDefault="77B7E535" w14:paraId="7F994779" w14:textId="16391C2E">
      <w:pPr>
        <w:pStyle w:val="Heading1"/>
        <w:ind w:left="0"/>
        <w:rPr>
          <w:rFonts w:ascii="Aptos" w:hAnsi="Aptos"/>
          <w:sz w:val="28"/>
          <w:szCs w:val="28"/>
        </w:rPr>
      </w:pPr>
      <w:bookmarkStart w:name="_Toc1040727803" w:id="1591018524"/>
      <w:r w:rsidRPr="4B13576D" w:rsidR="0A9C6941">
        <w:rPr>
          <w:rFonts w:ascii="Aptos" w:hAnsi="Aptos"/>
          <w:sz w:val="28"/>
          <w:szCs w:val="28"/>
        </w:rPr>
        <w:t>Appendix A</w:t>
      </w:r>
      <w:bookmarkEnd w:id="1591018524"/>
    </w:p>
    <w:p w:rsidR="00621776" w:rsidP="51A6AB2E" w:rsidRDefault="00621776" w14:paraId="3537C2DB" w14:textId="1C048B64">
      <w:pPr>
        <w:pStyle w:val="Heading1"/>
        <w:ind w:left="0"/>
        <w:rPr>
          <w:rFonts w:ascii="Aptos" w:hAnsi="Aptos"/>
          <w:sz w:val="28"/>
          <w:szCs w:val="28"/>
        </w:rPr>
      </w:pPr>
    </w:p>
    <w:p w:rsidR="00621776" w:rsidP="51A6AB2E" w:rsidRDefault="00621776" w14:paraId="4C23E62D" w14:textId="1A2835C2">
      <w:pPr>
        <w:pStyle w:val="Heading1"/>
        <w:spacing w:before="480" w:beforeAutospacing="off" w:line="276" w:lineRule="auto"/>
        <w:jc w:val="center"/>
        <w:rPr>
          <w:rFonts w:ascii="Aptos" w:hAnsi="Aptos" w:eastAsia="Aptos" w:cs="Aptos"/>
          <w:noProof w:val="0"/>
          <w:color w:val="000000" w:themeColor="text1" w:themeTint="FF" w:themeShade="FF"/>
          <w:sz w:val="34"/>
          <w:szCs w:val="34"/>
          <w:lang w:val="en-US"/>
        </w:rPr>
      </w:pPr>
      <w:bookmarkStart w:name="_Toc584973177" w:id="904310179"/>
      <w:r w:rsidRPr="4B13576D" w:rsidR="52554821">
        <w:rPr>
          <w:rFonts w:ascii="Aptos" w:hAnsi="Aptos" w:eastAsia="Aptos" w:cs="Aptos"/>
          <w:noProof w:val="0"/>
          <w:color w:val="000000" w:themeColor="text1" w:themeTint="FF" w:themeShade="FF"/>
          <w:sz w:val="34"/>
          <w:szCs w:val="34"/>
          <w:lang w:val="en-US"/>
        </w:rPr>
        <w:t>BMHP6020 Independent Project Source Tracking Table</w:t>
      </w:r>
      <w:bookmarkEnd w:id="904310179"/>
    </w:p>
    <w:p w:rsidR="00621776" w:rsidP="51A6AB2E" w:rsidRDefault="00621776" w14:paraId="4BE844BE" w14:textId="20EDEDCD">
      <w:pPr>
        <w:pStyle w:val="Heading1"/>
        <w:ind w:left="0"/>
        <w:rPr>
          <w:rFonts w:ascii="Aptos" w:hAnsi="Aptos"/>
          <w:sz w:val="28"/>
          <w:szCs w:val="28"/>
        </w:rPr>
      </w:pPr>
    </w:p>
    <w:tbl>
      <w:tblPr>
        <w:tblStyle w:val="TableGrid"/>
        <w:bidiVisual w:val="0"/>
        <w:tblW w:w="0" w:type="auto"/>
        <w:tblInd w:w="135" w:type="dxa"/>
        <w:tblLook w:val="04A0" w:firstRow="1" w:lastRow="0" w:firstColumn="1" w:lastColumn="0" w:noHBand="0" w:noVBand="1"/>
      </w:tblPr>
      <w:tblGrid>
        <w:gridCol w:w="1170"/>
        <w:gridCol w:w="1012"/>
        <w:gridCol w:w="2319"/>
        <w:gridCol w:w="2955"/>
        <w:gridCol w:w="1559"/>
      </w:tblGrid>
      <w:tr w:rsidR="51A6AB2E" w:rsidTr="072C3F49" w14:paraId="0F7093FE">
        <w:trPr>
          <w:trHeight w:val="870"/>
        </w:trPr>
        <w:tc>
          <w:tcPr>
            <w:tcW w:w="1170" w:type="dxa"/>
            <w:tcBorders>
              <w:top w:val="single" w:sz="8"/>
              <w:left w:val="single" w:sz="8"/>
              <w:bottom w:val="single" w:sz="8"/>
              <w:right w:val="single" w:sz="8"/>
            </w:tcBorders>
            <w:shd w:val="clear" w:color="auto" w:fill="B8CCE4"/>
            <w:tcMar>
              <w:left w:w="108" w:type="dxa"/>
              <w:right w:w="108" w:type="dxa"/>
            </w:tcMar>
            <w:vAlign w:val="top"/>
          </w:tcPr>
          <w:p w:rsidR="51A6AB2E" w:rsidP="51A6AB2E" w:rsidRDefault="51A6AB2E" w14:paraId="782BFD5E" w14:textId="6A9D6E59">
            <w:pPr>
              <w:spacing w:before="0" w:beforeAutospacing="off" w:after="0" w:afterAutospacing="off"/>
              <w:jc w:val="center"/>
              <w:rPr>
                <w:rFonts w:ascii="Aptos" w:hAnsi="Aptos" w:eastAsia="Aptos" w:cs="Aptos"/>
                <w:b w:val="1"/>
                <w:bCs w:val="1"/>
                <w:sz w:val="24"/>
                <w:szCs w:val="24"/>
                <w:lang w:val="en-US"/>
              </w:rPr>
            </w:pPr>
          </w:p>
        </w:tc>
        <w:tc>
          <w:tcPr>
            <w:tcW w:w="1012" w:type="dxa"/>
            <w:tcBorders>
              <w:top w:val="single" w:sz="8"/>
              <w:left w:val="single" w:sz="8"/>
              <w:bottom w:val="single" w:sz="8"/>
              <w:right w:val="single" w:sz="8"/>
            </w:tcBorders>
            <w:shd w:val="clear" w:color="auto" w:fill="B8CCE4"/>
            <w:tcMar>
              <w:left w:w="108" w:type="dxa"/>
              <w:right w:w="108" w:type="dxa"/>
            </w:tcMar>
            <w:vAlign w:val="center"/>
          </w:tcPr>
          <w:p w:rsidR="51A6AB2E" w:rsidP="51A6AB2E" w:rsidRDefault="51A6AB2E" w14:paraId="536F2315" w14:textId="6CFDDEBF">
            <w:pPr>
              <w:spacing w:before="0" w:beforeAutospacing="off" w:after="0" w:afterAutospacing="off"/>
              <w:jc w:val="center"/>
            </w:pPr>
            <w:r w:rsidRPr="51A6AB2E" w:rsidR="51A6AB2E">
              <w:rPr>
                <w:rFonts w:ascii="Aptos" w:hAnsi="Aptos" w:eastAsia="Aptos" w:cs="Aptos"/>
                <w:b w:val="1"/>
                <w:bCs w:val="1"/>
                <w:color w:val="000000" w:themeColor="text1" w:themeTint="FF" w:themeShade="FF"/>
                <w:sz w:val="24"/>
                <w:szCs w:val="24"/>
                <w:lang w:val="en-US"/>
              </w:rPr>
              <w:t>Author &amp; Year</w:t>
            </w:r>
          </w:p>
        </w:tc>
        <w:tc>
          <w:tcPr>
            <w:tcW w:w="2319" w:type="dxa"/>
            <w:tcBorders>
              <w:top w:val="single" w:sz="8"/>
              <w:left w:val="single" w:sz="8"/>
              <w:bottom w:val="single" w:sz="8"/>
              <w:right w:val="single" w:sz="8"/>
            </w:tcBorders>
            <w:shd w:val="clear" w:color="auto" w:fill="B8CCE4"/>
            <w:tcMar>
              <w:left w:w="108" w:type="dxa"/>
              <w:right w:w="108" w:type="dxa"/>
            </w:tcMar>
            <w:vAlign w:val="center"/>
          </w:tcPr>
          <w:p w:rsidR="51A6AB2E" w:rsidP="51A6AB2E" w:rsidRDefault="51A6AB2E" w14:paraId="64D0A4C9" w14:textId="57EB7634">
            <w:pPr>
              <w:spacing w:before="0" w:beforeAutospacing="off" w:after="0" w:afterAutospacing="off"/>
              <w:jc w:val="center"/>
            </w:pPr>
            <w:r w:rsidRPr="51A6AB2E" w:rsidR="51A6AB2E">
              <w:rPr>
                <w:rFonts w:ascii="Aptos" w:hAnsi="Aptos" w:eastAsia="Aptos" w:cs="Aptos"/>
                <w:b w:val="1"/>
                <w:bCs w:val="1"/>
                <w:color w:val="000000" w:themeColor="text1" w:themeTint="FF" w:themeShade="FF"/>
                <w:sz w:val="24"/>
                <w:szCs w:val="24"/>
                <w:lang w:val="en-US"/>
              </w:rPr>
              <w:t>Article Title</w:t>
            </w:r>
          </w:p>
        </w:tc>
        <w:tc>
          <w:tcPr>
            <w:tcW w:w="2955" w:type="dxa"/>
            <w:tcBorders>
              <w:top w:val="single" w:sz="8"/>
              <w:left w:val="single" w:sz="8"/>
              <w:bottom w:val="single" w:sz="8"/>
              <w:right w:val="single" w:sz="8"/>
            </w:tcBorders>
            <w:shd w:val="clear" w:color="auto" w:fill="B8CCE4"/>
            <w:tcMar>
              <w:left w:w="108" w:type="dxa"/>
              <w:right w:w="108" w:type="dxa"/>
            </w:tcMar>
            <w:vAlign w:val="center"/>
          </w:tcPr>
          <w:p w:rsidR="51A6AB2E" w:rsidP="51A6AB2E" w:rsidRDefault="51A6AB2E" w14:paraId="475D20CB" w14:textId="56E964DF">
            <w:pPr>
              <w:spacing w:before="0" w:beforeAutospacing="off" w:after="0" w:afterAutospacing="off"/>
              <w:jc w:val="center"/>
            </w:pPr>
            <w:r w:rsidRPr="51A6AB2E" w:rsidR="51A6AB2E">
              <w:rPr>
                <w:rFonts w:ascii="Aptos" w:hAnsi="Aptos" w:eastAsia="Aptos" w:cs="Aptos"/>
                <w:b w:val="1"/>
                <w:bCs w:val="1"/>
                <w:color w:val="000000" w:themeColor="text1" w:themeTint="FF" w:themeShade="FF"/>
                <w:sz w:val="24"/>
                <w:szCs w:val="24"/>
                <w:lang w:val="en-US"/>
              </w:rPr>
              <w:t>Article Summary</w:t>
            </w:r>
          </w:p>
        </w:tc>
        <w:tc>
          <w:tcPr>
            <w:tcW w:w="1559" w:type="dxa"/>
            <w:tcBorders>
              <w:top w:val="single" w:sz="8"/>
              <w:left w:val="single" w:sz="8"/>
              <w:bottom w:val="single" w:sz="8"/>
              <w:right w:val="single" w:sz="8"/>
            </w:tcBorders>
            <w:shd w:val="clear" w:color="auto" w:fill="B8CCE4"/>
            <w:tcMar>
              <w:left w:w="108" w:type="dxa"/>
              <w:right w:w="108" w:type="dxa"/>
            </w:tcMar>
            <w:vAlign w:val="center"/>
          </w:tcPr>
          <w:p w:rsidR="51A6AB2E" w:rsidP="51A6AB2E" w:rsidRDefault="51A6AB2E" w14:paraId="690B47C2" w14:textId="08273380">
            <w:pPr>
              <w:spacing w:before="0" w:beforeAutospacing="off" w:after="0" w:afterAutospacing="off"/>
              <w:jc w:val="center"/>
            </w:pPr>
            <w:r w:rsidRPr="51A6AB2E" w:rsidR="51A6AB2E">
              <w:rPr>
                <w:rFonts w:ascii="Aptos" w:hAnsi="Aptos" w:eastAsia="Aptos" w:cs="Aptos"/>
                <w:b w:val="1"/>
                <w:bCs w:val="1"/>
                <w:color w:val="000000" w:themeColor="text1" w:themeTint="FF" w:themeShade="FF"/>
                <w:sz w:val="24"/>
                <w:szCs w:val="24"/>
                <w:lang w:val="en-US"/>
              </w:rPr>
              <w:t>Keywords / Codes</w:t>
            </w:r>
          </w:p>
        </w:tc>
      </w:tr>
      <w:tr w:rsidR="51A6AB2E" w:rsidTr="072C3F49" w14:paraId="4E00D8F3">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73F99554" w14:textId="59BE4E00">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Article 1</w:t>
            </w:r>
          </w:p>
        </w:tc>
        <w:tc>
          <w:tcPr>
            <w:tcW w:w="1012" w:type="dxa"/>
            <w:tcBorders>
              <w:top w:val="single" w:sz="8"/>
              <w:left w:val="single" w:sz="8"/>
              <w:bottom w:val="single" w:sz="8"/>
              <w:right w:val="single" w:sz="8"/>
            </w:tcBorders>
            <w:tcMar>
              <w:left w:w="108" w:type="dxa"/>
              <w:right w:w="108" w:type="dxa"/>
            </w:tcMar>
            <w:vAlign w:val="center"/>
          </w:tcPr>
          <w:p w:rsidR="51A6AB2E" w:rsidP="51A6AB2E" w:rsidRDefault="51A6AB2E" w14:paraId="52314F23" w14:textId="56D62F1C">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 xml:space="preserve">Attoe and Climie (2023) </w:t>
            </w:r>
          </w:p>
        </w:tc>
        <w:tc>
          <w:tcPr>
            <w:tcW w:w="2319" w:type="dxa"/>
            <w:tcBorders>
              <w:top w:val="single" w:sz="8"/>
              <w:left w:val="single" w:sz="8"/>
              <w:bottom w:val="single" w:sz="8"/>
              <w:right w:val="single" w:sz="8"/>
            </w:tcBorders>
            <w:tcMar>
              <w:left w:w="108" w:type="dxa"/>
              <w:right w:w="108" w:type="dxa"/>
            </w:tcMar>
            <w:vAlign w:val="center"/>
          </w:tcPr>
          <w:p w:rsidR="51A6AB2E" w:rsidP="51A6AB2E" w:rsidRDefault="51A6AB2E" w14:paraId="6FC54259" w14:textId="554310E1">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Miss. Diagnosis: A Systematic Review of ADHD in Adult Women</w:t>
            </w:r>
          </w:p>
        </w:tc>
        <w:tc>
          <w:tcPr>
            <w:tcW w:w="2955" w:type="dxa"/>
            <w:tcBorders>
              <w:top w:val="single" w:sz="8"/>
              <w:left w:val="single" w:sz="8"/>
              <w:bottom w:val="single" w:sz="8"/>
              <w:right w:val="single" w:sz="8"/>
            </w:tcBorders>
            <w:tcMar>
              <w:left w:w="108" w:type="dxa"/>
              <w:right w:w="108" w:type="dxa"/>
            </w:tcMar>
            <w:vAlign w:val="center"/>
          </w:tcPr>
          <w:p w:rsidR="51A6AB2E" w:rsidP="51A6AB2E" w:rsidRDefault="51A6AB2E" w14:paraId="47CF17AA" w14:textId="24D5FF83">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Systematic review examining how ADHD presents differently in adult women and identifying barriers to diagnosis. Highlights masking, internalised symptoms and gender bias in diagnostic frameworks.</w:t>
            </w:r>
          </w:p>
        </w:tc>
        <w:tc>
          <w:tcPr>
            <w:tcW w:w="1559" w:type="dxa"/>
            <w:tcBorders>
              <w:top w:val="single" w:sz="8"/>
              <w:left w:val="single" w:sz="8"/>
              <w:bottom w:val="single" w:sz="8"/>
              <w:right w:val="single" w:sz="8"/>
            </w:tcBorders>
            <w:tcMar>
              <w:left w:w="108" w:type="dxa"/>
              <w:right w:w="108" w:type="dxa"/>
            </w:tcMar>
            <w:vAlign w:val="center"/>
          </w:tcPr>
          <w:p w:rsidR="51A6AB2E" w:rsidP="51A6AB2E" w:rsidRDefault="51A6AB2E" w14:paraId="64A13817" w14:textId="58015834">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 xml:space="preserve">Masking; Gender bias; Internalised symptoms; Delayed diagnosis </w:t>
            </w:r>
          </w:p>
        </w:tc>
      </w:tr>
      <w:tr w:rsidR="51A6AB2E" w:rsidTr="072C3F49" w14:paraId="3331F36F">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3DBBAAA1" w14:textId="0553D623">
            <w:pPr>
              <w:spacing w:before="0" w:beforeAutospacing="off" w:after="0" w:afterAutospacing="off"/>
              <w:jc w:val="center"/>
              <w:rPr>
                <w:rFonts w:ascii="Arial" w:hAnsi="Arial" w:eastAsia="Arial" w:cs="Arial"/>
                <w:b w:val="1"/>
                <w:bCs w:val="1"/>
                <w:sz w:val="22"/>
                <w:szCs w:val="22"/>
                <w:lang w:val="en-US"/>
              </w:rPr>
            </w:pPr>
            <w:r w:rsidRPr="072C3F49" w:rsidR="7EBCC6B6">
              <w:rPr>
                <w:rFonts w:ascii="Arial" w:hAnsi="Arial" w:eastAsia="Arial" w:cs="Arial"/>
                <w:b w:val="1"/>
                <w:bCs w:val="1"/>
                <w:sz w:val="22"/>
                <w:szCs w:val="22"/>
                <w:lang w:val="en-US"/>
              </w:rPr>
              <w:t>CRAA</w:t>
            </w:r>
            <w:r w:rsidRPr="072C3F49" w:rsidR="4FA73218">
              <w:rPr>
                <w:rFonts w:ascii="Arial" w:hAnsi="Arial" w:eastAsia="Arial" w:cs="Arial"/>
                <w:b w:val="1"/>
                <w:bCs w:val="1"/>
                <w:sz w:val="22"/>
                <w:szCs w:val="22"/>
                <w:lang w:val="en-US"/>
              </w:rPr>
              <w:t>8</w:t>
            </w:r>
            <w:r w:rsidRPr="072C3F49" w:rsidR="7EBCC6B6">
              <w:rPr>
                <w:rFonts w:ascii="Arial" w:hAnsi="Arial" w:eastAsia="Arial" w:cs="Arial"/>
                <w:b w:val="1"/>
                <w:bCs w:val="1"/>
                <w:sz w:val="22"/>
                <w:szCs w:val="22"/>
                <w:lang w:val="en-US"/>
              </w:rPr>
              <w:t>P Notes</w:t>
            </w:r>
          </w:p>
        </w:tc>
        <w:tc>
          <w:tcPr>
            <w:tcW w:w="6286" w:type="dxa"/>
            <w:gridSpan w:val="3"/>
            <w:tcBorders>
              <w:top w:val="single" w:sz="8"/>
              <w:left w:val="single" w:sz="8"/>
              <w:bottom w:val="single" w:sz="8"/>
              <w:right w:val="single" w:sz="8"/>
            </w:tcBorders>
            <w:tcMar>
              <w:left w:w="108" w:type="dxa"/>
              <w:right w:w="108" w:type="dxa"/>
            </w:tcMar>
            <w:vAlign w:val="center"/>
          </w:tcPr>
          <w:p w:rsidR="51A6AB2E" w:rsidP="51A6AB2E" w:rsidRDefault="51A6AB2E" w14:paraId="51150F7B" w14:textId="6E70807F">
            <w:pPr>
              <w:pStyle w:val="ListParagraph"/>
              <w:numPr>
                <w:ilvl w:val="0"/>
                <w:numId w:val="116"/>
              </w:numPr>
              <w:spacing w:before="0" w:beforeAutospacing="off" w:after="0" w:afterAutospacing="off"/>
              <w:ind w:left="1440" w:right="0" w:hanging="360"/>
              <w:rPr>
                <w:rFonts w:ascii="Arial" w:hAnsi="Arial" w:eastAsia="Arial" w:cs="Arial"/>
                <w:sz w:val="22"/>
                <w:szCs w:val="22"/>
              </w:rPr>
            </w:pPr>
            <w:r w:rsidRPr="51A6AB2E" w:rsidR="51A6AB2E">
              <w:rPr>
                <w:rFonts w:ascii="Arial" w:hAnsi="Arial" w:eastAsia="Arial" w:cs="Arial"/>
                <w:sz w:val="22"/>
                <w:szCs w:val="22"/>
              </w:rPr>
              <w:t>Current: Published in 2023 and reflects contemporary evidence.</w:t>
            </w:r>
          </w:p>
          <w:p w:rsidR="51A6AB2E" w:rsidP="51A6AB2E" w:rsidRDefault="51A6AB2E" w14:paraId="0FF9EC50" w14:textId="23D11F6C">
            <w:pPr>
              <w:pStyle w:val="ListParagraph"/>
              <w:numPr>
                <w:ilvl w:val="0"/>
                <w:numId w:val="116"/>
              </w:numPr>
              <w:spacing w:before="0" w:beforeAutospacing="off" w:after="0" w:afterAutospacing="off"/>
              <w:ind w:left="1440" w:right="0" w:hanging="360"/>
              <w:rPr>
                <w:rFonts w:ascii="Arial" w:hAnsi="Arial" w:eastAsia="Arial" w:cs="Arial"/>
                <w:sz w:val="22"/>
                <w:szCs w:val="22"/>
              </w:rPr>
            </w:pPr>
            <w:r w:rsidRPr="51A6AB2E" w:rsidR="51A6AB2E">
              <w:rPr>
                <w:rFonts w:ascii="Arial" w:hAnsi="Arial" w:eastAsia="Arial" w:cs="Arial"/>
                <w:sz w:val="22"/>
                <w:szCs w:val="22"/>
              </w:rPr>
              <w:t>Relevant: Directly addresses ADHD diagnosis in adult women.</w:t>
            </w:r>
          </w:p>
          <w:p w:rsidR="51A6AB2E" w:rsidP="51A6AB2E" w:rsidRDefault="51A6AB2E" w14:paraId="284BE9CC" w14:textId="15BC1B0B">
            <w:pPr>
              <w:pStyle w:val="ListParagraph"/>
              <w:numPr>
                <w:ilvl w:val="0"/>
                <w:numId w:val="116"/>
              </w:numPr>
              <w:spacing w:before="0" w:beforeAutospacing="off" w:after="0" w:afterAutospacing="off"/>
              <w:ind w:left="1440" w:right="0" w:hanging="360"/>
              <w:rPr>
                <w:rFonts w:ascii="Arial" w:hAnsi="Arial" w:eastAsia="Arial" w:cs="Arial"/>
                <w:sz w:val="22"/>
                <w:szCs w:val="22"/>
              </w:rPr>
            </w:pPr>
            <w:r w:rsidRPr="51A6AB2E" w:rsidR="51A6AB2E">
              <w:rPr>
                <w:rFonts w:ascii="Arial" w:hAnsi="Arial" w:eastAsia="Arial" w:cs="Arial"/>
                <w:sz w:val="22"/>
                <w:szCs w:val="22"/>
              </w:rPr>
              <w:t xml:space="preserve">Authority: Published in the </w:t>
            </w:r>
            <w:r w:rsidRPr="51A6AB2E" w:rsidR="51A6AB2E">
              <w:rPr>
                <w:rFonts w:ascii="Arial" w:hAnsi="Arial" w:eastAsia="Arial" w:cs="Arial"/>
                <w:i w:val="1"/>
                <w:iCs w:val="1"/>
                <w:sz w:val="22"/>
                <w:szCs w:val="22"/>
              </w:rPr>
              <w:t>Journal of Attention Disorders</w:t>
            </w:r>
            <w:r w:rsidRPr="51A6AB2E" w:rsidR="51A6AB2E">
              <w:rPr>
                <w:rFonts w:ascii="Arial" w:hAnsi="Arial" w:eastAsia="Arial" w:cs="Arial"/>
                <w:sz w:val="22"/>
                <w:szCs w:val="22"/>
              </w:rPr>
              <w:t>.</w:t>
            </w:r>
          </w:p>
          <w:p w:rsidR="51A6AB2E" w:rsidP="51A6AB2E" w:rsidRDefault="51A6AB2E" w14:paraId="7A0ABCC8" w14:textId="7B8864CB">
            <w:pPr>
              <w:pStyle w:val="ListParagraph"/>
              <w:numPr>
                <w:ilvl w:val="0"/>
                <w:numId w:val="116"/>
              </w:numPr>
              <w:spacing w:before="0" w:beforeAutospacing="off" w:after="0" w:afterAutospacing="off"/>
              <w:ind w:left="1440" w:right="0" w:hanging="360"/>
              <w:rPr>
                <w:rFonts w:ascii="Arial" w:hAnsi="Arial" w:eastAsia="Arial" w:cs="Arial"/>
                <w:sz w:val="22"/>
                <w:szCs w:val="22"/>
              </w:rPr>
            </w:pPr>
            <w:r w:rsidRPr="51A6AB2E" w:rsidR="51A6AB2E">
              <w:rPr>
                <w:rFonts w:ascii="Arial" w:hAnsi="Arial" w:eastAsia="Arial" w:cs="Arial"/>
                <w:sz w:val="22"/>
                <w:szCs w:val="22"/>
              </w:rPr>
              <w:t>Accuracy: Systematic review using rigorous methodology.</w:t>
            </w:r>
          </w:p>
          <w:p w:rsidR="51A6AB2E" w:rsidP="51A6AB2E" w:rsidRDefault="51A6AB2E" w14:paraId="45A35730" w14:textId="700C39A4">
            <w:pPr>
              <w:pStyle w:val="ListParagraph"/>
              <w:numPr>
                <w:ilvl w:val="0"/>
                <w:numId w:val="116"/>
              </w:numPr>
              <w:spacing w:before="0" w:beforeAutospacing="off" w:after="0" w:afterAutospacing="off"/>
              <w:ind w:left="1440" w:right="0" w:hanging="360"/>
              <w:rPr>
                <w:rFonts w:ascii="Arial" w:hAnsi="Arial" w:eastAsia="Arial" w:cs="Arial"/>
                <w:sz w:val="22"/>
                <w:szCs w:val="22"/>
              </w:rPr>
            </w:pPr>
            <w:r w:rsidRPr="51A6AB2E" w:rsidR="51A6AB2E">
              <w:rPr>
                <w:rFonts w:ascii="Arial" w:hAnsi="Arial" w:eastAsia="Arial" w:cs="Arial"/>
                <w:sz w:val="22"/>
                <w:szCs w:val="22"/>
              </w:rPr>
              <w:t>Purpose: Inform and synthesise evidence.</w:t>
            </w:r>
          </w:p>
        </w:tc>
        <w:tc>
          <w:tcPr>
            <w:tcW w:w="1559" w:type="dxa"/>
            <w:tcBorders>
              <w:top w:val="single" w:sz="8"/>
              <w:left w:val="nil"/>
              <w:bottom w:val="single" w:sz="8"/>
              <w:right w:val="single" w:sz="8"/>
            </w:tcBorders>
            <w:tcMar>
              <w:left w:w="108" w:type="dxa"/>
              <w:right w:w="108" w:type="dxa"/>
            </w:tcMar>
            <w:vAlign w:val="center"/>
          </w:tcPr>
          <w:p w:rsidR="51A6AB2E" w:rsidP="51A6AB2E" w:rsidRDefault="51A6AB2E" w14:paraId="59401909" w14:textId="6E824DC8">
            <w:pPr>
              <w:spacing w:before="0" w:beforeAutospacing="off" w:after="0" w:afterAutospacing="off"/>
              <w:jc w:val="center"/>
              <w:rPr>
                <w:rFonts w:ascii="Arial" w:hAnsi="Arial" w:eastAsia="Arial" w:cs="Arial"/>
                <w:sz w:val="22"/>
                <w:szCs w:val="22"/>
                <w:lang w:val="en-US"/>
              </w:rPr>
            </w:pPr>
            <w:r w:rsidRPr="51A6AB2E" w:rsidR="51A6AB2E">
              <w:rPr>
                <w:rFonts w:ascii="Arial" w:hAnsi="Arial" w:eastAsia="Arial" w:cs="Arial"/>
                <w:sz w:val="22"/>
                <w:szCs w:val="22"/>
                <w:lang w:val="en-US"/>
              </w:rPr>
              <w:t>CRAAP Score</w:t>
            </w:r>
          </w:p>
          <w:p w:rsidR="51A6AB2E" w:rsidP="51A6AB2E" w:rsidRDefault="51A6AB2E" w14:paraId="02748E47" w14:textId="4AA427DB">
            <w:pPr>
              <w:spacing w:before="0" w:beforeAutospacing="off" w:after="0" w:afterAutospacing="off"/>
              <w:jc w:val="center"/>
              <w:rPr>
                <w:rFonts w:ascii="Arial" w:hAnsi="Arial" w:eastAsia="Arial" w:cs="Arial"/>
                <w:sz w:val="22"/>
                <w:szCs w:val="22"/>
                <w:lang w:val="en-US"/>
              </w:rPr>
            </w:pPr>
            <w:r w:rsidRPr="51A6AB2E" w:rsidR="51A6AB2E">
              <w:rPr>
                <w:rFonts w:ascii="Arial" w:hAnsi="Arial" w:eastAsia="Arial" w:cs="Arial"/>
                <w:sz w:val="22"/>
                <w:szCs w:val="22"/>
                <w:lang w:val="en-US"/>
              </w:rPr>
              <w:t>5/5</w:t>
            </w:r>
          </w:p>
        </w:tc>
      </w:tr>
      <w:tr w:rsidR="51A6AB2E" w:rsidTr="072C3F49" w14:paraId="624FF216">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34D7A39E" w14:textId="61022C89">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Article 2</w:t>
            </w:r>
          </w:p>
        </w:tc>
        <w:tc>
          <w:tcPr>
            <w:tcW w:w="1012" w:type="dxa"/>
            <w:tcBorders>
              <w:top w:val="single" w:sz="8"/>
              <w:left w:val="single" w:sz="8"/>
              <w:bottom w:val="single" w:sz="8"/>
              <w:right w:val="single" w:sz="8"/>
            </w:tcBorders>
            <w:tcMar>
              <w:left w:w="108" w:type="dxa"/>
              <w:right w:w="108" w:type="dxa"/>
            </w:tcMar>
            <w:vAlign w:val="center"/>
          </w:tcPr>
          <w:p w:rsidR="51A6AB2E" w:rsidP="51A6AB2E" w:rsidRDefault="51A6AB2E" w14:paraId="3EB657F1" w14:textId="770C7082">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Baig and Kahya (2025</w:t>
            </w:r>
          </w:p>
        </w:tc>
        <w:tc>
          <w:tcPr>
            <w:tcW w:w="2319" w:type="dxa"/>
            <w:tcBorders>
              <w:top w:val="nil" w:sz="8"/>
              <w:left w:val="single" w:sz="8"/>
              <w:bottom w:val="single" w:sz="8"/>
              <w:right w:val="single" w:sz="8"/>
            </w:tcBorders>
            <w:tcMar>
              <w:left w:w="108" w:type="dxa"/>
              <w:right w:w="108" w:type="dxa"/>
            </w:tcMar>
            <w:vAlign w:val="center"/>
          </w:tcPr>
          <w:p w:rsidR="51A6AB2E" w:rsidP="51A6AB2E" w:rsidRDefault="51A6AB2E" w14:paraId="4A27A9C1" w14:textId="05B0F191">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“I felt like a broken person”: The experiences of women navigating a late ADHD diagnosis in the UK</w:t>
            </w:r>
          </w:p>
        </w:tc>
        <w:tc>
          <w:tcPr>
            <w:tcW w:w="2955" w:type="dxa"/>
            <w:tcBorders>
              <w:top w:val="nil" w:sz="8"/>
              <w:left w:val="single" w:sz="8"/>
              <w:bottom w:val="single" w:sz="8"/>
              <w:right w:val="single" w:sz="8"/>
            </w:tcBorders>
            <w:tcMar>
              <w:left w:w="108" w:type="dxa"/>
              <w:right w:w="108" w:type="dxa"/>
            </w:tcMar>
            <w:vAlign w:val="center"/>
          </w:tcPr>
          <w:p w:rsidR="51A6AB2E" w:rsidP="51A6AB2E" w:rsidRDefault="51A6AB2E" w14:paraId="3A60A336" w14:textId="120C7FD3">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Qualitative study exploring UK women’s lived experiences following late ADHD diagnosis. Reports themes of identity reconstruction, self-understanding and relief after diagnosis.</w:t>
            </w:r>
          </w:p>
        </w:tc>
        <w:tc>
          <w:tcPr>
            <w:tcW w:w="1559" w:type="dxa"/>
            <w:tcBorders>
              <w:top w:val="single" w:sz="8"/>
              <w:left w:val="single" w:sz="8"/>
              <w:bottom w:val="single" w:sz="8"/>
              <w:right w:val="single" w:sz="8"/>
            </w:tcBorders>
            <w:tcMar>
              <w:left w:w="108" w:type="dxa"/>
              <w:right w:w="108" w:type="dxa"/>
            </w:tcMar>
            <w:vAlign w:val="center"/>
          </w:tcPr>
          <w:p w:rsidR="51A6AB2E" w:rsidP="51A6AB2E" w:rsidRDefault="51A6AB2E" w14:paraId="66E37841" w14:textId="4B1041DC">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Lived experiences; Identity; Diagnosis journey; UK women</w:t>
            </w:r>
          </w:p>
          <w:p w:rsidR="51A6AB2E" w:rsidP="51A6AB2E" w:rsidRDefault="51A6AB2E" w14:paraId="1F068F86" w14:textId="124BFA17">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 xml:space="preserve"> </w:t>
            </w:r>
          </w:p>
        </w:tc>
      </w:tr>
      <w:tr w:rsidR="51A6AB2E" w:rsidTr="072C3F49" w14:paraId="5433F043">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3E123930" w14:textId="79112D69">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Notes</w:t>
            </w:r>
          </w:p>
        </w:tc>
        <w:tc>
          <w:tcPr>
            <w:tcW w:w="6286" w:type="dxa"/>
            <w:gridSpan w:val="3"/>
            <w:tcBorders>
              <w:top w:val="single" w:sz="8"/>
              <w:left w:val="single" w:sz="8"/>
              <w:bottom w:val="single" w:sz="8"/>
              <w:right w:val="single" w:sz="8"/>
            </w:tcBorders>
            <w:tcMar>
              <w:left w:w="108" w:type="dxa"/>
              <w:right w:w="108" w:type="dxa"/>
            </w:tcMar>
            <w:vAlign w:val="center"/>
          </w:tcPr>
          <w:p w:rsidR="51A6AB2E" w:rsidP="51A6AB2E" w:rsidRDefault="51A6AB2E" w14:paraId="2C27CE1A" w14:textId="1A691BAC">
            <w:pPr>
              <w:pStyle w:val="ListParagraph"/>
              <w:numPr>
                <w:ilvl w:val="0"/>
                <w:numId w:val="117"/>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sz w:val="22"/>
                <w:szCs w:val="22"/>
              </w:rPr>
              <w:t>Current: Recent UK-based study.</w:t>
            </w:r>
          </w:p>
          <w:p w:rsidR="51A6AB2E" w:rsidP="51A6AB2E" w:rsidRDefault="51A6AB2E" w14:paraId="508F80A1" w14:textId="50602B77">
            <w:pPr>
              <w:pStyle w:val="ListParagraph"/>
              <w:numPr>
                <w:ilvl w:val="0"/>
                <w:numId w:val="117"/>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sz w:val="22"/>
                <w:szCs w:val="22"/>
              </w:rPr>
              <w:t>Relevant: Explores lived experiences central to research aim.</w:t>
            </w:r>
          </w:p>
          <w:p w:rsidR="51A6AB2E" w:rsidP="51A6AB2E" w:rsidRDefault="51A6AB2E" w14:paraId="3E951E30" w14:textId="20B4A41A">
            <w:pPr>
              <w:pStyle w:val="ListParagraph"/>
              <w:numPr>
                <w:ilvl w:val="0"/>
                <w:numId w:val="117"/>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sz w:val="22"/>
                <w:szCs w:val="22"/>
              </w:rPr>
              <w:t>Authority: Peer-reviewed mental health journal.</w:t>
            </w:r>
          </w:p>
          <w:p w:rsidR="51A6AB2E" w:rsidP="51A6AB2E" w:rsidRDefault="51A6AB2E" w14:paraId="2B7CF928" w14:textId="36CC5857">
            <w:pPr>
              <w:pStyle w:val="ListParagraph"/>
              <w:numPr>
                <w:ilvl w:val="0"/>
                <w:numId w:val="117"/>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sz w:val="22"/>
                <w:szCs w:val="22"/>
              </w:rPr>
              <w:t>Accuracy: Qualitative research with clear methodology.</w:t>
            </w:r>
          </w:p>
          <w:p w:rsidR="51A6AB2E" w:rsidP="51A6AB2E" w:rsidRDefault="51A6AB2E" w14:paraId="2FE28815" w14:textId="234E17A0">
            <w:pPr>
              <w:pStyle w:val="ListParagraph"/>
              <w:numPr>
                <w:ilvl w:val="0"/>
                <w:numId w:val="117"/>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sz w:val="22"/>
                <w:szCs w:val="22"/>
              </w:rPr>
              <w:t>Purpose: Explore experiences of late diagnosis.</w:t>
            </w:r>
          </w:p>
        </w:tc>
        <w:tc>
          <w:tcPr>
            <w:tcW w:w="1559" w:type="dxa"/>
            <w:tcBorders>
              <w:top w:val="single" w:sz="8"/>
              <w:left w:val="nil"/>
              <w:bottom w:val="single" w:sz="8"/>
              <w:right w:val="single" w:sz="8"/>
            </w:tcBorders>
            <w:tcMar>
              <w:left w:w="108" w:type="dxa"/>
              <w:right w:w="108" w:type="dxa"/>
            </w:tcMar>
            <w:vAlign w:val="center"/>
          </w:tcPr>
          <w:p w:rsidR="51A6AB2E" w:rsidP="51A6AB2E" w:rsidRDefault="51A6AB2E" w14:paraId="300E5B16" w14:textId="3A2AF72C">
            <w:pPr>
              <w:spacing w:before="0" w:beforeAutospacing="off" w:after="0" w:afterAutospacing="off"/>
              <w:jc w:val="center"/>
              <w:rPr>
                <w:rFonts w:ascii="Arial" w:hAnsi="Arial" w:eastAsia="Arial" w:cs="Arial"/>
                <w:sz w:val="22"/>
                <w:szCs w:val="22"/>
                <w:lang w:val="en-US"/>
              </w:rPr>
            </w:pPr>
            <w:r w:rsidRPr="51A6AB2E" w:rsidR="51A6AB2E">
              <w:rPr>
                <w:rFonts w:ascii="Arial" w:hAnsi="Arial" w:eastAsia="Arial" w:cs="Arial"/>
                <w:sz w:val="22"/>
                <w:szCs w:val="22"/>
                <w:lang w:val="en-US"/>
              </w:rPr>
              <w:t>CRAAP Score</w:t>
            </w:r>
          </w:p>
          <w:p w:rsidR="51A6AB2E" w:rsidP="51A6AB2E" w:rsidRDefault="51A6AB2E" w14:paraId="3376F3CE" w14:textId="72FF40BD">
            <w:pPr>
              <w:spacing w:before="0" w:beforeAutospacing="off" w:after="0" w:afterAutospacing="off"/>
              <w:jc w:val="center"/>
              <w:rPr>
                <w:rFonts w:ascii="Arial" w:hAnsi="Arial" w:eastAsia="Arial" w:cs="Arial"/>
                <w:sz w:val="22"/>
                <w:szCs w:val="22"/>
                <w:lang w:val="en-US"/>
              </w:rPr>
            </w:pPr>
            <w:r w:rsidRPr="51A6AB2E" w:rsidR="51A6AB2E">
              <w:rPr>
                <w:rFonts w:ascii="Arial" w:hAnsi="Arial" w:eastAsia="Arial" w:cs="Arial"/>
                <w:sz w:val="22"/>
                <w:szCs w:val="22"/>
                <w:lang w:val="en-US"/>
              </w:rPr>
              <w:t>5/5</w:t>
            </w:r>
          </w:p>
        </w:tc>
      </w:tr>
      <w:tr w:rsidR="51A6AB2E" w:rsidTr="072C3F49" w14:paraId="72C65202">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62FDC07F" w14:textId="5268DCC1">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Article 3</w:t>
            </w:r>
          </w:p>
        </w:tc>
        <w:tc>
          <w:tcPr>
            <w:tcW w:w="1012" w:type="dxa"/>
            <w:tcBorders>
              <w:top w:val="single" w:sz="8"/>
              <w:left w:val="single" w:sz="8"/>
              <w:bottom w:val="single" w:sz="8"/>
              <w:right w:val="single" w:sz="8"/>
            </w:tcBorders>
            <w:tcMar>
              <w:left w:w="108" w:type="dxa"/>
              <w:right w:w="108" w:type="dxa"/>
            </w:tcMar>
            <w:vAlign w:val="center"/>
          </w:tcPr>
          <w:p w:rsidR="51A6AB2E" w:rsidP="51A6AB2E" w:rsidRDefault="51A6AB2E" w14:paraId="72D1711E" w14:textId="3724417D">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Wills and Chakraborty (2026)</w:t>
            </w:r>
          </w:p>
        </w:tc>
        <w:tc>
          <w:tcPr>
            <w:tcW w:w="2319" w:type="dxa"/>
            <w:tcBorders>
              <w:top w:val="nil" w:sz="8"/>
              <w:left w:val="single" w:sz="8"/>
              <w:bottom w:val="single" w:sz="8"/>
              <w:right w:val="single" w:sz="8"/>
            </w:tcBorders>
            <w:tcMar>
              <w:left w:w="108" w:type="dxa"/>
              <w:right w:w="108" w:type="dxa"/>
            </w:tcMar>
            <w:vAlign w:val="center"/>
          </w:tcPr>
          <w:p w:rsidR="51A6AB2E" w:rsidP="51A6AB2E" w:rsidRDefault="51A6AB2E" w14:paraId="470D0E88" w14:textId="2963383A">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A Qualitative Study on the Experiences of Adult Females with Late Diagnosis of ASD and ADHD in the UK</w:t>
            </w:r>
          </w:p>
        </w:tc>
        <w:tc>
          <w:tcPr>
            <w:tcW w:w="2955" w:type="dxa"/>
            <w:tcBorders>
              <w:top w:val="nil" w:sz="8"/>
              <w:left w:val="single" w:sz="8"/>
              <w:bottom w:val="single" w:sz="8"/>
              <w:right w:val="single" w:sz="8"/>
            </w:tcBorders>
            <w:tcMar>
              <w:left w:w="108" w:type="dxa"/>
              <w:right w:w="108" w:type="dxa"/>
            </w:tcMar>
            <w:vAlign w:val="center"/>
          </w:tcPr>
          <w:p w:rsidR="51A6AB2E" w:rsidP="51A6AB2E" w:rsidRDefault="51A6AB2E" w14:paraId="38C15F93" w14:textId="083A56A6">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Examines experiences of adult women diagnosed later in life, highlighting emotional impact, coping strategies and healthcare barriers.</w:t>
            </w:r>
          </w:p>
        </w:tc>
        <w:tc>
          <w:tcPr>
            <w:tcW w:w="1559" w:type="dxa"/>
            <w:tcBorders>
              <w:top w:val="single" w:sz="8"/>
              <w:left w:val="single" w:sz="8"/>
              <w:bottom w:val="single" w:sz="8"/>
              <w:right w:val="single" w:sz="8"/>
            </w:tcBorders>
            <w:tcMar>
              <w:left w:w="108" w:type="dxa"/>
              <w:right w:w="108" w:type="dxa"/>
            </w:tcMar>
            <w:vAlign w:val="center"/>
          </w:tcPr>
          <w:p w:rsidR="51A6AB2E" w:rsidP="51A6AB2E" w:rsidRDefault="51A6AB2E" w14:paraId="04A21183" w14:textId="52774AFD">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Adult diagnosis; Healthcare barriers; Emotional wellbeing</w:t>
            </w:r>
          </w:p>
          <w:p w:rsidR="51A6AB2E" w:rsidP="51A6AB2E" w:rsidRDefault="51A6AB2E" w14:paraId="39126EFD" w14:textId="36FC0464">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 xml:space="preserve"> </w:t>
            </w:r>
          </w:p>
        </w:tc>
      </w:tr>
      <w:tr w:rsidR="51A6AB2E" w:rsidTr="072C3F49" w14:paraId="59736297">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495FE151" w14:textId="329FE7AD">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Notes</w:t>
            </w:r>
          </w:p>
        </w:tc>
        <w:tc>
          <w:tcPr>
            <w:tcW w:w="6286" w:type="dxa"/>
            <w:gridSpan w:val="3"/>
            <w:tcBorders>
              <w:top w:val="single" w:sz="8"/>
              <w:left w:val="single" w:sz="8"/>
              <w:bottom w:val="single" w:sz="8"/>
              <w:right w:val="single" w:sz="8"/>
            </w:tcBorders>
            <w:tcMar>
              <w:left w:w="108" w:type="dxa"/>
              <w:right w:w="108" w:type="dxa"/>
            </w:tcMar>
            <w:vAlign w:val="center"/>
          </w:tcPr>
          <w:p w:rsidR="51A6AB2E" w:rsidP="51A6AB2E" w:rsidRDefault="51A6AB2E" w14:paraId="32FAC8FB" w14:textId="028AE27D">
            <w:pPr>
              <w:pStyle w:val="ListParagraph"/>
              <w:numPr>
                <w:ilvl w:val="0"/>
                <w:numId w:val="118"/>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Current:</w:t>
            </w:r>
            <w:r w:rsidRPr="51A6AB2E" w:rsidR="51A6AB2E">
              <w:rPr>
                <w:rFonts w:ascii="Arial" w:hAnsi="Arial" w:eastAsia="Arial" w:cs="Arial"/>
                <w:sz w:val="22"/>
                <w:szCs w:val="22"/>
              </w:rPr>
              <w:t xml:space="preserve"> Most recent evidence available.</w:t>
            </w:r>
          </w:p>
          <w:p w:rsidR="51A6AB2E" w:rsidP="51A6AB2E" w:rsidRDefault="51A6AB2E" w14:paraId="2D74A4DB" w14:textId="462749AB">
            <w:pPr>
              <w:pStyle w:val="ListParagraph"/>
              <w:numPr>
                <w:ilvl w:val="0"/>
                <w:numId w:val="118"/>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Relevant:</w:t>
            </w:r>
            <w:r w:rsidRPr="51A6AB2E" w:rsidR="51A6AB2E">
              <w:rPr>
                <w:rFonts w:ascii="Arial" w:hAnsi="Arial" w:eastAsia="Arial" w:cs="Arial"/>
                <w:sz w:val="22"/>
                <w:szCs w:val="22"/>
              </w:rPr>
              <w:t xml:space="preserve"> Focuses on adult females diagnosed later in life.</w:t>
            </w:r>
          </w:p>
          <w:p w:rsidR="51A6AB2E" w:rsidP="51A6AB2E" w:rsidRDefault="51A6AB2E" w14:paraId="61060CE6" w14:textId="31AB9E97">
            <w:pPr>
              <w:pStyle w:val="ListParagraph"/>
              <w:numPr>
                <w:ilvl w:val="0"/>
                <w:numId w:val="118"/>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Authority:</w:t>
            </w:r>
            <w:r w:rsidRPr="51A6AB2E" w:rsidR="51A6AB2E">
              <w:rPr>
                <w:rFonts w:ascii="Arial" w:hAnsi="Arial" w:eastAsia="Arial" w:cs="Arial"/>
                <w:sz w:val="22"/>
                <w:szCs w:val="22"/>
              </w:rPr>
              <w:t xml:space="preserve"> Published in </w:t>
            </w:r>
            <w:r w:rsidRPr="51A6AB2E" w:rsidR="51A6AB2E">
              <w:rPr>
                <w:rFonts w:ascii="Arial" w:hAnsi="Arial" w:eastAsia="Arial" w:cs="Arial"/>
                <w:i w:val="1"/>
                <w:iCs w:val="1"/>
                <w:sz w:val="22"/>
                <w:szCs w:val="22"/>
              </w:rPr>
              <w:t>Healthcare</w:t>
            </w:r>
            <w:r w:rsidRPr="51A6AB2E" w:rsidR="51A6AB2E">
              <w:rPr>
                <w:rFonts w:ascii="Arial" w:hAnsi="Arial" w:eastAsia="Arial" w:cs="Arial"/>
                <w:sz w:val="22"/>
                <w:szCs w:val="22"/>
              </w:rPr>
              <w:t>.</w:t>
            </w:r>
          </w:p>
          <w:p w:rsidR="51A6AB2E" w:rsidP="51A6AB2E" w:rsidRDefault="51A6AB2E" w14:paraId="5A7ED98A" w14:textId="41B76E73">
            <w:pPr>
              <w:pStyle w:val="ListParagraph"/>
              <w:numPr>
                <w:ilvl w:val="0"/>
                <w:numId w:val="118"/>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Accuracy:</w:t>
            </w:r>
            <w:r w:rsidRPr="51A6AB2E" w:rsidR="51A6AB2E">
              <w:rPr>
                <w:rFonts w:ascii="Arial" w:hAnsi="Arial" w:eastAsia="Arial" w:cs="Arial"/>
                <w:sz w:val="22"/>
                <w:szCs w:val="22"/>
              </w:rPr>
              <w:t xml:space="preserve"> Peer-reviewed qualitative study.</w:t>
            </w:r>
          </w:p>
          <w:p w:rsidR="51A6AB2E" w:rsidP="51A6AB2E" w:rsidRDefault="51A6AB2E" w14:paraId="18D8E2F7" w14:textId="7B1B523E">
            <w:pPr>
              <w:pStyle w:val="ListParagraph"/>
              <w:numPr>
                <w:ilvl w:val="0"/>
                <w:numId w:val="118"/>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Purpose:</w:t>
            </w:r>
            <w:r w:rsidRPr="51A6AB2E" w:rsidR="51A6AB2E">
              <w:rPr>
                <w:rFonts w:ascii="Arial" w:hAnsi="Arial" w:eastAsia="Arial" w:cs="Arial"/>
                <w:sz w:val="22"/>
                <w:szCs w:val="22"/>
              </w:rPr>
              <w:t xml:space="preserve"> Examine experiences and barriers.</w:t>
            </w:r>
          </w:p>
        </w:tc>
        <w:tc>
          <w:tcPr>
            <w:tcW w:w="1559" w:type="dxa"/>
            <w:tcBorders>
              <w:top w:val="single" w:sz="8"/>
              <w:left w:val="nil"/>
              <w:bottom w:val="single" w:sz="8"/>
              <w:right w:val="single" w:sz="8"/>
            </w:tcBorders>
            <w:tcMar>
              <w:left w:w="108" w:type="dxa"/>
              <w:right w:w="108" w:type="dxa"/>
            </w:tcMar>
            <w:vAlign w:val="center"/>
          </w:tcPr>
          <w:p w:rsidR="51A6AB2E" w:rsidP="51A6AB2E" w:rsidRDefault="51A6AB2E" w14:paraId="19277943" w14:textId="37B5EBC7">
            <w:pPr>
              <w:spacing w:before="0" w:beforeAutospacing="off" w:after="0" w:afterAutospacing="off"/>
              <w:jc w:val="center"/>
              <w:rPr>
                <w:rFonts w:ascii="Arial" w:hAnsi="Arial" w:eastAsia="Arial" w:cs="Arial"/>
                <w:sz w:val="22"/>
                <w:szCs w:val="22"/>
                <w:lang w:val="en-US"/>
              </w:rPr>
            </w:pPr>
            <w:r w:rsidRPr="51A6AB2E" w:rsidR="51A6AB2E">
              <w:rPr>
                <w:rFonts w:ascii="Arial" w:hAnsi="Arial" w:eastAsia="Arial" w:cs="Arial"/>
                <w:sz w:val="22"/>
                <w:szCs w:val="22"/>
                <w:lang w:val="en-US"/>
              </w:rPr>
              <w:t>CRAAP Score</w:t>
            </w:r>
          </w:p>
          <w:p w:rsidR="51A6AB2E" w:rsidP="51A6AB2E" w:rsidRDefault="51A6AB2E" w14:paraId="2E8B8618" w14:textId="463DB4B8">
            <w:pPr>
              <w:spacing w:before="0" w:beforeAutospacing="off" w:after="0" w:afterAutospacing="off"/>
              <w:jc w:val="center"/>
              <w:rPr>
                <w:rFonts w:ascii="Arial" w:hAnsi="Arial" w:eastAsia="Arial" w:cs="Arial"/>
                <w:sz w:val="22"/>
                <w:szCs w:val="22"/>
                <w:lang w:val="en-US"/>
              </w:rPr>
            </w:pPr>
            <w:r w:rsidRPr="51A6AB2E" w:rsidR="51A6AB2E">
              <w:rPr>
                <w:rFonts w:ascii="Arial" w:hAnsi="Arial" w:eastAsia="Arial" w:cs="Arial"/>
                <w:sz w:val="22"/>
                <w:szCs w:val="22"/>
                <w:lang w:val="en-US"/>
              </w:rPr>
              <w:t>5/5</w:t>
            </w:r>
          </w:p>
        </w:tc>
      </w:tr>
      <w:tr w:rsidR="51A6AB2E" w:rsidTr="072C3F49" w14:paraId="08ADA044">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33FC2CCC" w14:textId="15998AE7">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 </w:t>
            </w:r>
          </w:p>
          <w:p w:rsidR="51A6AB2E" w:rsidP="51A6AB2E" w:rsidRDefault="51A6AB2E" w14:paraId="3F9EEACF" w14:textId="1257F7F4">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Article 4</w:t>
            </w:r>
          </w:p>
          <w:p w:rsidR="51A6AB2E" w:rsidP="51A6AB2E" w:rsidRDefault="51A6AB2E" w14:paraId="45BD91AC" w14:textId="55771EDA">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 </w:t>
            </w:r>
          </w:p>
        </w:tc>
        <w:tc>
          <w:tcPr>
            <w:tcW w:w="1012" w:type="dxa"/>
            <w:tcBorders>
              <w:top w:val="single" w:sz="8"/>
              <w:left w:val="single" w:sz="8"/>
              <w:bottom w:val="single" w:sz="8"/>
              <w:right w:val="single" w:sz="8"/>
            </w:tcBorders>
            <w:tcMar>
              <w:left w:w="108" w:type="dxa"/>
              <w:right w:w="108" w:type="dxa"/>
            </w:tcMar>
            <w:vAlign w:val="center"/>
          </w:tcPr>
          <w:p w:rsidR="51A6AB2E" w:rsidP="51A6AB2E" w:rsidRDefault="51A6AB2E" w14:paraId="11DF07A8" w14:textId="44D8FA56">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Young et al. (2021)</w:t>
            </w:r>
          </w:p>
        </w:tc>
        <w:tc>
          <w:tcPr>
            <w:tcW w:w="2319" w:type="dxa"/>
            <w:tcBorders>
              <w:top w:val="nil" w:sz="8"/>
              <w:left w:val="single" w:sz="8"/>
              <w:bottom w:val="single" w:sz="8"/>
              <w:right w:val="single" w:sz="8"/>
            </w:tcBorders>
            <w:tcMar>
              <w:left w:w="108" w:type="dxa"/>
              <w:right w:w="108" w:type="dxa"/>
            </w:tcMar>
            <w:vAlign w:val="center"/>
          </w:tcPr>
          <w:p w:rsidR="51A6AB2E" w:rsidP="51A6AB2E" w:rsidRDefault="51A6AB2E" w14:paraId="4BCE028E" w14:textId="676C9F03">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Failure of Healthcare Provision for ADHD in the United Kingdom: A Consensus Statement</w:t>
            </w:r>
          </w:p>
        </w:tc>
        <w:tc>
          <w:tcPr>
            <w:tcW w:w="2955" w:type="dxa"/>
            <w:tcBorders>
              <w:top w:val="nil" w:sz="8"/>
              <w:left w:val="single" w:sz="8"/>
              <w:bottom w:val="single" w:sz="8"/>
              <w:right w:val="single" w:sz="8"/>
            </w:tcBorders>
            <w:tcMar>
              <w:left w:w="108" w:type="dxa"/>
              <w:right w:w="108" w:type="dxa"/>
            </w:tcMar>
            <w:vAlign w:val="center"/>
          </w:tcPr>
          <w:p w:rsidR="51A6AB2E" w:rsidP="51A6AB2E" w:rsidRDefault="51A6AB2E" w14:paraId="32282100" w14:textId="58802679">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Evaluates shortcomings in UK ADHD service provision, including waiting times and inconsistent support pathways.</w:t>
            </w:r>
          </w:p>
        </w:tc>
        <w:tc>
          <w:tcPr>
            <w:tcW w:w="1559" w:type="dxa"/>
            <w:tcBorders>
              <w:top w:val="single" w:sz="8"/>
              <w:left w:val="single" w:sz="8"/>
              <w:bottom w:val="single" w:sz="8"/>
              <w:right w:val="single" w:sz="8"/>
            </w:tcBorders>
            <w:tcMar>
              <w:left w:w="108" w:type="dxa"/>
              <w:right w:w="108" w:type="dxa"/>
            </w:tcMar>
            <w:vAlign w:val="center"/>
          </w:tcPr>
          <w:p w:rsidR="51A6AB2E" w:rsidP="51A6AB2E" w:rsidRDefault="51A6AB2E" w14:paraId="279B37DB" w14:textId="4CDBBDBE">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NHS services; Healthcare provision; Service gaps</w:t>
            </w:r>
          </w:p>
        </w:tc>
      </w:tr>
      <w:tr w:rsidR="51A6AB2E" w:rsidTr="072C3F49" w14:paraId="342D1896">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4913E662" w14:textId="6978EB72">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Notes</w:t>
            </w:r>
          </w:p>
        </w:tc>
        <w:tc>
          <w:tcPr>
            <w:tcW w:w="6286" w:type="dxa"/>
            <w:gridSpan w:val="3"/>
            <w:tcBorders>
              <w:top w:val="single" w:sz="8"/>
              <w:left w:val="single" w:sz="8"/>
              <w:bottom w:val="single" w:sz="8"/>
              <w:right w:val="single" w:sz="8"/>
            </w:tcBorders>
            <w:tcMar>
              <w:left w:w="108" w:type="dxa"/>
              <w:right w:w="108" w:type="dxa"/>
            </w:tcMar>
            <w:vAlign w:val="center"/>
          </w:tcPr>
          <w:p w:rsidR="51A6AB2E" w:rsidP="51A6AB2E" w:rsidRDefault="51A6AB2E" w14:paraId="1BEEBA70" w14:textId="78B7333F">
            <w:pPr>
              <w:pStyle w:val="ListParagraph"/>
              <w:numPr>
                <w:ilvl w:val="0"/>
                <w:numId w:val="119"/>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Current:</w:t>
            </w:r>
            <w:r w:rsidRPr="51A6AB2E" w:rsidR="51A6AB2E">
              <w:rPr>
                <w:rFonts w:ascii="Arial" w:hAnsi="Arial" w:eastAsia="Arial" w:cs="Arial"/>
                <w:sz w:val="22"/>
                <w:szCs w:val="22"/>
              </w:rPr>
              <w:t xml:space="preserve"> Contemporary UK consensus statement.</w:t>
            </w:r>
          </w:p>
          <w:p w:rsidR="51A6AB2E" w:rsidP="51A6AB2E" w:rsidRDefault="51A6AB2E" w14:paraId="16FE5500" w14:textId="27525D3C">
            <w:pPr>
              <w:pStyle w:val="ListParagraph"/>
              <w:numPr>
                <w:ilvl w:val="0"/>
                <w:numId w:val="119"/>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Relevant:</w:t>
            </w:r>
            <w:r w:rsidRPr="51A6AB2E" w:rsidR="51A6AB2E">
              <w:rPr>
                <w:rFonts w:ascii="Arial" w:hAnsi="Arial" w:eastAsia="Arial" w:cs="Arial"/>
                <w:sz w:val="22"/>
                <w:szCs w:val="22"/>
              </w:rPr>
              <w:t xml:space="preserve"> Evaluates UK ADHD services.</w:t>
            </w:r>
          </w:p>
          <w:p w:rsidR="51A6AB2E" w:rsidP="51A6AB2E" w:rsidRDefault="51A6AB2E" w14:paraId="2793BF42" w14:textId="66F9A87C">
            <w:pPr>
              <w:pStyle w:val="ListParagraph"/>
              <w:numPr>
                <w:ilvl w:val="0"/>
                <w:numId w:val="119"/>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Authority:</w:t>
            </w:r>
            <w:r w:rsidRPr="51A6AB2E" w:rsidR="51A6AB2E">
              <w:rPr>
                <w:rFonts w:ascii="Arial" w:hAnsi="Arial" w:eastAsia="Arial" w:cs="Arial"/>
                <w:sz w:val="22"/>
                <w:szCs w:val="22"/>
              </w:rPr>
              <w:t xml:space="preserve"> Published in </w:t>
            </w:r>
            <w:r w:rsidRPr="51A6AB2E" w:rsidR="51A6AB2E">
              <w:rPr>
                <w:rFonts w:ascii="Arial" w:hAnsi="Arial" w:eastAsia="Arial" w:cs="Arial"/>
                <w:i w:val="1"/>
                <w:iCs w:val="1"/>
                <w:sz w:val="22"/>
                <w:szCs w:val="22"/>
              </w:rPr>
              <w:t>Frontiers in Psychiatry</w:t>
            </w:r>
            <w:r w:rsidRPr="51A6AB2E" w:rsidR="51A6AB2E">
              <w:rPr>
                <w:rFonts w:ascii="Arial" w:hAnsi="Arial" w:eastAsia="Arial" w:cs="Arial"/>
                <w:sz w:val="22"/>
                <w:szCs w:val="22"/>
              </w:rPr>
              <w:t>.</w:t>
            </w:r>
          </w:p>
          <w:p w:rsidR="51A6AB2E" w:rsidP="51A6AB2E" w:rsidRDefault="51A6AB2E" w14:paraId="498036E2" w14:textId="046534FA">
            <w:pPr>
              <w:pStyle w:val="ListParagraph"/>
              <w:numPr>
                <w:ilvl w:val="0"/>
                <w:numId w:val="119"/>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Accuracy:</w:t>
            </w:r>
            <w:r w:rsidRPr="51A6AB2E" w:rsidR="51A6AB2E">
              <w:rPr>
                <w:rFonts w:ascii="Arial" w:hAnsi="Arial" w:eastAsia="Arial" w:cs="Arial"/>
                <w:sz w:val="22"/>
                <w:szCs w:val="22"/>
              </w:rPr>
              <w:t xml:space="preserve"> Developed by ADHD experts.</w:t>
            </w:r>
          </w:p>
          <w:p w:rsidR="51A6AB2E" w:rsidP="51A6AB2E" w:rsidRDefault="51A6AB2E" w14:paraId="2FB3423A" w14:textId="3267801D">
            <w:pPr>
              <w:spacing w:before="0" w:beforeAutospacing="off" w:after="0" w:afterAutospacing="off"/>
              <w:ind w:left="1128" w:right="0"/>
              <w:rPr>
                <w:rFonts w:ascii="Arial" w:hAnsi="Arial" w:eastAsia="Arial" w:cs="Arial"/>
                <w:sz w:val="22"/>
                <w:szCs w:val="22"/>
              </w:rPr>
            </w:pPr>
            <w:r w:rsidRPr="51A6AB2E" w:rsidR="51A6AB2E">
              <w:rPr>
                <w:rFonts w:ascii="Arial" w:hAnsi="Arial" w:eastAsia="Arial" w:cs="Arial"/>
                <w:b w:val="1"/>
                <w:bCs w:val="1"/>
                <w:sz w:val="22"/>
                <w:szCs w:val="22"/>
              </w:rPr>
              <w:t>Purpose:</w:t>
            </w:r>
            <w:r w:rsidRPr="51A6AB2E" w:rsidR="51A6AB2E">
              <w:rPr>
                <w:rFonts w:ascii="Arial" w:hAnsi="Arial" w:eastAsia="Arial" w:cs="Arial"/>
                <w:sz w:val="22"/>
                <w:szCs w:val="22"/>
              </w:rPr>
              <w:t xml:space="preserve"> Improve healthcare provision.</w:t>
            </w:r>
          </w:p>
        </w:tc>
        <w:tc>
          <w:tcPr>
            <w:tcW w:w="1559" w:type="dxa"/>
            <w:tcBorders>
              <w:top w:val="single" w:sz="8"/>
              <w:left w:val="nil"/>
              <w:bottom w:val="single" w:sz="8"/>
              <w:right w:val="single" w:sz="8"/>
            </w:tcBorders>
            <w:tcMar>
              <w:left w:w="108" w:type="dxa"/>
              <w:right w:w="108" w:type="dxa"/>
            </w:tcMar>
            <w:vAlign w:val="center"/>
          </w:tcPr>
          <w:p w:rsidR="51A6AB2E" w:rsidP="51A6AB2E" w:rsidRDefault="51A6AB2E" w14:paraId="385147BB" w14:textId="5E0D37FC">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Score</w:t>
            </w:r>
          </w:p>
          <w:p w:rsidR="51A6AB2E" w:rsidP="51A6AB2E" w:rsidRDefault="51A6AB2E" w14:paraId="7AF765CD" w14:textId="3273369A">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5/5</w:t>
            </w:r>
          </w:p>
        </w:tc>
      </w:tr>
      <w:tr w:rsidR="51A6AB2E" w:rsidTr="072C3F49" w14:paraId="1557BC1D">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734892FE" w14:textId="4F533541">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 </w:t>
            </w:r>
          </w:p>
          <w:p w:rsidR="51A6AB2E" w:rsidP="51A6AB2E" w:rsidRDefault="51A6AB2E" w14:paraId="1DEEAB37" w14:textId="13FACE42">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Article 5</w:t>
            </w:r>
          </w:p>
          <w:p w:rsidR="51A6AB2E" w:rsidP="51A6AB2E" w:rsidRDefault="51A6AB2E" w14:paraId="0CFB5D59" w14:textId="78F67E31">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 </w:t>
            </w:r>
          </w:p>
        </w:tc>
        <w:tc>
          <w:tcPr>
            <w:tcW w:w="1012" w:type="dxa"/>
            <w:tcBorders>
              <w:top w:val="single" w:sz="8"/>
              <w:left w:val="single" w:sz="8"/>
              <w:bottom w:val="single" w:sz="8"/>
              <w:right w:val="single" w:sz="8"/>
            </w:tcBorders>
            <w:tcMar>
              <w:left w:w="108" w:type="dxa"/>
              <w:right w:w="108" w:type="dxa"/>
            </w:tcMar>
            <w:vAlign w:val="center"/>
          </w:tcPr>
          <w:p w:rsidR="51A6AB2E" w:rsidP="51A6AB2E" w:rsidRDefault="51A6AB2E" w14:paraId="10BE7EE0" w14:textId="725B18B7">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French et al. (2023)</w:t>
            </w:r>
          </w:p>
        </w:tc>
        <w:tc>
          <w:tcPr>
            <w:tcW w:w="2319" w:type="dxa"/>
            <w:tcBorders>
              <w:top w:val="nil" w:sz="8"/>
              <w:left w:val="single" w:sz="8"/>
              <w:bottom w:val="single" w:sz="8"/>
              <w:right w:val="single" w:sz="8"/>
            </w:tcBorders>
            <w:tcMar>
              <w:left w:w="108" w:type="dxa"/>
              <w:right w:w="108" w:type="dxa"/>
            </w:tcMar>
            <w:vAlign w:val="center"/>
          </w:tcPr>
          <w:p w:rsidR="51A6AB2E" w:rsidP="51A6AB2E" w:rsidRDefault="51A6AB2E" w14:paraId="6C13D3CF" w14:textId="6F0A6B78">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The Experience of Receiving an ADHD Diagnosis in Adulthood: A Qualitative Study</w:t>
            </w:r>
          </w:p>
        </w:tc>
        <w:tc>
          <w:tcPr>
            <w:tcW w:w="2955" w:type="dxa"/>
            <w:tcBorders>
              <w:top w:val="nil" w:sz="8"/>
              <w:left w:val="single" w:sz="8"/>
              <w:bottom w:val="single" w:sz="8"/>
              <w:right w:val="single" w:sz="8"/>
            </w:tcBorders>
            <w:tcMar>
              <w:left w:w="108" w:type="dxa"/>
              <w:right w:w="108" w:type="dxa"/>
            </w:tcMar>
            <w:vAlign w:val="center"/>
          </w:tcPr>
          <w:p w:rsidR="51A6AB2E" w:rsidP="51A6AB2E" w:rsidRDefault="51A6AB2E" w14:paraId="50A8CE69" w14:textId="4A3B717E">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Explores the emotional and psychological impact of receiving an ADHD diagnosis in adulthood,</w:t>
            </w:r>
          </w:p>
        </w:tc>
        <w:tc>
          <w:tcPr>
            <w:tcW w:w="1559" w:type="dxa"/>
            <w:tcBorders>
              <w:top w:val="single" w:sz="8"/>
              <w:left w:val="single" w:sz="8"/>
              <w:bottom w:val="single" w:sz="8"/>
              <w:right w:val="single" w:sz="8"/>
            </w:tcBorders>
            <w:tcMar>
              <w:left w:w="108" w:type="dxa"/>
              <w:right w:w="108" w:type="dxa"/>
            </w:tcMar>
            <w:vAlign w:val="center"/>
          </w:tcPr>
          <w:p w:rsidR="51A6AB2E" w:rsidP="51A6AB2E" w:rsidRDefault="51A6AB2E" w14:paraId="231F57C4" w14:textId="7A1A04FA">
            <w:pPr>
              <w:spacing w:before="0" w:beforeAutospacing="off" w:after="0" w:afterAutospacing="off"/>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Adult diagnosis; Identity; Wellbeing; Self-understanding</w:t>
            </w:r>
          </w:p>
        </w:tc>
      </w:tr>
      <w:tr w:rsidR="51A6AB2E" w:rsidTr="072C3F49" w14:paraId="7BF53F35">
        <w:trPr>
          <w:trHeight w:val="870"/>
        </w:trPr>
        <w:tc>
          <w:tcPr>
            <w:tcW w:w="1170" w:type="dxa"/>
            <w:tcBorders>
              <w:top w:val="single" w:sz="8"/>
              <w:left w:val="single" w:sz="8"/>
              <w:bottom w:val="single" w:sz="8"/>
              <w:right w:val="single" w:sz="8"/>
            </w:tcBorders>
            <w:tcMar>
              <w:left w:w="108" w:type="dxa"/>
              <w:right w:w="108" w:type="dxa"/>
            </w:tcMar>
            <w:vAlign w:val="top"/>
          </w:tcPr>
          <w:p w:rsidR="51A6AB2E" w:rsidP="51A6AB2E" w:rsidRDefault="51A6AB2E" w14:paraId="720B9BCF" w14:textId="15F6B155">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Notes</w:t>
            </w:r>
          </w:p>
        </w:tc>
        <w:tc>
          <w:tcPr>
            <w:tcW w:w="6286" w:type="dxa"/>
            <w:gridSpan w:val="3"/>
            <w:tcBorders>
              <w:top w:val="single" w:sz="8"/>
              <w:left w:val="single" w:sz="8"/>
              <w:bottom w:val="single" w:sz="8"/>
              <w:right w:val="single" w:sz="8"/>
            </w:tcBorders>
            <w:tcMar>
              <w:left w:w="108" w:type="dxa"/>
              <w:right w:w="108" w:type="dxa"/>
            </w:tcMar>
            <w:vAlign w:val="center"/>
          </w:tcPr>
          <w:p w:rsidR="51A6AB2E" w:rsidP="51A6AB2E" w:rsidRDefault="51A6AB2E" w14:paraId="69DFB2A3" w14:textId="69BA3009">
            <w:pPr>
              <w:pStyle w:val="ListParagraph"/>
              <w:numPr>
                <w:ilvl w:val="0"/>
                <w:numId w:val="119"/>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Current:</w:t>
            </w:r>
            <w:r w:rsidRPr="51A6AB2E" w:rsidR="51A6AB2E">
              <w:rPr>
                <w:rFonts w:ascii="Arial" w:hAnsi="Arial" w:eastAsia="Arial" w:cs="Arial"/>
                <w:sz w:val="22"/>
                <w:szCs w:val="22"/>
              </w:rPr>
              <w:t xml:space="preserve"> Contemporary UK consensus statement.</w:t>
            </w:r>
          </w:p>
          <w:p w:rsidR="51A6AB2E" w:rsidP="51A6AB2E" w:rsidRDefault="51A6AB2E" w14:paraId="321351BB" w14:textId="48C08543">
            <w:pPr>
              <w:pStyle w:val="ListParagraph"/>
              <w:numPr>
                <w:ilvl w:val="0"/>
                <w:numId w:val="119"/>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Relevant:</w:t>
            </w:r>
            <w:r w:rsidRPr="51A6AB2E" w:rsidR="51A6AB2E">
              <w:rPr>
                <w:rFonts w:ascii="Arial" w:hAnsi="Arial" w:eastAsia="Arial" w:cs="Arial"/>
                <w:sz w:val="22"/>
                <w:szCs w:val="22"/>
              </w:rPr>
              <w:t xml:space="preserve"> Evaluates UK ADHD services.</w:t>
            </w:r>
          </w:p>
          <w:p w:rsidR="51A6AB2E" w:rsidP="51A6AB2E" w:rsidRDefault="51A6AB2E" w14:paraId="2798EF03" w14:textId="67DC79B6">
            <w:pPr>
              <w:pStyle w:val="ListParagraph"/>
              <w:numPr>
                <w:ilvl w:val="0"/>
                <w:numId w:val="119"/>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Authority:</w:t>
            </w:r>
            <w:r w:rsidRPr="51A6AB2E" w:rsidR="51A6AB2E">
              <w:rPr>
                <w:rFonts w:ascii="Arial" w:hAnsi="Arial" w:eastAsia="Arial" w:cs="Arial"/>
                <w:sz w:val="22"/>
                <w:szCs w:val="22"/>
              </w:rPr>
              <w:t xml:space="preserve"> Published in </w:t>
            </w:r>
            <w:r w:rsidRPr="51A6AB2E" w:rsidR="51A6AB2E">
              <w:rPr>
                <w:rFonts w:ascii="Arial" w:hAnsi="Arial" w:eastAsia="Arial" w:cs="Arial"/>
                <w:i w:val="1"/>
                <w:iCs w:val="1"/>
                <w:sz w:val="22"/>
                <w:szCs w:val="22"/>
              </w:rPr>
              <w:t>Frontiers in Psychiatry</w:t>
            </w:r>
            <w:r w:rsidRPr="51A6AB2E" w:rsidR="51A6AB2E">
              <w:rPr>
                <w:rFonts w:ascii="Arial" w:hAnsi="Arial" w:eastAsia="Arial" w:cs="Arial"/>
                <w:sz w:val="22"/>
                <w:szCs w:val="22"/>
              </w:rPr>
              <w:t>.</w:t>
            </w:r>
          </w:p>
          <w:p w:rsidR="51A6AB2E" w:rsidP="51A6AB2E" w:rsidRDefault="51A6AB2E" w14:paraId="4EE259F3" w14:textId="050D9BF2">
            <w:pPr>
              <w:pStyle w:val="ListParagraph"/>
              <w:numPr>
                <w:ilvl w:val="0"/>
                <w:numId w:val="119"/>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Accuracy:</w:t>
            </w:r>
            <w:r w:rsidRPr="51A6AB2E" w:rsidR="51A6AB2E">
              <w:rPr>
                <w:rFonts w:ascii="Arial" w:hAnsi="Arial" w:eastAsia="Arial" w:cs="Arial"/>
                <w:sz w:val="22"/>
                <w:szCs w:val="22"/>
              </w:rPr>
              <w:t xml:space="preserve"> Developed by ADHD experts.</w:t>
            </w:r>
          </w:p>
          <w:p w:rsidR="51A6AB2E" w:rsidP="51A6AB2E" w:rsidRDefault="51A6AB2E" w14:paraId="4C3B53F2" w14:textId="0FB0186E">
            <w:pPr>
              <w:pStyle w:val="ListParagraph"/>
              <w:numPr>
                <w:ilvl w:val="0"/>
                <w:numId w:val="119"/>
              </w:numPr>
              <w:spacing w:before="0" w:beforeAutospacing="off" w:after="0" w:afterAutospacing="off"/>
              <w:ind w:left="1128" w:right="0" w:hanging="360"/>
              <w:rPr>
                <w:rFonts w:ascii="Arial" w:hAnsi="Arial" w:eastAsia="Arial" w:cs="Arial"/>
                <w:sz w:val="22"/>
                <w:szCs w:val="22"/>
              </w:rPr>
            </w:pPr>
            <w:r w:rsidRPr="51A6AB2E" w:rsidR="51A6AB2E">
              <w:rPr>
                <w:rFonts w:ascii="Arial" w:hAnsi="Arial" w:eastAsia="Arial" w:cs="Arial"/>
                <w:b w:val="1"/>
                <w:bCs w:val="1"/>
                <w:sz w:val="22"/>
                <w:szCs w:val="22"/>
              </w:rPr>
              <w:t>Purpose:</w:t>
            </w:r>
            <w:r w:rsidRPr="51A6AB2E" w:rsidR="51A6AB2E">
              <w:rPr>
                <w:rFonts w:ascii="Arial" w:hAnsi="Arial" w:eastAsia="Arial" w:cs="Arial"/>
                <w:sz w:val="22"/>
                <w:szCs w:val="22"/>
              </w:rPr>
              <w:t xml:space="preserve"> Improve healthcare provision.</w:t>
            </w:r>
          </w:p>
        </w:tc>
        <w:tc>
          <w:tcPr>
            <w:tcW w:w="1559" w:type="dxa"/>
            <w:tcBorders>
              <w:top w:val="single" w:sz="8"/>
              <w:left w:val="nil"/>
              <w:bottom w:val="single" w:sz="8"/>
              <w:right w:val="single" w:sz="8"/>
            </w:tcBorders>
            <w:tcMar>
              <w:left w:w="108" w:type="dxa"/>
              <w:right w:w="108" w:type="dxa"/>
            </w:tcMar>
            <w:vAlign w:val="center"/>
          </w:tcPr>
          <w:p w:rsidR="51A6AB2E" w:rsidP="51A6AB2E" w:rsidRDefault="51A6AB2E" w14:paraId="16359690" w14:textId="02EE8DFC">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Score</w:t>
            </w:r>
          </w:p>
          <w:p w:rsidR="51A6AB2E" w:rsidP="51A6AB2E" w:rsidRDefault="51A6AB2E" w14:paraId="726F4875" w14:textId="01E40302">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5/5</w:t>
            </w:r>
          </w:p>
        </w:tc>
      </w:tr>
      <w:tr w:rsidR="51A6AB2E" w:rsidTr="072C3F49" w14:paraId="3F176E3F">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6C270DC3" w14:textId="60C56DF5">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Article 6</w:t>
            </w:r>
          </w:p>
        </w:tc>
        <w:tc>
          <w:tcPr>
            <w:tcW w:w="1012" w:type="dxa"/>
            <w:tcBorders>
              <w:top w:val="single" w:sz="8"/>
              <w:left w:val="single" w:sz="8"/>
              <w:bottom w:val="single" w:sz="8"/>
              <w:right w:val="single" w:sz="8"/>
            </w:tcBorders>
            <w:tcMar>
              <w:left w:w="108" w:type="dxa"/>
              <w:right w:w="108" w:type="dxa"/>
            </w:tcMar>
            <w:vAlign w:val="center"/>
          </w:tcPr>
          <w:p w:rsidR="51A6AB2E" w:rsidP="51A6AB2E" w:rsidRDefault="51A6AB2E" w14:paraId="5AD62290" w14:textId="67F43CCA">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Krebs and Donnellan-Fernandez (2025)</w:t>
            </w:r>
          </w:p>
        </w:tc>
        <w:tc>
          <w:tcPr>
            <w:tcW w:w="2319" w:type="dxa"/>
            <w:tcBorders>
              <w:top w:val="nil" w:sz="8"/>
              <w:left w:val="single" w:sz="8"/>
              <w:bottom w:val="single" w:sz="8"/>
              <w:right w:val="single" w:sz="8"/>
            </w:tcBorders>
            <w:tcMar>
              <w:left w:w="108" w:type="dxa"/>
              <w:right w:w="108" w:type="dxa"/>
            </w:tcMar>
            <w:vAlign w:val="center"/>
          </w:tcPr>
          <w:p w:rsidR="51A6AB2E" w:rsidP="51A6AB2E" w:rsidRDefault="51A6AB2E" w14:paraId="2B53ADBF" w14:textId="04DC1692">
            <w:pPr>
              <w:spacing w:before="0" w:beforeAutospacing="off" w:after="0" w:afterAutospacing="off"/>
              <w:rPr>
                <w:rFonts w:ascii="Arial" w:hAnsi="Arial" w:eastAsia="Arial" w:cs="Arial"/>
                <w:i w:val="1"/>
                <w:iCs w:val="1"/>
                <w:sz w:val="22"/>
                <w:szCs w:val="22"/>
                <w:lang w:val="en-US"/>
              </w:rPr>
            </w:pPr>
            <w:r w:rsidRPr="51A6AB2E" w:rsidR="51A6AB2E">
              <w:rPr>
                <w:rFonts w:ascii="Arial" w:hAnsi="Arial" w:eastAsia="Arial" w:cs="Arial"/>
                <w:i w:val="1"/>
                <w:iCs w:val="1"/>
                <w:sz w:val="22"/>
                <w:szCs w:val="22"/>
                <w:lang w:val="en-US"/>
              </w:rPr>
              <w:t>Integrative Literature Review: The Impact of ADHD Across Women’s Lifespan</w:t>
            </w:r>
          </w:p>
        </w:tc>
        <w:tc>
          <w:tcPr>
            <w:tcW w:w="2955" w:type="dxa"/>
            <w:tcBorders>
              <w:top w:val="nil" w:sz="8"/>
              <w:left w:val="single" w:sz="8"/>
              <w:bottom w:val="single" w:sz="8"/>
              <w:right w:val="single" w:sz="8"/>
            </w:tcBorders>
            <w:tcMar>
              <w:left w:w="108" w:type="dxa"/>
              <w:right w:w="108" w:type="dxa"/>
            </w:tcMar>
            <w:vAlign w:val="center"/>
          </w:tcPr>
          <w:p w:rsidR="51A6AB2E" w:rsidP="51A6AB2E" w:rsidRDefault="51A6AB2E" w14:paraId="4BE44EF6" w14:textId="3055F261">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Reviews ADHD experiences across different life stages and highlights unmet support needs.</w:t>
            </w:r>
          </w:p>
        </w:tc>
        <w:tc>
          <w:tcPr>
            <w:tcW w:w="1559" w:type="dxa"/>
            <w:tcBorders>
              <w:top w:val="single" w:sz="8"/>
              <w:left w:val="single" w:sz="8"/>
              <w:bottom w:val="single" w:sz="8"/>
              <w:right w:val="single" w:sz="8"/>
            </w:tcBorders>
            <w:tcMar>
              <w:left w:w="108" w:type="dxa"/>
              <w:right w:w="108" w:type="dxa"/>
            </w:tcMar>
            <w:vAlign w:val="center"/>
          </w:tcPr>
          <w:p w:rsidR="51A6AB2E" w:rsidP="51A6AB2E" w:rsidRDefault="51A6AB2E" w14:paraId="59EFB844" w14:textId="32E0B8BF">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Lifespan; Women’s health; Service provision</w:t>
            </w:r>
          </w:p>
          <w:p w:rsidR="51A6AB2E" w:rsidP="51A6AB2E" w:rsidRDefault="51A6AB2E" w14:paraId="1E9B9B8A" w14:textId="2E655488">
            <w:pPr>
              <w:spacing w:before="0" w:beforeAutospacing="off" w:after="0" w:afterAutospacing="off"/>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 </w:t>
            </w:r>
          </w:p>
        </w:tc>
      </w:tr>
      <w:tr w:rsidR="51A6AB2E" w:rsidTr="072C3F49" w14:paraId="67D208B9">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4CE7E349" w14:textId="45C574F0">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Notes</w:t>
            </w:r>
          </w:p>
        </w:tc>
        <w:tc>
          <w:tcPr>
            <w:tcW w:w="6286" w:type="dxa"/>
            <w:gridSpan w:val="3"/>
            <w:tcBorders>
              <w:top w:val="single" w:sz="8"/>
              <w:left w:val="single" w:sz="8"/>
              <w:bottom w:val="single" w:sz="8"/>
              <w:right w:val="single" w:sz="8"/>
            </w:tcBorders>
            <w:tcMar>
              <w:left w:w="108" w:type="dxa"/>
              <w:right w:w="108" w:type="dxa"/>
            </w:tcMar>
            <w:vAlign w:val="center"/>
          </w:tcPr>
          <w:p w:rsidR="51A6AB2E" w:rsidP="51A6AB2E" w:rsidRDefault="51A6AB2E" w14:paraId="235460C8" w14:textId="5590D15E">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Current:</w:t>
            </w:r>
            <w:r w:rsidRPr="51A6AB2E" w:rsidR="51A6AB2E">
              <w:rPr>
                <w:rFonts w:ascii="Arial" w:hAnsi="Arial" w:eastAsia="Arial" w:cs="Arial"/>
                <w:sz w:val="22"/>
                <w:szCs w:val="22"/>
                <w:lang w:val="en-US"/>
              </w:rPr>
              <w:t xml:space="preserve"> Recent publication.</w:t>
            </w:r>
          </w:p>
          <w:p w:rsidR="51A6AB2E" w:rsidP="51A6AB2E" w:rsidRDefault="51A6AB2E" w14:paraId="0C148033" w14:textId="5B434F32">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Relevant:</w:t>
            </w:r>
            <w:r w:rsidRPr="51A6AB2E" w:rsidR="51A6AB2E">
              <w:rPr>
                <w:rFonts w:ascii="Arial" w:hAnsi="Arial" w:eastAsia="Arial" w:cs="Arial"/>
                <w:sz w:val="22"/>
                <w:szCs w:val="22"/>
                <w:lang w:val="en-US"/>
              </w:rPr>
              <w:t xml:space="preserve"> Explores ADHD across women’s lifespan.</w:t>
            </w:r>
          </w:p>
          <w:p w:rsidR="51A6AB2E" w:rsidP="51A6AB2E" w:rsidRDefault="51A6AB2E" w14:paraId="760D389B" w14:textId="3FAB6219">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Authority:</w:t>
            </w:r>
            <w:r w:rsidRPr="51A6AB2E" w:rsidR="51A6AB2E">
              <w:rPr>
                <w:rFonts w:ascii="Arial" w:hAnsi="Arial" w:eastAsia="Arial" w:cs="Arial"/>
                <w:sz w:val="22"/>
                <w:szCs w:val="22"/>
                <w:lang w:val="en-US"/>
              </w:rPr>
              <w:t xml:space="preserve"> Published in </w:t>
            </w:r>
            <w:r w:rsidRPr="51A6AB2E" w:rsidR="51A6AB2E">
              <w:rPr>
                <w:rFonts w:ascii="Arial" w:hAnsi="Arial" w:eastAsia="Arial" w:cs="Arial"/>
                <w:i w:val="1"/>
                <w:iCs w:val="1"/>
                <w:sz w:val="22"/>
                <w:szCs w:val="22"/>
                <w:lang w:val="en-US"/>
              </w:rPr>
              <w:t>BMC Women’s Health</w:t>
            </w:r>
            <w:r w:rsidRPr="51A6AB2E" w:rsidR="51A6AB2E">
              <w:rPr>
                <w:rFonts w:ascii="Arial" w:hAnsi="Arial" w:eastAsia="Arial" w:cs="Arial"/>
                <w:sz w:val="22"/>
                <w:szCs w:val="22"/>
                <w:lang w:val="en-US"/>
              </w:rPr>
              <w:t>.</w:t>
            </w:r>
          </w:p>
          <w:p w:rsidR="51A6AB2E" w:rsidP="51A6AB2E" w:rsidRDefault="51A6AB2E" w14:paraId="5AED4EFD" w14:textId="1D2A6057">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Accuracy:</w:t>
            </w:r>
            <w:r w:rsidRPr="51A6AB2E" w:rsidR="51A6AB2E">
              <w:rPr>
                <w:rFonts w:ascii="Arial" w:hAnsi="Arial" w:eastAsia="Arial" w:cs="Arial"/>
                <w:sz w:val="22"/>
                <w:szCs w:val="22"/>
                <w:lang w:val="en-US"/>
              </w:rPr>
              <w:t xml:space="preserve"> Integrative literature review.</w:t>
            </w:r>
          </w:p>
          <w:p w:rsidR="51A6AB2E" w:rsidP="51A6AB2E" w:rsidRDefault="51A6AB2E" w14:paraId="6936E5BB" w14:textId="3F49A6F2">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Purpose:</w:t>
            </w:r>
            <w:r w:rsidRPr="51A6AB2E" w:rsidR="51A6AB2E">
              <w:rPr>
                <w:rFonts w:ascii="Arial" w:hAnsi="Arial" w:eastAsia="Arial" w:cs="Arial"/>
                <w:sz w:val="22"/>
                <w:szCs w:val="22"/>
                <w:lang w:val="en-US"/>
              </w:rPr>
              <w:t xml:space="preserve"> Synthesize existing evidence.</w:t>
            </w:r>
          </w:p>
          <w:p w:rsidR="51A6AB2E" w:rsidP="51A6AB2E" w:rsidRDefault="51A6AB2E" w14:paraId="277248DE" w14:textId="6D461852">
            <w:pPr>
              <w:spacing w:before="0" w:beforeAutospacing="off" w:after="0" w:afterAutospacing="off"/>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 </w:t>
            </w:r>
          </w:p>
          <w:p w:rsidR="51A6AB2E" w:rsidP="51A6AB2E" w:rsidRDefault="51A6AB2E" w14:paraId="46CC25CB" w14:textId="58B054CC">
            <w:pPr>
              <w:spacing w:before="0" w:beforeAutospacing="off" w:after="0" w:afterAutospacing="off"/>
              <w:ind w:left="360" w:right="0"/>
              <w:rPr>
                <w:rFonts w:ascii="Arial" w:hAnsi="Arial" w:eastAsia="Arial" w:cs="Arial"/>
                <w:sz w:val="22"/>
                <w:szCs w:val="22"/>
                <w:lang w:val="en-US"/>
              </w:rPr>
            </w:pPr>
            <w:r w:rsidRPr="51A6AB2E" w:rsidR="51A6AB2E">
              <w:rPr>
                <w:rFonts w:ascii="Arial" w:hAnsi="Arial" w:eastAsia="Arial" w:cs="Arial"/>
                <w:sz w:val="22"/>
                <w:szCs w:val="22"/>
                <w:lang w:val="en-US"/>
              </w:rPr>
              <w:t xml:space="preserve"> </w:t>
            </w:r>
          </w:p>
        </w:tc>
        <w:tc>
          <w:tcPr>
            <w:tcW w:w="1559" w:type="dxa"/>
            <w:tcBorders>
              <w:top w:val="single" w:sz="8"/>
              <w:left w:val="nil"/>
              <w:bottom w:val="single" w:sz="8"/>
              <w:right w:val="single" w:sz="8"/>
            </w:tcBorders>
            <w:tcMar>
              <w:left w:w="108" w:type="dxa"/>
              <w:right w:w="108" w:type="dxa"/>
            </w:tcMar>
            <w:vAlign w:val="center"/>
          </w:tcPr>
          <w:p w:rsidR="51A6AB2E" w:rsidP="51A6AB2E" w:rsidRDefault="51A6AB2E" w14:paraId="09752D07" w14:textId="0169B39B">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Score</w:t>
            </w:r>
          </w:p>
          <w:p w:rsidR="51A6AB2E" w:rsidP="51A6AB2E" w:rsidRDefault="51A6AB2E" w14:paraId="35551281" w14:textId="70627449">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5/5</w:t>
            </w:r>
          </w:p>
        </w:tc>
      </w:tr>
      <w:tr w:rsidR="51A6AB2E" w:rsidTr="072C3F49" w14:paraId="67E02681">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2670B3A5" w14:textId="78FD410E">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Article 7</w:t>
            </w:r>
          </w:p>
        </w:tc>
        <w:tc>
          <w:tcPr>
            <w:tcW w:w="1012" w:type="dxa"/>
            <w:tcBorders>
              <w:top w:val="single" w:sz="8"/>
              <w:left w:val="single" w:sz="8"/>
              <w:bottom w:val="single" w:sz="8"/>
              <w:right w:val="single" w:sz="8"/>
            </w:tcBorders>
            <w:tcMar>
              <w:left w:w="108" w:type="dxa"/>
              <w:right w:w="108" w:type="dxa"/>
            </w:tcMar>
            <w:vAlign w:val="center"/>
          </w:tcPr>
          <w:p w:rsidR="51A6AB2E" w:rsidP="51A6AB2E" w:rsidRDefault="51A6AB2E" w14:paraId="6C3F967D" w14:textId="5D9874A8">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Wurth et al. (2025)</w:t>
            </w:r>
          </w:p>
        </w:tc>
        <w:tc>
          <w:tcPr>
            <w:tcW w:w="2319" w:type="dxa"/>
            <w:tcBorders>
              <w:top w:val="nil" w:sz="8"/>
              <w:left w:val="single" w:sz="8"/>
              <w:bottom w:val="single" w:sz="8"/>
              <w:right w:val="single" w:sz="8"/>
            </w:tcBorders>
            <w:tcMar>
              <w:left w:w="108" w:type="dxa"/>
              <w:right w:w="108" w:type="dxa"/>
            </w:tcMar>
            <w:vAlign w:val="center"/>
          </w:tcPr>
          <w:p w:rsidR="51A6AB2E" w:rsidP="51A6AB2E" w:rsidRDefault="51A6AB2E" w14:paraId="1079FDFE" w14:textId="16240D6B">
            <w:pPr>
              <w:spacing w:before="0" w:beforeAutospacing="off" w:after="0" w:afterAutospacing="off"/>
              <w:rPr>
                <w:rFonts w:ascii="Arial" w:hAnsi="Arial" w:eastAsia="Arial" w:cs="Arial"/>
                <w:i w:val="1"/>
                <w:iCs w:val="1"/>
                <w:sz w:val="22"/>
                <w:szCs w:val="22"/>
                <w:lang w:val="en-US"/>
              </w:rPr>
            </w:pPr>
            <w:r w:rsidRPr="51A6AB2E" w:rsidR="51A6AB2E">
              <w:rPr>
                <w:rFonts w:ascii="Arial" w:hAnsi="Arial" w:eastAsia="Arial" w:cs="Arial"/>
                <w:i w:val="1"/>
                <w:iCs w:val="1"/>
                <w:sz w:val="22"/>
                <w:szCs w:val="22"/>
                <w:lang w:val="en-US"/>
              </w:rPr>
              <w:t>Diagnosis Acceptance, Masking and Quality of Life in Adults with ADHD and ASD</w:t>
            </w:r>
          </w:p>
        </w:tc>
        <w:tc>
          <w:tcPr>
            <w:tcW w:w="2955" w:type="dxa"/>
            <w:tcBorders>
              <w:top w:val="nil" w:sz="8"/>
              <w:left w:val="single" w:sz="8"/>
              <w:bottom w:val="single" w:sz="8"/>
              <w:right w:val="single" w:sz="8"/>
            </w:tcBorders>
            <w:tcMar>
              <w:left w:w="108" w:type="dxa"/>
              <w:right w:w="108" w:type="dxa"/>
            </w:tcMar>
            <w:vAlign w:val="center"/>
          </w:tcPr>
          <w:p w:rsidR="51A6AB2E" w:rsidP="51A6AB2E" w:rsidRDefault="51A6AB2E" w14:paraId="11FA5129" w14:textId="4752DE29">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Investigates relationships between masking, diagnosis acceptance and quality of life.</w:t>
            </w:r>
          </w:p>
        </w:tc>
        <w:tc>
          <w:tcPr>
            <w:tcW w:w="1559" w:type="dxa"/>
            <w:tcBorders>
              <w:top w:val="single" w:sz="8"/>
              <w:left w:val="single" w:sz="8"/>
              <w:bottom w:val="single" w:sz="8"/>
              <w:right w:val="single" w:sz="8"/>
            </w:tcBorders>
            <w:tcMar>
              <w:left w:w="108" w:type="dxa"/>
              <w:right w:w="108" w:type="dxa"/>
            </w:tcMar>
            <w:vAlign w:val="top"/>
          </w:tcPr>
          <w:p w:rsidR="51A6AB2E" w:rsidP="51A6AB2E" w:rsidRDefault="51A6AB2E" w14:paraId="1B4CDB07" w14:textId="60403E9C">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Masking; Quality of life; Diagnosis</w:t>
            </w:r>
          </w:p>
        </w:tc>
      </w:tr>
      <w:tr w:rsidR="51A6AB2E" w:rsidTr="072C3F49" w14:paraId="4763A791">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5A1786CF" w14:textId="6086DD46">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CRAAP Notes </w:t>
            </w:r>
          </w:p>
        </w:tc>
        <w:tc>
          <w:tcPr>
            <w:tcW w:w="6286" w:type="dxa"/>
            <w:gridSpan w:val="3"/>
            <w:tcBorders>
              <w:top w:val="single" w:sz="8"/>
              <w:left w:val="single" w:sz="8"/>
              <w:bottom w:val="single" w:sz="8"/>
              <w:right w:val="single" w:sz="8"/>
            </w:tcBorders>
            <w:tcMar>
              <w:left w:w="108" w:type="dxa"/>
              <w:right w:w="108" w:type="dxa"/>
            </w:tcMar>
            <w:vAlign w:val="center"/>
          </w:tcPr>
          <w:p w:rsidR="51A6AB2E" w:rsidP="51A6AB2E" w:rsidRDefault="51A6AB2E" w14:paraId="71B8B1C2" w14:textId="111EFC55">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Current:</w:t>
            </w:r>
            <w:r w:rsidRPr="51A6AB2E" w:rsidR="51A6AB2E">
              <w:rPr>
                <w:rFonts w:ascii="Arial" w:hAnsi="Arial" w:eastAsia="Arial" w:cs="Arial"/>
                <w:sz w:val="22"/>
                <w:szCs w:val="22"/>
                <w:lang w:val="en-US"/>
              </w:rPr>
              <w:t xml:space="preserve"> Recent study.</w:t>
            </w:r>
          </w:p>
          <w:p w:rsidR="51A6AB2E" w:rsidP="51A6AB2E" w:rsidRDefault="51A6AB2E" w14:paraId="2E1EEB3D" w14:textId="7BE39E32">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Relevant:</w:t>
            </w:r>
            <w:r w:rsidRPr="51A6AB2E" w:rsidR="51A6AB2E">
              <w:rPr>
                <w:rFonts w:ascii="Arial" w:hAnsi="Arial" w:eastAsia="Arial" w:cs="Arial"/>
                <w:sz w:val="22"/>
                <w:szCs w:val="22"/>
                <w:lang w:val="en-US"/>
              </w:rPr>
              <w:t xml:space="preserve"> Examines masking in adults with ADHD.</w:t>
            </w:r>
          </w:p>
          <w:p w:rsidR="51A6AB2E" w:rsidP="51A6AB2E" w:rsidRDefault="51A6AB2E" w14:paraId="11986D93" w14:textId="212C9494">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Authority:</w:t>
            </w:r>
            <w:r w:rsidRPr="51A6AB2E" w:rsidR="51A6AB2E">
              <w:rPr>
                <w:rFonts w:ascii="Arial" w:hAnsi="Arial" w:eastAsia="Arial" w:cs="Arial"/>
                <w:sz w:val="22"/>
                <w:szCs w:val="22"/>
                <w:lang w:val="en-US"/>
              </w:rPr>
              <w:t xml:space="preserve"> Published in </w:t>
            </w:r>
            <w:r w:rsidRPr="51A6AB2E" w:rsidR="51A6AB2E">
              <w:rPr>
                <w:rFonts w:ascii="Arial" w:hAnsi="Arial" w:eastAsia="Arial" w:cs="Arial"/>
                <w:i w:val="1"/>
                <w:iCs w:val="1"/>
                <w:sz w:val="22"/>
                <w:szCs w:val="22"/>
                <w:lang w:val="en-US"/>
              </w:rPr>
              <w:t>Frontiers in Psychiatry</w:t>
            </w:r>
            <w:r w:rsidRPr="51A6AB2E" w:rsidR="51A6AB2E">
              <w:rPr>
                <w:rFonts w:ascii="Arial" w:hAnsi="Arial" w:eastAsia="Arial" w:cs="Arial"/>
                <w:sz w:val="22"/>
                <w:szCs w:val="22"/>
                <w:lang w:val="en-US"/>
              </w:rPr>
              <w:t>.</w:t>
            </w:r>
          </w:p>
          <w:p w:rsidR="51A6AB2E" w:rsidP="51A6AB2E" w:rsidRDefault="51A6AB2E" w14:paraId="2C234A04" w14:textId="2B9F84A6">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Accuracy:</w:t>
            </w:r>
            <w:r w:rsidRPr="51A6AB2E" w:rsidR="51A6AB2E">
              <w:rPr>
                <w:rFonts w:ascii="Arial" w:hAnsi="Arial" w:eastAsia="Arial" w:cs="Arial"/>
                <w:sz w:val="22"/>
                <w:szCs w:val="22"/>
                <w:lang w:val="en-US"/>
              </w:rPr>
              <w:t xml:space="preserve"> Empirical research.</w:t>
            </w:r>
          </w:p>
          <w:p w:rsidR="51A6AB2E" w:rsidP="51A6AB2E" w:rsidRDefault="51A6AB2E" w14:paraId="46D61303" w14:textId="05B9552C">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Purpose:</w:t>
            </w:r>
            <w:r w:rsidRPr="51A6AB2E" w:rsidR="51A6AB2E">
              <w:rPr>
                <w:rFonts w:ascii="Arial" w:hAnsi="Arial" w:eastAsia="Arial" w:cs="Arial"/>
                <w:sz w:val="22"/>
                <w:szCs w:val="22"/>
                <w:lang w:val="en-US"/>
              </w:rPr>
              <w:t xml:space="preserve"> Explore quality of life outcomes.</w:t>
            </w:r>
          </w:p>
          <w:p w:rsidR="51A6AB2E" w:rsidP="51A6AB2E" w:rsidRDefault="51A6AB2E" w14:paraId="24FA3A9A" w14:textId="681C01C1">
            <w:pPr>
              <w:spacing w:before="0" w:beforeAutospacing="off" w:after="0" w:afterAutospacing="off"/>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 </w:t>
            </w:r>
          </w:p>
        </w:tc>
        <w:tc>
          <w:tcPr>
            <w:tcW w:w="1559" w:type="dxa"/>
            <w:tcBorders>
              <w:top w:val="single" w:sz="8"/>
              <w:left w:val="nil"/>
              <w:bottom w:val="single" w:sz="8"/>
              <w:right w:val="single" w:sz="8"/>
            </w:tcBorders>
            <w:tcMar>
              <w:left w:w="108" w:type="dxa"/>
              <w:right w:w="108" w:type="dxa"/>
            </w:tcMar>
            <w:vAlign w:val="center"/>
          </w:tcPr>
          <w:p w:rsidR="51A6AB2E" w:rsidP="51A6AB2E" w:rsidRDefault="51A6AB2E" w14:paraId="65B07094" w14:textId="360EE025">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Score</w:t>
            </w:r>
          </w:p>
          <w:p w:rsidR="51A6AB2E" w:rsidP="51A6AB2E" w:rsidRDefault="51A6AB2E" w14:paraId="03DC5140" w14:textId="22CEE3FA">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/5</w:t>
            </w:r>
          </w:p>
        </w:tc>
      </w:tr>
      <w:tr w:rsidR="51A6AB2E" w:rsidTr="072C3F49" w14:paraId="47F2F651">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12E89686" w14:textId="3D3BAAC3">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Article 8</w:t>
            </w:r>
          </w:p>
        </w:tc>
        <w:tc>
          <w:tcPr>
            <w:tcW w:w="1012" w:type="dxa"/>
            <w:tcBorders>
              <w:top w:val="single" w:sz="8"/>
              <w:left w:val="single" w:sz="8"/>
              <w:bottom w:val="single" w:sz="8"/>
              <w:right w:val="single" w:sz="8"/>
            </w:tcBorders>
            <w:tcMar>
              <w:left w:w="108" w:type="dxa"/>
              <w:right w:w="108" w:type="dxa"/>
            </w:tcMar>
            <w:vAlign w:val="center"/>
          </w:tcPr>
          <w:p w:rsidR="51A6AB2E" w:rsidP="51A6AB2E" w:rsidRDefault="51A6AB2E" w14:paraId="3AFFD391" w14:textId="6634291A">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Platania et al. (2025)</w:t>
            </w:r>
          </w:p>
        </w:tc>
        <w:tc>
          <w:tcPr>
            <w:tcW w:w="2319" w:type="dxa"/>
            <w:tcBorders>
              <w:top w:val="nil" w:sz="8"/>
              <w:left w:val="single" w:sz="8"/>
              <w:bottom w:val="single" w:sz="8"/>
              <w:right w:val="single" w:sz="8"/>
            </w:tcBorders>
            <w:tcMar>
              <w:left w:w="108" w:type="dxa"/>
              <w:right w:w="108" w:type="dxa"/>
            </w:tcMar>
            <w:vAlign w:val="center"/>
          </w:tcPr>
          <w:p w:rsidR="51A6AB2E" w:rsidP="51A6AB2E" w:rsidRDefault="51A6AB2E" w14:paraId="4C339728" w14:textId="6EA41F15">
            <w:pPr>
              <w:spacing w:before="0" w:beforeAutospacing="off" w:after="0" w:afterAutospacing="off"/>
              <w:rPr>
                <w:rFonts w:ascii="Arial" w:hAnsi="Arial" w:eastAsia="Arial" w:cs="Arial"/>
                <w:i w:val="1"/>
                <w:iCs w:val="1"/>
                <w:sz w:val="22"/>
                <w:szCs w:val="22"/>
                <w:lang w:val="en-US"/>
              </w:rPr>
            </w:pPr>
            <w:r w:rsidRPr="51A6AB2E" w:rsidR="51A6AB2E">
              <w:rPr>
                <w:rFonts w:ascii="Arial" w:hAnsi="Arial" w:eastAsia="Arial" w:cs="Arial"/>
                <w:i w:val="1"/>
                <w:iCs w:val="1"/>
                <w:sz w:val="22"/>
                <w:szCs w:val="22"/>
                <w:lang w:val="en-US"/>
              </w:rPr>
              <w:t>Bias by Gender: Exploring Gender-Based Differences in ADHD Symptoms</w:t>
            </w:r>
          </w:p>
        </w:tc>
        <w:tc>
          <w:tcPr>
            <w:tcW w:w="2955" w:type="dxa"/>
            <w:tcBorders>
              <w:top w:val="nil" w:sz="8"/>
              <w:left w:val="single" w:sz="8"/>
              <w:bottom w:val="single" w:sz="8"/>
              <w:right w:val="single" w:sz="8"/>
            </w:tcBorders>
            <w:tcMar>
              <w:left w:w="108" w:type="dxa"/>
              <w:right w:w="108" w:type="dxa"/>
            </w:tcMar>
            <w:vAlign w:val="center"/>
          </w:tcPr>
          <w:p w:rsidR="51A6AB2E" w:rsidP="51A6AB2E" w:rsidRDefault="51A6AB2E" w14:paraId="63CA8428" w14:textId="11DE49D0">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Examines how gender influences ADHD symptom recognition and diagnosis.</w:t>
            </w:r>
          </w:p>
        </w:tc>
        <w:tc>
          <w:tcPr>
            <w:tcW w:w="1559" w:type="dxa"/>
            <w:tcBorders>
              <w:top w:val="single" w:sz="8"/>
              <w:left w:val="single" w:sz="8"/>
              <w:bottom w:val="single" w:sz="8"/>
              <w:right w:val="single" w:sz="8"/>
            </w:tcBorders>
            <w:tcMar>
              <w:left w:w="108" w:type="dxa"/>
              <w:right w:w="108" w:type="dxa"/>
            </w:tcMar>
            <w:vAlign w:val="center"/>
          </w:tcPr>
          <w:p w:rsidR="51A6AB2E" w:rsidP="51A6AB2E" w:rsidRDefault="51A6AB2E" w14:paraId="76E056F4" w14:textId="67C757FA">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Gender bias; Symptom recognition; Women</w:t>
            </w:r>
          </w:p>
        </w:tc>
      </w:tr>
      <w:tr w:rsidR="51A6AB2E" w:rsidTr="072C3F49" w14:paraId="30C38DA0">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3E29A8F7" w14:textId="3CE690CE">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CRAAP Notes </w:t>
            </w:r>
          </w:p>
        </w:tc>
        <w:tc>
          <w:tcPr>
            <w:tcW w:w="6286" w:type="dxa"/>
            <w:gridSpan w:val="3"/>
            <w:tcBorders>
              <w:top w:val="single" w:sz="8"/>
              <w:left w:val="single" w:sz="8"/>
              <w:bottom w:val="single" w:sz="8"/>
              <w:right w:val="single" w:sz="8"/>
            </w:tcBorders>
            <w:tcMar>
              <w:left w:w="108" w:type="dxa"/>
              <w:right w:w="108" w:type="dxa"/>
            </w:tcMar>
            <w:vAlign w:val="center"/>
          </w:tcPr>
          <w:p w:rsidR="51A6AB2E" w:rsidP="51A6AB2E" w:rsidRDefault="51A6AB2E" w14:paraId="1546479E" w14:textId="7A391CBB">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Current:</w:t>
            </w:r>
            <w:r w:rsidRPr="51A6AB2E" w:rsidR="51A6AB2E">
              <w:rPr>
                <w:rFonts w:ascii="Arial" w:hAnsi="Arial" w:eastAsia="Arial" w:cs="Arial"/>
                <w:sz w:val="22"/>
                <w:szCs w:val="22"/>
                <w:lang w:val="en-US"/>
              </w:rPr>
              <w:t xml:space="preserve"> Recent publication.</w:t>
            </w:r>
          </w:p>
          <w:p w:rsidR="51A6AB2E" w:rsidP="51A6AB2E" w:rsidRDefault="51A6AB2E" w14:paraId="3DC31319" w14:textId="348F10CF">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Relevant:</w:t>
            </w:r>
            <w:r w:rsidRPr="51A6AB2E" w:rsidR="51A6AB2E">
              <w:rPr>
                <w:rFonts w:ascii="Arial" w:hAnsi="Arial" w:eastAsia="Arial" w:cs="Arial"/>
                <w:sz w:val="22"/>
                <w:szCs w:val="22"/>
                <w:lang w:val="en-US"/>
              </w:rPr>
              <w:t xml:space="preserve"> Investigates gender bias in ADHD.</w:t>
            </w:r>
          </w:p>
          <w:p w:rsidR="51A6AB2E" w:rsidP="51A6AB2E" w:rsidRDefault="51A6AB2E" w14:paraId="71308440" w14:textId="46ED3213">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Authority:</w:t>
            </w:r>
            <w:r w:rsidRPr="51A6AB2E" w:rsidR="51A6AB2E">
              <w:rPr>
                <w:rFonts w:ascii="Arial" w:hAnsi="Arial" w:eastAsia="Arial" w:cs="Arial"/>
                <w:sz w:val="22"/>
                <w:szCs w:val="22"/>
                <w:lang w:val="en-US"/>
              </w:rPr>
              <w:t xml:space="preserve"> Peer-reviewed journal.</w:t>
            </w:r>
          </w:p>
          <w:p w:rsidR="51A6AB2E" w:rsidP="51A6AB2E" w:rsidRDefault="51A6AB2E" w14:paraId="6E2D2CE3" w14:textId="3CAD85BB">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Accuracy:</w:t>
            </w:r>
            <w:r w:rsidRPr="51A6AB2E" w:rsidR="51A6AB2E">
              <w:rPr>
                <w:rFonts w:ascii="Arial" w:hAnsi="Arial" w:eastAsia="Arial" w:cs="Arial"/>
                <w:sz w:val="22"/>
                <w:szCs w:val="22"/>
                <w:lang w:val="en-US"/>
              </w:rPr>
              <w:t xml:space="preserve"> Uses patient data.</w:t>
            </w:r>
          </w:p>
          <w:p w:rsidR="51A6AB2E" w:rsidP="51A6AB2E" w:rsidRDefault="51A6AB2E" w14:paraId="63C0C962" w14:textId="56962581">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Purpose:</w:t>
            </w:r>
            <w:r w:rsidRPr="51A6AB2E" w:rsidR="51A6AB2E">
              <w:rPr>
                <w:rFonts w:ascii="Arial" w:hAnsi="Arial" w:eastAsia="Arial" w:cs="Arial"/>
                <w:sz w:val="22"/>
                <w:szCs w:val="22"/>
                <w:lang w:val="en-US"/>
              </w:rPr>
              <w:t xml:space="preserve"> Examine diagnostic disparities.</w:t>
            </w:r>
          </w:p>
          <w:p w:rsidR="51A6AB2E" w:rsidP="51A6AB2E" w:rsidRDefault="51A6AB2E" w14:paraId="4B993D7E" w14:textId="39EBB31C">
            <w:pPr>
              <w:spacing w:before="0" w:beforeAutospacing="off" w:after="0" w:afterAutospacing="off" w:line="276" w:lineRule="auto"/>
              <w:ind w:left="360" w:right="0"/>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 </w:t>
            </w:r>
          </w:p>
          <w:p w:rsidR="51A6AB2E" w:rsidP="51A6AB2E" w:rsidRDefault="51A6AB2E" w14:paraId="435B8E14" w14:textId="128A69C8">
            <w:pPr>
              <w:spacing w:before="0" w:beforeAutospacing="off" w:after="0" w:afterAutospacing="off"/>
              <w:ind w:left="360" w:right="0"/>
              <w:rPr>
                <w:rFonts w:ascii="Arial" w:hAnsi="Arial" w:eastAsia="Arial" w:cs="Arial"/>
                <w:sz w:val="22"/>
                <w:szCs w:val="22"/>
                <w:lang w:val="en-US"/>
              </w:rPr>
            </w:pPr>
            <w:r w:rsidRPr="51A6AB2E" w:rsidR="51A6AB2E">
              <w:rPr>
                <w:rFonts w:ascii="Arial" w:hAnsi="Arial" w:eastAsia="Arial" w:cs="Arial"/>
                <w:sz w:val="22"/>
                <w:szCs w:val="22"/>
                <w:lang w:val="en-US"/>
              </w:rPr>
              <w:t xml:space="preserve"> </w:t>
            </w:r>
          </w:p>
        </w:tc>
        <w:tc>
          <w:tcPr>
            <w:tcW w:w="1559" w:type="dxa"/>
            <w:tcBorders>
              <w:top w:val="single" w:sz="8"/>
              <w:left w:val="nil"/>
              <w:bottom w:val="single" w:sz="8"/>
              <w:right w:val="single" w:sz="8"/>
            </w:tcBorders>
            <w:tcMar>
              <w:left w:w="108" w:type="dxa"/>
              <w:right w:w="108" w:type="dxa"/>
            </w:tcMar>
            <w:vAlign w:val="center"/>
          </w:tcPr>
          <w:p w:rsidR="51A6AB2E" w:rsidP="51A6AB2E" w:rsidRDefault="51A6AB2E" w14:paraId="7CE49701" w14:textId="4D9C6D15">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Score</w:t>
            </w:r>
          </w:p>
          <w:p w:rsidR="51A6AB2E" w:rsidP="51A6AB2E" w:rsidRDefault="51A6AB2E" w14:paraId="343A1952" w14:textId="5E4AF7F1">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5/5</w:t>
            </w:r>
          </w:p>
        </w:tc>
      </w:tr>
      <w:tr w:rsidR="51A6AB2E" w:rsidTr="072C3F49" w14:paraId="1F0FF551">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2555CAEA" w14:textId="0C14D16D">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Article 9 </w:t>
            </w:r>
          </w:p>
        </w:tc>
        <w:tc>
          <w:tcPr>
            <w:tcW w:w="1012" w:type="dxa"/>
            <w:tcBorders>
              <w:top w:val="single" w:sz="8"/>
              <w:left w:val="single" w:sz="8"/>
              <w:bottom w:val="single" w:sz="8"/>
              <w:right w:val="single" w:sz="8"/>
            </w:tcBorders>
            <w:tcMar>
              <w:left w:w="108" w:type="dxa"/>
              <w:right w:w="108" w:type="dxa"/>
            </w:tcMar>
            <w:vAlign w:val="center"/>
          </w:tcPr>
          <w:p w:rsidR="51A6AB2E" w:rsidP="51A6AB2E" w:rsidRDefault="51A6AB2E" w14:paraId="7291170A" w14:textId="2DD128EC">
            <w:pPr>
              <w:spacing w:before="0" w:beforeAutospacing="off" w:after="0" w:afterAutospacing="off"/>
              <w:rPr>
                <w:rFonts w:ascii="Arial" w:hAnsi="Arial" w:eastAsia="Arial" w:cs="Arial"/>
                <w:sz w:val="22"/>
                <w:szCs w:val="22"/>
                <w:lang w:val="sv"/>
              </w:rPr>
            </w:pPr>
            <w:r w:rsidRPr="51A6AB2E" w:rsidR="51A6AB2E">
              <w:rPr>
                <w:rFonts w:ascii="Arial" w:hAnsi="Arial" w:eastAsia="Arial" w:cs="Arial"/>
                <w:sz w:val="22"/>
                <w:szCs w:val="22"/>
                <w:lang w:val="sv"/>
              </w:rPr>
              <w:t>Slobodin, Har Sinay and Zohar (2025)</w:t>
            </w:r>
          </w:p>
        </w:tc>
        <w:tc>
          <w:tcPr>
            <w:tcW w:w="2319" w:type="dxa"/>
            <w:tcBorders>
              <w:top w:val="nil" w:sz="8"/>
              <w:left w:val="single" w:sz="8"/>
              <w:bottom w:val="single" w:sz="8"/>
              <w:right w:val="single" w:sz="8"/>
            </w:tcBorders>
            <w:tcMar>
              <w:left w:w="108" w:type="dxa"/>
              <w:right w:w="108" w:type="dxa"/>
            </w:tcMar>
            <w:vAlign w:val="center"/>
          </w:tcPr>
          <w:p w:rsidR="51A6AB2E" w:rsidP="51A6AB2E" w:rsidRDefault="51A6AB2E" w14:paraId="0BE7878A" w14:textId="3A682A86">
            <w:pPr>
              <w:spacing w:before="0" w:beforeAutospacing="off" w:after="0" w:afterAutospacing="off"/>
              <w:rPr>
                <w:rFonts w:ascii="Arial" w:hAnsi="Arial" w:eastAsia="Arial" w:cs="Arial"/>
                <w:i w:val="1"/>
                <w:iCs w:val="1"/>
                <w:sz w:val="22"/>
                <w:szCs w:val="22"/>
                <w:lang w:val="en-US"/>
              </w:rPr>
            </w:pPr>
            <w:r w:rsidRPr="51A6AB2E" w:rsidR="51A6AB2E">
              <w:rPr>
                <w:rFonts w:ascii="Arial" w:hAnsi="Arial" w:eastAsia="Arial" w:cs="Arial"/>
                <w:i w:val="1"/>
                <w:iCs w:val="1"/>
                <w:sz w:val="22"/>
                <w:szCs w:val="22"/>
                <w:lang w:val="en-US"/>
              </w:rPr>
              <w:t>A Controlled Study of Emotional Dysfunction in Adult Women with ADHD</w:t>
            </w:r>
          </w:p>
        </w:tc>
        <w:tc>
          <w:tcPr>
            <w:tcW w:w="2955" w:type="dxa"/>
            <w:tcBorders>
              <w:top w:val="nil" w:sz="8"/>
              <w:left w:val="single" w:sz="8"/>
              <w:bottom w:val="single" w:sz="8"/>
              <w:right w:val="single" w:sz="8"/>
            </w:tcBorders>
            <w:tcMar>
              <w:left w:w="108" w:type="dxa"/>
              <w:right w:w="108" w:type="dxa"/>
            </w:tcMar>
            <w:vAlign w:val="center"/>
          </w:tcPr>
          <w:p w:rsidR="51A6AB2E" w:rsidP="51A6AB2E" w:rsidRDefault="51A6AB2E" w14:paraId="460E8352" w14:textId="2E2FC1F5">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Investigates emotional dysregulation in women with ADHD.</w:t>
            </w:r>
          </w:p>
        </w:tc>
        <w:tc>
          <w:tcPr>
            <w:tcW w:w="1559" w:type="dxa"/>
            <w:tcBorders>
              <w:top w:val="single" w:sz="8"/>
              <w:left w:val="single" w:sz="8"/>
              <w:bottom w:val="single" w:sz="8"/>
              <w:right w:val="single" w:sz="8"/>
            </w:tcBorders>
            <w:tcMar>
              <w:left w:w="108" w:type="dxa"/>
              <w:right w:w="108" w:type="dxa"/>
            </w:tcMar>
            <w:vAlign w:val="center"/>
          </w:tcPr>
          <w:p w:rsidR="51A6AB2E" w:rsidP="51A6AB2E" w:rsidRDefault="51A6AB2E" w14:paraId="32393D30" w14:textId="6A486CAF">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Emotional dysregulation; Adult women</w:t>
            </w:r>
          </w:p>
          <w:p w:rsidR="51A6AB2E" w:rsidP="51A6AB2E" w:rsidRDefault="51A6AB2E" w14:paraId="497B7231" w14:textId="48786507">
            <w:pPr>
              <w:spacing w:before="0" w:beforeAutospacing="off" w:after="0" w:afterAutospacing="off"/>
              <w:rPr>
                <w:rFonts w:ascii="Arial" w:hAnsi="Arial" w:eastAsia="Arial" w:cs="Arial"/>
                <w:b w:val="1"/>
                <w:bCs w:val="1"/>
                <w:sz w:val="22"/>
                <w:szCs w:val="22"/>
              </w:rPr>
            </w:pPr>
            <w:r w:rsidRPr="51A6AB2E" w:rsidR="51A6AB2E">
              <w:rPr>
                <w:rFonts w:ascii="Arial" w:hAnsi="Arial" w:eastAsia="Arial" w:cs="Arial"/>
                <w:b w:val="1"/>
                <w:bCs w:val="1"/>
                <w:sz w:val="22"/>
                <w:szCs w:val="22"/>
              </w:rPr>
              <w:t xml:space="preserve"> </w:t>
            </w:r>
          </w:p>
        </w:tc>
      </w:tr>
      <w:tr w:rsidR="51A6AB2E" w:rsidTr="072C3F49" w14:paraId="685EC9F3">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79EFC1B8" w14:textId="0338424A">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Notes</w:t>
            </w:r>
          </w:p>
        </w:tc>
        <w:tc>
          <w:tcPr>
            <w:tcW w:w="6286" w:type="dxa"/>
            <w:gridSpan w:val="3"/>
            <w:tcBorders>
              <w:top w:val="single" w:sz="8"/>
              <w:left w:val="single" w:sz="8"/>
              <w:bottom w:val="single" w:sz="8"/>
              <w:right w:val="single" w:sz="8"/>
            </w:tcBorders>
            <w:tcMar>
              <w:left w:w="108" w:type="dxa"/>
              <w:right w:w="108" w:type="dxa"/>
            </w:tcMar>
            <w:vAlign w:val="center"/>
          </w:tcPr>
          <w:p w:rsidR="51A6AB2E" w:rsidP="51A6AB2E" w:rsidRDefault="51A6AB2E" w14:paraId="12683137" w14:textId="3C81C758">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Current:</w:t>
            </w:r>
            <w:r w:rsidRPr="51A6AB2E" w:rsidR="51A6AB2E">
              <w:rPr>
                <w:rFonts w:ascii="Arial" w:hAnsi="Arial" w:eastAsia="Arial" w:cs="Arial"/>
                <w:sz w:val="22"/>
                <w:szCs w:val="22"/>
                <w:lang w:val="en-US"/>
              </w:rPr>
              <w:t xml:space="preserve"> Recent evidence.</w:t>
            </w:r>
          </w:p>
          <w:p w:rsidR="51A6AB2E" w:rsidP="51A6AB2E" w:rsidRDefault="51A6AB2E" w14:paraId="617857F2" w14:textId="5BA18285">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Relevant:</w:t>
            </w:r>
            <w:r w:rsidRPr="51A6AB2E" w:rsidR="51A6AB2E">
              <w:rPr>
                <w:rFonts w:ascii="Arial" w:hAnsi="Arial" w:eastAsia="Arial" w:cs="Arial"/>
                <w:sz w:val="22"/>
                <w:szCs w:val="22"/>
                <w:lang w:val="en-US"/>
              </w:rPr>
              <w:t xml:space="preserve"> Focuses on emotional dysregulation in women.</w:t>
            </w:r>
          </w:p>
          <w:p w:rsidR="51A6AB2E" w:rsidP="51A6AB2E" w:rsidRDefault="51A6AB2E" w14:paraId="6F1BCED6" w14:textId="21EBCB59">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Authority:</w:t>
            </w:r>
            <w:r w:rsidRPr="51A6AB2E" w:rsidR="51A6AB2E">
              <w:rPr>
                <w:rFonts w:ascii="Arial" w:hAnsi="Arial" w:eastAsia="Arial" w:cs="Arial"/>
                <w:sz w:val="22"/>
                <w:szCs w:val="22"/>
                <w:lang w:val="en-US"/>
              </w:rPr>
              <w:t xml:space="preserve"> Published in </w:t>
            </w:r>
            <w:r w:rsidRPr="51A6AB2E" w:rsidR="51A6AB2E">
              <w:rPr>
                <w:rFonts w:ascii="Arial" w:hAnsi="Arial" w:eastAsia="Arial" w:cs="Arial"/>
                <w:i w:val="1"/>
                <w:iCs w:val="1"/>
                <w:sz w:val="22"/>
                <w:szCs w:val="22"/>
                <w:lang w:val="en-US"/>
              </w:rPr>
              <w:t>PLOS One</w:t>
            </w:r>
            <w:r w:rsidRPr="51A6AB2E" w:rsidR="51A6AB2E">
              <w:rPr>
                <w:rFonts w:ascii="Arial" w:hAnsi="Arial" w:eastAsia="Arial" w:cs="Arial"/>
                <w:sz w:val="22"/>
                <w:szCs w:val="22"/>
                <w:lang w:val="en-US"/>
              </w:rPr>
              <w:t>.</w:t>
            </w:r>
          </w:p>
          <w:p w:rsidR="51A6AB2E" w:rsidP="51A6AB2E" w:rsidRDefault="51A6AB2E" w14:paraId="4B0484F6" w14:textId="79643641">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Accuracy:</w:t>
            </w:r>
            <w:r w:rsidRPr="51A6AB2E" w:rsidR="51A6AB2E">
              <w:rPr>
                <w:rFonts w:ascii="Arial" w:hAnsi="Arial" w:eastAsia="Arial" w:cs="Arial"/>
                <w:sz w:val="22"/>
                <w:szCs w:val="22"/>
                <w:lang w:val="en-US"/>
              </w:rPr>
              <w:t xml:space="preserve"> Controlled study design.</w:t>
            </w:r>
          </w:p>
          <w:p w:rsidR="51A6AB2E" w:rsidP="51A6AB2E" w:rsidRDefault="51A6AB2E" w14:paraId="489D2B95" w14:textId="44F6991A">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Purpose:</w:t>
            </w:r>
            <w:r w:rsidRPr="51A6AB2E" w:rsidR="51A6AB2E">
              <w:rPr>
                <w:rFonts w:ascii="Arial" w:hAnsi="Arial" w:eastAsia="Arial" w:cs="Arial"/>
                <w:sz w:val="22"/>
                <w:szCs w:val="22"/>
                <w:lang w:val="en-US"/>
              </w:rPr>
              <w:t xml:space="preserve"> Improve understanding of female ADHD.</w:t>
            </w:r>
          </w:p>
          <w:p w:rsidR="51A6AB2E" w:rsidP="51A6AB2E" w:rsidRDefault="51A6AB2E" w14:paraId="5FE8F415" w14:textId="62A47BE9">
            <w:pPr>
              <w:spacing w:before="0" w:beforeAutospacing="off" w:after="0" w:afterAutospacing="off"/>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 </w:t>
            </w:r>
          </w:p>
        </w:tc>
        <w:tc>
          <w:tcPr>
            <w:tcW w:w="1559" w:type="dxa"/>
            <w:tcBorders>
              <w:top w:val="single" w:sz="8"/>
              <w:left w:val="nil"/>
              <w:bottom w:val="single" w:sz="8"/>
              <w:right w:val="single" w:sz="8"/>
            </w:tcBorders>
            <w:tcMar>
              <w:left w:w="108" w:type="dxa"/>
              <w:right w:w="108" w:type="dxa"/>
            </w:tcMar>
            <w:vAlign w:val="center"/>
          </w:tcPr>
          <w:p w:rsidR="51A6AB2E" w:rsidP="51A6AB2E" w:rsidRDefault="51A6AB2E" w14:paraId="6149B528" w14:textId="1F51F818">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Score</w:t>
            </w:r>
          </w:p>
          <w:p w:rsidR="51A6AB2E" w:rsidP="51A6AB2E" w:rsidRDefault="51A6AB2E" w14:paraId="50705A0A" w14:textId="291EEABA">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5/5</w:t>
            </w:r>
          </w:p>
        </w:tc>
      </w:tr>
      <w:tr w:rsidR="51A6AB2E" w:rsidTr="072C3F49" w14:paraId="19B40FA1">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7438CBB7" w14:textId="35BB4FB5">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Article 10 </w:t>
            </w:r>
          </w:p>
        </w:tc>
        <w:tc>
          <w:tcPr>
            <w:tcW w:w="1012" w:type="dxa"/>
            <w:tcBorders>
              <w:top w:val="single" w:sz="8"/>
              <w:left w:val="single" w:sz="8"/>
              <w:bottom w:val="single" w:sz="8"/>
              <w:right w:val="single" w:sz="8"/>
            </w:tcBorders>
            <w:tcMar>
              <w:left w:w="108" w:type="dxa"/>
              <w:right w:w="108" w:type="dxa"/>
            </w:tcMar>
            <w:vAlign w:val="top"/>
          </w:tcPr>
          <w:p w:rsidR="51A6AB2E" w:rsidP="51A6AB2E" w:rsidRDefault="51A6AB2E" w14:paraId="38DB0F05" w14:textId="31589474">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Quinn and Madhoo (2014)</w:t>
            </w:r>
          </w:p>
        </w:tc>
        <w:tc>
          <w:tcPr>
            <w:tcW w:w="2319" w:type="dxa"/>
            <w:tcBorders>
              <w:top w:val="nil" w:sz="8"/>
              <w:left w:val="single" w:sz="8"/>
              <w:bottom w:val="single" w:sz="8"/>
              <w:right w:val="single" w:sz="8"/>
            </w:tcBorders>
            <w:tcMar>
              <w:left w:w="108" w:type="dxa"/>
              <w:right w:w="108" w:type="dxa"/>
            </w:tcMar>
            <w:vAlign w:val="center"/>
          </w:tcPr>
          <w:p w:rsidR="51A6AB2E" w:rsidP="51A6AB2E" w:rsidRDefault="51A6AB2E" w14:paraId="06A7E647" w14:textId="1542FECE">
            <w:pPr>
              <w:spacing w:before="0" w:beforeAutospacing="off" w:after="0" w:afterAutospacing="off"/>
              <w:rPr>
                <w:rFonts w:ascii="Arial" w:hAnsi="Arial" w:eastAsia="Arial" w:cs="Arial"/>
                <w:i w:val="1"/>
                <w:iCs w:val="1"/>
                <w:sz w:val="22"/>
                <w:szCs w:val="22"/>
                <w:lang w:val="en-US"/>
              </w:rPr>
            </w:pPr>
            <w:r w:rsidRPr="51A6AB2E" w:rsidR="51A6AB2E">
              <w:rPr>
                <w:rFonts w:ascii="Arial" w:hAnsi="Arial" w:eastAsia="Arial" w:cs="Arial"/>
                <w:i w:val="1"/>
                <w:iCs w:val="1"/>
                <w:sz w:val="22"/>
                <w:szCs w:val="22"/>
                <w:lang w:val="en-US"/>
              </w:rPr>
              <w:t>A Review of Attention-Deficit/Hyperactivity Disorder in Women and Girls</w:t>
            </w:r>
          </w:p>
        </w:tc>
        <w:tc>
          <w:tcPr>
            <w:tcW w:w="2955" w:type="dxa"/>
            <w:tcBorders>
              <w:top w:val="nil" w:sz="8"/>
              <w:left w:val="single" w:sz="8"/>
              <w:bottom w:val="single" w:sz="8"/>
              <w:right w:val="single" w:sz="8"/>
            </w:tcBorders>
            <w:tcMar>
              <w:left w:w="108" w:type="dxa"/>
              <w:right w:w="108" w:type="dxa"/>
            </w:tcMar>
            <w:vAlign w:val="center"/>
          </w:tcPr>
          <w:p w:rsidR="51A6AB2E" w:rsidP="51A6AB2E" w:rsidRDefault="51A6AB2E" w14:paraId="72222ECD" w14:textId="683CB56F">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Reviews gender differences in ADHD presentation and diagnosis.</w:t>
            </w:r>
          </w:p>
        </w:tc>
        <w:tc>
          <w:tcPr>
            <w:tcW w:w="1559" w:type="dxa"/>
            <w:tcBorders>
              <w:top w:val="single" w:sz="8"/>
              <w:left w:val="single" w:sz="8"/>
              <w:bottom w:val="single" w:sz="8"/>
              <w:right w:val="single" w:sz="8"/>
            </w:tcBorders>
            <w:tcMar>
              <w:left w:w="108" w:type="dxa"/>
              <w:right w:w="108" w:type="dxa"/>
            </w:tcMar>
            <w:vAlign w:val="center"/>
          </w:tcPr>
          <w:p w:rsidR="51A6AB2E" w:rsidP="51A6AB2E" w:rsidRDefault="51A6AB2E" w14:paraId="3424616F" w14:textId="3CBCD264">
            <w:pPr>
              <w:spacing w:before="0" w:beforeAutospacing="off" w:after="0" w:afterAutospacing="off"/>
              <w:rPr>
                <w:rFonts w:ascii="Arial" w:hAnsi="Arial" w:eastAsia="Arial" w:cs="Arial"/>
                <w:sz w:val="22"/>
                <w:szCs w:val="22"/>
                <w:lang w:val="en-US"/>
              </w:rPr>
            </w:pPr>
            <w:r w:rsidRPr="51A6AB2E" w:rsidR="51A6AB2E">
              <w:rPr>
                <w:rFonts w:ascii="Arial" w:hAnsi="Arial" w:eastAsia="Arial" w:cs="Arial"/>
                <w:sz w:val="22"/>
                <w:szCs w:val="22"/>
                <w:lang w:val="en-US"/>
              </w:rPr>
              <w:t>Gender differences; ADHD in women</w:t>
            </w:r>
          </w:p>
          <w:p w:rsidR="51A6AB2E" w:rsidP="51A6AB2E" w:rsidRDefault="51A6AB2E" w14:paraId="6F4AEF3A" w14:textId="0316F105">
            <w:pPr>
              <w:spacing w:before="0" w:beforeAutospacing="off" w:after="0" w:afterAutospacing="off"/>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 </w:t>
            </w:r>
          </w:p>
        </w:tc>
      </w:tr>
      <w:tr w:rsidR="51A6AB2E" w:rsidTr="072C3F49" w14:paraId="6EC61E9C">
        <w:trPr>
          <w:trHeight w:val="870"/>
        </w:trPr>
        <w:tc>
          <w:tcPr>
            <w:tcW w:w="1170" w:type="dxa"/>
            <w:tcBorders>
              <w:top w:val="single" w:sz="8"/>
              <w:left w:val="single" w:sz="8"/>
              <w:bottom w:val="single" w:sz="8"/>
              <w:right w:val="single" w:sz="8"/>
            </w:tcBorders>
            <w:tcMar>
              <w:left w:w="108" w:type="dxa"/>
              <w:right w:w="108" w:type="dxa"/>
            </w:tcMar>
            <w:vAlign w:val="center"/>
          </w:tcPr>
          <w:p w:rsidR="51A6AB2E" w:rsidP="51A6AB2E" w:rsidRDefault="51A6AB2E" w14:paraId="316AD5EC" w14:textId="43DEA43E">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CRAAP Notes </w:t>
            </w:r>
          </w:p>
        </w:tc>
        <w:tc>
          <w:tcPr>
            <w:tcW w:w="6286" w:type="dxa"/>
            <w:gridSpan w:val="3"/>
            <w:tcBorders>
              <w:top w:val="single" w:sz="8"/>
              <w:left w:val="single" w:sz="8"/>
              <w:bottom w:val="single" w:sz="8"/>
              <w:right w:val="single" w:sz="8"/>
            </w:tcBorders>
            <w:tcMar>
              <w:left w:w="108" w:type="dxa"/>
              <w:right w:w="108" w:type="dxa"/>
            </w:tcMar>
            <w:vAlign w:val="center"/>
          </w:tcPr>
          <w:p w:rsidR="51A6AB2E" w:rsidP="51A6AB2E" w:rsidRDefault="51A6AB2E" w14:paraId="25508575" w14:textId="2C1D11C4">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Current:</w:t>
            </w:r>
            <w:r w:rsidRPr="51A6AB2E" w:rsidR="51A6AB2E">
              <w:rPr>
                <w:rFonts w:ascii="Arial" w:hAnsi="Arial" w:eastAsia="Arial" w:cs="Arial"/>
                <w:sz w:val="22"/>
                <w:szCs w:val="22"/>
                <w:lang w:val="en-US"/>
              </w:rPr>
              <w:t xml:space="preserve"> Older but still highly cited.</w:t>
            </w:r>
          </w:p>
          <w:p w:rsidR="51A6AB2E" w:rsidP="51A6AB2E" w:rsidRDefault="51A6AB2E" w14:paraId="232BB7C3" w14:textId="6B9BB9A2">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Relevant:</w:t>
            </w:r>
            <w:r w:rsidRPr="51A6AB2E" w:rsidR="51A6AB2E">
              <w:rPr>
                <w:rFonts w:ascii="Arial" w:hAnsi="Arial" w:eastAsia="Arial" w:cs="Arial"/>
                <w:sz w:val="22"/>
                <w:szCs w:val="22"/>
                <w:lang w:val="en-US"/>
              </w:rPr>
              <w:t xml:space="preserve"> Seminal work on ADHD in women.</w:t>
            </w:r>
          </w:p>
          <w:p w:rsidR="51A6AB2E" w:rsidP="51A6AB2E" w:rsidRDefault="51A6AB2E" w14:paraId="17D4732D" w14:textId="2BAC178A">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Authority:</w:t>
            </w:r>
            <w:r w:rsidRPr="51A6AB2E" w:rsidR="51A6AB2E">
              <w:rPr>
                <w:rFonts w:ascii="Arial" w:hAnsi="Arial" w:eastAsia="Arial" w:cs="Arial"/>
                <w:sz w:val="22"/>
                <w:szCs w:val="22"/>
                <w:lang w:val="en-US"/>
              </w:rPr>
              <w:t xml:space="preserve"> Specialist psychiatric journal.</w:t>
            </w:r>
          </w:p>
          <w:p w:rsidR="51A6AB2E" w:rsidP="51A6AB2E" w:rsidRDefault="51A6AB2E" w14:paraId="50163758" w14:textId="4C2C54D9">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Accuracy:</w:t>
            </w:r>
            <w:r w:rsidRPr="51A6AB2E" w:rsidR="51A6AB2E">
              <w:rPr>
                <w:rFonts w:ascii="Arial" w:hAnsi="Arial" w:eastAsia="Arial" w:cs="Arial"/>
                <w:sz w:val="22"/>
                <w:szCs w:val="22"/>
                <w:lang w:val="en-US"/>
              </w:rPr>
              <w:t xml:space="preserve"> Comprehensive review.</w:t>
            </w:r>
          </w:p>
          <w:p w:rsidR="51A6AB2E" w:rsidP="51A6AB2E" w:rsidRDefault="51A6AB2E" w14:paraId="1BE1B8B9" w14:textId="1BD916DC">
            <w:pPr>
              <w:pStyle w:val="ListParagraph"/>
              <w:numPr>
                <w:ilvl w:val="0"/>
                <w:numId w:val="120"/>
              </w:numPr>
              <w:spacing w:before="36" w:beforeAutospacing="off" w:after="36" w:afterAutospacing="off"/>
              <w:ind w:left="720" w:right="0" w:hanging="360"/>
              <w:rPr>
                <w:rFonts w:ascii="Arial" w:hAnsi="Arial" w:eastAsia="Arial" w:cs="Arial"/>
                <w:sz w:val="22"/>
                <w:szCs w:val="22"/>
                <w:lang w:val="en-US"/>
              </w:rPr>
            </w:pPr>
            <w:r w:rsidRPr="51A6AB2E" w:rsidR="51A6AB2E">
              <w:rPr>
                <w:rFonts w:ascii="Arial" w:hAnsi="Arial" w:eastAsia="Arial" w:cs="Arial"/>
                <w:b w:val="1"/>
                <w:bCs w:val="1"/>
                <w:sz w:val="22"/>
                <w:szCs w:val="22"/>
                <w:lang w:val="en-US"/>
              </w:rPr>
              <w:t>Purpose:</w:t>
            </w:r>
            <w:r w:rsidRPr="51A6AB2E" w:rsidR="51A6AB2E">
              <w:rPr>
                <w:rFonts w:ascii="Arial" w:hAnsi="Arial" w:eastAsia="Arial" w:cs="Arial"/>
                <w:sz w:val="22"/>
                <w:szCs w:val="22"/>
                <w:lang w:val="en-US"/>
              </w:rPr>
              <w:t xml:space="preserve"> Increase awareness of gender differences.</w:t>
            </w:r>
          </w:p>
          <w:p w:rsidR="51A6AB2E" w:rsidP="51A6AB2E" w:rsidRDefault="51A6AB2E" w14:paraId="7E6D529F" w14:textId="58849E46">
            <w:pPr>
              <w:spacing w:before="0" w:beforeAutospacing="off" w:after="0" w:afterAutospacing="off"/>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 xml:space="preserve"> </w:t>
            </w:r>
          </w:p>
        </w:tc>
        <w:tc>
          <w:tcPr>
            <w:tcW w:w="1559" w:type="dxa"/>
            <w:tcBorders>
              <w:top w:val="single" w:sz="8"/>
              <w:left w:val="nil"/>
              <w:bottom w:val="single" w:sz="8"/>
              <w:right w:val="single" w:sz="8"/>
            </w:tcBorders>
            <w:tcMar>
              <w:left w:w="108" w:type="dxa"/>
              <w:right w:w="108" w:type="dxa"/>
            </w:tcMar>
            <w:vAlign w:val="center"/>
          </w:tcPr>
          <w:p w:rsidR="51A6AB2E" w:rsidP="51A6AB2E" w:rsidRDefault="51A6AB2E" w14:paraId="66540063" w14:textId="5C0BB7B7">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CRAAP Score</w:t>
            </w:r>
          </w:p>
          <w:p w:rsidR="51A6AB2E" w:rsidP="51A6AB2E" w:rsidRDefault="51A6AB2E" w14:paraId="47025AA9" w14:textId="601F91B5">
            <w:pPr>
              <w:spacing w:before="0" w:beforeAutospacing="off" w:after="0" w:afterAutospacing="off"/>
              <w:jc w:val="center"/>
              <w:rPr>
                <w:rFonts w:ascii="Arial" w:hAnsi="Arial" w:eastAsia="Arial" w:cs="Arial"/>
                <w:b w:val="1"/>
                <w:bCs w:val="1"/>
                <w:sz w:val="22"/>
                <w:szCs w:val="22"/>
                <w:lang w:val="en-US"/>
              </w:rPr>
            </w:pPr>
            <w:r w:rsidRPr="51A6AB2E" w:rsidR="51A6AB2E">
              <w:rPr>
                <w:rFonts w:ascii="Arial" w:hAnsi="Arial" w:eastAsia="Arial" w:cs="Arial"/>
                <w:b w:val="1"/>
                <w:bCs w:val="1"/>
                <w:sz w:val="22"/>
                <w:szCs w:val="22"/>
                <w:lang w:val="en-US"/>
              </w:rPr>
              <w:t>5/5</w:t>
            </w:r>
          </w:p>
        </w:tc>
      </w:tr>
    </w:tbl>
    <w:p w:rsidR="00621776" w:rsidP="51A6AB2E" w:rsidRDefault="00621776" w14:paraId="5E02AF15" w14:textId="5D77AC34">
      <w:pPr>
        <w:rPr>
          <w:rFonts w:ascii="Arial" w:hAnsi="Arial" w:eastAsia="Arial" w:cs="Arial"/>
          <w:sz w:val="22"/>
          <w:szCs w:val="22"/>
        </w:rPr>
      </w:pPr>
    </w:p>
    <w:p w:rsidR="51A6AB2E" w:rsidP="51A6AB2E" w:rsidRDefault="51A6AB2E" w14:paraId="146D50B3" w14:textId="710D3555">
      <w:pPr>
        <w:pStyle w:val="Heading1"/>
        <w:spacing w:before="480" w:beforeAutospacing="off" w:line="276" w:lineRule="auto"/>
        <w:rPr>
          <w:rFonts w:ascii="Arial" w:hAnsi="Arial" w:eastAsia="Arial" w:cs="Arial"/>
          <w:noProof w:val="0"/>
          <w:color w:val="365F91"/>
          <w:sz w:val="22"/>
          <w:szCs w:val="22"/>
          <w:lang w:val="en-US"/>
        </w:rPr>
      </w:pPr>
    </w:p>
    <w:p w:rsidR="51A6AB2E" w:rsidP="51A6AB2E" w:rsidRDefault="51A6AB2E" w14:paraId="55875812" w14:textId="24E61074">
      <w:pPr>
        <w:pStyle w:val="Heading1"/>
        <w:spacing w:before="480" w:beforeAutospacing="off" w:line="276" w:lineRule="auto"/>
        <w:rPr>
          <w:rFonts w:ascii="Calibri" w:hAnsi="Calibri" w:eastAsia="Calibri" w:cs="Calibri"/>
          <w:noProof w:val="0"/>
          <w:color w:val="365F91"/>
          <w:sz w:val="18"/>
          <w:szCs w:val="18"/>
          <w:lang w:val="en-US"/>
        </w:rPr>
      </w:pPr>
    </w:p>
    <w:p w:rsidR="51A6AB2E" w:rsidP="51A6AB2E" w:rsidRDefault="51A6AB2E" w14:paraId="250D5822" w14:textId="248AE197">
      <w:pPr>
        <w:pStyle w:val="Heading1"/>
        <w:spacing w:before="480" w:beforeAutospacing="off" w:line="276" w:lineRule="auto"/>
        <w:rPr>
          <w:rFonts w:ascii="Calibri" w:hAnsi="Calibri" w:eastAsia="Calibri" w:cs="Calibri"/>
          <w:noProof w:val="0"/>
          <w:color w:val="365F91"/>
          <w:sz w:val="18"/>
          <w:szCs w:val="18"/>
          <w:lang w:val="en-US"/>
        </w:rPr>
      </w:pPr>
    </w:p>
    <w:p w:rsidR="51A6AB2E" w:rsidP="51A6AB2E" w:rsidRDefault="51A6AB2E" w14:paraId="459DA18A" w14:textId="0C289549">
      <w:pPr>
        <w:pStyle w:val="Heading1"/>
        <w:spacing w:before="480" w:beforeAutospacing="off" w:line="276" w:lineRule="auto"/>
        <w:rPr>
          <w:rFonts w:ascii="Calibri" w:hAnsi="Calibri" w:eastAsia="Calibri" w:cs="Calibri"/>
          <w:noProof w:val="0"/>
          <w:color w:val="365F91"/>
          <w:sz w:val="18"/>
          <w:szCs w:val="18"/>
          <w:lang w:val="en-US"/>
        </w:rPr>
      </w:pPr>
    </w:p>
    <w:p w:rsidR="51A6AB2E" w:rsidP="51A6AB2E" w:rsidRDefault="51A6AB2E" w14:paraId="41AA2EDE" w14:textId="408F64EF">
      <w:pPr>
        <w:pStyle w:val="Heading1"/>
        <w:spacing w:before="480" w:beforeAutospacing="off" w:line="276" w:lineRule="auto"/>
        <w:rPr>
          <w:rFonts w:ascii="Calibri" w:hAnsi="Calibri" w:eastAsia="Calibri" w:cs="Calibri"/>
          <w:noProof w:val="0"/>
          <w:color w:val="365F91"/>
          <w:sz w:val="18"/>
          <w:szCs w:val="18"/>
          <w:lang w:val="en-US"/>
        </w:rPr>
      </w:pPr>
    </w:p>
    <w:p w:rsidR="51A6AB2E" w:rsidP="51A6AB2E" w:rsidRDefault="51A6AB2E" w14:paraId="6258CFB2" w14:textId="2B12EB4D">
      <w:pPr>
        <w:pStyle w:val="Heading1"/>
        <w:spacing w:before="480" w:beforeAutospacing="off" w:line="276" w:lineRule="auto"/>
        <w:rPr>
          <w:rFonts w:ascii="Calibri" w:hAnsi="Calibri" w:eastAsia="Calibri" w:cs="Calibri"/>
          <w:noProof w:val="0"/>
          <w:color w:val="365F91"/>
          <w:sz w:val="18"/>
          <w:szCs w:val="18"/>
          <w:lang w:val="en-US"/>
        </w:rPr>
      </w:pPr>
    </w:p>
    <w:p w:rsidR="4B13576D" w:rsidP="4B13576D" w:rsidRDefault="4B13576D" w14:paraId="56A9A8FC" w14:textId="113CB0E1">
      <w:pPr>
        <w:pStyle w:val="Heading1"/>
        <w:spacing w:before="480" w:beforeAutospacing="off" w:line="276" w:lineRule="auto"/>
        <w:jc w:val="center"/>
        <w:rPr>
          <w:rFonts w:ascii="ariasl" w:hAnsi="ariasl" w:eastAsia="ariasl" w:cs="ariasl"/>
          <w:b w:val="1"/>
          <w:bCs w:val="1"/>
          <w:noProof w:val="0"/>
          <w:color w:val="000000" w:themeColor="text1" w:themeTint="FF" w:themeShade="FF"/>
          <w:sz w:val="24"/>
          <w:szCs w:val="24"/>
          <w:lang w:val="en-US"/>
        </w:rPr>
      </w:pPr>
    </w:p>
    <w:p w:rsidR="4B13576D" w:rsidP="4B13576D" w:rsidRDefault="4B13576D" w14:paraId="71254DC3" w14:textId="67452348">
      <w:pPr>
        <w:pStyle w:val="Heading1"/>
        <w:spacing w:before="480" w:beforeAutospacing="off" w:line="276" w:lineRule="auto"/>
        <w:jc w:val="center"/>
        <w:rPr>
          <w:rFonts w:ascii="ariasl" w:hAnsi="ariasl" w:eastAsia="ariasl" w:cs="ariasl"/>
          <w:b w:val="1"/>
          <w:bCs w:val="1"/>
          <w:noProof w:val="0"/>
          <w:color w:val="000000" w:themeColor="text1" w:themeTint="FF" w:themeShade="FF"/>
          <w:sz w:val="24"/>
          <w:szCs w:val="24"/>
          <w:lang w:val="en-US"/>
        </w:rPr>
      </w:pPr>
    </w:p>
    <w:p w:rsidR="4B13576D" w:rsidP="4B13576D" w:rsidRDefault="4B13576D" w14:paraId="10E30186" w14:textId="470C2E26">
      <w:pPr>
        <w:pStyle w:val="Heading1"/>
        <w:spacing w:before="480" w:beforeAutospacing="off" w:line="276" w:lineRule="auto"/>
        <w:jc w:val="center"/>
        <w:rPr>
          <w:rFonts w:ascii="ariasl" w:hAnsi="ariasl" w:eastAsia="ariasl" w:cs="ariasl"/>
          <w:b w:val="1"/>
          <w:bCs w:val="1"/>
          <w:noProof w:val="0"/>
          <w:color w:val="000000" w:themeColor="text1" w:themeTint="FF" w:themeShade="FF"/>
          <w:sz w:val="24"/>
          <w:szCs w:val="24"/>
          <w:lang w:val="en-US"/>
        </w:rPr>
      </w:pPr>
    </w:p>
    <w:p w:rsidR="4B13576D" w:rsidP="4B13576D" w:rsidRDefault="4B13576D" w14:paraId="11539BA7" w14:textId="04BBB70C">
      <w:pPr>
        <w:pStyle w:val="Heading1"/>
        <w:spacing w:before="480" w:beforeAutospacing="off" w:line="276" w:lineRule="auto"/>
        <w:jc w:val="center"/>
        <w:rPr>
          <w:rFonts w:ascii="ariasl" w:hAnsi="ariasl" w:eastAsia="ariasl" w:cs="ariasl"/>
          <w:b w:val="1"/>
          <w:bCs w:val="1"/>
          <w:noProof w:val="0"/>
          <w:color w:val="000000" w:themeColor="text1" w:themeTint="FF" w:themeShade="FF"/>
          <w:sz w:val="24"/>
          <w:szCs w:val="24"/>
          <w:lang w:val="en-US"/>
        </w:rPr>
      </w:pPr>
    </w:p>
    <w:p w:rsidR="4B13576D" w:rsidP="4B13576D" w:rsidRDefault="4B13576D" w14:paraId="20FEEAAA" w14:textId="1FFA9492">
      <w:pPr>
        <w:pStyle w:val="Heading1"/>
        <w:spacing w:before="480" w:beforeAutospacing="off" w:line="276" w:lineRule="auto"/>
        <w:jc w:val="center"/>
        <w:rPr>
          <w:rFonts w:ascii="ariasl" w:hAnsi="ariasl" w:eastAsia="ariasl" w:cs="ariasl"/>
          <w:b w:val="1"/>
          <w:bCs w:val="1"/>
          <w:noProof w:val="0"/>
          <w:color w:val="000000" w:themeColor="text1" w:themeTint="FF" w:themeShade="FF"/>
          <w:sz w:val="24"/>
          <w:szCs w:val="24"/>
          <w:lang w:val="en-US"/>
        </w:rPr>
      </w:pPr>
    </w:p>
    <w:p w:rsidR="3DF02E74" w:rsidP="072C3F49" w:rsidRDefault="3DF02E74" w14:paraId="139CA976" w14:textId="3F43E223">
      <w:pPr>
        <w:pStyle w:val="Heading1"/>
        <w:spacing w:before="480" w:beforeAutospacing="off" w:line="276" w:lineRule="auto"/>
        <w:jc w:val="center"/>
        <w:rPr>
          <w:rFonts w:ascii="ariasl" w:hAnsi="ariasl" w:eastAsia="ariasl" w:cs="ariasl"/>
          <w:b w:val="1"/>
          <w:bCs w:val="1"/>
          <w:noProof w:val="0"/>
          <w:color w:val="000000" w:themeColor="text1" w:themeTint="FF" w:themeShade="FF"/>
          <w:sz w:val="24"/>
          <w:szCs w:val="24"/>
          <w:lang w:val="en-US"/>
        </w:rPr>
      </w:pPr>
      <w:bookmarkStart w:name="_Toc1321279001" w:id="1764712824"/>
      <w:r w:rsidRPr="4B13576D" w:rsidR="630D2488">
        <w:rPr>
          <w:rFonts w:ascii="ariasl" w:hAnsi="ariasl" w:eastAsia="ariasl" w:cs="ariasl"/>
          <w:b w:val="1"/>
          <w:bCs w:val="1"/>
          <w:noProof w:val="0"/>
          <w:color w:val="000000" w:themeColor="text1" w:themeTint="FF" w:themeShade="FF"/>
          <w:sz w:val="24"/>
          <w:szCs w:val="24"/>
          <w:lang w:val="en-US"/>
        </w:rPr>
        <w:t>Appendix B</w:t>
      </w:r>
      <w:r w:rsidRPr="4B13576D" w:rsidR="4C7B6E1E">
        <w:rPr>
          <w:rFonts w:ascii="ariasl" w:hAnsi="ariasl" w:eastAsia="ariasl" w:cs="ariasl"/>
          <w:b w:val="1"/>
          <w:bCs w:val="1"/>
          <w:noProof w:val="0"/>
          <w:color w:val="000000" w:themeColor="text1" w:themeTint="FF" w:themeShade="FF"/>
          <w:sz w:val="24"/>
          <w:szCs w:val="24"/>
          <w:lang w:val="en-US"/>
        </w:rPr>
        <w:t xml:space="preserve">: </w:t>
      </w:r>
      <w:r w:rsidRPr="4B13576D" w:rsidR="281524CD">
        <w:rPr>
          <w:rFonts w:ascii="ariasl" w:hAnsi="ariasl" w:eastAsia="ariasl" w:cs="ariasl"/>
          <w:b w:val="1"/>
          <w:bCs w:val="1"/>
          <w:noProof w:val="0"/>
          <w:color w:val="000000" w:themeColor="text1" w:themeTint="FF" w:themeShade="FF"/>
          <w:sz w:val="24"/>
          <w:szCs w:val="24"/>
          <w:lang w:val="en-US"/>
        </w:rPr>
        <w:t>BMHP6020 Independent Project Results Summary Tabl</w:t>
      </w:r>
      <w:r w:rsidRPr="4B13576D" w:rsidR="48E4E577">
        <w:rPr>
          <w:rFonts w:ascii="ariasl" w:hAnsi="ariasl" w:eastAsia="ariasl" w:cs="ariasl"/>
          <w:b w:val="1"/>
          <w:bCs w:val="1"/>
          <w:noProof w:val="0"/>
          <w:color w:val="000000" w:themeColor="text1" w:themeTint="FF" w:themeShade="FF"/>
          <w:sz w:val="24"/>
          <w:szCs w:val="24"/>
          <w:lang w:val="en-US"/>
        </w:rPr>
        <w:t>e</w:t>
      </w:r>
      <w:bookmarkEnd w:id="1764712824"/>
    </w:p>
    <w:tbl>
      <w:tblPr>
        <w:tblStyle w:val="TableGrid"/>
        <w:tblW w:w="0" w:type="auto"/>
        <w:tblLook w:val="06A0" w:firstRow="1" w:lastRow="0" w:firstColumn="1" w:lastColumn="0" w:noHBand="1" w:noVBand="1"/>
      </w:tblPr>
      <w:tblGrid>
        <w:gridCol w:w="870"/>
        <w:gridCol w:w="1170"/>
        <w:gridCol w:w="1155"/>
        <w:gridCol w:w="1125"/>
        <w:gridCol w:w="1314"/>
        <w:gridCol w:w="1350"/>
        <w:gridCol w:w="1110"/>
        <w:gridCol w:w="1050"/>
      </w:tblGrid>
      <w:tr w:rsidR="51A6AB2E" w:rsidTr="51A6AB2E" w14:paraId="65B1FB82">
        <w:trPr>
          <w:trHeight w:val="300"/>
        </w:trPr>
        <w:tc>
          <w:tcPr>
            <w:tcW w:w="870" w:type="dxa"/>
            <w:shd w:val="clear" w:color="auto" w:fill="B4C6E7" w:themeFill="accent1" w:themeFillTint="66"/>
            <w:tcMar/>
          </w:tcPr>
          <w:p w:rsidR="6F987B77" w:rsidP="51A6AB2E" w:rsidRDefault="6F987B77" w14:paraId="209BFDED" w14:textId="2F77E093">
            <w:pPr>
              <w:pStyle w:val="Normal"/>
              <w:rPr>
                <w:rFonts w:ascii="Arial" w:hAnsi="Arial" w:eastAsia="Arial" w:cs="Arial"/>
                <w:b w:val="1"/>
                <w:bCs w:val="1"/>
                <w:noProof w:val="0"/>
                <w:sz w:val="18"/>
                <w:szCs w:val="18"/>
                <w:lang w:val="en-GB"/>
              </w:rPr>
            </w:pPr>
            <w:r w:rsidRPr="51A6AB2E" w:rsidR="6F987B77">
              <w:rPr>
                <w:rFonts w:ascii="Arial" w:hAnsi="Arial" w:eastAsia="Arial" w:cs="Arial"/>
                <w:b w:val="1"/>
                <w:bCs w:val="1"/>
                <w:noProof w:val="0"/>
                <w:sz w:val="18"/>
                <w:szCs w:val="18"/>
                <w:lang w:val="en-GB"/>
              </w:rPr>
              <w:t>Author &amp; Year</w:t>
            </w:r>
          </w:p>
        </w:tc>
        <w:tc>
          <w:tcPr>
            <w:tcW w:w="1170" w:type="dxa"/>
            <w:shd w:val="clear" w:color="auto" w:fill="B4C6E7" w:themeFill="accent1" w:themeFillTint="66"/>
            <w:tcMar/>
          </w:tcPr>
          <w:p w:rsidR="0E5D01B3" w:rsidP="51A6AB2E" w:rsidRDefault="0E5D01B3" w14:paraId="32BE9376" w14:textId="1B90CD71">
            <w:pPr>
              <w:pStyle w:val="Normal"/>
              <w:rPr>
                <w:rFonts w:ascii="Arial" w:hAnsi="Arial" w:eastAsia="Arial" w:cs="Arial"/>
                <w:b w:val="1"/>
                <w:bCs w:val="1"/>
                <w:sz w:val="18"/>
                <w:szCs w:val="18"/>
              </w:rPr>
            </w:pPr>
            <w:r w:rsidRPr="51A6AB2E" w:rsidR="0E5D01B3">
              <w:rPr>
                <w:rFonts w:ascii="Arial" w:hAnsi="Arial" w:eastAsia="Arial" w:cs="Arial"/>
                <w:b w:val="1"/>
                <w:bCs w:val="1"/>
                <w:sz w:val="18"/>
                <w:szCs w:val="18"/>
              </w:rPr>
              <w:t>Article Title</w:t>
            </w:r>
          </w:p>
        </w:tc>
        <w:tc>
          <w:tcPr>
            <w:tcW w:w="1155" w:type="dxa"/>
            <w:shd w:val="clear" w:color="auto" w:fill="B4C6E7" w:themeFill="accent1" w:themeFillTint="66"/>
            <w:tcMar/>
          </w:tcPr>
          <w:p w:rsidR="0E5D01B3" w:rsidP="51A6AB2E" w:rsidRDefault="0E5D01B3" w14:paraId="5B02DE33" w14:textId="682F9BE8">
            <w:pPr>
              <w:pStyle w:val="Normal"/>
              <w:rPr>
                <w:rFonts w:ascii="Arial" w:hAnsi="Arial" w:eastAsia="Arial" w:cs="Arial"/>
                <w:b w:val="1"/>
                <w:bCs w:val="1"/>
                <w:sz w:val="18"/>
                <w:szCs w:val="18"/>
              </w:rPr>
            </w:pPr>
            <w:r w:rsidRPr="51A6AB2E" w:rsidR="0E5D01B3">
              <w:rPr>
                <w:rFonts w:ascii="Arial" w:hAnsi="Arial" w:eastAsia="Arial" w:cs="Arial"/>
                <w:b w:val="1"/>
                <w:bCs w:val="1"/>
                <w:sz w:val="18"/>
                <w:szCs w:val="18"/>
              </w:rPr>
              <w:t>Type of Study</w:t>
            </w:r>
          </w:p>
        </w:tc>
        <w:tc>
          <w:tcPr>
            <w:tcW w:w="1125" w:type="dxa"/>
            <w:shd w:val="clear" w:color="auto" w:fill="B4C6E7" w:themeFill="accent1" w:themeFillTint="66"/>
            <w:tcMar/>
          </w:tcPr>
          <w:p w:rsidR="0E5D01B3" w:rsidP="51A6AB2E" w:rsidRDefault="0E5D01B3" w14:paraId="129D9F0C" w14:textId="3699539F">
            <w:pPr>
              <w:pStyle w:val="Normal"/>
              <w:rPr>
                <w:rFonts w:ascii="Arial" w:hAnsi="Arial" w:eastAsia="Arial" w:cs="Arial"/>
                <w:b w:val="1"/>
                <w:bCs w:val="1"/>
                <w:sz w:val="18"/>
                <w:szCs w:val="18"/>
              </w:rPr>
            </w:pPr>
            <w:r w:rsidRPr="51A6AB2E" w:rsidR="0E5D01B3">
              <w:rPr>
                <w:rFonts w:ascii="Arial" w:hAnsi="Arial" w:eastAsia="Arial" w:cs="Arial"/>
                <w:b w:val="1"/>
                <w:bCs w:val="1"/>
                <w:sz w:val="18"/>
                <w:szCs w:val="18"/>
              </w:rPr>
              <w:t>Method &amp;</w:t>
            </w:r>
            <w:r w:rsidRPr="51A6AB2E" w:rsidR="06EFB434">
              <w:rPr>
                <w:rFonts w:ascii="Arial" w:hAnsi="Arial" w:eastAsia="Arial" w:cs="Arial"/>
                <w:b w:val="1"/>
                <w:bCs w:val="1"/>
                <w:sz w:val="18"/>
                <w:szCs w:val="18"/>
              </w:rPr>
              <w:t xml:space="preserve"> </w:t>
            </w:r>
            <w:r w:rsidRPr="51A6AB2E" w:rsidR="0E5D01B3">
              <w:rPr>
                <w:rFonts w:ascii="Arial" w:hAnsi="Arial" w:eastAsia="Arial" w:cs="Arial"/>
                <w:b w:val="1"/>
                <w:bCs w:val="1"/>
                <w:sz w:val="18"/>
                <w:szCs w:val="18"/>
              </w:rPr>
              <w:t>sample  size</w:t>
            </w:r>
          </w:p>
        </w:tc>
        <w:tc>
          <w:tcPr>
            <w:tcW w:w="1314" w:type="dxa"/>
            <w:shd w:val="clear" w:color="auto" w:fill="B4C6E7" w:themeFill="accent1" w:themeFillTint="66"/>
            <w:tcMar/>
          </w:tcPr>
          <w:p w:rsidR="0E5D01B3" w:rsidP="51A6AB2E" w:rsidRDefault="0E5D01B3" w14:paraId="20226FF2" w14:textId="7B6F82DF">
            <w:pPr>
              <w:pStyle w:val="Normal"/>
              <w:rPr>
                <w:rFonts w:ascii="Arial" w:hAnsi="Arial" w:eastAsia="Arial" w:cs="Arial"/>
                <w:b w:val="1"/>
                <w:bCs w:val="1"/>
                <w:sz w:val="18"/>
                <w:szCs w:val="18"/>
              </w:rPr>
            </w:pPr>
            <w:r w:rsidRPr="51A6AB2E" w:rsidR="0E5D01B3">
              <w:rPr>
                <w:rFonts w:ascii="Arial" w:hAnsi="Arial" w:eastAsia="Arial" w:cs="Arial"/>
                <w:b w:val="1"/>
                <w:bCs w:val="1"/>
                <w:sz w:val="18"/>
                <w:szCs w:val="18"/>
              </w:rPr>
              <w:t>Strengths and limitations</w:t>
            </w:r>
          </w:p>
        </w:tc>
        <w:tc>
          <w:tcPr>
            <w:tcW w:w="1350" w:type="dxa"/>
            <w:shd w:val="clear" w:color="auto" w:fill="B4C6E7" w:themeFill="accent1" w:themeFillTint="66"/>
            <w:tcMar/>
          </w:tcPr>
          <w:p w:rsidR="0E5D01B3" w:rsidP="51A6AB2E" w:rsidRDefault="0E5D01B3" w14:paraId="662F19CD" w14:textId="07FC7073">
            <w:pPr>
              <w:pStyle w:val="Normal"/>
              <w:rPr>
                <w:rFonts w:ascii="Arial" w:hAnsi="Arial" w:eastAsia="Arial" w:cs="Arial"/>
                <w:b w:val="1"/>
                <w:bCs w:val="1"/>
                <w:sz w:val="18"/>
                <w:szCs w:val="18"/>
              </w:rPr>
            </w:pPr>
            <w:r w:rsidRPr="51A6AB2E" w:rsidR="0E5D01B3">
              <w:rPr>
                <w:rFonts w:ascii="Arial" w:hAnsi="Arial" w:eastAsia="Arial" w:cs="Arial"/>
                <w:b w:val="1"/>
                <w:bCs w:val="1"/>
                <w:sz w:val="18"/>
                <w:szCs w:val="18"/>
              </w:rPr>
              <w:t>Main findings</w:t>
            </w:r>
          </w:p>
        </w:tc>
        <w:tc>
          <w:tcPr>
            <w:tcW w:w="1110" w:type="dxa"/>
            <w:shd w:val="clear" w:color="auto" w:fill="B4C6E7" w:themeFill="accent1" w:themeFillTint="66"/>
            <w:tcMar/>
          </w:tcPr>
          <w:p w:rsidR="0E5D01B3" w:rsidP="51A6AB2E" w:rsidRDefault="0E5D01B3" w14:paraId="63E6FD3B" w14:textId="07E60245">
            <w:pPr>
              <w:pStyle w:val="Normal"/>
              <w:rPr>
                <w:rFonts w:ascii="Arial" w:hAnsi="Arial" w:eastAsia="Arial" w:cs="Arial"/>
                <w:b w:val="1"/>
                <w:bCs w:val="1"/>
                <w:sz w:val="18"/>
                <w:szCs w:val="18"/>
              </w:rPr>
            </w:pPr>
            <w:r w:rsidRPr="51A6AB2E" w:rsidR="0E5D01B3">
              <w:rPr>
                <w:rFonts w:ascii="Arial" w:hAnsi="Arial" w:eastAsia="Arial" w:cs="Arial"/>
                <w:b w:val="1"/>
                <w:bCs w:val="1"/>
                <w:sz w:val="18"/>
                <w:szCs w:val="18"/>
              </w:rPr>
              <w:t>Keywords and code</w:t>
            </w:r>
          </w:p>
        </w:tc>
        <w:tc>
          <w:tcPr>
            <w:tcW w:w="1050" w:type="dxa"/>
            <w:shd w:val="clear" w:color="auto" w:fill="B4C6E7" w:themeFill="accent1" w:themeFillTint="66"/>
            <w:tcMar/>
          </w:tcPr>
          <w:p w:rsidR="0E5D01B3" w:rsidP="51A6AB2E" w:rsidRDefault="0E5D01B3" w14:paraId="1FA52F3C" w14:textId="47FD44C4">
            <w:pPr>
              <w:pStyle w:val="Normal"/>
              <w:rPr>
                <w:rFonts w:ascii="Arial" w:hAnsi="Arial" w:eastAsia="Arial" w:cs="Arial"/>
                <w:b w:val="1"/>
                <w:bCs w:val="1"/>
                <w:sz w:val="18"/>
                <w:szCs w:val="18"/>
              </w:rPr>
            </w:pPr>
            <w:r w:rsidRPr="51A6AB2E" w:rsidR="0E5D01B3">
              <w:rPr>
                <w:rFonts w:ascii="Arial" w:hAnsi="Arial" w:eastAsia="Arial" w:cs="Arial"/>
                <w:b w:val="1"/>
                <w:bCs w:val="1"/>
                <w:sz w:val="18"/>
                <w:szCs w:val="18"/>
              </w:rPr>
              <w:t>Notes and comments</w:t>
            </w:r>
          </w:p>
        </w:tc>
      </w:tr>
      <w:tr w:rsidR="51A6AB2E" w:rsidTr="51A6AB2E" w14:paraId="4767C87C">
        <w:trPr>
          <w:trHeight w:val="2295"/>
        </w:trPr>
        <w:tc>
          <w:tcPr>
            <w:tcW w:w="870" w:type="dxa"/>
            <w:tcMar/>
          </w:tcPr>
          <w:p w:rsidR="16A6AFCF" w:rsidP="51A6AB2E" w:rsidRDefault="16A6AFCF" w14:paraId="66FDDA2B" w14:textId="7261120D">
            <w:pPr>
              <w:pStyle w:val="Normal"/>
              <w:rPr>
                <w:rFonts w:ascii="Arial" w:hAnsi="Arial" w:eastAsia="Arial" w:cs="Arial"/>
                <w:noProof w:val="0"/>
                <w:sz w:val="18"/>
                <w:szCs w:val="18"/>
                <w:lang w:val="en-GB"/>
              </w:rPr>
            </w:pPr>
            <w:r w:rsidRPr="51A6AB2E" w:rsidR="16A6AFCF">
              <w:rPr>
                <w:rFonts w:ascii="Arial" w:hAnsi="Arial" w:eastAsia="Arial" w:cs="Arial"/>
                <w:noProof w:val="0"/>
                <w:sz w:val="18"/>
                <w:szCs w:val="18"/>
                <w:lang w:val="en-GB"/>
              </w:rPr>
              <w:t>Attoe and Climie (2023)</w:t>
            </w:r>
          </w:p>
        </w:tc>
        <w:tc>
          <w:tcPr>
            <w:tcW w:w="1170" w:type="dxa"/>
            <w:tcMar/>
          </w:tcPr>
          <w:p w:rsidR="16A6AFCF" w:rsidP="51A6AB2E" w:rsidRDefault="16A6AFCF" w14:paraId="51347FD4" w14:textId="20DE22AB">
            <w:pPr>
              <w:pStyle w:val="Normal"/>
              <w:rPr>
                <w:rFonts w:ascii="Arial" w:hAnsi="Arial" w:eastAsia="Arial" w:cs="Arial"/>
                <w:noProof w:val="0"/>
                <w:sz w:val="18"/>
                <w:szCs w:val="18"/>
                <w:lang w:val="en-GB"/>
              </w:rPr>
            </w:pPr>
            <w:r w:rsidRPr="51A6AB2E" w:rsidR="16A6AFCF">
              <w:rPr>
                <w:rFonts w:ascii="Arial" w:hAnsi="Arial" w:eastAsia="Arial" w:cs="Arial"/>
                <w:noProof w:val="0"/>
                <w:sz w:val="18"/>
                <w:szCs w:val="18"/>
                <w:lang w:val="en-GB"/>
              </w:rPr>
              <w:t>Miss. Diagnosis</w:t>
            </w:r>
            <w:r w:rsidRPr="51A6AB2E" w:rsidR="537CDF85">
              <w:rPr>
                <w:rFonts w:ascii="Arial" w:hAnsi="Arial" w:eastAsia="Arial" w:cs="Arial"/>
                <w:noProof w:val="0"/>
                <w:sz w:val="18"/>
                <w:szCs w:val="18"/>
                <w:lang w:val="en-GB"/>
              </w:rPr>
              <w:t>:</w:t>
            </w:r>
            <w:r w:rsidRPr="51A6AB2E" w:rsidR="16A6AFCF">
              <w:rPr>
                <w:rFonts w:ascii="Arial" w:hAnsi="Arial" w:eastAsia="Arial" w:cs="Arial"/>
                <w:noProof w:val="0"/>
                <w:sz w:val="18"/>
                <w:szCs w:val="18"/>
                <w:lang w:val="en-GB"/>
              </w:rPr>
              <w:t>A Systematic Review of ADHD in Adult Women</w:t>
            </w:r>
          </w:p>
        </w:tc>
        <w:tc>
          <w:tcPr>
            <w:tcW w:w="1155" w:type="dxa"/>
            <w:tcMar/>
          </w:tcPr>
          <w:p w:rsidR="0ECF4E67" w:rsidP="51A6AB2E" w:rsidRDefault="0ECF4E67" w14:paraId="474CA50A" w14:textId="08FD4150">
            <w:pPr>
              <w:pStyle w:val="Normal"/>
              <w:rPr>
                <w:rFonts w:ascii="Arial" w:hAnsi="Arial" w:eastAsia="Arial" w:cs="Arial"/>
                <w:noProof w:val="0"/>
                <w:sz w:val="18"/>
                <w:szCs w:val="18"/>
                <w:lang w:val="en-GB"/>
              </w:rPr>
            </w:pPr>
            <w:r w:rsidRPr="51A6AB2E" w:rsidR="0ECF4E67">
              <w:rPr>
                <w:rFonts w:ascii="Arial" w:hAnsi="Arial" w:eastAsia="Arial" w:cs="Arial"/>
                <w:noProof w:val="0"/>
                <w:sz w:val="18"/>
                <w:szCs w:val="18"/>
                <w:lang w:val="en-GB"/>
              </w:rPr>
              <w:t>Systematic Review</w:t>
            </w:r>
          </w:p>
        </w:tc>
        <w:tc>
          <w:tcPr>
            <w:tcW w:w="1125" w:type="dxa"/>
            <w:tcMar/>
          </w:tcPr>
          <w:p w:rsidR="0ECF4E67" w:rsidP="51A6AB2E" w:rsidRDefault="0ECF4E67" w14:paraId="1DD92190" w14:textId="7F8A1EDE">
            <w:pPr>
              <w:pStyle w:val="Normal"/>
              <w:rPr>
                <w:rFonts w:ascii="Arial" w:hAnsi="Arial" w:eastAsia="Arial" w:cs="Arial"/>
                <w:noProof w:val="0"/>
                <w:sz w:val="18"/>
                <w:szCs w:val="18"/>
                <w:lang w:val="en-GB"/>
              </w:rPr>
            </w:pPr>
            <w:r w:rsidRPr="51A6AB2E" w:rsidR="0ECF4E67">
              <w:rPr>
                <w:rFonts w:ascii="Arial" w:hAnsi="Arial" w:eastAsia="Arial" w:cs="Arial"/>
                <w:noProof w:val="0"/>
                <w:sz w:val="18"/>
                <w:szCs w:val="18"/>
                <w:lang w:val="en-GB"/>
              </w:rPr>
              <w:t>Review of existing studies examining ADHD in adult women.</w:t>
            </w:r>
          </w:p>
        </w:tc>
        <w:tc>
          <w:tcPr>
            <w:tcW w:w="1314" w:type="dxa"/>
            <w:tcMar/>
          </w:tcPr>
          <w:p w:rsidR="0ECF4E67" w:rsidP="51A6AB2E" w:rsidRDefault="0ECF4E67" w14:paraId="5872A9F4" w14:textId="0BA852C3">
            <w:pPr>
              <w:pStyle w:val="Normal"/>
              <w:rPr>
                <w:rFonts w:ascii="Arial" w:hAnsi="Arial" w:eastAsia="Arial" w:cs="Arial"/>
                <w:noProof w:val="0"/>
                <w:sz w:val="18"/>
                <w:szCs w:val="18"/>
                <w:lang w:val="en-GB"/>
              </w:rPr>
            </w:pPr>
            <w:r w:rsidRPr="51A6AB2E" w:rsidR="0ECF4E67">
              <w:rPr>
                <w:rFonts w:ascii="Arial" w:hAnsi="Arial" w:eastAsia="Arial" w:cs="Arial"/>
                <w:b w:val="1"/>
                <w:bCs w:val="1"/>
                <w:noProof w:val="0"/>
                <w:sz w:val="18"/>
                <w:szCs w:val="18"/>
                <w:lang w:val="en-GB"/>
              </w:rPr>
              <w:t>Strengths:</w:t>
            </w:r>
            <w:r w:rsidRPr="51A6AB2E" w:rsidR="0ECF4E67">
              <w:rPr>
                <w:rFonts w:ascii="Arial" w:hAnsi="Arial" w:eastAsia="Arial" w:cs="Arial"/>
                <w:noProof w:val="0"/>
                <w:sz w:val="18"/>
                <w:szCs w:val="18"/>
                <w:lang w:val="en-GB"/>
              </w:rPr>
              <w:t xml:space="preserve"> Comprehensive synthesis of evidence; high credibility. </w:t>
            </w:r>
            <w:r w:rsidRPr="51A6AB2E" w:rsidR="0ECF4E67">
              <w:rPr>
                <w:rFonts w:ascii="Arial" w:hAnsi="Arial" w:eastAsia="Arial" w:cs="Arial"/>
                <w:b w:val="1"/>
                <w:bCs w:val="1"/>
                <w:noProof w:val="0"/>
                <w:sz w:val="18"/>
                <w:szCs w:val="18"/>
                <w:lang w:val="en-GB"/>
              </w:rPr>
              <w:t>Limitations:</w:t>
            </w:r>
            <w:r w:rsidRPr="51A6AB2E" w:rsidR="0ECF4E67">
              <w:rPr>
                <w:rFonts w:ascii="Arial" w:hAnsi="Arial" w:eastAsia="Arial" w:cs="Arial"/>
                <w:noProof w:val="0"/>
                <w:sz w:val="18"/>
                <w:szCs w:val="18"/>
                <w:lang w:val="en-GB"/>
              </w:rPr>
              <w:t xml:space="preserve"> Dependent on quality of included studies.</w:t>
            </w:r>
          </w:p>
        </w:tc>
        <w:tc>
          <w:tcPr>
            <w:tcW w:w="1350" w:type="dxa"/>
            <w:tcMar/>
          </w:tcPr>
          <w:p w:rsidR="1CCF35D6" w:rsidP="51A6AB2E" w:rsidRDefault="1CCF35D6" w14:paraId="35C19816" w14:textId="279DDCFB">
            <w:pPr>
              <w:pStyle w:val="Normal"/>
              <w:rPr>
                <w:rFonts w:ascii="Arial" w:hAnsi="Arial" w:eastAsia="Arial" w:cs="Arial"/>
                <w:noProof w:val="0"/>
                <w:sz w:val="18"/>
                <w:szCs w:val="18"/>
                <w:lang w:val="en-GB"/>
              </w:rPr>
            </w:pPr>
            <w:r w:rsidRPr="51A6AB2E" w:rsidR="1CCF35D6">
              <w:rPr>
                <w:rFonts w:ascii="Arial" w:hAnsi="Arial" w:eastAsia="Arial" w:cs="Arial"/>
                <w:noProof w:val="0"/>
                <w:sz w:val="18"/>
                <w:szCs w:val="18"/>
                <w:lang w:val="en-GB"/>
              </w:rPr>
              <w:t>Women often present with inattentive symptoms and masking behaviours, contributing to delayed diagnosis and misdiagnosis.</w:t>
            </w:r>
          </w:p>
        </w:tc>
        <w:tc>
          <w:tcPr>
            <w:tcW w:w="1110" w:type="dxa"/>
            <w:tcMar/>
          </w:tcPr>
          <w:p w:rsidR="44E3BA88" w:rsidP="51A6AB2E" w:rsidRDefault="44E3BA88" w14:paraId="363F7946" w14:textId="7A85F0FF">
            <w:pPr>
              <w:pStyle w:val="Normal"/>
              <w:rPr>
                <w:rFonts w:ascii="Arial" w:hAnsi="Arial" w:eastAsia="Arial" w:cs="Arial"/>
                <w:noProof w:val="0"/>
                <w:sz w:val="18"/>
                <w:szCs w:val="18"/>
                <w:lang w:val="en-GB"/>
              </w:rPr>
            </w:pPr>
            <w:r w:rsidRPr="51A6AB2E" w:rsidR="44E3BA88">
              <w:rPr>
                <w:rFonts w:ascii="Arial" w:hAnsi="Arial" w:eastAsia="Arial" w:cs="Arial"/>
                <w:noProof w:val="0"/>
                <w:sz w:val="18"/>
                <w:szCs w:val="18"/>
                <w:lang w:val="en-GB"/>
              </w:rPr>
              <w:t>Masking; Gender bias; Delayed diagnosis; Inattentive symptoms</w:t>
            </w:r>
          </w:p>
        </w:tc>
        <w:tc>
          <w:tcPr>
            <w:tcW w:w="1050" w:type="dxa"/>
            <w:tcMar/>
          </w:tcPr>
          <w:p w:rsidR="44E3BA88" w:rsidP="51A6AB2E" w:rsidRDefault="44E3BA88" w14:paraId="0D9A7C9F" w14:textId="3FD52EB5">
            <w:pPr>
              <w:pStyle w:val="Normal"/>
              <w:rPr>
                <w:rFonts w:ascii="Arial" w:hAnsi="Arial" w:eastAsia="Arial" w:cs="Arial"/>
                <w:noProof w:val="0"/>
                <w:sz w:val="18"/>
                <w:szCs w:val="18"/>
                <w:lang w:val="en-GB"/>
              </w:rPr>
            </w:pPr>
            <w:r w:rsidRPr="51A6AB2E" w:rsidR="44E3BA88">
              <w:rPr>
                <w:rFonts w:ascii="Arial" w:hAnsi="Arial" w:eastAsia="Arial" w:cs="Arial"/>
                <w:noProof w:val="0"/>
                <w:sz w:val="18"/>
                <w:szCs w:val="18"/>
                <w:lang w:val="en-GB"/>
              </w:rPr>
              <w:t>Strong evidence for diagnostic barriers and female presentation of ADHD. Forms Theme 1.</w:t>
            </w:r>
          </w:p>
        </w:tc>
      </w:tr>
      <w:tr w:rsidR="51A6AB2E" w:rsidTr="51A6AB2E" w14:paraId="08E34BCF">
        <w:trPr>
          <w:trHeight w:val="300"/>
        </w:trPr>
        <w:tc>
          <w:tcPr>
            <w:tcW w:w="870" w:type="dxa"/>
            <w:tcMar/>
          </w:tcPr>
          <w:p w:rsidR="44E3BA88" w:rsidP="51A6AB2E" w:rsidRDefault="44E3BA88" w14:paraId="5C23F5F9" w14:textId="6D57A2FF">
            <w:pPr>
              <w:pStyle w:val="Normal"/>
              <w:rPr>
                <w:rFonts w:ascii="Arial" w:hAnsi="Arial" w:eastAsia="Arial" w:cs="Arial"/>
                <w:noProof w:val="0"/>
                <w:sz w:val="18"/>
                <w:szCs w:val="18"/>
                <w:lang w:val="en-GB"/>
              </w:rPr>
            </w:pPr>
            <w:r w:rsidRPr="51A6AB2E" w:rsidR="44E3BA88">
              <w:rPr>
                <w:rFonts w:ascii="Arial" w:hAnsi="Arial" w:eastAsia="Arial" w:cs="Arial"/>
                <w:noProof w:val="0"/>
                <w:sz w:val="18"/>
                <w:szCs w:val="18"/>
                <w:lang w:val="en-GB"/>
              </w:rPr>
              <w:t>Baig and Kahya (2025)</w:t>
            </w:r>
          </w:p>
        </w:tc>
        <w:tc>
          <w:tcPr>
            <w:tcW w:w="1170" w:type="dxa"/>
            <w:tcMar/>
          </w:tcPr>
          <w:p w:rsidR="6A13FDC2" w:rsidP="51A6AB2E" w:rsidRDefault="6A13FDC2" w14:paraId="186D9ADC" w14:textId="37162AC6">
            <w:pPr>
              <w:pStyle w:val="Normal"/>
              <w:rPr>
                <w:rFonts w:ascii="Arial" w:hAnsi="Arial" w:eastAsia="Arial" w:cs="Arial"/>
                <w:noProof w:val="0"/>
                <w:sz w:val="18"/>
                <w:szCs w:val="18"/>
                <w:lang w:val="en-GB"/>
              </w:rPr>
            </w:pPr>
            <w:r w:rsidRPr="51A6AB2E" w:rsidR="6A13FDC2">
              <w:rPr>
                <w:rFonts w:ascii="Arial" w:hAnsi="Arial" w:eastAsia="Arial" w:cs="Arial"/>
                <w:noProof w:val="0"/>
                <w:sz w:val="18"/>
                <w:szCs w:val="18"/>
                <w:lang w:val="en-GB"/>
              </w:rPr>
              <w:t>“I felt like a broken person”: The experiences of women navigating a late ADHD diagnosis in the UK</w:t>
            </w:r>
          </w:p>
        </w:tc>
        <w:tc>
          <w:tcPr>
            <w:tcW w:w="1155" w:type="dxa"/>
            <w:tcMar/>
          </w:tcPr>
          <w:p w:rsidR="6A13FDC2" w:rsidP="51A6AB2E" w:rsidRDefault="6A13FDC2" w14:paraId="6E0E389A" w14:textId="7CCC825E">
            <w:pPr>
              <w:pStyle w:val="Normal"/>
              <w:rPr>
                <w:rFonts w:ascii="Arial" w:hAnsi="Arial" w:eastAsia="Arial" w:cs="Arial"/>
                <w:noProof w:val="0"/>
                <w:sz w:val="18"/>
                <w:szCs w:val="18"/>
                <w:lang w:val="en-GB"/>
              </w:rPr>
            </w:pPr>
            <w:r w:rsidRPr="51A6AB2E" w:rsidR="6A13FDC2">
              <w:rPr>
                <w:rFonts w:ascii="Arial" w:hAnsi="Arial" w:eastAsia="Arial" w:cs="Arial"/>
                <w:noProof w:val="0"/>
                <w:sz w:val="18"/>
                <w:szCs w:val="18"/>
                <w:lang w:val="en-GB"/>
              </w:rPr>
              <w:t>Primary Research (Qualitative)</w:t>
            </w:r>
          </w:p>
        </w:tc>
        <w:tc>
          <w:tcPr>
            <w:tcW w:w="1125" w:type="dxa"/>
            <w:tcMar/>
          </w:tcPr>
          <w:p w:rsidR="6A13FDC2" w:rsidP="51A6AB2E" w:rsidRDefault="6A13FDC2" w14:paraId="7365E5CC" w14:textId="7B002951">
            <w:pPr>
              <w:pStyle w:val="Normal"/>
              <w:rPr>
                <w:rFonts w:ascii="Arial" w:hAnsi="Arial" w:eastAsia="Arial" w:cs="Arial"/>
                <w:noProof w:val="0"/>
                <w:sz w:val="18"/>
                <w:szCs w:val="18"/>
                <w:lang w:val="en-GB"/>
              </w:rPr>
            </w:pPr>
            <w:r w:rsidRPr="51A6AB2E" w:rsidR="6A13FDC2">
              <w:rPr>
                <w:rFonts w:ascii="Arial" w:hAnsi="Arial" w:eastAsia="Arial" w:cs="Arial"/>
                <w:noProof w:val="0"/>
                <w:sz w:val="18"/>
                <w:szCs w:val="18"/>
                <w:lang w:val="en-GB"/>
              </w:rPr>
              <w:t>Semi-structured interviews with UK women diagnosed with ADHD later in life.</w:t>
            </w:r>
          </w:p>
        </w:tc>
        <w:tc>
          <w:tcPr>
            <w:tcW w:w="1314" w:type="dxa"/>
            <w:tcMar/>
          </w:tcPr>
          <w:p w:rsidR="6A13FDC2" w:rsidP="51A6AB2E" w:rsidRDefault="6A13FDC2" w14:paraId="19407FC8" w14:textId="7C392EC0">
            <w:pPr>
              <w:pStyle w:val="Normal"/>
              <w:rPr>
                <w:rFonts w:ascii="Arial" w:hAnsi="Arial" w:eastAsia="Arial" w:cs="Arial"/>
                <w:noProof w:val="0"/>
                <w:sz w:val="18"/>
                <w:szCs w:val="18"/>
                <w:lang w:val="en-GB"/>
              </w:rPr>
            </w:pPr>
            <w:r w:rsidRPr="51A6AB2E" w:rsidR="6A13FDC2">
              <w:rPr>
                <w:rFonts w:ascii="Arial" w:hAnsi="Arial" w:eastAsia="Arial" w:cs="Arial"/>
                <w:b w:val="1"/>
                <w:bCs w:val="1"/>
                <w:noProof w:val="0"/>
                <w:sz w:val="18"/>
                <w:szCs w:val="18"/>
                <w:lang w:val="en-GB"/>
              </w:rPr>
              <w:t>Strengths:</w:t>
            </w:r>
            <w:r w:rsidRPr="51A6AB2E" w:rsidR="6A13FDC2">
              <w:rPr>
                <w:rFonts w:ascii="Arial" w:hAnsi="Arial" w:eastAsia="Arial" w:cs="Arial"/>
                <w:noProof w:val="0"/>
                <w:sz w:val="18"/>
                <w:szCs w:val="18"/>
                <w:lang w:val="en-GB"/>
              </w:rPr>
              <w:t xml:space="preserve"> Rich lived experiences; UK-specific context. </w:t>
            </w:r>
            <w:r w:rsidRPr="51A6AB2E" w:rsidR="6A13FDC2">
              <w:rPr>
                <w:rFonts w:ascii="Arial" w:hAnsi="Arial" w:eastAsia="Arial" w:cs="Arial"/>
                <w:b w:val="1"/>
                <w:bCs w:val="1"/>
                <w:noProof w:val="0"/>
                <w:sz w:val="18"/>
                <w:szCs w:val="18"/>
                <w:lang w:val="en-GB"/>
              </w:rPr>
              <w:t>Limitations:</w:t>
            </w:r>
            <w:r w:rsidRPr="51A6AB2E" w:rsidR="6A13FDC2">
              <w:rPr>
                <w:rFonts w:ascii="Arial" w:hAnsi="Arial" w:eastAsia="Arial" w:cs="Arial"/>
                <w:noProof w:val="0"/>
                <w:sz w:val="18"/>
                <w:szCs w:val="18"/>
                <w:lang w:val="en-GB"/>
              </w:rPr>
              <w:t xml:space="preserve"> Small sample limits generalisability.</w:t>
            </w:r>
          </w:p>
        </w:tc>
        <w:tc>
          <w:tcPr>
            <w:tcW w:w="1350" w:type="dxa"/>
            <w:tcMar/>
          </w:tcPr>
          <w:p w:rsidR="6A13FDC2" w:rsidP="51A6AB2E" w:rsidRDefault="6A13FDC2" w14:paraId="1183BEC5" w14:textId="59C3A9A2">
            <w:pPr>
              <w:pStyle w:val="Normal"/>
              <w:rPr>
                <w:rFonts w:ascii="Arial" w:hAnsi="Arial" w:eastAsia="Arial" w:cs="Arial"/>
                <w:noProof w:val="0"/>
                <w:sz w:val="18"/>
                <w:szCs w:val="18"/>
                <w:lang w:val="en-GB"/>
              </w:rPr>
            </w:pPr>
            <w:r w:rsidRPr="51A6AB2E" w:rsidR="6A13FDC2">
              <w:rPr>
                <w:rFonts w:ascii="Arial" w:hAnsi="Arial" w:eastAsia="Arial" w:cs="Arial"/>
                <w:noProof w:val="0"/>
                <w:sz w:val="18"/>
                <w:szCs w:val="18"/>
                <w:lang w:val="en-GB"/>
              </w:rPr>
              <w:t>Diagnosis led to relief, identity reconstruction and improved self-understanding, but participants described years of distress and misunderstanding.</w:t>
            </w:r>
          </w:p>
        </w:tc>
        <w:tc>
          <w:tcPr>
            <w:tcW w:w="1110" w:type="dxa"/>
            <w:tcMar/>
          </w:tcPr>
          <w:p w:rsidR="6A13FDC2" w:rsidP="51A6AB2E" w:rsidRDefault="6A13FDC2" w14:paraId="4A89B823" w14:textId="48C56B38">
            <w:pPr>
              <w:pStyle w:val="Normal"/>
              <w:rPr>
                <w:rFonts w:ascii="Arial" w:hAnsi="Arial" w:eastAsia="Arial" w:cs="Arial"/>
                <w:noProof w:val="0"/>
                <w:sz w:val="18"/>
                <w:szCs w:val="18"/>
                <w:lang w:val="en-GB"/>
              </w:rPr>
            </w:pPr>
            <w:r w:rsidRPr="51A6AB2E" w:rsidR="6A13FDC2">
              <w:rPr>
                <w:rFonts w:ascii="Arial" w:hAnsi="Arial" w:eastAsia="Arial" w:cs="Arial"/>
                <w:noProof w:val="0"/>
                <w:sz w:val="18"/>
                <w:szCs w:val="18"/>
                <w:lang w:val="en-GB"/>
              </w:rPr>
              <w:t>Identity; Relief; Self-blame; Lived experiences</w:t>
            </w:r>
          </w:p>
        </w:tc>
        <w:tc>
          <w:tcPr>
            <w:tcW w:w="1050" w:type="dxa"/>
            <w:tcMar/>
          </w:tcPr>
          <w:p w:rsidR="6A13FDC2" w:rsidP="51A6AB2E" w:rsidRDefault="6A13FDC2" w14:paraId="25948F29" w14:textId="39FDD1B0">
            <w:pPr>
              <w:pStyle w:val="Normal"/>
              <w:rPr>
                <w:rFonts w:ascii="Arial" w:hAnsi="Arial" w:eastAsia="Arial" w:cs="Arial"/>
                <w:noProof w:val="0"/>
                <w:sz w:val="18"/>
                <w:szCs w:val="18"/>
                <w:lang w:val="en-GB"/>
              </w:rPr>
            </w:pPr>
            <w:r w:rsidRPr="51A6AB2E" w:rsidR="6A13FDC2">
              <w:rPr>
                <w:rFonts w:ascii="Arial" w:hAnsi="Arial" w:eastAsia="Arial" w:cs="Arial"/>
                <w:noProof w:val="0"/>
                <w:sz w:val="18"/>
                <w:szCs w:val="18"/>
                <w:lang w:val="en-GB"/>
              </w:rPr>
              <w:t>Strong evidence</w:t>
            </w:r>
            <w:r w:rsidRPr="51A6AB2E" w:rsidR="6A13FDC2">
              <w:rPr>
                <w:rFonts w:ascii="Arial" w:hAnsi="Arial" w:eastAsia="Arial" w:cs="Arial"/>
                <w:noProof w:val="0"/>
                <w:sz w:val="18"/>
                <w:szCs w:val="18"/>
                <w:lang w:val="en-GB"/>
              </w:rPr>
              <w:t xml:space="preserve"> for psychological and social impact. Forms Theme 2.</w:t>
            </w:r>
          </w:p>
        </w:tc>
      </w:tr>
      <w:tr w:rsidR="51A6AB2E" w:rsidTr="51A6AB2E" w14:paraId="4FC198E4">
        <w:trPr>
          <w:trHeight w:val="300"/>
        </w:trPr>
        <w:tc>
          <w:tcPr>
            <w:tcW w:w="870" w:type="dxa"/>
            <w:tcMar/>
          </w:tcPr>
          <w:p w:rsidR="6A13FDC2" w:rsidP="51A6AB2E" w:rsidRDefault="6A13FDC2" w14:paraId="6B723AE0" w14:textId="0732366D">
            <w:pPr>
              <w:pStyle w:val="Normal"/>
              <w:rPr>
                <w:rFonts w:ascii="Arial" w:hAnsi="Arial" w:eastAsia="Arial" w:cs="Arial"/>
                <w:noProof w:val="0"/>
                <w:sz w:val="18"/>
                <w:szCs w:val="18"/>
                <w:lang w:val="en-GB"/>
              </w:rPr>
            </w:pPr>
            <w:r w:rsidRPr="51A6AB2E" w:rsidR="6A13FDC2">
              <w:rPr>
                <w:rFonts w:ascii="Arial" w:hAnsi="Arial" w:eastAsia="Arial" w:cs="Arial"/>
                <w:noProof w:val="0"/>
                <w:sz w:val="18"/>
                <w:szCs w:val="18"/>
                <w:lang w:val="en-GB"/>
              </w:rPr>
              <w:t>Wills and Chakraborty (2026)</w:t>
            </w:r>
          </w:p>
        </w:tc>
        <w:tc>
          <w:tcPr>
            <w:tcW w:w="1170" w:type="dxa"/>
            <w:tcMar/>
          </w:tcPr>
          <w:p w:rsidR="6D396B65" w:rsidP="51A6AB2E" w:rsidRDefault="6D396B65" w14:paraId="1A4F3789" w14:textId="75CBCD8A">
            <w:pPr>
              <w:pStyle w:val="Normal"/>
              <w:rPr>
                <w:rFonts w:ascii="Arial" w:hAnsi="Arial" w:eastAsia="Arial" w:cs="Arial"/>
                <w:noProof w:val="0"/>
                <w:sz w:val="18"/>
                <w:szCs w:val="18"/>
                <w:lang w:val="en-GB"/>
              </w:rPr>
            </w:pPr>
            <w:r w:rsidRPr="51A6AB2E" w:rsidR="6D396B65">
              <w:rPr>
                <w:rFonts w:ascii="Arial" w:hAnsi="Arial" w:eastAsia="Arial" w:cs="Arial"/>
                <w:noProof w:val="0"/>
                <w:sz w:val="18"/>
                <w:szCs w:val="18"/>
                <w:lang w:val="en-GB"/>
              </w:rPr>
              <w:t>A Qualitative Study on the Experiences of Adult Females with Late Diagnosis of ASD and ADHD in the UK</w:t>
            </w:r>
          </w:p>
        </w:tc>
        <w:tc>
          <w:tcPr>
            <w:tcW w:w="1155" w:type="dxa"/>
            <w:tcMar/>
          </w:tcPr>
          <w:p w:rsidR="6D396B65" w:rsidP="51A6AB2E" w:rsidRDefault="6D396B65" w14:paraId="2EFE5B00" w14:textId="327A5DD2">
            <w:pPr>
              <w:pStyle w:val="Normal"/>
              <w:rPr>
                <w:rFonts w:ascii="Arial" w:hAnsi="Arial" w:eastAsia="Arial" w:cs="Arial"/>
                <w:noProof w:val="0"/>
                <w:sz w:val="18"/>
                <w:szCs w:val="18"/>
                <w:lang w:val="en-GB"/>
              </w:rPr>
            </w:pPr>
            <w:r w:rsidRPr="51A6AB2E" w:rsidR="6D396B65">
              <w:rPr>
                <w:rFonts w:ascii="Arial" w:hAnsi="Arial" w:eastAsia="Arial" w:cs="Arial"/>
                <w:noProof w:val="0"/>
                <w:sz w:val="18"/>
                <w:szCs w:val="18"/>
                <w:lang w:val="en-GB"/>
              </w:rPr>
              <w:t>Primary Research (Qualitative</w:t>
            </w:r>
          </w:p>
        </w:tc>
        <w:tc>
          <w:tcPr>
            <w:tcW w:w="1125" w:type="dxa"/>
            <w:tcMar/>
          </w:tcPr>
          <w:p w:rsidR="6D396B65" w:rsidP="51A6AB2E" w:rsidRDefault="6D396B65" w14:paraId="49AADF9A" w14:textId="6A0F4B80">
            <w:pPr>
              <w:pStyle w:val="Normal"/>
              <w:rPr>
                <w:rFonts w:ascii="Arial" w:hAnsi="Arial" w:eastAsia="Arial" w:cs="Arial"/>
                <w:noProof w:val="0"/>
                <w:sz w:val="18"/>
                <w:szCs w:val="18"/>
                <w:lang w:val="en-GB"/>
              </w:rPr>
            </w:pPr>
            <w:r w:rsidRPr="51A6AB2E" w:rsidR="6D396B65">
              <w:rPr>
                <w:rFonts w:ascii="Arial" w:hAnsi="Arial" w:eastAsia="Arial" w:cs="Arial"/>
                <w:noProof w:val="0"/>
                <w:sz w:val="18"/>
                <w:szCs w:val="18"/>
                <w:lang w:val="en-GB"/>
              </w:rPr>
              <w:t>Qualitative study of adult females with late diagnosis in the UK.</w:t>
            </w:r>
          </w:p>
        </w:tc>
        <w:tc>
          <w:tcPr>
            <w:tcW w:w="1314" w:type="dxa"/>
            <w:tcMar/>
          </w:tcPr>
          <w:p w:rsidR="6D396B65" w:rsidP="51A6AB2E" w:rsidRDefault="6D396B65" w14:paraId="6F8E5AAE" w14:textId="6F0F00BE">
            <w:pPr>
              <w:pStyle w:val="Normal"/>
              <w:rPr>
                <w:rFonts w:ascii="Arial" w:hAnsi="Arial" w:eastAsia="Arial" w:cs="Arial"/>
                <w:noProof w:val="0"/>
                <w:sz w:val="18"/>
                <w:szCs w:val="18"/>
                <w:lang w:val="en-GB"/>
              </w:rPr>
            </w:pPr>
            <w:r w:rsidRPr="51A6AB2E" w:rsidR="6D396B65">
              <w:rPr>
                <w:rFonts w:ascii="Arial" w:hAnsi="Arial" w:eastAsia="Arial" w:cs="Arial"/>
                <w:b w:val="1"/>
                <w:bCs w:val="1"/>
                <w:noProof w:val="0"/>
                <w:sz w:val="18"/>
                <w:szCs w:val="18"/>
                <w:lang w:val="en-GB"/>
              </w:rPr>
              <w:t>Strengths:</w:t>
            </w:r>
            <w:r w:rsidRPr="51A6AB2E" w:rsidR="6D396B65">
              <w:rPr>
                <w:rFonts w:ascii="Arial" w:hAnsi="Arial" w:eastAsia="Arial" w:cs="Arial"/>
                <w:noProof w:val="0"/>
                <w:sz w:val="18"/>
                <w:szCs w:val="18"/>
                <w:lang w:val="en-GB"/>
              </w:rPr>
              <w:t xml:space="preserve"> Explores adult experiences in depth. </w:t>
            </w:r>
            <w:r w:rsidRPr="51A6AB2E" w:rsidR="6D396B65">
              <w:rPr>
                <w:rFonts w:ascii="Arial" w:hAnsi="Arial" w:eastAsia="Arial" w:cs="Arial"/>
                <w:b w:val="1"/>
                <w:bCs w:val="1"/>
                <w:noProof w:val="0"/>
                <w:sz w:val="18"/>
                <w:szCs w:val="18"/>
                <w:lang w:val="en-GB"/>
              </w:rPr>
              <w:t>Limitations:</w:t>
            </w:r>
            <w:r w:rsidRPr="51A6AB2E" w:rsidR="6D396B65">
              <w:rPr>
                <w:rFonts w:ascii="Arial" w:hAnsi="Arial" w:eastAsia="Arial" w:cs="Arial"/>
                <w:noProof w:val="0"/>
                <w:sz w:val="18"/>
                <w:szCs w:val="18"/>
                <w:lang w:val="en-GB"/>
              </w:rPr>
              <w:t xml:space="preserve"> Findings may not apply to all populations.</w:t>
            </w:r>
          </w:p>
        </w:tc>
        <w:tc>
          <w:tcPr>
            <w:tcW w:w="1350" w:type="dxa"/>
            <w:tcMar/>
          </w:tcPr>
          <w:p w:rsidR="6D396B65" w:rsidP="51A6AB2E" w:rsidRDefault="6D396B65" w14:paraId="6264A485" w14:textId="0DC2B199">
            <w:pPr>
              <w:pStyle w:val="Normal"/>
              <w:rPr>
                <w:rFonts w:ascii="Arial" w:hAnsi="Arial" w:eastAsia="Arial" w:cs="Arial"/>
                <w:noProof w:val="0"/>
                <w:sz w:val="18"/>
                <w:szCs w:val="18"/>
                <w:lang w:val="en-GB"/>
              </w:rPr>
            </w:pPr>
            <w:r w:rsidRPr="51A6AB2E" w:rsidR="6D396B65">
              <w:rPr>
                <w:rFonts w:ascii="Arial" w:hAnsi="Arial" w:eastAsia="Arial" w:cs="Arial"/>
                <w:noProof w:val="0"/>
                <w:sz w:val="18"/>
                <w:szCs w:val="18"/>
                <w:lang w:val="en-GB"/>
              </w:rPr>
              <w:t>Participants reported emotional exhaustion, delayed support and difficulties accessing services.</w:t>
            </w:r>
          </w:p>
        </w:tc>
        <w:tc>
          <w:tcPr>
            <w:tcW w:w="1110" w:type="dxa"/>
            <w:tcMar/>
          </w:tcPr>
          <w:p w:rsidR="6D396B65" w:rsidP="51A6AB2E" w:rsidRDefault="6D396B65" w14:paraId="2A36D58F" w14:textId="46A8AE4F">
            <w:pPr>
              <w:pStyle w:val="Normal"/>
              <w:rPr>
                <w:rFonts w:ascii="Arial" w:hAnsi="Arial" w:eastAsia="Arial" w:cs="Arial"/>
                <w:noProof w:val="0"/>
                <w:sz w:val="18"/>
                <w:szCs w:val="18"/>
                <w:lang w:val="en-GB"/>
              </w:rPr>
            </w:pPr>
            <w:r w:rsidRPr="51A6AB2E" w:rsidR="6D396B65">
              <w:rPr>
                <w:rFonts w:ascii="Arial" w:hAnsi="Arial" w:eastAsia="Arial" w:cs="Arial"/>
                <w:noProof w:val="0"/>
                <w:sz w:val="18"/>
                <w:szCs w:val="18"/>
                <w:lang w:val="en-GB"/>
              </w:rPr>
              <w:t>Emotional wellbeing; Support needs; Healthcare barriers</w:t>
            </w:r>
          </w:p>
        </w:tc>
        <w:tc>
          <w:tcPr>
            <w:tcW w:w="1050" w:type="dxa"/>
            <w:tcMar/>
          </w:tcPr>
          <w:p w:rsidR="6D396B65" w:rsidP="51A6AB2E" w:rsidRDefault="6D396B65" w14:paraId="7CCA5E71" w14:textId="2A093EBD">
            <w:pPr>
              <w:pStyle w:val="Normal"/>
              <w:rPr>
                <w:rFonts w:ascii="Arial" w:hAnsi="Arial" w:eastAsia="Arial" w:cs="Arial"/>
                <w:noProof w:val="0"/>
                <w:sz w:val="18"/>
                <w:szCs w:val="18"/>
                <w:lang w:val="en-GB"/>
              </w:rPr>
            </w:pPr>
            <w:r w:rsidRPr="51A6AB2E" w:rsidR="6D396B65">
              <w:rPr>
                <w:rFonts w:ascii="Arial" w:hAnsi="Arial" w:eastAsia="Arial" w:cs="Arial"/>
                <w:noProof w:val="0"/>
                <w:sz w:val="18"/>
                <w:szCs w:val="18"/>
                <w:lang w:val="en-GB"/>
              </w:rPr>
              <w:t>Supports Themes 2 and 3. Highlights service inequalities.</w:t>
            </w:r>
          </w:p>
        </w:tc>
      </w:tr>
      <w:tr w:rsidR="51A6AB2E" w:rsidTr="51A6AB2E" w14:paraId="273BA240">
        <w:trPr>
          <w:trHeight w:val="300"/>
        </w:trPr>
        <w:tc>
          <w:tcPr>
            <w:tcW w:w="870" w:type="dxa"/>
            <w:tcMar/>
          </w:tcPr>
          <w:p w:rsidR="7E27007F" w:rsidP="51A6AB2E" w:rsidRDefault="7E27007F" w14:paraId="61888ADE" w14:textId="1FF82149">
            <w:pPr>
              <w:pStyle w:val="Normal"/>
              <w:rPr>
                <w:rFonts w:ascii="Arial" w:hAnsi="Arial" w:eastAsia="Arial" w:cs="Arial"/>
                <w:noProof w:val="0"/>
                <w:sz w:val="18"/>
                <w:szCs w:val="18"/>
                <w:lang w:val="en-GB"/>
              </w:rPr>
            </w:pPr>
            <w:r w:rsidRPr="51A6AB2E" w:rsidR="7E27007F">
              <w:rPr>
                <w:rFonts w:ascii="Arial" w:hAnsi="Arial" w:eastAsia="Arial" w:cs="Arial"/>
                <w:noProof w:val="0"/>
                <w:sz w:val="18"/>
                <w:szCs w:val="18"/>
                <w:lang w:val="en-GB"/>
              </w:rPr>
              <w:t>Young et al. (2021)</w:t>
            </w:r>
          </w:p>
        </w:tc>
        <w:tc>
          <w:tcPr>
            <w:tcW w:w="1170" w:type="dxa"/>
            <w:tcMar/>
          </w:tcPr>
          <w:p w:rsidR="7E27007F" w:rsidP="51A6AB2E" w:rsidRDefault="7E27007F" w14:paraId="5A5D3DED" w14:textId="6A8D64E7">
            <w:pPr>
              <w:pStyle w:val="Normal"/>
              <w:rPr>
                <w:rFonts w:ascii="Arial" w:hAnsi="Arial" w:eastAsia="Arial" w:cs="Arial"/>
                <w:noProof w:val="0"/>
                <w:sz w:val="18"/>
                <w:szCs w:val="18"/>
                <w:lang w:val="en-GB"/>
              </w:rPr>
            </w:pPr>
            <w:r w:rsidRPr="51A6AB2E" w:rsidR="7E27007F">
              <w:rPr>
                <w:rFonts w:ascii="Arial" w:hAnsi="Arial" w:eastAsia="Arial" w:cs="Arial"/>
                <w:noProof w:val="0"/>
                <w:sz w:val="18"/>
                <w:szCs w:val="18"/>
                <w:lang w:val="en-GB"/>
              </w:rPr>
              <w:t>Failure of Healthcare Provision for ADHD in the United Kingdom: A Consensus Statement</w:t>
            </w:r>
          </w:p>
        </w:tc>
        <w:tc>
          <w:tcPr>
            <w:tcW w:w="1155" w:type="dxa"/>
            <w:tcMar/>
          </w:tcPr>
          <w:p w:rsidR="7E27007F" w:rsidP="51A6AB2E" w:rsidRDefault="7E27007F" w14:paraId="37EFBC82" w14:textId="72EA57E9">
            <w:pPr>
              <w:pStyle w:val="Normal"/>
              <w:rPr>
                <w:rFonts w:ascii="Arial" w:hAnsi="Arial" w:eastAsia="Arial" w:cs="Arial"/>
                <w:noProof w:val="0"/>
                <w:sz w:val="18"/>
                <w:szCs w:val="18"/>
                <w:lang w:val="en-GB"/>
              </w:rPr>
            </w:pPr>
            <w:r w:rsidRPr="51A6AB2E" w:rsidR="7E27007F">
              <w:rPr>
                <w:rFonts w:ascii="Arial" w:hAnsi="Arial" w:eastAsia="Arial" w:cs="Arial"/>
                <w:noProof w:val="0"/>
                <w:sz w:val="18"/>
                <w:szCs w:val="18"/>
                <w:lang w:val="en-GB"/>
              </w:rPr>
              <w:t>Secondary Research / Consensus Statement</w:t>
            </w:r>
          </w:p>
        </w:tc>
        <w:tc>
          <w:tcPr>
            <w:tcW w:w="1125" w:type="dxa"/>
            <w:tcMar/>
          </w:tcPr>
          <w:p w:rsidR="7E27007F" w:rsidP="51A6AB2E" w:rsidRDefault="7E27007F" w14:paraId="4404BC53" w14:textId="71972525">
            <w:pPr>
              <w:pStyle w:val="Normal"/>
              <w:rPr>
                <w:rFonts w:ascii="Arial" w:hAnsi="Arial" w:eastAsia="Arial" w:cs="Arial"/>
                <w:noProof w:val="0"/>
                <w:sz w:val="18"/>
                <w:szCs w:val="18"/>
                <w:lang w:val="en-GB"/>
              </w:rPr>
            </w:pPr>
            <w:r w:rsidRPr="51A6AB2E" w:rsidR="7E27007F">
              <w:rPr>
                <w:rFonts w:ascii="Arial" w:hAnsi="Arial" w:eastAsia="Arial" w:cs="Arial"/>
                <w:noProof w:val="0"/>
                <w:sz w:val="18"/>
                <w:szCs w:val="18"/>
                <w:lang w:val="en-GB"/>
              </w:rPr>
              <w:t>Expert consensus based on evidence and clinical experience.</w:t>
            </w:r>
          </w:p>
        </w:tc>
        <w:tc>
          <w:tcPr>
            <w:tcW w:w="1314" w:type="dxa"/>
            <w:tcMar/>
          </w:tcPr>
          <w:p w:rsidR="7E27007F" w:rsidP="51A6AB2E" w:rsidRDefault="7E27007F" w14:paraId="7D823E1C" w14:textId="0A165757">
            <w:pPr>
              <w:pStyle w:val="Normal"/>
              <w:rPr>
                <w:rFonts w:ascii="Arial" w:hAnsi="Arial" w:eastAsia="Arial" w:cs="Arial"/>
                <w:noProof w:val="0"/>
                <w:sz w:val="18"/>
                <w:szCs w:val="18"/>
                <w:lang w:val="en-GB"/>
              </w:rPr>
            </w:pPr>
            <w:r w:rsidRPr="51A6AB2E" w:rsidR="7E27007F">
              <w:rPr>
                <w:rFonts w:ascii="Arial" w:hAnsi="Arial" w:eastAsia="Arial" w:cs="Arial"/>
                <w:b w:val="1"/>
                <w:bCs w:val="1"/>
                <w:noProof w:val="0"/>
                <w:sz w:val="18"/>
                <w:szCs w:val="18"/>
                <w:lang w:val="en-GB"/>
              </w:rPr>
              <w:t>Strengths:</w:t>
            </w:r>
            <w:r w:rsidRPr="51A6AB2E" w:rsidR="7E27007F">
              <w:rPr>
                <w:rFonts w:ascii="Arial" w:hAnsi="Arial" w:eastAsia="Arial" w:cs="Arial"/>
                <w:noProof w:val="0"/>
                <w:sz w:val="18"/>
                <w:szCs w:val="18"/>
                <w:lang w:val="en-GB"/>
              </w:rPr>
              <w:t xml:space="preserve"> National relevance; expert authorship. </w:t>
            </w:r>
            <w:r w:rsidRPr="51A6AB2E" w:rsidR="7E27007F">
              <w:rPr>
                <w:rFonts w:ascii="Arial" w:hAnsi="Arial" w:eastAsia="Arial" w:cs="Arial"/>
                <w:b w:val="1"/>
                <w:bCs w:val="1"/>
                <w:noProof w:val="0"/>
                <w:sz w:val="18"/>
                <w:szCs w:val="18"/>
                <w:lang w:val="en-GB"/>
              </w:rPr>
              <w:t>Limitations:</w:t>
            </w:r>
            <w:r w:rsidRPr="51A6AB2E" w:rsidR="7E27007F">
              <w:rPr>
                <w:rFonts w:ascii="Arial" w:hAnsi="Arial" w:eastAsia="Arial" w:cs="Arial"/>
                <w:noProof w:val="0"/>
                <w:sz w:val="18"/>
                <w:szCs w:val="18"/>
                <w:lang w:val="en-GB"/>
              </w:rPr>
              <w:t xml:space="preserve"> Not primary empirical research.</w:t>
            </w:r>
          </w:p>
        </w:tc>
        <w:tc>
          <w:tcPr>
            <w:tcW w:w="1350" w:type="dxa"/>
            <w:tcMar/>
          </w:tcPr>
          <w:p w:rsidR="7E27007F" w:rsidP="51A6AB2E" w:rsidRDefault="7E27007F" w14:paraId="5E016BC1" w14:textId="3470555F">
            <w:pPr>
              <w:pStyle w:val="Normal"/>
              <w:rPr>
                <w:rFonts w:ascii="Arial" w:hAnsi="Arial" w:eastAsia="Arial" w:cs="Arial"/>
                <w:noProof w:val="0"/>
                <w:sz w:val="18"/>
                <w:szCs w:val="18"/>
                <w:lang w:val="en-GB"/>
              </w:rPr>
            </w:pPr>
            <w:r w:rsidRPr="51A6AB2E" w:rsidR="7E27007F">
              <w:rPr>
                <w:rFonts w:ascii="Arial" w:hAnsi="Arial" w:eastAsia="Arial" w:cs="Arial"/>
                <w:noProof w:val="0"/>
                <w:sz w:val="18"/>
                <w:szCs w:val="18"/>
                <w:lang w:val="en-GB"/>
              </w:rPr>
              <w:t>UK ADHD services face long waiting times, inconsistent pathways and limited specialist provision.</w:t>
            </w:r>
          </w:p>
        </w:tc>
        <w:tc>
          <w:tcPr>
            <w:tcW w:w="1110" w:type="dxa"/>
            <w:tcMar/>
          </w:tcPr>
          <w:p w:rsidR="7E27007F" w:rsidP="51A6AB2E" w:rsidRDefault="7E27007F" w14:paraId="620C09FD" w14:textId="7AD37DCD">
            <w:pPr>
              <w:pStyle w:val="Normal"/>
              <w:rPr>
                <w:rFonts w:ascii="Arial" w:hAnsi="Arial" w:eastAsia="Arial" w:cs="Arial"/>
                <w:noProof w:val="0"/>
                <w:sz w:val="18"/>
                <w:szCs w:val="18"/>
                <w:lang w:val="en-GB"/>
              </w:rPr>
            </w:pPr>
            <w:r w:rsidRPr="51A6AB2E" w:rsidR="7E27007F">
              <w:rPr>
                <w:rFonts w:ascii="Arial" w:hAnsi="Arial" w:eastAsia="Arial" w:cs="Arial"/>
                <w:noProof w:val="0"/>
                <w:sz w:val="18"/>
                <w:szCs w:val="18"/>
                <w:lang w:val="en-GB"/>
              </w:rPr>
              <w:t>NHS services; Access to care; Service provision</w:t>
            </w:r>
          </w:p>
        </w:tc>
        <w:tc>
          <w:tcPr>
            <w:tcW w:w="1050" w:type="dxa"/>
            <w:tcMar/>
          </w:tcPr>
          <w:p w:rsidR="3C51FDEA" w:rsidP="51A6AB2E" w:rsidRDefault="3C51FDEA" w14:paraId="5DF5A8D4" w14:textId="52CDB010">
            <w:pPr>
              <w:pStyle w:val="Normal"/>
              <w:rPr>
                <w:rFonts w:ascii="Arial" w:hAnsi="Arial" w:eastAsia="Arial" w:cs="Arial"/>
                <w:noProof w:val="0"/>
                <w:sz w:val="18"/>
                <w:szCs w:val="18"/>
                <w:lang w:val="en-GB"/>
              </w:rPr>
            </w:pPr>
            <w:r w:rsidRPr="51A6AB2E" w:rsidR="3C51FDEA">
              <w:rPr>
                <w:rFonts w:ascii="Arial" w:hAnsi="Arial" w:eastAsia="Arial" w:cs="Arial"/>
                <w:noProof w:val="0"/>
                <w:sz w:val="18"/>
                <w:szCs w:val="18"/>
                <w:lang w:val="en-GB"/>
              </w:rPr>
              <w:t>Key source for evaluating UK healthcare systems. Forms Theme 3.</w:t>
            </w:r>
          </w:p>
        </w:tc>
      </w:tr>
      <w:tr w:rsidR="51A6AB2E" w:rsidTr="51A6AB2E" w14:paraId="422EB3CB">
        <w:trPr>
          <w:trHeight w:val="300"/>
        </w:trPr>
        <w:tc>
          <w:tcPr>
            <w:tcW w:w="870" w:type="dxa"/>
            <w:tcMar/>
          </w:tcPr>
          <w:p w:rsidR="3C51FDEA" w:rsidP="51A6AB2E" w:rsidRDefault="3C51FDEA" w14:paraId="413EF08D" w14:textId="2BA142FC">
            <w:pPr>
              <w:pStyle w:val="Normal"/>
              <w:rPr>
                <w:rFonts w:ascii="Arial" w:hAnsi="Arial" w:eastAsia="Arial" w:cs="Arial"/>
                <w:noProof w:val="0"/>
                <w:sz w:val="18"/>
                <w:szCs w:val="18"/>
                <w:lang w:val="en-GB"/>
              </w:rPr>
            </w:pPr>
            <w:r w:rsidRPr="51A6AB2E" w:rsidR="3C51FDEA">
              <w:rPr>
                <w:rFonts w:ascii="Arial" w:hAnsi="Arial" w:eastAsia="Arial" w:cs="Arial"/>
                <w:noProof w:val="0"/>
                <w:sz w:val="18"/>
                <w:szCs w:val="18"/>
                <w:lang w:val="en-GB"/>
              </w:rPr>
              <w:t>Krebs and Donnellan-Fernandez (2025)</w:t>
            </w:r>
          </w:p>
        </w:tc>
        <w:tc>
          <w:tcPr>
            <w:tcW w:w="1170" w:type="dxa"/>
            <w:tcMar/>
          </w:tcPr>
          <w:p w:rsidR="3C51FDEA" w:rsidP="51A6AB2E" w:rsidRDefault="3C51FDEA" w14:paraId="4946163C" w14:textId="17D9D980">
            <w:pPr>
              <w:pStyle w:val="Normal"/>
              <w:rPr>
                <w:rFonts w:ascii="Arial" w:hAnsi="Arial" w:eastAsia="Arial" w:cs="Arial"/>
                <w:noProof w:val="0"/>
                <w:sz w:val="18"/>
                <w:szCs w:val="18"/>
                <w:lang w:val="en-GB"/>
              </w:rPr>
            </w:pPr>
            <w:r w:rsidRPr="51A6AB2E" w:rsidR="3C51FDEA">
              <w:rPr>
                <w:rFonts w:ascii="Arial" w:hAnsi="Arial" w:eastAsia="Arial" w:cs="Arial"/>
                <w:noProof w:val="0"/>
                <w:sz w:val="18"/>
                <w:szCs w:val="18"/>
                <w:lang w:val="en-GB"/>
              </w:rPr>
              <w:t>Integrative Literature Review: The Impact of ADHD Across Women’s Lifespan</w:t>
            </w:r>
          </w:p>
        </w:tc>
        <w:tc>
          <w:tcPr>
            <w:tcW w:w="1155" w:type="dxa"/>
            <w:tcMar/>
          </w:tcPr>
          <w:p w:rsidR="3C51FDEA" w:rsidP="51A6AB2E" w:rsidRDefault="3C51FDEA" w14:paraId="48306485" w14:textId="6BECBFA0">
            <w:pPr>
              <w:pStyle w:val="Normal"/>
              <w:rPr>
                <w:rFonts w:ascii="Arial" w:hAnsi="Arial" w:eastAsia="Arial" w:cs="Arial"/>
                <w:noProof w:val="0"/>
                <w:sz w:val="18"/>
                <w:szCs w:val="18"/>
                <w:lang w:val="en-GB"/>
              </w:rPr>
            </w:pPr>
            <w:r w:rsidRPr="51A6AB2E" w:rsidR="3C51FDEA">
              <w:rPr>
                <w:rFonts w:ascii="Arial" w:hAnsi="Arial" w:eastAsia="Arial" w:cs="Arial"/>
                <w:noProof w:val="0"/>
                <w:sz w:val="18"/>
                <w:szCs w:val="18"/>
                <w:lang w:val="en-GB"/>
              </w:rPr>
              <w:t>Integrative Literature Review</w:t>
            </w:r>
          </w:p>
        </w:tc>
        <w:tc>
          <w:tcPr>
            <w:tcW w:w="1125" w:type="dxa"/>
            <w:tcMar/>
          </w:tcPr>
          <w:p w:rsidR="3C51FDEA" w:rsidP="51A6AB2E" w:rsidRDefault="3C51FDEA" w14:paraId="3A856D88" w14:textId="2672EC4D">
            <w:pPr>
              <w:pStyle w:val="Normal"/>
              <w:rPr>
                <w:rFonts w:ascii="Arial" w:hAnsi="Arial" w:eastAsia="Arial" w:cs="Arial"/>
                <w:noProof w:val="0"/>
                <w:sz w:val="18"/>
                <w:szCs w:val="18"/>
                <w:lang w:val="en-GB"/>
              </w:rPr>
            </w:pPr>
            <w:r w:rsidRPr="51A6AB2E" w:rsidR="3C51FDEA">
              <w:rPr>
                <w:rFonts w:ascii="Arial" w:hAnsi="Arial" w:eastAsia="Arial" w:cs="Arial"/>
                <w:noProof w:val="0"/>
                <w:sz w:val="18"/>
                <w:szCs w:val="18"/>
                <w:lang w:val="en-GB"/>
              </w:rPr>
              <w:t>Synthesis of studies examining ADHD across women's lifespan.</w:t>
            </w:r>
          </w:p>
        </w:tc>
        <w:tc>
          <w:tcPr>
            <w:tcW w:w="1314" w:type="dxa"/>
            <w:tcMar/>
          </w:tcPr>
          <w:p w:rsidR="3C51FDEA" w:rsidP="51A6AB2E" w:rsidRDefault="3C51FDEA" w14:paraId="492F68E0" w14:textId="19B8E327">
            <w:pPr>
              <w:pStyle w:val="Normal"/>
              <w:rPr>
                <w:rFonts w:ascii="Arial" w:hAnsi="Arial" w:eastAsia="Arial" w:cs="Arial"/>
                <w:noProof w:val="0"/>
                <w:sz w:val="18"/>
                <w:szCs w:val="18"/>
                <w:lang w:val="en-GB"/>
              </w:rPr>
            </w:pPr>
            <w:r w:rsidRPr="51A6AB2E" w:rsidR="3C51FDEA">
              <w:rPr>
                <w:rFonts w:ascii="Arial" w:hAnsi="Arial" w:eastAsia="Arial" w:cs="Arial"/>
                <w:b w:val="1"/>
                <w:bCs w:val="1"/>
                <w:noProof w:val="0"/>
                <w:sz w:val="18"/>
                <w:szCs w:val="18"/>
                <w:lang w:val="en-GB"/>
              </w:rPr>
              <w:t>Strengths:</w:t>
            </w:r>
            <w:r w:rsidRPr="51A6AB2E" w:rsidR="3C51FDEA">
              <w:rPr>
                <w:rFonts w:ascii="Arial" w:hAnsi="Arial" w:eastAsia="Arial" w:cs="Arial"/>
                <w:noProof w:val="0"/>
                <w:sz w:val="18"/>
                <w:szCs w:val="18"/>
                <w:lang w:val="en-GB"/>
              </w:rPr>
              <w:t xml:space="preserve"> Lifespan perspective; broad evidence base. </w:t>
            </w:r>
            <w:r w:rsidRPr="51A6AB2E" w:rsidR="3C51FDEA">
              <w:rPr>
                <w:rFonts w:ascii="Arial" w:hAnsi="Arial" w:eastAsia="Arial" w:cs="Arial"/>
                <w:b w:val="1"/>
                <w:bCs w:val="1"/>
                <w:noProof w:val="0"/>
                <w:sz w:val="18"/>
                <w:szCs w:val="18"/>
                <w:lang w:val="en-GB"/>
              </w:rPr>
              <w:t>Limitations:</w:t>
            </w:r>
            <w:r w:rsidRPr="51A6AB2E" w:rsidR="3C51FDEA">
              <w:rPr>
                <w:rFonts w:ascii="Arial" w:hAnsi="Arial" w:eastAsia="Arial" w:cs="Arial"/>
                <w:noProof w:val="0"/>
                <w:sz w:val="18"/>
                <w:szCs w:val="18"/>
                <w:lang w:val="en-GB"/>
              </w:rPr>
              <w:t xml:space="preserve"> Variation in included studies.</w:t>
            </w:r>
          </w:p>
        </w:tc>
        <w:tc>
          <w:tcPr>
            <w:tcW w:w="1350" w:type="dxa"/>
            <w:tcMar/>
          </w:tcPr>
          <w:p w:rsidR="3C51FDEA" w:rsidP="51A6AB2E" w:rsidRDefault="3C51FDEA" w14:paraId="49D440B2" w14:textId="5EF5894B">
            <w:pPr>
              <w:pStyle w:val="Normal"/>
              <w:rPr>
                <w:rFonts w:ascii="Arial" w:hAnsi="Arial" w:eastAsia="Arial" w:cs="Arial"/>
                <w:noProof w:val="0"/>
                <w:sz w:val="18"/>
                <w:szCs w:val="18"/>
                <w:lang w:val="en-GB"/>
              </w:rPr>
            </w:pPr>
            <w:r w:rsidRPr="51A6AB2E" w:rsidR="3C51FDEA">
              <w:rPr>
                <w:rFonts w:ascii="Arial" w:hAnsi="Arial" w:eastAsia="Arial" w:cs="Arial"/>
                <w:noProof w:val="0"/>
                <w:sz w:val="18"/>
                <w:szCs w:val="18"/>
                <w:lang w:val="en-GB"/>
              </w:rPr>
              <w:t>ADHD affects women differently across life stages, with diagnosis often delayed until adulthood.</w:t>
            </w:r>
          </w:p>
        </w:tc>
        <w:tc>
          <w:tcPr>
            <w:tcW w:w="1110" w:type="dxa"/>
            <w:tcMar/>
          </w:tcPr>
          <w:p w:rsidR="3C51FDEA" w:rsidP="51A6AB2E" w:rsidRDefault="3C51FDEA" w14:paraId="294D69CE" w14:textId="583CCFFE">
            <w:pPr>
              <w:pStyle w:val="Normal"/>
              <w:rPr>
                <w:rFonts w:ascii="Arial" w:hAnsi="Arial" w:eastAsia="Arial" w:cs="Arial"/>
                <w:noProof w:val="0"/>
                <w:sz w:val="18"/>
                <w:szCs w:val="18"/>
                <w:lang w:val="en-GB"/>
              </w:rPr>
            </w:pPr>
            <w:r w:rsidRPr="51A6AB2E" w:rsidR="3C51FDEA">
              <w:rPr>
                <w:rFonts w:ascii="Arial" w:hAnsi="Arial" w:eastAsia="Arial" w:cs="Arial"/>
                <w:noProof w:val="0"/>
                <w:sz w:val="18"/>
                <w:szCs w:val="18"/>
                <w:lang w:val="en-GB"/>
              </w:rPr>
              <w:t>Lifespan; Gender differences; Late diagnosis</w:t>
            </w:r>
          </w:p>
        </w:tc>
        <w:tc>
          <w:tcPr>
            <w:tcW w:w="1050" w:type="dxa"/>
            <w:tcMar/>
          </w:tcPr>
          <w:p w:rsidR="3C51FDEA" w:rsidP="51A6AB2E" w:rsidRDefault="3C51FDEA" w14:paraId="3047135A" w14:textId="0F5C35D5">
            <w:pPr>
              <w:pStyle w:val="Normal"/>
              <w:rPr>
                <w:rFonts w:ascii="Arial" w:hAnsi="Arial" w:eastAsia="Arial" w:cs="Arial"/>
                <w:noProof w:val="0"/>
                <w:sz w:val="18"/>
                <w:szCs w:val="18"/>
                <w:lang w:val="en-GB"/>
              </w:rPr>
            </w:pPr>
            <w:r w:rsidRPr="51A6AB2E" w:rsidR="3C51FDEA">
              <w:rPr>
                <w:rFonts w:ascii="Arial" w:hAnsi="Arial" w:eastAsia="Arial" w:cs="Arial"/>
                <w:noProof w:val="0"/>
                <w:sz w:val="18"/>
                <w:szCs w:val="18"/>
                <w:lang w:val="en-GB"/>
              </w:rPr>
              <w:t>Links all themes and strengthens overall discussion.</w:t>
            </w:r>
          </w:p>
        </w:tc>
      </w:tr>
    </w:tbl>
    <w:p w:rsidR="51A6AB2E" w:rsidP="51A6AB2E" w:rsidRDefault="51A6AB2E" w14:paraId="33AACAFD" w14:textId="527069B4">
      <w:pPr>
        <w:rPr>
          <w:rFonts w:ascii="Arial" w:hAnsi="Arial" w:eastAsia="Arial" w:cs="Arial"/>
          <w:sz w:val="18"/>
          <w:szCs w:val="18"/>
        </w:rPr>
      </w:pPr>
    </w:p>
    <w:p w:rsidR="51A6AB2E" w:rsidRDefault="51A6AB2E" w14:paraId="4C38D29B" w14:textId="787F1018"/>
    <w:p w:rsidR="008C38C3" w:rsidP="00621776" w:rsidRDefault="008C38C3" w14:paraId="438D3C08" w14:textId="77777777"/>
    <w:p w:rsidR="008C38C3" w:rsidP="00621776" w:rsidRDefault="008C38C3" w14:paraId="18FF6044" w14:textId="77777777"/>
    <w:p w:rsidR="008C38C3" w:rsidP="00621776" w:rsidRDefault="008C38C3" w14:paraId="268CFD1F" w14:textId="77777777"/>
    <w:p w:rsidR="008C38C3" w:rsidP="00621776" w:rsidRDefault="008C38C3" w14:paraId="2440A778" w14:textId="77777777"/>
    <w:p w:rsidR="008C38C3" w:rsidP="00621776" w:rsidRDefault="008C38C3" w14:paraId="5122D4D8" w14:textId="77777777"/>
    <w:p w:rsidR="008C38C3" w:rsidP="00621776" w:rsidRDefault="008C38C3" w14:paraId="4944E244" w14:textId="77777777"/>
    <w:p w:rsidR="008C38C3" w:rsidP="00621776" w:rsidRDefault="008C38C3" w14:paraId="5DA0FD87" w14:textId="77777777"/>
    <w:p w:rsidR="000264A2" w:rsidP="00621776" w:rsidRDefault="000264A2" w14:paraId="6ED1B63A" w14:textId="77777777"/>
    <w:p w:rsidR="008C38C3" w:rsidP="00621776" w:rsidRDefault="008C38C3" w14:paraId="01E01220" w14:textId="77777777"/>
    <w:p w:rsidR="2A57AE0E" w:rsidRDefault="2A57AE0E" w14:paraId="327204ED" w14:textId="1BC699EF"/>
    <w:p w:rsidR="2A57AE0E" w:rsidRDefault="2A57AE0E" w14:paraId="623628DA" w14:textId="0ED1CC82"/>
    <w:p w:rsidR="2A57AE0E" w:rsidRDefault="2A57AE0E" w14:paraId="558D67BE" w14:textId="292BDE4D"/>
    <w:p w:rsidR="2A57AE0E" w:rsidRDefault="2A57AE0E" w14:paraId="2C4674EC" w14:textId="03EBC82B"/>
    <w:p w:rsidR="2A57AE0E" w:rsidRDefault="2A57AE0E" w14:paraId="097E4D10" w14:textId="598CC90F"/>
    <w:p w:rsidR="2A57AE0E" w:rsidRDefault="2A57AE0E" w14:paraId="06FE6691" w14:textId="2AE98A92"/>
    <w:p w:rsidR="2A57AE0E" w:rsidRDefault="2A57AE0E" w14:paraId="17C20EEF" w14:textId="2C6B2E79"/>
    <w:p w:rsidR="2A57AE0E" w:rsidRDefault="2A57AE0E" w14:paraId="4B272DBD" w14:textId="35C27411"/>
    <w:p w:rsidR="2A57AE0E" w:rsidRDefault="2A57AE0E" w14:paraId="027C029E" w14:textId="26312645"/>
    <w:p w:rsidR="2A57AE0E" w:rsidRDefault="2A57AE0E" w14:paraId="4FA4071F" w14:textId="48FF7C3C"/>
    <w:p w:rsidR="2A57AE0E" w:rsidRDefault="2A57AE0E" w14:paraId="220E404C" w14:textId="4F2C4877"/>
    <w:p w:rsidR="2A57AE0E" w:rsidRDefault="2A57AE0E" w14:paraId="37120A70" w14:textId="73C40252"/>
    <w:sectPr w:rsidRPr="008C38C3" w:rsidR="008C38C3">
      <w:pgSz w:w="11906" w:h="16838" w:orient="portrait"/>
      <w:pgMar w:top="1440" w:right="1440" w:bottom="1440" w:left="1440" w:header="708" w:footer="708" w:gutter="0"/>
      <w:cols w:space="708"/>
      <w:docGrid w:linePitch="360"/>
      <w:headerReference w:type="default" r:id="R46b0d06f64ef45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B3AF6" w:rsidP="00211184" w:rsidRDefault="00CB3AF6" w14:paraId="26B00C6A" w14:textId="77777777">
      <w:pPr>
        <w:spacing w:after="0" w:line="240" w:lineRule="auto"/>
      </w:pPr>
      <w:r>
        <w:separator/>
      </w:r>
    </w:p>
  </w:endnote>
  <w:endnote w:type="continuationSeparator" w:id="0">
    <w:p w:rsidR="00CB3AF6" w:rsidP="00211184" w:rsidRDefault="00CB3AF6" w14:paraId="0371381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rsidR="002865F5" w:rsidRDefault="002865F5" w14:paraId="6B91657E" w14:textId="7B55D7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11184" w:rsidRDefault="00211184" w14:paraId="2DC1A86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B3AF6" w:rsidP="00211184" w:rsidRDefault="00CB3AF6" w14:paraId="423AB55E" w14:textId="77777777">
      <w:pPr>
        <w:spacing w:after="0" w:line="240" w:lineRule="auto"/>
      </w:pPr>
      <w:r>
        <w:separator/>
      </w:r>
    </w:p>
  </w:footnote>
  <w:footnote w:type="continuationSeparator" w:id="0">
    <w:p w:rsidR="00CB3AF6" w:rsidP="00211184" w:rsidRDefault="00CB3AF6" w14:paraId="57485EE8"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2C3F49" w:rsidTr="072C3F49" w14:paraId="01A37428">
      <w:trPr>
        <w:trHeight w:val="300"/>
      </w:trPr>
      <w:tc>
        <w:tcPr>
          <w:tcW w:w="3005" w:type="dxa"/>
          <w:tcMar/>
        </w:tcPr>
        <w:p w:rsidR="072C3F49" w:rsidP="072C3F49" w:rsidRDefault="072C3F49" w14:paraId="20B73DA5" w14:textId="0CB87161">
          <w:pPr>
            <w:pStyle w:val="Header"/>
            <w:bidi w:val="0"/>
            <w:ind w:left="-115"/>
            <w:jc w:val="left"/>
          </w:pPr>
        </w:p>
      </w:tc>
      <w:tc>
        <w:tcPr>
          <w:tcW w:w="3005" w:type="dxa"/>
          <w:tcMar/>
        </w:tcPr>
        <w:p w:rsidR="072C3F49" w:rsidP="072C3F49" w:rsidRDefault="072C3F49" w14:paraId="012E4D71" w14:textId="599E6FBD">
          <w:pPr>
            <w:pStyle w:val="Header"/>
            <w:bidi w:val="0"/>
            <w:jc w:val="center"/>
          </w:pPr>
        </w:p>
      </w:tc>
      <w:tc>
        <w:tcPr>
          <w:tcW w:w="3005" w:type="dxa"/>
          <w:tcMar/>
        </w:tcPr>
        <w:p w:rsidR="072C3F49" w:rsidP="072C3F49" w:rsidRDefault="072C3F49" w14:paraId="395A1C17" w14:textId="79589795">
          <w:pPr>
            <w:pStyle w:val="Header"/>
            <w:bidi w:val="0"/>
            <w:ind w:right="-115"/>
            <w:jc w:val="right"/>
          </w:pPr>
        </w:p>
      </w:tc>
    </w:tr>
  </w:tbl>
  <w:p w:rsidR="072C3F49" w:rsidP="072C3F49" w:rsidRDefault="072C3F49" w14:paraId="28CDBFBF" w14:textId="1DCF8D6E">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072C3F49" w:rsidTr="072C3F49" w14:paraId="6FD17F07">
      <w:trPr>
        <w:trHeight w:val="300"/>
      </w:trPr>
      <w:tc>
        <w:tcPr>
          <w:tcW w:w="3005" w:type="dxa"/>
          <w:tcMar/>
        </w:tcPr>
        <w:p w:rsidR="072C3F49" w:rsidP="072C3F49" w:rsidRDefault="072C3F49" w14:paraId="55228FC6" w14:textId="66CFB587">
          <w:pPr>
            <w:pStyle w:val="Header"/>
            <w:bidi w:val="0"/>
            <w:ind w:left="-115"/>
            <w:jc w:val="left"/>
          </w:pPr>
        </w:p>
      </w:tc>
      <w:tc>
        <w:tcPr>
          <w:tcW w:w="3005" w:type="dxa"/>
          <w:tcMar/>
        </w:tcPr>
        <w:p w:rsidR="072C3F49" w:rsidP="072C3F49" w:rsidRDefault="072C3F49" w14:paraId="4584C125" w14:textId="09ABECD3">
          <w:pPr>
            <w:pStyle w:val="Header"/>
            <w:bidi w:val="0"/>
            <w:jc w:val="center"/>
          </w:pPr>
        </w:p>
      </w:tc>
      <w:tc>
        <w:tcPr>
          <w:tcW w:w="3005" w:type="dxa"/>
          <w:tcMar/>
        </w:tcPr>
        <w:p w:rsidR="072C3F49" w:rsidP="072C3F49" w:rsidRDefault="072C3F49" w14:paraId="22841C63" w14:textId="59BD8E2E">
          <w:pPr>
            <w:pStyle w:val="Header"/>
            <w:bidi w:val="0"/>
            <w:ind w:right="-115"/>
            <w:jc w:val="right"/>
          </w:pPr>
        </w:p>
      </w:tc>
    </w:tr>
  </w:tbl>
  <w:p w:rsidR="072C3F49" w:rsidP="072C3F49" w:rsidRDefault="072C3F49" w14:paraId="079C42E4" w14:textId="6878D2CC">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121">
    <w:nsid w:val="5e2c0d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0">
    <w:nsid w:val="705935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9">
    <w:nsid w:val="170904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8">
    <w:nsid w:val="7b59045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7">
    <w:nsid w:val="2ec1f8a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6">
    <w:nsid w:val="389e3f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5">
    <w:nsid w:val="36b51e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4">
    <w:nsid w:val="22ad22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3">
    <w:nsid w:val="3bf601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2">
    <w:nsid w:val="794760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1">
    <w:nsid w:val="66ebd0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0">
    <w:nsid w:val="6d3834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9">
    <w:nsid w:val="6279b62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8">
    <w:nsid w:val="1c16cf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7">
    <w:nsid w:val="1c35f9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 w15:restartNumberingAfterBreak="0">
    <w:nsid w:val="0C3924E5"/>
    <w:multiLevelType w:val="multilevel"/>
    <w:tmpl w:val="27BE327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 w15:restartNumberingAfterBreak="0">
    <w:nsid w:val="0D8C5472"/>
    <w:multiLevelType w:val="multilevel"/>
    <w:tmpl w:val="CB5E8AD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 w15:restartNumberingAfterBreak="0">
    <w:nsid w:val="10926AC3"/>
    <w:multiLevelType w:val="multilevel"/>
    <w:tmpl w:val="066251C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1" w15:restartNumberingAfterBreak="0">
    <w:nsid w:val="138F0049"/>
    <w:multiLevelType w:val="multilevel"/>
    <w:tmpl w:val="27FAEFA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2" w15:restartNumberingAfterBreak="0">
    <w:nsid w:val="138F7F47"/>
    <w:multiLevelType w:val="multilevel"/>
    <w:tmpl w:val="2CAAC94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3" w15:restartNumberingAfterBreak="0">
    <w:nsid w:val="14B22AFF"/>
    <w:multiLevelType w:val="multilevel"/>
    <w:tmpl w:val="6D14002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4" w15:restartNumberingAfterBreak="0">
    <w:nsid w:val="15591E36"/>
    <w:multiLevelType w:val="multilevel"/>
    <w:tmpl w:val="8A1E314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5" w15:restartNumberingAfterBreak="0">
    <w:nsid w:val="15ED63AE"/>
    <w:multiLevelType w:val="multilevel"/>
    <w:tmpl w:val="879E4B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16B9605C"/>
    <w:multiLevelType w:val="multilevel"/>
    <w:tmpl w:val="7FE025E2"/>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18A231DC"/>
    <w:multiLevelType w:val="multilevel"/>
    <w:tmpl w:val="FCE6A9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18FF1597"/>
    <w:multiLevelType w:val="multilevel"/>
    <w:tmpl w:val="6C68499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19BA2CCE"/>
    <w:multiLevelType w:val="multilevel"/>
    <w:tmpl w:val="ED08DA5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1B6473D7"/>
    <w:multiLevelType w:val="multilevel"/>
    <w:tmpl w:val="87FA00D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1" w15:restartNumberingAfterBreak="0">
    <w:nsid w:val="1BDA270C"/>
    <w:multiLevelType w:val="multilevel"/>
    <w:tmpl w:val="3D22AD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1EFC6F05"/>
    <w:multiLevelType w:val="multilevel"/>
    <w:tmpl w:val="DC2866C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3" w15:restartNumberingAfterBreak="0">
    <w:nsid w:val="201F0034"/>
    <w:multiLevelType w:val="multilevel"/>
    <w:tmpl w:val="EB8036B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4" w15:restartNumberingAfterBreak="0">
    <w:nsid w:val="21003E80"/>
    <w:multiLevelType w:val="multilevel"/>
    <w:tmpl w:val="3F366D9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234C5796"/>
    <w:multiLevelType w:val="multilevel"/>
    <w:tmpl w:val="D92601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234D0738"/>
    <w:multiLevelType w:val="hybridMultilevel"/>
    <w:tmpl w:val="21064BA2"/>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7" w15:restartNumberingAfterBreak="0">
    <w:nsid w:val="243677D1"/>
    <w:multiLevelType w:val="multilevel"/>
    <w:tmpl w:val="9BE05DF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28" w15:restartNumberingAfterBreak="0">
    <w:nsid w:val="24A80B63"/>
    <w:multiLevelType w:val="multilevel"/>
    <w:tmpl w:val="4FE09AA0"/>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25317DF2"/>
    <w:multiLevelType w:val="multilevel"/>
    <w:tmpl w:val="F432D1B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27EC5309"/>
    <w:multiLevelType w:val="multilevel"/>
    <w:tmpl w:val="92FEBB7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1" w15:restartNumberingAfterBreak="0">
    <w:nsid w:val="29EB568D"/>
    <w:multiLevelType w:val="multilevel"/>
    <w:tmpl w:val="6A6887C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2" w15:restartNumberingAfterBreak="0">
    <w:nsid w:val="2AE60591"/>
    <w:multiLevelType w:val="multilevel"/>
    <w:tmpl w:val="27C079D4"/>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2BA0610A"/>
    <w:multiLevelType w:val="multilevel"/>
    <w:tmpl w:val="3208A85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2EAE7F9E"/>
    <w:multiLevelType w:val="multilevel"/>
    <w:tmpl w:val="51906DB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5" w15:restartNumberingAfterBreak="0">
    <w:nsid w:val="2F411F60"/>
    <w:multiLevelType w:val="multilevel"/>
    <w:tmpl w:val="AEA0D9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2FF51761"/>
    <w:multiLevelType w:val="multilevel"/>
    <w:tmpl w:val="315CE73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7" w15:restartNumberingAfterBreak="0">
    <w:nsid w:val="302358D9"/>
    <w:multiLevelType w:val="multilevel"/>
    <w:tmpl w:val="678E4BA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38" w15:restartNumberingAfterBreak="0">
    <w:nsid w:val="312C2B3B"/>
    <w:multiLevelType w:val="multilevel"/>
    <w:tmpl w:val="6A78D61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320E7778"/>
    <w:multiLevelType w:val="multilevel"/>
    <w:tmpl w:val="032AB53C"/>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0" w15:restartNumberingAfterBreak="0">
    <w:nsid w:val="361F14D1"/>
    <w:multiLevelType w:val="multilevel"/>
    <w:tmpl w:val="472CEB4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380F495E"/>
    <w:multiLevelType w:val="multilevel"/>
    <w:tmpl w:val="A76A01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38E974B4"/>
    <w:multiLevelType w:val="multilevel"/>
    <w:tmpl w:val="18D4F2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394A1451"/>
    <w:multiLevelType w:val="multilevel"/>
    <w:tmpl w:val="4FE09AA0"/>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4" w15:restartNumberingAfterBreak="0">
    <w:nsid w:val="3A8138F8"/>
    <w:multiLevelType w:val="multilevel"/>
    <w:tmpl w:val="6B285D5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5" w15:restartNumberingAfterBreak="0">
    <w:nsid w:val="3C1A6F6B"/>
    <w:multiLevelType w:val="multilevel"/>
    <w:tmpl w:val="45683C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3C2B08AA"/>
    <w:multiLevelType w:val="multilevel"/>
    <w:tmpl w:val="318C398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7" w15:restartNumberingAfterBreak="0">
    <w:nsid w:val="3DB33B74"/>
    <w:multiLevelType w:val="multilevel"/>
    <w:tmpl w:val="4860FA8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48" w15:restartNumberingAfterBreak="0">
    <w:nsid w:val="40F8321F"/>
    <w:multiLevelType w:val="multilevel"/>
    <w:tmpl w:val="01D6AD56"/>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9" w15:restartNumberingAfterBreak="0">
    <w:nsid w:val="42213F3B"/>
    <w:multiLevelType w:val="multilevel"/>
    <w:tmpl w:val="EBA0102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0" w15:restartNumberingAfterBreak="0">
    <w:nsid w:val="42796801"/>
    <w:multiLevelType w:val="multilevel"/>
    <w:tmpl w:val="97C62D4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1" w15:restartNumberingAfterBreak="0">
    <w:nsid w:val="439150ED"/>
    <w:multiLevelType w:val="multilevel"/>
    <w:tmpl w:val="3F22662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2" w15:restartNumberingAfterBreak="0">
    <w:nsid w:val="47C2323A"/>
    <w:multiLevelType w:val="multilevel"/>
    <w:tmpl w:val="2B222C5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3" w15:restartNumberingAfterBreak="0">
    <w:nsid w:val="47CF090E"/>
    <w:multiLevelType w:val="multilevel"/>
    <w:tmpl w:val="346EAB9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4" w15:restartNumberingAfterBreak="0">
    <w:nsid w:val="485D6C0B"/>
    <w:multiLevelType w:val="multilevel"/>
    <w:tmpl w:val="41F0241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5" w15:restartNumberingAfterBreak="0">
    <w:nsid w:val="490051F6"/>
    <w:multiLevelType w:val="hybridMultilevel"/>
    <w:tmpl w:val="2B142D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6" w15:restartNumberingAfterBreak="0">
    <w:nsid w:val="49032E3D"/>
    <w:multiLevelType w:val="multilevel"/>
    <w:tmpl w:val="1EF28C4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7" w15:restartNumberingAfterBreak="0">
    <w:nsid w:val="4C337D5E"/>
    <w:multiLevelType w:val="multilevel"/>
    <w:tmpl w:val="9DAAE9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4E7637EA"/>
    <w:multiLevelType w:val="multilevel"/>
    <w:tmpl w:val="AA28306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59" w15:restartNumberingAfterBreak="0">
    <w:nsid w:val="4EC52549"/>
    <w:multiLevelType w:val="multilevel"/>
    <w:tmpl w:val="43A8DE3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0" w15:restartNumberingAfterBreak="0">
    <w:nsid w:val="4F5230C0"/>
    <w:multiLevelType w:val="multilevel"/>
    <w:tmpl w:val="AACE12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1" w15:restartNumberingAfterBreak="0">
    <w:nsid w:val="505B67CD"/>
    <w:multiLevelType w:val="multilevel"/>
    <w:tmpl w:val="C7BCFED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2" w15:restartNumberingAfterBreak="0">
    <w:nsid w:val="53325985"/>
    <w:multiLevelType w:val="multilevel"/>
    <w:tmpl w:val="005287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54503C68"/>
    <w:multiLevelType w:val="multilevel"/>
    <w:tmpl w:val="4BB4CB9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4" w15:restartNumberingAfterBreak="0">
    <w:nsid w:val="55C818EF"/>
    <w:multiLevelType w:val="multilevel"/>
    <w:tmpl w:val="63F0824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5" w15:restartNumberingAfterBreak="0">
    <w:nsid w:val="566F3735"/>
    <w:multiLevelType w:val="multilevel"/>
    <w:tmpl w:val="383E10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6" w15:restartNumberingAfterBreak="0">
    <w:nsid w:val="56A96389"/>
    <w:multiLevelType w:val="multilevel"/>
    <w:tmpl w:val="97622CA6"/>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67" w15:restartNumberingAfterBreak="0">
    <w:nsid w:val="576F08EC"/>
    <w:multiLevelType w:val="multilevel"/>
    <w:tmpl w:val="E496CA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9" w15:restartNumberingAfterBreak="0">
    <w:nsid w:val="57DD7443"/>
    <w:multiLevelType w:val="multilevel"/>
    <w:tmpl w:val="F2EE486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0" w15:restartNumberingAfterBreak="0">
    <w:nsid w:val="598B750B"/>
    <w:multiLevelType w:val="multilevel"/>
    <w:tmpl w:val="EFBA58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5B910B97"/>
    <w:multiLevelType w:val="multilevel"/>
    <w:tmpl w:val="B98EEF0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2" w15:restartNumberingAfterBreak="0">
    <w:nsid w:val="5BE36DFC"/>
    <w:multiLevelType w:val="multilevel"/>
    <w:tmpl w:val="31B0B14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3" w15:restartNumberingAfterBreak="0">
    <w:nsid w:val="5E4E1A18"/>
    <w:multiLevelType w:val="multilevel"/>
    <w:tmpl w:val="71AC6268"/>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4" w15:restartNumberingAfterBreak="0">
    <w:nsid w:val="5E70291B"/>
    <w:multiLevelType w:val="multilevel"/>
    <w:tmpl w:val="66C873C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5" w15:restartNumberingAfterBreak="0">
    <w:nsid w:val="5F7C621F"/>
    <w:multiLevelType w:val="multilevel"/>
    <w:tmpl w:val="0D4699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6" w15:restartNumberingAfterBreak="0">
    <w:nsid w:val="605F72AF"/>
    <w:multiLevelType w:val="multilevel"/>
    <w:tmpl w:val="E79039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7" w15:restartNumberingAfterBreak="0">
    <w:nsid w:val="61565D29"/>
    <w:multiLevelType w:val="multilevel"/>
    <w:tmpl w:val="7D440E8E"/>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8" w15:restartNumberingAfterBreak="0">
    <w:nsid w:val="632A7D07"/>
    <w:multiLevelType w:val="multilevel"/>
    <w:tmpl w:val="8578D152"/>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79" w15:restartNumberingAfterBreak="0">
    <w:nsid w:val="635161FF"/>
    <w:multiLevelType w:val="multilevel"/>
    <w:tmpl w:val="E90885C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0" w15:restartNumberingAfterBreak="0">
    <w:nsid w:val="641F3E72"/>
    <w:multiLevelType w:val="multilevel"/>
    <w:tmpl w:val="C9E02E7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1" w15:restartNumberingAfterBreak="0">
    <w:nsid w:val="6576206F"/>
    <w:multiLevelType w:val="multilevel"/>
    <w:tmpl w:val="08DADE26"/>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82" w15:restartNumberingAfterBreak="0">
    <w:nsid w:val="65DE4F4F"/>
    <w:multiLevelType w:val="multilevel"/>
    <w:tmpl w:val="909E9DC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83" w15:restartNumberingAfterBreak="0">
    <w:nsid w:val="675D1599"/>
    <w:multiLevelType w:val="multilevel"/>
    <w:tmpl w:val="8B9C51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4" w15:restartNumberingAfterBreak="0">
    <w:nsid w:val="6A35444F"/>
    <w:multiLevelType w:val="multilevel"/>
    <w:tmpl w:val="75FA85E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5" w15:restartNumberingAfterBreak="0">
    <w:nsid w:val="6CCC1F2D"/>
    <w:multiLevelType w:val="multilevel"/>
    <w:tmpl w:val="BB5C2E6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6" w15:restartNumberingAfterBreak="0">
    <w:nsid w:val="6E1D255F"/>
    <w:multiLevelType w:val="multilevel"/>
    <w:tmpl w:val="DDD6F2F8"/>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87" w15:restartNumberingAfterBreak="0">
    <w:nsid w:val="6F12433F"/>
    <w:multiLevelType w:val="multilevel"/>
    <w:tmpl w:val="584266B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8" w15:restartNumberingAfterBreak="0">
    <w:nsid w:val="6F19662F"/>
    <w:multiLevelType w:val="multilevel"/>
    <w:tmpl w:val="BAFCF27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9" w15:restartNumberingAfterBreak="0">
    <w:nsid w:val="6FE97D51"/>
    <w:multiLevelType w:val="multilevel"/>
    <w:tmpl w:val="C3E846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0"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1" w15:restartNumberingAfterBreak="0">
    <w:nsid w:val="71D54AE4"/>
    <w:multiLevelType w:val="multilevel"/>
    <w:tmpl w:val="BC48AB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2" w15:restartNumberingAfterBreak="0">
    <w:nsid w:val="72627D2F"/>
    <w:multiLevelType w:val="multilevel"/>
    <w:tmpl w:val="8DAEF19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3" w15:restartNumberingAfterBreak="0">
    <w:nsid w:val="772346B4"/>
    <w:multiLevelType w:val="multilevel"/>
    <w:tmpl w:val="6A78E9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4" w15:restartNumberingAfterBreak="0">
    <w:nsid w:val="77C22FA2"/>
    <w:multiLevelType w:val="hybridMultilevel"/>
    <w:tmpl w:val="0B8C3B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5" w15:restartNumberingAfterBreak="0">
    <w:nsid w:val="7818155C"/>
    <w:multiLevelType w:val="multilevel"/>
    <w:tmpl w:val="42A077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6" w15:restartNumberingAfterBreak="0">
    <w:nsid w:val="78FB7E6F"/>
    <w:multiLevelType w:val="multilevel"/>
    <w:tmpl w:val="6A304BB4"/>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97" w15:restartNumberingAfterBreak="0">
    <w:nsid w:val="78FD588A"/>
    <w:multiLevelType w:val="hybridMultilevel"/>
    <w:tmpl w:val="94748DB4"/>
    <w:lvl w:ilvl="0" w:tplc="2D56A8C8">
      <w:start w:val="6"/>
      <w:numFmt w:val="bullet"/>
      <w:lvlText w:val="-"/>
      <w:lvlJc w:val="left"/>
      <w:pPr>
        <w:ind w:left="720" w:hanging="360"/>
      </w:pPr>
      <w:rPr>
        <w:rFonts w:hint="default" w:ascii="Aptos" w:hAnsi="Aptos" w:eastAsiaTheme="minorEastAsia"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8" w15:restartNumberingAfterBreak="0">
    <w:nsid w:val="795E6223"/>
    <w:multiLevelType w:val="multilevel"/>
    <w:tmpl w:val="3CF4B0F8"/>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99" w15:restartNumberingAfterBreak="0">
    <w:nsid w:val="796A3855"/>
    <w:multiLevelType w:val="multilevel"/>
    <w:tmpl w:val="86F4D50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0" w15:restartNumberingAfterBreak="0">
    <w:nsid w:val="797F5FB9"/>
    <w:multiLevelType w:val="multilevel"/>
    <w:tmpl w:val="3378120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1" w15:restartNumberingAfterBreak="0">
    <w:nsid w:val="79D07D96"/>
    <w:multiLevelType w:val="multilevel"/>
    <w:tmpl w:val="5718C05C"/>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2" w15:restartNumberingAfterBreak="0">
    <w:nsid w:val="7A2E7F44"/>
    <w:multiLevelType w:val="multilevel"/>
    <w:tmpl w:val="5F82865A"/>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3" w15:restartNumberingAfterBreak="0">
    <w:nsid w:val="7AD93C5A"/>
    <w:multiLevelType w:val="multilevel"/>
    <w:tmpl w:val="022E1B40"/>
    <w:lvl w:ilvl="0">
      <w:start w:val="1"/>
      <w:numFmt w:val="bullet"/>
      <w:lvlText w:val="o"/>
      <w:lvlJc w:val="left"/>
      <w:pPr>
        <w:tabs>
          <w:tab w:val="num" w:pos="720"/>
        </w:tabs>
        <w:ind w:left="720" w:hanging="360"/>
      </w:pPr>
      <w:rPr>
        <w:rFonts w:hint="default" w:ascii="Courier New" w:hAnsi="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o"/>
      <w:lvlJc w:val="left"/>
      <w:pPr>
        <w:tabs>
          <w:tab w:val="num" w:pos="2160"/>
        </w:tabs>
        <w:ind w:left="2160" w:hanging="360"/>
      </w:pPr>
      <w:rPr>
        <w:rFonts w:hint="default" w:ascii="Courier New" w:hAnsi="Courier New"/>
        <w:sz w:val="20"/>
      </w:rPr>
    </w:lvl>
    <w:lvl w:ilvl="3" w:tentative="1">
      <w:start w:val="1"/>
      <w:numFmt w:val="bullet"/>
      <w:lvlText w:val="o"/>
      <w:lvlJc w:val="left"/>
      <w:pPr>
        <w:tabs>
          <w:tab w:val="num" w:pos="2880"/>
        </w:tabs>
        <w:ind w:left="2880" w:hanging="360"/>
      </w:pPr>
      <w:rPr>
        <w:rFonts w:hint="default" w:ascii="Courier New" w:hAnsi="Courier New"/>
        <w:sz w:val="20"/>
      </w:rPr>
    </w:lvl>
    <w:lvl w:ilvl="4" w:tentative="1">
      <w:start w:val="1"/>
      <w:numFmt w:val="bullet"/>
      <w:lvlText w:val="o"/>
      <w:lvlJc w:val="left"/>
      <w:pPr>
        <w:tabs>
          <w:tab w:val="num" w:pos="3600"/>
        </w:tabs>
        <w:ind w:left="3600" w:hanging="360"/>
      </w:pPr>
      <w:rPr>
        <w:rFonts w:hint="default" w:ascii="Courier New" w:hAnsi="Courier New"/>
        <w:sz w:val="20"/>
      </w:rPr>
    </w:lvl>
    <w:lvl w:ilvl="5" w:tentative="1">
      <w:start w:val="1"/>
      <w:numFmt w:val="bullet"/>
      <w:lvlText w:val="o"/>
      <w:lvlJc w:val="left"/>
      <w:pPr>
        <w:tabs>
          <w:tab w:val="num" w:pos="4320"/>
        </w:tabs>
        <w:ind w:left="4320" w:hanging="360"/>
      </w:pPr>
      <w:rPr>
        <w:rFonts w:hint="default" w:ascii="Courier New" w:hAnsi="Courier New"/>
        <w:sz w:val="20"/>
      </w:rPr>
    </w:lvl>
    <w:lvl w:ilvl="6" w:tentative="1">
      <w:start w:val="1"/>
      <w:numFmt w:val="bullet"/>
      <w:lvlText w:val="o"/>
      <w:lvlJc w:val="left"/>
      <w:pPr>
        <w:tabs>
          <w:tab w:val="num" w:pos="5040"/>
        </w:tabs>
        <w:ind w:left="5040" w:hanging="360"/>
      </w:pPr>
      <w:rPr>
        <w:rFonts w:hint="default" w:ascii="Courier New" w:hAnsi="Courier New"/>
        <w:sz w:val="20"/>
      </w:rPr>
    </w:lvl>
    <w:lvl w:ilvl="7" w:tentative="1">
      <w:start w:val="1"/>
      <w:numFmt w:val="bullet"/>
      <w:lvlText w:val="o"/>
      <w:lvlJc w:val="left"/>
      <w:pPr>
        <w:tabs>
          <w:tab w:val="num" w:pos="5760"/>
        </w:tabs>
        <w:ind w:left="5760" w:hanging="360"/>
      </w:pPr>
      <w:rPr>
        <w:rFonts w:hint="default" w:ascii="Courier New" w:hAnsi="Courier New"/>
        <w:sz w:val="20"/>
      </w:rPr>
    </w:lvl>
    <w:lvl w:ilvl="8" w:tentative="1">
      <w:start w:val="1"/>
      <w:numFmt w:val="bullet"/>
      <w:lvlText w:val="o"/>
      <w:lvlJc w:val="left"/>
      <w:pPr>
        <w:tabs>
          <w:tab w:val="num" w:pos="6480"/>
        </w:tabs>
        <w:ind w:left="6480" w:hanging="360"/>
      </w:pPr>
      <w:rPr>
        <w:rFonts w:hint="default" w:ascii="Courier New" w:hAnsi="Courier New"/>
        <w:sz w:val="20"/>
      </w:rPr>
    </w:lvl>
  </w:abstractNum>
  <w:abstractNum w:abstractNumId="104" w15:restartNumberingAfterBreak="0">
    <w:nsid w:val="7C692CD8"/>
    <w:multiLevelType w:val="multilevel"/>
    <w:tmpl w:val="265043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5" w15:restartNumberingAfterBreak="0">
    <w:nsid w:val="7C73177A"/>
    <w:multiLevelType w:val="multilevel"/>
    <w:tmpl w:val="9320D3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6" w15:restartNumberingAfterBreak="0">
    <w:nsid w:val="7F2C1F71"/>
    <w:multiLevelType w:val="multilevel"/>
    <w:tmpl w:val="C9BA764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22">
    <w:abstractNumId w:val="121"/>
  </w:num>
  <w:num w:numId="121">
    <w:abstractNumId w:val="120"/>
  </w:num>
  <w:num w:numId="120">
    <w:abstractNumId w:val="119"/>
  </w:num>
  <w:num w:numId="119">
    <w:abstractNumId w:val="118"/>
  </w:num>
  <w:num w:numId="118">
    <w:abstractNumId w:val="117"/>
  </w:num>
  <w:num w:numId="117">
    <w:abstractNumId w:val="116"/>
  </w:num>
  <w:num w:numId="116">
    <w:abstractNumId w:val="115"/>
  </w:num>
  <w:num w:numId="115">
    <w:abstractNumId w:val="114"/>
  </w:num>
  <w:num w:numId="114">
    <w:abstractNumId w:val="113"/>
  </w:num>
  <w:num w:numId="113">
    <w:abstractNumId w:val="112"/>
  </w:num>
  <w:num w:numId="112">
    <w:abstractNumId w:val="111"/>
  </w:num>
  <w:num w:numId="111">
    <w:abstractNumId w:val="110"/>
  </w:num>
  <w:num w:numId="110">
    <w:abstractNumId w:val="109"/>
  </w:num>
  <w:num w:numId="109">
    <w:abstractNumId w:val="108"/>
  </w:num>
  <w:num w:numId="108">
    <w:abstractNumId w:val="107"/>
  </w:num>
  <w:num w:numId="1" w16cid:durableId="1092819689">
    <w:abstractNumId w:val="97"/>
  </w:num>
  <w:num w:numId="2" w16cid:durableId="1500121260">
    <w:abstractNumId w:val="55"/>
  </w:num>
  <w:num w:numId="3" w16cid:durableId="438111508">
    <w:abstractNumId w:val="90"/>
  </w:num>
  <w:num w:numId="4" w16cid:durableId="106121269">
    <w:abstractNumId w:val="17"/>
  </w:num>
  <w:num w:numId="5" w16cid:durableId="1859468656">
    <w:abstractNumId w:val="103"/>
  </w:num>
  <w:num w:numId="6" w16cid:durableId="407923627">
    <w:abstractNumId w:val="101"/>
  </w:num>
  <w:num w:numId="7" w16cid:durableId="1173763238">
    <w:abstractNumId w:val="67"/>
  </w:num>
  <w:num w:numId="8" w16cid:durableId="515197422">
    <w:abstractNumId w:val="47"/>
  </w:num>
  <w:num w:numId="9" w16cid:durableId="650984044">
    <w:abstractNumId w:val="13"/>
  </w:num>
  <w:num w:numId="10" w16cid:durableId="676225712">
    <w:abstractNumId w:val="93"/>
  </w:num>
  <w:num w:numId="11" w16cid:durableId="654647421">
    <w:abstractNumId w:val="66"/>
  </w:num>
  <w:num w:numId="12" w16cid:durableId="972827862">
    <w:abstractNumId w:val="69"/>
  </w:num>
  <w:num w:numId="13" w16cid:durableId="73359902">
    <w:abstractNumId w:val="45"/>
  </w:num>
  <w:num w:numId="14" w16cid:durableId="1233615214">
    <w:abstractNumId w:val="10"/>
  </w:num>
  <w:num w:numId="15" w16cid:durableId="1037585576">
    <w:abstractNumId w:val="99"/>
  </w:num>
  <w:num w:numId="16" w16cid:durableId="1454127918">
    <w:abstractNumId w:val="83"/>
  </w:num>
  <w:num w:numId="17" w16cid:durableId="1655717882">
    <w:abstractNumId w:val="31"/>
  </w:num>
  <w:num w:numId="18" w16cid:durableId="679818721">
    <w:abstractNumId w:val="7"/>
  </w:num>
  <w:num w:numId="19" w16cid:durableId="820851363">
    <w:abstractNumId w:val="2"/>
  </w:num>
  <w:num w:numId="20" w16cid:durableId="1752123437">
    <w:abstractNumId w:val="59"/>
  </w:num>
  <w:num w:numId="21" w16cid:durableId="776406381">
    <w:abstractNumId w:val="9"/>
  </w:num>
  <w:num w:numId="22" w16cid:durableId="2003772795">
    <w:abstractNumId w:val="104"/>
  </w:num>
  <w:num w:numId="23" w16cid:durableId="471214588">
    <w:abstractNumId w:val="8"/>
  </w:num>
  <w:num w:numId="24" w16cid:durableId="747188340">
    <w:abstractNumId w:val="89"/>
  </w:num>
  <w:num w:numId="25" w16cid:durableId="1617635105">
    <w:abstractNumId w:val="20"/>
  </w:num>
  <w:num w:numId="26" w16cid:durableId="1919750537">
    <w:abstractNumId w:val="95"/>
  </w:num>
  <w:num w:numId="27" w16cid:durableId="1917666381">
    <w:abstractNumId w:val="4"/>
  </w:num>
  <w:num w:numId="28" w16cid:durableId="836925604">
    <w:abstractNumId w:val="82"/>
  </w:num>
  <w:num w:numId="29" w16cid:durableId="881479433">
    <w:abstractNumId w:val="70"/>
  </w:num>
  <w:num w:numId="30" w16cid:durableId="164788852">
    <w:abstractNumId w:val="74"/>
  </w:num>
  <w:num w:numId="31" w16cid:durableId="735323509">
    <w:abstractNumId w:val="15"/>
  </w:num>
  <w:num w:numId="32" w16cid:durableId="1000431254">
    <w:abstractNumId w:val="44"/>
  </w:num>
  <w:num w:numId="33" w16cid:durableId="434404662">
    <w:abstractNumId w:val="23"/>
  </w:num>
  <w:num w:numId="34" w16cid:durableId="792409853">
    <w:abstractNumId w:val="53"/>
  </w:num>
  <w:num w:numId="35" w16cid:durableId="70469880">
    <w:abstractNumId w:val="57"/>
  </w:num>
  <w:num w:numId="36" w16cid:durableId="1255548974">
    <w:abstractNumId w:val="50"/>
  </w:num>
  <w:num w:numId="37" w16cid:durableId="509951972">
    <w:abstractNumId w:val="37"/>
  </w:num>
  <w:num w:numId="38" w16cid:durableId="1491873496">
    <w:abstractNumId w:val="62"/>
  </w:num>
  <w:num w:numId="39" w16cid:durableId="1277179892">
    <w:abstractNumId w:val="73"/>
  </w:num>
  <w:num w:numId="40" w16cid:durableId="1137721610">
    <w:abstractNumId w:val="58"/>
  </w:num>
  <w:num w:numId="41" w16cid:durableId="1569337486">
    <w:abstractNumId w:val="105"/>
  </w:num>
  <w:num w:numId="42" w16cid:durableId="1771851078">
    <w:abstractNumId w:val="5"/>
  </w:num>
  <w:num w:numId="43" w16cid:durableId="1096747610">
    <w:abstractNumId w:val="22"/>
  </w:num>
  <w:num w:numId="44" w16cid:durableId="1853105471">
    <w:abstractNumId w:val="84"/>
  </w:num>
  <w:num w:numId="45" w16cid:durableId="2016615092">
    <w:abstractNumId w:val="54"/>
  </w:num>
  <w:num w:numId="46" w16cid:durableId="439030946">
    <w:abstractNumId w:val="71"/>
  </w:num>
  <w:num w:numId="47" w16cid:durableId="315690756">
    <w:abstractNumId w:val="38"/>
  </w:num>
  <w:num w:numId="48" w16cid:durableId="1252278660">
    <w:abstractNumId w:val="12"/>
  </w:num>
  <w:num w:numId="49" w16cid:durableId="1719351677">
    <w:abstractNumId w:val="77"/>
  </w:num>
  <w:num w:numId="50" w16cid:durableId="1107427397">
    <w:abstractNumId w:val="25"/>
  </w:num>
  <w:num w:numId="51" w16cid:durableId="371266753">
    <w:abstractNumId w:val="72"/>
  </w:num>
  <w:num w:numId="52" w16cid:durableId="491869272">
    <w:abstractNumId w:val="30"/>
  </w:num>
  <w:num w:numId="53" w16cid:durableId="1351251430">
    <w:abstractNumId w:val="75"/>
  </w:num>
  <w:num w:numId="54" w16cid:durableId="1368607436">
    <w:abstractNumId w:val="96"/>
  </w:num>
  <w:num w:numId="55" w16cid:durableId="1588029100">
    <w:abstractNumId w:val="102"/>
  </w:num>
  <w:num w:numId="56" w16cid:durableId="415832180">
    <w:abstractNumId w:val="91"/>
  </w:num>
  <w:num w:numId="57" w16cid:durableId="1178735139">
    <w:abstractNumId w:val="46"/>
  </w:num>
  <w:num w:numId="58" w16cid:durableId="721834200">
    <w:abstractNumId w:val="56"/>
  </w:num>
  <w:num w:numId="59" w16cid:durableId="686251813">
    <w:abstractNumId w:val="1"/>
  </w:num>
  <w:num w:numId="60" w16cid:durableId="1960641414">
    <w:abstractNumId w:val="14"/>
  </w:num>
  <w:num w:numId="61" w16cid:durableId="39089564">
    <w:abstractNumId w:val="49"/>
  </w:num>
  <w:num w:numId="62" w16cid:durableId="1192718157">
    <w:abstractNumId w:val="21"/>
  </w:num>
  <w:num w:numId="63" w16cid:durableId="1777825955">
    <w:abstractNumId w:val="78"/>
  </w:num>
  <w:num w:numId="64" w16cid:durableId="286199487">
    <w:abstractNumId w:val="27"/>
  </w:num>
  <w:num w:numId="65" w16cid:durableId="1119490663">
    <w:abstractNumId w:val="61"/>
  </w:num>
  <w:num w:numId="66" w16cid:durableId="1353922786">
    <w:abstractNumId w:val="34"/>
  </w:num>
  <w:num w:numId="67" w16cid:durableId="492723980">
    <w:abstractNumId w:val="65"/>
  </w:num>
  <w:num w:numId="68" w16cid:durableId="526941613">
    <w:abstractNumId w:val="35"/>
  </w:num>
  <w:num w:numId="69" w16cid:durableId="320043301">
    <w:abstractNumId w:val="63"/>
  </w:num>
  <w:num w:numId="70" w16cid:durableId="2037610982">
    <w:abstractNumId w:val="6"/>
  </w:num>
  <w:num w:numId="71" w16cid:durableId="1079794559">
    <w:abstractNumId w:val="41"/>
  </w:num>
  <w:num w:numId="72" w16cid:durableId="503403534">
    <w:abstractNumId w:val="36"/>
  </w:num>
  <w:num w:numId="73" w16cid:durableId="194734275">
    <w:abstractNumId w:val="11"/>
  </w:num>
  <w:num w:numId="74" w16cid:durableId="424033359">
    <w:abstractNumId w:val="48"/>
  </w:num>
  <w:num w:numId="75" w16cid:durableId="1335066293">
    <w:abstractNumId w:val="86"/>
  </w:num>
  <w:num w:numId="76" w16cid:durableId="662587085">
    <w:abstractNumId w:val="39"/>
  </w:num>
  <w:num w:numId="77" w16cid:durableId="2071072074">
    <w:abstractNumId w:val="81"/>
  </w:num>
  <w:num w:numId="78" w16cid:durableId="1573662111">
    <w:abstractNumId w:val="98"/>
  </w:num>
  <w:num w:numId="79" w16cid:durableId="131678057">
    <w:abstractNumId w:val="92"/>
  </w:num>
  <w:num w:numId="80" w16cid:durableId="99565733">
    <w:abstractNumId w:val="29"/>
  </w:num>
  <w:num w:numId="81" w16cid:durableId="1810784339">
    <w:abstractNumId w:val="68"/>
  </w:num>
  <w:num w:numId="82" w16cid:durableId="1491748033">
    <w:abstractNumId w:val="80"/>
  </w:num>
  <w:num w:numId="83" w16cid:durableId="670565925">
    <w:abstractNumId w:val="19"/>
  </w:num>
  <w:num w:numId="84" w16cid:durableId="211696971">
    <w:abstractNumId w:val="28"/>
  </w:num>
  <w:num w:numId="85" w16cid:durableId="1773429901">
    <w:abstractNumId w:val="43"/>
  </w:num>
  <w:num w:numId="86" w16cid:durableId="804733676">
    <w:abstractNumId w:val="32"/>
  </w:num>
  <w:num w:numId="87" w16cid:durableId="488864096">
    <w:abstractNumId w:val="87"/>
  </w:num>
  <w:num w:numId="88" w16cid:durableId="1599749197">
    <w:abstractNumId w:val="42"/>
  </w:num>
  <w:num w:numId="89" w16cid:durableId="1726679607">
    <w:abstractNumId w:val="24"/>
  </w:num>
  <w:num w:numId="90" w16cid:durableId="1630209448">
    <w:abstractNumId w:val="51"/>
  </w:num>
  <w:num w:numId="91" w16cid:durableId="928663234">
    <w:abstractNumId w:val="64"/>
  </w:num>
  <w:num w:numId="92" w16cid:durableId="2017072952">
    <w:abstractNumId w:val="76"/>
  </w:num>
  <w:num w:numId="93" w16cid:durableId="58405484">
    <w:abstractNumId w:val="33"/>
  </w:num>
  <w:num w:numId="94" w16cid:durableId="1817530714">
    <w:abstractNumId w:val="16"/>
  </w:num>
  <w:num w:numId="95" w16cid:durableId="2141336387">
    <w:abstractNumId w:val="60"/>
  </w:num>
  <w:num w:numId="96" w16cid:durableId="1325282792">
    <w:abstractNumId w:val="3"/>
  </w:num>
  <w:num w:numId="97" w16cid:durableId="1319654748">
    <w:abstractNumId w:val="79"/>
  </w:num>
  <w:num w:numId="98" w16cid:durableId="556555801">
    <w:abstractNumId w:val="0"/>
  </w:num>
  <w:num w:numId="99" w16cid:durableId="1903828627">
    <w:abstractNumId w:val="18"/>
  </w:num>
  <w:num w:numId="100" w16cid:durableId="281425930">
    <w:abstractNumId w:val="52"/>
  </w:num>
  <w:num w:numId="101" w16cid:durableId="1491553762">
    <w:abstractNumId w:val="40"/>
  </w:num>
  <w:num w:numId="102" w16cid:durableId="965625632">
    <w:abstractNumId w:val="85"/>
  </w:num>
  <w:num w:numId="103" w16cid:durableId="1481145624">
    <w:abstractNumId w:val="106"/>
  </w:num>
  <w:num w:numId="104" w16cid:durableId="29957555">
    <w:abstractNumId w:val="100"/>
  </w:num>
  <w:num w:numId="105" w16cid:durableId="1042821728">
    <w:abstractNumId w:val="88"/>
  </w:num>
  <w:num w:numId="106" w16cid:durableId="633143735">
    <w:abstractNumId w:val="94"/>
  </w:num>
  <w:num w:numId="107" w16cid:durableId="1100951892">
    <w:abstractNumId w:val="26"/>
  </w:num>
  <w:numIdMacAtCleanup w:val="107"/>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45"/>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264A2"/>
    <w:rsid w:val="000400E4"/>
    <w:rsid w:val="00063B4C"/>
    <w:rsid w:val="000685A0"/>
    <w:rsid w:val="00072164"/>
    <w:rsid w:val="000D05D8"/>
    <w:rsid w:val="000D0641"/>
    <w:rsid w:val="000D2B00"/>
    <w:rsid w:val="001601E6"/>
    <w:rsid w:val="001C3AF6"/>
    <w:rsid w:val="001D1485"/>
    <w:rsid w:val="001F19A6"/>
    <w:rsid w:val="00211184"/>
    <w:rsid w:val="0021364B"/>
    <w:rsid w:val="002466F0"/>
    <w:rsid w:val="0025020C"/>
    <w:rsid w:val="00256951"/>
    <w:rsid w:val="002865F5"/>
    <w:rsid w:val="00292A36"/>
    <w:rsid w:val="002D64A3"/>
    <w:rsid w:val="002F5E53"/>
    <w:rsid w:val="00312A5A"/>
    <w:rsid w:val="003135AD"/>
    <w:rsid w:val="00393F39"/>
    <w:rsid w:val="003A66FD"/>
    <w:rsid w:val="003B1E32"/>
    <w:rsid w:val="004D4021"/>
    <w:rsid w:val="005119DE"/>
    <w:rsid w:val="005446BF"/>
    <w:rsid w:val="0055147E"/>
    <w:rsid w:val="005B3EDE"/>
    <w:rsid w:val="005B6E67"/>
    <w:rsid w:val="005C5E80"/>
    <w:rsid w:val="005D7A1E"/>
    <w:rsid w:val="005E1650"/>
    <w:rsid w:val="00604A87"/>
    <w:rsid w:val="00621776"/>
    <w:rsid w:val="00621872"/>
    <w:rsid w:val="00636D9A"/>
    <w:rsid w:val="006A35CD"/>
    <w:rsid w:val="006A3F0D"/>
    <w:rsid w:val="006A4515"/>
    <w:rsid w:val="006C78AA"/>
    <w:rsid w:val="006F04D4"/>
    <w:rsid w:val="006F4AB2"/>
    <w:rsid w:val="007063BA"/>
    <w:rsid w:val="00730C3C"/>
    <w:rsid w:val="0073280B"/>
    <w:rsid w:val="00750B5B"/>
    <w:rsid w:val="0077163A"/>
    <w:rsid w:val="00785752"/>
    <w:rsid w:val="007A59C8"/>
    <w:rsid w:val="007A712E"/>
    <w:rsid w:val="007C246B"/>
    <w:rsid w:val="007C685B"/>
    <w:rsid w:val="007F7847"/>
    <w:rsid w:val="00804B94"/>
    <w:rsid w:val="00807B11"/>
    <w:rsid w:val="0082760D"/>
    <w:rsid w:val="00880B2D"/>
    <w:rsid w:val="00883AB0"/>
    <w:rsid w:val="00894108"/>
    <w:rsid w:val="008B1DFA"/>
    <w:rsid w:val="008C38C3"/>
    <w:rsid w:val="008D6F0F"/>
    <w:rsid w:val="008E7B2E"/>
    <w:rsid w:val="00916814"/>
    <w:rsid w:val="009625D4"/>
    <w:rsid w:val="009625D4"/>
    <w:rsid w:val="00995444"/>
    <w:rsid w:val="009D06C5"/>
    <w:rsid w:val="009D534C"/>
    <w:rsid w:val="009D728C"/>
    <w:rsid w:val="009E5B14"/>
    <w:rsid w:val="00A90A7A"/>
    <w:rsid w:val="00AA437C"/>
    <w:rsid w:val="00AB78F0"/>
    <w:rsid w:val="00B01396"/>
    <w:rsid w:val="00B2418B"/>
    <w:rsid w:val="00B26973"/>
    <w:rsid w:val="00B35972"/>
    <w:rsid w:val="00B575E2"/>
    <w:rsid w:val="00B7073C"/>
    <w:rsid w:val="00B858A1"/>
    <w:rsid w:val="00BB65AC"/>
    <w:rsid w:val="00BD2909"/>
    <w:rsid w:val="00C17A49"/>
    <w:rsid w:val="00C2747F"/>
    <w:rsid w:val="00C91479"/>
    <w:rsid w:val="00CB3AF6"/>
    <w:rsid w:val="00CB3C13"/>
    <w:rsid w:val="00CE3FD1"/>
    <w:rsid w:val="00CE620E"/>
    <w:rsid w:val="00CF1ED5"/>
    <w:rsid w:val="00D13A82"/>
    <w:rsid w:val="00D13DB7"/>
    <w:rsid w:val="00DB71AC"/>
    <w:rsid w:val="00DC00D1"/>
    <w:rsid w:val="00DD02A4"/>
    <w:rsid w:val="00DE1A02"/>
    <w:rsid w:val="00E05C6C"/>
    <w:rsid w:val="00E157E1"/>
    <w:rsid w:val="00E2182C"/>
    <w:rsid w:val="00E325CF"/>
    <w:rsid w:val="00E40B0D"/>
    <w:rsid w:val="00E71420"/>
    <w:rsid w:val="00E80DEE"/>
    <w:rsid w:val="00E80DEE"/>
    <w:rsid w:val="00E94DA0"/>
    <w:rsid w:val="00EA5CC3"/>
    <w:rsid w:val="00EBEAC3"/>
    <w:rsid w:val="00EF6341"/>
    <w:rsid w:val="00F0560A"/>
    <w:rsid w:val="00F158D7"/>
    <w:rsid w:val="00F20EE5"/>
    <w:rsid w:val="00F44833"/>
    <w:rsid w:val="00F544B0"/>
    <w:rsid w:val="00F67C87"/>
    <w:rsid w:val="00F84C23"/>
    <w:rsid w:val="00FD3DE0"/>
    <w:rsid w:val="00FD7729"/>
    <w:rsid w:val="00FD7C22"/>
    <w:rsid w:val="00FE5C58"/>
    <w:rsid w:val="0104F8BF"/>
    <w:rsid w:val="0148ACA6"/>
    <w:rsid w:val="0150B0D7"/>
    <w:rsid w:val="0176A8DA"/>
    <w:rsid w:val="01B4BDEC"/>
    <w:rsid w:val="020980AF"/>
    <w:rsid w:val="02276DE7"/>
    <w:rsid w:val="0248E7B0"/>
    <w:rsid w:val="02725C48"/>
    <w:rsid w:val="0283E92B"/>
    <w:rsid w:val="028A113E"/>
    <w:rsid w:val="02BD37EB"/>
    <w:rsid w:val="0303B77D"/>
    <w:rsid w:val="0322E9D5"/>
    <w:rsid w:val="03C8A0D1"/>
    <w:rsid w:val="0421B4FA"/>
    <w:rsid w:val="04625C55"/>
    <w:rsid w:val="053F5DE8"/>
    <w:rsid w:val="053F5DE8"/>
    <w:rsid w:val="05601B03"/>
    <w:rsid w:val="0564D693"/>
    <w:rsid w:val="05B32140"/>
    <w:rsid w:val="05CA92B9"/>
    <w:rsid w:val="05E906B4"/>
    <w:rsid w:val="0615EB93"/>
    <w:rsid w:val="066D753F"/>
    <w:rsid w:val="067255F6"/>
    <w:rsid w:val="06948DBE"/>
    <w:rsid w:val="069FAFDE"/>
    <w:rsid w:val="06E3F290"/>
    <w:rsid w:val="06EFB434"/>
    <w:rsid w:val="06FE5B5D"/>
    <w:rsid w:val="071376A9"/>
    <w:rsid w:val="072C3F49"/>
    <w:rsid w:val="073C0083"/>
    <w:rsid w:val="078F23F3"/>
    <w:rsid w:val="07E7FE1F"/>
    <w:rsid w:val="08287B3B"/>
    <w:rsid w:val="08414C04"/>
    <w:rsid w:val="084AD4AB"/>
    <w:rsid w:val="0870BF11"/>
    <w:rsid w:val="0891A193"/>
    <w:rsid w:val="08A76C70"/>
    <w:rsid w:val="08A7C46A"/>
    <w:rsid w:val="090FDC60"/>
    <w:rsid w:val="0912B066"/>
    <w:rsid w:val="091B68F3"/>
    <w:rsid w:val="09395FF1"/>
    <w:rsid w:val="098C50C1"/>
    <w:rsid w:val="09C056EE"/>
    <w:rsid w:val="09EEA6DA"/>
    <w:rsid w:val="0A071A86"/>
    <w:rsid w:val="0A11259B"/>
    <w:rsid w:val="0A11259B"/>
    <w:rsid w:val="0A3C4BBB"/>
    <w:rsid w:val="0A924A93"/>
    <w:rsid w:val="0A9C6941"/>
    <w:rsid w:val="0ADD738D"/>
    <w:rsid w:val="0B0F55CD"/>
    <w:rsid w:val="0B2F67B0"/>
    <w:rsid w:val="0B4F6344"/>
    <w:rsid w:val="0BA26BE1"/>
    <w:rsid w:val="0BD054A3"/>
    <w:rsid w:val="0BE354A2"/>
    <w:rsid w:val="0BE4416B"/>
    <w:rsid w:val="0BF9889B"/>
    <w:rsid w:val="0C01D2A5"/>
    <w:rsid w:val="0C2019FA"/>
    <w:rsid w:val="0CB872F0"/>
    <w:rsid w:val="0CC6BC79"/>
    <w:rsid w:val="0CD0F6D0"/>
    <w:rsid w:val="0CEBBCDA"/>
    <w:rsid w:val="0D0AB587"/>
    <w:rsid w:val="0D194761"/>
    <w:rsid w:val="0D32E230"/>
    <w:rsid w:val="0D37A40B"/>
    <w:rsid w:val="0D646C73"/>
    <w:rsid w:val="0D7399DE"/>
    <w:rsid w:val="0D7399DE"/>
    <w:rsid w:val="0D789893"/>
    <w:rsid w:val="0D8288A0"/>
    <w:rsid w:val="0DC165D0"/>
    <w:rsid w:val="0DC2F1A4"/>
    <w:rsid w:val="0E0BC777"/>
    <w:rsid w:val="0E325AF5"/>
    <w:rsid w:val="0E4C527F"/>
    <w:rsid w:val="0E59DF6A"/>
    <w:rsid w:val="0E5D01B3"/>
    <w:rsid w:val="0E6767A7"/>
    <w:rsid w:val="0E6768F4"/>
    <w:rsid w:val="0E921D53"/>
    <w:rsid w:val="0E92EB87"/>
    <w:rsid w:val="0EB165B7"/>
    <w:rsid w:val="0EB6BD60"/>
    <w:rsid w:val="0ECF4E67"/>
    <w:rsid w:val="0EF1AC0B"/>
    <w:rsid w:val="0EF1AC0B"/>
    <w:rsid w:val="0F7AF12A"/>
    <w:rsid w:val="0F810496"/>
    <w:rsid w:val="0F893886"/>
    <w:rsid w:val="0FBE9E5A"/>
    <w:rsid w:val="0FC627F0"/>
    <w:rsid w:val="0FE44D73"/>
    <w:rsid w:val="0FFC6BD2"/>
    <w:rsid w:val="10048881"/>
    <w:rsid w:val="100BC430"/>
    <w:rsid w:val="102C198C"/>
    <w:rsid w:val="106647D8"/>
    <w:rsid w:val="10678842"/>
    <w:rsid w:val="1069E195"/>
    <w:rsid w:val="10769E8D"/>
    <w:rsid w:val="109373B7"/>
    <w:rsid w:val="10ABEE2B"/>
    <w:rsid w:val="10AD633C"/>
    <w:rsid w:val="10C1CD0B"/>
    <w:rsid w:val="10DB8B1C"/>
    <w:rsid w:val="11742A81"/>
    <w:rsid w:val="1177AD1E"/>
    <w:rsid w:val="11B4A9BC"/>
    <w:rsid w:val="11C1903C"/>
    <w:rsid w:val="11E62424"/>
    <w:rsid w:val="120183E5"/>
    <w:rsid w:val="1212F427"/>
    <w:rsid w:val="128F485D"/>
    <w:rsid w:val="12AADB8A"/>
    <w:rsid w:val="12B5CCCC"/>
    <w:rsid w:val="12D4DCEF"/>
    <w:rsid w:val="12D549FB"/>
    <w:rsid w:val="12F2F9EF"/>
    <w:rsid w:val="13179129"/>
    <w:rsid w:val="1377C6CE"/>
    <w:rsid w:val="138BF991"/>
    <w:rsid w:val="13E2A8BA"/>
    <w:rsid w:val="13E50D08"/>
    <w:rsid w:val="13E622F0"/>
    <w:rsid w:val="14032477"/>
    <w:rsid w:val="1404F0A0"/>
    <w:rsid w:val="14098E67"/>
    <w:rsid w:val="143688B6"/>
    <w:rsid w:val="1437FDBD"/>
    <w:rsid w:val="14775CB6"/>
    <w:rsid w:val="147EEDBE"/>
    <w:rsid w:val="149F5E1F"/>
    <w:rsid w:val="14BF0941"/>
    <w:rsid w:val="14D27213"/>
    <w:rsid w:val="14F49C6C"/>
    <w:rsid w:val="151540BB"/>
    <w:rsid w:val="15368125"/>
    <w:rsid w:val="15368125"/>
    <w:rsid w:val="15638798"/>
    <w:rsid w:val="1593AE86"/>
    <w:rsid w:val="1602D631"/>
    <w:rsid w:val="162682B9"/>
    <w:rsid w:val="16307CEE"/>
    <w:rsid w:val="165356CE"/>
    <w:rsid w:val="166D32E2"/>
    <w:rsid w:val="167B7F19"/>
    <w:rsid w:val="168382BD"/>
    <w:rsid w:val="169AB820"/>
    <w:rsid w:val="16A6AFCF"/>
    <w:rsid w:val="16C45746"/>
    <w:rsid w:val="171B9B9C"/>
    <w:rsid w:val="171ECD3A"/>
    <w:rsid w:val="173127C2"/>
    <w:rsid w:val="175AD09A"/>
    <w:rsid w:val="17CB4169"/>
    <w:rsid w:val="1820BD2D"/>
    <w:rsid w:val="18297A20"/>
    <w:rsid w:val="1850C2D5"/>
    <w:rsid w:val="18C5B1D8"/>
    <w:rsid w:val="18CD91C8"/>
    <w:rsid w:val="1946E6FD"/>
    <w:rsid w:val="19C56FA2"/>
    <w:rsid w:val="19EACF49"/>
    <w:rsid w:val="1A402CAE"/>
    <w:rsid w:val="1A483F1F"/>
    <w:rsid w:val="1A5749F2"/>
    <w:rsid w:val="1A666277"/>
    <w:rsid w:val="1A8B9553"/>
    <w:rsid w:val="1AB4FFE1"/>
    <w:rsid w:val="1AB6D373"/>
    <w:rsid w:val="1AB6D373"/>
    <w:rsid w:val="1ABDE3BA"/>
    <w:rsid w:val="1ADC8DC7"/>
    <w:rsid w:val="1AE0E885"/>
    <w:rsid w:val="1B11A821"/>
    <w:rsid w:val="1B3937E1"/>
    <w:rsid w:val="1B399D4A"/>
    <w:rsid w:val="1B473787"/>
    <w:rsid w:val="1B652EE0"/>
    <w:rsid w:val="1B810DC2"/>
    <w:rsid w:val="1B968593"/>
    <w:rsid w:val="1BA6418D"/>
    <w:rsid w:val="1BE73858"/>
    <w:rsid w:val="1BEDE308"/>
    <w:rsid w:val="1C098934"/>
    <w:rsid w:val="1C0D89F7"/>
    <w:rsid w:val="1C1770C6"/>
    <w:rsid w:val="1C34CC55"/>
    <w:rsid w:val="1C558569"/>
    <w:rsid w:val="1C919828"/>
    <w:rsid w:val="1CC55455"/>
    <w:rsid w:val="1CCF35D6"/>
    <w:rsid w:val="1D0BEFC8"/>
    <w:rsid w:val="1D16072C"/>
    <w:rsid w:val="1D203196"/>
    <w:rsid w:val="1D476A4F"/>
    <w:rsid w:val="1D4D8363"/>
    <w:rsid w:val="1D68AD2A"/>
    <w:rsid w:val="1D6A711D"/>
    <w:rsid w:val="1D7B0A8A"/>
    <w:rsid w:val="1D901FE6"/>
    <w:rsid w:val="1D979EBE"/>
    <w:rsid w:val="1DB57D09"/>
    <w:rsid w:val="1DBEC6AC"/>
    <w:rsid w:val="1DFB616F"/>
    <w:rsid w:val="1DFEF6DB"/>
    <w:rsid w:val="1E01D520"/>
    <w:rsid w:val="1EA36439"/>
    <w:rsid w:val="1F83292D"/>
    <w:rsid w:val="1F8F90EF"/>
    <w:rsid w:val="1F940C4D"/>
    <w:rsid w:val="1F945186"/>
    <w:rsid w:val="1FD8574F"/>
    <w:rsid w:val="20005C4F"/>
    <w:rsid w:val="2000F5DE"/>
    <w:rsid w:val="20535D28"/>
    <w:rsid w:val="20882CBC"/>
    <w:rsid w:val="208DECD0"/>
    <w:rsid w:val="208DECD0"/>
    <w:rsid w:val="20B424AC"/>
    <w:rsid w:val="20DC9026"/>
    <w:rsid w:val="2123EFBC"/>
    <w:rsid w:val="212D2EB5"/>
    <w:rsid w:val="213AB61B"/>
    <w:rsid w:val="217ACEF5"/>
    <w:rsid w:val="218B4CFF"/>
    <w:rsid w:val="21A2E526"/>
    <w:rsid w:val="21C60437"/>
    <w:rsid w:val="21E0B1D2"/>
    <w:rsid w:val="22230E3C"/>
    <w:rsid w:val="22262AA2"/>
    <w:rsid w:val="222D1C93"/>
    <w:rsid w:val="22644C3F"/>
    <w:rsid w:val="22644C3F"/>
    <w:rsid w:val="227EEA65"/>
    <w:rsid w:val="22872A78"/>
    <w:rsid w:val="22BA042E"/>
    <w:rsid w:val="22D74892"/>
    <w:rsid w:val="22DBE5D8"/>
    <w:rsid w:val="22F8C5ED"/>
    <w:rsid w:val="22FF9CBD"/>
    <w:rsid w:val="23086AF9"/>
    <w:rsid w:val="23336115"/>
    <w:rsid w:val="233A90AA"/>
    <w:rsid w:val="2345201B"/>
    <w:rsid w:val="234DA219"/>
    <w:rsid w:val="23ACCCCA"/>
    <w:rsid w:val="23ACCCCA"/>
    <w:rsid w:val="23CDD2D8"/>
    <w:rsid w:val="23E48BC8"/>
    <w:rsid w:val="2435D186"/>
    <w:rsid w:val="243CA655"/>
    <w:rsid w:val="243D3E24"/>
    <w:rsid w:val="244D83B8"/>
    <w:rsid w:val="24589612"/>
    <w:rsid w:val="249022B2"/>
    <w:rsid w:val="24CF2D72"/>
    <w:rsid w:val="2518B4A1"/>
    <w:rsid w:val="25733733"/>
    <w:rsid w:val="25C9D12E"/>
    <w:rsid w:val="25DBEA64"/>
    <w:rsid w:val="25EE7A57"/>
    <w:rsid w:val="26030197"/>
    <w:rsid w:val="260FADDD"/>
    <w:rsid w:val="2627D7AD"/>
    <w:rsid w:val="262EA477"/>
    <w:rsid w:val="265FC29A"/>
    <w:rsid w:val="26B89D37"/>
    <w:rsid w:val="26C1F19B"/>
    <w:rsid w:val="26CFEFA9"/>
    <w:rsid w:val="270298F1"/>
    <w:rsid w:val="2725D863"/>
    <w:rsid w:val="2761D2BF"/>
    <w:rsid w:val="277C4D62"/>
    <w:rsid w:val="279EBA87"/>
    <w:rsid w:val="27A69B50"/>
    <w:rsid w:val="27DBD115"/>
    <w:rsid w:val="280457A8"/>
    <w:rsid w:val="280C31E8"/>
    <w:rsid w:val="281524CD"/>
    <w:rsid w:val="28856244"/>
    <w:rsid w:val="288E3C86"/>
    <w:rsid w:val="28C9A1CE"/>
    <w:rsid w:val="28D4AEB5"/>
    <w:rsid w:val="2904DDD2"/>
    <w:rsid w:val="291C8CFD"/>
    <w:rsid w:val="2932A6C1"/>
    <w:rsid w:val="2938C23C"/>
    <w:rsid w:val="29A815A8"/>
    <w:rsid w:val="29AF93BD"/>
    <w:rsid w:val="29C43FB6"/>
    <w:rsid w:val="29D20E79"/>
    <w:rsid w:val="29E1FC7B"/>
    <w:rsid w:val="29F1B54A"/>
    <w:rsid w:val="2A57AE0E"/>
    <w:rsid w:val="2A72C13E"/>
    <w:rsid w:val="2A7AE2FF"/>
    <w:rsid w:val="2AAA4FC6"/>
    <w:rsid w:val="2AAC306C"/>
    <w:rsid w:val="2AAE27F8"/>
    <w:rsid w:val="2AAE27F8"/>
    <w:rsid w:val="2AD46030"/>
    <w:rsid w:val="2B05B737"/>
    <w:rsid w:val="2B080E92"/>
    <w:rsid w:val="2BD8E539"/>
    <w:rsid w:val="2BFA3D89"/>
    <w:rsid w:val="2C3362D1"/>
    <w:rsid w:val="2C3F8548"/>
    <w:rsid w:val="2C935CE3"/>
    <w:rsid w:val="2CB2910A"/>
    <w:rsid w:val="2CF3E415"/>
    <w:rsid w:val="2D0D5E08"/>
    <w:rsid w:val="2D108090"/>
    <w:rsid w:val="2D4909E2"/>
    <w:rsid w:val="2D568B6C"/>
    <w:rsid w:val="2D721F1E"/>
    <w:rsid w:val="2D733303"/>
    <w:rsid w:val="2D7A3458"/>
    <w:rsid w:val="2D813EB4"/>
    <w:rsid w:val="2DCD0FFA"/>
    <w:rsid w:val="2E0C7168"/>
    <w:rsid w:val="2E0C7168"/>
    <w:rsid w:val="2E24AF27"/>
    <w:rsid w:val="2E3E7942"/>
    <w:rsid w:val="2E414828"/>
    <w:rsid w:val="2E4A1326"/>
    <w:rsid w:val="2E516005"/>
    <w:rsid w:val="2E568F59"/>
    <w:rsid w:val="2E5D3782"/>
    <w:rsid w:val="2E75FF70"/>
    <w:rsid w:val="2F377347"/>
    <w:rsid w:val="2F741ACC"/>
    <w:rsid w:val="2FBCD4D8"/>
    <w:rsid w:val="2FE61109"/>
    <w:rsid w:val="2FF7C283"/>
    <w:rsid w:val="301C4178"/>
    <w:rsid w:val="30378613"/>
    <w:rsid w:val="306DBF4A"/>
    <w:rsid w:val="30A4593F"/>
    <w:rsid w:val="30AA4BC2"/>
    <w:rsid w:val="30AA8A13"/>
    <w:rsid w:val="30DEB9F8"/>
    <w:rsid w:val="30EB3296"/>
    <w:rsid w:val="30FA4EBF"/>
    <w:rsid w:val="30FA4EBF"/>
    <w:rsid w:val="30FB7674"/>
    <w:rsid w:val="31710F36"/>
    <w:rsid w:val="317D7FF3"/>
    <w:rsid w:val="31806FA0"/>
    <w:rsid w:val="31A22B5C"/>
    <w:rsid w:val="31A36346"/>
    <w:rsid w:val="31C8F330"/>
    <w:rsid w:val="320921F8"/>
    <w:rsid w:val="322FDD9E"/>
    <w:rsid w:val="324DFC10"/>
    <w:rsid w:val="327C8A40"/>
    <w:rsid w:val="3280F7AE"/>
    <w:rsid w:val="328D91C0"/>
    <w:rsid w:val="3300EC10"/>
    <w:rsid w:val="3331B920"/>
    <w:rsid w:val="3363EE8B"/>
    <w:rsid w:val="33BA216E"/>
    <w:rsid w:val="33CA1BAB"/>
    <w:rsid w:val="33E4783C"/>
    <w:rsid w:val="33E54690"/>
    <w:rsid w:val="33EA6B5E"/>
    <w:rsid w:val="34048379"/>
    <w:rsid w:val="341F5E08"/>
    <w:rsid w:val="342D8500"/>
    <w:rsid w:val="3433DC70"/>
    <w:rsid w:val="34385EE1"/>
    <w:rsid w:val="346FD847"/>
    <w:rsid w:val="348DB81A"/>
    <w:rsid w:val="34A56D91"/>
    <w:rsid w:val="34B6760B"/>
    <w:rsid w:val="350ABBA7"/>
    <w:rsid w:val="3516A89C"/>
    <w:rsid w:val="3534EAB3"/>
    <w:rsid w:val="353A05E7"/>
    <w:rsid w:val="359C1E66"/>
    <w:rsid w:val="36217A60"/>
    <w:rsid w:val="368B777C"/>
    <w:rsid w:val="368B777C"/>
    <w:rsid w:val="36E6435B"/>
    <w:rsid w:val="36E72877"/>
    <w:rsid w:val="3703290F"/>
    <w:rsid w:val="3792350E"/>
    <w:rsid w:val="3799248A"/>
    <w:rsid w:val="37CB6D8A"/>
    <w:rsid w:val="38074E9F"/>
    <w:rsid w:val="385F7DB7"/>
    <w:rsid w:val="387C337D"/>
    <w:rsid w:val="388F4391"/>
    <w:rsid w:val="38B09769"/>
    <w:rsid w:val="38B09769"/>
    <w:rsid w:val="38E24B81"/>
    <w:rsid w:val="38EF9E99"/>
    <w:rsid w:val="38F3E84B"/>
    <w:rsid w:val="39277965"/>
    <w:rsid w:val="3944F62C"/>
    <w:rsid w:val="394EFC6B"/>
    <w:rsid w:val="3953F4D3"/>
    <w:rsid w:val="39764A94"/>
    <w:rsid w:val="3978CAD8"/>
    <w:rsid w:val="398D9F88"/>
    <w:rsid w:val="39987AAA"/>
    <w:rsid w:val="3A4E0EC4"/>
    <w:rsid w:val="3AB4ED21"/>
    <w:rsid w:val="3B20D41E"/>
    <w:rsid w:val="3B454A00"/>
    <w:rsid w:val="3B68AE56"/>
    <w:rsid w:val="3BAA2493"/>
    <w:rsid w:val="3BB0852E"/>
    <w:rsid w:val="3BB0852E"/>
    <w:rsid w:val="3BC13125"/>
    <w:rsid w:val="3BC4E956"/>
    <w:rsid w:val="3BCD1BE7"/>
    <w:rsid w:val="3BD0376E"/>
    <w:rsid w:val="3BD7DDAE"/>
    <w:rsid w:val="3C0FE38A"/>
    <w:rsid w:val="3C17DC00"/>
    <w:rsid w:val="3C351CC3"/>
    <w:rsid w:val="3C51FDEA"/>
    <w:rsid w:val="3C55F54C"/>
    <w:rsid w:val="3C55F54C"/>
    <w:rsid w:val="3C60BB40"/>
    <w:rsid w:val="3C731079"/>
    <w:rsid w:val="3CAB44AA"/>
    <w:rsid w:val="3CBA1807"/>
    <w:rsid w:val="3CC5D724"/>
    <w:rsid w:val="3CD5E3A5"/>
    <w:rsid w:val="3CE31ACF"/>
    <w:rsid w:val="3D1A58C2"/>
    <w:rsid w:val="3D2C7191"/>
    <w:rsid w:val="3D556C95"/>
    <w:rsid w:val="3DA2879D"/>
    <w:rsid w:val="3DBFBC36"/>
    <w:rsid w:val="3DE12AD4"/>
    <w:rsid w:val="3DF02E74"/>
    <w:rsid w:val="3E08EFE6"/>
    <w:rsid w:val="3E0F9553"/>
    <w:rsid w:val="3E0F9553"/>
    <w:rsid w:val="3E6482C5"/>
    <w:rsid w:val="3E91464B"/>
    <w:rsid w:val="3EF13CC4"/>
    <w:rsid w:val="3F0199B3"/>
    <w:rsid w:val="3F150EFE"/>
    <w:rsid w:val="3F1B85B3"/>
    <w:rsid w:val="3F30B28C"/>
    <w:rsid w:val="3FE690A8"/>
    <w:rsid w:val="404AE0EF"/>
    <w:rsid w:val="406276AF"/>
    <w:rsid w:val="40C0900E"/>
    <w:rsid w:val="410FF0AD"/>
    <w:rsid w:val="41407CF1"/>
    <w:rsid w:val="416F5804"/>
    <w:rsid w:val="41814111"/>
    <w:rsid w:val="41CE406D"/>
    <w:rsid w:val="42310D0F"/>
    <w:rsid w:val="4266A985"/>
    <w:rsid w:val="426DA69B"/>
    <w:rsid w:val="42BF2452"/>
    <w:rsid w:val="42FABD67"/>
    <w:rsid w:val="43008513"/>
    <w:rsid w:val="4359338D"/>
    <w:rsid w:val="4375ECEB"/>
    <w:rsid w:val="43ABFC1C"/>
    <w:rsid w:val="43AD2D5E"/>
    <w:rsid w:val="43E060AE"/>
    <w:rsid w:val="4479A94E"/>
    <w:rsid w:val="447EF103"/>
    <w:rsid w:val="44ADDE60"/>
    <w:rsid w:val="44E0FC17"/>
    <w:rsid w:val="44E3BA88"/>
    <w:rsid w:val="450948F4"/>
    <w:rsid w:val="4511628E"/>
    <w:rsid w:val="453A318D"/>
    <w:rsid w:val="454150FF"/>
    <w:rsid w:val="45A20F8F"/>
    <w:rsid w:val="45CF5F26"/>
    <w:rsid w:val="45D8A3A9"/>
    <w:rsid w:val="45EC6EF8"/>
    <w:rsid w:val="45F82906"/>
    <w:rsid w:val="46904B97"/>
    <w:rsid w:val="4733829E"/>
    <w:rsid w:val="47A00BA8"/>
    <w:rsid w:val="47A00BA8"/>
    <w:rsid w:val="47EAEC7C"/>
    <w:rsid w:val="47FBE02D"/>
    <w:rsid w:val="47FBE02D"/>
    <w:rsid w:val="4823B197"/>
    <w:rsid w:val="483FCAD9"/>
    <w:rsid w:val="48A0E194"/>
    <w:rsid w:val="48B7470F"/>
    <w:rsid w:val="48E4E577"/>
    <w:rsid w:val="48E57738"/>
    <w:rsid w:val="4915D28D"/>
    <w:rsid w:val="492E2FB5"/>
    <w:rsid w:val="492E2FB5"/>
    <w:rsid w:val="49340B2D"/>
    <w:rsid w:val="49642820"/>
    <w:rsid w:val="49921858"/>
    <w:rsid w:val="49997822"/>
    <w:rsid w:val="49C7549F"/>
    <w:rsid w:val="49DD8B4C"/>
    <w:rsid w:val="49F97830"/>
    <w:rsid w:val="49FDAB30"/>
    <w:rsid w:val="4A415226"/>
    <w:rsid w:val="4A48E876"/>
    <w:rsid w:val="4A5849E1"/>
    <w:rsid w:val="4A676C68"/>
    <w:rsid w:val="4A760A20"/>
    <w:rsid w:val="4AB9C0C3"/>
    <w:rsid w:val="4AF92874"/>
    <w:rsid w:val="4B0FC5AB"/>
    <w:rsid w:val="4B13576D"/>
    <w:rsid w:val="4B1D66E7"/>
    <w:rsid w:val="4B43C52F"/>
    <w:rsid w:val="4B4CDE16"/>
    <w:rsid w:val="4B705774"/>
    <w:rsid w:val="4B81BEE3"/>
    <w:rsid w:val="4BB85CA9"/>
    <w:rsid w:val="4BF67334"/>
    <w:rsid w:val="4C2310DD"/>
    <w:rsid w:val="4C38DBBC"/>
    <w:rsid w:val="4C588B02"/>
    <w:rsid w:val="4C6118EF"/>
    <w:rsid w:val="4C7B6E1E"/>
    <w:rsid w:val="4C904B0F"/>
    <w:rsid w:val="4CC42EB1"/>
    <w:rsid w:val="4D57EABB"/>
    <w:rsid w:val="4D739365"/>
    <w:rsid w:val="4D7D42A6"/>
    <w:rsid w:val="4DD8EA94"/>
    <w:rsid w:val="4E132CC4"/>
    <w:rsid w:val="4E41A3C5"/>
    <w:rsid w:val="4E4C963E"/>
    <w:rsid w:val="4E5091AC"/>
    <w:rsid w:val="4E58A1FA"/>
    <w:rsid w:val="4E659F59"/>
    <w:rsid w:val="4E756603"/>
    <w:rsid w:val="4E8882D8"/>
    <w:rsid w:val="4F157946"/>
    <w:rsid w:val="4F268A6E"/>
    <w:rsid w:val="4F4C6997"/>
    <w:rsid w:val="4F545570"/>
    <w:rsid w:val="4F54B1DE"/>
    <w:rsid w:val="4FA66C7D"/>
    <w:rsid w:val="4FA73218"/>
    <w:rsid w:val="4FC323CB"/>
    <w:rsid w:val="4FCA9102"/>
    <w:rsid w:val="4FE4E1BA"/>
    <w:rsid w:val="4FF189E8"/>
    <w:rsid w:val="4FF1D4E5"/>
    <w:rsid w:val="50418574"/>
    <w:rsid w:val="508A3033"/>
    <w:rsid w:val="5092657B"/>
    <w:rsid w:val="50AA9F31"/>
    <w:rsid w:val="50B9A12A"/>
    <w:rsid w:val="50E555F9"/>
    <w:rsid w:val="51206A70"/>
    <w:rsid w:val="514E1E33"/>
    <w:rsid w:val="51A6AB2E"/>
    <w:rsid w:val="51F2656D"/>
    <w:rsid w:val="51FE62DD"/>
    <w:rsid w:val="521FBEC8"/>
    <w:rsid w:val="522BE4F2"/>
    <w:rsid w:val="522DDD65"/>
    <w:rsid w:val="52551A65"/>
    <w:rsid w:val="52554821"/>
    <w:rsid w:val="526CFD74"/>
    <w:rsid w:val="52A7C592"/>
    <w:rsid w:val="52B2C0CC"/>
    <w:rsid w:val="52CF054E"/>
    <w:rsid w:val="52D11602"/>
    <w:rsid w:val="52DBF279"/>
    <w:rsid w:val="52DC5700"/>
    <w:rsid w:val="533D0534"/>
    <w:rsid w:val="53553FE2"/>
    <w:rsid w:val="5357D4C0"/>
    <w:rsid w:val="537CDF85"/>
    <w:rsid w:val="53803271"/>
    <w:rsid w:val="53905C76"/>
    <w:rsid w:val="53BF365A"/>
    <w:rsid w:val="53C0E4E0"/>
    <w:rsid w:val="53C86B9D"/>
    <w:rsid w:val="53D3B0E4"/>
    <w:rsid w:val="53F88032"/>
    <w:rsid w:val="5435C580"/>
    <w:rsid w:val="546638E9"/>
    <w:rsid w:val="5494C9CE"/>
    <w:rsid w:val="54C3B5D0"/>
    <w:rsid w:val="54F6C159"/>
    <w:rsid w:val="54FED6D8"/>
    <w:rsid w:val="5545BCF7"/>
    <w:rsid w:val="554E269E"/>
    <w:rsid w:val="5552FBEA"/>
    <w:rsid w:val="558FCB00"/>
    <w:rsid w:val="55E78F32"/>
    <w:rsid w:val="560F07DC"/>
    <w:rsid w:val="562F0B9B"/>
    <w:rsid w:val="5633490F"/>
    <w:rsid w:val="566517E6"/>
    <w:rsid w:val="5679943B"/>
    <w:rsid w:val="56CAC826"/>
    <w:rsid w:val="5710D359"/>
    <w:rsid w:val="57276606"/>
    <w:rsid w:val="5761C2E8"/>
    <w:rsid w:val="5768A1ED"/>
    <w:rsid w:val="57932D7E"/>
    <w:rsid w:val="57F1687C"/>
    <w:rsid w:val="57F31A00"/>
    <w:rsid w:val="57FB1E0C"/>
    <w:rsid w:val="58095426"/>
    <w:rsid w:val="5809A686"/>
    <w:rsid w:val="5809A686"/>
    <w:rsid w:val="58523E9D"/>
    <w:rsid w:val="587E2D5F"/>
    <w:rsid w:val="58E0DD73"/>
    <w:rsid w:val="59344403"/>
    <w:rsid w:val="59676B89"/>
    <w:rsid w:val="597F1833"/>
    <w:rsid w:val="5983B803"/>
    <w:rsid w:val="59D58300"/>
    <w:rsid w:val="59F83CC0"/>
    <w:rsid w:val="5A04B2BC"/>
    <w:rsid w:val="5A257BB7"/>
    <w:rsid w:val="5A45E95F"/>
    <w:rsid w:val="5A604AAD"/>
    <w:rsid w:val="5A70A62A"/>
    <w:rsid w:val="5A75A53A"/>
    <w:rsid w:val="5AB46F45"/>
    <w:rsid w:val="5AF49AA6"/>
    <w:rsid w:val="5B07109C"/>
    <w:rsid w:val="5B2FC6AF"/>
    <w:rsid w:val="5B65542F"/>
    <w:rsid w:val="5B9390FC"/>
    <w:rsid w:val="5B9A58B9"/>
    <w:rsid w:val="5BC770DB"/>
    <w:rsid w:val="5BFDB866"/>
    <w:rsid w:val="5BFE1C3C"/>
    <w:rsid w:val="5C9BD0A6"/>
    <w:rsid w:val="5D103BA0"/>
    <w:rsid w:val="5D1E4D8D"/>
    <w:rsid w:val="5D20BF8C"/>
    <w:rsid w:val="5D2D021A"/>
    <w:rsid w:val="5D397A20"/>
    <w:rsid w:val="5D7FA095"/>
    <w:rsid w:val="5DCA72D1"/>
    <w:rsid w:val="5E10683F"/>
    <w:rsid w:val="5E1A6F5F"/>
    <w:rsid w:val="5E273BCD"/>
    <w:rsid w:val="5E38969C"/>
    <w:rsid w:val="5E84CB78"/>
    <w:rsid w:val="5E9AE520"/>
    <w:rsid w:val="5E9AE520"/>
    <w:rsid w:val="5ED8C0AE"/>
    <w:rsid w:val="5ED940AC"/>
    <w:rsid w:val="5F096321"/>
    <w:rsid w:val="5F1DF34A"/>
    <w:rsid w:val="5F226B8E"/>
    <w:rsid w:val="5F489103"/>
    <w:rsid w:val="5F489103"/>
    <w:rsid w:val="5F5C30D1"/>
    <w:rsid w:val="5F683376"/>
    <w:rsid w:val="5FB7F2BF"/>
    <w:rsid w:val="5FC08223"/>
    <w:rsid w:val="5FD2D8E9"/>
    <w:rsid w:val="600B2058"/>
    <w:rsid w:val="60307EBA"/>
    <w:rsid w:val="603CF478"/>
    <w:rsid w:val="6053B0EF"/>
    <w:rsid w:val="60769FA8"/>
    <w:rsid w:val="60A410C0"/>
    <w:rsid w:val="60B9269A"/>
    <w:rsid w:val="60D9BC99"/>
    <w:rsid w:val="60DA3139"/>
    <w:rsid w:val="610A9F5E"/>
    <w:rsid w:val="61249E72"/>
    <w:rsid w:val="612675F2"/>
    <w:rsid w:val="6162CE8F"/>
    <w:rsid w:val="6165B0DE"/>
    <w:rsid w:val="61AE6F6C"/>
    <w:rsid w:val="61C33D1F"/>
    <w:rsid w:val="61DE3EB1"/>
    <w:rsid w:val="61EAEBD3"/>
    <w:rsid w:val="620049E7"/>
    <w:rsid w:val="621C907F"/>
    <w:rsid w:val="627E7BFB"/>
    <w:rsid w:val="63045B0C"/>
    <w:rsid w:val="630D2488"/>
    <w:rsid w:val="6321C9D9"/>
    <w:rsid w:val="63354091"/>
    <w:rsid w:val="63514667"/>
    <w:rsid w:val="63878AE9"/>
    <w:rsid w:val="63FCD3CB"/>
    <w:rsid w:val="640B87EC"/>
    <w:rsid w:val="64188458"/>
    <w:rsid w:val="643C20DC"/>
    <w:rsid w:val="6442020A"/>
    <w:rsid w:val="64812529"/>
    <w:rsid w:val="64C4612F"/>
    <w:rsid w:val="64FBE6B2"/>
    <w:rsid w:val="6506AEB8"/>
    <w:rsid w:val="65228F5D"/>
    <w:rsid w:val="652FB79A"/>
    <w:rsid w:val="6537E91C"/>
    <w:rsid w:val="6557A7FF"/>
    <w:rsid w:val="655EFAE6"/>
    <w:rsid w:val="6575986A"/>
    <w:rsid w:val="65C28C82"/>
    <w:rsid w:val="667BDA1D"/>
    <w:rsid w:val="667DB3FA"/>
    <w:rsid w:val="6682E040"/>
    <w:rsid w:val="66A14CD3"/>
    <w:rsid w:val="66A83C48"/>
    <w:rsid w:val="66C69EA8"/>
    <w:rsid w:val="66D18ED2"/>
    <w:rsid w:val="66D6814B"/>
    <w:rsid w:val="66E6974A"/>
    <w:rsid w:val="676F76CB"/>
    <w:rsid w:val="677F4689"/>
    <w:rsid w:val="678A004D"/>
    <w:rsid w:val="679C32B6"/>
    <w:rsid w:val="67BBD507"/>
    <w:rsid w:val="67E2CBC4"/>
    <w:rsid w:val="67F6B66C"/>
    <w:rsid w:val="6821DCFC"/>
    <w:rsid w:val="6827D7A8"/>
    <w:rsid w:val="6829F542"/>
    <w:rsid w:val="6829F542"/>
    <w:rsid w:val="682E6868"/>
    <w:rsid w:val="689518AD"/>
    <w:rsid w:val="68AB6123"/>
    <w:rsid w:val="68C22F81"/>
    <w:rsid w:val="68D3E85D"/>
    <w:rsid w:val="68D3E85D"/>
    <w:rsid w:val="68D7AA74"/>
    <w:rsid w:val="68D8803F"/>
    <w:rsid w:val="693B13B5"/>
    <w:rsid w:val="6A097E87"/>
    <w:rsid w:val="6A13FDC2"/>
    <w:rsid w:val="6A156B4C"/>
    <w:rsid w:val="6A246925"/>
    <w:rsid w:val="6A47F350"/>
    <w:rsid w:val="6A4FCA97"/>
    <w:rsid w:val="6A665A53"/>
    <w:rsid w:val="6A68C8BA"/>
    <w:rsid w:val="6AB1EF05"/>
    <w:rsid w:val="6AC60ECF"/>
    <w:rsid w:val="6AE571DD"/>
    <w:rsid w:val="6B5C1A5D"/>
    <w:rsid w:val="6B7B8819"/>
    <w:rsid w:val="6B8EB637"/>
    <w:rsid w:val="6BA18176"/>
    <w:rsid w:val="6BA1B33F"/>
    <w:rsid w:val="6BB6B3F2"/>
    <w:rsid w:val="6BE1087B"/>
    <w:rsid w:val="6BF108C4"/>
    <w:rsid w:val="6BFDACE7"/>
    <w:rsid w:val="6BFDACE7"/>
    <w:rsid w:val="6C0869E1"/>
    <w:rsid w:val="6C0869E1"/>
    <w:rsid w:val="6C2B01DD"/>
    <w:rsid w:val="6C3F3CAA"/>
    <w:rsid w:val="6C63DEBA"/>
    <w:rsid w:val="6C93EEFC"/>
    <w:rsid w:val="6CC41FEF"/>
    <w:rsid w:val="6D321106"/>
    <w:rsid w:val="6D396B65"/>
    <w:rsid w:val="6D3DE869"/>
    <w:rsid w:val="6D4E81DB"/>
    <w:rsid w:val="6D67FDD7"/>
    <w:rsid w:val="6D9739A4"/>
    <w:rsid w:val="6D9C1CB7"/>
    <w:rsid w:val="6D9C1CB7"/>
    <w:rsid w:val="6DBAB0FD"/>
    <w:rsid w:val="6DE89649"/>
    <w:rsid w:val="6E3C8295"/>
    <w:rsid w:val="6E5078D9"/>
    <w:rsid w:val="6E55D5F0"/>
    <w:rsid w:val="6E5FA5DE"/>
    <w:rsid w:val="6E88AB0C"/>
    <w:rsid w:val="6EA0B439"/>
    <w:rsid w:val="6EA355EB"/>
    <w:rsid w:val="6EED4E10"/>
    <w:rsid w:val="6F0E6D50"/>
    <w:rsid w:val="6F2934EB"/>
    <w:rsid w:val="6F392506"/>
    <w:rsid w:val="6F5C919E"/>
    <w:rsid w:val="6F8BA227"/>
    <w:rsid w:val="6F94EBB9"/>
    <w:rsid w:val="6F987B77"/>
    <w:rsid w:val="6F9969AD"/>
    <w:rsid w:val="6FB5C202"/>
    <w:rsid w:val="6FBBBAA7"/>
    <w:rsid w:val="6FBD244F"/>
    <w:rsid w:val="6FCFB1D3"/>
    <w:rsid w:val="6FEC1EBE"/>
    <w:rsid w:val="6FF7A959"/>
    <w:rsid w:val="6FF9A48C"/>
    <w:rsid w:val="7003F660"/>
    <w:rsid w:val="703CA6FB"/>
    <w:rsid w:val="70E938C1"/>
    <w:rsid w:val="70E938C1"/>
    <w:rsid w:val="710C04D5"/>
    <w:rsid w:val="71BC7C93"/>
    <w:rsid w:val="71DB108C"/>
    <w:rsid w:val="71F55782"/>
    <w:rsid w:val="71F5EA8E"/>
    <w:rsid w:val="72681181"/>
    <w:rsid w:val="72B4DE70"/>
    <w:rsid w:val="72BBB9D9"/>
    <w:rsid w:val="72C9C5C8"/>
    <w:rsid w:val="72CF8F2B"/>
    <w:rsid w:val="72D07884"/>
    <w:rsid w:val="72E4758A"/>
    <w:rsid w:val="733A06BB"/>
    <w:rsid w:val="736E882A"/>
    <w:rsid w:val="73A9C740"/>
    <w:rsid w:val="73AD361A"/>
    <w:rsid w:val="73C067E8"/>
    <w:rsid w:val="73C84A72"/>
    <w:rsid w:val="73D1100D"/>
    <w:rsid w:val="73D19C3D"/>
    <w:rsid w:val="744DD888"/>
    <w:rsid w:val="74D84AFF"/>
    <w:rsid w:val="7511206B"/>
    <w:rsid w:val="75160768"/>
    <w:rsid w:val="752FB41A"/>
    <w:rsid w:val="753532C9"/>
    <w:rsid w:val="7549CDB9"/>
    <w:rsid w:val="7561A300"/>
    <w:rsid w:val="759D93C3"/>
    <w:rsid w:val="75B357F1"/>
    <w:rsid w:val="7610DB62"/>
    <w:rsid w:val="7623A3DC"/>
    <w:rsid w:val="76A6D2FB"/>
    <w:rsid w:val="76AED349"/>
    <w:rsid w:val="76DCC01C"/>
    <w:rsid w:val="7705EB8B"/>
    <w:rsid w:val="770EEFC1"/>
    <w:rsid w:val="7739C0B8"/>
    <w:rsid w:val="7744CEB9"/>
    <w:rsid w:val="7785E1BE"/>
    <w:rsid w:val="779A6B46"/>
    <w:rsid w:val="77B7E535"/>
    <w:rsid w:val="77C0ACCF"/>
    <w:rsid w:val="77E14921"/>
    <w:rsid w:val="77E2773B"/>
    <w:rsid w:val="781C8DC0"/>
    <w:rsid w:val="781E2256"/>
    <w:rsid w:val="7823B25D"/>
    <w:rsid w:val="787412E4"/>
    <w:rsid w:val="78763FFF"/>
    <w:rsid w:val="78B14B53"/>
    <w:rsid w:val="78C57084"/>
    <w:rsid w:val="799FB268"/>
    <w:rsid w:val="79F98E43"/>
    <w:rsid w:val="7A02E5B6"/>
    <w:rsid w:val="7A13DBF4"/>
    <w:rsid w:val="7A528D4D"/>
    <w:rsid w:val="7A5D5627"/>
    <w:rsid w:val="7A7CA3EA"/>
    <w:rsid w:val="7A94E457"/>
    <w:rsid w:val="7AA2A8FF"/>
    <w:rsid w:val="7AB9D841"/>
    <w:rsid w:val="7ADA430A"/>
    <w:rsid w:val="7AEF9E56"/>
    <w:rsid w:val="7B369742"/>
    <w:rsid w:val="7B4A237A"/>
    <w:rsid w:val="7B5F47FA"/>
    <w:rsid w:val="7B7B5D05"/>
    <w:rsid w:val="7B96FF56"/>
    <w:rsid w:val="7BD7E3FE"/>
    <w:rsid w:val="7C223F4D"/>
    <w:rsid w:val="7C7351E3"/>
    <w:rsid w:val="7C8919D1"/>
    <w:rsid w:val="7CB74B9C"/>
    <w:rsid w:val="7D0F27B5"/>
    <w:rsid w:val="7D22CE36"/>
    <w:rsid w:val="7D2AD5E8"/>
    <w:rsid w:val="7D464308"/>
    <w:rsid w:val="7D503E90"/>
    <w:rsid w:val="7D8160F9"/>
    <w:rsid w:val="7D8F576E"/>
    <w:rsid w:val="7DAEE5D6"/>
    <w:rsid w:val="7DE638F8"/>
    <w:rsid w:val="7DECEF9D"/>
    <w:rsid w:val="7DEE052C"/>
    <w:rsid w:val="7E055D32"/>
    <w:rsid w:val="7E0AF448"/>
    <w:rsid w:val="7E27007F"/>
    <w:rsid w:val="7E80E4C3"/>
    <w:rsid w:val="7EBCC6B6"/>
    <w:rsid w:val="7ECC94CC"/>
    <w:rsid w:val="7F421C02"/>
    <w:rsid w:val="7F8D1A42"/>
    <w:rsid w:val="7F9BF480"/>
    <w:rsid w:val="7F9D8318"/>
    <w:rsid w:val="7F9D9BB3"/>
    <w:rsid w:val="7FA0A281"/>
    <w:rsid w:val="7FBDC140"/>
    <w:rsid w:val="7FC0256B"/>
    <w:rsid w:val="7FF8C3F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hAnsi="Arial" w:eastAsia="Calibri Light"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063BA"/>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hAnsi="Arial" w:eastAsia="Calibri Light" w:cs="Calibri Light"/>
      <w:kern w:val="0"/>
      <w:lang w:eastAsia="en-GB" w:bidi="en-GB"/>
      <w14:ligatures w14:val="none"/>
    </w:rPr>
  </w:style>
  <w:style w:type="character" w:styleId="BodyTextChar" w:customStyle="1">
    <w:name w:val="Body Text Char"/>
    <w:basedOn w:val="DefaultParagraphFont"/>
    <w:link w:val="BodyText"/>
    <w:uiPriority w:val="1"/>
    <w:rsid w:val="00063B4C"/>
    <w:rPr>
      <w:rFonts w:ascii="Arial" w:hAnsi="Arial" w:eastAsia="Calibri Light" w:cs="Calibri Light"/>
      <w:kern w:val="0"/>
      <w:lang w:eastAsia="en-GB" w:bidi="en-GB"/>
      <w14:ligatures w14:val="none"/>
    </w:rPr>
  </w:style>
  <w:style w:type="character" w:styleId="Heading1Char" w:customStyle="1">
    <w:name w:val="Heading 1 Char"/>
    <w:basedOn w:val="DefaultParagraphFont"/>
    <w:link w:val="Heading1"/>
    <w:uiPriority w:val="1"/>
    <w:rsid w:val="00063B4C"/>
    <w:rPr>
      <w:rFonts w:ascii="Arial" w:hAnsi="Arial" w:eastAsia="Calibri Light"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hAnsi="Times New Roman" w:eastAsia="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hAnsi="Calibri Light" w:eastAsia="Calibri Light" w:cs="Calibri Light"/>
      <w:kern w:val="0"/>
      <w:lang w:eastAsia="en-GB" w:bidi="en-GB"/>
      <w14:ligatures w14:val="none"/>
    </w:rPr>
  </w:style>
  <w:style w:type="character" w:styleId="Heading2Char" w:customStyle="1">
    <w:name w:val="Heading 2 Char"/>
    <w:basedOn w:val="DefaultParagraphFont"/>
    <w:link w:val="Heading2"/>
    <w:uiPriority w:val="9"/>
    <w:rsid w:val="005D7A1E"/>
    <w:rPr>
      <w:rFonts w:ascii="Aptos" w:hAnsi="Aptos" w:eastAsiaTheme="majorEastAsia"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styleId="paragraph" w:customStyle="1">
    <w:name w:val="paragraph"/>
    <w:basedOn w:val="Normal"/>
    <w:rsid w:val="00BD2909"/>
    <w:pPr>
      <w:spacing w:before="100" w:beforeAutospacing="1" w:after="100" w:afterAutospacing="1" w:line="240" w:lineRule="auto"/>
      <w:jc w:val="left"/>
    </w:pPr>
    <w:rPr>
      <w:rFonts w:ascii="Times New Roman" w:hAnsi="Times New Roman" w:eastAsia="Times New Roman" w:cs="Times New Roman"/>
      <w:kern w:val="0"/>
      <w:sz w:val="24"/>
      <w:szCs w:val="24"/>
      <w14:ligatures w14:val="none"/>
    </w:rPr>
  </w:style>
  <w:style w:type="character" w:styleId="normaltextrun" w:customStyle="1">
    <w:name w:val="normaltextrun"/>
    <w:basedOn w:val="DefaultParagraphFont"/>
    <w:rsid w:val="00BD2909"/>
  </w:style>
  <w:style w:type="character" w:styleId="eop" w:customStyle="1">
    <w:name w:val="eop"/>
    <w:basedOn w:val="DefaultParagraphFont"/>
    <w:rsid w:val="00BD2909"/>
  </w:style>
  <w:style w:type="character" w:styleId="Heading4Char" w:customStyle="1">
    <w:name w:val="Heading 4 Char"/>
    <w:basedOn w:val="DefaultParagraphFont"/>
    <w:link w:val="Heading4"/>
    <w:uiPriority w:val="9"/>
    <w:semiHidden/>
    <w:rsid w:val="007063BA"/>
    <w:rPr>
      <w:rFonts w:asciiTheme="majorHAnsi" w:hAnsiTheme="majorHAnsi" w:eastAsiaTheme="majorEastAsia" w:cstheme="majorBidi"/>
      <w:i/>
      <w:iCs/>
      <w:color w:val="2F5496" w:themeColor="accent1" w:themeShade="BF"/>
    </w:rPr>
  </w:style>
  <w:style w:type="character" w:styleId="Strong">
    <w:name w:val="Strong"/>
    <w:basedOn w:val="DefaultParagraphFont"/>
    <w:uiPriority w:val="22"/>
    <w:qFormat/>
    <w:rsid w:val="007063BA"/>
    <w:rPr>
      <w:b/>
      <w:bCs/>
    </w:rPr>
  </w:style>
  <w:style w:type="character" w:styleId="Heading3Char" w:customStyle="1">
    <w:name w:val="Heading 3 Char"/>
    <w:basedOn w:val="DefaultParagraphFont"/>
    <w:link w:val="Heading3"/>
    <w:uiPriority w:val="9"/>
    <w:semiHidden/>
    <w:rsid w:val="00FE5C58"/>
    <w:rPr>
      <w:rFonts w:asciiTheme="majorHAnsi" w:hAnsiTheme="majorHAnsi" w:eastAsiaTheme="majorEastAsia" w:cstheme="majorBidi"/>
      <w:color w:val="1F3763" w:themeColor="accent1" w:themeShade="7F"/>
      <w:sz w:val="24"/>
      <w:szCs w:val="24"/>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TOC2" mc:Ignorable="w14">
    <w:name xmlns:w="http://schemas.openxmlformats.org/wordprocessingml/2006/main" w:val="toc 2"/>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220"/>
    </w:pPr>
  </w:style>
  <w:style xmlns:w14="http://schemas.microsoft.com/office/word/2010/wordml" xmlns:mc="http://schemas.openxmlformats.org/markup-compatibility/2006" xmlns:w="http://schemas.openxmlformats.org/wordprocessingml/2006/main" w:type="paragraph" w:styleId="TOC3" mc:Ignorable="w14">
    <w:name xmlns:w="http://schemas.openxmlformats.org/wordprocessingml/2006/main" w:val="toc 3"/>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ind xmlns:w="http://schemas.openxmlformats.org/wordprocessingml/2006/main"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footer" Target="footer1.xml" Id="rId9" /><Relationship Type="http://schemas.openxmlformats.org/officeDocument/2006/relationships/header" Target="header.xml" Id="Rb5eb5dba3ae24792" /><Relationship Type="http://schemas.openxmlformats.org/officeDocument/2006/relationships/header" Target="header2.xml" Id="R46b0d06f64ef4581" /><Relationship Type="http://schemas.openxmlformats.org/officeDocument/2006/relationships/hyperlink" Target="https://doi.org/10.1177/10870547231161533" TargetMode="External" Id="Rd7bcd9d6ac604065" /><Relationship Type="http://schemas.openxmlformats.org/officeDocument/2006/relationships/hyperlink" Target="https://doi.org/10.1080/18387357.2025.2524513" TargetMode="External" Id="Rb0d5e532ee3745b8" /><Relationship Type="http://schemas.openxmlformats.org/officeDocument/2006/relationships/hyperlink" Target="https://doi.org/10.1038/s41598-025-20351-9" TargetMode="External" Id="Rba4b68cf059c4340" /><Relationship Type="http://schemas.openxmlformats.org/officeDocument/2006/relationships/hyperlink" Target="https://doi.org/10.5195/jmla.2018.283" TargetMode="External" Id="R5c52feffe5c54161" /><Relationship Type="http://schemas.openxmlformats.org/officeDocument/2006/relationships/hyperlink" Target="https://doi.org/10.1191/1478088706qp063oa" TargetMode="External" Id="Rd8629fadfab1474d" /><Relationship Type="http://schemas.openxmlformats.org/officeDocument/2006/relationships/hyperlink" Target="https://doi.org/10.1186/1477-7525-10-47" TargetMode="External" Id="Re8371cad1f3f49a7" /><Relationship Type="http://schemas.openxmlformats.org/officeDocument/2006/relationships/hyperlink" Target="https://www.cdc.gov/adhd/about/index.html" TargetMode="External" Id="R00f23f51bab34000" /><Relationship Type="http://schemas.openxmlformats.org/officeDocument/2006/relationships/hyperlink" Target="https://doi.org/10.1002/mpr.1923" TargetMode="External" Id="Rdccab55018264855" /><Relationship Type="http://schemas.openxmlformats.org/officeDocument/2006/relationships/hyperlink" Target="https://doi.org/10.1192/j.eurpsy.2023.2451" TargetMode="External" Id="Rfc8fc84df2ca42c9" /><Relationship Type="http://schemas.openxmlformats.org/officeDocument/2006/relationships/hyperlink" Target="https://libguides.bcu.ac.uk/critical-evaluation/checklist-approach" TargetMode="External" Id="R34244cb0d9c54d3a" /><Relationship Type="http://schemas.openxmlformats.org/officeDocument/2006/relationships/hyperlink" Target="https://doi.org/10.1002/aur.2276" TargetMode="External" Id="R4aaf48d92b6c4b68" /><Relationship Type="http://schemas.openxmlformats.org/officeDocument/2006/relationships/hyperlink" Target="https://www.gov.uk/" TargetMode="External" Id="R464017119fa641e1" /><Relationship Type="http://schemas.openxmlformats.org/officeDocument/2006/relationships/hyperlink" Target="https://assets.publishing.service.gov.uk/" TargetMode="External" Id="R2753cf7ac30f407f" /><Relationship Type="http://schemas.openxmlformats.org/officeDocument/2006/relationships/hyperlink" Target="https://doi.org/10.1177/10870547231176862" TargetMode="External" Id="R3d25eb13175a4b3a" /><Relationship Type="http://schemas.openxmlformats.org/officeDocument/2006/relationships/hyperlink" Target="https://doi.org/10.1007/s11920-011-0221-3" TargetMode="External" Id="R19e367d113b34b94" /><Relationship Type="http://schemas.openxmlformats.org/officeDocument/2006/relationships/hyperlink" Target="https://doi.org/10.1186/1471-2288-13-117" TargetMode="External" Id="R5cfe355fffbd4d1d" /><Relationship Type="http://schemas.openxmlformats.org/officeDocument/2006/relationships/hyperlink" Target="https://www.bbc.co.uk/news/uk-wales-65312650" TargetMode="External" Id="Ra13c34a15f9e41d1" /><Relationship Type="http://schemas.openxmlformats.org/officeDocument/2006/relationships/hyperlink" Target="https://doi.org/10.1007/s10802-021-00883-0" TargetMode="External" Id="Rdef9bb28d54644cc" /><Relationship Type="http://schemas.openxmlformats.org/officeDocument/2006/relationships/hyperlink" Target="https://doi.org/10.1007/s00787-025-02676-y" TargetMode="External" Id="R1e5d7c07777d4479" /><Relationship Type="http://schemas.openxmlformats.org/officeDocument/2006/relationships/hyperlink" Target="https://doi.org/10.1002/jrsm.1378" TargetMode="External" Id="Rd1b83b2bf51f49a9" /><Relationship Type="http://schemas.openxmlformats.org/officeDocument/2006/relationships/hyperlink" Target="https://www.ncbi.nlm.nih.gov/pmc/articles/PMC4659921" TargetMode="External" Id="Rf364f35a43f84fb5" /><Relationship Type="http://schemas.openxmlformats.org/officeDocument/2006/relationships/hyperlink" Target="https://pmc.ncbi.nlm.nih.gov/articles/PMC8606608/" TargetMode="External" Id="R7d02f60706594a4d" /><Relationship Type="http://schemas.openxmlformats.org/officeDocument/2006/relationships/hyperlink" Target="https://doi.org/10.1080/08039488.2020.1850857" TargetMode="External" Id="R07a6fa3d24ca4267" /><Relationship Type="http://schemas.openxmlformats.org/officeDocument/2006/relationships/hyperlink" Target="https://doi.org/10.1186/s12905-025-04123-1" TargetMode="External" Id="R2fef97ca6b304290" /><Relationship Type="http://schemas.openxmlformats.org/officeDocument/2006/relationships/hyperlink" Target="https://doi.org/10.1055/s-0044-1791745" TargetMode="External" Id="Re5052aa5ba6442be" /><Relationship Type="http://schemas.openxmlformats.org/officeDocument/2006/relationships/hyperlink" Target="https://doi.org/10.1007/s12402-010-0045-8" TargetMode="External" Id="Rb4c987da65524cfe" /><Relationship Type="http://schemas.openxmlformats.org/officeDocument/2006/relationships/hyperlink" Target="https://doi.org/10.1080/03323315.2022.2041210" TargetMode="External" Id="R2a79a0dee1b7490c" /><Relationship Type="http://schemas.openxmlformats.org/officeDocument/2006/relationships/hyperlink" Target="https://www.ncbi.nlm.nih.gov/books/NBK441838/" TargetMode="External" Id="Ree681e35c3c14cb6" /><Relationship Type="http://schemas.openxmlformats.org/officeDocument/2006/relationships/hyperlink" Target="https://doi.org/10.1017/S1355617717000807" TargetMode="External" Id="R584a11a8d0eb4c4e" /><Relationship Type="http://schemas.openxmlformats.org/officeDocument/2006/relationships/hyperlink" Target="https://www.simplypsychology.org/thematic-analysis.html" TargetMode="External" Id="Rb76584f26b594b15" /><Relationship Type="http://schemas.openxmlformats.org/officeDocument/2006/relationships/hyperlink" Target="https://doi.org/10.1097/MS9.0000000000001959" TargetMode="External" Id="R115b9da8a10c4adf" /><Relationship Type="http://schemas.openxmlformats.org/officeDocument/2006/relationships/hyperlink" Target="https://doi.org/10.1007/s00787-018-1211-3" TargetMode="External" Id="Rb0576d9d28234f2f" /><Relationship Type="http://schemas.openxmlformats.org/officeDocument/2006/relationships/hyperlink" Target="https://doi.org/10.1016/j.psychres.2018.12.128" TargetMode="External" Id="R846cfc1100c54dea" /><Relationship Type="http://schemas.openxmlformats.org/officeDocument/2006/relationships/hyperlink" Target="https://www.nice.org.uk/guidance/ng87" TargetMode="External" Id="Rf7c3509ddaf84fde" /><Relationship Type="http://schemas.openxmlformats.org/officeDocument/2006/relationships/hyperlink" Target="https://www.nhs.uk/conditions/adhd-adults/" TargetMode="External" Id="Rddd3c4dc76394617" /><Relationship Type="http://schemas.openxmlformats.org/officeDocument/2006/relationships/hyperlink" Target="https://digital.nhs.uk/" TargetMode="External" Id="R0020c30581d7476f" /><Relationship Type="http://schemas.openxmlformats.org/officeDocument/2006/relationships/hyperlink" Target="https://www.england.nhs.uk/long-read/report-of-the-independent-adhd-taskforce-part-1/" TargetMode="External" Id="R4fdbcf41ad644df1" /><Relationship Type="http://schemas.openxmlformats.org/officeDocument/2006/relationships/hyperlink" Target="https://doi.org/10.1136/ebnurs-2024-104232" TargetMode="External" Id="R0722c12c36704882" /><Relationship Type="http://schemas.openxmlformats.org/officeDocument/2006/relationships/hyperlink" Target="https://doi.org/10.1177/1087054711416909" TargetMode="External" Id="R5aa98e8721de481f" /><Relationship Type="http://schemas.openxmlformats.org/officeDocument/2006/relationships/hyperlink" Target="https://www.audhdpsychiatry.co.uk/undiagnosed-adhd-in-women/#early-signs" TargetMode="External" Id="Rf3b7cb1700b14ab5" /><Relationship Type="http://schemas.openxmlformats.org/officeDocument/2006/relationships/hyperlink" Target="https://www.ncbi.nlm.nih.gov/books/NBK481583/" TargetMode="External" Id="R1fef0fd5806b46cf" /><Relationship Type="http://schemas.openxmlformats.org/officeDocument/2006/relationships/hyperlink" Target="https://doi.org/10.1590/S1806-37562018000000088" TargetMode="External" Id="Re9371705221d4f26" /><Relationship Type="http://schemas.openxmlformats.org/officeDocument/2006/relationships/hyperlink" Target="https://doi.org/10.1177/1750458921994693" TargetMode="External" Id="R3cb91ee759314157" /><Relationship Type="http://schemas.openxmlformats.org/officeDocument/2006/relationships/hyperlink" Target="https://doi.org/10.3389/fgwh.2025.1549028" TargetMode="External" Id="Rb1f54bcbe9574200" /><Relationship Type="http://schemas.openxmlformats.org/officeDocument/2006/relationships/hyperlink" Target="https://doi.org/10.1002/jrsm.1354" TargetMode="External" Id="Rcd5fe69152ba4021" /><Relationship Type="http://schemas.openxmlformats.org/officeDocument/2006/relationships/hyperlink" Target="https://doi.org/10.1007/s11920-008-0068-5" TargetMode="External" Id="Rd7e4480cd89144d0" /><Relationship Type="http://schemas.openxmlformats.org/officeDocument/2006/relationships/hyperlink" Target="https://doi.org/10.4088/PCC.13r01596" TargetMode="External" Id="R88745fd69a9140e1" /><Relationship Type="http://schemas.openxmlformats.org/officeDocument/2006/relationships/hyperlink" Target="https://www.ncbi.nlm.nih.gov/books/NBK304045/" TargetMode="External" Id="R2b72d42dc38144ad" /><Relationship Type="http://schemas.openxmlformats.org/officeDocument/2006/relationships/hyperlink" Target="https://doi.org/10.1586/14737175.8.4.643" TargetMode="External" Id="R7cbce9305254486f" /><Relationship Type="http://schemas.openxmlformats.org/officeDocument/2006/relationships/hyperlink" Target="https://doi.org/10.1037/0033-295x.115.2.336" TargetMode="External" Id="R4147a00fc58d4d29" /><Relationship Type="http://schemas.openxmlformats.org/officeDocument/2006/relationships/hyperlink" Target="https://doi.org/10.12688/f1000research.51117.2" TargetMode="External" Id="Rd0a4f63b54144a0d" /><Relationship Type="http://schemas.openxmlformats.org/officeDocument/2006/relationships/hyperlink" Target="https://doi.org/10.3389/frma.2023.1268045" TargetMode="External" Id="R902e6e25e21c41e5" /><Relationship Type="http://schemas.openxmlformats.org/officeDocument/2006/relationships/hyperlink" Target="https://doi.org/10.1176/appi.ajp.2017.17030298" TargetMode="External" Id="Re61753655a3d4607" /><Relationship Type="http://schemas.openxmlformats.org/officeDocument/2006/relationships/hyperlink" Target="https://uk.jkp.com/products/adhd-girls-to-women" TargetMode="External" Id="Re667969d076c4f78" /><Relationship Type="http://schemas.openxmlformats.org/officeDocument/2006/relationships/hyperlink" Target="https://doi.org/10.3389/fnhum.2019.00441" TargetMode="External" Id="R67f3259b46144f04" /><Relationship Type="http://schemas.openxmlformats.org/officeDocument/2006/relationships/hyperlink" Target="https://doi.org/10.1371/journal.pone.0337454" TargetMode="External" Id="R331bcf87b4ba424d" /><Relationship Type="http://schemas.openxmlformats.org/officeDocument/2006/relationships/hyperlink" Target="https://doi.org/10.1037/a0029312" TargetMode="External" Id="R613680d25ddf405d" /><Relationship Type="http://schemas.openxmlformats.org/officeDocument/2006/relationships/hyperlink" Target="https://slam.nhs.uk/blog/understanding-adhd-in-women-with-thinkdivergents-dr-jasmine-murphy-4748" TargetMode="External" Id="R54aacb7afe174120" /><Relationship Type="http://schemas.openxmlformats.org/officeDocument/2006/relationships/hyperlink" Target="https://pmc.ncbi.nlm.nih.gov/articles/PMC4441947/" TargetMode="External" Id="R669709680a264090" /><Relationship Type="http://schemas.openxmlformats.org/officeDocument/2006/relationships/hyperlink" Target="https://www.st-andrews.ac.uk/research/integrity-ethics/humans/ethical-guidance/secondary-data/" TargetMode="External" Id="R9a8a0257849e42a6" /><Relationship Type="http://schemas.openxmlformats.org/officeDocument/2006/relationships/hyperlink" Target="https://www.sussex.ac.uk/skills-hub/referencing-and-academic-integrity" TargetMode="External" Id="Rf1e3a07be233419f" /><Relationship Type="http://schemas.openxmlformats.org/officeDocument/2006/relationships/hyperlink" Target="https://doi.org/10.3810/pgm.2010.09.2206" TargetMode="External" Id="R34c0caf624a849fb" /><Relationship Type="http://schemas.openxmlformats.org/officeDocument/2006/relationships/hyperlink" Target="https://doi.org/10.1097/MS9.0000000000000631" TargetMode="External" Id="R507f5e16604746a4" /><Relationship Type="http://schemas.openxmlformats.org/officeDocument/2006/relationships/hyperlink" Target="https://doi.org/10.3390/healthcare14020209" TargetMode="External" Id="Rc5ca3b4b47954cd4" /><Relationship Type="http://schemas.openxmlformats.org/officeDocument/2006/relationships/hyperlink" Target="https://doi.org/10.3389/fpsyt.2025.1668780" TargetMode="External" Id="R937000ff3a464fe4" /><Relationship Type="http://schemas.openxmlformats.org/officeDocument/2006/relationships/hyperlink" Target="https://doi.org/10.1186/s12888-020-02707-9" TargetMode="External" Id="R74c288429239487a" /><Relationship Type="http://schemas.openxmlformats.org/officeDocument/2006/relationships/hyperlink" Target="https://doi.org/10.3389/fpsyt.2021.649399" TargetMode="External" Id="R1b0c1e3477ad4c2b"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652794-EADF-462C-9136-107FA6993AC0}">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Harries</dc:creator>
  <keywords/>
  <dc:description/>
  <lastModifiedBy>Tahira Aziz (2216458)</lastModifiedBy>
  <revision>13</revision>
  <dcterms:created xsi:type="dcterms:W3CDTF">2025-11-23T10:26:00.0000000Z</dcterms:created>
  <dcterms:modified xsi:type="dcterms:W3CDTF">2026-07-16T13:14:01.7748651Z</dcterms:modified>
</coreProperties>
</file>