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491BE" w14:textId="77777777" w:rsidR="004D2167" w:rsidRDefault="004D2167" w:rsidP="006C1978">
      <w:pPr>
        <w:spacing w:line="480" w:lineRule="auto"/>
        <w:rPr>
          <w:rFonts w:ascii="Times New Roman" w:eastAsia="Times New Roman" w:hAnsi="Times New Roman" w:cs="Times New Roman"/>
          <w:sz w:val="24"/>
          <w:szCs w:val="24"/>
        </w:rPr>
      </w:pPr>
    </w:p>
    <w:p w14:paraId="58280DCC" w14:textId="77777777" w:rsidR="004D2167" w:rsidRDefault="004D2167">
      <w:pPr>
        <w:spacing w:line="480" w:lineRule="auto"/>
        <w:jc w:val="center"/>
        <w:rPr>
          <w:rFonts w:ascii="Times New Roman" w:eastAsia="Times New Roman" w:hAnsi="Times New Roman" w:cs="Times New Roman"/>
          <w:sz w:val="24"/>
          <w:szCs w:val="24"/>
        </w:rPr>
      </w:pPr>
    </w:p>
    <w:p w14:paraId="13A63AE8" w14:textId="77777777" w:rsidR="004D2167" w:rsidRDefault="004D2167">
      <w:pPr>
        <w:spacing w:line="480" w:lineRule="auto"/>
        <w:jc w:val="center"/>
        <w:rPr>
          <w:rFonts w:ascii="Times New Roman" w:eastAsia="Times New Roman" w:hAnsi="Times New Roman" w:cs="Times New Roman"/>
          <w:sz w:val="24"/>
          <w:szCs w:val="24"/>
        </w:rPr>
      </w:pPr>
    </w:p>
    <w:p w14:paraId="6B2E8A0E" w14:textId="77777777" w:rsidR="004D2167"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EXAMINING EMPLOYEE PERFORMANCE IN A FLAT ORGANISATIONAL STRUCTURE: A CASE STUDY ON NIKE</w:t>
      </w:r>
    </w:p>
    <w:p w14:paraId="737328A1" w14:textId="69A0B7DB" w:rsidR="004D2167"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r w:rsidR="002323DD">
        <w:rPr>
          <w:rFonts w:ascii="Times New Roman" w:eastAsia="Times New Roman" w:hAnsi="Times New Roman" w:cs="Times New Roman"/>
          <w:sz w:val="24"/>
          <w:szCs w:val="24"/>
        </w:rPr>
        <w:t xml:space="preserve"> Anton </w:t>
      </w:r>
      <w:proofErr w:type="spellStart"/>
      <w:r w:rsidR="002323DD">
        <w:rPr>
          <w:rFonts w:ascii="Times New Roman" w:eastAsia="Times New Roman" w:hAnsi="Times New Roman" w:cs="Times New Roman"/>
          <w:sz w:val="24"/>
          <w:szCs w:val="24"/>
        </w:rPr>
        <w:t>Mersinkov</w:t>
      </w:r>
      <w:proofErr w:type="spellEnd"/>
    </w:p>
    <w:p w14:paraId="23EA97C2" w14:textId="77777777" w:rsidR="004D2167" w:rsidRDefault="004D2167">
      <w:pPr>
        <w:spacing w:line="480" w:lineRule="auto"/>
        <w:jc w:val="center"/>
        <w:rPr>
          <w:rFonts w:ascii="Times New Roman" w:eastAsia="Times New Roman" w:hAnsi="Times New Roman" w:cs="Times New Roman"/>
          <w:sz w:val="24"/>
          <w:szCs w:val="24"/>
        </w:rPr>
      </w:pPr>
    </w:p>
    <w:p w14:paraId="79CCBD46" w14:textId="2FDF03A1" w:rsidR="004D2167" w:rsidRDefault="002323D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p>
    <w:p w14:paraId="3E86116D" w14:textId="55B861E1" w:rsidR="004D2167" w:rsidRDefault="002323D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CAMPUS)</w:t>
      </w:r>
    </w:p>
    <w:p w14:paraId="38576B20" w14:textId="465C3135" w:rsidR="004D2167"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w:t>
      </w:r>
      <w:r w:rsidR="002323DD">
        <w:rPr>
          <w:rFonts w:ascii="Times New Roman" w:eastAsia="Times New Roman" w:hAnsi="Times New Roman" w:cs="Times New Roman"/>
          <w:sz w:val="24"/>
          <w:szCs w:val="24"/>
        </w:rPr>
        <w:t>:  DIS</w:t>
      </w:r>
      <w:r w:rsidR="00F42D06">
        <w:rPr>
          <w:rFonts w:ascii="Times New Roman" w:eastAsia="Times New Roman" w:hAnsi="Times New Roman" w:cs="Times New Roman"/>
          <w:sz w:val="24"/>
          <w:szCs w:val="24"/>
        </w:rPr>
        <w:t>S</w:t>
      </w:r>
      <w:r w:rsidR="002323DD">
        <w:rPr>
          <w:rFonts w:ascii="Times New Roman" w:eastAsia="Times New Roman" w:hAnsi="Times New Roman" w:cs="Times New Roman"/>
          <w:sz w:val="24"/>
          <w:szCs w:val="24"/>
        </w:rPr>
        <w:t xml:space="preserve">ERTATION </w:t>
      </w:r>
      <w:r w:rsidR="00F42D06">
        <w:rPr>
          <w:rFonts w:ascii="Times New Roman" w:eastAsia="Times New Roman" w:hAnsi="Times New Roman" w:cs="Times New Roman"/>
          <w:sz w:val="24"/>
          <w:szCs w:val="24"/>
        </w:rPr>
        <w:t>(</w:t>
      </w:r>
      <w:r w:rsidR="002323DD">
        <w:rPr>
          <w:rFonts w:ascii="Times New Roman" w:eastAsia="Times New Roman" w:hAnsi="Times New Roman" w:cs="Times New Roman"/>
          <w:sz w:val="24"/>
          <w:szCs w:val="24"/>
        </w:rPr>
        <w:t>LCBB6000</w:t>
      </w:r>
      <w:r w:rsidR="00F42D06">
        <w:rPr>
          <w:rFonts w:ascii="Times New Roman" w:eastAsia="Times New Roman" w:hAnsi="Times New Roman" w:cs="Times New Roman"/>
          <w:sz w:val="24"/>
          <w:szCs w:val="24"/>
        </w:rPr>
        <w:t>)</w:t>
      </w:r>
    </w:p>
    <w:p w14:paraId="0CB56D04" w14:textId="215C3E8F" w:rsidR="004D2167" w:rsidRDefault="004D2167" w:rsidP="002323DD">
      <w:pPr>
        <w:spacing w:line="480" w:lineRule="auto"/>
        <w:rPr>
          <w:rFonts w:ascii="Times New Roman" w:eastAsia="Times New Roman" w:hAnsi="Times New Roman" w:cs="Times New Roman"/>
          <w:sz w:val="24"/>
          <w:szCs w:val="24"/>
        </w:rPr>
      </w:pPr>
    </w:p>
    <w:p w14:paraId="2723E362" w14:textId="77777777" w:rsidR="004D2167" w:rsidRDefault="004D2167">
      <w:pPr>
        <w:spacing w:line="480" w:lineRule="auto"/>
        <w:rPr>
          <w:rFonts w:ascii="Times New Roman" w:eastAsia="Times New Roman" w:hAnsi="Times New Roman" w:cs="Times New Roman"/>
          <w:sz w:val="24"/>
          <w:szCs w:val="24"/>
        </w:rPr>
      </w:pPr>
    </w:p>
    <w:p w14:paraId="26D6F188" w14:textId="77777777" w:rsidR="004D2167" w:rsidRDefault="00000000">
      <w:pPr>
        <w:spacing w:line="480" w:lineRule="auto"/>
        <w:rPr>
          <w:rFonts w:ascii="Times New Roman" w:eastAsia="Times New Roman" w:hAnsi="Times New Roman" w:cs="Times New Roman"/>
          <w:sz w:val="24"/>
          <w:szCs w:val="24"/>
        </w:rPr>
      </w:pPr>
      <w:r>
        <w:br w:type="page"/>
      </w:r>
    </w:p>
    <w:p w14:paraId="1EFCBA76"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0" w:name="_30j0zll" w:colFirst="0" w:colLast="0"/>
      <w:bookmarkEnd w:id="0"/>
      <w:r>
        <w:rPr>
          <w:rFonts w:ascii="Times New Roman" w:eastAsia="Times New Roman" w:hAnsi="Times New Roman" w:cs="Times New Roman"/>
          <w:b/>
          <w:color w:val="000000"/>
          <w:sz w:val="24"/>
          <w:szCs w:val="24"/>
        </w:rPr>
        <w:lastRenderedPageBreak/>
        <w:t>Abstract</w:t>
      </w:r>
    </w:p>
    <w:p w14:paraId="608A025A"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proposal explores and analyses the effect of a flat organisational structure on employee performance using Nike as a case study. A flat organisational structure, characterised by effective communication channels and minimal hierarchical levels has gained significant popularity over the last few years for promoting innovation, creativity, and employee empowerment. This qualitative study will examine the perceptions, experiences, and challenges faced by workers at Nike within the boundaries of the flat organisational model. The study will utilise in-depth interviews and content analysis to collect data and gain insights into the implications of a flat organisational structure on job satisfaction and employee performance. </w:t>
      </w:r>
    </w:p>
    <w:p w14:paraId="29892D75" w14:textId="77777777" w:rsidR="004D2167" w:rsidRDefault="00000000">
      <w:pPr>
        <w:spacing w:line="480" w:lineRule="auto"/>
        <w:rPr>
          <w:rFonts w:ascii="Times New Roman" w:eastAsia="Times New Roman" w:hAnsi="Times New Roman" w:cs="Times New Roman"/>
          <w:sz w:val="24"/>
          <w:szCs w:val="24"/>
        </w:rPr>
      </w:pPr>
      <w:r>
        <w:br w:type="page"/>
      </w:r>
    </w:p>
    <w:p w14:paraId="0EA1B786" w14:textId="77777777" w:rsidR="004D2167" w:rsidRDefault="004D2167">
      <w:pPr>
        <w:spacing w:line="480" w:lineRule="auto"/>
        <w:rPr>
          <w:rFonts w:ascii="Times New Roman" w:eastAsia="Times New Roman" w:hAnsi="Times New Roman" w:cs="Times New Roman"/>
          <w:sz w:val="24"/>
          <w:szCs w:val="24"/>
        </w:rPr>
      </w:pPr>
    </w:p>
    <w:p w14:paraId="6D0A573C" w14:textId="77777777" w:rsidR="004D2167" w:rsidRDefault="00000000">
      <w:pPr>
        <w:keepNext/>
        <w:keepLines/>
        <w:pBdr>
          <w:top w:val="nil"/>
          <w:left w:val="nil"/>
          <w:bottom w:val="nil"/>
          <w:right w:val="nil"/>
          <w:between w:val="nil"/>
        </w:pBdr>
        <w:spacing w:before="240" w:after="0"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112904116"/>
        <w:docPartObj>
          <w:docPartGallery w:val="Table of Contents"/>
          <w:docPartUnique/>
        </w:docPartObj>
      </w:sdtPr>
      <w:sdtContent>
        <w:p w14:paraId="40C1848B"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r>
            <w:fldChar w:fldCharType="begin"/>
          </w:r>
          <w:r>
            <w:instrText xml:space="preserve"> TOC \h \u \z \t "Heading 1,1,Heading 2,2,Heading 3,3,"</w:instrText>
          </w:r>
          <w:r>
            <w:fldChar w:fldCharType="separate"/>
          </w:r>
          <w:hyperlink w:anchor="_30j0zll">
            <w:r>
              <w:rPr>
                <w:rFonts w:ascii="Times New Roman" w:eastAsia="Times New Roman" w:hAnsi="Times New Roman" w:cs="Times New Roman"/>
                <w:color w:val="000000"/>
              </w:rPr>
              <w:t>Abstract</w:t>
            </w:r>
            <w:r>
              <w:rPr>
                <w:rFonts w:ascii="Times New Roman" w:eastAsia="Times New Roman" w:hAnsi="Times New Roman" w:cs="Times New Roman"/>
                <w:color w:val="000000"/>
              </w:rPr>
              <w:tab/>
              <w:t>2</w:t>
            </w:r>
          </w:hyperlink>
        </w:p>
        <w:p w14:paraId="5B06A9FA"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1fob9te">
            <w:r>
              <w:rPr>
                <w:rFonts w:ascii="Times New Roman" w:eastAsia="Times New Roman" w:hAnsi="Times New Roman" w:cs="Times New Roman"/>
                <w:color w:val="000000"/>
              </w:rPr>
              <w:t>Chapter 1: Introduction</w:t>
            </w:r>
            <w:r>
              <w:rPr>
                <w:rFonts w:ascii="Times New Roman" w:eastAsia="Times New Roman" w:hAnsi="Times New Roman" w:cs="Times New Roman"/>
                <w:color w:val="000000"/>
              </w:rPr>
              <w:tab/>
              <w:t>4</w:t>
            </w:r>
          </w:hyperlink>
        </w:p>
        <w:p w14:paraId="29B3C1B9" w14:textId="77777777" w:rsidR="004D2167" w:rsidRDefault="00000000">
          <w:pPr>
            <w:widowControl w:val="0"/>
            <w:tabs>
              <w:tab w:val="right" w:pos="12000"/>
            </w:tabs>
            <w:spacing w:before="60" w:after="0" w:line="240" w:lineRule="auto"/>
            <w:ind w:left="360"/>
            <w:rPr>
              <w:rFonts w:ascii="Times New Roman" w:eastAsia="Times New Roman" w:hAnsi="Times New Roman" w:cs="Times New Roman"/>
              <w:color w:val="000000"/>
            </w:rPr>
          </w:pPr>
          <w:hyperlink w:anchor="_3znysh7">
            <w:r>
              <w:rPr>
                <w:rFonts w:ascii="Times New Roman" w:eastAsia="Times New Roman" w:hAnsi="Times New Roman" w:cs="Times New Roman"/>
                <w:color w:val="000000"/>
              </w:rPr>
              <w:t>Proposed Aim</w:t>
            </w:r>
            <w:r>
              <w:rPr>
                <w:rFonts w:ascii="Times New Roman" w:eastAsia="Times New Roman" w:hAnsi="Times New Roman" w:cs="Times New Roman"/>
                <w:color w:val="000000"/>
              </w:rPr>
              <w:tab/>
              <w:t>4</w:t>
            </w:r>
          </w:hyperlink>
        </w:p>
        <w:p w14:paraId="701BB13E" w14:textId="77777777" w:rsidR="004D2167" w:rsidRDefault="00000000">
          <w:pPr>
            <w:widowControl w:val="0"/>
            <w:tabs>
              <w:tab w:val="right" w:pos="12000"/>
            </w:tabs>
            <w:spacing w:before="60" w:after="0" w:line="240" w:lineRule="auto"/>
            <w:ind w:left="360"/>
            <w:rPr>
              <w:rFonts w:ascii="Times New Roman" w:eastAsia="Times New Roman" w:hAnsi="Times New Roman" w:cs="Times New Roman"/>
              <w:color w:val="000000"/>
            </w:rPr>
          </w:pPr>
          <w:hyperlink w:anchor="_2et92p0">
            <w:r>
              <w:rPr>
                <w:rFonts w:ascii="Times New Roman" w:eastAsia="Times New Roman" w:hAnsi="Times New Roman" w:cs="Times New Roman"/>
                <w:color w:val="000000"/>
              </w:rPr>
              <w:t>Objectives</w:t>
            </w:r>
            <w:r>
              <w:rPr>
                <w:rFonts w:ascii="Times New Roman" w:eastAsia="Times New Roman" w:hAnsi="Times New Roman" w:cs="Times New Roman"/>
                <w:color w:val="000000"/>
              </w:rPr>
              <w:tab/>
              <w:t>5</w:t>
            </w:r>
          </w:hyperlink>
        </w:p>
        <w:p w14:paraId="716B8BF6" w14:textId="77777777" w:rsidR="004D2167" w:rsidRDefault="00000000">
          <w:pPr>
            <w:widowControl w:val="0"/>
            <w:tabs>
              <w:tab w:val="right" w:pos="12000"/>
            </w:tabs>
            <w:spacing w:before="60" w:after="0" w:line="240" w:lineRule="auto"/>
            <w:ind w:left="360"/>
            <w:rPr>
              <w:rFonts w:ascii="Times New Roman" w:eastAsia="Times New Roman" w:hAnsi="Times New Roman" w:cs="Times New Roman"/>
              <w:color w:val="000000"/>
            </w:rPr>
          </w:pPr>
          <w:hyperlink w:anchor="_tyjcwt">
            <w:r>
              <w:rPr>
                <w:rFonts w:ascii="Times New Roman" w:eastAsia="Times New Roman" w:hAnsi="Times New Roman" w:cs="Times New Roman"/>
                <w:color w:val="000000"/>
              </w:rPr>
              <w:t>Research questions</w:t>
            </w:r>
            <w:r>
              <w:rPr>
                <w:rFonts w:ascii="Times New Roman" w:eastAsia="Times New Roman" w:hAnsi="Times New Roman" w:cs="Times New Roman"/>
                <w:color w:val="000000"/>
              </w:rPr>
              <w:tab/>
              <w:t>5</w:t>
            </w:r>
          </w:hyperlink>
        </w:p>
        <w:p w14:paraId="45E5408C"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3dy6vkm">
            <w:r>
              <w:rPr>
                <w:rFonts w:ascii="Times New Roman" w:eastAsia="Times New Roman" w:hAnsi="Times New Roman" w:cs="Times New Roman"/>
                <w:color w:val="000000"/>
              </w:rPr>
              <w:t>Chapter 2: Literature Review</w:t>
            </w:r>
            <w:r>
              <w:rPr>
                <w:rFonts w:ascii="Times New Roman" w:eastAsia="Times New Roman" w:hAnsi="Times New Roman" w:cs="Times New Roman"/>
                <w:color w:val="000000"/>
              </w:rPr>
              <w:tab/>
              <w:t>6</w:t>
            </w:r>
          </w:hyperlink>
        </w:p>
        <w:p w14:paraId="06EA0F28" w14:textId="77777777" w:rsidR="004D2167" w:rsidRDefault="00000000">
          <w:pPr>
            <w:widowControl w:val="0"/>
            <w:tabs>
              <w:tab w:val="right" w:pos="12000"/>
            </w:tabs>
            <w:spacing w:before="60" w:after="0" w:line="240" w:lineRule="auto"/>
            <w:ind w:left="360"/>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Definition and Importance of a Flat Organisational Structure</w:t>
            </w:r>
            <w:r>
              <w:rPr>
                <w:rFonts w:ascii="Times New Roman" w:eastAsia="Times New Roman" w:hAnsi="Times New Roman" w:cs="Times New Roman"/>
                <w:color w:val="000000"/>
              </w:rPr>
              <w:tab/>
              <w:t>6</w:t>
            </w:r>
          </w:hyperlink>
        </w:p>
        <w:p w14:paraId="5C543245" w14:textId="77777777" w:rsidR="004D2167" w:rsidRDefault="00000000">
          <w:pPr>
            <w:widowControl w:val="0"/>
            <w:tabs>
              <w:tab w:val="right" w:pos="12000"/>
            </w:tabs>
            <w:spacing w:before="60" w:after="0" w:line="240" w:lineRule="auto"/>
            <w:ind w:left="360"/>
            <w:rPr>
              <w:rFonts w:ascii="Times New Roman" w:eastAsia="Times New Roman" w:hAnsi="Times New Roman" w:cs="Times New Roman"/>
              <w:color w:val="000000"/>
            </w:rPr>
          </w:pPr>
          <w:hyperlink w:anchor="_2s8eyo1">
            <w:r>
              <w:rPr>
                <w:rFonts w:ascii="Times New Roman" w:eastAsia="Times New Roman" w:hAnsi="Times New Roman" w:cs="Times New Roman"/>
                <w:color w:val="000000"/>
              </w:rPr>
              <w:t>Applicable theories and models: The Lattice Organisational Model</w:t>
            </w:r>
            <w:r>
              <w:rPr>
                <w:rFonts w:ascii="Times New Roman" w:eastAsia="Times New Roman" w:hAnsi="Times New Roman" w:cs="Times New Roman"/>
                <w:color w:val="000000"/>
              </w:rPr>
              <w:tab/>
              <w:t>7</w:t>
            </w:r>
          </w:hyperlink>
        </w:p>
        <w:p w14:paraId="25195882"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17dp8vu">
            <w:r>
              <w:rPr>
                <w:rFonts w:ascii="Times New Roman" w:eastAsia="Times New Roman" w:hAnsi="Times New Roman" w:cs="Times New Roman"/>
                <w:color w:val="000000"/>
              </w:rPr>
              <w:t>Chapter 3: Research Methods and Methodology</w:t>
            </w:r>
            <w:r>
              <w:rPr>
                <w:rFonts w:ascii="Times New Roman" w:eastAsia="Times New Roman" w:hAnsi="Times New Roman" w:cs="Times New Roman"/>
                <w:color w:val="000000"/>
              </w:rPr>
              <w:tab/>
              <w:t>7</w:t>
            </w:r>
          </w:hyperlink>
        </w:p>
        <w:p w14:paraId="58654C17"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3rdcrjn">
            <w:r>
              <w:rPr>
                <w:rFonts w:ascii="Times New Roman" w:eastAsia="Times New Roman" w:hAnsi="Times New Roman" w:cs="Times New Roman"/>
                <w:color w:val="000000"/>
              </w:rPr>
              <w:t>Time Prospects of the Research (Gantt Chart)</w:t>
            </w:r>
            <w:r>
              <w:rPr>
                <w:rFonts w:ascii="Times New Roman" w:eastAsia="Times New Roman" w:hAnsi="Times New Roman" w:cs="Times New Roman"/>
                <w:color w:val="000000"/>
              </w:rPr>
              <w:tab/>
              <w:t>10</w:t>
            </w:r>
          </w:hyperlink>
        </w:p>
        <w:p w14:paraId="4124F887"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26in1rg">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10</w:t>
            </w:r>
          </w:hyperlink>
        </w:p>
        <w:p w14:paraId="425F3BA5"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lnxbz9">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12</w:t>
            </w:r>
          </w:hyperlink>
        </w:p>
        <w:p w14:paraId="5A7FF24B" w14:textId="77777777" w:rsidR="004D2167" w:rsidRDefault="00000000">
          <w:pPr>
            <w:widowControl w:val="0"/>
            <w:tabs>
              <w:tab w:val="right" w:pos="12000"/>
            </w:tabs>
            <w:spacing w:before="60" w:after="0" w:line="240" w:lineRule="auto"/>
            <w:rPr>
              <w:rFonts w:ascii="Times New Roman" w:eastAsia="Times New Roman" w:hAnsi="Times New Roman" w:cs="Times New Roman"/>
              <w:b/>
              <w:color w:val="000000"/>
            </w:rPr>
          </w:pPr>
          <w:hyperlink w:anchor="_35nkun2">
            <w:r>
              <w:rPr>
                <w:rFonts w:ascii="Times New Roman" w:eastAsia="Times New Roman" w:hAnsi="Times New Roman" w:cs="Times New Roman"/>
                <w:color w:val="000000"/>
              </w:rPr>
              <w:t>Appendix</w:t>
            </w:r>
            <w:r>
              <w:rPr>
                <w:rFonts w:ascii="Times New Roman" w:eastAsia="Times New Roman" w:hAnsi="Times New Roman" w:cs="Times New Roman"/>
                <w:color w:val="000000"/>
              </w:rPr>
              <w:tab/>
              <w:t>15</w:t>
            </w:r>
          </w:hyperlink>
          <w:r>
            <w:fldChar w:fldCharType="end"/>
          </w:r>
        </w:p>
      </w:sdtContent>
    </w:sdt>
    <w:p w14:paraId="797F20C7" w14:textId="77777777" w:rsidR="004D2167" w:rsidRDefault="00000000">
      <w:pPr>
        <w:spacing w:line="480" w:lineRule="auto"/>
        <w:rPr>
          <w:rFonts w:ascii="Times New Roman" w:eastAsia="Times New Roman" w:hAnsi="Times New Roman" w:cs="Times New Roman"/>
          <w:sz w:val="24"/>
          <w:szCs w:val="24"/>
        </w:rPr>
      </w:pPr>
      <w:bookmarkStart w:id="1" w:name="_gjdgxs" w:colFirst="0" w:colLast="0"/>
      <w:bookmarkEnd w:id="1"/>
      <w:r>
        <w:br w:type="page"/>
      </w:r>
    </w:p>
    <w:p w14:paraId="1D1963F6"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lastRenderedPageBreak/>
        <w:t>Chapter 1: Introduction</w:t>
      </w:r>
    </w:p>
    <w:p w14:paraId="721C9CF8"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structure plays a crucial role in defining and shaping employee behaviour, job satisfaction, and overall performance. Over the last few years, flat organisational structures have gained significant attention as the alternative to the conventional hierarchical organisational models designed to foster agility, collaboration, and a dynamic workplace (</w:t>
      </w:r>
      <w:r>
        <w:rPr>
          <w:rFonts w:ascii="Times New Roman" w:eastAsia="Times New Roman" w:hAnsi="Times New Roman" w:cs="Times New Roman"/>
          <w:sz w:val="24"/>
          <w:szCs w:val="24"/>
          <w:highlight w:val="white"/>
        </w:rPr>
        <w:t>Andersson et al., 2019)</w:t>
      </w:r>
      <w:r>
        <w:rPr>
          <w:rFonts w:ascii="Times New Roman" w:eastAsia="Times New Roman" w:hAnsi="Times New Roman" w:cs="Times New Roman"/>
          <w:sz w:val="24"/>
          <w:szCs w:val="24"/>
        </w:rPr>
        <w:t>. The significance of examining the performance of employees in the flat organisation structure, mainly through the case of Nike, lies in various critical aspects. For instance, flat organisational structures have achieved prominence in contemporary business environments. Thus, understanding their effect on employee performance is vital when more and more companies consider adopting this model (</w:t>
      </w:r>
      <w:r>
        <w:rPr>
          <w:rFonts w:ascii="Times New Roman" w:eastAsia="Times New Roman" w:hAnsi="Times New Roman" w:cs="Times New Roman"/>
          <w:sz w:val="24"/>
          <w:szCs w:val="24"/>
          <w:highlight w:val="white"/>
        </w:rPr>
        <w:t>Palepu et al., 2020)</w:t>
      </w:r>
      <w:r>
        <w:rPr>
          <w:rFonts w:ascii="Times New Roman" w:eastAsia="Times New Roman" w:hAnsi="Times New Roman" w:cs="Times New Roman"/>
          <w:sz w:val="24"/>
          <w:szCs w:val="24"/>
        </w:rPr>
        <w:t xml:space="preserve">. Therefore, the findings of this research will be significant in providing deep insights into the potential benefits and challenges linked with a flat organisational structure, helping business organisations make informed decisions regarding their organisational design. This research examines the impact of a flat organisational structure on employee performance, mainly focusing on Nike's case. This study intends to contribute to the existing knowledge of organisational models and structures and their effects on employee performance. </w:t>
      </w:r>
    </w:p>
    <w:p w14:paraId="4EBED6AC" w14:textId="77777777" w:rsidR="004D2167" w:rsidRDefault="00000000">
      <w:pPr>
        <w:pStyle w:val="Heading2"/>
        <w:spacing w:line="480" w:lineRule="auto"/>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Proposed Aim</w:t>
      </w:r>
    </w:p>
    <w:p w14:paraId="0A3E52A3"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aim of this study is to examine the effect of a flat organisational structure on the performance of Nike employees to attain a comprehensive understanding of the benefits, challenges, and implications of this model. </w:t>
      </w:r>
    </w:p>
    <w:p w14:paraId="13F4FC01" w14:textId="77777777" w:rsidR="004D2167" w:rsidRDefault="00000000">
      <w:pPr>
        <w:pStyle w:val="Heading2"/>
        <w:spacing w:line="480" w:lineRule="auto"/>
        <w:rPr>
          <w:rFonts w:ascii="Times New Roman" w:eastAsia="Times New Roman" w:hAnsi="Times New Roman" w:cs="Times New Roman"/>
          <w:b/>
          <w:color w:val="000000"/>
          <w:sz w:val="24"/>
          <w:szCs w:val="24"/>
        </w:rPr>
      </w:pPr>
      <w:bookmarkStart w:id="4" w:name="_2et92p0" w:colFirst="0" w:colLast="0"/>
      <w:bookmarkEnd w:id="4"/>
      <w:r>
        <w:rPr>
          <w:rFonts w:ascii="Times New Roman" w:eastAsia="Times New Roman" w:hAnsi="Times New Roman" w:cs="Times New Roman"/>
          <w:b/>
          <w:color w:val="000000"/>
          <w:sz w:val="24"/>
          <w:szCs w:val="24"/>
        </w:rPr>
        <w:lastRenderedPageBreak/>
        <w:t>Objectives</w:t>
      </w:r>
    </w:p>
    <w:p w14:paraId="38745C19" w14:textId="77777777" w:rsidR="004D2167" w:rsidRDefault="00000000">
      <w:pPr>
        <w:numPr>
          <w:ilvl w:val="0"/>
          <w:numId w:val="2"/>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explore how the flat organisational structure at Nike company impacts employee performance and its role in job satisfaction. </w:t>
      </w:r>
    </w:p>
    <w:p w14:paraId="62FE0B96" w14:textId="77777777" w:rsidR="004D2167" w:rsidRDefault="00000000">
      <w:pPr>
        <w:numPr>
          <w:ilvl w:val="0"/>
          <w:numId w:val="2"/>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establish the challenges </w:t>
      </w:r>
      <w:r>
        <w:rPr>
          <w:rFonts w:ascii="Times New Roman" w:eastAsia="Times New Roman" w:hAnsi="Times New Roman" w:cs="Times New Roman"/>
          <w:sz w:val="24"/>
          <w:szCs w:val="24"/>
        </w:rPr>
        <w:t>employees face</w:t>
      </w:r>
      <w:r>
        <w:rPr>
          <w:rFonts w:ascii="Times New Roman" w:eastAsia="Times New Roman" w:hAnsi="Times New Roman" w:cs="Times New Roman"/>
          <w:color w:val="000000"/>
          <w:sz w:val="24"/>
          <w:szCs w:val="24"/>
        </w:rPr>
        <w:t xml:space="preserve"> under the flat organisational structure at Nike company. </w:t>
      </w:r>
    </w:p>
    <w:p w14:paraId="470F77E5" w14:textId="77777777" w:rsidR="004D2167" w:rsidRDefault="00000000">
      <w:pPr>
        <w:numPr>
          <w:ilvl w:val="0"/>
          <w:numId w:val="2"/>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identify the impact of flat organisational structures on decision-making, communication, and collaboration among workers at Nike. </w:t>
      </w:r>
    </w:p>
    <w:p w14:paraId="37777671" w14:textId="77777777" w:rsidR="004D2167" w:rsidRDefault="00000000">
      <w:pPr>
        <w:numPr>
          <w:ilvl w:val="0"/>
          <w:numId w:val="2"/>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understand the mechanisms and strategies utilised by Nike to ensure accountability and promote efficiency within the flat organisational structure. </w:t>
      </w:r>
    </w:p>
    <w:p w14:paraId="7D079641" w14:textId="77777777" w:rsidR="004D2167" w:rsidRDefault="00000000">
      <w:pPr>
        <w:numPr>
          <w:ilvl w:val="0"/>
          <w:numId w:val="2"/>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explore and </w:t>
      </w:r>
      <w:r>
        <w:rPr>
          <w:rFonts w:ascii="Times New Roman" w:eastAsia="Times New Roman" w:hAnsi="Times New Roman" w:cs="Times New Roman"/>
          <w:sz w:val="24"/>
          <w:szCs w:val="24"/>
        </w:rPr>
        <w:t>categorise</w:t>
      </w:r>
      <w:r>
        <w:rPr>
          <w:rFonts w:ascii="Times New Roman" w:eastAsia="Times New Roman" w:hAnsi="Times New Roman" w:cs="Times New Roman"/>
          <w:color w:val="000000"/>
          <w:sz w:val="24"/>
          <w:szCs w:val="24"/>
        </w:rPr>
        <w:t xml:space="preserve"> various motivation techniques that organisations usually employ to promote and enhance employee performance. </w:t>
      </w:r>
    </w:p>
    <w:p w14:paraId="271C2736" w14:textId="77777777" w:rsidR="004D2167" w:rsidRDefault="00000000">
      <w:pPr>
        <w:numPr>
          <w:ilvl w:val="0"/>
          <w:numId w:val="2"/>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investigate how organisational </w:t>
      </w:r>
      <w:r>
        <w:rPr>
          <w:rFonts w:ascii="Times New Roman" w:eastAsia="Times New Roman" w:hAnsi="Times New Roman" w:cs="Times New Roman"/>
          <w:sz w:val="24"/>
          <w:szCs w:val="24"/>
        </w:rPr>
        <w:t>culture impacts</w:t>
      </w:r>
      <w:r>
        <w:rPr>
          <w:rFonts w:ascii="Times New Roman" w:eastAsia="Times New Roman" w:hAnsi="Times New Roman" w:cs="Times New Roman"/>
          <w:color w:val="000000"/>
          <w:sz w:val="24"/>
          <w:szCs w:val="24"/>
        </w:rPr>
        <w:t xml:space="preserve"> the effectiveness of motivation techniques in the </w:t>
      </w:r>
      <w:r>
        <w:rPr>
          <w:rFonts w:ascii="Times New Roman" w:eastAsia="Times New Roman" w:hAnsi="Times New Roman" w:cs="Times New Roman"/>
          <w:sz w:val="24"/>
          <w:szCs w:val="24"/>
        </w:rPr>
        <w:t>organisation</w:t>
      </w:r>
      <w:r>
        <w:rPr>
          <w:rFonts w:ascii="Times New Roman" w:eastAsia="Times New Roman" w:hAnsi="Times New Roman" w:cs="Times New Roman"/>
          <w:color w:val="000000"/>
          <w:sz w:val="24"/>
          <w:szCs w:val="24"/>
        </w:rPr>
        <w:t xml:space="preserve"> to enhance employee performance.</w:t>
      </w:r>
    </w:p>
    <w:p w14:paraId="7E191629" w14:textId="77777777" w:rsidR="004D2167" w:rsidRDefault="00000000">
      <w:pPr>
        <w:pStyle w:val="Heading2"/>
        <w:spacing w:line="480" w:lineRule="auto"/>
        <w:rPr>
          <w:rFonts w:ascii="Times New Roman" w:eastAsia="Times New Roman" w:hAnsi="Times New Roman" w:cs="Times New Roman"/>
          <w:b/>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t>Research questions</w:t>
      </w:r>
    </w:p>
    <w:p w14:paraId="2374110B" w14:textId="77777777" w:rsidR="004D2167" w:rsidRDefault="00000000">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does flat organisational structure impact job satisfaction and employee performance at Nike?</w:t>
      </w:r>
    </w:p>
    <w:p w14:paraId="36BE86EC" w14:textId="77777777" w:rsidR="004D2167" w:rsidRDefault="00000000">
      <w:pPr>
        <w:numPr>
          <w:ilvl w:val="0"/>
          <w:numId w:val="1"/>
        </w:numPr>
        <w:pBdr>
          <w:top w:val="nil"/>
          <w:left w:val="nil"/>
          <w:bottom w:val="nil"/>
          <w:right w:val="nil"/>
          <w:between w:val="nil"/>
        </w:pBd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opportunities and challenges are faced by employees working within a flat organisational structure at Nike?</w:t>
      </w:r>
    </w:p>
    <w:p w14:paraId="464AE0DA" w14:textId="77777777" w:rsidR="004D2167" w:rsidRDefault="00000000">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does a flat organisational structure like Nike impact decision-making, collaboration, and employee communication?</w:t>
      </w:r>
    </w:p>
    <w:p w14:paraId="41A0F239" w14:textId="77777777" w:rsidR="004D2167" w:rsidRDefault="00000000">
      <w:pPr>
        <w:numPr>
          <w:ilvl w:val="0"/>
          <w:numId w:val="1"/>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what are the best motivation techniques that lead to better employee performance?</w:t>
      </w:r>
    </w:p>
    <w:p w14:paraId="5679452E"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lastRenderedPageBreak/>
        <w:t>Chapter 2: Literature Review</w:t>
      </w:r>
    </w:p>
    <w:p w14:paraId="055FD2B3"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section will review the existing studies on flat organisational structures and their impact on employee performance. It will capture critical concepts associated with organisational structure, such as communication patterns, employee motivation or empowerment, job satisfaction, as well as innovation. Also, previous studies focusing on the same case or industries will be analysed to contextualise the proposal’s findings while examining different aspects of the selected topic, such as definition, characteristics, importance, models, theories, advantages, disadvantages, and challenges. </w:t>
      </w:r>
    </w:p>
    <w:p w14:paraId="4822E076" w14:textId="77777777" w:rsidR="004D2167" w:rsidRDefault="00000000">
      <w:pPr>
        <w:pStyle w:val="Heading2"/>
        <w:spacing w:line="480" w:lineRule="auto"/>
        <w:rPr>
          <w:rFonts w:ascii="Times New Roman" w:eastAsia="Times New Roman" w:hAnsi="Times New Roman" w:cs="Times New Roman"/>
          <w:b/>
          <w:color w:val="000000"/>
          <w:sz w:val="24"/>
          <w:szCs w:val="24"/>
        </w:rPr>
      </w:pPr>
      <w:bookmarkStart w:id="7" w:name="_1t3h5sf" w:colFirst="0" w:colLast="0"/>
      <w:bookmarkEnd w:id="7"/>
      <w:r>
        <w:rPr>
          <w:rFonts w:ascii="Times New Roman" w:eastAsia="Times New Roman" w:hAnsi="Times New Roman" w:cs="Times New Roman"/>
          <w:b/>
          <w:color w:val="000000"/>
          <w:sz w:val="24"/>
          <w:szCs w:val="24"/>
        </w:rPr>
        <w:t>Definition and Importance of a Flat Organisational Structure</w:t>
      </w:r>
    </w:p>
    <w:p w14:paraId="7D09FAFC" w14:textId="77777777" w:rsidR="004D2167" w:rsidRDefault="00000000">
      <w:pPr>
        <w:spacing w:line="480" w:lineRule="auto"/>
        <w:ind w:firstLine="720"/>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color w:val="222222"/>
          <w:sz w:val="24"/>
          <w:szCs w:val="24"/>
          <w:highlight w:val="white"/>
        </w:rPr>
        <w:t>Visser and Courtice (2011) indicate that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flat organisational structure is a corporate model comprising a few hierarchical levels, often characterised by a decentralised decision-making process, and the distribution of authority and power is relatively equal among the employees. Contrary to the conventional hierarchical models, flat organisational structures foster direct access to corporate leadership and open communication and offer increased autonomy for employees at various levels (</w:t>
      </w:r>
      <w:proofErr w:type="spellStart"/>
      <w:r>
        <w:rPr>
          <w:rFonts w:ascii="Times New Roman" w:eastAsia="Times New Roman" w:hAnsi="Times New Roman" w:cs="Times New Roman"/>
          <w:sz w:val="24"/>
          <w:szCs w:val="24"/>
          <w:highlight w:val="white"/>
        </w:rPr>
        <w:t>Harsch</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Festing</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Ballaro</w:t>
      </w:r>
      <w:proofErr w:type="spellEnd"/>
      <w:r>
        <w:rPr>
          <w:rFonts w:ascii="Times New Roman" w:eastAsia="Times New Roman" w:hAnsi="Times New Roman" w:cs="Times New Roman"/>
          <w:sz w:val="24"/>
          <w:szCs w:val="24"/>
        </w:rPr>
        <w:t xml:space="preserve"> et al. (2020) indicate that a flat organisational structure significantly contributes to the continued growth and success of the organisation and its leadership. </w:t>
      </w:r>
      <w:r>
        <w:rPr>
          <w:rFonts w:ascii="Times New Roman" w:eastAsia="Times New Roman" w:hAnsi="Times New Roman" w:cs="Times New Roman"/>
          <w:color w:val="222222"/>
          <w:sz w:val="24"/>
          <w:szCs w:val="24"/>
          <w:highlight w:val="white"/>
        </w:rPr>
        <w:t>Akhter</w:t>
      </w:r>
      <w:r>
        <w:rPr>
          <w:rFonts w:ascii="Times New Roman" w:eastAsia="Times New Roman" w:hAnsi="Times New Roman" w:cs="Times New Roman"/>
          <w:sz w:val="24"/>
          <w:szCs w:val="24"/>
        </w:rPr>
        <w:t xml:space="preserve"> et al. (2013) reiterates that traditional hierarchical organisational model has in its place been replaced by the flat structure, an interconnected system that allows every person, from the newest to the senior-most, the ability to assume responsibilities and equally contribute to the progressive improvement of the organisation by applying various leadership philosophies like the Kaizen philosophy (</w:t>
      </w:r>
      <w:proofErr w:type="spellStart"/>
      <w:r>
        <w:rPr>
          <w:rFonts w:ascii="Times New Roman" w:eastAsia="Times New Roman" w:hAnsi="Times New Roman" w:cs="Times New Roman"/>
          <w:color w:val="222222"/>
          <w:sz w:val="24"/>
          <w:szCs w:val="24"/>
          <w:highlight w:val="white"/>
        </w:rPr>
        <w:t>Dalkrani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Dimitriadis</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In addition, flat organisational structures are known for their role in fostering collaboration. </w:t>
      </w:r>
      <w:proofErr w:type="spellStart"/>
      <w:r>
        <w:rPr>
          <w:rFonts w:ascii="Times New Roman" w:eastAsia="Times New Roman" w:hAnsi="Times New Roman" w:cs="Times New Roman"/>
          <w:color w:val="222222"/>
          <w:sz w:val="24"/>
          <w:szCs w:val="24"/>
          <w:highlight w:val="white"/>
        </w:rPr>
        <w:t>Mawoli</w:t>
      </w:r>
      <w:proofErr w:type="spellEnd"/>
      <w:r>
        <w:rPr>
          <w:rFonts w:ascii="Times New Roman" w:eastAsia="Times New Roman" w:hAnsi="Times New Roman" w:cs="Times New Roman"/>
          <w:color w:val="222222"/>
          <w:sz w:val="24"/>
          <w:szCs w:val="24"/>
          <w:highlight w:val="white"/>
        </w:rPr>
        <w:t xml:space="preserve"> and Haruna (2013</w:t>
      </w:r>
      <w:r>
        <w:rPr>
          <w:rFonts w:ascii="Times New Roman" w:eastAsia="Times New Roman" w:hAnsi="Times New Roman" w:cs="Times New Roman"/>
          <w:sz w:val="24"/>
          <w:szCs w:val="24"/>
        </w:rPr>
        <w:t xml:space="preserve">) indicate that collaboration and open communication in </w:t>
      </w:r>
      <w:r>
        <w:rPr>
          <w:rFonts w:ascii="Times New Roman" w:eastAsia="Times New Roman" w:hAnsi="Times New Roman" w:cs="Times New Roman"/>
          <w:sz w:val="24"/>
          <w:szCs w:val="24"/>
        </w:rPr>
        <w:lastRenderedPageBreak/>
        <w:t xml:space="preserve">a flat organisational structure is standard. Since workers are on a level playing field,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is accorded more responsibility, creating a situation where collaborative and innovative self-starters excel while passive followers lag (</w:t>
      </w:r>
      <w:proofErr w:type="spellStart"/>
      <w:r>
        <w:rPr>
          <w:rFonts w:ascii="Times New Roman" w:eastAsia="Times New Roman" w:hAnsi="Times New Roman" w:cs="Times New Roman"/>
          <w:sz w:val="24"/>
          <w:szCs w:val="24"/>
          <w:highlight w:val="white"/>
        </w:rPr>
        <w:t>Harsch</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Festing</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As an added advantage, organisations embracing a flat organisational structure can attract the top talented employees motivated and encouraged by a work structure that demands teamwork and self-motivation. </w:t>
      </w:r>
    </w:p>
    <w:p w14:paraId="02EE99E0" w14:textId="77777777" w:rsidR="004D2167" w:rsidRDefault="00000000">
      <w:pPr>
        <w:pStyle w:val="Heading2"/>
        <w:spacing w:line="480" w:lineRule="auto"/>
        <w:rPr>
          <w:rFonts w:ascii="Times New Roman" w:eastAsia="Times New Roman" w:hAnsi="Times New Roman" w:cs="Times New Roman"/>
          <w:b/>
          <w:color w:val="000000"/>
          <w:sz w:val="24"/>
          <w:szCs w:val="24"/>
        </w:rPr>
      </w:pPr>
      <w:bookmarkStart w:id="9" w:name="_2s8eyo1" w:colFirst="0" w:colLast="0"/>
      <w:bookmarkEnd w:id="9"/>
      <w:r>
        <w:rPr>
          <w:rFonts w:ascii="Times New Roman" w:eastAsia="Times New Roman" w:hAnsi="Times New Roman" w:cs="Times New Roman"/>
          <w:b/>
          <w:color w:val="000000"/>
          <w:sz w:val="24"/>
          <w:szCs w:val="24"/>
        </w:rPr>
        <w:t>Applicable theories and models: The Lattice Organisational Model</w:t>
      </w:r>
    </w:p>
    <w:p w14:paraId="1691D150"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models applicable to the flat organisational structure, The Lattice Organisational Model included. This model stresses lateral career movements and skill development instead of traditional vertical promotions. Therefore, a lattice organisation allows multiple career and work pathways and ignores the conventional top-down approach (</w:t>
      </w:r>
      <w:r>
        <w:rPr>
          <w:rFonts w:ascii="Times New Roman" w:eastAsia="Times New Roman" w:hAnsi="Times New Roman" w:cs="Times New Roman"/>
          <w:sz w:val="24"/>
          <w:szCs w:val="24"/>
          <w:highlight w:val="white"/>
        </w:rPr>
        <w:t>Chaudhary et al., 2023)</w:t>
      </w:r>
      <w:r>
        <w:rPr>
          <w:rFonts w:ascii="Times New Roman" w:eastAsia="Times New Roman" w:hAnsi="Times New Roman" w:cs="Times New Roman"/>
          <w:sz w:val="24"/>
          <w:szCs w:val="24"/>
        </w:rPr>
        <w:t xml:space="preserve">. Furthermore, </w:t>
      </w:r>
      <w:r>
        <w:rPr>
          <w:rFonts w:ascii="Times New Roman" w:eastAsia="Times New Roman" w:hAnsi="Times New Roman" w:cs="Times New Roman"/>
          <w:color w:val="222222"/>
          <w:sz w:val="24"/>
          <w:szCs w:val="24"/>
          <w:highlight w:val="white"/>
        </w:rPr>
        <w:t>Williams (2016)</w:t>
      </w:r>
      <w:r>
        <w:rPr>
          <w:rFonts w:ascii="Times New Roman" w:eastAsia="Times New Roman" w:hAnsi="Times New Roman" w:cs="Times New Roman"/>
          <w:sz w:val="24"/>
          <w:szCs w:val="24"/>
        </w:rPr>
        <w:t xml:space="preserve"> reiterates that this model often allow all the employees to participate and create new projects that enhance the organisation's performance. Similarly, this model will enable employees to work remotely or have flexible schedules (</w:t>
      </w:r>
      <w:r>
        <w:rPr>
          <w:rFonts w:ascii="Times New Roman" w:eastAsia="Times New Roman" w:hAnsi="Times New Roman" w:cs="Times New Roman"/>
          <w:sz w:val="24"/>
          <w:szCs w:val="24"/>
          <w:highlight w:val="white"/>
        </w:rPr>
        <w:t>Shrestha et al., 2019)</w:t>
      </w:r>
      <w:r>
        <w:rPr>
          <w:rFonts w:ascii="Times New Roman" w:eastAsia="Times New Roman" w:hAnsi="Times New Roman" w:cs="Times New Roman"/>
          <w:sz w:val="24"/>
          <w:szCs w:val="24"/>
        </w:rPr>
        <w:t>. Also, it allows the employees to laterally move through the organisation, constantly changing positions to gain knowledge about the different aspects of organisational operations (</w:t>
      </w:r>
      <w:r>
        <w:rPr>
          <w:rFonts w:ascii="Times New Roman" w:eastAsia="Times New Roman" w:hAnsi="Times New Roman" w:cs="Times New Roman"/>
          <w:sz w:val="24"/>
          <w:szCs w:val="24"/>
          <w:highlight w:val="white"/>
        </w:rPr>
        <w:t>Joseph and Gaba, 2020)</w:t>
      </w:r>
      <w:r>
        <w:rPr>
          <w:rFonts w:ascii="Times New Roman" w:eastAsia="Times New Roman" w:hAnsi="Times New Roman" w:cs="Times New Roman"/>
          <w:sz w:val="24"/>
          <w:szCs w:val="24"/>
        </w:rPr>
        <w:t xml:space="preserve">. Other models and theories that will be exploited in this study include The Team-Based Organisational Model and The Self-Managed Teams Theory. </w:t>
      </w:r>
    </w:p>
    <w:p w14:paraId="7317A09C"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10" w:name="_17dp8vu" w:colFirst="0" w:colLast="0"/>
      <w:bookmarkEnd w:id="10"/>
      <w:r>
        <w:rPr>
          <w:rFonts w:ascii="Times New Roman" w:eastAsia="Times New Roman" w:hAnsi="Times New Roman" w:cs="Times New Roman"/>
          <w:b/>
          <w:color w:val="000000"/>
          <w:sz w:val="24"/>
          <w:szCs w:val="24"/>
        </w:rPr>
        <w:t>Chapter 3: Research Methods and Methodology</w:t>
      </w:r>
    </w:p>
    <w:p w14:paraId="6C797A81"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will adopt the interpretive research philosophy. The interpretive choice effectively aligns with the qualitative nature of the research, even as it looks forward to understanding the perceptions, subjective experiences, and challenges of workers within Nike's </w:t>
      </w:r>
      <w:r>
        <w:rPr>
          <w:rFonts w:ascii="Times New Roman" w:eastAsia="Times New Roman" w:hAnsi="Times New Roman" w:cs="Times New Roman"/>
          <w:sz w:val="24"/>
          <w:szCs w:val="24"/>
        </w:rPr>
        <w:lastRenderedPageBreak/>
        <w:t>flat organisational structure. According to interpretivist philosophy, cultural and social contexts play a crucial role in defining and shaping a person's beliefs and behaviours, which is essential for understanding the effect of the flat organisational structure on employee performance and job satisfaction (</w:t>
      </w:r>
      <w:r>
        <w:rPr>
          <w:rFonts w:ascii="Times New Roman" w:eastAsia="Times New Roman" w:hAnsi="Times New Roman" w:cs="Times New Roman"/>
          <w:sz w:val="24"/>
          <w:szCs w:val="24"/>
          <w:highlight w:val="white"/>
        </w:rPr>
        <w:t>Frechette et al., 2020)</w:t>
      </w:r>
      <w:r>
        <w:rPr>
          <w:rFonts w:ascii="Times New Roman" w:eastAsia="Times New Roman" w:hAnsi="Times New Roman" w:cs="Times New Roman"/>
          <w:sz w:val="24"/>
          <w:szCs w:val="24"/>
        </w:rPr>
        <w:t xml:space="preserve">. In addition, the research will follow the inductive approach, which corresponds to the interpretive research philosophy. The inductive paradigm entails deriving generalisations and theories from </w:t>
      </w:r>
      <w:proofErr w:type="gramStart"/>
      <w:r>
        <w:rPr>
          <w:rFonts w:ascii="Times New Roman" w:eastAsia="Times New Roman" w:hAnsi="Times New Roman" w:cs="Times New Roman"/>
          <w:sz w:val="24"/>
          <w:szCs w:val="24"/>
        </w:rPr>
        <w:t>particular datasets</w:t>
      </w:r>
      <w:proofErr w:type="gramEnd"/>
      <w:r>
        <w:rPr>
          <w:rFonts w:ascii="Times New Roman" w:eastAsia="Times New Roman" w:hAnsi="Times New Roman" w:cs="Times New Roman"/>
          <w:sz w:val="24"/>
          <w:szCs w:val="24"/>
        </w:rPr>
        <w:t xml:space="preserve"> and observations. This approach enables the researcher to explore the unique components of Nike’s flat organisational structure and establish context-specific insights. </w:t>
      </w:r>
    </w:p>
    <w:p w14:paraId="0B5D8E0B"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Therefore, the researcher will leverage a qualitative research approach in this study. This approach was selected because qualitative methods and techniques enable the researcher to explore complex and gain in-depth insights about complex phenomena, such as capturing workers' rich and nuanced experiences within Nike's flat organisational structure (</w:t>
      </w:r>
      <w:proofErr w:type="spellStart"/>
      <w:r>
        <w:rPr>
          <w:rFonts w:ascii="Times New Roman" w:eastAsia="Times New Roman" w:hAnsi="Times New Roman" w:cs="Times New Roman"/>
          <w:sz w:val="24"/>
          <w:szCs w:val="24"/>
          <w:highlight w:val="white"/>
        </w:rPr>
        <w:t>Cantelmi</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xml:space="preserve">. Qualitative methods also allow for a holistic understanding of the research topic, complementing the study's objectives. Consequently, a single case study will be the exclusive research methodology for this study. Focusing on Nike as a single case will allow the researcher to gain more insights into the company's unique context, challenges, and practices associated with the flat organisational structure. The in-depth exploration will provide valuable information into the specific effect of the flat system on employee performance at Nike company. </w:t>
      </w:r>
    </w:p>
    <w:p w14:paraId="1F1EF41F"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research strategy for this research will be a combination of document analysis and interviews. Therefore, the researcher will conduct in-depth interviews to collect employees' views and experiences. At the same time, the content analysis of various documents will offer an in-depth comprehension of the organisational structure at Nike and its implications </w:t>
      </w:r>
      <w:r>
        <w:rPr>
          <w:rFonts w:ascii="Times New Roman" w:eastAsia="Times New Roman" w:hAnsi="Times New Roman" w:cs="Times New Roman"/>
          <w:sz w:val="24"/>
          <w:szCs w:val="24"/>
        </w:rPr>
        <w:lastRenderedPageBreak/>
        <w:t>for employee performance and job satisfaction (</w:t>
      </w:r>
      <w:r>
        <w:rPr>
          <w:rFonts w:ascii="Times New Roman" w:eastAsia="Times New Roman" w:hAnsi="Times New Roman" w:cs="Times New Roman"/>
          <w:sz w:val="24"/>
          <w:szCs w:val="24"/>
          <w:highlight w:val="white"/>
        </w:rPr>
        <w:t>Thunberg and Arnell, 2022)</w:t>
      </w:r>
      <w:r>
        <w:rPr>
          <w:rFonts w:ascii="Times New Roman" w:eastAsia="Times New Roman" w:hAnsi="Times New Roman" w:cs="Times New Roman"/>
          <w:sz w:val="24"/>
          <w:szCs w:val="24"/>
        </w:rPr>
        <w:t>. Subsequently, purposive sampling methods will be leveraged to select participants for the study. The purpose sampling technique is suitable for this study because it ensures that all the selected participants (employees) have relevant knowledge and experiences relating to employee performance and organisational structure at Nike (</w:t>
      </w:r>
      <w:r>
        <w:rPr>
          <w:rFonts w:ascii="Times New Roman" w:eastAsia="Times New Roman" w:hAnsi="Times New Roman" w:cs="Times New Roman"/>
          <w:sz w:val="24"/>
          <w:szCs w:val="24"/>
          <w:highlight w:val="white"/>
        </w:rPr>
        <w:t>Campbell et al., 2020)</w:t>
      </w:r>
      <w:r>
        <w:rPr>
          <w:rFonts w:ascii="Times New Roman" w:eastAsia="Times New Roman" w:hAnsi="Times New Roman" w:cs="Times New Roman"/>
          <w:sz w:val="24"/>
          <w:szCs w:val="24"/>
        </w:rPr>
        <w:t xml:space="preserve">. Also, it will help the researcher to recruit employees from all departments and levels, enhancing the capacity of the researcher to capture divergent views and experiences. </w:t>
      </w:r>
    </w:p>
    <w:p w14:paraId="0187FE9D"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will use in-depth interviews and content analysis tools to gather participant data. Semi-structured interviews will be conducted with the participants from Nike company to explore their lived experiences, perceptions, and challenges of the flat structure and its implication on their performance (</w:t>
      </w:r>
      <w:r>
        <w:rPr>
          <w:rFonts w:ascii="Times New Roman" w:eastAsia="Times New Roman" w:hAnsi="Times New Roman" w:cs="Times New Roman"/>
          <w:sz w:val="24"/>
          <w:szCs w:val="24"/>
          <w:highlight w:val="white"/>
        </w:rPr>
        <w:t>Thunberg and Arnell, 2022)</w:t>
      </w:r>
      <w:r>
        <w:rPr>
          <w:rFonts w:ascii="Times New Roman" w:eastAsia="Times New Roman" w:hAnsi="Times New Roman" w:cs="Times New Roman"/>
          <w:sz w:val="24"/>
          <w:szCs w:val="24"/>
        </w:rPr>
        <w:t xml:space="preserve">. Also, the content analysis method will be leveraged in that reports, internal documents, and memos linked to Nike's flat structure will be analysed to gain more insights into the company’s strategies and approach. The data acquired from the content analysis and interviews will eventually be transcribed and analysed using a thematic approach. Patterns and themes will be identified to respond to the research questions, allowing for an in-depth and comprehensive interpretation of data. </w:t>
      </w:r>
    </w:p>
    <w:p w14:paraId="593F8D19"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 will uphold ethical considerations throughout the research process. The researcher will secure informed consent from all the study participants before embarking on the journey to collect data, ensuring that they are </w:t>
      </w:r>
      <w:proofErr w:type="gramStart"/>
      <w:r>
        <w:rPr>
          <w:rFonts w:ascii="Times New Roman" w:eastAsia="Times New Roman" w:hAnsi="Times New Roman" w:cs="Times New Roman"/>
          <w:sz w:val="24"/>
          <w:szCs w:val="24"/>
        </w:rPr>
        <w:t>well aware</w:t>
      </w:r>
      <w:proofErr w:type="gramEnd"/>
      <w:r>
        <w:rPr>
          <w:rFonts w:ascii="Times New Roman" w:eastAsia="Times New Roman" w:hAnsi="Times New Roman" w:cs="Times New Roman"/>
          <w:sz w:val="24"/>
          <w:szCs w:val="24"/>
        </w:rPr>
        <w:t xml:space="preserve"> of the purpose of the study and their rights. Besides, confidentiality and anonymity will be maintained throughout the study to protect and safeguard the data and identities of the participants. The study will strictly adhere to the ethical guidelines provided by the university. </w:t>
      </w:r>
    </w:p>
    <w:p w14:paraId="7614DD88"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11" w:name="_3rdcrjn" w:colFirst="0" w:colLast="0"/>
      <w:bookmarkEnd w:id="11"/>
      <w:r>
        <w:rPr>
          <w:rFonts w:ascii="Times New Roman" w:eastAsia="Times New Roman" w:hAnsi="Times New Roman" w:cs="Times New Roman"/>
          <w:b/>
          <w:color w:val="000000"/>
          <w:sz w:val="24"/>
          <w:szCs w:val="24"/>
        </w:rPr>
        <w:lastRenderedPageBreak/>
        <w:t>Time Prospects of the Research (Gantt Chart)</w:t>
      </w:r>
    </w:p>
    <w:p w14:paraId="1983B3D4"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 will develop a Gantt chart that outlines the research timelines, including various stages of research development such as introduction, literature review, data collection, analysis, and report writing. Specific timeframes will be allocated for each task to ensure the study is completed within six to eight months. </w:t>
      </w:r>
    </w:p>
    <w:p w14:paraId="6C96846F"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12" w:name="_26in1rg" w:colFirst="0" w:colLast="0"/>
      <w:bookmarkEnd w:id="12"/>
      <w:r>
        <w:rPr>
          <w:rFonts w:ascii="Times New Roman" w:eastAsia="Times New Roman" w:hAnsi="Times New Roman" w:cs="Times New Roman"/>
          <w:b/>
          <w:color w:val="000000"/>
          <w:sz w:val="24"/>
          <w:szCs w:val="24"/>
        </w:rPr>
        <w:t>Conclusion</w:t>
      </w:r>
    </w:p>
    <w:p w14:paraId="65638DE8" w14:textId="77777777" w:rsidR="004D216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this research proposal aimed to examine the impact of a flat organisational structure on employee performance, using Nike as a case study. The focus of the study on the flat organisational structure is relevant and timely, given the increasing demand for this corporate model in today's business environment. Using a qualitative research approach, the study aims to comprehensively understand the challenges, benefits, and implications of a flat organisational structure on employee performance and job satisfaction at Nike. The study is divided into various aspects, with the literature review highlighting the significance, models, theories, and benefits of a flat structure, among others. This section emphasised the importance of innovation, employee engagement, and efficiency associated with this organisational structure. An interpretive research philosophy and an inductive and qualitative study approach were adopted. During the study, a single case study strategy will be used to dig deep into Nike's unique context, challenges, and practices in relation to the flat structure and the performance of employees. Data will be collected through interviews with purposive sampling adopted to select the study participants and content analysis of suitable and relevant documents. The researcher will also prioritise ethical considerations by securing informed consent from participants and upholding their rights and privacy. The research findings are likely to significantly contribute to a better </w:t>
      </w:r>
      <w:r>
        <w:rPr>
          <w:rFonts w:ascii="Times New Roman" w:eastAsia="Times New Roman" w:hAnsi="Times New Roman" w:cs="Times New Roman"/>
          <w:sz w:val="24"/>
          <w:szCs w:val="24"/>
        </w:rPr>
        <w:lastRenderedPageBreak/>
        <w:t xml:space="preserve">understanding of the flat organisational structures and how they affect the performance of employees in the organisation. By examining the perceptions and experiences of Nike employees, the research will focus on providing valuable insights for business organisations considering or those already executing a flat structure. The study will provide practical implications to promote and enhance organisational effectiveness, innovation, and employee engagement.  </w:t>
      </w:r>
    </w:p>
    <w:p w14:paraId="3747F997" w14:textId="77777777" w:rsidR="004D2167" w:rsidRDefault="004D2167">
      <w:pPr>
        <w:spacing w:line="480" w:lineRule="auto"/>
        <w:ind w:firstLine="720"/>
        <w:rPr>
          <w:rFonts w:ascii="Times New Roman" w:eastAsia="Times New Roman" w:hAnsi="Times New Roman" w:cs="Times New Roman"/>
          <w:sz w:val="24"/>
          <w:szCs w:val="24"/>
        </w:rPr>
      </w:pPr>
    </w:p>
    <w:p w14:paraId="5F3ED671" w14:textId="77777777" w:rsidR="004D2167" w:rsidRDefault="004D2167">
      <w:pPr>
        <w:spacing w:line="480" w:lineRule="auto"/>
        <w:ind w:firstLine="720"/>
        <w:rPr>
          <w:rFonts w:ascii="Times New Roman" w:eastAsia="Times New Roman" w:hAnsi="Times New Roman" w:cs="Times New Roman"/>
          <w:sz w:val="24"/>
          <w:szCs w:val="24"/>
        </w:rPr>
      </w:pPr>
    </w:p>
    <w:p w14:paraId="08B59CEC" w14:textId="77777777" w:rsidR="004D2167" w:rsidRDefault="004D2167">
      <w:pPr>
        <w:spacing w:line="480" w:lineRule="auto"/>
        <w:ind w:firstLine="720"/>
        <w:rPr>
          <w:rFonts w:ascii="Times New Roman" w:eastAsia="Times New Roman" w:hAnsi="Times New Roman" w:cs="Times New Roman"/>
          <w:sz w:val="24"/>
          <w:szCs w:val="24"/>
        </w:rPr>
      </w:pPr>
    </w:p>
    <w:p w14:paraId="3A51C47B" w14:textId="77777777" w:rsidR="004D2167" w:rsidRDefault="004D2167">
      <w:pPr>
        <w:spacing w:line="480" w:lineRule="auto"/>
        <w:ind w:firstLine="720"/>
        <w:rPr>
          <w:rFonts w:ascii="Times New Roman" w:eastAsia="Times New Roman" w:hAnsi="Times New Roman" w:cs="Times New Roman"/>
          <w:sz w:val="24"/>
          <w:szCs w:val="24"/>
        </w:rPr>
      </w:pPr>
    </w:p>
    <w:p w14:paraId="6DEB65BE" w14:textId="77777777" w:rsidR="004D2167" w:rsidRDefault="004D2167">
      <w:pPr>
        <w:spacing w:line="480" w:lineRule="auto"/>
        <w:ind w:firstLine="720"/>
        <w:rPr>
          <w:rFonts w:ascii="Times New Roman" w:eastAsia="Times New Roman" w:hAnsi="Times New Roman" w:cs="Times New Roman"/>
          <w:sz w:val="24"/>
          <w:szCs w:val="24"/>
        </w:rPr>
      </w:pPr>
    </w:p>
    <w:p w14:paraId="7AAB19AA" w14:textId="77777777" w:rsidR="004D2167" w:rsidRDefault="004D2167">
      <w:pPr>
        <w:spacing w:line="480" w:lineRule="auto"/>
        <w:ind w:firstLine="720"/>
        <w:rPr>
          <w:rFonts w:ascii="Times New Roman" w:eastAsia="Times New Roman" w:hAnsi="Times New Roman" w:cs="Times New Roman"/>
          <w:sz w:val="24"/>
          <w:szCs w:val="24"/>
        </w:rPr>
      </w:pPr>
    </w:p>
    <w:p w14:paraId="11048154" w14:textId="77777777" w:rsidR="004D2167" w:rsidRDefault="004D2167">
      <w:pPr>
        <w:spacing w:line="480" w:lineRule="auto"/>
        <w:ind w:firstLine="720"/>
        <w:rPr>
          <w:rFonts w:ascii="Times New Roman" w:eastAsia="Times New Roman" w:hAnsi="Times New Roman" w:cs="Times New Roman"/>
          <w:sz w:val="24"/>
          <w:szCs w:val="24"/>
        </w:rPr>
      </w:pPr>
    </w:p>
    <w:p w14:paraId="74E21CA6" w14:textId="77777777" w:rsidR="004D2167" w:rsidRDefault="004D2167">
      <w:pPr>
        <w:spacing w:line="480" w:lineRule="auto"/>
        <w:ind w:firstLine="720"/>
        <w:rPr>
          <w:rFonts w:ascii="Times New Roman" w:eastAsia="Times New Roman" w:hAnsi="Times New Roman" w:cs="Times New Roman"/>
          <w:sz w:val="24"/>
          <w:szCs w:val="24"/>
        </w:rPr>
      </w:pPr>
    </w:p>
    <w:p w14:paraId="217201CB" w14:textId="77777777" w:rsidR="004D2167" w:rsidRDefault="004D2167">
      <w:pPr>
        <w:spacing w:line="480" w:lineRule="auto"/>
        <w:ind w:firstLine="720"/>
        <w:rPr>
          <w:rFonts w:ascii="Times New Roman" w:eastAsia="Times New Roman" w:hAnsi="Times New Roman" w:cs="Times New Roman"/>
          <w:sz w:val="24"/>
          <w:szCs w:val="24"/>
        </w:rPr>
      </w:pPr>
    </w:p>
    <w:p w14:paraId="2DBB9B65" w14:textId="77777777" w:rsidR="004D2167" w:rsidRDefault="004D2167">
      <w:pPr>
        <w:spacing w:line="480" w:lineRule="auto"/>
        <w:ind w:firstLine="720"/>
        <w:rPr>
          <w:rFonts w:ascii="Times New Roman" w:eastAsia="Times New Roman" w:hAnsi="Times New Roman" w:cs="Times New Roman"/>
          <w:sz w:val="24"/>
          <w:szCs w:val="24"/>
        </w:rPr>
      </w:pPr>
    </w:p>
    <w:p w14:paraId="11453295" w14:textId="77777777" w:rsidR="004D2167" w:rsidRDefault="004D2167">
      <w:pPr>
        <w:spacing w:line="480" w:lineRule="auto"/>
        <w:ind w:firstLine="720"/>
        <w:rPr>
          <w:rFonts w:ascii="Times New Roman" w:eastAsia="Times New Roman" w:hAnsi="Times New Roman" w:cs="Times New Roman"/>
          <w:sz w:val="24"/>
          <w:szCs w:val="24"/>
        </w:rPr>
      </w:pPr>
    </w:p>
    <w:p w14:paraId="26B23D25" w14:textId="77777777" w:rsidR="004D2167" w:rsidRDefault="004D2167">
      <w:pPr>
        <w:spacing w:line="480" w:lineRule="auto"/>
        <w:ind w:firstLine="720"/>
        <w:rPr>
          <w:rFonts w:ascii="Times New Roman" w:eastAsia="Times New Roman" w:hAnsi="Times New Roman" w:cs="Times New Roman"/>
          <w:sz w:val="24"/>
          <w:szCs w:val="24"/>
        </w:rPr>
      </w:pPr>
    </w:p>
    <w:p w14:paraId="1EE08511"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13" w:name="_lnxbz9" w:colFirst="0" w:colLast="0"/>
      <w:bookmarkEnd w:id="13"/>
      <w:r>
        <w:rPr>
          <w:rFonts w:ascii="Times New Roman" w:eastAsia="Times New Roman" w:hAnsi="Times New Roman" w:cs="Times New Roman"/>
          <w:b/>
          <w:color w:val="000000"/>
          <w:sz w:val="24"/>
          <w:szCs w:val="24"/>
        </w:rPr>
        <w:lastRenderedPageBreak/>
        <w:t>References</w:t>
      </w:r>
    </w:p>
    <w:p w14:paraId="265DA1BD" w14:textId="77777777" w:rsidR="004D2167" w:rsidRDefault="00000000">
      <w:pPr>
        <w:spacing w:line="480" w:lineRule="auto"/>
        <w:ind w:left="720" w:hanging="720"/>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Akhter, M., Siddique, M.N.E. and </w:t>
      </w:r>
      <w:proofErr w:type="spellStart"/>
      <w:r>
        <w:rPr>
          <w:rFonts w:ascii="Times New Roman" w:eastAsia="Times New Roman" w:hAnsi="Times New Roman" w:cs="Times New Roman"/>
          <w:b/>
          <w:color w:val="222222"/>
          <w:sz w:val="24"/>
          <w:szCs w:val="24"/>
          <w:highlight w:val="white"/>
        </w:rPr>
        <w:t>Alam</w:t>
      </w:r>
      <w:proofErr w:type="spellEnd"/>
      <w:r>
        <w:rPr>
          <w:rFonts w:ascii="Times New Roman" w:eastAsia="Times New Roman" w:hAnsi="Times New Roman" w:cs="Times New Roman"/>
          <w:b/>
          <w:color w:val="222222"/>
          <w:sz w:val="24"/>
          <w:szCs w:val="24"/>
          <w:highlight w:val="white"/>
        </w:rPr>
        <w:t>, A., 2013. HRM practices and its impact on employee performance: a study of the cement industry in Bangladesh. </w:t>
      </w:r>
      <w:r>
        <w:rPr>
          <w:rFonts w:ascii="Times New Roman" w:eastAsia="Times New Roman" w:hAnsi="Times New Roman" w:cs="Times New Roman"/>
          <w:b/>
          <w:i/>
          <w:color w:val="222222"/>
          <w:sz w:val="24"/>
          <w:szCs w:val="24"/>
          <w:highlight w:val="white"/>
        </w:rPr>
        <w:t>Global Disclosure of Economics and Business</w:t>
      </w:r>
      <w:r>
        <w:rPr>
          <w:rFonts w:ascii="Times New Roman" w:eastAsia="Times New Roman" w:hAnsi="Times New Roman" w:cs="Times New Roman"/>
          <w:b/>
          <w:color w:val="222222"/>
          <w:sz w:val="24"/>
          <w:szCs w:val="24"/>
          <w:highlight w:val="white"/>
        </w:rPr>
        <w:t>, </w:t>
      </w:r>
      <w:r>
        <w:rPr>
          <w:rFonts w:ascii="Times New Roman" w:eastAsia="Times New Roman" w:hAnsi="Times New Roman" w:cs="Times New Roman"/>
          <w:b/>
          <w:i/>
          <w:color w:val="222222"/>
          <w:sz w:val="24"/>
          <w:szCs w:val="24"/>
          <w:highlight w:val="white"/>
        </w:rPr>
        <w:t>2</w:t>
      </w:r>
      <w:r>
        <w:rPr>
          <w:rFonts w:ascii="Times New Roman" w:eastAsia="Times New Roman" w:hAnsi="Times New Roman" w:cs="Times New Roman"/>
          <w:b/>
          <w:color w:val="222222"/>
          <w:sz w:val="24"/>
          <w:szCs w:val="24"/>
          <w:highlight w:val="white"/>
        </w:rPr>
        <w:t>(2), p.125. (Added)</w:t>
      </w:r>
    </w:p>
    <w:p w14:paraId="71128ADA" w14:textId="77777777" w:rsidR="004D2167"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Andersson, T., </w:t>
      </w:r>
      <w:proofErr w:type="spellStart"/>
      <w:r>
        <w:rPr>
          <w:rFonts w:ascii="Times New Roman" w:eastAsia="Times New Roman" w:hAnsi="Times New Roman" w:cs="Times New Roman"/>
          <w:sz w:val="24"/>
          <w:szCs w:val="24"/>
          <w:highlight w:val="white"/>
        </w:rPr>
        <w:t>Cäker</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Tengblad</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Wickelgren</w:t>
      </w:r>
      <w:proofErr w:type="spellEnd"/>
      <w:r>
        <w:rPr>
          <w:rFonts w:ascii="Times New Roman" w:eastAsia="Times New Roman" w:hAnsi="Times New Roman" w:cs="Times New Roman"/>
          <w:sz w:val="24"/>
          <w:szCs w:val="24"/>
          <w:highlight w:val="white"/>
        </w:rPr>
        <w:t>, M., 2019. Building traits for organisational resilience through balancing organisational structures. </w:t>
      </w:r>
      <w:r>
        <w:rPr>
          <w:rFonts w:ascii="Times New Roman" w:eastAsia="Times New Roman" w:hAnsi="Times New Roman" w:cs="Times New Roman"/>
          <w:i/>
          <w:sz w:val="24"/>
          <w:szCs w:val="24"/>
          <w:highlight w:val="white"/>
        </w:rPr>
        <w:t>Scandinavian Journal of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(1), pp.36-45.</w:t>
      </w:r>
    </w:p>
    <w:p w14:paraId="6F65BA10" w14:textId="77777777" w:rsidR="004D2167"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Ballaro</w:t>
      </w:r>
      <w:proofErr w:type="spellEnd"/>
      <w:r>
        <w:rPr>
          <w:rFonts w:ascii="Times New Roman" w:eastAsia="Times New Roman" w:hAnsi="Times New Roman" w:cs="Times New Roman"/>
          <w:sz w:val="24"/>
          <w:szCs w:val="24"/>
          <w:highlight w:val="white"/>
        </w:rPr>
        <w:t xml:space="preserve">, J.M., </w:t>
      </w:r>
      <w:proofErr w:type="spellStart"/>
      <w:r>
        <w:rPr>
          <w:rFonts w:ascii="Times New Roman" w:eastAsia="Times New Roman" w:hAnsi="Times New Roman" w:cs="Times New Roman"/>
          <w:sz w:val="24"/>
          <w:szCs w:val="24"/>
          <w:highlight w:val="white"/>
        </w:rPr>
        <w:t>Mazzi</w:t>
      </w:r>
      <w:proofErr w:type="spellEnd"/>
      <w:r>
        <w:rPr>
          <w:rFonts w:ascii="Times New Roman" w:eastAsia="Times New Roman" w:hAnsi="Times New Roman" w:cs="Times New Roman"/>
          <w:sz w:val="24"/>
          <w:szCs w:val="24"/>
          <w:highlight w:val="white"/>
        </w:rPr>
        <w:t>, M.A. and Holland, K., 2020. Organization development through effective communication, implementation, and change process. </w:t>
      </w:r>
      <w:r>
        <w:rPr>
          <w:rFonts w:ascii="Times New Roman" w:eastAsia="Times New Roman" w:hAnsi="Times New Roman" w:cs="Times New Roman"/>
          <w:i/>
          <w:sz w:val="24"/>
          <w:szCs w:val="24"/>
          <w:highlight w:val="white"/>
        </w:rPr>
        <w:t>Organization Development Journal</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38</w:t>
      </w:r>
      <w:r>
        <w:rPr>
          <w:rFonts w:ascii="Times New Roman" w:eastAsia="Times New Roman" w:hAnsi="Times New Roman" w:cs="Times New Roman"/>
          <w:sz w:val="24"/>
          <w:szCs w:val="24"/>
          <w:highlight w:val="white"/>
        </w:rPr>
        <w:t>(1).</w:t>
      </w:r>
    </w:p>
    <w:p w14:paraId="2C9FF52B" w14:textId="77777777" w:rsidR="004D2167"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Campbell, S., Greenwood, M., Prior, S., Shearer, T., </w:t>
      </w:r>
      <w:proofErr w:type="spellStart"/>
      <w:r>
        <w:rPr>
          <w:rFonts w:ascii="Times New Roman" w:eastAsia="Times New Roman" w:hAnsi="Times New Roman" w:cs="Times New Roman"/>
          <w:sz w:val="24"/>
          <w:szCs w:val="24"/>
          <w:highlight w:val="white"/>
        </w:rPr>
        <w:t>Walkem</w:t>
      </w:r>
      <w:proofErr w:type="spellEnd"/>
      <w:r>
        <w:rPr>
          <w:rFonts w:ascii="Times New Roman" w:eastAsia="Times New Roman" w:hAnsi="Times New Roman" w:cs="Times New Roman"/>
          <w:sz w:val="24"/>
          <w:szCs w:val="24"/>
          <w:highlight w:val="white"/>
        </w:rPr>
        <w:t xml:space="preserve">, K., Young, S., </w:t>
      </w:r>
      <w:proofErr w:type="spellStart"/>
      <w:r>
        <w:rPr>
          <w:rFonts w:ascii="Times New Roman" w:eastAsia="Times New Roman" w:hAnsi="Times New Roman" w:cs="Times New Roman"/>
          <w:sz w:val="24"/>
          <w:szCs w:val="24"/>
          <w:highlight w:val="white"/>
        </w:rPr>
        <w:t>Bywaters</w:t>
      </w:r>
      <w:proofErr w:type="spellEnd"/>
      <w:r>
        <w:rPr>
          <w:rFonts w:ascii="Times New Roman" w:eastAsia="Times New Roman" w:hAnsi="Times New Roman" w:cs="Times New Roman"/>
          <w:sz w:val="24"/>
          <w:szCs w:val="24"/>
          <w:highlight w:val="white"/>
        </w:rPr>
        <w:t>, D. and Walker, K., 2020. Purposive sampling: complex or simple? Research case examples. </w:t>
      </w:r>
      <w:r>
        <w:rPr>
          <w:rFonts w:ascii="Times New Roman" w:eastAsia="Times New Roman" w:hAnsi="Times New Roman" w:cs="Times New Roman"/>
          <w:i/>
          <w:sz w:val="24"/>
          <w:szCs w:val="24"/>
          <w:highlight w:val="white"/>
        </w:rPr>
        <w:t>Journal of research in Nursing</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(8), pp.652-661.</w:t>
      </w:r>
    </w:p>
    <w:p w14:paraId="0F8D481E" w14:textId="77777777" w:rsidR="004D2167"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Cantelmi</w:t>
      </w:r>
      <w:proofErr w:type="spellEnd"/>
      <w:r>
        <w:rPr>
          <w:rFonts w:ascii="Times New Roman" w:eastAsia="Times New Roman" w:hAnsi="Times New Roman" w:cs="Times New Roman"/>
          <w:sz w:val="24"/>
          <w:szCs w:val="24"/>
          <w:highlight w:val="white"/>
        </w:rPr>
        <w:t xml:space="preserve">, R., Di </w:t>
      </w:r>
      <w:proofErr w:type="spellStart"/>
      <w:r>
        <w:rPr>
          <w:rFonts w:ascii="Times New Roman" w:eastAsia="Times New Roman" w:hAnsi="Times New Roman" w:cs="Times New Roman"/>
          <w:sz w:val="24"/>
          <w:szCs w:val="24"/>
          <w:highlight w:val="white"/>
        </w:rPr>
        <w:t>Gravio</w:t>
      </w:r>
      <w:proofErr w:type="spellEnd"/>
      <w:r>
        <w:rPr>
          <w:rFonts w:ascii="Times New Roman" w:eastAsia="Times New Roman" w:hAnsi="Times New Roman" w:cs="Times New Roman"/>
          <w:sz w:val="24"/>
          <w:szCs w:val="24"/>
          <w:highlight w:val="white"/>
        </w:rPr>
        <w:t xml:space="preserve">, G. and </w:t>
      </w:r>
      <w:proofErr w:type="spellStart"/>
      <w:r>
        <w:rPr>
          <w:rFonts w:ascii="Times New Roman" w:eastAsia="Times New Roman" w:hAnsi="Times New Roman" w:cs="Times New Roman"/>
          <w:sz w:val="24"/>
          <w:szCs w:val="24"/>
          <w:highlight w:val="white"/>
        </w:rPr>
        <w:t>Patriarca</w:t>
      </w:r>
      <w:proofErr w:type="spellEnd"/>
      <w:r>
        <w:rPr>
          <w:rFonts w:ascii="Times New Roman" w:eastAsia="Times New Roman" w:hAnsi="Times New Roman" w:cs="Times New Roman"/>
          <w:sz w:val="24"/>
          <w:szCs w:val="24"/>
          <w:highlight w:val="white"/>
        </w:rPr>
        <w:t>, R., 2021. Reviewing qualitative research approaches in the context of critical infrastructure resilience. </w:t>
      </w:r>
      <w:r>
        <w:rPr>
          <w:rFonts w:ascii="Times New Roman" w:eastAsia="Times New Roman" w:hAnsi="Times New Roman" w:cs="Times New Roman"/>
          <w:i/>
          <w:sz w:val="24"/>
          <w:szCs w:val="24"/>
          <w:highlight w:val="white"/>
        </w:rPr>
        <w:t>Environment Systems and Decisions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41</w:t>
      </w:r>
      <w:r>
        <w:rPr>
          <w:rFonts w:ascii="Times New Roman" w:eastAsia="Times New Roman" w:hAnsi="Times New Roman" w:cs="Times New Roman"/>
          <w:sz w:val="24"/>
          <w:szCs w:val="24"/>
          <w:highlight w:val="white"/>
        </w:rPr>
        <w:t>(3), pp.341-376.</w:t>
      </w:r>
    </w:p>
    <w:p w14:paraId="3A14640A" w14:textId="77777777" w:rsidR="004D2167"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Chaudhary, N., Onyango, I., Wang, </w:t>
      </w:r>
      <w:proofErr w:type="gramStart"/>
      <w:r>
        <w:rPr>
          <w:rFonts w:ascii="Times New Roman" w:eastAsia="Times New Roman" w:hAnsi="Times New Roman" w:cs="Times New Roman"/>
          <w:sz w:val="24"/>
          <w:szCs w:val="24"/>
          <w:highlight w:val="white"/>
        </w:rPr>
        <w:t>Y.</w:t>
      </w:r>
      <w:proofErr w:type="gramEnd"/>
      <w:r>
        <w:rPr>
          <w:rFonts w:ascii="Times New Roman" w:eastAsia="Times New Roman" w:hAnsi="Times New Roman" w:cs="Times New Roman"/>
          <w:sz w:val="24"/>
          <w:szCs w:val="24"/>
          <w:highlight w:val="white"/>
        </w:rPr>
        <w:t xml:space="preserve"> and McEwen, J.S., 2023. Determining Catalytically Relevant Surfaces through Coverage-Dependent Lattice Gas Models: Carbon Adsorption on Fe (100). </w:t>
      </w:r>
      <w:r>
        <w:rPr>
          <w:rFonts w:ascii="Times New Roman" w:eastAsia="Times New Roman" w:hAnsi="Times New Roman" w:cs="Times New Roman"/>
          <w:i/>
          <w:sz w:val="24"/>
          <w:szCs w:val="24"/>
          <w:highlight w:val="white"/>
        </w:rPr>
        <w:t>The Journal of Physical Chemistry C</w:t>
      </w:r>
      <w:r>
        <w:rPr>
          <w:rFonts w:ascii="Times New Roman" w:eastAsia="Times New Roman" w:hAnsi="Times New Roman" w:cs="Times New Roman"/>
          <w:sz w:val="24"/>
          <w:szCs w:val="24"/>
          <w:highlight w:val="white"/>
        </w:rPr>
        <w:t>.</w:t>
      </w:r>
    </w:p>
    <w:p w14:paraId="3B4EB5DD" w14:textId="77777777" w:rsidR="004D2167" w:rsidRDefault="00000000">
      <w:pPr>
        <w:spacing w:line="480" w:lineRule="auto"/>
        <w:ind w:left="720" w:hanging="720"/>
        <w:rPr>
          <w:rFonts w:ascii="Times New Roman" w:eastAsia="Times New Roman" w:hAnsi="Times New Roman" w:cs="Times New Roman"/>
          <w:b/>
          <w:sz w:val="24"/>
          <w:szCs w:val="24"/>
          <w:highlight w:val="white"/>
        </w:rPr>
      </w:pPr>
      <w:proofErr w:type="spellStart"/>
      <w:r>
        <w:rPr>
          <w:rFonts w:ascii="Times New Roman" w:eastAsia="Times New Roman" w:hAnsi="Times New Roman" w:cs="Times New Roman"/>
          <w:b/>
          <w:color w:val="222222"/>
          <w:sz w:val="24"/>
          <w:szCs w:val="24"/>
          <w:highlight w:val="white"/>
        </w:rPr>
        <w:lastRenderedPageBreak/>
        <w:t>Dalkrani</w:t>
      </w:r>
      <w:proofErr w:type="spellEnd"/>
      <w:r>
        <w:rPr>
          <w:rFonts w:ascii="Times New Roman" w:eastAsia="Times New Roman" w:hAnsi="Times New Roman" w:cs="Times New Roman"/>
          <w:b/>
          <w:color w:val="222222"/>
          <w:sz w:val="24"/>
          <w:szCs w:val="24"/>
          <w:highlight w:val="white"/>
        </w:rPr>
        <w:t xml:space="preserve">, M. and </w:t>
      </w:r>
      <w:proofErr w:type="spellStart"/>
      <w:r>
        <w:rPr>
          <w:rFonts w:ascii="Times New Roman" w:eastAsia="Times New Roman" w:hAnsi="Times New Roman" w:cs="Times New Roman"/>
          <w:b/>
          <w:color w:val="222222"/>
          <w:sz w:val="24"/>
          <w:szCs w:val="24"/>
          <w:highlight w:val="white"/>
        </w:rPr>
        <w:t>Dimitriadis</w:t>
      </w:r>
      <w:proofErr w:type="spellEnd"/>
      <w:r>
        <w:rPr>
          <w:rFonts w:ascii="Times New Roman" w:eastAsia="Times New Roman" w:hAnsi="Times New Roman" w:cs="Times New Roman"/>
          <w:b/>
          <w:color w:val="222222"/>
          <w:sz w:val="24"/>
          <w:szCs w:val="24"/>
          <w:highlight w:val="white"/>
        </w:rPr>
        <w:t>, E., 2018. The effect of job satisfaction on employee commitment. </w:t>
      </w:r>
      <w:r>
        <w:rPr>
          <w:rFonts w:ascii="Times New Roman" w:eastAsia="Times New Roman" w:hAnsi="Times New Roman" w:cs="Times New Roman"/>
          <w:b/>
          <w:i/>
          <w:color w:val="222222"/>
          <w:sz w:val="24"/>
          <w:szCs w:val="24"/>
          <w:highlight w:val="white"/>
        </w:rPr>
        <w:t>International Journal of Business and Economic Sciences Applied Research</w:t>
      </w:r>
      <w:r>
        <w:rPr>
          <w:rFonts w:ascii="Times New Roman" w:eastAsia="Times New Roman" w:hAnsi="Times New Roman" w:cs="Times New Roman"/>
          <w:b/>
          <w:color w:val="222222"/>
          <w:sz w:val="24"/>
          <w:szCs w:val="24"/>
          <w:highlight w:val="white"/>
        </w:rPr>
        <w:t>, </w:t>
      </w:r>
      <w:r>
        <w:rPr>
          <w:rFonts w:ascii="Times New Roman" w:eastAsia="Times New Roman" w:hAnsi="Times New Roman" w:cs="Times New Roman"/>
          <w:b/>
          <w:i/>
          <w:color w:val="222222"/>
          <w:sz w:val="24"/>
          <w:szCs w:val="24"/>
          <w:highlight w:val="white"/>
        </w:rPr>
        <w:t>11</w:t>
      </w:r>
      <w:r>
        <w:rPr>
          <w:rFonts w:ascii="Times New Roman" w:eastAsia="Times New Roman" w:hAnsi="Times New Roman" w:cs="Times New Roman"/>
          <w:b/>
          <w:color w:val="222222"/>
          <w:sz w:val="24"/>
          <w:szCs w:val="24"/>
          <w:highlight w:val="white"/>
        </w:rPr>
        <w:t>(3). (Added).</w:t>
      </w:r>
    </w:p>
    <w:p w14:paraId="55A3BE25" w14:textId="77777777" w:rsidR="004D2167"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Frechette, J., </w:t>
      </w:r>
      <w:proofErr w:type="spellStart"/>
      <w:r>
        <w:rPr>
          <w:rFonts w:ascii="Times New Roman" w:eastAsia="Times New Roman" w:hAnsi="Times New Roman" w:cs="Times New Roman"/>
          <w:sz w:val="24"/>
          <w:szCs w:val="24"/>
          <w:highlight w:val="white"/>
        </w:rPr>
        <w:t>Bitsas</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Aubry</w:t>
      </w:r>
      <w:proofErr w:type="spellEnd"/>
      <w:r>
        <w:rPr>
          <w:rFonts w:ascii="Times New Roman" w:eastAsia="Times New Roman" w:hAnsi="Times New Roman" w:cs="Times New Roman"/>
          <w:sz w:val="24"/>
          <w:szCs w:val="24"/>
          <w:highlight w:val="white"/>
        </w:rPr>
        <w:t>, M., Kilpatrick, K. and Lavoie-Tremblay, M., 2020. Capturing lived experience: Methodological considerations for interpretive phenomenological inquiry. </w:t>
      </w:r>
      <w:r>
        <w:rPr>
          <w:rFonts w:ascii="Times New Roman" w:eastAsia="Times New Roman" w:hAnsi="Times New Roman" w:cs="Times New Roman"/>
          <w:i/>
          <w:sz w:val="24"/>
          <w:szCs w:val="24"/>
          <w:highlight w:val="white"/>
        </w:rPr>
        <w:t>International Journal of Qualitative Methods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 p.1609406920907254.</w:t>
      </w:r>
    </w:p>
    <w:p w14:paraId="05C269A3" w14:textId="77777777" w:rsidR="004D2167" w:rsidRDefault="00000000">
      <w:pPr>
        <w:spacing w:line="48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Harsch</w:t>
      </w:r>
      <w:proofErr w:type="spellEnd"/>
      <w:r>
        <w:rPr>
          <w:rFonts w:ascii="Times New Roman" w:eastAsia="Times New Roman" w:hAnsi="Times New Roman" w:cs="Times New Roman"/>
          <w:sz w:val="24"/>
          <w:szCs w:val="24"/>
          <w:highlight w:val="white"/>
        </w:rPr>
        <w:t xml:space="preserve">, K. and </w:t>
      </w:r>
      <w:proofErr w:type="spellStart"/>
      <w:r>
        <w:rPr>
          <w:rFonts w:ascii="Times New Roman" w:eastAsia="Times New Roman" w:hAnsi="Times New Roman" w:cs="Times New Roman"/>
          <w:sz w:val="24"/>
          <w:szCs w:val="24"/>
          <w:highlight w:val="white"/>
        </w:rPr>
        <w:t>Festing</w:t>
      </w:r>
      <w:proofErr w:type="spellEnd"/>
      <w:r>
        <w:rPr>
          <w:rFonts w:ascii="Times New Roman" w:eastAsia="Times New Roman" w:hAnsi="Times New Roman" w:cs="Times New Roman"/>
          <w:sz w:val="24"/>
          <w:szCs w:val="24"/>
          <w:highlight w:val="white"/>
        </w:rPr>
        <w:t>, M., 2020. Dynamic talent management capabilities and organisational agility—A qualitative exploration. </w:t>
      </w:r>
      <w:r>
        <w:rPr>
          <w:rFonts w:ascii="Times New Roman" w:eastAsia="Times New Roman" w:hAnsi="Times New Roman" w:cs="Times New Roman"/>
          <w:i/>
          <w:sz w:val="24"/>
          <w:szCs w:val="24"/>
          <w:highlight w:val="white"/>
        </w:rPr>
        <w:t>Human Resource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(1), pp.43-61.</w:t>
      </w:r>
    </w:p>
    <w:p w14:paraId="0E5B3DAD" w14:textId="77777777" w:rsidR="004D2167"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Joseph, J. and Gaba, V., 2020. Organisational structure, information processing, and decision-making: A retrospective and road map for research. </w:t>
      </w:r>
      <w:r>
        <w:rPr>
          <w:rFonts w:ascii="Times New Roman" w:eastAsia="Times New Roman" w:hAnsi="Times New Roman" w:cs="Times New Roman"/>
          <w:i/>
          <w:sz w:val="24"/>
          <w:szCs w:val="24"/>
          <w:highlight w:val="white"/>
        </w:rPr>
        <w:t>Academy of Management Annals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(1), pp.267-302.</w:t>
      </w:r>
    </w:p>
    <w:p w14:paraId="5D59D6CF" w14:textId="77777777" w:rsidR="004D2167" w:rsidRDefault="00000000">
      <w:pPr>
        <w:spacing w:line="480" w:lineRule="auto"/>
        <w:ind w:left="720" w:hanging="720"/>
        <w:rPr>
          <w:rFonts w:ascii="Times New Roman" w:eastAsia="Times New Roman" w:hAnsi="Times New Roman" w:cs="Times New Roman"/>
          <w:b/>
          <w:sz w:val="24"/>
          <w:szCs w:val="24"/>
          <w:highlight w:val="white"/>
        </w:rPr>
      </w:pPr>
      <w:proofErr w:type="spellStart"/>
      <w:r>
        <w:rPr>
          <w:rFonts w:ascii="Times New Roman" w:eastAsia="Times New Roman" w:hAnsi="Times New Roman" w:cs="Times New Roman"/>
          <w:b/>
          <w:color w:val="222222"/>
          <w:sz w:val="24"/>
          <w:szCs w:val="24"/>
          <w:highlight w:val="white"/>
        </w:rPr>
        <w:t>Mawoli</w:t>
      </w:r>
      <w:proofErr w:type="spellEnd"/>
      <w:r>
        <w:rPr>
          <w:rFonts w:ascii="Times New Roman" w:eastAsia="Times New Roman" w:hAnsi="Times New Roman" w:cs="Times New Roman"/>
          <w:b/>
          <w:color w:val="222222"/>
          <w:sz w:val="24"/>
          <w:szCs w:val="24"/>
          <w:highlight w:val="white"/>
        </w:rPr>
        <w:t>, M. and Haruna, M., 2013. Effect of leadership styles on employees’ job performance: Evidence from Federal Medical Centre in Niger State. </w:t>
      </w:r>
      <w:proofErr w:type="spellStart"/>
      <w:r>
        <w:rPr>
          <w:rFonts w:ascii="Times New Roman" w:eastAsia="Times New Roman" w:hAnsi="Times New Roman" w:cs="Times New Roman"/>
          <w:b/>
          <w:i/>
          <w:color w:val="222222"/>
          <w:sz w:val="24"/>
          <w:szCs w:val="24"/>
          <w:highlight w:val="white"/>
        </w:rPr>
        <w:t>Mawoli</w:t>
      </w:r>
      <w:proofErr w:type="spellEnd"/>
      <w:r>
        <w:rPr>
          <w:rFonts w:ascii="Times New Roman" w:eastAsia="Times New Roman" w:hAnsi="Times New Roman" w:cs="Times New Roman"/>
          <w:b/>
          <w:i/>
          <w:color w:val="222222"/>
          <w:sz w:val="24"/>
          <w:szCs w:val="24"/>
          <w:highlight w:val="white"/>
        </w:rPr>
        <w:t xml:space="preserve">, MA, Mohammed, TH, and </w:t>
      </w:r>
      <w:proofErr w:type="spellStart"/>
      <w:r>
        <w:rPr>
          <w:rFonts w:ascii="Times New Roman" w:eastAsia="Times New Roman" w:hAnsi="Times New Roman" w:cs="Times New Roman"/>
          <w:b/>
          <w:i/>
          <w:color w:val="222222"/>
          <w:sz w:val="24"/>
          <w:szCs w:val="24"/>
          <w:highlight w:val="white"/>
        </w:rPr>
        <w:t>Sarkin-Daji</w:t>
      </w:r>
      <w:proofErr w:type="spellEnd"/>
      <w:r>
        <w:rPr>
          <w:rFonts w:ascii="Times New Roman" w:eastAsia="Times New Roman" w:hAnsi="Times New Roman" w:cs="Times New Roman"/>
          <w:b/>
          <w:i/>
          <w:color w:val="222222"/>
          <w:sz w:val="24"/>
          <w:szCs w:val="24"/>
          <w:highlight w:val="white"/>
        </w:rPr>
        <w:t xml:space="preserve">, BD (2013). Leadership Styles, Job Performance, Public Health Institutions, Federal Medical Centre, Private Health Institutions, </w:t>
      </w:r>
      <w:proofErr w:type="spellStart"/>
      <w:r>
        <w:rPr>
          <w:rFonts w:ascii="Times New Roman" w:eastAsia="Times New Roman" w:hAnsi="Times New Roman" w:cs="Times New Roman"/>
          <w:b/>
          <w:i/>
          <w:color w:val="222222"/>
          <w:sz w:val="24"/>
          <w:szCs w:val="24"/>
          <w:highlight w:val="white"/>
        </w:rPr>
        <w:t>Lapai</w:t>
      </w:r>
      <w:proofErr w:type="spellEnd"/>
      <w:r>
        <w:rPr>
          <w:rFonts w:ascii="Times New Roman" w:eastAsia="Times New Roman" w:hAnsi="Times New Roman" w:cs="Times New Roman"/>
          <w:b/>
          <w:i/>
          <w:color w:val="222222"/>
          <w:sz w:val="24"/>
          <w:szCs w:val="24"/>
          <w:highlight w:val="white"/>
        </w:rPr>
        <w:t xml:space="preserve"> Journal of Management Science</w:t>
      </w:r>
      <w:r>
        <w:rPr>
          <w:rFonts w:ascii="Times New Roman" w:eastAsia="Times New Roman" w:hAnsi="Times New Roman" w:cs="Times New Roman"/>
          <w:b/>
          <w:color w:val="222222"/>
          <w:sz w:val="24"/>
          <w:szCs w:val="24"/>
          <w:highlight w:val="white"/>
        </w:rPr>
        <w:t>, </w:t>
      </w:r>
      <w:r>
        <w:rPr>
          <w:rFonts w:ascii="Times New Roman" w:eastAsia="Times New Roman" w:hAnsi="Times New Roman" w:cs="Times New Roman"/>
          <w:b/>
          <w:i/>
          <w:color w:val="222222"/>
          <w:sz w:val="24"/>
          <w:szCs w:val="24"/>
          <w:highlight w:val="white"/>
        </w:rPr>
        <w:t>4</w:t>
      </w:r>
      <w:r>
        <w:rPr>
          <w:rFonts w:ascii="Times New Roman" w:eastAsia="Times New Roman" w:hAnsi="Times New Roman" w:cs="Times New Roman"/>
          <w:b/>
          <w:color w:val="222222"/>
          <w:sz w:val="24"/>
          <w:szCs w:val="24"/>
          <w:highlight w:val="white"/>
        </w:rPr>
        <w:t>(1), p.2838. (added)</w:t>
      </w:r>
    </w:p>
    <w:p w14:paraId="5A92AF8B" w14:textId="77777777" w:rsidR="004D2167"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Palepu, S., Nitsch, A., Narayan, M., Kim, S. and Osier, N., 2020, July. A flat organisational structure for an inclusive, interdisciplinary, international, and undergraduate-led team. In </w:t>
      </w:r>
      <w:r>
        <w:rPr>
          <w:rFonts w:ascii="Times New Roman" w:eastAsia="Times New Roman" w:hAnsi="Times New Roman" w:cs="Times New Roman"/>
          <w:i/>
          <w:sz w:val="24"/>
          <w:szCs w:val="24"/>
          <w:highlight w:val="white"/>
        </w:rPr>
        <w:t>Frontiers in Education</w:t>
      </w:r>
      <w:r>
        <w:rPr>
          <w:rFonts w:ascii="Times New Roman" w:eastAsia="Times New Roman" w:hAnsi="Times New Roman" w:cs="Times New Roman"/>
          <w:sz w:val="24"/>
          <w:szCs w:val="24"/>
          <w:highlight w:val="white"/>
        </w:rPr>
        <w:t> (Vol. 5, p. 102). Frontiers Media SA.</w:t>
      </w:r>
    </w:p>
    <w:p w14:paraId="48655A5C" w14:textId="77777777" w:rsidR="004D2167"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Shrestha, Y.R., Ben-Menahem, S.M. and Von Krogh, G., 2019. Organisational decision-making structures in the age of artificial intelligence. </w:t>
      </w:r>
      <w:r>
        <w:rPr>
          <w:rFonts w:ascii="Times New Roman" w:eastAsia="Times New Roman" w:hAnsi="Times New Roman" w:cs="Times New Roman"/>
          <w:i/>
          <w:sz w:val="24"/>
          <w:szCs w:val="24"/>
          <w:highlight w:val="white"/>
        </w:rPr>
        <w:t>California management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(4), pp.66-83.</w:t>
      </w:r>
    </w:p>
    <w:p w14:paraId="734866B7" w14:textId="77777777" w:rsidR="004D2167" w:rsidRDefault="00000000">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Thunberg, S. and Arnell, L., 2022. Pioneering the use of technologies in qualitative research–A research review of the use of digital interviews. </w:t>
      </w:r>
      <w:r>
        <w:rPr>
          <w:rFonts w:ascii="Times New Roman" w:eastAsia="Times New Roman" w:hAnsi="Times New Roman" w:cs="Times New Roman"/>
          <w:i/>
          <w:sz w:val="24"/>
          <w:szCs w:val="24"/>
          <w:highlight w:val="white"/>
        </w:rPr>
        <w:t>International Journal of Social Research Methodology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(6), pp.757-768.</w:t>
      </w:r>
    </w:p>
    <w:p w14:paraId="3B997EE1" w14:textId="77777777" w:rsidR="004D2167" w:rsidRDefault="00000000">
      <w:pPr>
        <w:spacing w:line="480" w:lineRule="auto"/>
        <w:ind w:left="720" w:hanging="720"/>
        <w:rPr>
          <w:rFonts w:ascii="Times New Roman" w:eastAsia="Times New Roman" w:hAnsi="Times New Roman" w:cs="Times New Roman"/>
          <w:b/>
          <w:sz w:val="24"/>
          <w:szCs w:val="24"/>
          <w:highlight w:val="white"/>
        </w:rPr>
      </w:pPr>
      <w:r>
        <w:rPr>
          <w:rFonts w:ascii="Times New Roman" w:eastAsia="Times New Roman" w:hAnsi="Times New Roman" w:cs="Times New Roman"/>
          <w:b/>
          <w:color w:val="222222"/>
          <w:sz w:val="24"/>
          <w:szCs w:val="24"/>
          <w:highlight w:val="white"/>
        </w:rPr>
        <w:t>Visser, W. and Courtice, P., 2011. Sustainability leadership: Linking theory and practice. </w:t>
      </w:r>
      <w:r>
        <w:rPr>
          <w:rFonts w:ascii="Times New Roman" w:eastAsia="Times New Roman" w:hAnsi="Times New Roman" w:cs="Times New Roman"/>
          <w:b/>
          <w:i/>
          <w:color w:val="222222"/>
          <w:sz w:val="24"/>
          <w:szCs w:val="24"/>
          <w:highlight w:val="white"/>
        </w:rPr>
        <w:t>Available at SSRN 1947221</w:t>
      </w:r>
      <w:r>
        <w:rPr>
          <w:rFonts w:ascii="Times New Roman" w:eastAsia="Times New Roman" w:hAnsi="Times New Roman" w:cs="Times New Roman"/>
          <w:b/>
          <w:color w:val="222222"/>
          <w:sz w:val="24"/>
          <w:szCs w:val="24"/>
          <w:highlight w:val="white"/>
        </w:rPr>
        <w:t>. (added)</w:t>
      </w:r>
    </w:p>
    <w:p w14:paraId="0AA55615" w14:textId="77777777" w:rsidR="004D2167" w:rsidRDefault="00000000">
      <w:pPr>
        <w:spacing w:line="480" w:lineRule="auto"/>
        <w:ind w:left="720" w:hanging="720"/>
        <w:rPr>
          <w:rFonts w:ascii="Times New Roman" w:eastAsia="Times New Roman" w:hAnsi="Times New Roman" w:cs="Times New Roman"/>
          <w:b/>
          <w:sz w:val="24"/>
          <w:szCs w:val="24"/>
          <w:highlight w:val="white"/>
        </w:rPr>
      </w:pPr>
      <w:r>
        <w:rPr>
          <w:rFonts w:ascii="Times New Roman" w:eastAsia="Times New Roman" w:hAnsi="Times New Roman" w:cs="Times New Roman"/>
          <w:b/>
          <w:color w:val="222222"/>
          <w:sz w:val="24"/>
          <w:szCs w:val="24"/>
          <w:highlight w:val="white"/>
        </w:rPr>
        <w:t xml:space="preserve">Williams, E.M., 2016. Sustainability Leadership Linking Theory and </w:t>
      </w:r>
      <w:proofErr w:type="gramStart"/>
      <w:r>
        <w:rPr>
          <w:rFonts w:ascii="Times New Roman" w:eastAsia="Times New Roman" w:hAnsi="Times New Roman" w:cs="Times New Roman"/>
          <w:b/>
          <w:color w:val="222222"/>
          <w:sz w:val="24"/>
          <w:szCs w:val="24"/>
          <w:highlight w:val="white"/>
        </w:rPr>
        <w:t>Practice.(</w:t>
      </w:r>
      <w:proofErr w:type="gramEnd"/>
      <w:r>
        <w:rPr>
          <w:rFonts w:ascii="Times New Roman" w:eastAsia="Times New Roman" w:hAnsi="Times New Roman" w:cs="Times New Roman"/>
          <w:b/>
          <w:color w:val="222222"/>
          <w:sz w:val="24"/>
          <w:szCs w:val="24"/>
          <w:highlight w:val="white"/>
        </w:rPr>
        <w:t>added)</w:t>
      </w:r>
    </w:p>
    <w:p w14:paraId="03E41D07" w14:textId="77777777" w:rsidR="004D2167" w:rsidRDefault="004D2167">
      <w:pPr>
        <w:spacing w:line="480" w:lineRule="auto"/>
        <w:rPr>
          <w:rFonts w:ascii="Times New Roman" w:eastAsia="Times New Roman" w:hAnsi="Times New Roman" w:cs="Times New Roman"/>
          <w:sz w:val="24"/>
          <w:szCs w:val="24"/>
        </w:rPr>
      </w:pPr>
    </w:p>
    <w:p w14:paraId="613A4E43" w14:textId="77777777" w:rsidR="004D2167" w:rsidRDefault="00000000">
      <w:pPr>
        <w:spacing w:line="480" w:lineRule="auto"/>
        <w:rPr>
          <w:rFonts w:ascii="Times New Roman" w:eastAsia="Times New Roman" w:hAnsi="Times New Roman" w:cs="Times New Roman"/>
          <w:b/>
          <w:sz w:val="24"/>
          <w:szCs w:val="24"/>
        </w:rPr>
      </w:pPr>
      <w:r>
        <w:br w:type="page"/>
      </w:r>
    </w:p>
    <w:p w14:paraId="14D94D70" w14:textId="77777777" w:rsidR="004D2167" w:rsidRDefault="00000000">
      <w:pPr>
        <w:pStyle w:val="Heading1"/>
        <w:spacing w:line="480" w:lineRule="auto"/>
        <w:jc w:val="center"/>
        <w:rPr>
          <w:rFonts w:ascii="Times New Roman" w:eastAsia="Times New Roman" w:hAnsi="Times New Roman" w:cs="Times New Roman"/>
          <w:b/>
          <w:color w:val="000000"/>
          <w:sz w:val="24"/>
          <w:szCs w:val="24"/>
        </w:rPr>
      </w:pPr>
      <w:bookmarkStart w:id="14" w:name="_35nkun2" w:colFirst="0" w:colLast="0"/>
      <w:bookmarkEnd w:id="14"/>
      <w:r>
        <w:rPr>
          <w:rFonts w:ascii="Times New Roman" w:eastAsia="Times New Roman" w:hAnsi="Times New Roman" w:cs="Times New Roman"/>
          <w:b/>
          <w:color w:val="000000"/>
          <w:sz w:val="24"/>
          <w:szCs w:val="24"/>
        </w:rPr>
        <w:lastRenderedPageBreak/>
        <w:t>Appendix</w:t>
      </w:r>
    </w:p>
    <w:p w14:paraId="6F7C8725" w14:textId="77777777" w:rsidR="004D216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Appendix 1: Gantt </w:t>
      </w:r>
      <w:r>
        <w:rPr>
          <w:rFonts w:ascii="Times New Roman" w:eastAsia="Times New Roman" w:hAnsi="Times New Roman" w:cs="Times New Roman"/>
          <w:i/>
          <w:sz w:val="24"/>
          <w:szCs w:val="24"/>
        </w:rPr>
        <w:t xml:space="preserve">Chart of Proposed Research Project Activities </w:t>
      </w:r>
    </w:p>
    <w:tbl>
      <w:tblPr>
        <w:tblStyle w:val="a"/>
        <w:tblW w:w="9014" w:type="dxa"/>
        <w:jc w:val="righ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0"/>
        <w:gridCol w:w="2403"/>
        <w:gridCol w:w="612"/>
        <w:gridCol w:w="706"/>
        <w:gridCol w:w="626"/>
        <w:gridCol w:w="581"/>
        <w:gridCol w:w="625"/>
        <w:gridCol w:w="593"/>
        <w:gridCol w:w="581"/>
        <w:gridCol w:w="597"/>
        <w:gridCol w:w="679"/>
        <w:gridCol w:w="581"/>
      </w:tblGrid>
      <w:tr w:rsidR="004D2167" w14:paraId="7B354AB1"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17597EE5"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2403" w:type="dxa"/>
            <w:tcBorders>
              <w:top w:val="single" w:sz="4" w:space="0" w:color="000000"/>
              <w:left w:val="single" w:sz="4" w:space="0" w:color="000000"/>
              <w:bottom w:val="single" w:sz="4" w:space="0" w:color="000000"/>
              <w:right w:val="single" w:sz="4" w:space="0" w:color="000000"/>
            </w:tcBorders>
          </w:tcPr>
          <w:p w14:paraId="5F65D29C"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12" w:type="dxa"/>
            <w:tcBorders>
              <w:top w:val="single" w:sz="4" w:space="0" w:color="000000"/>
              <w:left w:val="single" w:sz="4" w:space="0" w:color="000000"/>
              <w:bottom w:val="single" w:sz="4" w:space="0" w:color="000000"/>
              <w:right w:val="single" w:sz="4" w:space="0" w:color="000000"/>
            </w:tcBorders>
          </w:tcPr>
          <w:p w14:paraId="604D8615"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 xml:space="preserve">July </w:t>
            </w:r>
          </w:p>
        </w:tc>
        <w:tc>
          <w:tcPr>
            <w:tcW w:w="706" w:type="dxa"/>
            <w:tcBorders>
              <w:top w:val="single" w:sz="4" w:space="0" w:color="000000"/>
              <w:left w:val="single" w:sz="4" w:space="0" w:color="000000"/>
              <w:bottom w:val="single" w:sz="4" w:space="0" w:color="000000"/>
              <w:right w:val="single" w:sz="4" w:space="0" w:color="000000"/>
            </w:tcBorders>
          </w:tcPr>
          <w:p w14:paraId="191DC48C"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 xml:space="preserve">August </w:t>
            </w:r>
          </w:p>
        </w:tc>
        <w:tc>
          <w:tcPr>
            <w:tcW w:w="626" w:type="dxa"/>
            <w:tcBorders>
              <w:top w:val="single" w:sz="4" w:space="0" w:color="000000"/>
              <w:left w:val="single" w:sz="4" w:space="0" w:color="000000"/>
              <w:bottom w:val="single" w:sz="4" w:space="0" w:color="000000"/>
              <w:right w:val="single" w:sz="4" w:space="0" w:color="000000"/>
            </w:tcBorders>
          </w:tcPr>
          <w:p w14:paraId="2609FE6F"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Sept</w:t>
            </w:r>
          </w:p>
        </w:tc>
        <w:tc>
          <w:tcPr>
            <w:tcW w:w="581" w:type="dxa"/>
            <w:tcBorders>
              <w:top w:val="single" w:sz="4" w:space="0" w:color="000000"/>
              <w:left w:val="single" w:sz="4" w:space="0" w:color="000000"/>
              <w:bottom w:val="single" w:sz="4" w:space="0" w:color="000000"/>
              <w:right w:val="single" w:sz="4" w:space="0" w:color="000000"/>
            </w:tcBorders>
          </w:tcPr>
          <w:p w14:paraId="6872BE6A"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Oct</w:t>
            </w:r>
          </w:p>
        </w:tc>
        <w:tc>
          <w:tcPr>
            <w:tcW w:w="625" w:type="dxa"/>
            <w:tcBorders>
              <w:top w:val="single" w:sz="4" w:space="0" w:color="000000"/>
              <w:left w:val="single" w:sz="4" w:space="0" w:color="000000"/>
              <w:bottom w:val="single" w:sz="4" w:space="0" w:color="000000"/>
              <w:right w:val="single" w:sz="4" w:space="0" w:color="000000"/>
            </w:tcBorders>
          </w:tcPr>
          <w:p w14:paraId="14FFDD66"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Nov</w:t>
            </w:r>
          </w:p>
        </w:tc>
        <w:tc>
          <w:tcPr>
            <w:tcW w:w="593" w:type="dxa"/>
            <w:tcBorders>
              <w:top w:val="single" w:sz="4" w:space="0" w:color="000000"/>
              <w:left w:val="single" w:sz="4" w:space="0" w:color="000000"/>
              <w:bottom w:val="single" w:sz="4" w:space="0" w:color="000000"/>
              <w:right w:val="single" w:sz="4" w:space="0" w:color="000000"/>
            </w:tcBorders>
          </w:tcPr>
          <w:p w14:paraId="36DD5351"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Dec</w:t>
            </w:r>
          </w:p>
        </w:tc>
        <w:tc>
          <w:tcPr>
            <w:tcW w:w="581" w:type="dxa"/>
            <w:tcBorders>
              <w:top w:val="single" w:sz="4" w:space="0" w:color="000000"/>
              <w:left w:val="single" w:sz="4" w:space="0" w:color="000000"/>
              <w:bottom w:val="single" w:sz="4" w:space="0" w:color="000000"/>
              <w:right w:val="single" w:sz="4" w:space="0" w:color="000000"/>
            </w:tcBorders>
          </w:tcPr>
          <w:p w14:paraId="63D22C48"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Jan</w:t>
            </w:r>
          </w:p>
        </w:tc>
        <w:tc>
          <w:tcPr>
            <w:tcW w:w="597" w:type="dxa"/>
            <w:tcBorders>
              <w:top w:val="single" w:sz="4" w:space="0" w:color="000000"/>
              <w:left w:val="single" w:sz="4" w:space="0" w:color="000000"/>
              <w:bottom w:val="single" w:sz="4" w:space="0" w:color="000000"/>
              <w:right w:val="single" w:sz="4" w:space="0" w:color="000000"/>
            </w:tcBorders>
          </w:tcPr>
          <w:p w14:paraId="10F9A88A"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Feb</w:t>
            </w:r>
          </w:p>
        </w:tc>
        <w:tc>
          <w:tcPr>
            <w:tcW w:w="679" w:type="dxa"/>
            <w:tcBorders>
              <w:top w:val="single" w:sz="4" w:space="0" w:color="000000"/>
              <w:left w:val="single" w:sz="4" w:space="0" w:color="000000"/>
              <w:bottom w:val="single" w:sz="4" w:space="0" w:color="000000"/>
              <w:right w:val="single" w:sz="4" w:space="0" w:color="000000"/>
            </w:tcBorders>
          </w:tcPr>
          <w:p w14:paraId="54C37C91"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March</w:t>
            </w:r>
          </w:p>
        </w:tc>
        <w:tc>
          <w:tcPr>
            <w:tcW w:w="581" w:type="dxa"/>
            <w:tcBorders>
              <w:top w:val="single" w:sz="4" w:space="0" w:color="000000"/>
              <w:left w:val="single" w:sz="4" w:space="0" w:color="000000"/>
              <w:bottom w:val="single" w:sz="4" w:space="0" w:color="000000"/>
              <w:right w:val="single" w:sz="4" w:space="0" w:color="000000"/>
            </w:tcBorders>
          </w:tcPr>
          <w:p w14:paraId="6A8E969F"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April</w:t>
            </w:r>
          </w:p>
        </w:tc>
      </w:tr>
      <w:tr w:rsidR="004D2167" w14:paraId="22BC25E0"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467F6EF2"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A</w:t>
            </w:r>
          </w:p>
        </w:tc>
        <w:tc>
          <w:tcPr>
            <w:tcW w:w="2403" w:type="dxa"/>
            <w:tcBorders>
              <w:top w:val="single" w:sz="4" w:space="0" w:color="000000"/>
              <w:left w:val="single" w:sz="4" w:space="0" w:color="000000"/>
              <w:bottom w:val="single" w:sz="4" w:space="0" w:color="000000"/>
              <w:right w:val="single" w:sz="4" w:space="0" w:color="000000"/>
            </w:tcBorders>
          </w:tcPr>
          <w:p w14:paraId="21D0237D"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Research Proposal Development</w:t>
            </w:r>
          </w:p>
        </w:tc>
        <w:tc>
          <w:tcPr>
            <w:tcW w:w="612" w:type="dxa"/>
            <w:tcBorders>
              <w:top w:val="single" w:sz="4" w:space="0" w:color="000000"/>
              <w:left w:val="single" w:sz="4" w:space="0" w:color="000000"/>
              <w:bottom w:val="single" w:sz="4" w:space="0" w:color="000000"/>
              <w:right w:val="single" w:sz="4" w:space="0" w:color="000000"/>
            </w:tcBorders>
            <w:shd w:val="clear" w:color="auto" w:fill="FF0000"/>
          </w:tcPr>
          <w:p w14:paraId="48EE49A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shd w:val="clear" w:color="auto" w:fill="FF0000"/>
          </w:tcPr>
          <w:p w14:paraId="788B6972"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shd w:val="clear" w:color="auto" w:fill="FF0000"/>
          </w:tcPr>
          <w:p w14:paraId="175930F4"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53B7C1C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4B90DD0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0F7C668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3276351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7BDF8A5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49CB4DC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17729B4A"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6B93227E"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2705BA80"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1</w:t>
            </w:r>
          </w:p>
        </w:tc>
        <w:tc>
          <w:tcPr>
            <w:tcW w:w="2403" w:type="dxa"/>
            <w:tcBorders>
              <w:top w:val="single" w:sz="4" w:space="0" w:color="000000"/>
              <w:left w:val="single" w:sz="4" w:space="0" w:color="000000"/>
              <w:bottom w:val="single" w:sz="4" w:space="0" w:color="000000"/>
              <w:right w:val="single" w:sz="4" w:space="0" w:color="000000"/>
            </w:tcBorders>
          </w:tcPr>
          <w:p w14:paraId="21D075DA"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Identifying Research topic</w:t>
            </w:r>
          </w:p>
        </w:tc>
        <w:tc>
          <w:tcPr>
            <w:tcW w:w="612" w:type="dxa"/>
            <w:tcBorders>
              <w:top w:val="single" w:sz="4" w:space="0" w:color="000000"/>
              <w:left w:val="single" w:sz="4" w:space="0" w:color="000000"/>
              <w:bottom w:val="single" w:sz="4" w:space="0" w:color="000000"/>
              <w:right w:val="single" w:sz="4" w:space="0" w:color="000000"/>
            </w:tcBorders>
            <w:shd w:val="clear" w:color="auto" w:fill="FF0000"/>
          </w:tcPr>
          <w:p w14:paraId="5545EC42"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7685856D"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7B5CA48C"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C219C1A"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206E540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439B894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0EE741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16E83D2C"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667F77E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327DE97"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4F8B1264"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069F1B3C"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2</w:t>
            </w:r>
          </w:p>
        </w:tc>
        <w:tc>
          <w:tcPr>
            <w:tcW w:w="2403" w:type="dxa"/>
            <w:tcBorders>
              <w:top w:val="single" w:sz="4" w:space="0" w:color="000000"/>
              <w:left w:val="single" w:sz="4" w:space="0" w:color="000000"/>
              <w:bottom w:val="single" w:sz="4" w:space="0" w:color="000000"/>
              <w:right w:val="single" w:sz="4" w:space="0" w:color="000000"/>
            </w:tcBorders>
          </w:tcPr>
          <w:p w14:paraId="20E49003"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Carrying out a Literature review</w:t>
            </w:r>
          </w:p>
        </w:tc>
        <w:tc>
          <w:tcPr>
            <w:tcW w:w="612" w:type="dxa"/>
            <w:tcBorders>
              <w:top w:val="single" w:sz="4" w:space="0" w:color="000000"/>
              <w:left w:val="single" w:sz="4" w:space="0" w:color="000000"/>
              <w:bottom w:val="single" w:sz="4" w:space="0" w:color="000000"/>
              <w:right w:val="single" w:sz="4" w:space="0" w:color="000000"/>
            </w:tcBorders>
            <w:shd w:val="clear" w:color="auto" w:fill="FF0000"/>
          </w:tcPr>
          <w:p w14:paraId="7B7573F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shd w:val="clear" w:color="auto" w:fill="FF0000"/>
          </w:tcPr>
          <w:p w14:paraId="63EDCED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352637A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1630BD35"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66D76A0D"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710C5FB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2C0FE5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40EB44F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1CC1E2B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55238AA7"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5E016E03"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254D6B7C"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3</w:t>
            </w:r>
          </w:p>
        </w:tc>
        <w:tc>
          <w:tcPr>
            <w:tcW w:w="2403" w:type="dxa"/>
            <w:tcBorders>
              <w:top w:val="single" w:sz="4" w:space="0" w:color="000000"/>
              <w:left w:val="single" w:sz="4" w:space="0" w:color="000000"/>
              <w:bottom w:val="single" w:sz="4" w:space="0" w:color="000000"/>
              <w:right w:val="single" w:sz="4" w:space="0" w:color="000000"/>
            </w:tcBorders>
          </w:tcPr>
          <w:p w14:paraId="26212FC4"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 xml:space="preserve">Writing out: Introduction, Literature review, Objectives, Problem statement, Justification, </w:t>
            </w:r>
          </w:p>
        </w:tc>
        <w:tc>
          <w:tcPr>
            <w:tcW w:w="612" w:type="dxa"/>
            <w:tcBorders>
              <w:top w:val="single" w:sz="4" w:space="0" w:color="000000"/>
              <w:left w:val="single" w:sz="4" w:space="0" w:color="000000"/>
              <w:bottom w:val="single" w:sz="4" w:space="0" w:color="000000"/>
              <w:right w:val="single" w:sz="4" w:space="0" w:color="000000"/>
            </w:tcBorders>
          </w:tcPr>
          <w:p w14:paraId="6232432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shd w:val="clear" w:color="auto" w:fill="FF0000"/>
          </w:tcPr>
          <w:p w14:paraId="3D46030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41F0278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352907B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0218B3C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08B5555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F9712F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51BE8474"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14EC29BA"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3097CB1"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110B71DF"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77E64F84"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4</w:t>
            </w:r>
          </w:p>
        </w:tc>
        <w:tc>
          <w:tcPr>
            <w:tcW w:w="2403" w:type="dxa"/>
            <w:tcBorders>
              <w:top w:val="single" w:sz="4" w:space="0" w:color="000000"/>
              <w:left w:val="single" w:sz="4" w:space="0" w:color="000000"/>
              <w:bottom w:val="single" w:sz="4" w:space="0" w:color="000000"/>
              <w:right w:val="single" w:sz="4" w:space="0" w:color="000000"/>
            </w:tcBorders>
          </w:tcPr>
          <w:p w14:paraId="59856068"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Developing Methodology section, reviewing References &amp; Data collection tools</w:t>
            </w:r>
          </w:p>
        </w:tc>
        <w:tc>
          <w:tcPr>
            <w:tcW w:w="612" w:type="dxa"/>
            <w:tcBorders>
              <w:top w:val="single" w:sz="4" w:space="0" w:color="000000"/>
              <w:left w:val="single" w:sz="4" w:space="0" w:color="000000"/>
              <w:bottom w:val="single" w:sz="4" w:space="0" w:color="000000"/>
              <w:right w:val="single" w:sz="4" w:space="0" w:color="000000"/>
            </w:tcBorders>
          </w:tcPr>
          <w:p w14:paraId="6CD04D5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0E351C5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shd w:val="clear" w:color="auto" w:fill="FF0000"/>
          </w:tcPr>
          <w:p w14:paraId="268C0AF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58E9B9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2AF50B7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15C4980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32087A24"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0A4282C2"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349F117D"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556EA70D"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35DCEF2C"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7F1C2ACF"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5</w:t>
            </w:r>
          </w:p>
        </w:tc>
        <w:tc>
          <w:tcPr>
            <w:tcW w:w="2403" w:type="dxa"/>
            <w:tcBorders>
              <w:top w:val="single" w:sz="4" w:space="0" w:color="000000"/>
              <w:left w:val="single" w:sz="4" w:space="0" w:color="000000"/>
              <w:bottom w:val="single" w:sz="4" w:space="0" w:color="000000"/>
              <w:right w:val="single" w:sz="4" w:space="0" w:color="000000"/>
            </w:tcBorders>
          </w:tcPr>
          <w:p w14:paraId="76A34D3E"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Submission for Ethics review: Submission forms, Anti-plagiarism check, bookbinding</w:t>
            </w:r>
          </w:p>
        </w:tc>
        <w:tc>
          <w:tcPr>
            <w:tcW w:w="612" w:type="dxa"/>
            <w:tcBorders>
              <w:top w:val="single" w:sz="4" w:space="0" w:color="000000"/>
              <w:left w:val="single" w:sz="4" w:space="0" w:color="000000"/>
              <w:bottom w:val="single" w:sz="4" w:space="0" w:color="000000"/>
              <w:right w:val="single" w:sz="4" w:space="0" w:color="000000"/>
            </w:tcBorders>
          </w:tcPr>
          <w:p w14:paraId="71D7421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6A0ECB2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5494D24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6C53438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5152A78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6AF1A7E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53C33C28"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03E7B25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6AB04A2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0818AE21"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4B8F623C"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77D033E3"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B</w:t>
            </w:r>
          </w:p>
        </w:tc>
        <w:tc>
          <w:tcPr>
            <w:tcW w:w="2403" w:type="dxa"/>
            <w:tcBorders>
              <w:top w:val="single" w:sz="4" w:space="0" w:color="000000"/>
              <w:left w:val="single" w:sz="4" w:space="0" w:color="000000"/>
              <w:bottom w:val="single" w:sz="4" w:space="0" w:color="000000"/>
              <w:right w:val="single" w:sz="4" w:space="0" w:color="000000"/>
            </w:tcBorders>
          </w:tcPr>
          <w:p w14:paraId="0963818E"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Data collection, Analysis, Report writing</w:t>
            </w:r>
          </w:p>
        </w:tc>
        <w:tc>
          <w:tcPr>
            <w:tcW w:w="612" w:type="dxa"/>
            <w:tcBorders>
              <w:top w:val="single" w:sz="4" w:space="0" w:color="000000"/>
              <w:left w:val="single" w:sz="4" w:space="0" w:color="000000"/>
              <w:bottom w:val="single" w:sz="4" w:space="0" w:color="000000"/>
              <w:right w:val="single" w:sz="4" w:space="0" w:color="000000"/>
            </w:tcBorders>
          </w:tcPr>
          <w:p w14:paraId="496DE24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178D9DE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2EEF429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BD98F7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shd w:val="clear" w:color="auto" w:fill="FF0000"/>
          </w:tcPr>
          <w:p w14:paraId="54628DF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63EC471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7A7036D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0000"/>
          </w:tcPr>
          <w:p w14:paraId="3DF3B44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0000"/>
          </w:tcPr>
          <w:p w14:paraId="49573AF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327EF525"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6D55F1F8"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56B870D0"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6</w:t>
            </w:r>
          </w:p>
        </w:tc>
        <w:tc>
          <w:tcPr>
            <w:tcW w:w="2403" w:type="dxa"/>
            <w:tcBorders>
              <w:top w:val="single" w:sz="4" w:space="0" w:color="000000"/>
              <w:left w:val="single" w:sz="4" w:space="0" w:color="000000"/>
              <w:bottom w:val="single" w:sz="4" w:space="0" w:color="000000"/>
              <w:right w:val="single" w:sz="4" w:space="0" w:color="000000"/>
            </w:tcBorders>
          </w:tcPr>
          <w:p w14:paraId="7CCCAD4E"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Training on Data management software – SPSS, Dummy tables preparation</w:t>
            </w:r>
          </w:p>
        </w:tc>
        <w:tc>
          <w:tcPr>
            <w:tcW w:w="612" w:type="dxa"/>
            <w:tcBorders>
              <w:top w:val="single" w:sz="4" w:space="0" w:color="000000"/>
              <w:left w:val="single" w:sz="4" w:space="0" w:color="000000"/>
              <w:bottom w:val="single" w:sz="4" w:space="0" w:color="000000"/>
              <w:right w:val="single" w:sz="4" w:space="0" w:color="000000"/>
            </w:tcBorders>
          </w:tcPr>
          <w:p w14:paraId="5321900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49A0598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279868B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1CF5FCF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shd w:val="clear" w:color="auto" w:fill="FF0000"/>
          </w:tcPr>
          <w:p w14:paraId="23F54F7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14F65EA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4A98E42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FFFF"/>
          </w:tcPr>
          <w:p w14:paraId="6675D00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50BACCA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948EA6C"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2F9F6A5A"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1530B4E7"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lastRenderedPageBreak/>
              <w:t>7</w:t>
            </w:r>
          </w:p>
        </w:tc>
        <w:tc>
          <w:tcPr>
            <w:tcW w:w="2403" w:type="dxa"/>
            <w:tcBorders>
              <w:top w:val="single" w:sz="4" w:space="0" w:color="000000"/>
              <w:left w:val="single" w:sz="4" w:space="0" w:color="000000"/>
              <w:bottom w:val="single" w:sz="4" w:space="0" w:color="000000"/>
              <w:right w:val="single" w:sz="4" w:space="0" w:color="000000"/>
            </w:tcBorders>
          </w:tcPr>
          <w:p w14:paraId="0898B480"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 xml:space="preserve">Reviewing/ preparing data collection </w:t>
            </w:r>
          </w:p>
        </w:tc>
        <w:tc>
          <w:tcPr>
            <w:tcW w:w="612" w:type="dxa"/>
            <w:tcBorders>
              <w:top w:val="single" w:sz="4" w:space="0" w:color="000000"/>
              <w:left w:val="single" w:sz="4" w:space="0" w:color="000000"/>
              <w:bottom w:val="single" w:sz="4" w:space="0" w:color="000000"/>
              <w:right w:val="single" w:sz="4" w:space="0" w:color="000000"/>
            </w:tcBorders>
          </w:tcPr>
          <w:p w14:paraId="655136EA"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77B4937C"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658AEC2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1D91F0BB"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shd w:val="clear" w:color="auto" w:fill="FF0000"/>
          </w:tcPr>
          <w:p w14:paraId="02CCECA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FFFF"/>
          </w:tcPr>
          <w:p w14:paraId="0A9ECD42"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FFFF"/>
          </w:tcPr>
          <w:p w14:paraId="09351E9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FFFF"/>
          </w:tcPr>
          <w:p w14:paraId="55E4625D"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359E659A"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18AC9366"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286EFFE7"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11BFBE50"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8</w:t>
            </w:r>
          </w:p>
        </w:tc>
        <w:tc>
          <w:tcPr>
            <w:tcW w:w="2403" w:type="dxa"/>
            <w:tcBorders>
              <w:top w:val="single" w:sz="4" w:space="0" w:color="000000"/>
              <w:left w:val="single" w:sz="4" w:space="0" w:color="000000"/>
              <w:bottom w:val="single" w:sz="4" w:space="0" w:color="000000"/>
              <w:right w:val="single" w:sz="4" w:space="0" w:color="000000"/>
            </w:tcBorders>
          </w:tcPr>
          <w:p w14:paraId="03F4BEB6"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Data collection</w:t>
            </w:r>
          </w:p>
        </w:tc>
        <w:tc>
          <w:tcPr>
            <w:tcW w:w="612" w:type="dxa"/>
            <w:tcBorders>
              <w:top w:val="single" w:sz="4" w:space="0" w:color="000000"/>
              <w:left w:val="single" w:sz="4" w:space="0" w:color="000000"/>
              <w:bottom w:val="single" w:sz="4" w:space="0" w:color="000000"/>
              <w:right w:val="single" w:sz="4" w:space="0" w:color="000000"/>
            </w:tcBorders>
          </w:tcPr>
          <w:p w14:paraId="5F44EFB5"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72ACD74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6BCCC265"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294A8EA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2C4FA78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06DA165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7797176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FFFF"/>
          </w:tcPr>
          <w:p w14:paraId="7A6B00B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FFFF"/>
          </w:tcPr>
          <w:p w14:paraId="7608902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18F103E"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68C852C0"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455C118A"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9</w:t>
            </w:r>
          </w:p>
        </w:tc>
        <w:tc>
          <w:tcPr>
            <w:tcW w:w="2403" w:type="dxa"/>
            <w:tcBorders>
              <w:top w:val="single" w:sz="4" w:space="0" w:color="000000"/>
              <w:left w:val="single" w:sz="4" w:space="0" w:color="000000"/>
              <w:bottom w:val="single" w:sz="4" w:space="0" w:color="000000"/>
              <w:right w:val="single" w:sz="4" w:space="0" w:color="000000"/>
            </w:tcBorders>
          </w:tcPr>
          <w:p w14:paraId="7819C60D"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Data analysis</w:t>
            </w:r>
          </w:p>
        </w:tc>
        <w:tc>
          <w:tcPr>
            <w:tcW w:w="612" w:type="dxa"/>
            <w:tcBorders>
              <w:top w:val="single" w:sz="4" w:space="0" w:color="000000"/>
              <w:left w:val="single" w:sz="4" w:space="0" w:color="000000"/>
              <w:bottom w:val="single" w:sz="4" w:space="0" w:color="000000"/>
              <w:right w:val="single" w:sz="4" w:space="0" w:color="000000"/>
            </w:tcBorders>
          </w:tcPr>
          <w:p w14:paraId="0FCFE8A5"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361CC87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0942BAB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0010D1D"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2360F232"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shd w:val="clear" w:color="auto" w:fill="FF0000"/>
          </w:tcPr>
          <w:p w14:paraId="593827C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5A5ADF4C"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0000"/>
          </w:tcPr>
          <w:p w14:paraId="6B3556ED"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FFFF"/>
          </w:tcPr>
          <w:p w14:paraId="7854A6A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28A255D"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50378E08"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681B7427"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10</w:t>
            </w:r>
          </w:p>
        </w:tc>
        <w:tc>
          <w:tcPr>
            <w:tcW w:w="2403" w:type="dxa"/>
            <w:tcBorders>
              <w:top w:val="single" w:sz="4" w:space="0" w:color="000000"/>
              <w:left w:val="single" w:sz="4" w:space="0" w:color="000000"/>
              <w:bottom w:val="single" w:sz="4" w:space="0" w:color="000000"/>
              <w:right w:val="single" w:sz="4" w:space="0" w:color="000000"/>
            </w:tcBorders>
          </w:tcPr>
          <w:p w14:paraId="0043E54C"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Review of Literature &amp;</w:t>
            </w:r>
          </w:p>
          <w:p w14:paraId="47C04204" w14:textId="77777777" w:rsidR="004D2167" w:rsidRDefault="00000000">
            <w:pPr>
              <w:spacing w:after="0" w:line="480" w:lineRule="auto"/>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vertAlign w:val="subscript"/>
              </w:rPr>
              <w:t xml:space="preserve">Report </w:t>
            </w:r>
            <w:proofErr w:type="gramStart"/>
            <w:r>
              <w:rPr>
                <w:rFonts w:ascii="Times New Roman" w:eastAsia="Times New Roman" w:hAnsi="Times New Roman" w:cs="Times New Roman"/>
                <w:sz w:val="24"/>
                <w:szCs w:val="24"/>
                <w:vertAlign w:val="subscript"/>
              </w:rPr>
              <w:t>write</w:t>
            </w:r>
            <w:proofErr w:type="gramEnd"/>
            <w:r>
              <w:rPr>
                <w:rFonts w:ascii="Times New Roman" w:eastAsia="Times New Roman" w:hAnsi="Times New Roman" w:cs="Times New Roman"/>
                <w:sz w:val="24"/>
                <w:szCs w:val="24"/>
                <w:vertAlign w:val="subscript"/>
              </w:rPr>
              <w:t xml:space="preserve"> up</w:t>
            </w:r>
          </w:p>
        </w:tc>
        <w:tc>
          <w:tcPr>
            <w:tcW w:w="612" w:type="dxa"/>
            <w:tcBorders>
              <w:top w:val="single" w:sz="4" w:space="0" w:color="000000"/>
              <w:left w:val="single" w:sz="4" w:space="0" w:color="000000"/>
              <w:bottom w:val="single" w:sz="4" w:space="0" w:color="000000"/>
              <w:right w:val="single" w:sz="4" w:space="0" w:color="000000"/>
            </w:tcBorders>
          </w:tcPr>
          <w:p w14:paraId="35B17024"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7327F16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5E645AC6"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4AFB48DA"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2526B4C1"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58F1169F"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33FDA8A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shd w:val="clear" w:color="auto" w:fill="FF0000"/>
          </w:tcPr>
          <w:p w14:paraId="253CE9AA"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shd w:val="clear" w:color="auto" w:fill="FF0000"/>
          </w:tcPr>
          <w:p w14:paraId="2CDCD90E"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2F7FADB4" w14:textId="77777777" w:rsidR="004D2167" w:rsidRDefault="004D2167">
            <w:pPr>
              <w:spacing w:after="0" w:line="480" w:lineRule="auto"/>
              <w:rPr>
                <w:rFonts w:ascii="Times New Roman" w:eastAsia="Times New Roman" w:hAnsi="Times New Roman" w:cs="Times New Roman"/>
                <w:b/>
                <w:sz w:val="24"/>
                <w:szCs w:val="24"/>
                <w:vertAlign w:val="subscript"/>
              </w:rPr>
            </w:pPr>
          </w:p>
        </w:tc>
      </w:tr>
      <w:tr w:rsidR="004D2167" w14:paraId="5FC8873A" w14:textId="77777777">
        <w:trPr>
          <w:jc w:val="right"/>
        </w:trPr>
        <w:tc>
          <w:tcPr>
            <w:tcW w:w="430" w:type="dxa"/>
            <w:tcBorders>
              <w:top w:val="single" w:sz="4" w:space="0" w:color="000000"/>
              <w:left w:val="single" w:sz="4" w:space="0" w:color="000000"/>
              <w:bottom w:val="single" w:sz="4" w:space="0" w:color="000000"/>
              <w:right w:val="single" w:sz="4" w:space="0" w:color="000000"/>
            </w:tcBorders>
          </w:tcPr>
          <w:p w14:paraId="7E50B938"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C</w:t>
            </w:r>
          </w:p>
        </w:tc>
        <w:tc>
          <w:tcPr>
            <w:tcW w:w="2403" w:type="dxa"/>
            <w:tcBorders>
              <w:top w:val="single" w:sz="4" w:space="0" w:color="000000"/>
              <w:left w:val="single" w:sz="4" w:space="0" w:color="000000"/>
              <w:bottom w:val="single" w:sz="4" w:space="0" w:color="000000"/>
              <w:right w:val="single" w:sz="4" w:space="0" w:color="000000"/>
            </w:tcBorders>
          </w:tcPr>
          <w:p w14:paraId="79DEA442" w14:textId="77777777" w:rsidR="004D2167" w:rsidRDefault="00000000">
            <w:pPr>
              <w:spacing w:after="0" w:line="480" w:lineRule="auto"/>
              <w:rPr>
                <w:rFonts w:ascii="Times New Roman" w:eastAsia="Times New Roman" w:hAnsi="Times New Roman" w:cs="Times New Roman"/>
                <w:b/>
                <w:sz w:val="24"/>
                <w:szCs w:val="24"/>
                <w:vertAlign w:val="subscript"/>
              </w:rPr>
            </w:pPr>
            <w:r>
              <w:rPr>
                <w:rFonts w:ascii="Times New Roman" w:eastAsia="Times New Roman" w:hAnsi="Times New Roman" w:cs="Times New Roman"/>
                <w:b/>
                <w:sz w:val="24"/>
                <w:szCs w:val="24"/>
                <w:vertAlign w:val="subscript"/>
              </w:rPr>
              <w:t>Final submission of Research Project report</w:t>
            </w:r>
          </w:p>
        </w:tc>
        <w:tc>
          <w:tcPr>
            <w:tcW w:w="612" w:type="dxa"/>
            <w:tcBorders>
              <w:top w:val="single" w:sz="4" w:space="0" w:color="000000"/>
              <w:left w:val="single" w:sz="4" w:space="0" w:color="000000"/>
              <w:bottom w:val="single" w:sz="4" w:space="0" w:color="000000"/>
              <w:right w:val="single" w:sz="4" w:space="0" w:color="000000"/>
            </w:tcBorders>
          </w:tcPr>
          <w:p w14:paraId="6D506F0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706" w:type="dxa"/>
            <w:tcBorders>
              <w:top w:val="single" w:sz="4" w:space="0" w:color="000000"/>
              <w:left w:val="single" w:sz="4" w:space="0" w:color="000000"/>
              <w:bottom w:val="single" w:sz="4" w:space="0" w:color="000000"/>
              <w:right w:val="single" w:sz="4" w:space="0" w:color="000000"/>
            </w:tcBorders>
          </w:tcPr>
          <w:p w14:paraId="41C09E3C"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6" w:type="dxa"/>
            <w:tcBorders>
              <w:top w:val="single" w:sz="4" w:space="0" w:color="000000"/>
              <w:left w:val="single" w:sz="4" w:space="0" w:color="000000"/>
              <w:bottom w:val="single" w:sz="4" w:space="0" w:color="000000"/>
              <w:right w:val="single" w:sz="4" w:space="0" w:color="000000"/>
            </w:tcBorders>
          </w:tcPr>
          <w:p w14:paraId="15834847"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68789585"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25" w:type="dxa"/>
            <w:tcBorders>
              <w:top w:val="single" w:sz="4" w:space="0" w:color="000000"/>
              <w:left w:val="single" w:sz="4" w:space="0" w:color="000000"/>
              <w:bottom w:val="single" w:sz="4" w:space="0" w:color="000000"/>
              <w:right w:val="single" w:sz="4" w:space="0" w:color="000000"/>
            </w:tcBorders>
          </w:tcPr>
          <w:p w14:paraId="750D0553"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3" w:type="dxa"/>
            <w:tcBorders>
              <w:top w:val="single" w:sz="4" w:space="0" w:color="000000"/>
              <w:left w:val="single" w:sz="4" w:space="0" w:color="000000"/>
              <w:bottom w:val="single" w:sz="4" w:space="0" w:color="000000"/>
              <w:right w:val="single" w:sz="4" w:space="0" w:color="000000"/>
            </w:tcBorders>
          </w:tcPr>
          <w:p w14:paraId="0F924494"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tcPr>
          <w:p w14:paraId="795DAC2B"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97" w:type="dxa"/>
            <w:tcBorders>
              <w:top w:val="single" w:sz="4" w:space="0" w:color="000000"/>
              <w:left w:val="single" w:sz="4" w:space="0" w:color="000000"/>
              <w:bottom w:val="single" w:sz="4" w:space="0" w:color="000000"/>
              <w:right w:val="single" w:sz="4" w:space="0" w:color="000000"/>
            </w:tcBorders>
          </w:tcPr>
          <w:p w14:paraId="19A2D5A0"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679" w:type="dxa"/>
            <w:tcBorders>
              <w:top w:val="single" w:sz="4" w:space="0" w:color="000000"/>
              <w:left w:val="single" w:sz="4" w:space="0" w:color="000000"/>
              <w:bottom w:val="single" w:sz="4" w:space="0" w:color="000000"/>
              <w:right w:val="single" w:sz="4" w:space="0" w:color="000000"/>
            </w:tcBorders>
          </w:tcPr>
          <w:p w14:paraId="16EA1319" w14:textId="77777777" w:rsidR="004D2167" w:rsidRDefault="004D2167">
            <w:pPr>
              <w:spacing w:after="0" w:line="480" w:lineRule="auto"/>
              <w:rPr>
                <w:rFonts w:ascii="Times New Roman" w:eastAsia="Times New Roman" w:hAnsi="Times New Roman" w:cs="Times New Roman"/>
                <w:b/>
                <w:sz w:val="24"/>
                <w:szCs w:val="24"/>
                <w:vertAlign w:val="subscript"/>
              </w:rPr>
            </w:pPr>
          </w:p>
        </w:tc>
        <w:tc>
          <w:tcPr>
            <w:tcW w:w="581" w:type="dxa"/>
            <w:tcBorders>
              <w:top w:val="single" w:sz="4" w:space="0" w:color="000000"/>
              <w:left w:val="single" w:sz="4" w:space="0" w:color="000000"/>
              <w:bottom w:val="single" w:sz="4" w:space="0" w:color="000000"/>
              <w:right w:val="single" w:sz="4" w:space="0" w:color="000000"/>
            </w:tcBorders>
            <w:shd w:val="clear" w:color="auto" w:fill="FF0000"/>
          </w:tcPr>
          <w:p w14:paraId="2CEB73DC" w14:textId="77777777" w:rsidR="004D2167" w:rsidRDefault="004D2167">
            <w:pPr>
              <w:spacing w:after="0" w:line="480" w:lineRule="auto"/>
              <w:rPr>
                <w:rFonts w:ascii="Times New Roman" w:eastAsia="Times New Roman" w:hAnsi="Times New Roman" w:cs="Times New Roman"/>
                <w:b/>
                <w:sz w:val="24"/>
                <w:szCs w:val="24"/>
                <w:vertAlign w:val="subscript"/>
              </w:rPr>
            </w:pPr>
          </w:p>
        </w:tc>
      </w:tr>
    </w:tbl>
    <w:p w14:paraId="2AF8A0C7" w14:textId="77777777" w:rsidR="004D2167" w:rsidRDefault="004D2167">
      <w:pPr>
        <w:spacing w:line="480" w:lineRule="auto"/>
        <w:rPr>
          <w:rFonts w:ascii="Times New Roman" w:eastAsia="Times New Roman" w:hAnsi="Times New Roman" w:cs="Times New Roman"/>
          <w:sz w:val="24"/>
          <w:szCs w:val="24"/>
        </w:rPr>
      </w:pPr>
    </w:p>
    <w:p w14:paraId="1F3CAA91" w14:textId="77777777" w:rsidR="004D2167" w:rsidRDefault="004D2167">
      <w:pPr>
        <w:spacing w:line="480" w:lineRule="auto"/>
        <w:rPr>
          <w:rFonts w:ascii="Times New Roman" w:eastAsia="Times New Roman" w:hAnsi="Times New Roman" w:cs="Times New Roman"/>
          <w:sz w:val="24"/>
          <w:szCs w:val="24"/>
        </w:rPr>
      </w:pPr>
    </w:p>
    <w:sectPr w:rsidR="004D2167">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986E4" w14:textId="77777777" w:rsidR="0098728F" w:rsidRDefault="0098728F">
      <w:pPr>
        <w:spacing w:after="0" w:line="240" w:lineRule="auto"/>
      </w:pPr>
      <w:r>
        <w:separator/>
      </w:r>
    </w:p>
  </w:endnote>
  <w:endnote w:type="continuationSeparator" w:id="0">
    <w:p w14:paraId="5071F566" w14:textId="77777777" w:rsidR="0098728F" w:rsidRDefault="00987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3ACD2" w14:textId="77777777" w:rsidR="0098728F" w:rsidRDefault="0098728F">
      <w:pPr>
        <w:spacing w:after="0" w:line="240" w:lineRule="auto"/>
      </w:pPr>
      <w:r>
        <w:separator/>
      </w:r>
    </w:p>
  </w:footnote>
  <w:footnote w:type="continuationSeparator" w:id="0">
    <w:p w14:paraId="19A51908" w14:textId="77777777" w:rsidR="0098728F" w:rsidRDefault="009872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71C73" w14:textId="77777777" w:rsidR="004D2167"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EXAMINING EMPLOYEE PERFORMANCE IN A FLAT ORGANISATIONAL STRUCTURE: A CASE STUDY ON NIKE</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2323DD">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p w14:paraId="15BB34F5" w14:textId="77777777" w:rsidR="004D2167" w:rsidRDefault="004D216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32CC8"/>
    <w:multiLevelType w:val="multilevel"/>
    <w:tmpl w:val="79A4FAE8"/>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74C6695"/>
    <w:multiLevelType w:val="multilevel"/>
    <w:tmpl w:val="6CEC118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01280435">
    <w:abstractNumId w:val="0"/>
  </w:num>
  <w:num w:numId="2" w16cid:durableId="958730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167"/>
    <w:rsid w:val="001E1967"/>
    <w:rsid w:val="002323DD"/>
    <w:rsid w:val="004D2167"/>
    <w:rsid w:val="006C1978"/>
    <w:rsid w:val="0098728F"/>
    <w:rsid w:val="00F42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2D4555"/>
  <w15:docId w15:val="{B31AC4DF-E98F-5042-BE92-AF9652550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16</Pages>
  <Words>2851</Words>
  <Characters>16252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3</cp:revision>
  <dcterms:created xsi:type="dcterms:W3CDTF">2023-08-16T06:34:00Z</dcterms:created>
  <dcterms:modified xsi:type="dcterms:W3CDTF">2023-08-22T08:23:00Z</dcterms:modified>
</cp:coreProperties>
</file>