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DF07C" w14:textId="176B233E" w:rsidR="003C1A96" w:rsidRDefault="003C1A96"/>
    <w:p w14:paraId="2343D74E" w14:textId="68F78DB8" w:rsidR="005F6993" w:rsidRPr="006B682C" w:rsidRDefault="003F0A2F">
      <w:pPr>
        <w:rPr>
          <w:rFonts w:ascii="Arial" w:hAnsi="Arial" w:cs="Arial"/>
          <w:b/>
          <w:bCs/>
          <w:sz w:val="48"/>
          <w:szCs w:val="48"/>
        </w:rPr>
      </w:pPr>
      <w:r w:rsidRPr="006B682C">
        <w:rPr>
          <w:rFonts w:ascii="Arial" w:hAnsi="Arial" w:cs="Arial"/>
          <w:b/>
          <w:bCs/>
          <w:sz w:val="48"/>
          <w:szCs w:val="48"/>
        </w:rPr>
        <w:t>Critical analysis in</w:t>
      </w:r>
      <w:r w:rsidR="006B682C">
        <w:rPr>
          <w:rFonts w:ascii="Arial" w:hAnsi="Arial" w:cs="Arial"/>
          <w:b/>
          <w:bCs/>
          <w:sz w:val="48"/>
          <w:szCs w:val="48"/>
        </w:rPr>
        <w:t xml:space="preserve"> </w:t>
      </w:r>
      <w:r w:rsidRPr="006B682C">
        <w:rPr>
          <w:rFonts w:ascii="Arial" w:hAnsi="Arial" w:cs="Arial"/>
          <w:b/>
          <w:bCs/>
          <w:sz w:val="48"/>
          <w:szCs w:val="48"/>
        </w:rPr>
        <w:t>relation to the global MICE industry at the hotel sector</w:t>
      </w:r>
    </w:p>
    <w:p w14:paraId="665C5234" w14:textId="77777777" w:rsidR="003F0A2F" w:rsidRPr="006B682C" w:rsidRDefault="003F0A2F">
      <w:pPr>
        <w:rPr>
          <w:rFonts w:ascii="Arial" w:hAnsi="Arial" w:cs="Arial"/>
          <w:b/>
          <w:bCs/>
          <w:sz w:val="48"/>
          <w:szCs w:val="48"/>
        </w:rPr>
      </w:pPr>
    </w:p>
    <w:p w14:paraId="389EFB3E" w14:textId="49D7702F" w:rsidR="003F0A2F" w:rsidRPr="006B682C" w:rsidRDefault="003F0A2F">
      <w:pPr>
        <w:rPr>
          <w:rFonts w:ascii="Arial" w:hAnsi="Arial" w:cs="Arial"/>
          <w:b/>
          <w:bCs/>
          <w:sz w:val="48"/>
          <w:szCs w:val="48"/>
        </w:rPr>
      </w:pPr>
      <w:r w:rsidRPr="006B682C">
        <w:rPr>
          <w:rFonts w:ascii="Arial" w:hAnsi="Arial" w:cs="Arial"/>
          <w:b/>
          <w:bCs/>
          <w:sz w:val="48"/>
          <w:szCs w:val="48"/>
        </w:rPr>
        <w:t xml:space="preserve">ITB Asia at Marina Bay Sands Singapore </w:t>
      </w:r>
    </w:p>
    <w:p w14:paraId="44143C91" w14:textId="77777777" w:rsidR="005F6993" w:rsidRPr="006B682C" w:rsidRDefault="005F6993">
      <w:pPr>
        <w:rPr>
          <w:rFonts w:ascii="Arial" w:hAnsi="Arial" w:cs="Arial"/>
          <w:b/>
          <w:bCs/>
          <w:sz w:val="48"/>
          <w:szCs w:val="48"/>
        </w:rPr>
      </w:pPr>
    </w:p>
    <w:p w14:paraId="4019C229" w14:textId="77777777" w:rsidR="005F6993" w:rsidRDefault="005F6993"/>
    <w:p w14:paraId="59A990CB" w14:textId="77777777" w:rsidR="005F6993" w:rsidRDefault="005F6993"/>
    <w:p w14:paraId="6F84FF61" w14:textId="77777777" w:rsidR="005F6993" w:rsidRDefault="005F6993"/>
    <w:p w14:paraId="0AEA3F63" w14:textId="77777777" w:rsidR="005F6993" w:rsidRDefault="005F6993"/>
    <w:p w14:paraId="0FB787A5" w14:textId="77777777" w:rsidR="005F6993" w:rsidRDefault="005F6993"/>
    <w:p w14:paraId="1767B2DC" w14:textId="77777777" w:rsidR="005F6993" w:rsidRDefault="005F6993"/>
    <w:p w14:paraId="02C3EF5F" w14:textId="77777777" w:rsidR="005F6993" w:rsidRDefault="005F6993"/>
    <w:p w14:paraId="18911A85" w14:textId="77777777" w:rsidR="005F6993" w:rsidRDefault="005F6993"/>
    <w:p w14:paraId="1E2F12CE" w14:textId="77777777" w:rsidR="005F6993" w:rsidRDefault="005F6993"/>
    <w:p w14:paraId="3310B956" w14:textId="77777777" w:rsidR="006B682C" w:rsidRDefault="006B682C"/>
    <w:p w14:paraId="3D9B1C63" w14:textId="77777777" w:rsidR="006B682C" w:rsidRDefault="006B682C"/>
    <w:p w14:paraId="561F45B7" w14:textId="77777777" w:rsidR="006B682C" w:rsidRDefault="006B682C"/>
    <w:p w14:paraId="237183E5" w14:textId="77777777" w:rsidR="006B682C" w:rsidRDefault="006B682C"/>
    <w:p w14:paraId="3D94A147" w14:textId="77777777" w:rsidR="006B682C" w:rsidRDefault="006B682C"/>
    <w:p w14:paraId="53AE2119" w14:textId="77777777" w:rsidR="005F6993" w:rsidRDefault="005F6993"/>
    <w:p w14:paraId="4AA6A03B" w14:textId="223E10DD" w:rsidR="005F6993" w:rsidRPr="006B682C" w:rsidRDefault="005F6993">
      <w:pPr>
        <w:rPr>
          <w:rFonts w:ascii="Arial" w:hAnsi="Arial" w:cs="Arial"/>
          <w:b/>
          <w:bCs/>
          <w:sz w:val="36"/>
          <w:szCs w:val="36"/>
        </w:rPr>
      </w:pPr>
      <w:r w:rsidRPr="006B682C">
        <w:rPr>
          <w:rFonts w:ascii="Arial" w:hAnsi="Arial" w:cs="Arial"/>
          <w:b/>
          <w:bCs/>
          <w:sz w:val="36"/>
          <w:szCs w:val="36"/>
        </w:rPr>
        <w:t>STUDENT NUMBER :</w:t>
      </w:r>
      <w:r w:rsidR="006B682C">
        <w:rPr>
          <w:rFonts w:ascii="Arial" w:hAnsi="Arial" w:cs="Arial"/>
          <w:b/>
          <w:bCs/>
          <w:sz w:val="36"/>
          <w:szCs w:val="36"/>
        </w:rPr>
        <w:t xml:space="preserve"> </w:t>
      </w:r>
      <w:r w:rsidRPr="006B682C">
        <w:rPr>
          <w:rFonts w:ascii="Arial" w:hAnsi="Arial" w:cs="Arial"/>
          <w:b/>
          <w:bCs/>
          <w:sz w:val="36"/>
          <w:szCs w:val="36"/>
        </w:rPr>
        <w:t>2127376</w:t>
      </w:r>
    </w:p>
    <w:p w14:paraId="709626F4" w14:textId="09FBF6F7" w:rsidR="005F6993" w:rsidRPr="006B682C" w:rsidRDefault="005F6993">
      <w:pPr>
        <w:rPr>
          <w:rFonts w:ascii="Arial" w:hAnsi="Arial" w:cs="Arial"/>
          <w:b/>
          <w:bCs/>
          <w:sz w:val="36"/>
          <w:szCs w:val="36"/>
        </w:rPr>
      </w:pPr>
      <w:r w:rsidRPr="006B682C">
        <w:rPr>
          <w:rFonts w:ascii="Arial" w:hAnsi="Arial" w:cs="Arial"/>
          <w:b/>
          <w:bCs/>
          <w:sz w:val="36"/>
          <w:szCs w:val="36"/>
        </w:rPr>
        <w:t>STUDENT NAME :</w:t>
      </w:r>
      <w:r w:rsidR="006B682C">
        <w:rPr>
          <w:rFonts w:ascii="Arial" w:hAnsi="Arial" w:cs="Arial"/>
          <w:b/>
          <w:bCs/>
          <w:sz w:val="36"/>
          <w:szCs w:val="36"/>
        </w:rPr>
        <w:t xml:space="preserve"> </w:t>
      </w:r>
      <w:r w:rsidRPr="006B682C">
        <w:rPr>
          <w:rFonts w:ascii="Arial" w:hAnsi="Arial" w:cs="Arial"/>
          <w:b/>
          <w:bCs/>
          <w:sz w:val="36"/>
          <w:szCs w:val="36"/>
        </w:rPr>
        <w:t>ADRIANA GHIOCEL-IOANICIU</w:t>
      </w:r>
    </w:p>
    <w:p w14:paraId="632AE72C" w14:textId="653D8265" w:rsidR="005F6993" w:rsidRPr="006B682C" w:rsidRDefault="005F6993">
      <w:pPr>
        <w:rPr>
          <w:rFonts w:ascii="Arial" w:hAnsi="Arial" w:cs="Arial"/>
          <w:b/>
          <w:bCs/>
          <w:sz w:val="36"/>
          <w:szCs w:val="36"/>
        </w:rPr>
      </w:pPr>
      <w:r w:rsidRPr="006B682C">
        <w:rPr>
          <w:rFonts w:ascii="Arial" w:hAnsi="Arial" w:cs="Arial"/>
          <w:b/>
          <w:bCs/>
          <w:sz w:val="36"/>
          <w:szCs w:val="36"/>
        </w:rPr>
        <w:t>LECTURER NAME : LISA BASSLE</w:t>
      </w:r>
      <w:r w:rsidR="006B682C">
        <w:rPr>
          <w:rFonts w:ascii="Arial" w:hAnsi="Arial" w:cs="Arial"/>
          <w:b/>
          <w:bCs/>
          <w:sz w:val="36"/>
          <w:szCs w:val="36"/>
        </w:rPr>
        <w:t>R</w:t>
      </w:r>
    </w:p>
    <w:p w14:paraId="016830A1" w14:textId="3E7A222A" w:rsidR="005F6993" w:rsidRPr="006E523B" w:rsidRDefault="005F6993" w:rsidP="006E523B">
      <w:pPr>
        <w:pStyle w:val="Heading2"/>
        <w:rPr>
          <w:rFonts w:ascii="Arial" w:hAnsi="Arial" w:cs="Arial"/>
          <w:color w:val="auto"/>
          <w:sz w:val="28"/>
          <w:szCs w:val="28"/>
        </w:rPr>
      </w:pPr>
      <w:bookmarkStart w:id="0" w:name="_Toc218991931"/>
      <w:r w:rsidRPr="006E523B">
        <w:rPr>
          <w:rFonts w:ascii="Arial" w:hAnsi="Arial" w:cs="Arial"/>
          <w:color w:val="auto"/>
          <w:sz w:val="28"/>
          <w:szCs w:val="28"/>
        </w:rPr>
        <w:lastRenderedPageBreak/>
        <w:t>AI ACKNOWLEDGEMENT STATEMENT</w:t>
      </w:r>
      <w:bookmarkEnd w:id="0"/>
      <w:r w:rsidRPr="006E523B">
        <w:rPr>
          <w:rFonts w:ascii="Arial" w:hAnsi="Arial" w:cs="Arial"/>
          <w:color w:val="auto"/>
          <w:sz w:val="28"/>
          <w:szCs w:val="28"/>
        </w:rPr>
        <w:t xml:space="preserve"> </w:t>
      </w:r>
    </w:p>
    <w:p w14:paraId="5F005992" w14:textId="77777777" w:rsidR="005F6993" w:rsidRDefault="005F6993"/>
    <w:p w14:paraId="632005D5" w14:textId="77777777" w:rsidR="005F6993" w:rsidRDefault="005F6993"/>
    <w:p w14:paraId="56318890" w14:textId="77777777" w:rsidR="005F6993" w:rsidRDefault="005F6993"/>
    <w:p w14:paraId="48992ED3" w14:textId="77777777" w:rsidR="005F6993" w:rsidRDefault="005F6993"/>
    <w:p w14:paraId="7C1BF769" w14:textId="6C2C0878" w:rsidR="005F6993" w:rsidRPr="006B682C" w:rsidRDefault="00343022" w:rsidP="006B682C">
      <w:pPr>
        <w:spacing w:line="360" w:lineRule="auto"/>
        <w:rPr>
          <w:sz w:val="24"/>
          <w:szCs w:val="24"/>
        </w:rPr>
      </w:pPr>
      <w:bookmarkStart w:id="1" w:name="_Hlk218637887"/>
      <w:r w:rsidRPr="006B682C">
        <w:rPr>
          <w:rFonts w:ascii="Arial" w:eastAsiaTheme="minorEastAsia" w:hAnsi="Arial" w:cs="Arial"/>
          <w:color w:val="000000" w:themeColor="text1"/>
          <w:kern w:val="24"/>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6B682C">
        <w:rPr>
          <w:rFonts w:ascii="Arial" w:eastAsiaTheme="minorEastAsia" w:hAnsi="Arial" w:cs="Arial"/>
          <w:color w:val="000000" w:themeColor="text1"/>
          <w:kern w:val="24"/>
          <w:sz w:val="24"/>
          <w:szCs w:val="24"/>
        </w:rPr>
        <w:t>.</w:t>
      </w:r>
    </w:p>
    <w:bookmarkEnd w:id="1"/>
    <w:p w14:paraId="1666BE3D" w14:textId="77777777" w:rsidR="005F6993" w:rsidRDefault="005F6993"/>
    <w:p w14:paraId="671FB7A5" w14:textId="77777777" w:rsidR="005F6993" w:rsidRDefault="005F6993"/>
    <w:p w14:paraId="7BF1A348" w14:textId="77777777" w:rsidR="005F6993" w:rsidRDefault="005F6993"/>
    <w:p w14:paraId="4F6EA549" w14:textId="77777777" w:rsidR="005F6993" w:rsidRDefault="005F6993"/>
    <w:p w14:paraId="26375788" w14:textId="77777777" w:rsidR="005F6993" w:rsidRDefault="005F6993"/>
    <w:p w14:paraId="26910EFD" w14:textId="77777777" w:rsidR="005F6993" w:rsidRDefault="005F6993"/>
    <w:p w14:paraId="54342A09" w14:textId="77777777" w:rsidR="005F6993" w:rsidRDefault="005F6993"/>
    <w:p w14:paraId="0423BDEC" w14:textId="77777777" w:rsidR="005F6993" w:rsidRDefault="005F6993"/>
    <w:p w14:paraId="41AF920D" w14:textId="77777777" w:rsidR="005F6993" w:rsidRDefault="005F6993"/>
    <w:p w14:paraId="40D2EAF8" w14:textId="77777777" w:rsidR="005F6993" w:rsidRDefault="005F6993"/>
    <w:p w14:paraId="19F30177" w14:textId="77777777" w:rsidR="005F6993" w:rsidRDefault="005F6993"/>
    <w:p w14:paraId="0761FB1D" w14:textId="77777777" w:rsidR="005F6993" w:rsidRDefault="005F6993"/>
    <w:p w14:paraId="612C5DC6" w14:textId="77777777" w:rsidR="005F6993" w:rsidRDefault="005F6993"/>
    <w:p w14:paraId="3D05FD21" w14:textId="77777777" w:rsidR="005F6993" w:rsidRDefault="005F6993"/>
    <w:p w14:paraId="2D6FF89F" w14:textId="77777777" w:rsidR="005F6993" w:rsidRDefault="005F6993"/>
    <w:p w14:paraId="20235E20" w14:textId="77777777" w:rsidR="005F6993" w:rsidRDefault="005F6993"/>
    <w:p w14:paraId="6AD8E859" w14:textId="77777777" w:rsidR="00343022" w:rsidRDefault="00343022"/>
    <w:p w14:paraId="7738B720" w14:textId="77777777" w:rsidR="00343022" w:rsidRDefault="00343022"/>
    <w:p w14:paraId="065C067F" w14:textId="77777777" w:rsidR="005F6993" w:rsidRDefault="005F6993"/>
    <w:p w14:paraId="76CA0A96" w14:textId="77777777" w:rsidR="006B682C" w:rsidRDefault="006B682C"/>
    <w:p w14:paraId="1C564B01" w14:textId="77777777" w:rsidR="006B682C" w:rsidRDefault="006B682C"/>
    <w:p w14:paraId="428F51DF" w14:textId="77777777" w:rsidR="006B682C" w:rsidRDefault="006B682C"/>
    <w:p w14:paraId="147239D5" w14:textId="0A85CCE8" w:rsidR="005F6993" w:rsidRPr="006E523B" w:rsidRDefault="005F6993" w:rsidP="006E523B">
      <w:pPr>
        <w:pStyle w:val="Heading2"/>
        <w:rPr>
          <w:rFonts w:ascii="Arial" w:hAnsi="Arial" w:cs="Arial"/>
          <w:color w:val="auto"/>
          <w:sz w:val="28"/>
          <w:szCs w:val="28"/>
        </w:rPr>
      </w:pPr>
      <w:bookmarkStart w:id="2" w:name="_Toc218991932"/>
      <w:r w:rsidRPr="006E523B">
        <w:rPr>
          <w:rFonts w:ascii="Arial" w:hAnsi="Arial" w:cs="Arial"/>
          <w:color w:val="auto"/>
          <w:sz w:val="28"/>
          <w:szCs w:val="28"/>
        </w:rPr>
        <w:lastRenderedPageBreak/>
        <w:t>EXECUTIVE SUMMARY</w:t>
      </w:r>
      <w:bookmarkEnd w:id="2"/>
    </w:p>
    <w:p w14:paraId="48A6A986" w14:textId="77777777" w:rsidR="005F6993" w:rsidRDefault="005F6993"/>
    <w:p w14:paraId="4818C3CA" w14:textId="28B9FABC" w:rsidR="002F19AA" w:rsidRPr="002F19AA" w:rsidRDefault="002F19AA" w:rsidP="002F19AA">
      <w:pPr>
        <w:spacing w:after="0" w:line="360" w:lineRule="auto"/>
        <w:rPr>
          <w:rFonts w:ascii="Arial" w:eastAsia="Times New Roman" w:hAnsi="Arial" w:cs="Arial"/>
          <w:kern w:val="0"/>
          <w:sz w:val="24"/>
          <w:szCs w:val="24"/>
          <w:lang w:eastAsia="en-GB"/>
          <w14:ligatures w14:val="none"/>
        </w:rPr>
      </w:pPr>
      <w:r w:rsidRPr="002F19AA">
        <w:rPr>
          <w:rFonts w:ascii="Arial" w:eastAsia="Times New Roman" w:hAnsi="Arial" w:cs="Arial"/>
          <w:kern w:val="0"/>
          <w:sz w:val="24"/>
          <w:szCs w:val="24"/>
          <w:lang w:eastAsia="en-GB"/>
          <w14:ligatures w14:val="none"/>
        </w:rPr>
        <w:t xml:space="preserve">This report takes a close look at ITB Asia, which took place at Marina Bay Sands in Singapore, and how it relates to the global MICE business and the hotel sector. It is known that ITB Asia is the best international travel trade show in the Asia-Pacific area. It helps people connect for business, share information, and promote destinations. The </w:t>
      </w:r>
      <w:r>
        <w:rPr>
          <w:rFonts w:ascii="Arial" w:eastAsia="Times New Roman" w:hAnsi="Arial" w:cs="Arial"/>
          <w:kern w:val="0"/>
          <w:sz w:val="24"/>
          <w:szCs w:val="24"/>
          <w:lang w:eastAsia="en-GB"/>
          <w14:ligatures w14:val="none"/>
        </w:rPr>
        <w:t>report</w:t>
      </w:r>
      <w:r w:rsidRPr="002F19AA">
        <w:rPr>
          <w:rFonts w:ascii="Arial" w:eastAsia="Times New Roman" w:hAnsi="Arial" w:cs="Arial"/>
          <w:kern w:val="0"/>
          <w:sz w:val="24"/>
          <w:szCs w:val="24"/>
          <w:lang w:eastAsia="en-GB"/>
          <w14:ligatures w14:val="none"/>
        </w:rPr>
        <w:t xml:space="preserve"> looks at the event's sponsors, its marketing and communication plans, and how it incorporates important MICE trends like going digital, holding events in a mixed format, and being environmentally friendly. The Sands Expo and Convention Centre’s world-class infrastructure, ease of access, and ability to host large-scale foreign events are all considered when figuring out if it will work. The </w:t>
      </w:r>
      <w:r>
        <w:rPr>
          <w:rFonts w:ascii="Arial" w:eastAsia="Times New Roman" w:hAnsi="Arial" w:cs="Arial"/>
          <w:kern w:val="0"/>
          <w:sz w:val="24"/>
          <w:szCs w:val="24"/>
          <w:lang w:eastAsia="en-GB"/>
          <w14:ligatures w14:val="none"/>
        </w:rPr>
        <w:t>report</w:t>
      </w:r>
      <w:r w:rsidRPr="002F19AA">
        <w:rPr>
          <w:rFonts w:ascii="Arial" w:eastAsia="Times New Roman" w:hAnsi="Arial" w:cs="Arial"/>
          <w:kern w:val="0"/>
          <w:sz w:val="24"/>
          <w:szCs w:val="24"/>
          <w:lang w:eastAsia="en-GB"/>
          <w14:ligatures w14:val="none"/>
        </w:rPr>
        <w:t xml:space="preserve"> also looks at operational, legal, and risk factors, such as data protection, following health and safety rules, and relying too much on technology. The hotel industry's strategic involvement is also looked at, with a focus on the benefits of working together and promoting the location as a brand. Overall, the study says that ITB Asia is set up to keep growing as long as innovation, risk management, and partnerships between hotels and event organisers are improved.</w:t>
      </w:r>
    </w:p>
    <w:p w14:paraId="085015ED" w14:textId="77777777" w:rsidR="002F19AA" w:rsidRPr="002F19AA" w:rsidRDefault="002F19AA" w:rsidP="002F19AA">
      <w:pPr>
        <w:spacing w:line="360" w:lineRule="auto"/>
        <w:rPr>
          <w:rFonts w:ascii="Arial" w:hAnsi="Arial" w:cs="Arial"/>
        </w:rPr>
      </w:pPr>
    </w:p>
    <w:p w14:paraId="0661231D" w14:textId="77777777" w:rsidR="005F6993" w:rsidRDefault="005F6993"/>
    <w:p w14:paraId="4CC92B48" w14:textId="77777777" w:rsidR="005F6993" w:rsidRDefault="005F6993"/>
    <w:p w14:paraId="57FACA53" w14:textId="77777777" w:rsidR="005F6993" w:rsidRDefault="005F6993"/>
    <w:p w14:paraId="28FD5603" w14:textId="77777777" w:rsidR="005F6993" w:rsidRDefault="005F6993"/>
    <w:p w14:paraId="45D10AE1" w14:textId="77777777" w:rsidR="005F6993" w:rsidRDefault="005F6993"/>
    <w:p w14:paraId="00FC7C18" w14:textId="77777777" w:rsidR="005F6993" w:rsidRDefault="005F6993"/>
    <w:p w14:paraId="0F5BAD75" w14:textId="77777777" w:rsidR="005F6993" w:rsidRDefault="005F6993"/>
    <w:p w14:paraId="44CB9A06" w14:textId="77777777" w:rsidR="005F6993" w:rsidRDefault="005F6993"/>
    <w:p w14:paraId="3630E36F" w14:textId="77777777" w:rsidR="005F6993" w:rsidRDefault="005F6993"/>
    <w:p w14:paraId="5635E369" w14:textId="77777777" w:rsidR="005F6993" w:rsidRDefault="005F6993"/>
    <w:p w14:paraId="0BCF0C3C" w14:textId="77777777" w:rsidR="005F6993" w:rsidRDefault="005F6993"/>
    <w:p w14:paraId="4131F683" w14:textId="77777777" w:rsidR="005F6993" w:rsidRDefault="005F6993"/>
    <w:p w14:paraId="6731C98B" w14:textId="77777777" w:rsidR="005F6993" w:rsidRDefault="005F6993"/>
    <w:p w14:paraId="716A2EBC" w14:textId="77777777" w:rsidR="00733684" w:rsidRDefault="00733684" w:rsidP="00733684">
      <w:pPr>
        <w:spacing w:line="360" w:lineRule="auto"/>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727227472"/>
        <w:docPartObj>
          <w:docPartGallery w:val="Table of Contents"/>
          <w:docPartUnique/>
        </w:docPartObj>
      </w:sdtPr>
      <w:sdtEndPr>
        <w:rPr>
          <w:b/>
          <w:bCs/>
        </w:rPr>
      </w:sdtEndPr>
      <w:sdtContent>
        <w:p w14:paraId="0BDF2848" w14:textId="0D358ACA" w:rsidR="006E523B" w:rsidRPr="006E523B" w:rsidRDefault="006E523B" w:rsidP="006E523B">
          <w:pPr>
            <w:pStyle w:val="TOCHeading"/>
            <w:spacing w:line="360" w:lineRule="auto"/>
            <w:rPr>
              <w:rFonts w:ascii="Arial" w:hAnsi="Arial" w:cs="Arial"/>
              <w:color w:val="000000" w:themeColor="text1"/>
              <w:sz w:val="28"/>
              <w:szCs w:val="28"/>
            </w:rPr>
          </w:pPr>
          <w:r>
            <w:rPr>
              <w:rFonts w:ascii="Arial" w:hAnsi="Arial" w:cs="Arial"/>
              <w:color w:val="000000" w:themeColor="text1"/>
              <w:sz w:val="28"/>
              <w:szCs w:val="28"/>
            </w:rPr>
            <w:t>CONTENT</w:t>
          </w:r>
        </w:p>
        <w:p w14:paraId="3FD2CF75" w14:textId="10131EDB" w:rsidR="006E523B" w:rsidRPr="006E523B" w:rsidRDefault="006E523B">
          <w:pPr>
            <w:pStyle w:val="TOC2"/>
            <w:tabs>
              <w:tab w:val="right" w:leader="dot" w:pos="9016"/>
            </w:tabs>
            <w:rPr>
              <w:rFonts w:ascii="Arial" w:eastAsiaTheme="minorEastAsia" w:hAnsi="Arial" w:cs="Arial"/>
              <w:noProof/>
              <w:sz w:val="24"/>
              <w:szCs w:val="24"/>
              <w:lang w:eastAsia="en-GB"/>
            </w:rPr>
          </w:pPr>
          <w:r w:rsidRPr="006E523B">
            <w:rPr>
              <w:rFonts w:ascii="Arial" w:hAnsi="Arial" w:cs="Arial"/>
              <w:sz w:val="24"/>
              <w:szCs w:val="24"/>
            </w:rPr>
            <w:fldChar w:fldCharType="begin"/>
          </w:r>
          <w:r w:rsidRPr="006E523B">
            <w:rPr>
              <w:rFonts w:ascii="Arial" w:hAnsi="Arial" w:cs="Arial"/>
              <w:sz w:val="24"/>
              <w:szCs w:val="24"/>
            </w:rPr>
            <w:instrText xml:space="preserve"> TOC \o "1-3" \h \z \u </w:instrText>
          </w:r>
          <w:r w:rsidRPr="006E523B">
            <w:rPr>
              <w:rFonts w:ascii="Arial" w:hAnsi="Arial" w:cs="Arial"/>
              <w:sz w:val="24"/>
              <w:szCs w:val="24"/>
            </w:rPr>
            <w:fldChar w:fldCharType="separate"/>
          </w:r>
          <w:hyperlink w:anchor="_Toc218991931" w:history="1">
            <w:r w:rsidRPr="006E523B">
              <w:rPr>
                <w:rStyle w:val="Hyperlink"/>
                <w:rFonts w:ascii="Arial" w:hAnsi="Arial" w:cs="Arial"/>
                <w:noProof/>
                <w:sz w:val="24"/>
                <w:szCs w:val="24"/>
              </w:rPr>
              <w:t>AI ACKNOWLEDGEMENT STATEMENT</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_Toc218991931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2</w:t>
            </w:r>
            <w:r w:rsidRPr="006E523B">
              <w:rPr>
                <w:rFonts w:ascii="Arial" w:hAnsi="Arial" w:cs="Arial"/>
                <w:noProof/>
                <w:webHidden/>
                <w:sz w:val="24"/>
                <w:szCs w:val="24"/>
              </w:rPr>
              <w:fldChar w:fldCharType="end"/>
            </w:r>
          </w:hyperlink>
        </w:p>
        <w:p w14:paraId="156D926C" w14:textId="5A24EDF3"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2" w:history="1">
            <w:r w:rsidRPr="006E523B">
              <w:rPr>
                <w:rStyle w:val="Hyperlink"/>
                <w:rFonts w:ascii="Arial" w:hAnsi="Arial" w:cs="Arial"/>
                <w:noProof/>
                <w:sz w:val="24"/>
                <w:szCs w:val="24"/>
              </w:rPr>
              <w:t>EXECUTIVE SUMMARY</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_Toc218991932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3</w:t>
            </w:r>
            <w:r w:rsidRPr="006E523B">
              <w:rPr>
                <w:rFonts w:ascii="Arial" w:hAnsi="Arial" w:cs="Arial"/>
                <w:noProof/>
                <w:webHidden/>
                <w:sz w:val="24"/>
                <w:szCs w:val="24"/>
              </w:rPr>
              <w:fldChar w:fldCharType="end"/>
            </w:r>
          </w:hyperlink>
        </w:p>
        <w:p w14:paraId="279707B0" w14:textId="2ADAA47E"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3" w:history="1">
            <w:r w:rsidRPr="006E523B">
              <w:rPr>
                <w:rStyle w:val="Hyperlink"/>
                <w:rFonts w:ascii="Arial" w:hAnsi="Arial" w:cs="Arial"/>
                <w:noProof/>
                <w:sz w:val="24"/>
                <w:szCs w:val="24"/>
              </w:rPr>
              <w:t>INTRODUCTION</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_Toc218991933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4</w:t>
            </w:r>
            <w:r w:rsidRPr="006E523B">
              <w:rPr>
                <w:rFonts w:ascii="Arial" w:hAnsi="Arial" w:cs="Arial"/>
                <w:noProof/>
                <w:webHidden/>
                <w:sz w:val="24"/>
                <w:szCs w:val="24"/>
              </w:rPr>
              <w:fldChar w:fldCharType="end"/>
            </w:r>
          </w:hyperlink>
        </w:p>
        <w:p w14:paraId="680EA53B" w14:textId="152C8E3D"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4" w:history="1">
            <w:r w:rsidRPr="006E523B">
              <w:rPr>
                <w:rStyle w:val="Hyperlink"/>
                <w:rFonts w:ascii="Arial" w:eastAsia="Times New Roman" w:hAnsi="Arial" w:cs="Arial"/>
                <w:noProof/>
                <w:sz w:val="24"/>
                <w:szCs w:val="24"/>
                <w:lang w:eastAsia="en-GB"/>
              </w:rPr>
              <w:t>EVENT OVERVIEW AND STAKEHOLDERS</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_Toc218991934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5</w:t>
            </w:r>
            <w:r w:rsidRPr="006E523B">
              <w:rPr>
                <w:rFonts w:ascii="Arial" w:hAnsi="Arial" w:cs="Arial"/>
                <w:noProof/>
                <w:webHidden/>
                <w:sz w:val="24"/>
                <w:szCs w:val="24"/>
              </w:rPr>
              <w:fldChar w:fldCharType="end"/>
            </w:r>
          </w:hyperlink>
        </w:p>
        <w:p w14:paraId="14E5AE6A" w14:textId="2AA9CB88"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5" w:history="1">
            <w:r w:rsidRPr="006E523B">
              <w:rPr>
                <w:rStyle w:val="Hyperlink"/>
                <w:rFonts w:ascii="Arial" w:hAnsi="Arial" w:cs="Arial"/>
                <w:noProof/>
                <w:sz w:val="24"/>
                <w:szCs w:val="24"/>
              </w:rPr>
              <w:t>MARKETING AND COMMUNICATION</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_Toc218991935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6</w:t>
            </w:r>
            <w:r w:rsidRPr="006E523B">
              <w:rPr>
                <w:rFonts w:ascii="Arial" w:hAnsi="Arial" w:cs="Arial"/>
                <w:noProof/>
                <w:webHidden/>
                <w:sz w:val="24"/>
                <w:szCs w:val="24"/>
              </w:rPr>
              <w:fldChar w:fldCharType="end"/>
            </w:r>
          </w:hyperlink>
        </w:p>
        <w:p w14:paraId="4A60D427" w14:textId="2F2C2D55"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6" w:history="1">
            <w:r w:rsidRPr="006E523B">
              <w:rPr>
                <w:rStyle w:val="Hyperlink"/>
                <w:rFonts w:ascii="Arial" w:hAnsi="Arial" w:cs="Arial"/>
                <w:noProof/>
                <w:sz w:val="24"/>
                <w:szCs w:val="24"/>
              </w:rPr>
              <w:t>TRENDS AND INNOVATION</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_Toc218991936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7</w:t>
            </w:r>
            <w:r w:rsidRPr="006E523B">
              <w:rPr>
                <w:rFonts w:ascii="Arial" w:hAnsi="Arial" w:cs="Arial"/>
                <w:noProof/>
                <w:webHidden/>
                <w:sz w:val="24"/>
                <w:szCs w:val="24"/>
              </w:rPr>
              <w:fldChar w:fldCharType="end"/>
            </w:r>
          </w:hyperlink>
        </w:p>
        <w:p w14:paraId="7FB7A61E" w14:textId="7A77CDD0"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7" w:history="1">
            <w:r w:rsidRPr="006E523B">
              <w:rPr>
                <w:rStyle w:val="Hyperlink"/>
                <w:rFonts w:ascii="Arial" w:hAnsi="Arial" w:cs="Arial"/>
                <w:noProof/>
                <w:sz w:val="24"/>
                <w:szCs w:val="24"/>
              </w:rPr>
              <w:t>OPERATIONAL CHALLENGES ,RISKS AND LEGAL CONSIDERATION</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_Toc218991937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8</w:t>
            </w:r>
            <w:r w:rsidRPr="006E523B">
              <w:rPr>
                <w:rFonts w:ascii="Arial" w:hAnsi="Arial" w:cs="Arial"/>
                <w:noProof/>
                <w:webHidden/>
                <w:sz w:val="24"/>
                <w:szCs w:val="24"/>
              </w:rPr>
              <w:fldChar w:fldCharType="end"/>
            </w:r>
          </w:hyperlink>
        </w:p>
        <w:p w14:paraId="436CD7D1" w14:textId="159C2967"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8" w:history="1">
            <w:r w:rsidRPr="006E523B">
              <w:rPr>
                <w:rStyle w:val="Hyperlink"/>
                <w:rFonts w:ascii="Arial" w:hAnsi="Arial" w:cs="Arial"/>
                <w:noProof/>
                <w:sz w:val="24"/>
                <w:szCs w:val="24"/>
              </w:rPr>
              <w:t>VENUE FEASIBILITY AND FUTURE GROWTH</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_Toc218991938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9</w:t>
            </w:r>
            <w:r w:rsidRPr="006E523B">
              <w:rPr>
                <w:rFonts w:ascii="Arial" w:hAnsi="Arial" w:cs="Arial"/>
                <w:noProof/>
                <w:webHidden/>
                <w:sz w:val="24"/>
                <w:szCs w:val="24"/>
              </w:rPr>
              <w:fldChar w:fldCharType="end"/>
            </w:r>
          </w:hyperlink>
        </w:p>
        <w:p w14:paraId="41A03DC6" w14:textId="7EA19C54"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39" w:history="1">
            <w:r w:rsidRPr="006E523B">
              <w:rPr>
                <w:rStyle w:val="Hyperlink"/>
                <w:rFonts w:ascii="Arial" w:hAnsi="Arial" w:cs="Arial"/>
                <w:noProof/>
                <w:sz w:val="24"/>
                <w:szCs w:val="24"/>
              </w:rPr>
              <w:t>HOTEL SECTOR INVOLMENT</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_Toc218991939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10</w:t>
            </w:r>
            <w:r w:rsidRPr="006E523B">
              <w:rPr>
                <w:rFonts w:ascii="Arial" w:hAnsi="Arial" w:cs="Arial"/>
                <w:noProof/>
                <w:webHidden/>
                <w:sz w:val="24"/>
                <w:szCs w:val="24"/>
              </w:rPr>
              <w:fldChar w:fldCharType="end"/>
            </w:r>
          </w:hyperlink>
        </w:p>
        <w:p w14:paraId="3B6EAE65" w14:textId="5FE448BB"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40" w:history="1">
            <w:r w:rsidRPr="006E523B">
              <w:rPr>
                <w:rStyle w:val="Hyperlink"/>
                <w:rFonts w:ascii="Arial" w:hAnsi="Arial" w:cs="Arial"/>
                <w:noProof/>
                <w:sz w:val="24"/>
                <w:szCs w:val="24"/>
              </w:rPr>
              <w:t>CONCLUSION</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_Toc218991940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10</w:t>
            </w:r>
            <w:r w:rsidRPr="006E523B">
              <w:rPr>
                <w:rFonts w:ascii="Arial" w:hAnsi="Arial" w:cs="Arial"/>
                <w:noProof/>
                <w:webHidden/>
                <w:sz w:val="24"/>
                <w:szCs w:val="24"/>
              </w:rPr>
              <w:fldChar w:fldCharType="end"/>
            </w:r>
          </w:hyperlink>
        </w:p>
        <w:p w14:paraId="20252DE3" w14:textId="183C892E" w:rsidR="006E523B" w:rsidRPr="006E523B" w:rsidRDefault="006E523B">
          <w:pPr>
            <w:pStyle w:val="TOC2"/>
            <w:tabs>
              <w:tab w:val="right" w:leader="dot" w:pos="9016"/>
            </w:tabs>
            <w:rPr>
              <w:rFonts w:ascii="Arial" w:eastAsiaTheme="minorEastAsia" w:hAnsi="Arial" w:cs="Arial"/>
              <w:noProof/>
              <w:sz w:val="24"/>
              <w:szCs w:val="24"/>
              <w:lang w:eastAsia="en-GB"/>
            </w:rPr>
          </w:pPr>
          <w:hyperlink w:anchor="_Toc218991941" w:history="1">
            <w:r w:rsidRPr="006E523B">
              <w:rPr>
                <w:rStyle w:val="Hyperlink"/>
                <w:rFonts w:ascii="Arial" w:hAnsi="Arial" w:cs="Arial"/>
                <w:noProof/>
                <w:sz w:val="24"/>
                <w:szCs w:val="24"/>
              </w:rPr>
              <w:t>RECOMMENDATION</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_Toc218991941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11</w:t>
            </w:r>
            <w:r w:rsidRPr="006E523B">
              <w:rPr>
                <w:rFonts w:ascii="Arial" w:hAnsi="Arial" w:cs="Arial"/>
                <w:noProof/>
                <w:webHidden/>
                <w:sz w:val="24"/>
                <w:szCs w:val="24"/>
              </w:rPr>
              <w:fldChar w:fldCharType="end"/>
            </w:r>
          </w:hyperlink>
        </w:p>
        <w:p w14:paraId="4D5E2519" w14:textId="48C533BD" w:rsidR="006E523B" w:rsidRDefault="006E523B">
          <w:pPr>
            <w:pStyle w:val="TOC2"/>
            <w:tabs>
              <w:tab w:val="right" w:leader="dot" w:pos="9016"/>
            </w:tabs>
            <w:rPr>
              <w:rFonts w:eastAsiaTheme="minorEastAsia"/>
              <w:noProof/>
              <w:sz w:val="24"/>
              <w:szCs w:val="24"/>
              <w:lang w:eastAsia="en-GB"/>
            </w:rPr>
          </w:pPr>
          <w:hyperlink w:anchor="_Toc218991942" w:history="1">
            <w:r w:rsidRPr="006E523B">
              <w:rPr>
                <w:rStyle w:val="Hyperlink"/>
                <w:rFonts w:ascii="Arial" w:hAnsi="Arial" w:cs="Arial"/>
                <w:noProof/>
                <w:sz w:val="24"/>
                <w:szCs w:val="24"/>
              </w:rPr>
              <w:t>REFERENCES</w:t>
            </w:r>
            <w:r w:rsidRPr="006E523B">
              <w:rPr>
                <w:rFonts w:ascii="Arial" w:hAnsi="Arial" w:cs="Arial"/>
                <w:noProof/>
                <w:webHidden/>
                <w:sz w:val="24"/>
                <w:szCs w:val="24"/>
              </w:rPr>
              <w:tab/>
            </w:r>
            <w:r w:rsidRPr="006E523B">
              <w:rPr>
                <w:rFonts w:ascii="Arial" w:hAnsi="Arial" w:cs="Arial"/>
                <w:noProof/>
                <w:webHidden/>
                <w:sz w:val="24"/>
                <w:szCs w:val="24"/>
              </w:rPr>
              <w:fldChar w:fldCharType="begin"/>
            </w:r>
            <w:r w:rsidRPr="006E523B">
              <w:rPr>
                <w:rFonts w:ascii="Arial" w:hAnsi="Arial" w:cs="Arial"/>
                <w:noProof/>
                <w:webHidden/>
                <w:sz w:val="24"/>
                <w:szCs w:val="24"/>
              </w:rPr>
              <w:instrText xml:space="preserve"> PAGEREF _Toc218991942 \h </w:instrText>
            </w:r>
            <w:r w:rsidRPr="006E523B">
              <w:rPr>
                <w:rFonts w:ascii="Arial" w:hAnsi="Arial" w:cs="Arial"/>
                <w:noProof/>
                <w:webHidden/>
                <w:sz w:val="24"/>
                <w:szCs w:val="24"/>
              </w:rPr>
            </w:r>
            <w:r w:rsidRPr="006E523B">
              <w:rPr>
                <w:rFonts w:ascii="Arial" w:hAnsi="Arial" w:cs="Arial"/>
                <w:noProof/>
                <w:webHidden/>
                <w:sz w:val="24"/>
                <w:szCs w:val="24"/>
              </w:rPr>
              <w:fldChar w:fldCharType="separate"/>
            </w:r>
            <w:r w:rsidRPr="006E523B">
              <w:rPr>
                <w:rFonts w:ascii="Arial" w:hAnsi="Arial" w:cs="Arial"/>
                <w:noProof/>
                <w:webHidden/>
                <w:sz w:val="24"/>
                <w:szCs w:val="24"/>
              </w:rPr>
              <w:t>11</w:t>
            </w:r>
            <w:r w:rsidRPr="006E523B">
              <w:rPr>
                <w:rFonts w:ascii="Arial" w:hAnsi="Arial" w:cs="Arial"/>
                <w:noProof/>
                <w:webHidden/>
                <w:sz w:val="24"/>
                <w:szCs w:val="24"/>
              </w:rPr>
              <w:fldChar w:fldCharType="end"/>
            </w:r>
          </w:hyperlink>
        </w:p>
        <w:p w14:paraId="0B191346" w14:textId="2FC1FC6F" w:rsidR="006E523B" w:rsidRDefault="006E523B" w:rsidP="006E523B">
          <w:pPr>
            <w:spacing w:line="360" w:lineRule="auto"/>
          </w:pPr>
          <w:r w:rsidRPr="006E523B">
            <w:rPr>
              <w:rFonts w:ascii="Arial" w:hAnsi="Arial" w:cs="Arial"/>
              <w:b/>
              <w:bCs/>
              <w:sz w:val="24"/>
              <w:szCs w:val="24"/>
            </w:rPr>
            <w:fldChar w:fldCharType="end"/>
          </w:r>
        </w:p>
      </w:sdtContent>
    </w:sdt>
    <w:p w14:paraId="50CFD32B" w14:textId="77777777" w:rsidR="006E523B" w:rsidRDefault="006E523B" w:rsidP="00733684">
      <w:pPr>
        <w:spacing w:line="360" w:lineRule="auto"/>
        <w:rPr>
          <w:rFonts w:ascii="Arial" w:hAnsi="Arial" w:cs="Arial"/>
          <w:sz w:val="24"/>
          <w:szCs w:val="24"/>
        </w:rPr>
      </w:pPr>
    </w:p>
    <w:p w14:paraId="20ABC2B5" w14:textId="77777777" w:rsidR="006E523B" w:rsidRDefault="006E523B" w:rsidP="00733684">
      <w:pPr>
        <w:spacing w:line="360" w:lineRule="auto"/>
        <w:rPr>
          <w:rFonts w:ascii="Arial" w:hAnsi="Arial" w:cs="Arial"/>
          <w:sz w:val="24"/>
          <w:szCs w:val="24"/>
        </w:rPr>
      </w:pPr>
    </w:p>
    <w:p w14:paraId="1A24A65C" w14:textId="77777777" w:rsidR="006E523B" w:rsidRDefault="006E523B" w:rsidP="00733684">
      <w:pPr>
        <w:spacing w:line="360" w:lineRule="auto"/>
        <w:rPr>
          <w:rFonts w:ascii="Arial" w:hAnsi="Arial" w:cs="Arial"/>
          <w:sz w:val="24"/>
          <w:szCs w:val="24"/>
        </w:rPr>
      </w:pPr>
    </w:p>
    <w:p w14:paraId="539B936E" w14:textId="77777777" w:rsidR="006E523B" w:rsidRDefault="006E523B" w:rsidP="00733684">
      <w:pPr>
        <w:spacing w:line="360" w:lineRule="auto"/>
        <w:rPr>
          <w:rFonts w:ascii="Arial" w:hAnsi="Arial" w:cs="Arial"/>
          <w:sz w:val="24"/>
          <w:szCs w:val="24"/>
        </w:rPr>
      </w:pPr>
    </w:p>
    <w:p w14:paraId="7E668766" w14:textId="77777777" w:rsidR="006E523B" w:rsidRDefault="006E523B" w:rsidP="00733684">
      <w:pPr>
        <w:spacing w:line="360" w:lineRule="auto"/>
        <w:rPr>
          <w:rFonts w:ascii="Arial" w:hAnsi="Arial" w:cs="Arial"/>
          <w:sz w:val="24"/>
          <w:szCs w:val="24"/>
        </w:rPr>
      </w:pPr>
    </w:p>
    <w:p w14:paraId="4EE2CACB" w14:textId="77777777" w:rsidR="006E523B" w:rsidRDefault="006E523B" w:rsidP="00733684">
      <w:pPr>
        <w:spacing w:line="360" w:lineRule="auto"/>
        <w:rPr>
          <w:rFonts w:ascii="Arial" w:hAnsi="Arial" w:cs="Arial"/>
          <w:sz w:val="24"/>
          <w:szCs w:val="24"/>
        </w:rPr>
      </w:pPr>
    </w:p>
    <w:p w14:paraId="7D4E8003" w14:textId="77777777" w:rsidR="006E523B" w:rsidRDefault="006E523B" w:rsidP="00733684">
      <w:pPr>
        <w:spacing w:line="360" w:lineRule="auto"/>
        <w:rPr>
          <w:rFonts w:ascii="Arial" w:hAnsi="Arial" w:cs="Arial"/>
          <w:sz w:val="24"/>
          <w:szCs w:val="24"/>
        </w:rPr>
      </w:pPr>
    </w:p>
    <w:p w14:paraId="43D0A5C5" w14:textId="77777777" w:rsidR="006E523B" w:rsidRDefault="006E523B" w:rsidP="00733684">
      <w:pPr>
        <w:spacing w:line="360" w:lineRule="auto"/>
        <w:rPr>
          <w:rFonts w:ascii="Arial" w:hAnsi="Arial" w:cs="Arial"/>
          <w:sz w:val="24"/>
          <w:szCs w:val="24"/>
        </w:rPr>
      </w:pPr>
    </w:p>
    <w:p w14:paraId="28D2C538" w14:textId="77777777" w:rsidR="006E523B" w:rsidRDefault="006E523B" w:rsidP="00733684">
      <w:pPr>
        <w:spacing w:line="360" w:lineRule="auto"/>
        <w:rPr>
          <w:rFonts w:ascii="Arial" w:hAnsi="Arial" w:cs="Arial"/>
          <w:sz w:val="24"/>
          <w:szCs w:val="24"/>
        </w:rPr>
      </w:pPr>
    </w:p>
    <w:p w14:paraId="3C043A39" w14:textId="77777777" w:rsidR="006E523B" w:rsidRDefault="006E523B" w:rsidP="00733684">
      <w:pPr>
        <w:spacing w:line="360" w:lineRule="auto"/>
        <w:rPr>
          <w:rFonts w:ascii="Arial" w:hAnsi="Arial" w:cs="Arial"/>
          <w:sz w:val="24"/>
          <w:szCs w:val="24"/>
        </w:rPr>
      </w:pPr>
    </w:p>
    <w:p w14:paraId="21199F19" w14:textId="77777777" w:rsidR="006E523B" w:rsidRDefault="006E523B" w:rsidP="00733684">
      <w:pPr>
        <w:spacing w:line="360" w:lineRule="auto"/>
        <w:rPr>
          <w:rFonts w:ascii="Arial" w:hAnsi="Arial" w:cs="Arial"/>
          <w:sz w:val="24"/>
          <w:szCs w:val="24"/>
        </w:rPr>
      </w:pPr>
    </w:p>
    <w:p w14:paraId="67513FBC" w14:textId="77777777" w:rsidR="004974B1" w:rsidRDefault="004974B1" w:rsidP="00733684">
      <w:pPr>
        <w:spacing w:line="360" w:lineRule="auto"/>
        <w:rPr>
          <w:rFonts w:ascii="Arial" w:hAnsi="Arial" w:cs="Arial"/>
          <w:sz w:val="24"/>
          <w:szCs w:val="24"/>
        </w:rPr>
      </w:pPr>
    </w:p>
    <w:p w14:paraId="1389256A" w14:textId="77777777" w:rsidR="006E523B" w:rsidRDefault="006E523B" w:rsidP="00733684">
      <w:pPr>
        <w:spacing w:line="360" w:lineRule="auto"/>
        <w:rPr>
          <w:rFonts w:ascii="Arial" w:hAnsi="Arial" w:cs="Arial"/>
          <w:sz w:val="24"/>
          <w:szCs w:val="24"/>
        </w:rPr>
      </w:pPr>
    </w:p>
    <w:p w14:paraId="5E682E41" w14:textId="38CFB615" w:rsidR="005F6993" w:rsidRPr="006E523B" w:rsidRDefault="005F6993" w:rsidP="006E523B">
      <w:pPr>
        <w:pStyle w:val="Heading2"/>
        <w:rPr>
          <w:rFonts w:ascii="Arial" w:hAnsi="Arial" w:cs="Arial"/>
          <w:color w:val="auto"/>
          <w:sz w:val="28"/>
          <w:szCs w:val="28"/>
        </w:rPr>
      </w:pPr>
      <w:bookmarkStart w:id="3" w:name="_Toc218991933"/>
      <w:r w:rsidRPr="006E523B">
        <w:rPr>
          <w:rFonts w:ascii="Arial" w:hAnsi="Arial" w:cs="Arial"/>
          <w:color w:val="auto"/>
          <w:sz w:val="28"/>
          <w:szCs w:val="28"/>
        </w:rPr>
        <w:lastRenderedPageBreak/>
        <w:t>INTRODUCTION</w:t>
      </w:r>
      <w:bookmarkEnd w:id="3"/>
    </w:p>
    <w:p w14:paraId="58361724" w14:textId="77777777" w:rsidR="00733684" w:rsidRDefault="00733684" w:rsidP="00733684">
      <w:pPr>
        <w:spacing w:after="0" w:line="360" w:lineRule="auto"/>
        <w:rPr>
          <w:rFonts w:ascii="Arial" w:hAnsi="Arial" w:cs="Arial"/>
          <w:sz w:val="24"/>
          <w:szCs w:val="24"/>
        </w:rPr>
      </w:pPr>
    </w:p>
    <w:p w14:paraId="1CB789DE" w14:textId="118FE44D" w:rsidR="00CE250A" w:rsidRPr="00733684" w:rsidRDefault="00CE250A"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Every year, ITB Asia is a three-day business-to-business (B2B) travel and tourism trade show and meeting held in Singapore at the Marina Bay Sands Expo and meeting Centre. ITB Asia is put on by Messe Berlin Asia Pacific and is billed as Asia Pacific's biggest travel trade show. It draws workers from the leisure, corporate, MICE, and travel technology industries.(Asia ,ITB ,</w:t>
      </w:r>
      <w:proofErr w:type="spellStart"/>
      <w:r w:rsidRPr="00733684">
        <w:rPr>
          <w:rFonts w:ascii="Arial" w:eastAsia="Times New Roman" w:hAnsi="Arial" w:cs="Arial"/>
          <w:kern w:val="0"/>
          <w:sz w:val="24"/>
          <w:szCs w:val="24"/>
          <w:lang w:eastAsia="en-GB"/>
          <w14:ligatures w14:val="none"/>
        </w:rPr>
        <w:t>nd</w:t>
      </w:r>
      <w:proofErr w:type="spellEnd"/>
      <w:r w:rsidRPr="00733684">
        <w:rPr>
          <w:rFonts w:ascii="Arial" w:eastAsia="Times New Roman" w:hAnsi="Arial" w:cs="Arial"/>
          <w:kern w:val="0"/>
          <w:sz w:val="24"/>
          <w:szCs w:val="24"/>
          <w:lang w:eastAsia="en-GB"/>
          <w14:ligatures w14:val="none"/>
        </w:rPr>
        <w:t>)</w:t>
      </w:r>
    </w:p>
    <w:p w14:paraId="3243865F" w14:textId="76D32E2F" w:rsidR="00CE250A" w:rsidRPr="00733684" w:rsidRDefault="00CE250A"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 xml:space="preserve"> ITB Asia 2025, which was held from October 15th to October 17th, 2025, was the 18th edition of the event and displayed substantial growth. It attracted more than 18,000 participants, more than 1,500 quality buyers, and generated more than 60,000 business appointments, which is a 35 percent increase compared to the previous years.</w:t>
      </w:r>
      <w:r w:rsidR="00DF4DDA" w:rsidRPr="00733684">
        <w:rPr>
          <w:rFonts w:ascii="Arial" w:eastAsia="Times New Roman" w:hAnsi="Arial" w:cs="Arial"/>
          <w:kern w:val="0"/>
          <w:sz w:val="24"/>
          <w:szCs w:val="24"/>
          <w:lang w:eastAsia="en-GB"/>
          <w14:ligatures w14:val="none"/>
        </w:rPr>
        <w:t>(ITB Asia,2025)</w:t>
      </w:r>
    </w:p>
    <w:p w14:paraId="27CFA11F" w14:textId="77F66F8F" w:rsidR="00E340E8" w:rsidRPr="00733684" w:rsidRDefault="00E340E8"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MICE Show Asia and Travel Tech Asia are co-located with this event, which results in the creation of an integrated ecosystem that supports the development of the meetings and incentives business, as well as technical innovation and trade exhibitions.(ITB Community ,2025)</w:t>
      </w:r>
    </w:p>
    <w:p w14:paraId="565328FF" w14:textId="77777777" w:rsidR="00A9691B" w:rsidRPr="00A9691B" w:rsidRDefault="00A9691B" w:rsidP="00A9691B">
      <w:pPr>
        <w:spacing w:after="0" w:line="360" w:lineRule="auto"/>
        <w:rPr>
          <w:rFonts w:ascii="Times New Roman" w:eastAsia="Times New Roman" w:hAnsi="Times New Roman" w:cs="Times New Roman"/>
          <w:kern w:val="0"/>
          <w:sz w:val="24"/>
          <w:szCs w:val="24"/>
          <w:lang w:eastAsia="en-GB"/>
          <w14:ligatures w14:val="none"/>
        </w:rPr>
      </w:pPr>
      <w:r w:rsidRPr="00A9691B">
        <w:rPr>
          <w:rFonts w:ascii="Arial" w:eastAsia="Times New Roman" w:hAnsi="Arial" w:cs="Arial"/>
          <w:kern w:val="0"/>
          <w:sz w:val="24"/>
          <w:szCs w:val="24"/>
          <w:lang w:eastAsia="en-GB"/>
          <w14:ligatures w14:val="none"/>
        </w:rPr>
        <w:t>ITB Asia is a global event due to Singapore's strategic location, world-class facilities, and government support for MICE races. This research critically evaluates ITB Asia's significance in the global MICE market and how it impacts the hotel sector and Singapore's standing as a top business event location</w:t>
      </w:r>
      <w:r w:rsidRPr="00A9691B">
        <w:rPr>
          <w:rFonts w:ascii="Times New Roman" w:eastAsia="Times New Roman" w:hAnsi="Times New Roman" w:cs="Times New Roman"/>
          <w:kern w:val="0"/>
          <w:sz w:val="24"/>
          <w:szCs w:val="24"/>
          <w:lang w:eastAsia="en-GB"/>
          <w14:ligatures w14:val="none"/>
        </w:rPr>
        <w:t>.</w:t>
      </w:r>
    </w:p>
    <w:p w14:paraId="673CD628" w14:textId="1F349611" w:rsidR="00733684" w:rsidRPr="00733684" w:rsidRDefault="00733684" w:rsidP="00733684">
      <w:pPr>
        <w:spacing w:after="0" w:line="360" w:lineRule="auto"/>
        <w:rPr>
          <w:rFonts w:ascii="Arial" w:eastAsia="Times New Roman" w:hAnsi="Arial" w:cs="Arial"/>
          <w:kern w:val="0"/>
          <w:sz w:val="24"/>
          <w:szCs w:val="24"/>
          <w:lang w:eastAsia="en-GB"/>
          <w14:ligatures w14:val="none"/>
        </w:rPr>
      </w:pPr>
    </w:p>
    <w:p w14:paraId="20D1A58A" w14:textId="77777777" w:rsidR="00E340E8" w:rsidRPr="006E523B" w:rsidRDefault="00E340E8" w:rsidP="00733684">
      <w:pPr>
        <w:spacing w:line="360" w:lineRule="auto"/>
        <w:rPr>
          <w:rFonts w:ascii="Arial" w:eastAsia="Times New Roman" w:hAnsi="Arial" w:cs="Arial"/>
          <w:kern w:val="0"/>
          <w:sz w:val="28"/>
          <w:szCs w:val="28"/>
          <w:lang w:eastAsia="en-GB"/>
          <w14:ligatures w14:val="none"/>
        </w:rPr>
      </w:pPr>
    </w:p>
    <w:p w14:paraId="24274E3A" w14:textId="701C6247" w:rsidR="00E340E8" w:rsidRPr="006E523B" w:rsidRDefault="00DF4DDA" w:rsidP="006E523B">
      <w:pPr>
        <w:pStyle w:val="Heading2"/>
        <w:rPr>
          <w:rFonts w:ascii="Arial" w:eastAsia="Times New Roman" w:hAnsi="Arial" w:cs="Arial"/>
          <w:color w:val="auto"/>
          <w:sz w:val="28"/>
          <w:szCs w:val="28"/>
          <w:lang w:eastAsia="en-GB"/>
        </w:rPr>
      </w:pPr>
      <w:bookmarkStart w:id="4" w:name="_Toc218991934"/>
      <w:r w:rsidRPr="006E523B">
        <w:rPr>
          <w:rFonts w:ascii="Arial" w:eastAsia="Times New Roman" w:hAnsi="Arial" w:cs="Arial"/>
          <w:color w:val="auto"/>
          <w:sz w:val="28"/>
          <w:szCs w:val="28"/>
          <w:lang w:eastAsia="en-GB"/>
        </w:rPr>
        <w:t>E</w:t>
      </w:r>
      <w:r w:rsidR="006E523B">
        <w:rPr>
          <w:rFonts w:ascii="Arial" w:eastAsia="Times New Roman" w:hAnsi="Arial" w:cs="Arial"/>
          <w:color w:val="auto"/>
          <w:sz w:val="28"/>
          <w:szCs w:val="28"/>
          <w:lang w:eastAsia="en-GB"/>
        </w:rPr>
        <w:t>VENT OVERVIEW AND STAKEHOLDERS</w:t>
      </w:r>
      <w:bookmarkEnd w:id="4"/>
    </w:p>
    <w:p w14:paraId="6D4BADAF" w14:textId="77777777" w:rsidR="00591573" w:rsidRDefault="00591573" w:rsidP="00733684">
      <w:pPr>
        <w:spacing w:after="0" w:line="360" w:lineRule="auto"/>
        <w:rPr>
          <w:rFonts w:ascii="Arial" w:eastAsia="Times New Roman" w:hAnsi="Arial" w:cs="Arial"/>
          <w:kern w:val="0"/>
          <w:sz w:val="24"/>
          <w:szCs w:val="24"/>
          <w:lang w:eastAsia="en-GB"/>
          <w14:ligatures w14:val="none"/>
        </w:rPr>
      </w:pPr>
    </w:p>
    <w:p w14:paraId="733681FC" w14:textId="7A50153D" w:rsidR="00DF4DDA" w:rsidRPr="00733684" w:rsidRDefault="00DF4DDA"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ITB Asia is a mix of a trade show and a conference for the B2B travel industry. It serves as an annual gathering place where foreign exhibitors may show off their goods and services</w:t>
      </w:r>
      <w:r w:rsidR="00C2511E" w:rsidRPr="00733684">
        <w:rPr>
          <w:rFonts w:ascii="Arial" w:eastAsia="Times New Roman" w:hAnsi="Arial" w:cs="Arial"/>
          <w:kern w:val="0"/>
          <w:sz w:val="24"/>
          <w:szCs w:val="24"/>
          <w:lang w:eastAsia="en-GB"/>
          <w14:ligatures w14:val="none"/>
        </w:rPr>
        <w:t>,</w:t>
      </w:r>
      <w:r w:rsidRPr="00733684">
        <w:rPr>
          <w:rFonts w:ascii="Arial" w:eastAsia="Times New Roman" w:hAnsi="Arial" w:cs="Arial"/>
          <w:kern w:val="0"/>
          <w:sz w:val="24"/>
          <w:szCs w:val="24"/>
          <w:lang w:eastAsia="en-GB"/>
          <w14:ligatures w14:val="none"/>
        </w:rPr>
        <w:t xml:space="preserve"> and buyers can interact in structured ways to develop business partnerships. </w:t>
      </w:r>
      <w:r w:rsidRPr="00733684">
        <w:rPr>
          <w:rFonts w:ascii="Arial" w:eastAsia="Times New Roman" w:hAnsi="Arial" w:cs="Arial"/>
          <w:kern w:val="0"/>
          <w:sz w:val="24"/>
          <w:szCs w:val="24"/>
          <w:lang w:eastAsia="en-GB"/>
          <w14:ligatures w14:val="none"/>
        </w:rPr>
        <w:br/>
        <w:t xml:space="preserve">The size of ITB Asia 2025 shows how important it is </w:t>
      </w:r>
      <w:r w:rsidR="00C2511E" w:rsidRPr="00733684">
        <w:rPr>
          <w:rFonts w:ascii="Arial" w:eastAsia="Times New Roman" w:hAnsi="Arial" w:cs="Arial"/>
          <w:kern w:val="0"/>
          <w:sz w:val="24"/>
          <w:szCs w:val="24"/>
          <w:lang w:eastAsia="en-GB"/>
          <w14:ligatures w14:val="none"/>
        </w:rPr>
        <w:t>to get</w:t>
      </w:r>
      <w:r w:rsidRPr="00733684">
        <w:rPr>
          <w:rFonts w:ascii="Arial" w:eastAsia="Times New Roman" w:hAnsi="Arial" w:cs="Arial"/>
          <w:kern w:val="0"/>
          <w:sz w:val="24"/>
          <w:szCs w:val="24"/>
          <w:lang w:eastAsia="en-GB"/>
          <w14:ligatures w14:val="none"/>
        </w:rPr>
        <w:t xml:space="preserve"> on a global and regional level. The event took up five exposition halls at the Sands Expo and Convention Centre, which is the </w:t>
      </w:r>
      <w:r w:rsidR="00C2511E" w:rsidRPr="00733684">
        <w:rPr>
          <w:rFonts w:ascii="Arial" w:eastAsia="Times New Roman" w:hAnsi="Arial" w:cs="Arial"/>
          <w:kern w:val="0"/>
          <w:sz w:val="24"/>
          <w:szCs w:val="24"/>
          <w:lang w:eastAsia="en-GB"/>
          <w14:ligatures w14:val="none"/>
        </w:rPr>
        <w:t>largest</w:t>
      </w:r>
      <w:r w:rsidRPr="00733684">
        <w:rPr>
          <w:rFonts w:ascii="Arial" w:eastAsia="Times New Roman" w:hAnsi="Arial" w:cs="Arial"/>
          <w:kern w:val="0"/>
          <w:sz w:val="24"/>
          <w:szCs w:val="24"/>
          <w:lang w:eastAsia="en-GB"/>
          <w14:ligatures w14:val="none"/>
        </w:rPr>
        <w:t xml:space="preserve"> space it has ever used. It brought together leaders from a wide range of fields, including MICE, corporate travel, leisure travel, and travel technology.</w:t>
      </w:r>
    </w:p>
    <w:p w14:paraId="4D8478A7" w14:textId="0BF14D08" w:rsidR="00A05360" w:rsidRPr="00733684" w:rsidRDefault="00DF4DDA"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lastRenderedPageBreak/>
        <w:t>According to official data, more than 1,500 of the most influential purchasers were present at the event. These buyers came from a wide range of worldwide locations, including Africa, Central Asia, and the Indian subcontinent, which served to further emphasise the event's geographical variety and strategic reach.(ITB Asia ,2025)</w:t>
      </w:r>
    </w:p>
    <w:p w14:paraId="0EC8F1A7" w14:textId="66F55E4E" w:rsidR="00A05360" w:rsidRPr="00591573" w:rsidRDefault="00A05360" w:rsidP="00733684">
      <w:pPr>
        <w:spacing w:line="360" w:lineRule="auto"/>
        <w:rPr>
          <w:rFonts w:ascii="Times New Roman" w:eastAsia="Times New Roman" w:hAnsi="Times New Roman" w:cs="Times New Roman"/>
          <w:kern w:val="0"/>
          <w:sz w:val="24"/>
          <w:szCs w:val="24"/>
          <w:lang w:eastAsia="en-GB"/>
          <w14:ligatures w14:val="none"/>
        </w:rPr>
      </w:pPr>
      <w:r w:rsidRPr="00733684">
        <w:rPr>
          <w:rFonts w:ascii="Arial" w:hAnsi="Arial" w:cs="Arial"/>
          <w:sz w:val="24"/>
          <w:szCs w:val="24"/>
        </w:rPr>
        <w:t xml:space="preserve">According to </w:t>
      </w:r>
      <w:r w:rsidR="00C2511E" w:rsidRPr="00733684">
        <w:rPr>
          <w:rFonts w:ascii="Arial" w:hAnsi="Arial" w:cs="Arial"/>
          <w:sz w:val="24"/>
          <w:szCs w:val="24"/>
        </w:rPr>
        <w:t xml:space="preserve">Fernando , J, </w:t>
      </w:r>
      <w:r w:rsidRPr="00591573">
        <w:rPr>
          <w:rFonts w:ascii="Arial" w:hAnsi="Arial" w:cs="Arial"/>
          <w:sz w:val="24"/>
          <w:szCs w:val="24"/>
        </w:rPr>
        <w:t>2025</w:t>
      </w:r>
      <w:r w:rsidR="00591573">
        <w:rPr>
          <w:rFonts w:ascii="Arial" w:eastAsia="Times New Roman" w:hAnsi="Arial" w:cs="Arial"/>
          <w:kern w:val="0"/>
          <w:sz w:val="24"/>
          <w:szCs w:val="24"/>
          <w:lang w:eastAsia="en-GB"/>
          <w14:ligatures w14:val="none"/>
        </w:rPr>
        <w:t xml:space="preserve"> g</w:t>
      </w:r>
      <w:r w:rsidR="00591573" w:rsidRPr="00591573">
        <w:rPr>
          <w:rFonts w:ascii="Arial" w:eastAsia="Times New Roman" w:hAnsi="Arial" w:cs="Arial"/>
          <w:kern w:val="0"/>
          <w:sz w:val="24"/>
          <w:szCs w:val="24"/>
          <w:lang w:eastAsia="en-GB"/>
          <w14:ligatures w14:val="none"/>
        </w:rPr>
        <w:t>roups or individuals with a direct interest in the success or failure of a business or project are stakeholders. Business stakeholders might be inside or outside the corporation, depending on their relationship. Investors, shareholders, employees, suppliers, customers, communities, trade associations, and governments are examples</w:t>
      </w:r>
      <w:r w:rsidR="00591573" w:rsidRPr="00591573">
        <w:rPr>
          <w:rFonts w:ascii="Times New Roman" w:eastAsia="Times New Roman" w:hAnsi="Times New Roman" w:cs="Times New Roman"/>
          <w:kern w:val="0"/>
          <w:sz w:val="24"/>
          <w:szCs w:val="24"/>
          <w:lang w:eastAsia="en-GB"/>
          <w14:ligatures w14:val="none"/>
        </w:rPr>
        <w:t>.</w:t>
      </w:r>
    </w:p>
    <w:p w14:paraId="60BC6126" w14:textId="2A78EC75" w:rsidR="00A05360" w:rsidRPr="00733684" w:rsidRDefault="00C2511E"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Ke</w:t>
      </w:r>
      <w:r w:rsidR="00A05360" w:rsidRPr="00733684">
        <w:rPr>
          <w:rFonts w:ascii="Arial" w:eastAsia="Times New Roman" w:hAnsi="Arial" w:cs="Arial"/>
          <w:kern w:val="0"/>
          <w:sz w:val="24"/>
          <w:szCs w:val="24"/>
          <w:lang w:eastAsia="en-GB"/>
          <w14:ligatures w14:val="none"/>
        </w:rPr>
        <w:t xml:space="preserve">y stakeholders at ITB Asia are: </w:t>
      </w:r>
    </w:p>
    <w:p w14:paraId="7610743B" w14:textId="2433E943" w:rsidR="00A05360" w:rsidRPr="00733684" w:rsidRDefault="00C2511E"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Organisers</w:t>
      </w:r>
      <w:r w:rsidR="00A05360" w:rsidRPr="00733684">
        <w:rPr>
          <w:rFonts w:ascii="Arial" w:eastAsia="Times New Roman" w:hAnsi="Arial" w:cs="Arial"/>
          <w:kern w:val="0"/>
          <w:sz w:val="24"/>
          <w:szCs w:val="24"/>
          <w:lang w:eastAsia="en-GB"/>
          <w14:ligatures w14:val="none"/>
        </w:rPr>
        <w:t>: Messe Berlin Asia Pacific is in charge of planning events, handling logistics, working with stakeholders, and making strategic relationships.</w:t>
      </w:r>
    </w:p>
    <w:p w14:paraId="16BBF722" w14:textId="1327FA14" w:rsidR="00EC4394" w:rsidRPr="00733684" w:rsidRDefault="00C2511E"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Exhibitors</w:t>
      </w:r>
      <w:r w:rsidR="00A05360" w:rsidRPr="00733684">
        <w:rPr>
          <w:rFonts w:ascii="Arial" w:eastAsia="Times New Roman" w:hAnsi="Arial" w:cs="Arial"/>
          <w:kern w:val="0"/>
          <w:sz w:val="24"/>
          <w:szCs w:val="24"/>
          <w:lang w:eastAsia="en-GB"/>
          <w14:ligatures w14:val="none"/>
        </w:rPr>
        <w:t xml:space="preserve">: </w:t>
      </w:r>
      <w:r w:rsidR="00EC4394" w:rsidRPr="00733684">
        <w:rPr>
          <w:rFonts w:ascii="Arial" w:eastAsia="Times New Roman" w:hAnsi="Arial" w:cs="Arial"/>
          <w:kern w:val="0"/>
          <w:sz w:val="24"/>
          <w:szCs w:val="24"/>
          <w:lang w:eastAsia="en-GB"/>
          <w14:ligatures w14:val="none"/>
        </w:rPr>
        <w:t>National tourist boards, destination marketing agencies, hotels, airlines, cruise lines, and travel technology businesses.</w:t>
      </w:r>
    </w:p>
    <w:p w14:paraId="13B5B922" w14:textId="41C5F722" w:rsidR="00EC4394" w:rsidRPr="00733684" w:rsidRDefault="00EC4394"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Buyers : Professionals in high-level buying and decision-making met for pre-planned meetings.</w:t>
      </w:r>
    </w:p>
    <w:p w14:paraId="1DD870EF" w14:textId="2E1F554F" w:rsidR="00EC4394" w:rsidRPr="00733684" w:rsidRDefault="00EC4394"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Sponsors and partners: Global brands will help with theme zones and content tracks.</w:t>
      </w:r>
    </w:p>
    <w:p w14:paraId="08083361" w14:textId="58AFF5DB" w:rsidR="00EC4394" w:rsidRPr="00733684" w:rsidRDefault="00EC4394"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Venue operators: Staff and partners at Marina Bay Sands are in charge of operations and services.</w:t>
      </w:r>
    </w:p>
    <w:p w14:paraId="1061FB0E" w14:textId="39A3F1A8" w:rsidR="00EC4394" w:rsidRPr="00733684" w:rsidRDefault="00C2511E"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Hotels</w:t>
      </w:r>
      <w:r w:rsidR="00EC4394" w:rsidRPr="00733684">
        <w:rPr>
          <w:rFonts w:ascii="Arial" w:eastAsia="Times New Roman" w:hAnsi="Arial" w:cs="Arial"/>
          <w:kern w:val="0"/>
          <w:sz w:val="24"/>
          <w:szCs w:val="24"/>
          <w:lang w:eastAsia="en-GB"/>
          <w14:ligatures w14:val="none"/>
        </w:rPr>
        <w:t xml:space="preserve"> </w:t>
      </w:r>
      <w:r w:rsidRPr="00733684">
        <w:rPr>
          <w:rFonts w:ascii="Arial" w:eastAsia="Times New Roman" w:hAnsi="Arial" w:cs="Arial"/>
          <w:kern w:val="0"/>
          <w:sz w:val="24"/>
          <w:szCs w:val="24"/>
          <w:lang w:eastAsia="en-GB"/>
          <w14:ligatures w14:val="none"/>
        </w:rPr>
        <w:t>a</w:t>
      </w:r>
      <w:r w:rsidR="00EC4394" w:rsidRPr="00733684">
        <w:rPr>
          <w:rFonts w:ascii="Arial" w:eastAsia="Times New Roman" w:hAnsi="Arial" w:cs="Arial"/>
          <w:kern w:val="0"/>
          <w:sz w:val="24"/>
          <w:szCs w:val="24"/>
          <w:lang w:eastAsia="en-GB"/>
          <w14:ligatures w14:val="none"/>
        </w:rPr>
        <w:t xml:space="preserve">nd </w:t>
      </w:r>
      <w:r w:rsidRPr="00733684">
        <w:rPr>
          <w:rFonts w:ascii="Arial" w:eastAsia="Times New Roman" w:hAnsi="Arial" w:cs="Arial"/>
          <w:kern w:val="0"/>
          <w:sz w:val="24"/>
          <w:szCs w:val="24"/>
          <w:lang w:eastAsia="en-GB"/>
          <w14:ligatures w14:val="none"/>
        </w:rPr>
        <w:t>accommodation</w:t>
      </w:r>
      <w:r w:rsidR="00EC4394" w:rsidRPr="00733684">
        <w:rPr>
          <w:rFonts w:ascii="Arial" w:eastAsia="Times New Roman" w:hAnsi="Arial" w:cs="Arial"/>
          <w:kern w:val="0"/>
          <w:sz w:val="24"/>
          <w:szCs w:val="24"/>
          <w:lang w:eastAsia="en-GB"/>
          <w14:ligatures w14:val="none"/>
        </w:rPr>
        <w:t xml:space="preserve"> providers: Multiple local and foreign hotel chains are taking part as exhibitors and housing partners, taking advantage of the large number of delegates.</w:t>
      </w:r>
    </w:p>
    <w:p w14:paraId="041287DB" w14:textId="617A809D" w:rsidR="00EC4394" w:rsidRPr="00733684" w:rsidRDefault="00EC4394"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The objective of the International Tourism Bureau of Asia (ITB Asia) is to become "the premier meeting place for the travel trade industry." It is a site where relationships are formed and future industry trends are defined, which makes it a critical node in the global MICE ecosystem. Its press releases underscore this mission.</w:t>
      </w:r>
      <w:r w:rsidR="00C2511E" w:rsidRPr="00733684">
        <w:rPr>
          <w:rFonts w:ascii="Arial" w:eastAsia="Times New Roman" w:hAnsi="Arial" w:cs="Arial"/>
          <w:kern w:val="0"/>
          <w:sz w:val="24"/>
          <w:szCs w:val="24"/>
          <w:lang w:eastAsia="en-GB"/>
          <w14:ligatures w14:val="none"/>
        </w:rPr>
        <w:t xml:space="preserve"> </w:t>
      </w:r>
      <w:r w:rsidRPr="00733684">
        <w:rPr>
          <w:rFonts w:ascii="Arial" w:eastAsia="Times New Roman" w:hAnsi="Arial" w:cs="Arial"/>
          <w:kern w:val="0"/>
          <w:sz w:val="24"/>
          <w:szCs w:val="24"/>
          <w:lang w:eastAsia="en-GB"/>
          <w14:ligatures w14:val="none"/>
        </w:rPr>
        <w:t>(Messe BERLIN,2026)</w:t>
      </w:r>
    </w:p>
    <w:p w14:paraId="38F4D5BD" w14:textId="77777777" w:rsidR="00E340E8" w:rsidRDefault="00E340E8" w:rsidP="00733684">
      <w:pPr>
        <w:spacing w:line="360" w:lineRule="auto"/>
        <w:rPr>
          <w:rFonts w:ascii="Arial" w:hAnsi="Arial" w:cs="Arial"/>
          <w:sz w:val="24"/>
          <w:szCs w:val="24"/>
        </w:rPr>
      </w:pPr>
    </w:p>
    <w:p w14:paraId="2D0ABFCA" w14:textId="77777777" w:rsidR="004974B1" w:rsidRPr="00733684" w:rsidRDefault="004974B1" w:rsidP="00733684">
      <w:pPr>
        <w:spacing w:line="360" w:lineRule="auto"/>
        <w:rPr>
          <w:rFonts w:ascii="Arial" w:hAnsi="Arial" w:cs="Arial"/>
          <w:sz w:val="24"/>
          <w:szCs w:val="24"/>
        </w:rPr>
      </w:pPr>
    </w:p>
    <w:p w14:paraId="51F66D9D" w14:textId="431ACC66" w:rsidR="005F6993" w:rsidRPr="006E523B" w:rsidRDefault="005F6993" w:rsidP="006E523B">
      <w:pPr>
        <w:pStyle w:val="Heading2"/>
        <w:rPr>
          <w:rFonts w:ascii="Arial" w:hAnsi="Arial" w:cs="Arial"/>
          <w:color w:val="auto"/>
          <w:sz w:val="28"/>
          <w:szCs w:val="28"/>
        </w:rPr>
      </w:pPr>
      <w:bookmarkStart w:id="5" w:name="_Toc218991935"/>
      <w:r w:rsidRPr="006E523B">
        <w:rPr>
          <w:rFonts w:ascii="Arial" w:hAnsi="Arial" w:cs="Arial"/>
          <w:color w:val="auto"/>
          <w:sz w:val="28"/>
          <w:szCs w:val="28"/>
        </w:rPr>
        <w:lastRenderedPageBreak/>
        <w:t>MARKETING AND COMMUNICATION</w:t>
      </w:r>
      <w:bookmarkEnd w:id="5"/>
      <w:r w:rsidRPr="006E523B">
        <w:rPr>
          <w:rFonts w:ascii="Arial" w:hAnsi="Arial" w:cs="Arial"/>
          <w:color w:val="auto"/>
          <w:sz w:val="28"/>
          <w:szCs w:val="28"/>
        </w:rPr>
        <w:t xml:space="preserve"> </w:t>
      </w:r>
    </w:p>
    <w:p w14:paraId="62FE63D4" w14:textId="77777777" w:rsidR="00733684" w:rsidRDefault="00733684" w:rsidP="00733684">
      <w:pPr>
        <w:spacing w:line="360" w:lineRule="auto"/>
        <w:rPr>
          <w:rFonts w:ascii="Arial" w:hAnsi="Arial" w:cs="Arial"/>
          <w:sz w:val="24"/>
          <w:szCs w:val="24"/>
        </w:rPr>
      </w:pPr>
    </w:p>
    <w:p w14:paraId="41BE220E" w14:textId="7597FE29" w:rsidR="00B5720A" w:rsidRPr="00733684" w:rsidRDefault="00B5720A" w:rsidP="00733684">
      <w:pPr>
        <w:spacing w:line="360" w:lineRule="auto"/>
        <w:rPr>
          <w:rFonts w:ascii="Arial" w:eastAsia="Times New Roman" w:hAnsi="Arial" w:cs="Arial"/>
          <w:kern w:val="0"/>
          <w:sz w:val="24"/>
          <w:szCs w:val="24"/>
          <w:lang w:eastAsia="en-GB"/>
          <w14:ligatures w14:val="none"/>
        </w:rPr>
      </w:pPr>
      <w:r w:rsidRPr="00733684">
        <w:rPr>
          <w:rFonts w:ascii="Arial" w:hAnsi="Arial" w:cs="Arial"/>
          <w:sz w:val="24"/>
          <w:szCs w:val="24"/>
        </w:rPr>
        <w:t xml:space="preserve">According to Messe B,2026 </w:t>
      </w:r>
      <w:r w:rsidRPr="00733684">
        <w:rPr>
          <w:rFonts w:ascii="Arial" w:eastAsia="Times New Roman" w:hAnsi="Arial" w:cs="Arial"/>
          <w:kern w:val="0"/>
          <w:sz w:val="24"/>
          <w:szCs w:val="24"/>
          <w:lang w:eastAsia="en-GB"/>
          <w14:ligatures w14:val="none"/>
        </w:rPr>
        <w:t>ITB Asia uses a variety of marketing channels, such as its website, targeted industry news releases, social media, partner promotions, and unique buyer programs. The event's official website is the main marketing hub. It has a lot of information about the dates, exhibitors, conference tracks, and chances for stakeholders.</w:t>
      </w:r>
    </w:p>
    <w:p w14:paraId="022FADF3" w14:textId="7AF4F3AA" w:rsidR="00B5720A" w:rsidRPr="00733684" w:rsidRDefault="00B5720A" w:rsidP="00733684">
      <w:pPr>
        <w:spacing w:line="360" w:lineRule="auto"/>
        <w:rPr>
          <w:rFonts w:ascii="Arial" w:eastAsia="Times New Roman" w:hAnsi="Arial" w:cs="Arial"/>
          <w:kern w:val="0"/>
          <w:sz w:val="24"/>
          <w:szCs w:val="24"/>
          <w:lang w:eastAsia="en-GB"/>
          <w14:ligatures w14:val="none"/>
        </w:rPr>
      </w:pPr>
      <w:bookmarkStart w:id="6" w:name="_Hlk218988988"/>
      <w:r w:rsidRPr="00733684">
        <w:rPr>
          <w:rFonts w:ascii="Arial" w:eastAsia="Times New Roman" w:hAnsi="Arial" w:cs="Arial"/>
          <w:kern w:val="0"/>
          <w:sz w:val="24"/>
          <w:szCs w:val="24"/>
          <w:lang w:eastAsia="en-GB"/>
          <w14:ligatures w14:val="none"/>
        </w:rPr>
        <w:t>Press releases from 2025 talked about record business appointments and bigger event spaces, but they also talked about important issues like innovation, sustainability, and strategic collaboration. These are themes that decision makers in the MICE sector are really interested in. The "Elite Buyer Networking" program was also advertised to draw in high-quality buyers. It focused on chances for one-on-one interactions with leading exhibitors, which reinforced the event's business-focused image.</w:t>
      </w:r>
      <w:r w:rsidR="000E3491" w:rsidRPr="00733684">
        <w:rPr>
          <w:rFonts w:ascii="Arial" w:eastAsia="Times New Roman" w:hAnsi="Arial" w:cs="Arial"/>
          <w:kern w:val="0"/>
          <w:sz w:val="24"/>
          <w:szCs w:val="24"/>
          <w:lang w:eastAsia="en-GB"/>
          <w14:ligatures w14:val="none"/>
        </w:rPr>
        <w:t xml:space="preserve"> ITB Asia also uses third-party media and industry channels to get more attention. Coverage in places like Journal des Palaces showed record engagement and strategic alliances. This helped to reinforce messages about innovation and working together in the industry</w:t>
      </w:r>
      <w:bookmarkEnd w:id="6"/>
      <w:r w:rsidR="000E3491" w:rsidRPr="00733684">
        <w:rPr>
          <w:rFonts w:ascii="Arial" w:eastAsia="Times New Roman" w:hAnsi="Arial" w:cs="Arial"/>
          <w:kern w:val="0"/>
          <w:sz w:val="24"/>
          <w:szCs w:val="24"/>
          <w:lang w:eastAsia="en-GB"/>
          <w14:ligatures w14:val="none"/>
        </w:rPr>
        <w:t>.</w:t>
      </w:r>
      <w:r w:rsidRPr="00733684">
        <w:rPr>
          <w:rFonts w:ascii="Arial" w:eastAsia="Times New Roman" w:hAnsi="Arial" w:cs="Arial"/>
          <w:kern w:val="0"/>
          <w:sz w:val="24"/>
          <w:szCs w:val="24"/>
          <w:lang w:eastAsia="en-GB"/>
          <w14:ligatures w14:val="none"/>
        </w:rPr>
        <w:t xml:space="preserve"> (ITB Asia ,2025)</w:t>
      </w:r>
    </w:p>
    <w:p w14:paraId="29726212" w14:textId="0FB76E76" w:rsidR="000E3491" w:rsidRPr="00733684" w:rsidRDefault="000E3491"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 xml:space="preserve">According to Luxury </w:t>
      </w:r>
      <w:r w:rsidR="00C2511E" w:rsidRPr="00733684">
        <w:rPr>
          <w:rFonts w:ascii="Arial" w:eastAsia="Times New Roman" w:hAnsi="Arial" w:cs="Arial"/>
          <w:kern w:val="0"/>
          <w:sz w:val="24"/>
          <w:szCs w:val="24"/>
          <w:lang w:eastAsia="en-GB"/>
          <w14:ligatures w14:val="none"/>
        </w:rPr>
        <w:t>Travel</w:t>
      </w:r>
      <w:r w:rsidRPr="00733684">
        <w:rPr>
          <w:rFonts w:ascii="Arial" w:eastAsia="Times New Roman" w:hAnsi="Arial" w:cs="Arial"/>
          <w:kern w:val="0"/>
          <w:sz w:val="24"/>
          <w:szCs w:val="24"/>
          <w:lang w:eastAsia="en-GB"/>
          <w14:ligatures w14:val="none"/>
        </w:rPr>
        <w:t xml:space="preserve"> and Global </w:t>
      </w:r>
      <w:r w:rsidR="00C2511E" w:rsidRPr="00733684">
        <w:rPr>
          <w:rFonts w:ascii="Arial" w:eastAsia="Times New Roman" w:hAnsi="Arial" w:cs="Arial"/>
          <w:kern w:val="0"/>
          <w:sz w:val="24"/>
          <w:szCs w:val="24"/>
          <w:lang w:eastAsia="en-GB"/>
          <w14:ligatures w14:val="none"/>
        </w:rPr>
        <w:t>Business</w:t>
      </w:r>
      <w:r w:rsidRPr="00733684">
        <w:rPr>
          <w:rFonts w:ascii="Arial" w:eastAsia="Times New Roman" w:hAnsi="Arial" w:cs="Arial"/>
          <w:kern w:val="0"/>
          <w:sz w:val="24"/>
          <w:szCs w:val="24"/>
          <w:lang w:eastAsia="en-GB"/>
          <w14:ligatures w14:val="none"/>
        </w:rPr>
        <w:t xml:space="preserve">,2025 </w:t>
      </w:r>
      <w:r w:rsidR="00C2511E" w:rsidRPr="00733684">
        <w:rPr>
          <w:rFonts w:ascii="Arial" w:eastAsia="Times New Roman" w:hAnsi="Arial" w:cs="Arial"/>
          <w:kern w:val="0"/>
          <w:sz w:val="24"/>
          <w:szCs w:val="24"/>
          <w:lang w:eastAsia="en-GB"/>
          <w14:ligatures w14:val="none"/>
        </w:rPr>
        <w:t>vi</w:t>
      </w:r>
      <w:r w:rsidRPr="00733684">
        <w:rPr>
          <w:rFonts w:ascii="Arial" w:eastAsia="Times New Roman" w:hAnsi="Arial" w:cs="Arial"/>
          <w:kern w:val="0"/>
          <w:sz w:val="24"/>
          <w:szCs w:val="24"/>
          <w:lang w:eastAsia="en-GB"/>
          <w14:ligatures w14:val="none"/>
        </w:rPr>
        <w:t>deo content makes marketing even more effective. For instance, YouTube's official event highlights video shows keynotes, exhibition halls, networking activities, and interviews with industry experts. This helps make ITB Asia look like a lively centre for global travel and MICE participation.</w:t>
      </w:r>
    </w:p>
    <w:p w14:paraId="53B9EF79" w14:textId="77777777" w:rsidR="007F1A4C" w:rsidRDefault="000E3491" w:rsidP="007F1A4C">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Additionally, these strategies successfully increase professional engagement and strengthen brand positioning. However, more personalised outreach, especially through data-driven email campaigns and AI-supported segmentation, could further improve targeted stakeholder conversion.</w:t>
      </w:r>
    </w:p>
    <w:p w14:paraId="628FA66C" w14:textId="77777777" w:rsidR="007F1A4C" w:rsidRDefault="007F1A4C" w:rsidP="007F1A4C">
      <w:pPr>
        <w:spacing w:after="0" w:line="360" w:lineRule="auto"/>
        <w:rPr>
          <w:rFonts w:ascii="Arial" w:hAnsi="Arial" w:cs="Arial"/>
          <w:sz w:val="24"/>
          <w:szCs w:val="24"/>
        </w:rPr>
      </w:pPr>
    </w:p>
    <w:p w14:paraId="45CF3DBF" w14:textId="35A831D0" w:rsidR="000E3491" w:rsidRPr="006E523B" w:rsidRDefault="006E523B" w:rsidP="006E523B">
      <w:pPr>
        <w:pStyle w:val="Heading2"/>
        <w:rPr>
          <w:rFonts w:ascii="Arial" w:hAnsi="Arial" w:cs="Arial"/>
          <w:color w:val="auto"/>
          <w:sz w:val="28"/>
          <w:szCs w:val="28"/>
        </w:rPr>
      </w:pPr>
      <w:bookmarkStart w:id="7" w:name="_Toc218991936"/>
      <w:r w:rsidRPr="006E523B">
        <w:rPr>
          <w:rFonts w:ascii="Arial" w:hAnsi="Arial" w:cs="Arial"/>
          <w:color w:val="auto"/>
          <w:sz w:val="28"/>
          <w:szCs w:val="28"/>
        </w:rPr>
        <w:t>TRENDS AND INNOVATION</w:t>
      </w:r>
      <w:bookmarkEnd w:id="7"/>
      <w:r w:rsidRPr="006E523B">
        <w:rPr>
          <w:rFonts w:ascii="Arial" w:hAnsi="Arial" w:cs="Arial"/>
          <w:color w:val="auto"/>
          <w:sz w:val="28"/>
          <w:szCs w:val="28"/>
        </w:rPr>
        <w:t xml:space="preserve"> </w:t>
      </w:r>
    </w:p>
    <w:p w14:paraId="5C70097B" w14:textId="77777777" w:rsidR="006E523B" w:rsidRPr="00733684" w:rsidRDefault="006E523B" w:rsidP="00733684">
      <w:pPr>
        <w:spacing w:line="360" w:lineRule="auto"/>
        <w:rPr>
          <w:rFonts w:ascii="Arial" w:hAnsi="Arial" w:cs="Arial"/>
          <w:sz w:val="24"/>
          <w:szCs w:val="24"/>
        </w:rPr>
      </w:pPr>
    </w:p>
    <w:p w14:paraId="44D503FE" w14:textId="39B3D155" w:rsidR="00A54AC0" w:rsidRPr="00733684" w:rsidRDefault="002A6B30" w:rsidP="00733684">
      <w:pPr>
        <w:spacing w:line="360" w:lineRule="auto"/>
        <w:rPr>
          <w:rFonts w:ascii="Arial" w:eastAsia="Times New Roman" w:hAnsi="Arial" w:cs="Arial"/>
          <w:kern w:val="0"/>
          <w:sz w:val="24"/>
          <w:szCs w:val="24"/>
          <w:lang w:eastAsia="en-GB"/>
          <w14:ligatures w14:val="none"/>
        </w:rPr>
      </w:pPr>
      <w:r w:rsidRPr="002A6B30">
        <w:rPr>
          <w:rFonts w:ascii="Arial" w:eastAsia="Times New Roman" w:hAnsi="Arial" w:cs="Arial"/>
          <w:kern w:val="0"/>
          <w:sz w:val="24"/>
          <w:szCs w:val="24"/>
          <w:lang w:eastAsia="en-GB"/>
          <w14:ligatures w14:val="none"/>
        </w:rPr>
        <w:t xml:space="preserve">ITB Asia 2025 had the most people and business appointments ever, and it also showed how new ideas and trends are changing the global MICE and hotel </w:t>
      </w:r>
      <w:r w:rsidRPr="002A6B30">
        <w:rPr>
          <w:rFonts w:ascii="Arial" w:eastAsia="Times New Roman" w:hAnsi="Arial" w:cs="Arial"/>
          <w:kern w:val="0"/>
          <w:sz w:val="24"/>
          <w:szCs w:val="24"/>
          <w:lang w:eastAsia="en-GB"/>
          <w14:ligatures w14:val="none"/>
        </w:rPr>
        <w:lastRenderedPageBreak/>
        <w:t>industries. The event had more than 60,000 business appointments, which is a 35% increase from the year before. This shows that it is becoming more important as a place for travel trade experts to do business and come up with new ideas.</w:t>
      </w:r>
      <w:r w:rsidR="00A54AC0" w:rsidRPr="00733684">
        <w:rPr>
          <w:rFonts w:ascii="Arial" w:eastAsia="Times New Roman" w:hAnsi="Arial" w:cs="Arial"/>
          <w:kern w:val="0"/>
          <w:sz w:val="24"/>
          <w:szCs w:val="24"/>
          <w:lang w:eastAsia="en-GB"/>
          <w14:ligatures w14:val="none"/>
        </w:rPr>
        <w:t xml:space="preserve"> The biggest travel trade show in the region took place over three days at the Sands Expo and Convention Centre. It proved once again that it is the place where the Asia-Pacific travel and tourism industry needs to be to set trends, make deals, and shape the future of travel.(Itb.com,2025)</w:t>
      </w:r>
    </w:p>
    <w:p w14:paraId="47FEC61D" w14:textId="09835665" w:rsidR="001437B4" w:rsidRPr="00733684" w:rsidRDefault="00A9238D" w:rsidP="00733684">
      <w:pPr>
        <w:spacing w:line="360" w:lineRule="auto"/>
        <w:rPr>
          <w:rFonts w:ascii="Arial" w:eastAsia="Times New Roman" w:hAnsi="Arial" w:cs="Arial"/>
          <w:kern w:val="0"/>
          <w:sz w:val="24"/>
          <w:szCs w:val="24"/>
          <w:lang w:eastAsia="en-GB"/>
          <w14:ligatures w14:val="none"/>
        </w:rPr>
      </w:pPr>
      <w:r w:rsidRPr="00A9238D">
        <w:rPr>
          <w:rFonts w:ascii="Arial" w:eastAsia="Times New Roman" w:hAnsi="Arial" w:cs="Arial"/>
          <w:kern w:val="0"/>
          <w:sz w:val="24"/>
          <w:szCs w:val="24"/>
          <w:lang w:eastAsia="en-GB"/>
          <w14:ligatures w14:val="none"/>
        </w:rPr>
        <w:t>Integrating technology into both the exhibition experience and the tourism industry as a whole is a big trend at ITB Asia</w:t>
      </w:r>
      <w:r w:rsidR="001437B4" w:rsidRPr="00733684">
        <w:rPr>
          <w:rFonts w:ascii="Arial" w:eastAsia="Times New Roman" w:hAnsi="Arial" w:cs="Arial"/>
          <w:kern w:val="0"/>
          <w:sz w:val="24"/>
          <w:szCs w:val="24"/>
          <w:lang w:eastAsia="en-GB"/>
          <w14:ligatures w14:val="none"/>
        </w:rPr>
        <w:t>. AI-driven innovation is quickly changing travel and hospitality experiences. New distribution and business models are also changing how travel is sold and connected across Asia. Finally, the MICE sector is reinventing itself through technology and immersive event design to drive engagement and return on investment (ROI). This is why ITB Asia is still the place where industry leaders come together to put ideas into action.(ITB Asia,2025)</w:t>
      </w:r>
    </w:p>
    <w:p w14:paraId="3C126EC6" w14:textId="0E96081B" w:rsidR="001437B4" w:rsidRPr="001437B4" w:rsidRDefault="001437B4" w:rsidP="00733684">
      <w:pPr>
        <w:spacing w:after="0" w:line="360" w:lineRule="auto"/>
        <w:rPr>
          <w:rFonts w:ascii="Arial" w:eastAsia="Times New Roman" w:hAnsi="Arial" w:cs="Arial"/>
          <w:kern w:val="0"/>
          <w:sz w:val="24"/>
          <w:szCs w:val="24"/>
          <w:lang w:eastAsia="en-GB"/>
          <w14:ligatures w14:val="none"/>
        </w:rPr>
      </w:pPr>
      <w:r w:rsidRPr="001437B4">
        <w:rPr>
          <w:rFonts w:ascii="Arial" w:eastAsia="Times New Roman" w:hAnsi="Arial" w:cs="Arial"/>
          <w:kern w:val="0"/>
          <w:sz w:val="24"/>
          <w:szCs w:val="24"/>
          <w:lang w:eastAsia="en-GB"/>
          <w14:ligatures w14:val="none"/>
        </w:rPr>
        <w:t>At Sands Expo and Convention Centre, Singapore, Travel Tech Asia 2025 will bring together people from all over the world who work with travel technology. The event, which takes place at the same time as ITB Asia and MICE Show Asia, brings together the most innovative thinkers, cutting-edge technologies, and powerful leaders in the travel and tourism industry. Innovative technologies, new trends, and disruptive startups come together with well-known travel brands at Travel Tech Asia, making it the best place to be. The show gives people the best chances to meet new people, make deals, and find new things. This helps businesses explore new areas in the constantly changing travel industry.</w:t>
      </w:r>
    </w:p>
    <w:p w14:paraId="4E9B14A8" w14:textId="772DCC1D" w:rsidR="001437B4" w:rsidRPr="00733684" w:rsidRDefault="006E0AE9" w:rsidP="00733684">
      <w:pPr>
        <w:spacing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w:t>
      </w:r>
      <w:proofErr w:type="spellStart"/>
      <w:r w:rsidRPr="00733684">
        <w:rPr>
          <w:rFonts w:ascii="Arial" w:eastAsia="Times New Roman" w:hAnsi="Arial" w:cs="Arial"/>
          <w:kern w:val="0"/>
          <w:sz w:val="24"/>
          <w:szCs w:val="24"/>
          <w:lang w:eastAsia="en-GB"/>
          <w14:ligatures w14:val="none"/>
        </w:rPr>
        <w:t>Itb</w:t>
      </w:r>
      <w:proofErr w:type="spellEnd"/>
      <w:r w:rsidRPr="00733684">
        <w:rPr>
          <w:rFonts w:ascii="Arial" w:eastAsia="Times New Roman" w:hAnsi="Arial" w:cs="Arial"/>
          <w:kern w:val="0"/>
          <w:sz w:val="24"/>
          <w:szCs w:val="24"/>
          <w:lang w:eastAsia="en-GB"/>
          <w14:ligatures w14:val="none"/>
        </w:rPr>
        <w:t xml:space="preserve"> Asia,2025)</w:t>
      </w:r>
    </w:p>
    <w:p w14:paraId="14DADDC3" w14:textId="77777777" w:rsidR="005F6993" w:rsidRPr="00733684" w:rsidRDefault="005F6993" w:rsidP="00733684">
      <w:pPr>
        <w:spacing w:line="360" w:lineRule="auto"/>
        <w:rPr>
          <w:rFonts w:ascii="Arial" w:hAnsi="Arial" w:cs="Arial"/>
          <w:sz w:val="24"/>
          <w:szCs w:val="24"/>
        </w:rPr>
      </w:pPr>
    </w:p>
    <w:p w14:paraId="0DC60EC9" w14:textId="3E3F7C90" w:rsidR="005F6993" w:rsidRPr="006E523B" w:rsidRDefault="005F6993" w:rsidP="006E523B">
      <w:pPr>
        <w:pStyle w:val="Heading2"/>
        <w:rPr>
          <w:rFonts w:ascii="Arial" w:hAnsi="Arial" w:cs="Arial"/>
          <w:color w:val="auto"/>
          <w:sz w:val="28"/>
          <w:szCs w:val="28"/>
        </w:rPr>
      </w:pPr>
      <w:bookmarkStart w:id="8" w:name="_Toc218991937"/>
      <w:r w:rsidRPr="006E523B">
        <w:rPr>
          <w:rFonts w:ascii="Arial" w:hAnsi="Arial" w:cs="Arial"/>
          <w:color w:val="auto"/>
          <w:sz w:val="28"/>
          <w:szCs w:val="28"/>
        </w:rPr>
        <w:t>OPERATIONAL CHALLENGES ,RISKS AND LEGAL CONSIDERATION</w:t>
      </w:r>
      <w:bookmarkEnd w:id="8"/>
      <w:r w:rsidRPr="006E523B">
        <w:rPr>
          <w:rFonts w:ascii="Arial" w:hAnsi="Arial" w:cs="Arial"/>
          <w:color w:val="auto"/>
          <w:sz w:val="28"/>
          <w:szCs w:val="28"/>
        </w:rPr>
        <w:t xml:space="preserve"> </w:t>
      </w:r>
    </w:p>
    <w:p w14:paraId="11F0C3C5" w14:textId="77777777" w:rsidR="00591573" w:rsidRPr="006E523B" w:rsidRDefault="00591573" w:rsidP="007F1A4C">
      <w:pPr>
        <w:spacing w:after="0" w:line="360" w:lineRule="auto"/>
        <w:rPr>
          <w:rFonts w:ascii="Arial" w:eastAsia="Times New Roman" w:hAnsi="Arial" w:cs="Arial"/>
          <w:kern w:val="0"/>
          <w:sz w:val="28"/>
          <w:szCs w:val="28"/>
          <w:lang w:eastAsia="en-GB"/>
          <w14:ligatures w14:val="none"/>
        </w:rPr>
      </w:pPr>
    </w:p>
    <w:p w14:paraId="1B54675B" w14:textId="78C88D40" w:rsidR="007F1A4C" w:rsidRPr="007F1A4C" w:rsidRDefault="007F1A4C" w:rsidP="007F1A4C">
      <w:pPr>
        <w:spacing w:after="0" w:line="360" w:lineRule="auto"/>
        <w:rPr>
          <w:rFonts w:ascii="Times New Roman" w:eastAsia="Times New Roman" w:hAnsi="Times New Roman" w:cs="Times New Roman"/>
          <w:kern w:val="0"/>
          <w:sz w:val="24"/>
          <w:szCs w:val="24"/>
          <w:lang w:eastAsia="en-GB"/>
          <w14:ligatures w14:val="none"/>
        </w:rPr>
      </w:pPr>
      <w:r w:rsidRPr="007F1A4C">
        <w:rPr>
          <w:rFonts w:ascii="Arial" w:eastAsia="Times New Roman" w:hAnsi="Arial" w:cs="Arial"/>
          <w:kern w:val="0"/>
          <w:sz w:val="24"/>
          <w:szCs w:val="24"/>
          <w:lang w:eastAsia="en-GB"/>
          <w14:ligatures w14:val="none"/>
        </w:rPr>
        <w:t xml:space="preserve">Hosting ITB Asia, one of the largest tourism trade events in Asia-Pacific, presents operational, regulatory, and risk challenges. The event's international reach, vast number of stakeholders, and reliance on advanced digital systems make planning harder and put planners and host venues at risk of operational and compliance concerns. </w:t>
      </w:r>
      <w:r w:rsidRPr="007F1A4C">
        <w:rPr>
          <w:rFonts w:ascii="Arial" w:eastAsia="Times New Roman" w:hAnsi="Arial" w:cs="Arial"/>
          <w:kern w:val="0"/>
          <w:sz w:val="24"/>
          <w:szCs w:val="24"/>
          <w:lang w:eastAsia="en-GB"/>
          <w14:ligatures w14:val="none"/>
        </w:rPr>
        <w:br/>
      </w:r>
      <w:r w:rsidRPr="007F1A4C">
        <w:rPr>
          <w:rFonts w:ascii="Arial" w:eastAsia="Times New Roman" w:hAnsi="Arial" w:cs="Arial"/>
          <w:kern w:val="0"/>
          <w:sz w:val="24"/>
          <w:szCs w:val="24"/>
          <w:lang w:eastAsia="en-GB"/>
          <w14:ligatures w14:val="none"/>
        </w:rPr>
        <w:lastRenderedPageBreak/>
        <w:t xml:space="preserve">Large-scale event planning in a short period is a huge ITB Asia operational task. The Sands Expo and Convention Centre </w:t>
      </w:r>
      <w:r w:rsidR="002F19AA" w:rsidRPr="007F1A4C">
        <w:rPr>
          <w:rFonts w:ascii="Arial" w:eastAsia="Times New Roman" w:hAnsi="Arial" w:cs="Arial"/>
          <w:kern w:val="0"/>
          <w:sz w:val="24"/>
          <w:szCs w:val="24"/>
          <w:lang w:eastAsia="en-GB"/>
          <w14:ligatures w14:val="none"/>
        </w:rPr>
        <w:t>have</w:t>
      </w:r>
      <w:r w:rsidRPr="007F1A4C">
        <w:rPr>
          <w:rFonts w:ascii="Arial" w:eastAsia="Times New Roman" w:hAnsi="Arial" w:cs="Arial"/>
          <w:kern w:val="0"/>
          <w:sz w:val="24"/>
          <w:szCs w:val="24"/>
          <w:lang w:eastAsia="en-GB"/>
          <w14:ligatures w14:val="none"/>
        </w:rPr>
        <w:t xml:space="preserve"> multiple halls, so exhibitions, conference sessions, hosted client meetings, and networking events must be carefully organised</w:t>
      </w:r>
      <w:r w:rsidRPr="007F1A4C">
        <w:rPr>
          <w:rFonts w:ascii="Times New Roman" w:eastAsia="Times New Roman" w:hAnsi="Times New Roman" w:cs="Times New Roman"/>
          <w:kern w:val="0"/>
          <w:sz w:val="24"/>
          <w:szCs w:val="24"/>
          <w:lang w:eastAsia="en-GB"/>
          <w14:ligatures w14:val="none"/>
        </w:rPr>
        <w:t>.</w:t>
      </w:r>
    </w:p>
    <w:p w14:paraId="772C1AEC" w14:textId="6F4FC7CB" w:rsidR="00935F4B" w:rsidRPr="00733684" w:rsidRDefault="00935F4B" w:rsidP="00733684">
      <w:pPr>
        <w:spacing w:after="0" w:line="360" w:lineRule="auto"/>
        <w:rPr>
          <w:rFonts w:ascii="Arial" w:eastAsia="Times New Roman" w:hAnsi="Arial" w:cs="Arial"/>
          <w:kern w:val="0"/>
          <w:sz w:val="24"/>
          <w:szCs w:val="24"/>
          <w:lang w:eastAsia="en-GB"/>
          <w14:ligatures w14:val="none"/>
        </w:rPr>
      </w:pPr>
      <w:r w:rsidRPr="00935F4B">
        <w:rPr>
          <w:rFonts w:ascii="Arial" w:eastAsia="Times New Roman" w:hAnsi="Arial" w:cs="Arial"/>
          <w:kern w:val="0"/>
          <w:sz w:val="24"/>
          <w:szCs w:val="24"/>
          <w:lang w:eastAsia="en-GB"/>
          <w14:ligatures w14:val="none"/>
        </w:rPr>
        <w:t xml:space="preserve">Risks for ITB Asia in Singapore include general business problems like high running costs and changes in the market, as well as problems in the travel industry, managing business travel risks and adapting to how customers behave. </w:t>
      </w:r>
      <w:r w:rsidRPr="00935F4B">
        <w:rPr>
          <w:rFonts w:ascii="Arial" w:eastAsia="Times New Roman" w:hAnsi="Arial" w:cs="Arial"/>
          <w:kern w:val="0"/>
          <w:sz w:val="24"/>
          <w:szCs w:val="24"/>
          <w:lang w:eastAsia="en-GB"/>
          <w14:ligatures w14:val="none"/>
        </w:rPr>
        <w:br/>
      </w:r>
      <w:r w:rsidRPr="00733684">
        <w:rPr>
          <w:rFonts w:ascii="Arial" w:eastAsia="Times New Roman" w:hAnsi="Arial" w:cs="Arial"/>
          <w:kern w:val="0"/>
          <w:sz w:val="24"/>
          <w:szCs w:val="24"/>
          <w:lang w:eastAsia="en-GB"/>
          <w14:ligatures w14:val="none"/>
        </w:rPr>
        <w:t>According to Allianz 2024 ,</w:t>
      </w:r>
      <w:r w:rsidRPr="00935F4B">
        <w:rPr>
          <w:rFonts w:ascii="Arial" w:eastAsia="Times New Roman" w:hAnsi="Arial" w:cs="Arial"/>
          <w:kern w:val="0"/>
          <w:sz w:val="24"/>
          <w:szCs w:val="24"/>
          <w:lang w:eastAsia="en-GB"/>
          <w14:ligatures w14:val="none"/>
        </w:rPr>
        <w:t xml:space="preserve"> Singapore is not very dangerous when it comes to crime or politics, but it is at risk of long-term climate change and economic slowdown.</w:t>
      </w:r>
    </w:p>
    <w:p w14:paraId="7696EF2D" w14:textId="2D062107" w:rsidR="0087672D" w:rsidRPr="00733684" w:rsidRDefault="0087672D" w:rsidP="00733684">
      <w:pPr>
        <w:spacing w:after="0" w:line="360" w:lineRule="auto"/>
        <w:rPr>
          <w:rFonts w:ascii="Arial" w:eastAsia="Times New Roman" w:hAnsi="Arial" w:cs="Arial"/>
          <w:kern w:val="0"/>
          <w:sz w:val="24"/>
          <w:szCs w:val="24"/>
          <w:lang w:eastAsia="en-GB"/>
          <w14:ligatures w14:val="none"/>
        </w:rPr>
      </w:pPr>
      <w:r w:rsidRPr="0087672D">
        <w:rPr>
          <w:rFonts w:ascii="Arial" w:eastAsia="Times New Roman" w:hAnsi="Arial" w:cs="Arial"/>
          <w:kern w:val="0"/>
          <w:sz w:val="24"/>
          <w:szCs w:val="24"/>
          <w:lang w:eastAsia="en-GB"/>
          <w14:ligatures w14:val="none"/>
        </w:rPr>
        <w:t>The Terms and Conditions of the event and Singaporean legislation mostly decide what the legal risks are for people who take part in ITB Asia in Singapore</w:t>
      </w:r>
      <w:r w:rsidR="00591573">
        <w:rPr>
          <w:rFonts w:ascii="Arial" w:eastAsia="Times New Roman" w:hAnsi="Arial" w:cs="Arial"/>
          <w:kern w:val="0"/>
          <w:sz w:val="24"/>
          <w:szCs w:val="24"/>
          <w:lang w:eastAsia="en-GB"/>
          <w14:ligatures w14:val="none"/>
        </w:rPr>
        <w:t>.</w:t>
      </w:r>
    </w:p>
    <w:p w14:paraId="5DD9CF66" w14:textId="7CAA2D17" w:rsidR="0087672D" w:rsidRPr="0087672D" w:rsidRDefault="0087672D"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 xml:space="preserve">As an </w:t>
      </w:r>
      <w:r w:rsidR="007F1A4C">
        <w:rPr>
          <w:rFonts w:ascii="Arial" w:eastAsia="Times New Roman" w:hAnsi="Arial" w:cs="Arial"/>
          <w:kern w:val="0"/>
          <w:sz w:val="24"/>
          <w:szCs w:val="24"/>
          <w:lang w:eastAsia="en-GB"/>
          <w14:ligatures w14:val="none"/>
        </w:rPr>
        <w:t>exhibitor: e</w:t>
      </w:r>
      <w:r w:rsidRPr="0087672D">
        <w:rPr>
          <w:rFonts w:ascii="Arial" w:eastAsia="Times New Roman" w:hAnsi="Arial" w:cs="Arial"/>
          <w:kern w:val="0"/>
          <w:sz w:val="24"/>
          <w:szCs w:val="24"/>
          <w:lang w:eastAsia="en-GB"/>
          <w14:ligatures w14:val="none"/>
        </w:rPr>
        <w:t xml:space="preserve">xhibitors are in charge of making sure that they follow the rules for performing rights, as well as the rules for trading and industrial law, police law, health legislation, and any other laws that apply. </w:t>
      </w:r>
    </w:p>
    <w:p w14:paraId="5FC6558F" w14:textId="6D5FED4B" w:rsidR="0087672D" w:rsidRPr="00733684" w:rsidRDefault="0087672D" w:rsidP="00733684">
      <w:pPr>
        <w:spacing w:after="0" w:line="360" w:lineRule="auto"/>
        <w:rPr>
          <w:rFonts w:ascii="Arial" w:eastAsia="Times New Roman" w:hAnsi="Arial" w:cs="Arial"/>
          <w:kern w:val="0"/>
          <w:sz w:val="24"/>
          <w:szCs w:val="24"/>
          <w:lang w:eastAsia="en-GB"/>
          <w14:ligatures w14:val="none"/>
        </w:rPr>
      </w:pPr>
      <w:r w:rsidRPr="00733684">
        <w:rPr>
          <w:rFonts w:ascii="Arial" w:eastAsia="Times New Roman" w:hAnsi="Arial" w:cs="Arial"/>
          <w:kern w:val="0"/>
          <w:sz w:val="24"/>
          <w:szCs w:val="24"/>
          <w:lang w:eastAsia="en-GB"/>
          <w14:ligatures w14:val="none"/>
        </w:rPr>
        <w:t>As a buyer</w:t>
      </w:r>
      <w:r w:rsidR="007F1A4C">
        <w:rPr>
          <w:rFonts w:ascii="Arial" w:eastAsia="Times New Roman" w:hAnsi="Arial" w:cs="Arial"/>
          <w:kern w:val="0"/>
          <w:sz w:val="24"/>
          <w:szCs w:val="24"/>
          <w:lang w:eastAsia="en-GB"/>
          <w14:ligatures w14:val="none"/>
        </w:rPr>
        <w:t>: a</w:t>
      </w:r>
      <w:r w:rsidRPr="0087672D">
        <w:rPr>
          <w:rFonts w:ascii="Arial" w:eastAsia="Times New Roman" w:hAnsi="Arial" w:cs="Arial"/>
          <w:kern w:val="0"/>
          <w:sz w:val="24"/>
          <w:szCs w:val="24"/>
          <w:lang w:eastAsia="en-GB"/>
          <w14:ligatures w14:val="none"/>
        </w:rPr>
        <w:t xml:space="preserve">ll Buyers are responsible for making sure they follow the rules for performing rights, dealing, industrial legislation, police, health, and other legal needs. </w:t>
      </w:r>
      <w:r w:rsidRPr="00733684">
        <w:rPr>
          <w:rFonts w:ascii="Arial" w:eastAsia="Times New Roman" w:hAnsi="Arial" w:cs="Arial"/>
          <w:kern w:val="0"/>
          <w:sz w:val="24"/>
          <w:szCs w:val="24"/>
          <w:lang w:eastAsia="en-GB"/>
          <w14:ligatures w14:val="none"/>
        </w:rPr>
        <w:t>(ITB Community, 2025)</w:t>
      </w:r>
    </w:p>
    <w:p w14:paraId="45AFEF75" w14:textId="77777777" w:rsidR="005F6993" w:rsidRPr="00733684" w:rsidRDefault="005F6993" w:rsidP="00733684">
      <w:pPr>
        <w:spacing w:line="360" w:lineRule="auto"/>
        <w:rPr>
          <w:rFonts w:ascii="Arial" w:hAnsi="Arial" w:cs="Arial"/>
          <w:sz w:val="24"/>
          <w:szCs w:val="24"/>
        </w:rPr>
      </w:pPr>
    </w:p>
    <w:p w14:paraId="65420BBF" w14:textId="2A9D1498" w:rsidR="005F6993" w:rsidRPr="006E523B" w:rsidRDefault="005F6993" w:rsidP="006E523B">
      <w:pPr>
        <w:pStyle w:val="Heading2"/>
        <w:rPr>
          <w:rFonts w:ascii="Arial" w:hAnsi="Arial" w:cs="Arial"/>
          <w:color w:val="auto"/>
          <w:sz w:val="28"/>
          <w:szCs w:val="28"/>
        </w:rPr>
      </w:pPr>
      <w:bookmarkStart w:id="9" w:name="_Toc218991938"/>
      <w:r w:rsidRPr="006E523B">
        <w:rPr>
          <w:rFonts w:ascii="Arial" w:hAnsi="Arial" w:cs="Arial"/>
          <w:color w:val="auto"/>
          <w:sz w:val="28"/>
          <w:szCs w:val="28"/>
        </w:rPr>
        <w:t>VENUE FEASIBILITY AND FUTURE GROWTH</w:t>
      </w:r>
      <w:bookmarkEnd w:id="9"/>
    </w:p>
    <w:p w14:paraId="1FECF0B3" w14:textId="77777777" w:rsidR="0087672D" w:rsidRPr="00733684" w:rsidRDefault="0087672D" w:rsidP="00733684">
      <w:pPr>
        <w:spacing w:line="360" w:lineRule="auto"/>
        <w:rPr>
          <w:rFonts w:ascii="Arial" w:hAnsi="Arial" w:cs="Arial"/>
          <w:sz w:val="24"/>
          <w:szCs w:val="24"/>
        </w:rPr>
      </w:pPr>
    </w:p>
    <w:p w14:paraId="1B28ECAA" w14:textId="13067097" w:rsidR="000637D8" w:rsidRPr="000637D8" w:rsidRDefault="000637D8" w:rsidP="000637D8">
      <w:pPr>
        <w:spacing w:after="0" w:line="360" w:lineRule="auto"/>
        <w:rPr>
          <w:rFonts w:ascii="Arial" w:eastAsia="Times New Roman" w:hAnsi="Arial" w:cs="Arial"/>
          <w:kern w:val="0"/>
          <w:sz w:val="24"/>
          <w:szCs w:val="24"/>
          <w:lang w:eastAsia="en-GB"/>
          <w14:ligatures w14:val="none"/>
        </w:rPr>
      </w:pPr>
      <w:r w:rsidRPr="000637D8">
        <w:rPr>
          <w:rFonts w:ascii="Arial" w:eastAsia="Times New Roman" w:hAnsi="Arial" w:cs="Arial"/>
          <w:kern w:val="0"/>
          <w:sz w:val="24"/>
          <w:szCs w:val="24"/>
          <w:lang w:eastAsia="en-GB"/>
          <w14:ligatures w14:val="none"/>
        </w:rPr>
        <w:t>Singapore's Marina Bay</w:t>
      </w:r>
      <w:r>
        <w:rPr>
          <w:rFonts w:ascii="Arial" w:eastAsia="Times New Roman" w:hAnsi="Arial" w:cs="Arial"/>
          <w:kern w:val="0"/>
          <w:sz w:val="24"/>
          <w:szCs w:val="24"/>
          <w:lang w:eastAsia="en-GB"/>
          <w14:ligatures w14:val="none"/>
        </w:rPr>
        <w:t xml:space="preserve">, </w:t>
      </w:r>
      <w:r w:rsidRPr="000637D8">
        <w:rPr>
          <w:rFonts w:ascii="Arial" w:eastAsia="Times New Roman" w:hAnsi="Arial" w:cs="Arial"/>
          <w:kern w:val="0"/>
          <w:sz w:val="24"/>
          <w:szCs w:val="24"/>
          <w:lang w:eastAsia="en-GB"/>
          <w14:ligatures w14:val="none"/>
        </w:rPr>
        <w:t xml:space="preserve">Sands Expo and Convention Centre (SECC) </w:t>
      </w:r>
      <w:proofErr w:type="gramStart"/>
      <w:r w:rsidRPr="000637D8">
        <w:rPr>
          <w:rFonts w:ascii="Arial" w:eastAsia="Times New Roman" w:hAnsi="Arial" w:cs="Arial"/>
          <w:kern w:val="0"/>
          <w:sz w:val="24"/>
          <w:szCs w:val="24"/>
          <w:lang w:eastAsia="en-GB"/>
          <w14:ligatures w14:val="none"/>
        </w:rPr>
        <w:t>is</w:t>
      </w:r>
      <w:proofErr w:type="gramEnd"/>
      <w:r w:rsidRPr="000637D8">
        <w:rPr>
          <w:rFonts w:ascii="Arial" w:eastAsia="Times New Roman" w:hAnsi="Arial" w:cs="Arial"/>
          <w:kern w:val="0"/>
          <w:sz w:val="24"/>
          <w:szCs w:val="24"/>
          <w:lang w:eastAsia="en-GB"/>
          <w14:ligatures w14:val="none"/>
        </w:rPr>
        <w:t xml:space="preserve"> one of Asia's premier MICE venues. It </w:t>
      </w:r>
      <w:r>
        <w:rPr>
          <w:rFonts w:ascii="Arial" w:eastAsia="Times New Roman" w:hAnsi="Arial" w:cs="Arial"/>
          <w:kern w:val="0"/>
          <w:sz w:val="24"/>
          <w:szCs w:val="24"/>
          <w:lang w:eastAsia="en-GB"/>
          <w14:ligatures w14:val="none"/>
        </w:rPr>
        <w:t>features large exhibition halls, sophisticated conference rooms, and hotel accommodations</w:t>
      </w:r>
      <w:r w:rsidRPr="000637D8">
        <w:rPr>
          <w:rFonts w:ascii="Arial" w:eastAsia="Times New Roman" w:hAnsi="Arial" w:cs="Arial"/>
          <w:kern w:val="0"/>
          <w:sz w:val="24"/>
          <w:szCs w:val="24"/>
          <w:lang w:eastAsia="en-GB"/>
          <w14:ligatures w14:val="none"/>
        </w:rPr>
        <w:t xml:space="preserve">. Its capacity, infrastructure, accessibility, transport linkages, technical capabilities, and potential growth must be considered to determine if it would fit ITB Asia. </w:t>
      </w:r>
      <w:r w:rsidRPr="000637D8">
        <w:rPr>
          <w:rFonts w:ascii="Arial" w:eastAsia="Times New Roman" w:hAnsi="Arial" w:cs="Arial"/>
          <w:kern w:val="0"/>
          <w:sz w:val="24"/>
          <w:szCs w:val="24"/>
          <w:lang w:eastAsia="en-GB"/>
          <w14:ligatures w14:val="none"/>
        </w:rPr>
        <w:br/>
        <w:t>At the SECC, ITB Asia uses five adjacent halls with over 120,000 square meters of flexible display area. In 2025, ITB Asia hosted over 1,500 exhibitors and 18,000 delegates after adding five halls, proving it can handle large international events.</w:t>
      </w:r>
    </w:p>
    <w:p w14:paraId="13D6CF1B" w14:textId="3B09D97F" w:rsidR="001E5D3A" w:rsidRPr="001E5D3A" w:rsidRDefault="001E5D3A" w:rsidP="00733684">
      <w:pPr>
        <w:spacing w:after="0" w:line="360" w:lineRule="auto"/>
        <w:rPr>
          <w:rFonts w:ascii="Arial" w:eastAsia="Times New Roman" w:hAnsi="Arial" w:cs="Arial"/>
          <w:kern w:val="0"/>
          <w:sz w:val="24"/>
          <w:szCs w:val="24"/>
          <w:lang w:eastAsia="en-GB"/>
          <w14:ligatures w14:val="none"/>
        </w:rPr>
      </w:pPr>
      <w:r w:rsidRPr="001E5D3A">
        <w:rPr>
          <w:rFonts w:ascii="Arial" w:eastAsia="Times New Roman" w:hAnsi="Arial" w:cs="Arial"/>
          <w:kern w:val="0"/>
          <w:sz w:val="24"/>
          <w:szCs w:val="24"/>
          <w:lang w:eastAsia="en-GB"/>
          <w14:ligatures w14:val="none"/>
        </w:rPr>
        <w:t xml:space="preserve">A big deal at ITB Asia 2025 was the announcement of a strategic partnership with Tripadvisor. This showed that the show was shifting its attention back to experiential travel. </w:t>
      </w:r>
      <w:r w:rsidR="000637D8">
        <w:rPr>
          <w:rFonts w:ascii="Arial" w:eastAsia="Times New Roman" w:hAnsi="Arial" w:cs="Arial"/>
          <w:kern w:val="0"/>
          <w:sz w:val="24"/>
          <w:szCs w:val="24"/>
          <w:lang w:eastAsia="en-GB"/>
          <w14:ligatures w14:val="none"/>
        </w:rPr>
        <w:t>TripAdvisor</w:t>
      </w:r>
      <w:r w:rsidRPr="001E5D3A">
        <w:rPr>
          <w:rFonts w:ascii="Arial" w:eastAsia="Times New Roman" w:hAnsi="Arial" w:cs="Arial"/>
          <w:kern w:val="0"/>
          <w:sz w:val="24"/>
          <w:szCs w:val="24"/>
          <w:lang w:eastAsia="en-GB"/>
          <w14:ligatures w14:val="none"/>
        </w:rPr>
        <w:t xml:space="preserve"> and Messe Berlin Asia Pacific agreed to work together to create the Experience Pavilion. It will be unveiled at ITB Asia 2026 and feature immersive experiences in adventure, culture, wellness, culinary travel, and other areas.</w:t>
      </w:r>
      <w:r w:rsidRPr="001E5D3A">
        <w:rPr>
          <w:rFonts w:ascii="Arial" w:eastAsia="Times New Roman" w:hAnsi="Arial" w:cs="Arial"/>
          <w:kern w:val="0"/>
          <w:sz w:val="24"/>
          <w:szCs w:val="24"/>
          <w:lang w:eastAsia="en-GB"/>
          <w14:ligatures w14:val="none"/>
        </w:rPr>
        <w:br/>
      </w:r>
      <w:r w:rsidRPr="001E5D3A">
        <w:rPr>
          <w:rFonts w:ascii="Arial" w:eastAsia="Times New Roman" w:hAnsi="Arial" w:cs="Arial"/>
          <w:kern w:val="0"/>
          <w:sz w:val="24"/>
          <w:szCs w:val="24"/>
          <w:lang w:eastAsia="en-GB"/>
          <w14:ligatures w14:val="none"/>
        </w:rPr>
        <w:lastRenderedPageBreak/>
        <w:t>ITB Asia will continue to be the biggest B2B travel trade show in the Asia-Pacific region and a centre for innovation in the global travel industry thanks to extra strategic support from the Singapore Tourism Board from 2026 to 2028. This will help to improve content pillars, co-marketing initiatives, and government participation.</w:t>
      </w:r>
      <w:r w:rsidRPr="001E5D3A">
        <w:rPr>
          <w:rFonts w:ascii="Arial" w:eastAsia="Times New Roman" w:hAnsi="Arial" w:cs="Arial"/>
          <w:kern w:val="0"/>
          <w:sz w:val="24"/>
          <w:szCs w:val="24"/>
          <w:lang w:eastAsia="en-GB"/>
          <w14:ligatures w14:val="none"/>
        </w:rPr>
        <w:br/>
        <w:t xml:space="preserve">Starting in 2026, ITB Asia will also add a "New Offering" badge to recognise exhibitors who show off new goods, services, or destinations. Every year, a carefully chosen group of exhibitors will be emphasised. This will show how ITB Asia is a place where industry innovations can begin and help buyers and the media find the most </w:t>
      </w:r>
      <w:r w:rsidR="002F19AA" w:rsidRPr="001E5D3A">
        <w:rPr>
          <w:rFonts w:ascii="Arial" w:eastAsia="Times New Roman" w:hAnsi="Arial" w:cs="Arial"/>
          <w:kern w:val="0"/>
          <w:sz w:val="24"/>
          <w:szCs w:val="24"/>
          <w:lang w:eastAsia="en-GB"/>
          <w14:ligatures w14:val="none"/>
        </w:rPr>
        <w:t>cutting-edge</w:t>
      </w:r>
      <w:r w:rsidRPr="001E5D3A">
        <w:rPr>
          <w:rFonts w:ascii="Arial" w:eastAsia="Times New Roman" w:hAnsi="Arial" w:cs="Arial"/>
          <w:kern w:val="0"/>
          <w:sz w:val="24"/>
          <w:szCs w:val="24"/>
          <w:lang w:eastAsia="en-GB"/>
          <w14:ligatures w14:val="none"/>
        </w:rPr>
        <w:t xml:space="preserve"> products.</w:t>
      </w:r>
      <w:r w:rsidRPr="00733684">
        <w:rPr>
          <w:rFonts w:ascii="Arial" w:eastAsia="Times New Roman" w:hAnsi="Arial" w:cs="Arial"/>
          <w:kern w:val="0"/>
          <w:sz w:val="24"/>
          <w:szCs w:val="24"/>
          <w:lang w:eastAsia="en-GB"/>
          <w14:ligatures w14:val="none"/>
        </w:rPr>
        <w:t>(MICE&amp;more,2025).</w:t>
      </w:r>
    </w:p>
    <w:p w14:paraId="7BAAFFB3" w14:textId="77777777" w:rsidR="007F1A4C" w:rsidRDefault="007F1A4C" w:rsidP="00733684">
      <w:pPr>
        <w:spacing w:line="360" w:lineRule="auto"/>
        <w:rPr>
          <w:rFonts w:ascii="Arial" w:hAnsi="Arial" w:cs="Arial"/>
          <w:sz w:val="24"/>
          <w:szCs w:val="24"/>
        </w:rPr>
      </w:pPr>
    </w:p>
    <w:p w14:paraId="72C8EEE6" w14:textId="7A326DCB" w:rsidR="005F6993" w:rsidRPr="006E523B" w:rsidRDefault="005F6993" w:rsidP="006E523B">
      <w:pPr>
        <w:pStyle w:val="Heading2"/>
        <w:rPr>
          <w:rFonts w:ascii="Arial" w:hAnsi="Arial" w:cs="Arial"/>
          <w:color w:val="auto"/>
          <w:sz w:val="28"/>
          <w:szCs w:val="28"/>
        </w:rPr>
      </w:pPr>
      <w:bookmarkStart w:id="10" w:name="_Toc218991939"/>
      <w:r w:rsidRPr="006E523B">
        <w:rPr>
          <w:rFonts w:ascii="Arial" w:hAnsi="Arial" w:cs="Arial"/>
          <w:color w:val="auto"/>
          <w:sz w:val="28"/>
          <w:szCs w:val="28"/>
        </w:rPr>
        <w:t>HOTEL SECTOR INVOLMENT</w:t>
      </w:r>
      <w:bookmarkEnd w:id="10"/>
      <w:r w:rsidRPr="006E523B">
        <w:rPr>
          <w:rFonts w:ascii="Arial" w:hAnsi="Arial" w:cs="Arial"/>
          <w:color w:val="auto"/>
          <w:sz w:val="28"/>
          <w:szCs w:val="28"/>
        </w:rPr>
        <w:t xml:space="preserve"> </w:t>
      </w:r>
    </w:p>
    <w:p w14:paraId="7AD1C243" w14:textId="77777777" w:rsidR="007F1A4C" w:rsidRPr="00733684" w:rsidRDefault="007F1A4C" w:rsidP="00733684">
      <w:pPr>
        <w:spacing w:line="360" w:lineRule="auto"/>
        <w:rPr>
          <w:rFonts w:ascii="Arial" w:hAnsi="Arial" w:cs="Arial"/>
          <w:sz w:val="24"/>
          <w:szCs w:val="24"/>
        </w:rPr>
      </w:pPr>
    </w:p>
    <w:p w14:paraId="36C8E2BE" w14:textId="44154E2D" w:rsidR="00671277" w:rsidRPr="00671277" w:rsidRDefault="00671277" w:rsidP="00733684">
      <w:pPr>
        <w:spacing w:after="0" w:line="360" w:lineRule="auto"/>
        <w:rPr>
          <w:rFonts w:ascii="Arial" w:eastAsia="Times New Roman" w:hAnsi="Arial" w:cs="Arial"/>
          <w:kern w:val="0"/>
          <w:sz w:val="24"/>
          <w:szCs w:val="24"/>
          <w:lang w:eastAsia="en-GB"/>
          <w14:ligatures w14:val="none"/>
        </w:rPr>
      </w:pPr>
      <w:r w:rsidRPr="00671277">
        <w:rPr>
          <w:rFonts w:ascii="Arial" w:eastAsia="Times New Roman" w:hAnsi="Arial" w:cs="Arial"/>
          <w:kern w:val="0"/>
          <w:sz w:val="24"/>
          <w:szCs w:val="24"/>
          <w:lang w:eastAsia="en-GB"/>
          <w14:ligatures w14:val="none"/>
        </w:rPr>
        <w:t>The hotel industry is crucial to international MICE events like ITB Asia. Hotels host attendees, exhibitors, and VIPs, provide networking opportunities, conference assistance, and enhance the destination experience.</w:t>
      </w:r>
      <w:r w:rsidRPr="00671277">
        <w:rPr>
          <w:rFonts w:ascii="Arial" w:eastAsia="Times New Roman" w:hAnsi="Arial" w:cs="Arial"/>
          <w:kern w:val="0"/>
          <w:sz w:val="24"/>
          <w:szCs w:val="24"/>
          <w:lang w:eastAsia="en-GB"/>
          <w14:ligatures w14:val="none"/>
        </w:rPr>
        <w:br/>
        <w:t xml:space="preserve">Buyers Team decides hotel placement. Assignments are random or </w:t>
      </w:r>
      <w:r w:rsidR="002F19AA" w:rsidRPr="00671277">
        <w:rPr>
          <w:rFonts w:ascii="Arial" w:eastAsia="Times New Roman" w:hAnsi="Arial" w:cs="Arial"/>
          <w:kern w:val="0"/>
          <w:sz w:val="24"/>
          <w:szCs w:val="24"/>
          <w:lang w:eastAsia="en-GB"/>
          <w14:ligatures w14:val="none"/>
        </w:rPr>
        <w:t>group based</w:t>
      </w:r>
      <w:r w:rsidRPr="00671277">
        <w:rPr>
          <w:rFonts w:ascii="Arial" w:eastAsia="Times New Roman" w:hAnsi="Arial" w:cs="Arial"/>
          <w:kern w:val="0"/>
          <w:sz w:val="24"/>
          <w:szCs w:val="24"/>
          <w:lang w:eastAsia="en-GB"/>
          <w14:ligatures w14:val="none"/>
        </w:rPr>
        <w:t xml:space="preserve">. Hotel allocation cannot be </w:t>
      </w:r>
      <w:r w:rsidR="002F19AA" w:rsidRPr="00671277">
        <w:rPr>
          <w:rFonts w:ascii="Arial" w:eastAsia="Times New Roman" w:hAnsi="Arial" w:cs="Arial"/>
          <w:kern w:val="0"/>
          <w:sz w:val="24"/>
          <w:szCs w:val="24"/>
          <w:lang w:eastAsia="en-GB"/>
          <w14:ligatures w14:val="none"/>
        </w:rPr>
        <w:t>changed. The</w:t>
      </w:r>
      <w:r w:rsidRPr="00671277">
        <w:rPr>
          <w:rFonts w:ascii="Arial" w:eastAsia="Times New Roman" w:hAnsi="Arial" w:cs="Arial"/>
          <w:kern w:val="0"/>
          <w:sz w:val="24"/>
          <w:szCs w:val="24"/>
          <w:lang w:eastAsia="en-GB"/>
          <w14:ligatures w14:val="none"/>
        </w:rPr>
        <w:t xml:space="preserve"> Buyer's Login will show hotel allocation four weeks before ITB Asia/MICE Show Asia. Hotel confirmation numbers will be in Buyer's Login 2-3 weeks before ITB Asia/MICE Show Asia. </w:t>
      </w:r>
      <w:r w:rsidRPr="00671277">
        <w:rPr>
          <w:rFonts w:ascii="Arial" w:eastAsia="Times New Roman" w:hAnsi="Arial" w:cs="Arial"/>
          <w:kern w:val="0"/>
          <w:sz w:val="24"/>
          <w:szCs w:val="24"/>
          <w:lang w:eastAsia="en-GB"/>
          <w14:ligatures w14:val="none"/>
        </w:rPr>
        <w:br/>
        <w:t>ITB Asia/MICE Show Asia will include room-only and one breakfast at one of our approved hotels. Additional breakfast, in-room dining, pax, private transfers, etc. are the buyers' responsibility and charged directly to the hotel/vendor.</w:t>
      </w:r>
      <w:r w:rsidRPr="00733684">
        <w:rPr>
          <w:rFonts w:ascii="Arial" w:eastAsia="Times New Roman" w:hAnsi="Arial" w:cs="Arial"/>
          <w:kern w:val="0"/>
          <w:sz w:val="24"/>
          <w:szCs w:val="24"/>
          <w:lang w:eastAsia="en-GB"/>
          <w14:ligatures w14:val="none"/>
        </w:rPr>
        <w:t>(Messe Berlin,2025)</w:t>
      </w:r>
    </w:p>
    <w:p w14:paraId="76981AEC" w14:textId="77777777" w:rsidR="005F6993" w:rsidRPr="00733684" w:rsidRDefault="005F6993" w:rsidP="00733684">
      <w:pPr>
        <w:spacing w:line="360" w:lineRule="auto"/>
        <w:rPr>
          <w:rFonts w:ascii="Arial" w:hAnsi="Arial" w:cs="Arial"/>
          <w:sz w:val="24"/>
          <w:szCs w:val="24"/>
        </w:rPr>
      </w:pPr>
    </w:p>
    <w:p w14:paraId="787F784F" w14:textId="0C70EAF0" w:rsidR="005F6993" w:rsidRPr="006E523B" w:rsidRDefault="005F6993" w:rsidP="006E523B">
      <w:pPr>
        <w:pStyle w:val="Heading2"/>
        <w:rPr>
          <w:rFonts w:ascii="Arial" w:hAnsi="Arial" w:cs="Arial"/>
          <w:color w:val="auto"/>
          <w:sz w:val="28"/>
          <w:szCs w:val="28"/>
        </w:rPr>
      </w:pPr>
      <w:bookmarkStart w:id="11" w:name="_Toc218991940"/>
      <w:r w:rsidRPr="006E523B">
        <w:rPr>
          <w:rFonts w:ascii="Arial" w:hAnsi="Arial" w:cs="Arial"/>
          <w:color w:val="auto"/>
          <w:sz w:val="28"/>
          <w:szCs w:val="28"/>
        </w:rPr>
        <w:t>CONCLUSION</w:t>
      </w:r>
      <w:bookmarkEnd w:id="11"/>
      <w:r w:rsidRPr="006E523B">
        <w:rPr>
          <w:rFonts w:ascii="Arial" w:hAnsi="Arial" w:cs="Arial"/>
          <w:color w:val="auto"/>
          <w:sz w:val="28"/>
          <w:szCs w:val="28"/>
        </w:rPr>
        <w:t xml:space="preserve"> </w:t>
      </w:r>
    </w:p>
    <w:p w14:paraId="65BC118B" w14:textId="77777777" w:rsidR="006E523B" w:rsidRDefault="006E523B" w:rsidP="00733684">
      <w:pPr>
        <w:spacing w:line="360" w:lineRule="auto"/>
        <w:rPr>
          <w:rFonts w:ascii="Arial" w:hAnsi="Arial" w:cs="Arial"/>
          <w:sz w:val="24"/>
          <w:szCs w:val="24"/>
        </w:rPr>
      </w:pPr>
    </w:p>
    <w:p w14:paraId="4ABC6528" w14:textId="36794796" w:rsidR="005F6993" w:rsidRDefault="00013BD0" w:rsidP="00733684">
      <w:pPr>
        <w:spacing w:line="360" w:lineRule="auto"/>
        <w:rPr>
          <w:rFonts w:ascii="Arial" w:hAnsi="Arial" w:cs="Arial"/>
          <w:sz w:val="24"/>
          <w:szCs w:val="24"/>
        </w:rPr>
      </w:pPr>
      <w:r w:rsidRPr="00733684">
        <w:rPr>
          <w:rFonts w:ascii="Arial" w:hAnsi="Arial" w:cs="Arial"/>
          <w:sz w:val="24"/>
          <w:szCs w:val="24"/>
        </w:rPr>
        <w:t xml:space="preserve">This report has critically analysed ITB Asia as a leading international MICE event, highlighting its strategic importance within the global travel and hospitality industry. The analysis demonstrated that ITB Asia benefits from strong stakeholder engagement, effective marketing strategies, and the integration of key MICE trends such as digitalisation, sustainability and hybrid event formats. The Sands Expo and </w:t>
      </w:r>
      <w:r w:rsidRPr="00733684">
        <w:rPr>
          <w:rFonts w:ascii="Arial" w:hAnsi="Arial" w:cs="Arial"/>
          <w:sz w:val="24"/>
          <w:szCs w:val="24"/>
        </w:rPr>
        <w:lastRenderedPageBreak/>
        <w:t>Convention Centre at Marina Bay Sands was identified as a highly feasible venue, offering world-class infrastructure, accessibility and scalability to support the event’s continued growth. Furthermore, the hotel sector plays a vital role in enhancing delegate experience, supporting operational delivery and strengthening Singapore’s destination brand. However, the event also faces operational, legal and technological risks that require continuous management. Overall, ITB Asia’s long-term success will depend on sustained innovation, strong hotel–organiser collaboration and proactive risk mitigation to maintain its competitive position in the global MICE market</w:t>
      </w:r>
      <w:r w:rsidR="00733684">
        <w:rPr>
          <w:rFonts w:ascii="Arial" w:hAnsi="Arial" w:cs="Arial"/>
          <w:sz w:val="24"/>
          <w:szCs w:val="24"/>
        </w:rPr>
        <w:t>.</w:t>
      </w:r>
    </w:p>
    <w:p w14:paraId="6713ED35" w14:textId="77777777" w:rsidR="00733684" w:rsidRPr="00733684" w:rsidRDefault="00733684" w:rsidP="00733684">
      <w:pPr>
        <w:spacing w:line="360" w:lineRule="auto"/>
        <w:rPr>
          <w:rFonts w:ascii="Arial" w:hAnsi="Arial" w:cs="Arial"/>
          <w:sz w:val="24"/>
          <w:szCs w:val="24"/>
        </w:rPr>
      </w:pPr>
    </w:p>
    <w:p w14:paraId="310E8478" w14:textId="1AE6880D" w:rsidR="005F6993" w:rsidRPr="006E523B" w:rsidRDefault="005F6993" w:rsidP="006E523B">
      <w:pPr>
        <w:pStyle w:val="Heading2"/>
        <w:rPr>
          <w:rFonts w:ascii="Arial" w:hAnsi="Arial" w:cs="Arial"/>
          <w:color w:val="auto"/>
          <w:sz w:val="28"/>
          <w:szCs w:val="28"/>
        </w:rPr>
      </w:pPr>
      <w:bookmarkStart w:id="12" w:name="_Toc218991941"/>
      <w:r w:rsidRPr="006E523B">
        <w:rPr>
          <w:rFonts w:ascii="Arial" w:hAnsi="Arial" w:cs="Arial"/>
          <w:color w:val="auto"/>
          <w:sz w:val="28"/>
          <w:szCs w:val="28"/>
        </w:rPr>
        <w:t>RECOMMENDATION</w:t>
      </w:r>
      <w:bookmarkEnd w:id="12"/>
      <w:r w:rsidRPr="006E523B">
        <w:rPr>
          <w:rFonts w:ascii="Arial" w:hAnsi="Arial" w:cs="Arial"/>
          <w:color w:val="auto"/>
          <w:sz w:val="28"/>
          <w:szCs w:val="28"/>
        </w:rPr>
        <w:t xml:space="preserve"> </w:t>
      </w:r>
    </w:p>
    <w:p w14:paraId="64A1B5A3" w14:textId="77777777" w:rsidR="006E523B" w:rsidRDefault="006E523B" w:rsidP="00733684">
      <w:pPr>
        <w:spacing w:after="0" w:line="360" w:lineRule="auto"/>
        <w:rPr>
          <w:rFonts w:ascii="Arial" w:eastAsia="Times New Roman" w:hAnsi="Arial" w:cs="Arial"/>
          <w:kern w:val="0"/>
          <w:sz w:val="24"/>
          <w:szCs w:val="24"/>
          <w:lang w:eastAsia="en-GB"/>
          <w14:ligatures w14:val="none"/>
        </w:rPr>
      </w:pPr>
    </w:p>
    <w:p w14:paraId="03A5712C" w14:textId="77777777" w:rsidR="00EA5665" w:rsidRPr="00EA5665" w:rsidRDefault="00EA5665" w:rsidP="00EA5665">
      <w:pPr>
        <w:spacing w:after="0" w:line="360" w:lineRule="auto"/>
        <w:rPr>
          <w:rFonts w:ascii="Arial" w:eastAsia="Times New Roman" w:hAnsi="Arial" w:cs="Arial"/>
          <w:kern w:val="0"/>
          <w:sz w:val="24"/>
          <w:szCs w:val="24"/>
          <w:lang w:eastAsia="en-GB"/>
          <w14:ligatures w14:val="none"/>
        </w:rPr>
      </w:pPr>
      <w:r w:rsidRPr="00EA5665">
        <w:rPr>
          <w:rFonts w:ascii="Arial" w:eastAsia="Times New Roman" w:hAnsi="Arial" w:cs="Arial"/>
          <w:kern w:val="0"/>
          <w:sz w:val="24"/>
          <w:szCs w:val="24"/>
          <w:lang w:eastAsia="en-GB"/>
          <w14:ligatures w14:val="none"/>
        </w:rPr>
        <w:t xml:space="preserve">Event organisers should make digital systems and data protection better so that technical problems don't happen as often. </w:t>
      </w:r>
      <w:r w:rsidRPr="00EA5665">
        <w:rPr>
          <w:rFonts w:ascii="Arial" w:eastAsia="Times New Roman" w:hAnsi="Arial" w:cs="Arial"/>
          <w:kern w:val="0"/>
          <w:sz w:val="24"/>
          <w:szCs w:val="24"/>
          <w:lang w:eastAsia="en-GB"/>
          <w14:ligatures w14:val="none"/>
        </w:rPr>
        <w:br/>
        <w:t>To meet the growing environmental standards in the MICE business, they should also use more eco-friendly event practices, like cutting down on printed materials, encouraging reusable exhibition stands, and getting better at managing waste.</w:t>
      </w:r>
      <w:r w:rsidRPr="00EA5665">
        <w:rPr>
          <w:rFonts w:ascii="Arial" w:eastAsia="Times New Roman" w:hAnsi="Arial" w:cs="Arial"/>
          <w:kern w:val="0"/>
          <w:sz w:val="24"/>
          <w:szCs w:val="24"/>
          <w:lang w:eastAsia="en-GB"/>
          <w14:ligatures w14:val="none"/>
        </w:rPr>
        <w:br/>
        <w:t>Through preferred hotel agreements and shared networking events, it is suggested that the organisation work together more closely with local hotels. This would improve the experience of delegates and make managing accommodations easier.</w:t>
      </w:r>
      <w:r w:rsidRPr="00EA5665">
        <w:rPr>
          <w:rFonts w:ascii="Arial" w:eastAsia="Times New Roman" w:hAnsi="Arial" w:cs="Arial"/>
          <w:kern w:val="0"/>
          <w:sz w:val="24"/>
          <w:szCs w:val="24"/>
          <w:lang w:eastAsia="en-GB"/>
          <w14:ligatures w14:val="none"/>
        </w:rPr>
        <w:br/>
        <w:t>To reach more people around the world and lessen the effect of travel problems, event organisers should keep working on hybrid event choices that let some sessions and meetings be attended online.</w:t>
      </w:r>
    </w:p>
    <w:p w14:paraId="7B1E93DA" w14:textId="77777777" w:rsidR="00013BD0" w:rsidRPr="00EA5665" w:rsidRDefault="00013BD0" w:rsidP="00EA5665">
      <w:pPr>
        <w:spacing w:line="360" w:lineRule="auto"/>
        <w:rPr>
          <w:rFonts w:ascii="Arial" w:hAnsi="Arial" w:cs="Arial"/>
          <w:sz w:val="24"/>
          <w:szCs w:val="24"/>
        </w:rPr>
      </w:pPr>
    </w:p>
    <w:p w14:paraId="41261B0E" w14:textId="77777777" w:rsidR="005F6993" w:rsidRPr="00733684" w:rsidRDefault="005F6993" w:rsidP="00733684">
      <w:pPr>
        <w:spacing w:line="360" w:lineRule="auto"/>
        <w:rPr>
          <w:rFonts w:ascii="Arial" w:hAnsi="Arial" w:cs="Arial"/>
          <w:sz w:val="24"/>
          <w:szCs w:val="24"/>
        </w:rPr>
      </w:pPr>
    </w:p>
    <w:p w14:paraId="14114208" w14:textId="77777777" w:rsidR="005F6993" w:rsidRPr="00733684" w:rsidRDefault="005F6993" w:rsidP="00733684">
      <w:pPr>
        <w:spacing w:line="360" w:lineRule="auto"/>
        <w:rPr>
          <w:rFonts w:ascii="Arial" w:hAnsi="Arial" w:cs="Arial"/>
          <w:sz w:val="24"/>
          <w:szCs w:val="24"/>
        </w:rPr>
      </w:pPr>
    </w:p>
    <w:p w14:paraId="4064354E" w14:textId="77777777" w:rsidR="005F6993" w:rsidRPr="00733684" w:rsidRDefault="005F6993" w:rsidP="00733684">
      <w:pPr>
        <w:spacing w:line="360" w:lineRule="auto"/>
        <w:rPr>
          <w:rFonts w:ascii="Arial" w:hAnsi="Arial" w:cs="Arial"/>
          <w:sz w:val="24"/>
          <w:szCs w:val="24"/>
        </w:rPr>
      </w:pPr>
    </w:p>
    <w:p w14:paraId="293A7233" w14:textId="77777777" w:rsidR="005F6993" w:rsidRPr="00733684" w:rsidRDefault="005F6993" w:rsidP="00733684">
      <w:pPr>
        <w:spacing w:line="360" w:lineRule="auto"/>
        <w:rPr>
          <w:rFonts w:ascii="Arial" w:hAnsi="Arial" w:cs="Arial"/>
          <w:sz w:val="24"/>
          <w:szCs w:val="24"/>
        </w:rPr>
      </w:pPr>
    </w:p>
    <w:p w14:paraId="0ABF2455" w14:textId="77777777" w:rsidR="005F6993" w:rsidRPr="00733684" w:rsidRDefault="005F6993" w:rsidP="00733684">
      <w:pPr>
        <w:spacing w:line="360" w:lineRule="auto"/>
        <w:rPr>
          <w:rFonts w:ascii="Arial" w:hAnsi="Arial" w:cs="Arial"/>
          <w:sz w:val="24"/>
          <w:szCs w:val="24"/>
        </w:rPr>
      </w:pPr>
    </w:p>
    <w:p w14:paraId="7BEC24DE" w14:textId="77777777" w:rsidR="005F6993" w:rsidRDefault="005F6993" w:rsidP="00733684">
      <w:pPr>
        <w:spacing w:line="360" w:lineRule="auto"/>
        <w:rPr>
          <w:rFonts w:ascii="Arial" w:hAnsi="Arial" w:cs="Arial"/>
          <w:sz w:val="24"/>
          <w:szCs w:val="24"/>
        </w:rPr>
      </w:pPr>
    </w:p>
    <w:p w14:paraId="75817BCB" w14:textId="77777777" w:rsidR="006E523B" w:rsidRDefault="006E523B" w:rsidP="00733684">
      <w:pPr>
        <w:spacing w:line="360" w:lineRule="auto"/>
        <w:rPr>
          <w:rFonts w:ascii="Arial" w:hAnsi="Arial" w:cs="Arial"/>
          <w:sz w:val="24"/>
          <w:szCs w:val="24"/>
        </w:rPr>
      </w:pPr>
    </w:p>
    <w:p w14:paraId="334E9496" w14:textId="77777777" w:rsidR="006E523B" w:rsidRPr="00733684" w:rsidRDefault="006E523B" w:rsidP="00733684">
      <w:pPr>
        <w:spacing w:line="360" w:lineRule="auto"/>
        <w:rPr>
          <w:rFonts w:ascii="Arial" w:hAnsi="Arial" w:cs="Arial"/>
          <w:sz w:val="24"/>
          <w:szCs w:val="24"/>
        </w:rPr>
      </w:pPr>
    </w:p>
    <w:p w14:paraId="07C53A07" w14:textId="338D4AB7" w:rsidR="005F6993" w:rsidRPr="006E523B" w:rsidRDefault="005F6993" w:rsidP="006E523B">
      <w:pPr>
        <w:pStyle w:val="Heading2"/>
        <w:rPr>
          <w:rFonts w:ascii="Arial" w:hAnsi="Arial" w:cs="Arial"/>
          <w:color w:val="auto"/>
          <w:sz w:val="28"/>
          <w:szCs w:val="28"/>
        </w:rPr>
      </w:pPr>
      <w:bookmarkStart w:id="13" w:name="_Toc218991942"/>
      <w:r w:rsidRPr="006E523B">
        <w:rPr>
          <w:rFonts w:ascii="Arial" w:hAnsi="Arial" w:cs="Arial"/>
          <w:color w:val="auto"/>
          <w:sz w:val="28"/>
          <w:szCs w:val="28"/>
        </w:rPr>
        <w:t>REFERENCES</w:t>
      </w:r>
      <w:bookmarkEnd w:id="13"/>
      <w:r w:rsidRPr="006E523B">
        <w:rPr>
          <w:rFonts w:ascii="Arial" w:hAnsi="Arial" w:cs="Arial"/>
          <w:color w:val="auto"/>
          <w:sz w:val="28"/>
          <w:szCs w:val="28"/>
        </w:rPr>
        <w:t xml:space="preserve"> </w:t>
      </w:r>
    </w:p>
    <w:p w14:paraId="077D7A34" w14:textId="77777777" w:rsidR="006E523B" w:rsidRDefault="006E523B" w:rsidP="00733684">
      <w:pPr>
        <w:spacing w:line="360" w:lineRule="auto"/>
        <w:rPr>
          <w:rFonts w:ascii="Arial" w:hAnsi="Arial" w:cs="Arial"/>
          <w:sz w:val="24"/>
          <w:szCs w:val="24"/>
        </w:rPr>
      </w:pPr>
    </w:p>
    <w:p w14:paraId="59BD9755"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Allianz (2024). </w:t>
      </w:r>
      <w:r w:rsidRPr="00591573">
        <w:rPr>
          <w:rFonts w:ascii="Arial" w:hAnsi="Arial" w:cs="Arial"/>
          <w:i/>
          <w:iCs/>
        </w:rPr>
        <w:t>Allianz | Country Risk Report Singapore</w:t>
      </w:r>
      <w:r w:rsidRPr="00591573">
        <w:rPr>
          <w:rFonts w:ascii="Arial" w:hAnsi="Arial" w:cs="Arial"/>
        </w:rPr>
        <w:t>. [online] Allianz.com. Available at: https://www.allianz.com/en/economic_research/country-and-sector-risk/country-risk/singapore.html [Accessed 30 Dec. 2025].</w:t>
      </w:r>
    </w:p>
    <w:p w14:paraId="596385CC"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ASIA, I. (n.d.). </w:t>
      </w:r>
      <w:r w:rsidRPr="00591573">
        <w:rPr>
          <w:rFonts w:ascii="Arial" w:hAnsi="Arial" w:cs="Arial"/>
          <w:i/>
          <w:iCs/>
        </w:rPr>
        <w:t>ITB Asia</w:t>
      </w:r>
      <w:r w:rsidRPr="00591573">
        <w:rPr>
          <w:rFonts w:ascii="Arial" w:hAnsi="Arial" w:cs="Arial"/>
        </w:rPr>
        <w:t>. [online] www.itb-asia.com. Available at: https://www.itb-asia.com/ [Accessed 27 Dec. 2025].</w:t>
      </w:r>
    </w:p>
    <w:p w14:paraId="5A10CEDB"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Fernando, J. (2025). </w:t>
      </w:r>
      <w:r w:rsidRPr="00591573">
        <w:rPr>
          <w:rFonts w:ascii="Arial" w:hAnsi="Arial" w:cs="Arial"/>
          <w:i/>
          <w:iCs/>
        </w:rPr>
        <w:t>Stakeholders: Definition, Types, and Examples</w:t>
      </w:r>
      <w:r w:rsidRPr="00591573">
        <w:rPr>
          <w:rFonts w:ascii="Arial" w:hAnsi="Arial" w:cs="Arial"/>
        </w:rPr>
        <w:t>. [online] Investopedia. Available at: https://www.investopedia.com/terms/s/stakeholder.asp [Accessed 28 Dec. 2025].</w:t>
      </w:r>
    </w:p>
    <w:p w14:paraId="51DC890A"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ITB Asia (2025). </w:t>
      </w:r>
      <w:r w:rsidRPr="00591573">
        <w:rPr>
          <w:rFonts w:ascii="Arial" w:hAnsi="Arial" w:cs="Arial"/>
          <w:i/>
          <w:iCs/>
        </w:rPr>
        <w:t>ITB Asia 2025 sets new record with more than 60,000 business appointments and strong industry momentum</w:t>
      </w:r>
      <w:r w:rsidRPr="00591573">
        <w:rPr>
          <w:rFonts w:ascii="Arial" w:hAnsi="Arial" w:cs="Arial"/>
        </w:rPr>
        <w:t>. [online] Journaldespalaces.com. Available at: https://www.journaldespalaces.com/en/pressrelease-76269-singapore-calendar-itb-asia-2025-sets-new-record-with-more-than-60000-business-appointments-and-strong-industry-momentum.html [Accessed 28 Dec. 2025].</w:t>
      </w:r>
    </w:p>
    <w:p w14:paraId="14822A8A"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ITB Community. (2025a). </w:t>
      </w:r>
      <w:r w:rsidRPr="00591573">
        <w:rPr>
          <w:rFonts w:ascii="Arial" w:hAnsi="Arial" w:cs="Arial"/>
          <w:i/>
          <w:iCs/>
        </w:rPr>
        <w:t>ITB Asia 2025 - Discover the power of the Asian Travel Market - Overview</w:t>
      </w:r>
      <w:r w:rsidRPr="00591573">
        <w:rPr>
          <w:rFonts w:ascii="Arial" w:hAnsi="Arial" w:cs="Arial"/>
        </w:rPr>
        <w:t>. [online] Available at: https://www.itb-community.com/itbasia2025/? [Accessed 28 Dec. 2025].</w:t>
      </w:r>
    </w:p>
    <w:p w14:paraId="60A6A4CE"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ITB Community. (2025b). </w:t>
      </w:r>
      <w:r w:rsidRPr="00591573">
        <w:rPr>
          <w:rFonts w:ascii="Arial" w:hAnsi="Arial" w:cs="Arial"/>
          <w:i/>
          <w:iCs/>
        </w:rPr>
        <w:t>ITB Asia 2025 General Terms &amp; Conditions and Data Privacy Policy – ITB Community</w:t>
      </w:r>
      <w:r w:rsidRPr="00591573">
        <w:rPr>
          <w:rFonts w:ascii="Arial" w:hAnsi="Arial" w:cs="Arial"/>
        </w:rPr>
        <w:t>. [online] Available at: https://www.itb-community.com/itbasia2026/general-terms-conditions-and-data-privacy-policy/ [Accessed 30 Dec. 2025].</w:t>
      </w:r>
    </w:p>
    <w:p w14:paraId="740D6746"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Itb.com. (2025a). </w:t>
      </w:r>
      <w:r w:rsidRPr="00591573">
        <w:rPr>
          <w:rFonts w:ascii="Arial" w:hAnsi="Arial" w:cs="Arial"/>
          <w:i/>
          <w:iCs/>
        </w:rPr>
        <w:t>Mailings - ITB Berlin</w:t>
      </w:r>
      <w:r w:rsidRPr="00591573">
        <w:rPr>
          <w:rFonts w:ascii="Arial" w:hAnsi="Arial" w:cs="Arial"/>
        </w:rPr>
        <w:t>. [online] Available at: https://www.itb.com/de/presse/pressemitteilungen/mailings_26304.html [Accessed 30 Dec. 2025].</w:t>
      </w:r>
    </w:p>
    <w:p w14:paraId="413FCC9C"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Itb.com. (2025b). </w:t>
      </w:r>
      <w:r w:rsidRPr="00591573">
        <w:rPr>
          <w:rFonts w:ascii="Arial" w:hAnsi="Arial" w:cs="Arial"/>
          <w:i/>
          <w:iCs/>
        </w:rPr>
        <w:t>Travel Tech Asia 2025: Where Innovation Powers the Future of Travel</w:t>
      </w:r>
      <w:r w:rsidRPr="00591573">
        <w:rPr>
          <w:rFonts w:ascii="Arial" w:hAnsi="Arial" w:cs="Arial"/>
        </w:rPr>
        <w:t>. [online] Available at: https://www.itb.com/en/press/press-releases/news_25920.html [Accessed 30 Dec. 2025].</w:t>
      </w:r>
    </w:p>
    <w:p w14:paraId="479950F7"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lastRenderedPageBreak/>
        <w:t xml:space="preserve">Luxury travel &amp; Global business (2025). </w:t>
      </w:r>
      <w:r w:rsidRPr="00591573">
        <w:rPr>
          <w:rFonts w:ascii="Arial" w:hAnsi="Arial" w:cs="Arial"/>
          <w:i/>
          <w:iCs/>
        </w:rPr>
        <w:t>ITB Asia 2025 | The Biggest Travel Trade Show in Asia-Pacific | Highlights &amp; Key Takeaways</w:t>
      </w:r>
      <w:r w:rsidRPr="00591573">
        <w:rPr>
          <w:rFonts w:ascii="Arial" w:hAnsi="Arial" w:cs="Arial"/>
        </w:rPr>
        <w:t>. [online] YouTube. Available at: https://www.youtube.com/watch?v=Lu5jhcHKluA [Accessed 30 Dec. 2025].</w:t>
      </w:r>
    </w:p>
    <w:p w14:paraId="5FC3FAD5"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Messe Berlin (Singapore (2025). </w:t>
      </w:r>
      <w:r w:rsidRPr="00591573">
        <w:rPr>
          <w:rFonts w:ascii="Arial" w:hAnsi="Arial" w:cs="Arial"/>
          <w:i/>
          <w:iCs/>
        </w:rPr>
        <w:t>ITB Asia 2026</w:t>
      </w:r>
      <w:r w:rsidRPr="00591573">
        <w:rPr>
          <w:rFonts w:ascii="Arial" w:hAnsi="Arial" w:cs="Arial"/>
        </w:rPr>
        <w:t>. [online] Itb-asia.com. Available at: https://www.itb-asia.com/about? [Accessed 28 Dec. 2025].</w:t>
      </w:r>
    </w:p>
    <w:p w14:paraId="7C7A94D1"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Miceandmore.org. (2025). </w:t>
      </w:r>
      <w:proofErr w:type="spellStart"/>
      <w:r w:rsidRPr="00591573">
        <w:rPr>
          <w:rFonts w:ascii="Arial" w:hAnsi="Arial" w:cs="Arial"/>
          <w:i/>
          <w:iCs/>
        </w:rPr>
        <w:t>MICE&amp;more</w:t>
      </w:r>
      <w:proofErr w:type="spellEnd"/>
      <w:r w:rsidRPr="00591573">
        <w:rPr>
          <w:rFonts w:ascii="Arial" w:hAnsi="Arial" w:cs="Arial"/>
          <w:i/>
          <w:iCs/>
        </w:rPr>
        <w:t xml:space="preserve"> — EN</w:t>
      </w:r>
      <w:r w:rsidRPr="00591573">
        <w:rPr>
          <w:rFonts w:ascii="Arial" w:hAnsi="Arial" w:cs="Arial"/>
        </w:rPr>
        <w:t>. [online] Available at: https://www.miceandmore.org/en/maintopics/itb-asia-2025-sets-new-record-with-more-than-60-000-business-appointments-and-strong-industry-moment/ [Accessed 30 Dec. 2025].</w:t>
      </w:r>
    </w:p>
    <w:p w14:paraId="05AC1528" w14:textId="77777777" w:rsidR="00591573" w:rsidRPr="00591573" w:rsidRDefault="00591573" w:rsidP="00591573">
      <w:pPr>
        <w:pStyle w:val="NormalWeb"/>
        <w:spacing w:before="0" w:beforeAutospacing="0" w:after="240" w:afterAutospacing="0" w:line="360" w:lineRule="auto"/>
        <w:rPr>
          <w:rFonts w:ascii="Arial" w:hAnsi="Arial" w:cs="Arial"/>
        </w:rPr>
      </w:pPr>
      <w:r w:rsidRPr="00591573">
        <w:rPr>
          <w:rFonts w:ascii="Arial" w:hAnsi="Arial" w:cs="Arial"/>
        </w:rPr>
        <w:t xml:space="preserve">Pullupstand.com Pte Ltd (2025). </w:t>
      </w:r>
      <w:r w:rsidRPr="00591573">
        <w:rPr>
          <w:rFonts w:ascii="Arial" w:hAnsi="Arial" w:cs="Arial"/>
          <w:i/>
          <w:iCs/>
        </w:rPr>
        <w:t>ITB Asia 2025-2026 Guide: Booth Prices, Venue &amp; Travel Tips</w:t>
      </w:r>
      <w:r w:rsidRPr="00591573">
        <w:rPr>
          <w:rFonts w:ascii="Arial" w:hAnsi="Arial" w:cs="Arial"/>
        </w:rPr>
        <w:t>. [online] Pullupstand.com Pte Ltd. Available at: https://pullupstand.com/blogs/blog/itb-asia-2025-2026-complete-exhibitor-visitor-guide [Accessed 30 Dec. 2025].</w:t>
      </w:r>
    </w:p>
    <w:p w14:paraId="1993160A" w14:textId="77777777" w:rsidR="00591573" w:rsidRPr="00733684" w:rsidRDefault="00591573" w:rsidP="00733684">
      <w:pPr>
        <w:spacing w:line="360" w:lineRule="auto"/>
        <w:rPr>
          <w:rFonts w:ascii="Arial" w:hAnsi="Arial" w:cs="Arial"/>
          <w:sz w:val="24"/>
          <w:szCs w:val="24"/>
        </w:rPr>
      </w:pPr>
    </w:p>
    <w:sectPr w:rsidR="00591573" w:rsidRPr="0073368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A13CC" w14:textId="77777777" w:rsidR="003750EC" w:rsidRDefault="003750EC" w:rsidP="005F6993">
      <w:pPr>
        <w:spacing w:after="0" w:line="240" w:lineRule="auto"/>
      </w:pPr>
      <w:r>
        <w:separator/>
      </w:r>
    </w:p>
  </w:endnote>
  <w:endnote w:type="continuationSeparator" w:id="0">
    <w:p w14:paraId="29A25C41" w14:textId="77777777" w:rsidR="003750EC" w:rsidRDefault="003750EC" w:rsidP="005F6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53093"/>
      <w:docPartObj>
        <w:docPartGallery w:val="Page Numbers (Bottom of Page)"/>
        <w:docPartUnique/>
      </w:docPartObj>
    </w:sdtPr>
    <w:sdtContent>
      <w:p w14:paraId="79D34215" w14:textId="30F8ED5F" w:rsidR="004974B1" w:rsidRDefault="004974B1">
        <w:pPr>
          <w:pStyle w:val="Footer"/>
          <w:jc w:val="center"/>
        </w:pPr>
        <w:r>
          <w:fldChar w:fldCharType="begin"/>
        </w:r>
        <w:r>
          <w:instrText>PAGE   \* MERGEFORMAT</w:instrText>
        </w:r>
        <w:r>
          <w:fldChar w:fldCharType="separate"/>
        </w:r>
        <w:r>
          <w:t>2</w:t>
        </w:r>
        <w:r>
          <w:fldChar w:fldCharType="end"/>
        </w:r>
      </w:p>
    </w:sdtContent>
  </w:sdt>
  <w:p w14:paraId="19FFFA27" w14:textId="77777777" w:rsidR="004974B1" w:rsidRDefault="00497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C4CDD" w14:textId="77777777" w:rsidR="003750EC" w:rsidRDefault="003750EC" w:rsidP="005F6993">
      <w:pPr>
        <w:spacing w:after="0" w:line="240" w:lineRule="auto"/>
      </w:pPr>
      <w:r>
        <w:separator/>
      </w:r>
    </w:p>
  </w:footnote>
  <w:footnote w:type="continuationSeparator" w:id="0">
    <w:p w14:paraId="723F91EC" w14:textId="77777777" w:rsidR="003750EC" w:rsidRDefault="003750EC" w:rsidP="005F69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993"/>
    <w:rsid w:val="00013BD0"/>
    <w:rsid w:val="000637D8"/>
    <w:rsid w:val="00092BCD"/>
    <w:rsid w:val="000B1D5F"/>
    <w:rsid w:val="000E3491"/>
    <w:rsid w:val="001437B4"/>
    <w:rsid w:val="001E5D3A"/>
    <w:rsid w:val="00203DE0"/>
    <w:rsid w:val="00235164"/>
    <w:rsid w:val="00247EEF"/>
    <w:rsid w:val="002A6B30"/>
    <w:rsid w:val="002F19AA"/>
    <w:rsid w:val="003011E7"/>
    <w:rsid w:val="00343022"/>
    <w:rsid w:val="003750EC"/>
    <w:rsid w:val="003B772B"/>
    <w:rsid w:val="003C1A96"/>
    <w:rsid w:val="003E3050"/>
    <w:rsid w:val="003F0A2F"/>
    <w:rsid w:val="004974B1"/>
    <w:rsid w:val="0058307A"/>
    <w:rsid w:val="00591573"/>
    <w:rsid w:val="0059552E"/>
    <w:rsid w:val="005A63D3"/>
    <w:rsid w:val="005B69A5"/>
    <w:rsid w:val="005F644F"/>
    <w:rsid w:val="005F6993"/>
    <w:rsid w:val="006557BA"/>
    <w:rsid w:val="00671277"/>
    <w:rsid w:val="006B682C"/>
    <w:rsid w:val="006E0AE9"/>
    <w:rsid w:val="006E523B"/>
    <w:rsid w:val="0073066B"/>
    <w:rsid w:val="00733684"/>
    <w:rsid w:val="007420F2"/>
    <w:rsid w:val="00775047"/>
    <w:rsid w:val="007C1FFC"/>
    <w:rsid w:val="007F1A4C"/>
    <w:rsid w:val="008000B4"/>
    <w:rsid w:val="008453D7"/>
    <w:rsid w:val="00873CB5"/>
    <w:rsid w:val="0087672D"/>
    <w:rsid w:val="00935F4B"/>
    <w:rsid w:val="00A05360"/>
    <w:rsid w:val="00A4014B"/>
    <w:rsid w:val="00A44271"/>
    <w:rsid w:val="00A515A7"/>
    <w:rsid w:val="00A54AC0"/>
    <w:rsid w:val="00A9238D"/>
    <w:rsid w:val="00A9691B"/>
    <w:rsid w:val="00B5720A"/>
    <w:rsid w:val="00C2511E"/>
    <w:rsid w:val="00CE250A"/>
    <w:rsid w:val="00DD3424"/>
    <w:rsid w:val="00DD410D"/>
    <w:rsid w:val="00DD5FEF"/>
    <w:rsid w:val="00DF2ADD"/>
    <w:rsid w:val="00DF4DDA"/>
    <w:rsid w:val="00E340E8"/>
    <w:rsid w:val="00E8643A"/>
    <w:rsid w:val="00EA5665"/>
    <w:rsid w:val="00EC4394"/>
    <w:rsid w:val="00F23EEB"/>
    <w:rsid w:val="00F32F5A"/>
    <w:rsid w:val="00F76619"/>
    <w:rsid w:val="00F87834"/>
    <w:rsid w:val="00F97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CAB7"/>
  <w15:chartTrackingRefBased/>
  <w15:docId w15:val="{58C29170-DBE0-4728-A507-88881EDDE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6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6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6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6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993"/>
    <w:rPr>
      <w:rFonts w:eastAsiaTheme="majorEastAsia" w:cstheme="majorBidi"/>
      <w:color w:val="272727" w:themeColor="text1" w:themeTint="D8"/>
    </w:rPr>
  </w:style>
  <w:style w:type="paragraph" w:styleId="Title">
    <w:name w:val="Title"/>
    <w:basedOn w:val="Normal"/>
    <w:next w:val="Normal"/>
    <w:link w:val="TitleChar"/>
    <w:uiPriority w:val="10"/>
    <w:qFormat/>
    <w:rsid w:val="005F6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993"/>
    <w:pPr>
      <w:spacing w:before="160"/>
      <w:jc w:val="center"/>
    </w:pPr>
    <w:rPr>
      <w:i/>
      <w:iCs/>
      <w:color w:val="404040" w:themeColor="text1" w:themeTint="BF"/>
    </w:rPr>
  </w:style>
  <w:style w:type="character" w:customStyle="1" w:styleId="QuoteChar">
    <w:name w:val="Quote Char"/>
    <w:basedOn w:val="DefaultParagraphFont"/>
    <w:link w:val="Quote"/>
    <w:uiPriority w:val="29"/>
    <w:rsid w:val="005F6993"/>
    <w:rPr>
      <w:i/>
      <w:iCs/>
      <w:color w:val="404040" w:themeColor="text1" w:themeTint="BF"/>
    </w:rPr>
  </w:style>
  <w:style w:type="paragraph" w:styleId="ListParagraph">
    <w:name w:val="List Paragraph"/>
    <w:basedOn w:val="Normal"/>
    <w:uiPriority w:val="34"/>
    <w:qFormat/>
    <w:rsid w:val="005F6993"/>
    <w:pPr>
      <w:ind w:left="720"/>
      <w:contextualSpacing/>
    </w:pPr>
  </w:style>
  <w:style w:type="character" w:styleId="IntenseEmphasis">
    <w:name w:val="Intense Emphasis"/>
    <w:basedOn w:val="DefaultParagraphFont"/>
    <w:uiPriority w:val="21"/>
    <w:qFormat/>
    <w:rsid w:val="005F6993"/>
    <w:rPr>
      <w:i/>
      <w:iCs/>
      <w:color w:val="0F4761" w:themeColor="accent1" w:themeShade="BF"/>
    </w:rPr>
  </w:style>
  <w:style w:type="paragraph" w:styleId="IntenseQuote">
    <w:name w:val="Intense Quote"/>
    <w:basedOn w:val="Normal"/>
    <w:next w:val="Normal"/>
    <w:link w:val="IntenseQuoteChar"/>
    <w:uiPriority w:val="30"/>
    <w:qFormat/>
    <w:rsid w:val="005F6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993"/>
    <w:rPr>
      <w:i/>
      <w:iCs/>
      <w:color w:val="0F4761" w:themeColor="accent1" w:themeShade="BF"/>
    </w:rPr>
  </w:style>
  <w:style w:type="character" w:styleId="IntenseReference">
    <w:name w:val="Intense Reference"/>
    <w:basedOn w:val="DefaultParagraphFont"/>
    <w:uiPriority w:val="32"/>
    <w:qFormat/>
    <w:rsid w:val="005F6993"/>
    <w:rPr>
      <w:b/>
      <w:bCs/>
      <w:smallCaps/>
      <w:color w:val="0F4761" w:themeColor="accent1" w:themeShade="BF"/>
      <w:spacing w:val="5"/>
    </w:rPr>
  </w:style>
  <w:style w:type="paragraph" w:styleId="Header">
    <w:name w:val="header"/>
    <w:basedOn w:val="Normal"/>
    <w:link w:val="HeaderChar"/>
    <w:uiPriority w:val="99"/>
    <w:unhideWhenUsed/>
    <w:rsid w:val="005F6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993"/>
  </w:style>
  <w:style w:type="paragraph" w:styleId="Footer">
    <w:name w:val="footer"/>
    <w:basedOn w:val="Normal"/>
    <w:link w:val="FooterChar"/>
    <w:uiPriority w:val="99"/>
    <w:unhideWhenUsed/>
    <w:rsid w:val="005F6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993"/>
  </w:style>
  <w:style w:type="paragraph" w:styleId="TOCHeading">
    <w:name w:val="TOC Heading"/>
    <w:basedOn w:val="Heading1"/>
    <w:next w:val="Normal"/>
    <w:uiPriority w:val="39"/>
    <w:unhideWhenUsed/>
    <w:qFormat/>
    <w:rsid w:val="0058307A"/>
    <w:pPr>
      <w:spacing w:before="240" w:after="0"/>
      <w:outlineLvl w:val="9"/>
    </w:pPr>
    <w:rPr>
      <w:kern w:val="0"/>
      <w:sz w:val="32"/>
      <w:szCs w:val="32"/>
      <w:lang w:eastAsia="en-GB"/>
      <w14:ligatures w14:val="none"/>
    </w:rPr>
  </w:style>
  <w:style w:type="paragraph" w:styleId="NormalWeb">
    <w:name w:val="Normal (Web)"/>
    <w:basedOn w:val="Normal"/>
    <w:uiPriority w:val="99"/>
    <w:semiHidden/>
    <w:unhideWhenUsed/>
    <w:rsid w:val="005915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6E523B"/>
    <w:pPr>
      <w:spacing w:after="100"/>
      <w:ind w:left="220"/>
    </w:pPr>
  </w:style>
  <w:style w:type="character" w:styleId="Hyperlink">
    <w:name w:val="Hyperlink"/>
    <w:basedOn w:val="DefaultParagraphFont"/>
    <w:uiPriority w:val="99"/>
    <w:unhideWhenUsed/>
    <w:rsid w:val="006E523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B53F1-08A9-4417-9E5F-A1367B47C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13</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Ghiocel Ioaniciu</dc:creator>
  <cp:keywords/>
  <dc:description/>
  <cp:lastModifiedBy>Adriana Ghiocel Ioaniciu</cp:lastModifiedBy>
  <cp:revision>12</cp:revision>
  <dcterms:created xsi:type="dcterms:W3CDTF">2026-01-03T00:11:00Z</dcterms:created>
  <dcterms:modified xsi:type="dcterms:W3CDTF">2026-01-16T00:45:00Z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732a680b-e2ae-4fdc-9bb4-c90f6f88cb54</vt:lpwstr>
  </property>
</Properties>
</file>