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09A53" w14:textId="701171E3" w:rsidR="000C5695" w:rsidRDefault="000C5695" w:rsidP="007F3F50">
      <w:pPr>
        <w:spacing w:line="480" w:lineRule="auto"/>
        <w:rPr>
          <w:rFonts w:ascii="Times New Roman" w:hAnsi="Times New Roman" w:cs="Times New Roman"/>
          <w:b/>
          <w:sz w:val="24"/>
          <w:szCs w:val="24"/>
          <w:u w:val="single"/>
        </w:rPr>
      </w:pPr>
      <w:r w:rsidRPr="000C5695">
        <w:rPr>
          <w:rFonts w:ascii="Times New Roman" w:hAnsi="Times New Roman" w:cs="Times New Roman"/>
          <w:b/>
          <w:sz w:val="24"/>
          <w:szCs w:val="24"/>
          <w:u w:val="single"/>
        </w:rPr>
        <w:t>Analysis of select passages from ancient medical papyri, such as the Ebers Papyrus, will reveal the connection between medicine, religion, and magic and highlight their importance within ancient Egyptian society.</w:t>
      </w:r>
    </w:p>
    <w:p w14:paraId="684B13B0" w14:textId="233F3B74" w:rsidR="003C7268" w:rsidRDefault="003C7268" w:rsidP="007F3F50">
      <w:pPr>
        <w:spacing w:line="480" w:lineRule="auto"/>
        <w:rPr>
          <w:rFonts w:ascii="Times New Roman" w:hAnsi="Times New Roman" w:cs="Times New Roman"/>
          <w:b/>
          <w:sz w:val="24"/>
          <w:szCs w:val="24"/>
          <w:u w:val="single"/>
        </w:rPr>
      </w:pPr>
    </w:p>
    <w:p w14:paraId="4BD895ED" w14:textId="2F0B7B2A" w:rsidR="003C7268" w:rsidRDefault="003C7268" w:rsidP="007F3F50">
      <w:pPr>
        <w:spacing w:line="480" w:lineRule="auto"/>
        <w:rPr>
          <w:rFonts w:ascii="Times New Roman" w:hAnsi="Times New Roman" w:cs="Times New Roman"/>
          <w:sz w:val="24"/>
          <w:szCs w:val="24"/>
        </w:rPr>
      </w:pPr>
      <w:r>
        <w:rPr>
          <w:rFonts w:ascii="Times New Roman" w:hAnsi="Times New Roman" w:cs="Times New Roman"/>
          <w:sz w:val="24"/>
          <w:szCs w:val="24"/>
        </w:rPr>
        <w:t xml:space="preserve">In ancient Egyptian society, medicine, religion, and magic were inextricably linked. Regardless of class or gender, disease and illness affected everyone, and methods to treat these problems can be found on both a small and larger scale. </w:t>
      </w:r>
      <w:r w:rsidR="00C26926">
        <w:rPr>
          <w:rFonts w:ascii="Times New Roman" w:hAnsi="Times New Roman" w:cs="Times New Roman"/>
          <w:sz w:val="24"/>
          <w:szCs w:val="24"/>
        </w:rPr>
        <w:t>As James and Dillion</w:t>
      </w:r>
      <w:r w:rsidR="002D04D9">
        <w:rPr>
          <w:rFonts w:ascii="Times New Roman" w:hAnsi="Times New Roman" w:cs="Times New Roman"/>
          <w:sz w:val="24"/>
          <w:szCs w:val="24"/>
        </w:rPr>
        <w:t xml:space="preserve"> quote, “there are problems encountered when attempting to reconstruct life in ancient Egypt in a way that includes all members of society, rather than focusing on the most prominent or obvious actors”.</w:t>
      </w:r>
      <w:r w:rsidR="002D04D9">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0053182C">
        <w:rPr>
          <w:rFonts w:ascii="Times New Roman" w:hAnsi="Times New Roman" w:cs="Times New Roman"/>
          <w:sz w:val="24"/>
          <w:szCs w:val="24"/>
        </w:rPr>
        <w:t>There are various deities connected with Egyptian medicine</w:t>
      </w:r>
      <w:r w:rsidR="00A74225">
        <w:rPr>
          <w:rFonts w:ascii="Times New Roman" w:hAnsi="Times New Roman" w:cs="Times New Roman"/>
          <w:sz w:val="24"/>
          <w:szCs w:val="24"/>
        </w:rPr>
        <w:t xml:space="preserve"> and interestingly, they are all female. Sekhmet was the main goddess of healing and medicine in Upper Egypt. She was helped by Heka (goddess of magic who provided protection and healing), Serket (goddess of healing stings and bites), Ta- Bitjet (</w:t>
      </w:r>
      <w:r w:rsidR="00DE4829">
        <w:rPr>
          <w:rFonts w:ascii="Times New Roman" w:hAnsi="Times New Roman" w:cs="Times New Roman"/>
          <w:sz w:val="24"/>
          <w:szCs w:val="24"/>
        </w:rPr>
        <w:t xml:space="preserve">scorpion </w:t>
      </w:r>
      <w:r w:rsidR="00A74225">
        <w:rPr>
          <w:rFonts w:ascii="Times New Roman" w:hAnsi="Times New Roman" w:cs="Times New Roman"/>
          <w:sz w:val="24"/>
          <w:szCs w:val="24"/>
        </w:rPr>
        <w:t xml:space="preserve">goddess whose </w:t>
      </w:r>
      <w:r w:rsidR="0033324A">
        <w:rPr>
          <w:rFonts w:ascii="Times New Roman" w:hAnsi="Times New Roman" w:cs="Times New Roman"/>
          <w:sz w:val="24"/>
          <w:szCs w:val="24"/>
        </w:rPr>
        <w:t>blood heals all poisons), and Isis (goddess of healing, magic, and marriage).</w:t>
      </w:r>
      <w:r w:rsidR="0033324A">
        <w:rPr>
          <w:rStyle w:val="FootnoteReference"/>
          <w:rFonts w:ascii="Times New Roman" w:hAnsi="Times New Roman" w:cs="Times New Roman"/>
          <w:sz w:val="24"/>
          <w:szCs w:val="24"/>
        </w:rPr>
        <w:footnoteReference w:id="2"/>
      </w:r>
      <w:r w:rsidR="0033324A">
        <w:rPr>
          <w:rFonts w:ascii="Times New Roman" w:hAnsi="Times New Roman" w:cs="Times New Roman"/>
          <w:sz w:val="24"/>
          <w:szCs w:val="24"/>
        </w:rPr>
        <w:t xml:space="preserve"> </w:t>
      </w:r>
      <w:r w:rsidR="00EA4A9D">
        <w:rPr>
          <w:rFonts w:ascii="Times New Roman" w:hAnsi="Times New Roman" w:cs="Times New Roman"/>
          <w:sz w:val="24"/>
          <w:szCs w:val="24"/>
        </w:rPr>
        <w:t>Medicine has been found in various contexts around the Egyptian world: tombs, temples, and our main source</w:t>
      </w:r>
      <w:r w:rsidR="00AE46E8">
        <w:rPr>
          <w:rFonts w:ascii="Times New Roman" w:hAnsi="Times New Roman" w:cs="Times New Roman"/>
          <w:sz w:val="24"/>
          <w:szCs w:val="24"/>
        </w:rPr>
        <w:t>s</w:t>
      </w:r>
      <w:r w:rsidR="00EA4A9D">
        <w:rPr>
          <w:rFonts w:ascii="Times New Roman" w:hAnsi="Times New Roman" w:cs="Times New Roman"/>
          <w:sz w:val="24"/>
          <w:szCs w:val="24"/>
        </w:rPr>
        <w:t>, papyr</w:t>
      </w:r>
      <w:r w:rsidR="001D25B6">
        <w:rPr>
          <w:rFonts w:ascii="Times New Roman" w:hAnsi="Times New Roman" w:cs="Times New Roman"/>
          <w:sz w:val="24"/>
          <w:szCs w:val="24"/>
        </w:rPr>
        <w:t>i</w:t>
      </w:r>
      <w:r w:rsidR="00EA4A9D">
        <w:rPr>
          <w:rFonts w:ascii="Times New Roman" w:hAnsi="Times New Roman" w:cs="Times New Roman"/>
          <w:sz w:val="24"/>
          <w:szCs w:val="24"/>
        </w:rPr>
        <w:t xml:space="preserve">. </w:t>
      </w:r>
      <w:r w:rsidR="00781A6F">
        <w:rPr>
          <w:rFonts w:ascii="Times New Roman" w:hAnsi="Times New Roman" w:cs="Times New Roman"/>
          <w:sz w:val="24"/>
          <w:szCs w:val="24"/>
        </w:rPr>
        <w:t xml:space="preserve">In this essay, I will be using sources </w:t>
      </w:r>
      <w:r w:rsidR="00C330E7">
        <w:rPr>
          <w:rFonts w:ascii="Times New Roman" w:hAnsi="Times New Roman" w:cs="Times New Roman"/>
          <w:sz w:val="24"/>
          <w:szCs w:val="24"/>
        </w:rPr>
        <w:t xml:space="preserve">mainly </w:t>
      </w:r>
      <w:r w:rsidR="00781A6F">
        <w:rPr>
          <w:rFonts w:ascii="Times New Roman" w:hAnsi="Times New Roman" w:cs="Times New Roman"/>
          <w:sz w:val="24"/>
          <w:szCs w:val="24"/>
        </w:rPr>
        <w:t xml:space="preserve">from the Ebers papyrus, </w:t>
      </w:r>
      <w:r w:rsidR="00C330E7">
        <w:rPr>
          <w:rFonts w:ascii="Times New Roman" w:hAnsi="Times New Roman" w:cs="Times New Roman"/>
          <w:sz w:val="24"/>
          <w:szCs w:val="24"/>
        </w:rPr>
        <w:t xml:space="preserve">the Kahun papyrus, and the Hearst papyrus. </w:t>
      </w:r>
      <w:r w:rsidR="00913F97">
        <w:rPr>
          <w:rFonts w:ascii="Times New Roman" w:hAnsi="Times New Roman" w:cs="Times New Roman"/>
          <w:sz w:val="24"/>
          <w:szCs w:val="24"/>
        </w:rPr>
        <w:t xml:space="preserve">The Ebers papyrus dates to around 1550-1500BC, and contains mainly herbal remedies. The Kahun papyrus dates to around 1850BC and discusses women’s health and gynaecological issues. Finally, the Hearst papyrus dates to </w:t>
      </w:r>
      <w:r w:rsidR="00C375E7">
        <w:rPr>
          <w:rFonts w:ascii="Times New Roman" w:hAnsi="Times New Roman" w:cs="Times New Roman"/>
          <w:sz w:val="24"/>
          <w:szCs w:val="24"/>
        </w:rPr>
        <w:t>the first half of the second millennium BC and writes about issues such as bites, blood, hair</w:t>
      </w:r>
      <w:r w:rsidR="00D37A61">
        <w:rPr>
          <w:rFonts w:ascii="Times New Roman" w:hAnsi="Times New Roman" w:cs="Times New Roman"/>
          <w:sz w:val="24"/>
          <w:szCs w:val="24"/>
        </w:rPr>
        <w:t>,</w:t>
      </w:r>
      <w:r w:rsidR="00C375E7">
        <w:rPr>
          <w:rFonts w:ascii="Times New Roman" w:hAnsi="Times New Roman" w:cs="Times New Roman"/>
          <w:sz w:val="24"/>
          <w:szCs w:val="24"/>
        </w:rPr>
        <w:t xml:space="preserve"> and urinary problems.</w:t>
      </w:r>
      <w:r w:rsidR="00A20A66">
        <w:rPr>
          <w:rStyle w:val="FootnoteReference"/>
          <w:rFonts w:ascii="Times New Roman" w:hAnsi="Times New Roman" w:cs="Times New Roman"/>
          <w:sz w:val="24"/>
          <w:szCs w:val="24"/>
        </w:rPr>
        <w:footnoteReference w:id="3"/>
      </w:r>
      <w:r w:rsidR="00C375E7">
        <w:rPr>
          <w:rFonts w:ascii="Times New Roman" w:hAnsi="Times New Roman" w:cs="Times New Roman"/>
          <w:sz w:val="24"/>
          <w:szCs w:val="24"/>
        </w:rPr>
        <w:t xml:space="preserve"> </w:t>
      </w:r>
      <w:r w:rsidR="00D37A61">
        <w:rPr>
          <w:rFonts w:ascii="Times New Roman" w:hAnsi="Times New Roman" w:cs="Times New Roman"/>
          <w:sz w:val="24"/>
          <w:szCs w:val="24"/>
        </w:rPr>
        <w:t xml:space="preserve">Through analysis of excerpts from these papyri, it is possible for us to understand Egyptian medical treatments more easily, and therefore gain an insight into its position and relevance within Egyptian society itself. </w:t>
      </w:r>
      <w:r w:rsidR="000E141E">
        <w:rPr>
          <w:rFonts w:ascii="Times New Roman" w:hAnsi="Times New Roman" w:cs="Times New Roman"/>
          <w:sz w:val="24"/>
          <w:szCs w:val="24"/>
        </w:rPr>
        <w:t xml:space="preserve">This essay will argue the importance of the </w:t>
      </w:r>
      <w:r w:rsidR="000E141E">
        <w:rPr>
          <w:rFonts w:ascii="Times New Roman" w:hAnsi="Times New Roman" w:cs="Times New Roman"/>
          <w:sz w:val="24"/>
          <w:szCs w:val="24"/>
        </w:rPr>
        <w:lastRenderedPageBreak/>
        <w:t>relationships between medicine, magic, and religion, and how the interaction between them helped to shape the development of Egyptian medicine.</w:t>
      </w:r>
    </w:p>
    <w:p w14:paraId="463E2054" w14:textId="586B1DFE" w:rsidR="007F3F50" w:rsidRDefault="007F3F50" w:rsidP="007F3F50">
      <w:pPr>
        <w:spacing w:line="480" w:lineRule="auto"/>
        <w:rPr>
          <w:rFonts w:ascii="Times New Roman" w:hAnsi="Times New Roman" w:cs="Times New Roman"/>
          <w:sz w:val="24"/>
          <w:szCs w:val="24"/>
        </w:rPr>
      </w:pPr>
    </w:p>
    <w:p w14:paraId="0A00DC06" w14:textId="4975312E" w:rsidR="00974312" w:rsidRDefault="008274D7" w:rsidP="007F3F50">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evidence for various diseases within ancient Egypt. </w:t>
      </w:r>
      <w:r w:rsidR="001D25B6">
        <w:rPr>
          <w:rFonts w:ascii="Times New Roman" w:hAnsi="Times New Roman" w:cs="Times New Roman"/>
          <w:sz w:val="24"/>
          <w:szCs w:val="24"/>
        </w:rPr>
        <w:t>We have two main sources for examining these diseases and their treatments. The primary source is from the human remains themselves; through the examination of this source it is possible to see how the disease, and possible treatments, affected that individual personally. The secondary sources come from depictions in artwork, which is unfortunately rare, and manuscripts, such</w:t>
      </w:r>
      <w:r w:rsidR="002E1FB4">
        <w:rPr>
          <w:rFonts w:ascii="Times New Roman" w:hAnsi="Times New Roman" w:cs="Times New Roman"/>
          <w:sz w:val="24"/>
          <w:szCs w:val="24"/>
        </w:rPr>
        <w:t xml:space="preserve"> as the papyri mentioned above. </w:t>
      </w:r>
      <w:r w:rsidR="00B348D8">
        <w:rPr>
          <w:rFonts w:ascii="Times New Roman" w:hAnsi="Times New Roman" w:cs="Times New Roman"/>
          <w:sz w:val="24"/>
          <w:szCs w:val="24"/>
        </w:rPr>
        <w:t>There are seven main types of illnesses which are apparent in both these sources. Eye diseases appear to have been quite common</w:t>
      </w:r>
      <w:r w:rsidR="009232C7">
        <w:rPr>
          <w:rFonts w:ascii="Times New Roman" w:hAnsi="Times New Roman" w:cs="Times New Roman"/>
          <w:sz w:val="24"/>
          <w:szCs w:val="24"/>
        </w:rPr>
        <w:t>, as expected in a desert environment, and are written about extensively in medical papyri. A tested treatment seemed to be the application of kohl</w:t>
      </w:r>
      <w:r w:rsidR="00F7731A">
        <w:rPr>
          <w:rFonts w:ascii="Times New Roman" w:hAnsi="Times New Roman" w:cs="Times New Roman"/>
          <w:sz w:val="24"/>
          <w:szCs w:val="24"/>
        </w:rPr>
        <w:t xml:space="preserve"> and malachite</w:t>
      </w:r>
      <w:r w:rsidR="009232C7">
        <w:rPr>
          <w:rFonts w:ascii="Times New Roman" w:hAnsi="Times New Roman" w:cs="Times New Roman"/>
          <w:sz w:val="24"/>
          <w:szCs w:val="24"/>
        </w:rPr>
        <w:t xml:space="preserve"> to the upper and lower eyelids, not only to protect the eyes from parasitic elements</w:t>
      </w:r>
      <w:r w:rsidR="00F7731A">
        <w:rPr>
          <w:rFonts w:ascii="Times New Roman" w:hAnsi="Times New Roman" w:cs="Times New Roman"/>
          <w:sz w:val="24"/>
          <w:szCs w:val="24"/>
        </w:rPr>
        <w:t xml:space="preserve"> due to their germicidal properties</w:t>
      </w:r>
      <w:r w:rsidR="009232C7">
        <w:rPr>
          <w:rFonts w:ascii="Times New Roman" w:hAnsi="Times New Roman" w:cs="Times New Roman"/>
          <w:sz w:val="24"/>
          <w:szCs w:val="24"/>
        </w:rPr>
        <w:t>, but also from th</w:t>
      </w:r>
      <w:r w:rsidR="00AF229D">
        <w:rPr>
          <w:rFonts w:ascii="Times New Roman" w:hAnsi="Times New Roman" w:cs="Times New Roman"/>
          <w:sz w:val="24"/>
          <w:szCs w:val="24"/>
        </w:rPr>
        <w:t>e</w:t>
      </w:r>
      <w:r w:rsidR="009232C7">
        <w:rPr>
          <w:rFonts w:ascii="Times New Roman" w:hAnsi="Times New Roman" w:cs="Times New Roman"/>
          <w:sz w:val="24"/>
          <w:szCs w:val="24"/>
        </w:rPr>
        <w:t xml:space="preserve"> glare of the sun.</w:t>
      </w:r>
      <w:r w:rsidR="00F7731A">
        <w:rPr>
          <w:rFonts w:ascii="Times New Roman" w:hAnsi="Times New Roman" w:cs="Times New Roman"/>
          <w:sz w:val="24"/>
          <w:szCs w:val="24"/>
        </w:rPr>
        <w:t xml:space="preserve"> </w:t>
      </w:r>
      <w:r w:rsidR="009232C7">
        <w:rPr>
          <w:rFonts w:ascii="Times New Roman" w:hAnsi="Times New Roman" w:cs="Times New Roman"/>
          <w:sz w:val="24"/>
          <w:szCs w:val="24"/>
        </w:rPr>
        <w:t xml:space="preserve"> </w:t>
      </w:r>
      <w:r w:rsidR="00184DEF">
        <w:rPr>
          <w:rFonts w:ascii="Times New Roman" w:hAnsi="Times New Roman" w:cs="Times New Roman"/>
          <w:sz w:val="24"/>
          <w:szCs w:val="24"/>
        </w:rPr>
        <w:t xml:space="preserve">Bites and stings are the next common ailment, with poultices made of dung and mud used to draw out the poison, alongside stelae of the god Horus being used to prevent bites in the first millennium BC. </w:t>
      </w:r>
      <w:r w:rsidR="00AE628F">
        <w:rPr>
          <w:rFonts w:ascii="Times New Roman" w:hAnsi="Times New Roman" w:cs="Times New Roman"/>
          <w:sz w:val="24"/>
          <w:szCs w:val="24"/>
        </w:rPr>
        <w:t xml:space="preserve">There is some mention of diseases that affect internal organs, but due to the mummification process, it is incredibly difficult to ascertain what these diseases were. However, other internal diseases are more evident, such as kidney stones found in some examined mummies. Spinal tuberculosis is also evident in mummified remains. Polio is a unique case as interestingly, </w:t>
      </w:r>
      <w:r w:rsidR="00805682">
        <w:rPr>
          <w:rFonts w:ascii="Times New Roman" w:hAnsi="Times New Roman" w:cs="Times New Roman"/>
          <w:sz w:val="24"/>
          <w:szCs w:val="24"/>
        </w:rPr>
        <w:t>it</w:t>
      </w:r>
      <w:r w:rsidR="00AE628F">
        <w:rPr>
          <w:rFonts w:ascii="Times New Roman" w:hAnsi="Times New Roman" w:cs="Times New Roman"/>
          <w:sz w:val="24"/>
          <w:szCs w:val="24"/>
        </w:rPr>
        <w:t xml:space="preserve"> is rarely written about or found in mummies, but we have an artistic representation from the Amarna period (1353-1336BC) showing a man called Rema leaning on a staff with an emaciated leg. </w:t>
      </w:r>
      <w:r w:rsidR="00A202B1">
        <w:rPr>
          <w:rFonts w:ascii="Times New Roman" w:hAnsi="Times New Roman" w:cs="Times New Roman"/>
          <w:sz w:val="24"/>
          <w:szCs w:val="24"/>
        </w:rPr>
        <w:t xml:space="preserve">Finally, </w:t>
      </w:r>
      <w:r w:rsidR="001C518A">
        <w:rPr>
          <w:rFonts w:ascii="Times New Roman" w:hAnsi="Times New Roman" w:cs="Times New Roman"/>
          <w:sz w:val="24"/>
          <w:szCs w:val="24"/>
        </w:rPr>
        <w:t>parasitic diseases, such as tapeworm, were also common with herbal drinks and laxatives being prescribed.</w:t>
      </w:r>
      <w:r w:rsidR="001C518A">
        <w:rPr>
          <w:rStyle w:val="FootnoteReference"/>
          <w:rFonts w:ascii="Times New Roman" w:hAnsi="Times New Roman" w:cs="Times New Roman"/>
          <w:sz w:val="24"/>
          <w:szCs w:val="24"/>
        </w:rPr>
        <w:footnoteReference w:id="4"/>
      </w:r>
      <w:r w:rsidR="001C518A">
        <w:rPr>
          <w:rFonts w:ascii="Times New Roman" w:hAnsi="Times New Roman" w:cs="Times New Roman"/>
          <w:sz w:val="24"/>
          <w:szCs w:val="24"/>
        </w:rPr>
        <w:t xml:space="preserve"> </w:t>
      </w:r>
      <w:r w:rsidR="004F37E9">
        <w:rPr>
          <w:rFonts w:ascii="Times New Roman" w:hAnsi="Times New Roman" w:cs="Times New Roman"/>
          <w:sz w:val="24"/>
          <w:szCs w:val="24"/>
        </w:rPr>
        <w:t xml:space="preserve">Ancient Egyptian medicine </w:t>
      </w:r>
      <w:r w:rsidR="001174BE">
        <w:rPr>
          <w:rFonts w:ascii="Times New Roman" w:hAnsi="Times New Roman" w:cs="Times New Roman"/>
          <w:sz w:val="24"/>
          <w:szCs w:val="24"/>
        </w:rPr>
        <w:t xml:space="preserve">and its treatments were based on examinations and diagnosis. According to Dollinger, “much was the result of experimentation and observation”, </w:t>
      </w:r>
      <w:r w:rsidR="001174BE">
        <w:rPr>
          <w:rFonts w:ascii="Times New Roman" w:hAnsi="Times New Roman" w:cs="Times New Roman"/>
          <w:sz w:val="24"/>
          <w:szCs w:val="24"/>
        </w:rPr>
        <w:lastRenderedPageBreak/>
        <w:t>but only known treatments were administered as the physician did not wish to endanger the life of the patient.</w:t>
      </w:r>
      <w:r w:rsidR="001174BE">
        <w:rPr>
          <w:rStyle w:val="FootnoteReference"/>
          <w:rFonts w:ascii="Times New Roman" w:hAnsi="Times New Roman" w:cs="Times New Roman"/>
          <w:sz w:val="24"/>
          <w:szCs w:val="24"/>
        </w:rPr>
        <w:footnoteReference w:id="5"/>
      </w:r>
      <w:r w:rsidR="001174BE">
        <w:rPr>
          <w:rFonts w:ascii="Times New Roman" w:hAnsi="Times New Roman" w:cs="Times New Roman"/>
          <w:sz w:val="24"/>
          <w:szCs w:val="24"/>
        </w:rPr>
        <w:t xml:space="preserve"> </w:t>
      </w:r>
      <w:r w:rsidR="001E3263">
        <w:rPr>
          <w:rFonts w:ascii="Times New Roman" w:hAnsi="Times New Roman" w:cs="Times New Roman"/>
          <w:sz w:val="24"/>
          <w:szCs w:val="24"/>
        </w:rPr>
        <w:t xml:space="preserve">Methods that may seem ‘primitive’ or </w:t>
      </w:r>
      <w:r w:rsidR="00E61541">
        <w:rPr>
          <w:rFonts w:ascii="Times New Roman" w:hAnsi="Times New Roman" w:cs="Times New Roman"/>
          <w:sz w:val="24"/>
          <w:szCs w:val="24"/>
        </w:rPr>
        <w:t xml:space="preserve">‘irrational’ to us were very practical to the Egyptians as they were based on theories about the body that were widely accepted at that time. </w:t>
      </w:r>
      <w:r w:rsidR="00163A57">
        <w:rPr>
          <w:rFonts w:ascii="Times New Roman" w:hAnsi="Times New Roman" w:cs="Times New Roman"/>
          <w:sz w:val="24"/>
          <w:szCs w:val="24"/>
        </w:rPr>
        <w:t>For example, the use of nineteen types of dung is noted in various papyri as a treatment.</w:t>
      </w:r>
      <w:r w:rsidR="004C6D95">
        <w:rPr>
          <w:rFonts w:ascii="Times New Roman" w:hAnsi="Times New Roman" w:cs="Times New Roman"/>
          <w:sz w:val="24"/>
          <w:szCs w:val="24"/>
        </w:rPr>
        <w:t xml:space="preserve"> A section of the Ebers papyrus even gives us an insight into concepts of Egyptian physiology as it describes the vessels running throughout the body</w:t>
      </w:r>
      <w:r w:rsidR="009956DE">
        <w:rPr>
          <w:rFonts w:ascii="Times New Roman" w:hAnsi="Times New Roman" w:cs="Times New Roman"/>
          <w:sz w:val="24"/>
          <w:szCs w:val="24"/>
        </w:rPr>
        <w:t>.</w:t>
      </w:r>
      <w:r w:rsidR="009956DE">
        <w:rPr>
          <w:rStyle w:val="FootnoteReference"/>
          <w:rFonts w:ascii="Times New Roman" w:hAnsi="Times New Roman" w:cs="Times New Roman"/>
          <w:sz w:val="24"/>
          <w:szCs w:val="24"/>
        </w:rPr>
        <w:footnoteReference w:id="6"/>
      </w:r>
      <w:r w:rsidR="003E02D2">
        <w:rPr>
          <w:rFonts w:ascii="Times New Roman" w:hAnsi="Times New Roman" w:cs="Times New Roman"/>
          <w:sz w:val="24"/>
          <w:szCs w:val="24"/>
        </w:rPr>
        <w:t xml:space="preserve"> </w:t>
      </w:r>
    </w:p>
    <w:p w14:paraId="61E6C0F1" w14:textId="6C84D090" w:rsidR="00392BE0" w:rsidRDefault="00392BE0" w:rsidP="007F3F50">
      <w:pPr>
        <w:spacing w:line="480" w:lineRule="auto"/>
        <w:rPr>
          <w:rFonts w:ascii="Times New Roman" w:hAnsi="Times New Roman" w:cs="Times New Roman"/>
          <w:sz w:val="24"/>
          <w:szCs w:val="24"/>
        </w:rPr>
      </w:pPr>
    </w:p>
    <w:p w14:paraId="3E421D8C" w14:textId="44AEED22" w:rsidR="00392BE0" w:rsidRDefault="00392BE0" w:rsidP="007F3F50">
      <w:pPr>
        <w:spacing w:line="480" w:lineRule="auto"/>
        <w:rPr>
          <w:rFonts w:ascii="Times New Roman" w:hAnsi="Times New Roman" w:cs="Times New Roman"/>
          <w:sz w:val="24"/>
          <w:szCs w:val="24"/>
        </w:rPr>
      </w:pPr>
      <w:r>
        <w:rPr>
          <w:rFonts w:ascii="Times New Roman" w:hAnsi="Times New Roman" w:cs="Times New Roman"/>
          <w:sz w:val="24"/>
          <w:szCs w:val="24"/>
        </w:rPr>
        <w:t>Surgery is a very small, and relatively unknown aspect of treatments. Surgery tended to be used only in extreme measure, as often sepsis would kill the patient. However, through the examination of mummified remains, healed fractures have been detected</w:t>
      </w:r>
      <w:r w:rsidR="001074B2">
        <w:rPr>
          <w:rFonts w:ascii="Times New Roman" w:hAnsi="Times New Roman" w:cs="Times New Roman"/>
          <w:sz w:val="24"/>
          <w:szCs w:val="24"/>
        </w:rPr>
        <w:t xml:space="preserve"> and there are descriptions of splints being used</w:t>
      </w:r>
      <w:r>
        <w:rPr>
          <w:rFonts w:ascii="Times New Roman" w:hAnsi="Times New Roman" w:cs="Times New Roman"/>
          <w:sz w:val="24"/>
          <w:szCs w:val="24"/>
        </w:rPr>
        <w:t>.</w:t>
      </w:r>
      <w:r w:rsidR="009A2BA8">
        <w:rPr>
          <w:rFonts w:ascii="Times New Roman" w:hAnsi="Times New Roman" w:cs="Times New Roman"/>
          <w:sz w:val="24"/>
          <w:szCs w:val="24"/>
        </w:rPr>
        <w:t xml:space="preserve"> There are also some cases of trepanning that have been discussed. Although it is sometimes difficult to definitively prove that the skulls had been trepanned, the interesting part was that often these patients had survived at least a couple of years after these treatments. We know this as there is evidence of bone regrowth around the site.</w:t>
      </w:r>
      <w:r w:rsidR="009A2BA8">
        <w:rPr>
          <w:rStyle w:val="FootnoteReference"/>
          <w:rFonts w:ascii="Times New Roman" w:hAnsi="Times New Roman" w:cs="Times New Roman"/>
          <w:sz w:val="24"/>
          <w:szCs w:val="24"/>
        </w:rPr>
        <w:footnoteReference w:id="7"/>
      </w:r>
      <w:r w:rsidR="000D1E06">
        <w:rPr>
          <w:rFonts w:ascii="Times New Roman" w:hAnsi="Times New Roman" w:cs="Times New Roman"/>
          <w:sz w:val="24"/>
          <w:szCs w:val="24"/>
        </w:rPr>
        <w:t xml:space="preserve"> Herbal remedies were a preferred method of treatment.</w:t>
      </w:r>
    </w:p>
    <w:p w14:paraId="17D94DB1" w14:textId="77777777" w:rsidR="00974312" w:rsidRDefault="00974312" w:rsidP="007F3F50">
      <w:pPr>
        <w:spacing w:line="480" w:lineRule="auto"/>
        <w:rPr>
          <w:rFonts w:ascii="Times New Roman" w:hAnsi="Times New Roman" w:cs="Times New Roman"/>
          <w:sz w:val="24"/>
          <w:szCs w:val="24"/>
        </w:rPr>
      </w:pPr>
    </w:p>
    <w:p w14:paraId="07B1CCC5" w14:textId="2EF58F7A" w:rsidR="00F7731A" w:rsidRDefault="003E02D2" w:rsidP="007F3F5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Ebers papyrus also mentions some of the herbs used in traditional remedies, such as opium, </w:t>
      </w:r>
      <w:r w:rsidR="003D4AE0">
        <w:rPr>
          <w:rFonts w:ascii="Times New Roman" w:hAnsi="Times New Roman" w:cs="Times New Roman"/>
          <w:sz w:val="24"/>
          <w:szCs w:val="24"/>
        </w:rPr>
        <w:t>aloe, and cassia. However, we must be careful as some of the translations of the herbs are less than certain</w:t>
      </w:r>
      <w:r w:rsidR="00974312">
        <w:rPr>
          <w:rFonts w:ascii="Times New Roman" w:hAnsi="Times New Roman" w:cs="Times New Roman"/>
          <w:sz w:val="24"/>
          <w:szCs w:val="24"/>
        </w:rPr>
        <w:t xml:space="preserve"> and could possibly even mention herbs that no longer exist</w:t>
      </w:r>
      <w:r w:rsidR="003D4AE0">
        <w:rPr>
          <w:rFonts w:ascii="Times New Roman" w:hAnsi="Times New Roman" w:cs="Times New Roman"/>
          <w:sz w:val="24"/>
          <w:szCs w:val="24"/>
        </w:rPr>
        <w:t xml:space="preserve">. </w:t>
      </w:r>
      <w:r w:rsidR="00CB0CC2">
        <w:rPr>
          <w:rFonts w:ascii="Times New Roman" w:hAnsi="Times New Roman" w:cs="Times New Roman"/>
          <w:sz w:val="24"/>
          <w:szCs w:val="24"/>
        </w:rPr>
        <w:t xml:space="preserve">Garlic was given for sore throats, toothache, and lung and bronchial problems; coriander was known to have a cooling effect but was also used as a stimulant; and cumin, when placed in a binder with water, could soothe aching joints. </w:t>
      </w:r>
      <w:r w:rsidR="00200699">
        <w:rPr>
          <w:rFonts w:ascii="Times New Roman" w:hAnsi="Times New Roman" w:cs="Times New Roman"/>
          <w:sz w:val="24"/>
          <w:szCs w:val="24"/>
        </w:rPr>
        <w:t>Some herbs were also imported</w:t>
      </w:r>
      <w:r w:rsidR="00974312">
        <w:rPr>
          <w:rFonts w:ascii="Times New Roman" w:hAnsi="Times New Roman" w:cs="Times New Roman"/>
          <w:sz w:val="24"/>
          <w:szCs w:val="24"/>
        </w:rPr>
        <w:t xml:space="preserve">: mandrake from Canaan (was an aphrodisiac and when mixed with alcohol, it induced unconsciousness); cedar oil from the </w:t>
      </w:r>
      <w:r w:rsidR="00974312">
        <w:rPr>
          <w:rFonts w:ascii="Times New Roman" w:hAnsi="Times New Roman" w:cs="Times New Roman"/>
          <w:sz w:val="24"/>
          <w:szCs w:val="24"/>
        </w:rPr>
        <w:lastRenderedPageBreak/>
        <w:t>Levant (antiseptic); henna from Persia (to prevent hair loss); aloe from Eastern Africa (treat catarrh); and frankincense from Punt (pain killer). The use of these natural remedies shows that the Egyptians were aware of their natural world and the healing properties that it could have.</w:t>
      </w:r>
      <w:r w:rsidR="005546D0">
        <w:rPr>
          <w:rFonts w:ascii="Times New Roman" w:hAnsi="Times New Roman" w:cs="Times New Roman"/>
          <w:sz w:val="24"/>
          <w:szCs w:val="24"/>
        </w:rPr>
        <w:t xml:space="preserve"> The core values of their medicine are mainly herbal, but are supplemented by magical and religious aids.</w:t>
      </w:r>
    </w:p>
    <w:p w14:paraId="1D8E177C" w14:textId="6F27B38E" w:rsidR="00551DEC" w:rsidRDefault="00551DEC" w:rsidP="007F3F50">
      <w:pPr>
        <w:spacing w:line="480" w:lineRule="auto"/>
        <w:rPr>
          <w:rFonts w:ascii="Times New Roman" w:hAnsi="Times New Roman" w:cs="Times New Roman"/>
          <w:sz w:val="24"/>
          <w:szCs w:val="24"/>
        </w:rPr>
      </w:pPr>
    </w:p>
    <w:p w14:paraId="612041AD" w14:textId="7E504E5B" w:rsidR="00551DEC" w:rsidRDefault="00551DEC" w:rsidP="007F3F50">
      <w:pPr>
        <w:spacing w:line="480" w:lineRule="auto"/>
        <w:rPr>
          <w:rFonts w:ascii="Times New Roman" w:hAnsi="Times New Roman" w:cs="Times New Roman"/>
          <w:sz w:val="24"/>
          <w:szCs w:val="24"/>
        </w:rPr>
      </w:pPr>
      <w:r>
        <w:rPr>
          <w:rFonts w:ascii="Times New Roman" w:hAnsi="Times New Roman" w:cs="Times New Roman"/>
          <w:sz w:val="24"/>
          <w:szCs w:val="24"/>
        </w:rPr>
        <w:t xml:space="preserve">Contraception is another interesting part of ancient Egyptian medicine. Although it was obviously preferred for women to have children, the Egyptians understood that not everyone could afford to have multiple children, and so physicians, possibly female, prescribed preventative measures for unwanted pregnancies. </w:t>
      </w:r>
      <w:r w:rsidR="009C3664">
        <w:rPr>
          <w:rFonts w:ascii="Times New Roman" w:hAnsi="Times New Roman" w:cs="Times New Roman"/>
          <w:sz w:val="24"/>
          <w:szCs w:val="24"/>
        </w:rPr>
        <w:t>C</w:t>
      </w:r>
      <w:r w:rsidR="00645CBC">
        <w:rPr>
          <w:rFonts w:ascii="Times New Roman" w:hAnsi="Times New Roman" w:cs="Times New Roman"/>
          <w:sz w:val="24"/>
          <w:szCs w:val="24"/>
        </w:rPr>
        <w:t>ontraceptive measures include vaginal suppositories, which are written about extensively in the ancient medical papyri. The earliest example</w:t>
      </w:r>
      <w:r w:rsidR="0010069F">
        <w:rPr>
          <w:rFonts w:ascii="Times New Roman" w:hAnsi="Times New Roman" w:cs="Times New Roman"/>
          <w:sz w:val="24"/>
          <w:szCs w:val="24"/>
        </w:rPr>
        <w:t>s</w:t>
      </w:r>
      <w:r w:rsidR="00645CBC">
        <w:rPr>
          <w:rFonts w:ascii="Times New Roman" w:hAnsi="Times New Roman" w:cs="Times New Roman"/>
          <w:sz w:val="24"/>
          <w:szCs w:val="24"/>
        </w:rPr>
        <w:t xml:space="preserve"> we have come from the Kahun papyrus</w:t>
      </w:r>
      <w:r w:rsidR="0010069F">
        <w:rPr>
          <w:rFonts w:ascii="Times New Roman" w:hAnsi="Times New Roman" w:cs="Times New Roman"/>
          <w:sz w:val="24"/>
          <w:szCs w:val="24"/>
        </w:rPr>
        <w:t>: there are three fragmentary recipes, one involving crocodile faeces, and two referencing soda or saltpeter ground into a paste.</w:t>
      </w:r>
      <w:r w:rsidR="0010069F">
        <w:rPr>
          <w:rStyle w:val="FootnoteReference"/>
          <w:rFonts w:ascii="Times New Roman" w:hAnsi="Times New Roman" w:cs="Times New Roman"/>
          <w:sz w:val="24"/>
          <w:szCs w:val="24"/>
        </w:rPr>
        <w:footnoteReference w:id="8"/>
      </w:r>
      <w:r w:rsidR="0010069F">
        <w:rPr>
          <w:rFonts w:ascii="Times New Roman" w:hAnsi="Times New Roman" w:cs="Times New Roman"/>
          <w:sz w:val="24"/>
          <w:szCs w:val="24"/>
        </w:rPr>
        <w:t xml:space="preserve"> The Egyptians had a logical reason for using crocodile faeces in contraceptive methods as it refers to an Egyptian myth. The crocodile headed god Seth was trying to interfere with his sister Isis’ pregnancy to try to take over Egypt. Therefore, the crocodile was associated with abortion, whilst the hippopotamus was associated with pregnancy. In this example, we can start to see how religion was being interlinked with and used to explain medicine and its treatments. </w:t>
      </w:r>
      <w:r w:rsidR="00930990">
        <w:rPr>
          <w:rFonts w:ascii="Times New Roman" w:hAnsi="Times New Roman" w:cs="Times New Roman"/>
          <w:sz w:val="24"/>
          <w:szCs w:val="24"/>
        </w:rPr>
        <w:t>Riddle explains, “although we do not know whether these substances may have assisted in birth control, the importance of these documents lies in the fact that these earliest of medical records show that the concept of contraception was present”.</w:t>
      </w:r>
      <w:r w:rsidR="00930990">
        <w:rPr>
          <w:rStyle w:val="FootnoteReference"/>
          <w:rFonts w:ascii="Times New Roman" w:hAnsi="Times New Roman" w:cs="Times New Roman"/>
          <w:sz w:val="24"/>
          <w:szCs w:val="24"/>
        </w:rPr>
        <w:footnoteReference w:id="9"/>
      </w:r>
      <w:r w:rsidR="00EB45BF">
        <w:rPr>
          <w:rFonts w:ascii="Times New Roman" w:hAnsi="Times New Roman" w:cs="Times New Roman"/>
          <w:sz w:val="24"/>
          <w:szCs w:val="24"/>
        </w:rPr>
        <w:t xml:space="preserve"> </w:t>
      </w:r>
      <w:r w:rsidR="00570DC6">
        <w:rPr>
          <w:rFonts w:ascii="Times New Roman" w:hAnsi="Times New Roman" w:cs="Times New Roman"/>
          <w:sz w:val="24"/>
          <w:szCs w:val="24"/>
        </w:rPr>
        <w:t xml:space="preserve">The Berlin papyrus, which dates to around 1300BC, is the earliest mention of an oral contraceptive. The recipe reads as such: “You should fumigate her vagina with emmer seeds to prevent her receiving the semen. Then you should (make) for her </w:t>
      </w:r>
      <w:r w:rsidR="00570DC6">
        <w:rPr>
          <w:rFonts w:ascii="Times New Roman" w:hAnsi="Times New Roman" w:cs="Times New Roman"/>
          <w:sz w:val="24"/>
          <w:szCs w:val="24"/>
        </w:rPr>
        <w:lastRenderedPageBreak/>
        <w:t>a prescription to loosen (or release) semen; oil (or fat) 5 parts (ro), celery 5 parts (ro); heat and drink for four mornings”.</w:t>
      </w:r>
      <w:r w:rsidR="00570DC6">
        <w:rPr>
          <w:rStyle w:val="FootnoteReference"/>
          <w:rFonts w:ascii="Times New Roman" w:hAnsi="Times New Roman" w:cs="Times New Roman"/>
          <w:sz w:val="24"/>
          <w:szCs w:val="24"/>
        </w:rPr>
        <w:footnoteReference w:id="10"/>
      </w:r>
      <w:r w:rsidR="0085292E">
        <w:rPr>
          <w:rFonts w:ascii="Times New Roman" w:hAnsi="Times New Roman" w:cs="Times New Roman"/>
          <w:sz w:val="24"/>
          <w:szCs w:val="24"/>
        </w:rPr>
        <w:t xml:space="preserve"> Herbs were a traditional way to induce an abortion</w:t>
      </w:r>
      <w:r w:rsidR="00FE40F2">
        <w:rPr>
          <w:rFonts w:ascii="Times New Roman" w:hAnsi="Times New Roman" w:cs="Times New Roman"/>
          <w:sz w:val="24"/>
          <w:szCs w:val="24"/>
        </w:rPr>
        <w:t>, and were taken orally and used in vaginal suppositories</w:t>
      </w:r>
      <w:r w:rsidR="0085292E">
        <w:rPr>
          <w:rFonts w:ascii="Times New Roman" w:hAnsi="Times New Roman" w:cs="Times New Roman"/>
          <w:sz w:val="24"/>
          <w:szCs w:val="24"/>
        </w:rPr>
        <w:t xml:space="preserve">; </w:t>
      </w:r>
      <w:r w:rsidR="00FE40F2">
        <w:rPr>
          <w:rFonts w:ascii="Times New Roman" w:hAnsi="Times New Roman" w:cs="Times New Roman"/>
          <w:sz w:val="24"/>
          <w:szCs w:val="24"/>
        </w:rPr>
        <w:t xml:space="preserve">mainly </w:t>
      </w:r>
      <w:r w:rsidR="0085292E">
        <w:rPr>
          <w:rFonts w:ascii="Times New Roman" w:hAnsi="Times New Roman" w:cs="Times New Roman"/>
          <w:sz w:val="24"/>
          <w:szCs w:val="24"/>
        </w:rPr>
        <w:t xml:space="preserve">acacia and date palm </w:t>
      </w:r>
      <w:r w:rsidR="00FE40F2">
        <w:rPr>
          <w:rFonts w:ascii="Times New Roman" w:hAnsi="Times New Roman" w:cs="Times New Roman"/>
          <w:sz w:val="24"/>
          <w:szCs w:val="24"/>
        </w:rPr>
        <w:t>were</w:t>
      </w:r>
      <w:r w:rsidR="0085292E">
        <w:rPr>
          <w:rFonts w:ascii="Times New Roman" w:hAnsi="Times New Roman" w:cs="Times New Roman"/>
          <w:sz w:val="24"/>
          <w:szCs w:val="24"/>
        </w:rPr>
        <w:t xml:space="preserve"> used as they have antifertility properties. </w:t>
      </w:r>
      <w:r w:rsidR="009A7F30">
        <w:rPr>
          <w:rFonts w:ascii="Times New Roman" w:hAnsi="Times New Roman" w:cs="Times New Roman"/>
          <w:sz w:val="24"/>
          <w:szCs w:val="24"/>
        </w:rPr>
        <w:t>This links back to the Egyptians awareness of the properties of herbs, and it is interesting that they are using, and writing, about methods for women’s health which is sadly lacking from other ancient sources.</w:t>
      </w:r>
    </w:p>
    <w:p w14:paraId="69DB0133" w14:textId="11CA0362" w:rsidR="00F34B43" w:rsidRDefault="00F34B43" w:rsidP="007F3F50">
      <w:pPr>
        <w:spacing w:line="480" w:lineRule="auto"/>
        <w:rPr>
          <w:rFonts w:ascii="Times New Roman" w:hAnsi="Times New Roman" w:cs="Times New Roman"/>
          <w:sz w:val="24"/>
          <w:szCs w:val="24"/>
        </w:rPr>
      </w:pPr>
    </w:p>
    <w:p w14:paraId="5368CED3" w14:textId="42267747" w:rsidR="00285228" w:rsidRDefault="00F34B43" w:rsidP="007F3F50">
      <w:pPr>
        <w:spacing w:line="480" w:lineRule="auto"/>
        <w:rPr>
          <w:rFonts w:ascii="Times New Roman" w:hAnsi="Times New Roman" w:cs="Times New Roman"/>
          <w:sz w:val="24"/>
          <w:szCs w:val="24"/>
        </w:rPr>
      </w:pPr>
      <w:r>
        <w:rPr>
          <w:rFonts w:ascii="Times New Roman" w:hAnsi="Times New Roman" w:cs="Times New Roman"/>
          <w:sz w:val="24"/>
          <w:szCs w:val="24"/>
        </w:rPr>
        <w:t>Plague was a problem that had to be dealt with through different treatments, whether they were medicinal, magical or in the form of religious protection. For example, Pinch writes, “it is true that in the private sphere many Egyptian magical practices were associated with standard life-crises, such as the dangers of childbirth, or with sudden disasters</w:t>
      </w:r>
      <w:r w:rsidR="006F1BF3">
        <w:rPr>
          <w:rFonts w:ascii="Times New Roman" w:hAnsi="Times New Roman" w:cs="Times New Roman"/>
          <w:sz w:val="24"/>
          <w:szCs w:val="24"/>
        </w:rPr>
        <w:t>, such as an accident or an infectious disease”.</w:t>
      </w:r>
      <w:r w:rsidR="006F1BF3">
        <w:rPr>
          <w:rStyle w:val="FootnoteReference"/>
          <w:rFonts w:ascii="Times New Roman" w:hAnsi="Times New Roman" w:cs="Times New Roman"/>
          <w:sz w:val="24"/>
          <w:szCs w:val="24"/>
        </w:rPr>
        <w:footnoteReference w:id="11"/>
      </w:r>
      <w:r w:rsidR="00D175A0">
        <w:rPr>
          <w:rFonts w:ascii="Times New Roman" w:hAnsi="Times New Roman" w:cs="Times New Roman"/>
          <w:sz w:val="24"/>
          <w:szCs w:val="24"/>
        </w:rPr>
        <w:t xml:space="preserve"> </w:t>
      </w:r>
      <w:r w:rsidR="00763FF9">
        <w:rPr>
          <w:rFonts w:ascii="Times New Roman" w:hAnsi="Times New Roman" w:cs="Times New Roman"/>
          <w:sz w:val="24"/>
          <w:szCs w:val="24"/>
        </w:rPr>
        <w:t xml:space="preserve">It was important to the Egyptians to diagnose the cause of an outbreak, and it was often attributed to a demon or an angry god. The concept of plague was associated with the goddess Sekhmet, and often occurred during the last months of the year. Plague affected everyone, and so treatments seem to have been on both a national and individual scale, with help being provided by the state. Pinch also provides us with a more historical reason for the outbreak of plague: “they may have become more common by the mid-second millennium BC due to the constant </w:t>
      </w:r>
      <w:r w:rsidR="002D3913">
        <w:rPr>
          <w:rFonts w:ascii="Times New Roman" w:hAnsi="Times New Roman" w:cs="Times New Roman"/>
          <w:sz w:val="24"/>
          <w:szCs w:val="24"/>
        </w:rPr>
        <w:t>contact between Egypt and its client states”.</w:t>
      </w:r>
      <w:r w:rsidR="002D3913">
        <w:rPr>
          <w:rStyle w:val="FootnoteReference"/>
          <w:rFonts w:ascii="Times New Roman" w:hAnsi="Times New Roman" w:cs="Times New Roman"/>
          <w:sz w:val="24"/>
          <w:szCs w:val="24"/>
        </w:rPr>
        <w:footnoteReference w:id="12"/>
      </w:r>
      <w:r w:rsidR="002D46A1">
        <w:rPr>
          <w:rFonts w:ascii="Times New Roman" w:hAnsi="Times New Roman" w:cs="Times New Roman"/>
          <w:sz w:val="24"/>
          <w:szCs w:val="24"/>
        </w:rPr>
        <w:t xml:space="preserve"> For example, there is evidence of a plague sometime between the twelfth and twentieth year of Amenhotep III’s reign (1386-1349BC). It is thought to have been an epidemic of bubonic plague, and eventually spread from Egypt into the neighbouring Hittite empire.</w:t>
      </w:r>
      <w:r w:rsidR="002D46A1">
        <w:rPr>
          <w:rStyle w:val="FootnoteReference"/>
          <w:rFonts w:ascii="Times New Roman" w:hAnsi="Times New Roman" w:cs="Times New Roman"/>
          <w:sz w:val="24"/>
          <w:szCs w:val="24"/>
        </w:rPr>
        <w:footnoteReference w:id="13"/>
      </w:r>
      <w:r w:rsidR="002D46A1">
        <w:rPr>
          <w:rFonts w:ascii="Times New Roman" w:hAnsi="Times New Roman" w:cs="Times New Roman"/>
          <w:sz w:val="24"/>
          <w:szCs w:val="24"/>
        </w:rPr>
        <w:t xml:space="preserve"> </w:t>
      </w:r>
      <w:r w:rsidR="00406F8D">
        <w:rPr>
          <w:rFonts w:ascii="Times New Roman" w:hAnsi="Times New Roman" w:cs="Times New Roman"/>
          <w:sz w:val="24"/>
          <w:szCs w:val="24"/>
        </w:rPr>
        <w:t xml:space="preserve">When plague is mentioned, we </w:t>
      </w:r>
      <w:r w:rsidR="002A2511">
        <w:rPr>
          <w:rFonts w:ascii="Times New Roman" w:hAnsi="Times New Roman" w:cs="Times New Roman"/>
          <w:sz w:val="24"/>
          <w:szCs w:val="24"/>
        </w:rPr>
        <w:t>must</w:t>
      </w:r>
      <w:r w:rsidR="00406F8D">
        <w:rPr>
          <w:rFonts w:ascii="Times New Roman" w:hAnsi="Times New Roman" w:cs="Times New Roman"/>
          <w:sz w:val="24"/>
          <w:szCs w:val="24"/>
        </w:rPr>
        <w:t xml:space="preserve"> be careful as the type of plague the Egyptian were experiencing was probably very different f</w:t>
      </w:r>
      <w:r w:rsidR="002A2511">
        <w:rPr>
          <w:rFonts w:ascii="Times New Roman" w:hAnsi="Times New Roman" w:cs="Times New Roman"/>
          <w:sz w:val="24"/>
          <w:szCs w:val="24"/>
        </w:rPr>
        <w:t xml:space="preserve">rom plagues like the Black Death. Panagiotakopulu has put forward a theory that the origin of bubonic plague </w:t>
      </w:r>
      <w:r w:rsidR="002A2511">
        <w:rPr>
          <w:rFonts w:ascii="Times New Roman" w:hAnsi="Times New Roman" w:cs="Times New Roman"/>
          <w:sz w:val="24"/>
          <w:szCs w:val="24"/>
        </w:rPr>
        <w:lastRenderedPageBreak/>
        <w:t>started in Egypt: “coexistence of the Nile rat, humans and ectoparasites in urban centres in combination with trade from Asia, Africa and the Mediterranean, together with the Nile floods and the introduction of the black rat, circle Egypt as the most probable place of origin of bubonic plague as an epidemic disease”.</w:t>
      </w:r>
      <w:r w:rsidR="002A2511">
        <w:rPr>
          <w:rStyle w:val="FootnoteReference"/>
          <w:rFonts w:ascii="Times New Roman" w:hAnsi="Times New Roman" w:cs="Times New Roman"/>
          <w:sz w:val="24"/>
          <w:szCs w:val="24"/>
        </w:rPr>
        <w:footnoteReference w:id="14"/>
      </w:r>
      <w:r w:rsidR="002A2511">
        <w:rPr>
          <w:rFonts w:ascii="Times New Roman" w:hAnsi="Times New Roman" w:cs="Times New Roman"/>
          <w:sz w:val="24"/>
          <w:szCs w:val="24"/>
        </w:rPr>
        <w:t xml:space="preserve"> </w:t>
      </w:r>
      <w:r w:rsidR="00335FF6">
        <w:rPr>
          <w:rFonts w:ascii="Times New Roman" w:hAnsi="Times New Roman" w:cs="Times New Roman"/>
          <w:sz w:val="24"/>
          <w:szCs w:val="24"/>
        </w:rPr>
        <w:t xml:space="preserve">It is debatable whether the Egyptians identified the disease as plague but it is certainly referenced in the medical papyri. </w:t>
      </w:r>
    </w:p>
    <w:p w14:paraId="24573F5C" w14:textId="77777777" w:rsidR="00285228" w:rsidRDefault="00285228" w:rsidP="007F3F50">
      <w:pPr>
        <w:spacing w:line="480" w:lineRule="auto"/>
        <w:rPr>
          <w:rFonts w:ascii="Times New Roman" w:hAnsi="Times New Roman" w:cs="Times New Roman"/>
          <w:sz w:val="24"/>
          <w:szCs w:val="24"/>
        </w:rPr>
      </w:pPr>
    </w:p>
    <w:p w14:paraId="2F71F83B" w14:textId="09572D9C" w:rsidR="00406F8D" w:rsidRDefault="00577599" w:rsidP="007F3F50">
      <w:pPr>
        <w:spacing w:line="480" w:lineRule="auto"/>
        <w:rPr>
          <w:rFonts w:ascii="Times New Roman" w:hAnsi="Times New Roman" w:cs="Times New Roman"/>
          <w:sz w:val="24"/>
          <w:szCs w:val="24"/>
        </w:rPr>
      </w:pPr>
      <w:r>
        <w:rPr>
          <w:rFonts w:ascii="Times New Roman" w:hAnsi="Times New Roman" w:cs="Times New Roman"/>
          <w:sz w:val="24"/>
          <w:szCs w:val="24"/>
        </w:rPr>
        <w:t>There are two examples; one from the Ebers papyrus, and one from the Hearst medical papyrus.</w:t>
      </w:r>
      <w:r w:rsidR="00C86CB7">
        <w:rPr>
          <w:rFonts w:ascii="Times New Roman" w:hAnsi="Times New Roman" w:cs="Times New Roman"/>
          <w:sz w:val="24"/>
          <w:szCs w:val="24"/>
        </w:rPr>
        <w:t xml:space="preserve"> The Ebers papyrus section is as follows: “If thou examines a man who suffers from the said (shivering fit) for hours, like consuming from purulency, and he is weak like a breath that passes away, then thou shalt say that it is (due to) closing (?) of an accumulation, which cannot be raised and does not trust in a weak remedy, it has produced a bubo, and the pus has petrified, the disease has hit. Thou shalt </w:t>
      </w:r>
      <w:r w:rsidR="00DF6511">
        <w:rPr>
          <w:rFonts w:ascii="Times New Roman" w:hAnsi="Times New Roman" w:cs="Times New Roman"/>
          <w:sz w:val="24"/>
          <w:szCs w:val="24"/>
        </w:rPr>
        <w:t>prepare him remedies to open it by means of medicine”.</w:t>
      </w:r>
      <w:r w:rsidR="00285228">
        <w:rPr>
          <w:rStyle w:val="FootnoteReference"/>
          <w:rFonts w:ascii="Times New Roman" w:hAnsi="Times New Roman" w:cs="Times New Roman"/>
          <w:sz w:val="24"/>
          <w:szCs w:val="24"/>
        </w:rPr>
        <w:footnoteReference w:id="15"/>
      </w:r>
      <w:r w:rsidR="00DF6511">
        <w:rPr>
          <w:rFonts w:ascii="Times New Roman" w:hAnsi="Times New Roman" w:cs="Times New Roman"/>
          <w:sz w:val="24"/>
          <w:szCs w:val="24"/>
        </w:rPr>
        <w:t xml:space="preserve"> It is interesting that this was the same treatment implemented during the Black Death by medieval doctors. </w:t>
      </w:r>
      <w:r w:rsidR="00972B5F">
        <w:rPr>
          <w:rFonts w:ascii="Times New Roman" w:hAnsi="Times New Roman" w:cs="Times New Roman"/>
          <w:sz w:val="24"/>
          <w:szCs w:val="24"/>
        </w:rPr>
        <w:t xml:space="preserve">The reason for the extraction of the pus is logical as it is a manifestation of the disease, so by alleviating this issue, it could potentially treat the person. </w:t>
      </w:r>
      <w:r w:rsidR="00285228">
        <w:rPr>
          <w:rFonts w:ascii="Times New Roman" w:hAnsi="Times New Roman" w:cs="Times New Roman"/>
          <w:sz w:val="24"/>
          <w:szCs w:val="24"/>
        </w:rPr>
        <w:t>The Hearst papyrus extract is similar, but focuses more on the religious relationship: “Who is knowledgeable like Re? Who knows the like of this God? When the body is blackened with black spots- to arrest the God who is above. Just as Seth had banned the Mediterranean Sea, Seth will ban you likewise, O Canaanite illness! You shall not intend to pass through the limbs of X, born of Y”.</w:t>
      </w:r>
      <w:r w:rsidR="00285228">
        <w:rPr>
          <w:rStyle w:val="FootnoteReference"/>
          <w:rFonts w:ascii="Times New Roman" w:hAnsi="Times New Roman" w:cs="Times New Roman"/>
          <w:sz w:val="24"/>
          <w:szCs w:val="24"/>
        </w:rPr>
        <w:footnoteReference w:id="16"/>
      </w:r>
      <w:r w:rsidR="00112F04">
        <w:rPr>
          <w:rFonts w:ascii="Times New Roman" w:hAnsi="Times New Roman" w:cs="Times New Roman"/>
          <w:sz w:val="24"/>
          <w:szCs w:val="24"/>
        </w:rPr>
        <w:t xml:space="preserve"> When as dise</w:t>
      </w:r>
      <w:r w:rsidR="00DF1DE1">
        <w:rPr>
          <w:rFonts w:ascii="Times New Roman" w:hAnsi="Times New Roman" w:cs="Times New Roman"/>
          <w:sz w:val="24"/>
          <w:szCs w:val="24"/>
        </w:rPr>
        <w:t>a</w:t>
      </w:r>
      <w:r w:rsidR="00112F04">
        <w:rPr>
          <w:rFonts w:ascii="Times New Roman" w:hAnsi="Times New Roman" w:cs="Times New Roman"/>
          <w:sz w:val="24"/>
          <w:szCs w:val="24"/>
        </w:rPr>
        <w:t xml:space="preserve">se showed no sign of lessening, perhaps this is when religion was interspersed with the medical treatment. </w:t>
      </w:r>
    </w:p>
    <w:p w14:paraId="19FBB802" w14:textId="77777777" w:rsidR="00DF1DE1" w:rsidRDefault="00DF1DE1" w:rsidP="00DF1DE1">
      <w:pPr>
        <w:spacing w:line="480" w:lineRule="auto"/>
        <w:rPr>
          <w:rFonts w:ascii="Times New Roman" w:hAnsi="Times New Roman" w:cs="Times New Roman"/>
          <w:sz w:val="24"/>
          <w:szCs w:val="24"/>
        </w:rPr>
      </w:pPr>
    </w:p>
    <w:p w14:paraId="3E8D00FF" w14:textId="6C2FA169" w:rsidR="00830A7A" w:rsidRDefault="00A24762" w:rsidP="00DF1DE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Magic was an important aspect of ancient Egyptian medicine, and “it is doubtful whether there was ever a time in Egyptian history when medicine and magic were not complementary parts of a doctor’s skills”.</w:t>
      </w:r>
      <w:r>
        <w:rPr>
          <w:rStyle w:val="FootnoteReference"/>
          <w:rFonts w:ascii="Times New Roman" w:hAnsi="Times New Roman" w:cs="Times New Roman"/>
          <w:sz w:val="24"/>
          <w:szCs w:val="24"/>
        </w:rPr>
        <w:footnoteReference w:id="17"/>
      </w:r>
      <w:r w:rsidR="0087090F">
        <w:rPr>
          <w:rFonts w:ascii="Times New Roman" w:hAnsi="Times New Roman" w:cs="Times New Roman"/>
          <w:sz w:val="24"/>
          <w:szCs w:val="24"/>
        </w:rPr>
        <w:t xml:space="preserve"> One of the most famous sources of Egyptian magic is amulets. Amulets have been found cross the Egyptian world, and in various contexts. Amulets placed in the wrappings of a mummy were there to ensure that that person was healthy and safe in the afterlife. For example, the eye of Horus was worn by both the living and the deceased as a protective amulet. Amulets could also be given temporarily for a special occasion, such as childbirth, illness, or a journey. There is evidence of children </w:t>
      </w:r>
      <w:r w:rsidR="001D1ABB">
        <w:rPr>
          <w:rFonts w:ascii="Times New Roman" w:hAnsi="Times New Roman" w:cs="Times New Roman"/>
          <w:sz w:val="24"/>
          <w:szCs w:val="24"/>
        </w:rPr>
        <w:t xml:space="preserve">being given amulets immediately after birth and throughout their childhood, as they were at risk of contracting diseases easily. </w:t>
      </w:r>
      <w:r w:rsidR="00CA350F">
        <w:rPr>
          <w:rFonts w:ascii="Times New Roman" w:hAnsi="Times New Roman" w:cs="Times New Roman"/>
          <w:sz w:val="24"/>
          <w:szCs w:val="24"/>
        </w:rPr>
        <w:t>Amulets were therefore a simple, but effective way of ensuring that everyone within society was protected from harm.</w:t>
      </w:r>
      <w:r w:rsidR="0056158B">
        <w:rPr>
          <w:rStyle w:val="FootnoteReference"/>
          <w:rFonts w:ascii="Times New Roman" w:hAnsi="Times New Roman" w:cs="Times New Roman"/>
          <w:sz w:val="24"/>
          <w:szCs w:val="24"/>
        </w:rPr>
        <w:footnoteReference w:id="18"/>
      </w:r>
      <w:r w:rsidR="0056158B">
        <w:rPr>
          <w:rFonts w:ascii="Times New Roman" w:hAnsi="Times New Roman" w:cs="Times New Roman"/>
          <w:sz w:val="24"/>
          <w:szCs w:val="24"/>
        </w:rPr>
        <w:t xml:space="preserve"> Spells and incantations were another way medicine and magic were interlinked. “In these spells, the person to be protected or helped is identified with the protagonists of a suitable myth. This act of identification transfers a human problem to the sphere of the gods, so that cosmic forces such as heka (magic) can be used to resolve it”.</w:t>
      </w:r>
      <w:r w:rsidR="0056158B">
        <w:rPr>
          <w:rStyle w:val="FootnoteReference"/>
          <w:rFonts w:ascii="Times New Roman" w:hAnsi="Times New Roman" w:cs="Times New Roman"/>
          <w:sz w:val="24"/>
          <w:szCs w:val="24"/>
        </w:rPr>
        <w:footnoteReference w:id="19"/>
      </w:r>
      <w:r w:rsidR="00F16943">
        <w:rPr>
          <w:rFonts w:ascii="Times New Roman" w:hAnsi="Times New Roman" w:cs="Times New Roman"/>
          <w:sz w:val="24"/>
          <w:szCs w:val="24"/>
        </w:rPr>
        <w:t xml:space="preserve"> Most of the ancient medical papyri contain a mixture of magical and medical </w:t>
      </w:r>
      <w:r w:rsidR="009239AA">
        <w:rPr>
          <w:rFonts w:ascii="Times New Roman" w:hAnsi="Times New Roman" w:cs="Times New Roman"/>
          <w:sz w:val="24"/>
          <w:szCs w:val="24"/>
        </w:rPr>
        <w:t>solutions, and in some cases magic is more prominent and was possibly used more in cases where medical treatment was failing.</w:t>
      </w:r>
      <w:r w:rsidR="009F2188">
        <w:rPr>
          <w:rFonts w:ascii="Times New Roman" w:hAnsi="Times New Roman" w:cs="Times New Roman"/>
          <w:sz w:val="24"/>
          <w:szCs w:val="24"/>
        </w:rPr>
        <w:t xml:space="preserve"> The spells and incantations were said alongside the ingestion or application of medicine, to cover both illness from supernatural and natural causes.</w:t>
      </w:r>
      <w:r w:rsidR="009239AA">
        <w:rPr>
          <w:rFonts w:ascii="Times New Roman" w:hAnsi="Times New Roman" w:cs="Times New Roman"/>
          <w:sz w:val="24"/>
          <w:szCs w:val="24"/>
        </w:rPr>
        <w:t xml:space="preserve"> </w:t>
      </w:r>
      <w:r w:rsidR="002109FA">
        <w:rPr>
          <w:rFonts w:ascii="Times New Roman" w:hAnsi="Times New Roman" w:cs="Times New Roman"/>
          <w:sz w:val="24"/>
          <w:szCs w:val="24"/>
        </w:rPr>
        <w:t xml:space="preserve">Magic was also used </w:t>
      </w:r>
      <w:r w:rsidR="00802A78">
        <w:rPr>
          <w:rFonts w:ascii="Times New Roman" w:hAnsi="Times New Roman" w:cs="Times New Roman"/>
          <w:sz w:val="24"/>
          <w:szCs w:val="24"/>
        </w:rPr>
        <w:t>in a protective sense, such as the placement of magical barriers around an individual or place. The god Bes often appears on birthing stools and chairs as he was thought to frighten away demons from the vulnerable mother and child</w:t>
      </w:r>
      <w:r w:rsidR="008329A4">
        <w:rPr>
          <w:rFonts w:ascii="Times New Roman" w:hAnsi="Times New Roman" w:cs="Times New Roman"/>
          <w:sz w:val="24"/>
          <w:szCs w:val="24"/>
        </w:rPr>
        <w:t>, thus protecting them from harm.</w:t>
      </w:r>
      <w:r w:rsidR="009F2188">
        <w:rPr>
          <w:rFonts w:ascii="Times New Roman" w:hAnsi="Times New Roman" w:cs="Times New Roman"/>
          <w:sz w:val="24"/>
          <w:szCs w:val="24"/>
        </w:rPr>
        <w:t xml:space="preserve"> </w:t>
      </w:r>
      <w:r w:rsidR="00DF1DE1">
        <w:rPr>
          <w:rFonts w:ascii="Times New Roman" w:hAnsi="Times New Roman" w:cs="Times New Roman"/>
          <w:sz w:val="24"/>
          <w:szCs w:val="24"/>
        </w:rPr>
        <w:t>Prevention of illness was the main use of magic, and it involved prayers and spells invoking deities. This shows the link between medicine, magic, and religion.</w:t>
      </w:r>
    </w:p>
    <w:p w14:paraId="7A503AC4" w14:textId="72EB7AB2" w:rsidR="00DF1DE1" w:rsidRDefault="00DF1DE1" w:rsidP="00DF1DE1">
      <w:pPr>
        <w:spacing w:line="480" w:lineRule="auto"/>
        <w:rPr>
          <w:rFonts w:ascii="Times New Roman" w:hAnsi="Times New Roman" w:cs="Times New Roman"/>
          <w:sz w:val="24"/>
          <w:szCs w:val="24"/>
        </w:rPr>
      </w:pPr>
    </w:p>
    <w:p w14:paraId="4ECEE47E" w14:textId="5F303AEA" w:rsidR="00DF1DE1" w:rsidRDefault="00607ECD" w:rsidP="00DF1DE1">
      <w:pPr>
        <w:spacing w:line="480" w:lineRule="auto"/>
        <w:rPr>
          <w:rFonts w:ascii="Times New Roman" w:hAnsi="Times New Roman" w:cs="Times New Roman"/>
          <w:sz w:val="24"/>
          <w:szCs w:val="24"/>
        </w:rPr>
      </w:pPr>
      <w:r>
        <w:rPr>
          <w:rFonts w:ascii="Times New Roman" w:hAnsi="Times New Roman" w:cs="Times New Roman"/>
          <w:sz w:val="24"/>
          <w:szCs w:val="24"/>
        </w:rPr>
        <w:t>“In Egypt, magic and religion were part of the same relief system”.</w:t>
      </w:r>
      <w:r>
        <w:rPr>
          <w:rStyle w:val="FootnoteReference"/>
          <w:rFonts w:ascii="Times New Roman" w:hAnsi="Times New Roman" w:cs="Times New Roman"/>
          <w:sz w:val="24"/>
          <w:szCs w:val="24"/>
        </w:rPr>
        <w:footnoteReference w:id="20"/>
      </w:r>
      <w:r w:rsidR="0030243F">
        <w:rPr>
          <w:rFonts w:ascii="Times New Roman" w:hAnsi="Times New Roman" w:cs="Times New Roman"/>
          <w:sz w:val="24"/>
          <w:szCs w:val="24"/>
        </w:rPr>
        <w:t xml:space="preserve"> Magic was a central part of Egyptian religion and in the case of disease, they were often used together to heal </w:t>
      </w:r>
      <w:r w:rsidR="00805682">
        <w:rPr>
          <w:rFonts w:ascii="Times New Roman" w:hAnsi="Times New Roman" w:cs="Times New Roman"/>
          <w:sz w:val="24"/>
          <w:szCs w:val="24"/>
        </w:rPr>
        <w:t>society</w:t>
      </w:r>
      <w:r w:rsidR="0030243F">
        <w:rPr>
          <w:rFonts w:ascii="Times New Roman" w:hAnsi="Times New Roman" w:cs="Times New Roman"/>
          <w:sz w:val="24"/>
          <w:szCs w:val="24"/>
        </w:rPr>
        <w:t xml:space="preserve">. </w:t>
      </w:r>
      <w:r w:rsidR="00805682">
        <w:rPr>
          <w:rFonts w:ascii="Times New Roman" w:hAnsi="Times New Roman" w:cs="Times New Roman"/>
          <w:sz w:val="24"/>
          <w:szCs w:val="24"/>
        </w:rPr>
        <w:t>For example, certain symptoms were associated with certain gods, and therefore the physician could determine what the disease or illness was based on these symptoms. However, as Zucconi states, “medicine, typically, is viewed as scientific, that is rational and empirical, whereas religion is thought of in terms of faith and not subject to an empirical method.”</w:t>
      </w:r>
      <w:r w:rsidR="00805682">
        <w:rPr>
          <w:rStyle w:val="FootnoteReference"/>
          <w:rFonts w:ascii="Times New Roman" w:hAnsi="Times New Roman" w:cs="Times New Roman"/>
          <w:sz w:val="24"/>
          <w:szCs w:val="24"/>
        </w:rPr>
        <w:footnoteReference w:id="21"/>
      </w:r>
      <w:r w:rsidR="00915918">
        <w:rPr>
          <w:rFonts w:ascii="Times New Roman" w:hAnsi="Times New Roman" w:cs="Times New Roman"/>
          <w:sz w:val="24"/>
          <w:szCs w:val="24"/>
        </w:rPr>
        <w:t xml:space="preserve"> Religion and medicine were interwoven, but the link between them is often overlooked by modern scholarship. </w:t>
      </w:r>
      <w:r w:rsidR="005D4875">
        <w:rPr>
          <w:rFonts w:ascii="Times New Roman" w:hAnsi="Times New Roman" w:cs="Times New Roman"/>
          <w:sz w:val="24"/>
          <w:szCs w:val="24"/>
        </w:rPr>
        <w:t>In medical papyri it is common for physicians to be called priests, but this does not mean that they were actual priests bound to a temple, it could represent respect. Prayers and rituals were considered an effective barrier against disease</w:t>
      </w:r>
      <w:r w:rsidR="00897062">
        <w:rPr>
          <w:rFonts w:ascii="Times New Roman" w:hAnsi="Times New Roman" w:cs="Times New Roman"/>
          <w:sz w:val="24"/>
          <w:szCs w:val="24"/>
        </w:rPr>
        <w:t>, and appeasing the gods was equally important. For example, during the time when plague was more prevalent, the priest of Sekhmet would perform a ritual called ‘appeasing Sekhmet’ in the hope of stopping an epidemic.</w:t>
      </w:r>
      <w:r w:rsidR="00897062">
        <w:rPr>
          <w:rStyle w:val="FootnoteReference"/>
          <w:rFonts w:ascii="Times New Roman" w:hAnsi="Times New Roman" w:cs="Times New Roman"/>
          <w:sz w:val="24"/>
          <w:szCs w:val="24"/>
        </w:rPr>
        <w:footnoteReference w:id="22"/>
      </w:r>
      <w:r w:rsidR="00F7750A">
        <w:rPr>
          <w:rFonts w:ascii="Times New Roman" w:hAnsi="Times New Roman" w:cs="Times New Roman"/>
          <w:sz w:val="24"/>
          <w:szCs w:val="24"/>
        </w:rPr>
        <w:t xml:space="preserve"> It is </w:t>
      </w:r>
      <w:r w:rsidR="00C50B4B">
        <w:rPr>
          <w:rFonts w:ascii="Times New Roman" w:hAnsi="Times New Roman" w:cs="Times New Roman"/>
          <w:sz w:val="24"/>
          <w:szCs w:val="24"/>
        </w:rPr>
        <w:t xml:space="preserve">also possible to debate the influence that religion had on the development of medicine. From the first millennium BC, patients started to visit temples and pray to statues for magical cures. The practice of incubation at the temple became more popular, as people hoped to gain divine insight into what was wrong with them. </w:t>
      </w:r>
      <w:r w:rsidR="007D4062">
        <w:rPr>
          <w:rFonts w:ascii="Times New Roman" w:hAnsi="Times New Roman" w:cs="Times New Roman"/>
          <w:sz w:val="24"/>
          <w:szCs w:val="24"/>
        </w:rPr>
        <w:t>However, it is not known whether the priests at the temple helped patients with their medical needs, or if there was a hospital attached the temple, not unlike a medieval monastery. The way medical knowledge was passed on is also debated. Some scholars believe that the “mansion of life”, which were associated with Sekhmet, were where physicians were trained, due to her connection with medicine. However, others argue that medicine was simply available to anybody that was literate and versed in magic.</w:t>
      </w:r>
      <w:r w:rsidR="007D4062">
        <w:rPr>
          <w:rStyle w:val="FootnoteReference"/>
          <w:rFonts w:ascii="Times New Roman" w:hAnsi="Times New Roman" w:cs="Times New Roman"/>
          <w:sz w:val="24"/>
          <w:szCs w:val="24"/>
        </w:rPr>
        <w:footnoteReference w:id="23"/>
      </w:r>
      <w:r w:rsidR="003D3FC7">
        <w:rPr>
          <w:rFonts w:ascii="Times New Roman" w:hAnsi="Times New Roman" w:cs="Times New Roman"/>
          <w:sz w:val="24"/>
          <w:szCs w:val="24"/>
        </w:rPr>
        <w:t xml:space="preserve"> Therefore, we can clearly see the link that exists between ancient Egyptian medicine, magic, and religion. </w:t>
      </w:r>
    </w:p>
    <w:p w14:paraId="470076C2" w14:textId="4C8FAA99" w:rsidR="00482E6E" w:rsidRDefault="00482E6E" w:rsidP="00DF1DE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conclusion, ancient Egyptian medicine had core traditional values that were related to herbal remedies. However, magic and religion were also constantly used, and surrounded, the concept of medicine and we cannot </w:t>
      </w:r>
      <w:r w:rsidR="00043214">
        <w:rPr>
          <w:rFonts w:ascii="Times New Roman" w:hAnsi="Times New Roman" w:cs="Times New Roman"/>
          <w:sz w:val="24"/>
          <w:szCs w:val="24"/>
        </w:rPr>
        <w:t xml:space="preserve">examine one without looking at the others. </w:t>
      </w:r>
    </w:p>
    <w:p w14:paraId="3E909556" w14:textId="4BBDDCCF" w:rsidR="00BC00D3" w:rsidRDefault="00BC00D3" w:rsidP="00DF1DE1">
      <w:pPr>
        <w:spacing w:line="480" w:lineRule="auto"/>
        <w:rPr>
          <w:rFonts w:ascii="Times New Roman" w:hAnsi="Times New Roman" w:cs="Times New Roman"/>
          <w:sz w:val="24"/>
          <w:szCs w:val="24"/>
        </w:rPr>
      </w:pPr>
    </w:p>
    <w:p w14:paraId="4DCCBF80" w14:textId="42DB6439" w:rsidR="00BC00D3" w:rsidRDefault="00BC00D3" w:rsidP="00DF1DE1">
      <w:pPr>
        <w:spacing w:line="480" w:lineRule="auto"/>
        <w:rPr>
          <w:rFonts w:ascii="Times New Roman" w:hAnsi="Times New Roman" w:cs="Times New Roman"/>
          <w:sz w:val="24"/>
          <w:szCs w:val="24"/>
        </w:rPr>
      </w:pPr>
    </w:p>
    <w:p w14:paraId="75A0A68F" w14:textId="2F22C392" w:rsidR="00BC00D3" w:rsidRDefault="00BC00D3" w:rsidP="00DF1DE1">
      <w:pPr>
        <w:spacing w:line="480" w:lineRule="auto"/>
        <w:rPr>
          <w:rFonts w:ascii="Times New Roman" w:hAnsi="Times New Roman" w:cs="Times New Roman"/>
          <w:sz w:val="24"/>
          <w:szCs w:val="24"/>
        </w:rPr>
      </w:pPr>
    </w:p>
    <w:p w14:paraId="63B5892F" w14:textId="465CC569" w:rsidR="00BC00D3" w:rsidRDefault="00BC00D3" w:rsidP="00DF1DE1">
      <w:pPr>
        <w:spacing w:line="480" w:lineRule="auto"/>
        <w:rPr>
          <w:rFonts w:ascii="Times New Roman" w:hAnsi="Times New Roman" w:cs="Times New Roman"/>
          <w:sz w:val="24"/>
          <w:szCs w:val="24"/>
        </w:rPr>
      </w:pPr>
    </w:p>
    <w:p w14:paraId="700E3837" w14:textId="6C8F8579" w:rsidR="00BC00D3" w:rsidRDefault="00BC00D3" w:rsidP="00DF1DE1">
      <w:pPr>
        <w:spacing w:line="480" w:lineRule="auto"/>
        <w:rPr>
          <w:rFonts w:ascii="Times New Roman" w:hAnsi="Times New Roman" w:cs="Times New Roman"/>
          <w:sz w:val="24"/>
          <w:szCs w:val="24"/>
        </w:rPr>
      </w:pPr>
    </w:p>
    <w:p w14:paraId="59005796" w14:textId="7D2CED3B" w:rsidR="00BC00D3" w:rsidRDefault="00BC00D3" w:rsidP="00DF1DE1">
      <w:pPr>
        <w:spacing w:line="480" w:lineRule="auto"/>
        <w:rPr>
          <w:rFonts w:ascii="Times New Roman" w:hAnsi="Times New Roman" w:cs="Times New Roman"/>
          <w:sz w:val="24"/>
          <w:szCs w:val="24"/>
        </w:rPr>
      </w:pPr>
    </w:p>
    <w:p w14:paraId="3F95E52C" w14:textId="7485A2D2" w:rsidR="00BC00D3" w:rsidRDefault="00BC00D3" w:rsidP="00DF1DE1">
      <w:pPr>
        <w:spacing w:line="480" w:lineRule="auto"/>
        <w:rPr>
          <w:rFonts w:ascii="Times New Roman" w:hAnsi="Times New Roman" w:cs="Times New Roman"/>
          <w:sz w:val="24"/>
          <w:szCs w:val="24"/>
        </w:rPr>
      </w:pPr>
    </w:p>
    <w:p w14:paraId="45C44A53" w14:textId="16642BB2" w:rsidR="00BC00D3" w:rsidRDefault="00BC00D3" w:rsidP="00DF1DE1">
      <w:pPr>
        <w:spacing w:line="480" w:lineRule="auto"/>
        <w:rPr>
          <w:rFonts w:ascii="Times New Roman" w:hAnsi="Times New Roman" w:cs="Times New Roman"/>
          <w:sz w:val="24"/>
          <w:szCs w:val="24"/>
        </w:rPr>
      </w:pPr>
    </w:p>
    <w:p w14:paraId="1BED0177" w14:textId="6E5DF5BD" w:rsidR="00BC00D3" w:rsidRDefault="00BC00D3" w:rsidP="00DF1DE1">
      <w:pPr>
        <w:spacing w:line="480" w:lineRule="auto"/>
        <w:rPr>
          <w:rFonts w:ascii="Times New Roman" w:hAnsi="Times New Roman" w:cs="Times New Roman"/>
          <w:sz w:val="24"/>
          <w:szCs w:val="24"/>
        </w:rPr>
      </w:pPr>
    </w:p>
    <w:p w14:paraId="25A946C0" w14:textId="6A0C0D96" w:rsidR="00BC00D3" w:rsidRDefault="00BC00D3" w:rsidP="00DF1DE1">
      <w:pPr>
        <w:spacing w:line="480" w:lineRule="auto"/>
        <w:rPr>
          <w:rFonts w:ascii="Times New Roman" w:hAnsi="Times New Roman" w:cs="Times New Roman"/>
          <w:sz w:val="24"/>
          <w:szCs w:val="24"/>
        </w:rPr>
      </w:pPr>
    </w:p>
    <w:p w14:paraId="6B722B86" w14:textId="15FCB36F" w:rsidR="00BC00D3" w:rsidRDefault="00BC00D3" w:rsidP="00DF1DE1">
      <w:pPr>
        <w:spacing w:line="480" w:lineRule="auto"/>
        <w:rPr>
          <w:rFonts w:ascii="Times New Roman" w:hAnsi="Times New Roman" w:cs="Times New Roman"/>
          <w:sz w:val="24"/>
          <w:szCs w:val="24"/>
        </w:rPr>
      </w:pPr>
    </w:p>
    <w:p w14:paraId="1A7C77A0" w14:textId="340607D9" w:rsidR="00BC00D3" w:rsidRDefault="00BC00D3" w:rsidP="00DF1DE1">
      <w:pPr>
        <w:spacing w:line="480" w:lineRule="auto"/>
        <w:rPr>
          <w:rFonts w:ascii="Times New Roman" w:hAnsi="Times New Roman" w:cs="Times New Roman"/>
          <w:sz w:val="24"/>
          <w:szCs w:val="24"/>
        </w:rPr>
      </w:pPr>
    </w:p>
    <w:p w14:paraId="6667D7B0" w14:textId="38CA5C32" w:rsidR="00BC00D3" w:rsidRDefault="00BC00D3" w:rsidP="00DF1DE1">
      <w:pPr>
        <w:spacing w:line="480" w:lineRule="auto"/>
        <w:rPr>
          <w:rFonts w:ascii="Times New Roman" w:hAnsi="Times New Roman" w:cs="Times New Roman"/>
          <w:sz w:val="24"/>
          <w:szCs w:val="24"/>
        </w:rPr>
      </w:pPr>
    </w:p>
    <w:p w14:paraId="463FBB29" w14:textId="15FBFB4C" w:rsidR="00BC00D3" w:rsidRDefault="00BC00D3" w:rsidP="00DF1DE1">
      <w:pPr>
        <w:spacing w:line="480" w:lineRule="auto"/>
        <w:rPr>
          <w:rFonts w:ascii="Times New Roman" w:hAnsi="Times New Roman" w:cs="Times New Roman"/>
          <w:sz w:val="24"/>
          <w:szCs w:val="24"/>
        </w:rPr>
      </w:pPr>
    </w:p>
    <w:p w14:paraId="7EE45F8F" w14:textId="1A32DFB2" w:rsidR="00BC00D3" w:rsidRDefault="00BC00D3" w:rsidP="00DF1DE1">
      <w:pPr>
        <w:spacing w:line="480" w:lineRule="auto"/>
        <w:rPr>
          <w:rFonts w:ascii="Times New Roman" w:hAnsi="Times New Roman" w:cs="Times New Roman"/>
          <w:sz w:val="24"/>
          <w:szCs w:val="24"/>
        </w:rPr>
      </w:pPr>
    </w:p>
    <w:p w14:paraId="2CBC7520" w14:textId="54E60EB6" w:rsidR="00BC00D3" w:rsidRDefault="00BC00D3" w:rsidP="00DF1DE1">
      <w:pPr>
        <w:spacing w:line="480" w:lineRule="auto"/>
        <w:rPr>
          <w:rFonts w:ascii="Times New Roman" w:hAnsi="Times New Roman" w:cs="Times New Roman"/>
          <w:sz w:val="24"/>
          <w:szCs w:val="24"/>
        </w:rPr>
      </w:pPr>
    </w:p>
    <w:p w14:paraId="18CF3DE7" w14:textId="61867BF7" w:rsidR="00BC00D3" w:rsidRDefault="00BC00D3" w:rsidP="00DF1DE1">
      <w:pPr>
        <w:spacing w:line="480" w:lineRule="auto"/>
        <w:rPr>
          <w:rFonts w:ascii="Times New Roman" w:hAnsi="Times New Roman" w:cs="Times New Roman"/>
          <w:sz w:val="24"/>
          <w:szCs w:val="24"/>
        </w:rPr>
      </w:pPr>
    </w:p>
    <w:p w14:paraId="7F4EA3A5" w14:textId="06E8E6E2" w:rsidR="00BC00D3" w:rsidRDefault="00BC00D3" w:rsidP="00DF1DE1">
      <w:pPr>
        <w:spacing w:line="480" w:lineRule="auto"/>
        <w:rPr>
          <w:rFonts w:ascii="Times New Roman" w:hAnsi="Times New Roman" w:cs="Times New Roman"/>
          <w:sz w:val="24"/>
          <w:szCs w:val="24"/>
        </w:rPr>
      </w:pPr>
    </w:p>
    <w:p w14:paraId="2FEE1BFB" w14:textId="5CB448A5" w:rsidR="00BC00D3" w:rsidRDefault="00BC00D3" w:rsidP="00DF1DE1">
      <w:pPr>
        <w:spacing w:line="480" w:lineRule="auto"/>
        <w:rPr>
          <w:rFonts w:ascii="Times New Roman" w:hAnsi="Times New Roman" w:cs="Times New Roman"/>
          <w:sz w:val="24"/>
          <w:szCs w:val="24"/>
        </w:rPr>
      </w:pPr>
    </w:p>
    <w:p w14:paraId="0B53C154" w14:textId="272C6FC3" w:rsidR="00BC00D3" w:rsidRDefault="00BC00D3" w:rsidP="00DF1DE1">
      <w:pPr>
        <w:spacing w:line="480" w:lineRule="auto"/>
        <w:rPr>
          <w:rFonts w:ascii="Times New Roman" w:hAnsi="Times New Roman" w:cs="Times New Roman"/>
          <w:sz w:val="24"/>
          <w:szCs w:val="24"/>
        </w:rPr>
      </w:pPr>
    </w:p>
    <w:p w14:paraId="6EC840D0" w14:textId="136B5584" w:rsidR="00BC00D3" w:rsidRDefault="00BC00D3" w:rsidP="00DF1DE1">
      <w:pPr>
        <w:spacing w:line="480" w:lineRule="auto"/>
        <w:rPr>
          <w:rFonts w:ascii="Times New Roman" w:hAnsi="Times New Roman" w:cs="Times New Roman"/>
          <w:sz w:val="24"/>
          <w:szCs w:val="24"/>
        </w:rPr>
      </w:pPr>
    </w:p>
    <w:p w14:paraId="17BC5670" w14:textId="2F4CC3FB" w:rsidR="00BC00D3" w:rsidRDefault="00BC00D3" w:rsidP="00DF1DE1">
      <w:pPr>
        <w:spacing w:line="480" w:lineRule="auto"/>
        <w:rPr>
          <w:rFonts w:ascii="Times New Roman" w:hAnsi="Times New Roman" w:cs="Times New Roman"/>
          <w:sz w:val="24"/>
          <w:szCs w:val="24"/>
        </w:rPr>
      </w:pPr>
    </w:p>
    <w:p w14:paraId="2F073DFD" w14:textId="3218AED2" w:rsidR="00BC00D3" w:rsidRDefault="00BC00D3" w:rsidP="00DF1DE1">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14:paraId="77F78042" w14:textId="7359B476" w:rsidR="00BC00D3" w:rsidRDefault="00BC00D3" w:rsidP="00DF1DE1">
      <w:pPr>
        <w:spacing w:line="480" w:lineRule="auto"/>
        <w:rPr>
          <w:rFonts w:ascii="Times New Roman" w:hAnsi="Times New Roman" w:cs="Times New Roman"/>
          <w:sz w:val="24"/>
          <w:szCs w:val="24"/>
        </w:rPr>
      </w:pPr>
      <w:r>
        <w:rPr>
          <w:rFonts w:ascii="Times New Roman" w:hAnsi="Times New Roman" w:cs="Times New Roman"/>
          <w:sz w:val="24"/>
          <w:szCs w:val="24"/>
        </w:rPr>
        <w:t>Books:</w:t>
      </w:r>
    </w:p>
    <w:p w14:paraId="156C0D36" w14:textId="1ED7CB7D" w:rsidR="00BC00D3" w:rsidRDefault="00BC00D3" w:rsidP="00BC00D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Cockburn, A, Cockburn, E and Reyman, J.A. 1998. </w:t>
      </w:r>
      <w:r>
        <w:rPr>
          <w:rFonts w:ascii="Times New Roman" w:hAnsi="Times New Roman" w:cs="Times New Roman"/>
          <w:i/>
          <w:sz w:val="24"/>
          <w:szCs w:val="24"/>
        </w:rPr>
        <w:t>Mummies, Disease, and Ancient Cultures</w:t>
      </w:r>
      <w:r>
        <w:rPr>
          <w:rFonts w:ascii="Times New Roman" w:hAnsi="Times New Roman" w:cs="Times New Roman"/>
          <w:sz w:val="24"/>
          <w:szCs w:val="24"/>
        </w:rPr>
        <w:t>. New York: Cambridge University Press.</w:t>
      </w:r>
    </w:p>
    <w:p w14:paraId="536CFB77" w14:textId="57A63DEB" w:rsidR="00BC00D3" w:rsidRDefault="00BC00D3" w:rsidP="00BC00D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James, S.L and Dillion, S. 2012. </w:t>
      </w:r>
      <w:r>
        <w:rPr>
          <w:rFonts w:ascii="Times New Roman" w:hAnsi="Times New Roman" w:cs="Times New Roman"/>
          <w:i/>
          <w:sz w:val="24"/>
          <w:szCs w:val="24"/>
        </w:rPr>
        <w:t>A Companion to Women in the Ancient World</w:t>
      </w:r>
      <w:r>
        <w:rPr>
          <w:rFonts w:ascii="Times New Roman" w:hAnsi="Times New Roman" w:cs="Times New Roman"/>
          <w:sz w:val="24"/>
          <w:szCs w:val="24"/>
        </w:rPr>
        <w:t>. Chichester: Wiley Blackwell.</w:t>
      </w:r>
    </w:p>
    <w:p w14:paraId="1FA25377" w14:textId="05BA1385" w:rsidR="00BC00D3" w:rsidRDefault="00BC00D3" w:rsidP="00BC00D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Norie, P. 2016. </w:t>
      </w:r>
      <w:r>
        <w:rPr>
          <w:rFonts w:ascii="Times New Roman" w:hAnsi="Times New Roman" w:cs="Times New Roman"/>
          <w:i/>
          <w:sz w:val="24"/>
          <w:szCs w:val="24"/>
        </w:rPr>
        <w:t>A History of Disease in Ancient Times: More Lethal than War</w:t>
      </w:r>
      <w:r>
        <w:rPr>
          <w:rFonts w:ascii="Times New Roman" w:hAnsi="Times New Roman" w:cs="Times New Roman"/>
          <w:sz w:val="24"/>
          <w:szCs w:val="24"/>
        </w:rPr>
        <w:t>. London: Palgrave Macmillan.</w:t>
      </w:r>
    </w:p>
    <w:p w14:paraId="04A8B6CC" w14:textId="75A0783A" w:rsidR="00BC00D3" w:rsidRDefault="00BC00D3" w:rsidP="00BC00D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Pinch, G. 2006. </w:t>
      </w:r>
      <w:r>
        <w:rPr>
          <w:rFonts w:ascii="Times New Roman" w:hAnsi="Times New Roman" w:cs="Times New Roman"/>
          <w:i/>
          <w:sz w:val="24"/>
          <w:szCs w:val="24"/>
        </w:rPr>
        <w:t>Magic in Ancient Egypt</w:t>
      </w:r>
      <w:r>
        <w:rPr>
          <w:rFonts w:ascii="Times New Roman" w:hAnsi="Times New Roman" w:cs="Times New Roman"/>
          <w:sz w:val="24"/>
          <w:szCs w:val="24"/>
        </w:rPr>
        <w:t>. London: The British Museum Press.</w:t>
      </w:r>
    </w:p>
    <w:p w14:paraId="28313F9C" w14:textId="12EF08C6" w:rsidR="00BC00D3" w:rsidRDefault="00BC00D3" w:rsidP="00BC00D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Riddle, J.M. 1992. </w:t>
      </w:r>
      <w:r>
        <w:rPr>
          <w:rFonts w:ascii="Times New Roman" w:hAnsi="Times New Roman" w:cs="Times New Roman"/>
          <w:i/>
          <w:sz w:val="24"/>
          <w:szCs w:val="24"/>
        </w:rPr>
        <w:t>Contraception and Abortion from the Ancient World to the Renaissance</w:t>
      </w:r>
      <w:r>
        <w:rPr>
          <w:rFonts w:ascii="Times New Roman" w:hAnsi="Times New Roman" w:cs="Times New Roman"/>
          <w:sz w:val="24"/>
          <w:szCs w:val="24"/>
        </w:rPr>
        <w:t>. Cambridge: Harvard University Press.</w:t>
      </w:r>
    </w:p>
    <w:p w14:paraId="3C06B2D4" w14:textId="42B51F59" w:rsidR="00BC00D3" w:rsidRDefault="00BC00D3" w:rsidP="00BC00D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Zucconi, L.M. 2013. </w:t>
      </w:r>
      <w:r>
        <w:rPr>
          <w:rFonts w:ascii="Times New Roman" w:hAnsi="Times New Roman" w:cs="Times New Roman"/>
          <w:i/>
          <w:sz w:val="24"/>
          <w:szCs w:val="24"/>
        </w:rPr>
        <w:t>Can No Physician Be Found? The Influence of Religion on Medical Pluralism in Ancient Egypt, Mesopotamia, and Israel</w:t>
      </w:r>
      <w:r>
        <w:rPr>
          <w:rFonts w:ascii="Times New Roman" w:hAnsi="Times New Roman" w:cs="Times New Roman"/>
          <w:sz w:val="24"/>
          <w:szCs w:val="24"/>
        </w:rPr>
        <w:t>. New Jersey: Gorgias Press.</w:t>
      </w:r>
    </w:p>
    <w:p w14:paraId="39807D70" w14:textId="4537BFE7" w:rsidR="00033F9A" w:rsidRDefault="00033F9A" w:rsidP="00033F9A">
      <w:pPr>
        <w:spacing w:line="480" w:lineRule="auto"/>
        <w:rPr>
          <w:rFonts w:ascii="Times New Roman" w:hAnsi="Times New Roman" w:cs="Times New Roman"/>
          <w:sz w:val="24"/>
          <w:szCs w:val="24"/>
        </w:rPr>
      </w:pPr>
      <w:r>
        <w:rPr>
          <w:rFonts w:ascii="Times New Roman" w:hAnsi="Times New Roman" w:cs="Times New Roman"/>
          <w:sz w:val="24"/>
          <w:szCs w:val="24"/>
        </w:rPr>
        <w:t>Articles:</w:t>
      </w:r>
    </w:p>
    <w:p w14:paraId="06C9D4B1" w14:textId="2608FA33" w:rsidR="00033F9A" w:rsidRDefault="00033F9A" w:rsidP="00033F9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Panagiotakopulu, E. </w:t>
      </w:r>
      <w:r w:rsidR="00AF6920">
        <w:rPr>
          <w:rFonts w:ascii="Times New Roman" w:hAnsi="Times New Roman" w:cs="Times New Roman"/>
          <w:sz w:val="24"/>
          <w:szCs w:val="24"/>
        </w:rPr>
        <w:t xml:space="preserve">2004.’Pharaonic Egypt and the Origins of Plague’. </w:t>
      </w:r>
      <w:r w:rsidR="00AF6920">
        <w:rPr>
          <w:rFonts w:ascii="Times New Roman" w:hAnsi="Times New Roman" w:cs="Times New Roman"/>
          <w:i/>
          <w:sz w:val="24"/>
          <w:szCs w:val="24"/>
        </w:rPr>
        <w:t>Journal of Biogeography</w:t>
      </w:r>
      <w:r w:rsidR="00AF6920">
        <w:rPr>
          <w:rFonts w:ascii="Times New Roman" w:hAnsi="Times New Roman" w:cs="Times New Roman"/>
          <w:sz w:val="24"/>
          <w:szCs w:val="24"/>
        </w:rPr>
        <w:t>, 31. 269-275.</w:t>
      </w:r>
    </w:p>
    <w:p w14:paraId="4173329F" w14:textId="2572A0B8" w:rsidR="00AF6920" w:rsidRDefault="00AF6920" w:rsidP="00AF6920">
      <w:pPr>
        <w:spacing w:line="480" w:lineRule="auto"/>
        <w:rPr>
          <w:rFonts w:ascii="Times New Roman" w:hAnsi="Times New Roman" w:cs="Times New Roman"/>
          <w:sz w:val="24"/>
          <w:szCs w:val="24"/>
        </w:rPr>
      </w:pPr>
      <w:r>
        <w:rPr>
          <w:rFonts w:ascii="Times New Roman" w:hAnsi="Times New Roman" w:cs="Times New Roman"/>
          <w:sz w:val="24"/>
          <w:szCs w:val="24"/>
        </w:rPr>
        <w:t>Websites:</w:t>
      </w:r>
    </w:p>
    <w:p w14:paraId="398C7DC6" w14:textId="30548EA5" w:rsidR="00AF6920" w:rsidRDefault="00AF6920" w:rsidP="00AF692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University College London. ‘Disease in Ancient Egypt’.2002. UCL Museum Static. </w:t>
      </w:r>
      <w:hyperlink r:id="rId8" w:history="1">
        <w:r w:rsidRPr="00470842">
          <w:rPr>
            <w:rStyle w:val="Hyperlink"/>
            <w:rFonts w:ascii="Times New Roman" w:hAnsi="Times New Roman" w:cs="Times New Roman"/>
            <w:sz w:val="24"/>
            <w:szCs w:val="24"/>
          </w:rPr>
          <w:t>www.ucl.ac.uk/museums-static/digitalegypt/age/disease</w:t>
        </w:r>
      </w:hyperlink>
      <w:r>
        <w:rPr>
          <w:rFonts w:ascii="Times New Roman" w:hAnsi="Times New Roman" w:cs="Times New Roman"/>
          <w:sz w:val="24"/>
          <w:szCs w:val="24"/>
        </w:rPr>
        <w:t>. [3/12/2017].</w:t>
      </w:r>
    </w:p>
    <w:p w14:paraId="36F10BCF" w14:textId="094D969E" w:rsidR="00AF6920" w:rsidRPr="00AF6920" w:rsidRDefault="00AF6920" w:rsidP="00AF692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Andre Dollinger. ‘Ancient Egyptian Medicine: In Sickness and in Health. Preventative and Curative Healthcare’. 2013. Reshafim. </w:t>
      </w:r>
      <w:hyperlink r:id="rId9" w:history="1">
        <w:r w:rsidRPr="00470842">
          <w:rPr>
            <w:rStyle w:val="Hyperlink"/>
            <w:rFonts w:ascii="Times New Roman" w:hAnsi="Times New Roman" w:cs="Times New Roman"/>
            <w:sz w:val="24"/>
            <w:szCs w:val="24"/>
          </w:rPr>
          <w:t>www.reshafim.org.il/ad/egypt/timelines/topics/medicine</w:t>
        </w:r>
      </w:hyperlink>
      <w:r>
        <w:rPr>
          <w:rFonts w:ascii="Times New Roman" w:hAnsi="Times New Roman" w:cs="Times New Roman"/>
          <w:sz w:val="24"/>
          <w:szCs w:val="24"/>
        </w:rPr>
        <w:t>. [3/12/2017].</w:t>
      </w:r>
    </w:p>
    <w:p w14:paraId="081C9341" w14:textId="4B49CF19" w:rsidR="002A4547" w:rsidRDefault="002A4547" w:rsidP="007F3F50">
      <w:pPr>
        <w:spacing w:line="480" w:lineRule="auto"/>
        <w:rPr>
          <w:rFonts w:ascii="Times New Roman" w:hAnsi="Times New Roman" w:cs="Times New Roman"/>
          <w:sz w:val="24"/>
          <w:szCs w:val="24"/>
        </w:rPr>
      </w:pPr>
    </w:p>
    <w:p w14:paraId="699ACB8B" w14:textId="77777777" w:rsidR="002A4547" w:rsidRPr="003C7268" w:rsidRDefault="002A4547" w:rsidP="007F3F50">
      <w:pPr>
        <w:spacing w:line="480" w:lineRule="auto"/>
        <w:rPr>
          <w:rFonts w:ascii="Times New Roman" w:hAnsi="Times New Roman" w:cs="Times New Roman"/>
          <w:sz w:val="24"/>
          <w:szCs w:val="24"/>
        </w:rPr>
      </w:pPr>
    </w:p>
    <w:p w14:paraId="43AD370C" w14:textId="77777777" w:rsidR="000C5695" w:rsidRDefault="000C5695" w:rsidP="000C5695">
      <w:pPr>
        <w:rPr>
          <w:rFonts w:ascii="Times New Roman" w:hAnsi="Times New Roman" w:cs="Times New Roman"/>
          <w:b/>
          <w:sz w:val="24"/>
          <w:szCs w:val="24"/>
          <w:u w:val="single"/>
        </w:rPr>
      </w:pPr>
    </w:p>
    <w:p w14:paraId="001B2A2F" w14:textId="77777777" w:rsidR="00BE2A57" w:rsidRDefault="00BE2A57">
      <w:bookmarkStart w:id="0" w:name="_GoBack"/>
      <w:bookmarkEnd w:id="0"/>
    </w:p>
    <w:sectPr w:rsidR="00BE2A5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0BB01" w14:textId="77777777" w:rsidR="00E22ED3" w:rsidRDefault="00E22ED3" w:rsidP="002A7051">
      <w:r>
        <w:separator/>
      </w:r>
    </w:p>
  </w:endnote>
  <w:endnote w:type="continuationSeparator" w:id="0">
    <w:p w14:paraId="50AF189E" w14:textId="77777777" w:rsidR="00E22ED3" w:rsidRDefault="00E22ED3" w:rsidP="002A7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199604" w14:textId="77777777" w:rsidR="00E22ED3" w:rsidRDefault="00E22ED3" w:rsidP="002A7051">
      <w:r>
        <w:separator/>
      </w:r>
    </w:p>
  </w:footnote>
  <w:footnote w:type="continuationSeparator" w:id="0">
    <w:p w14:paraId="47813C65" w14:textId="77777777" w:rsidR="00E22ED3" w:rsidRDefault="00E22ED3" w:rsidP="002A7051">
      <w:r>
        <w:continuationSeparator/>
      </w:r>
    </w:p>
  </w:footnote>
  <w:footnote w:id="1">
    <w:p w14:paraId="69BABE7B" w14:textId="581E44A1" w:rsidR="002D04D9" w:rsidRDefault="002D04D9">
      <w:pPr>
        <w:pStyle w:val="FootnoteText"/>
      </w:pPr>
      <w:r>
        <w:rPr>
          <w:rStyle w:val="FootnoteReference"/>
        </w:rPr>
        <w:footnoteRef/>
      </w:r>
      <w:r>
        <w:t xml:space="preserve"> James and Dillion 2012: 25</w:t>
      </w:r>
    </w:p>
  </w:footnote>
  <w:footnote w:id="2">
    <w:p w14:paraId="4ADDC1D6" w14:textId="22CCB0F6" w:rsidR="0033324A" w:rsidRDefault="0033324A">
      <w:pPr>
        <w:pStyle w:val="FootnoteText"/>
      </w:pPr>
      <w:r>
        <w:rPr>
          <w:rStyle w:val="FootnoteReference"/>
        </w:rPr>
        <w:footnoteRef/>
      </w:r>
      <w:r>
        <w:t xml:space="preserve"> James and Dillion 2012: 26</w:t>
      </w:r>
    </w:p>
  </w:footnote>
  <w:footnote w:id="3">
    <w:p w14:paraId="5F75626F" w14:textId="3163BAC8" w:rsidR="00A20A66" w:rsidRDefault="00A20A66">
      <w:pPr>
        <w:pStyle w:val="FootnoteText"/>
      </w:pPr>
      <w:r>
        <w:rPr>
          <w:rStyle w:val="FootnoteReference"/>
        </w:rPr>
        <w:footnoteRef/>
      </w:r>
      <w:r>
        <w:t xml:space="preserve"> Riddle 1992: 66-73</w:t>
      </w:r>
    </w:p>
  </w:footnote>
  <w:footnote w:id="4">
    <w:p w14:paraId="3A0A1374" w14:textId="209DCD9E" w:rsidR="001C518A" w:rsidRDefault="001C518A">
      <w:pPr>
        <w:pStyle w:val="FootnoteText"/>
      </w:pPr>
      <w:r>
        <w:rPr>
          <w:rStyle w:val="FootnoteReference"/>
        </w:rPr>
        <w:footnoteRef/>
      </w:r>
      <w:r>
        <w:t xml:space="preserve"> UCL 2002</w:t>
      </w:r>
    </w:p>
  </w:footnote>
  <w:footnote w:id="5">
    <w:p w14:paraId="7C957F69" w14:textId="707FA6EA" w:rsidR="001174BE" w:rsidRDefault="001174BE">
      <w:pPr>
        <w:pStyle w:val="FootnoteText"/>
      </w:pPr>
      <w:r>
        <w:rPr>
          <w:rStyle w:val="FootnoteReference"/>
        </w:rPr>
        <w:footnoteRef/>
      </w:r>
      <w:r>
        <w:t xml:space="preserve"> Dollinger 2013</w:t>
      </w:r>
    </w:p>
  </w:footnote>
  <w:footnote w:id="6">
    <w:p w14:paraId="09C74A76" w14:textId="5E31A27A" w:rsidR="009956DE" w:rsidRDefault="009956DE">
      <w:pPr>
        <w:pStyle w:val="FootnoteText"/>
      </w:pPr>
      <w:r>
        <w:rPr>
          <w:rStyle w:val="FootnoteReference"/>
        </w:rPr>
        <w:footnoteRef/>
      </w:r>
      <w:r>
        <w:t xml:space="preserve"> Zucconi 2013: 17</w:t>
      </w:r>
    </w:p>
  </w:footnote>
  <w:footnote w:id="7">
    <w:p w14:paraId="038D1147" w14:textId="0C6D177F" w:rsidR="009A2BA8" w:rsidRDefault="009A2BA8">
      <w:pPr>
        <w:pStyle w:val="FootnoteText"/>
      </w:pPr>
      <w:r>
        <w:rPr>
          <w:rStyle w:val="FootnoteReference"/>
        </w:rPr>
        <w:footnoteRef/>
      </w:r>
      <w:r>
        <w:t xml:space="preserve"> Cockburn, Cockburn, and Reyman 1998: 38-48</w:t>
      </w:r>
    </w:p>
  </w:footnote>
  <w:footnote w:id="8">
    <w:p w14:paraId="33FFDFA5" w14:textId="29AD728A" w:rsidR="0010069F" w:rsidRDefault="0010069F">
      <w:pPr>
        <w:pStyle w:val="FootnoteText"/>
      </w:pPr>
      <w:r>
        <w:rPr>
          <w:rStyle w:val="FootnoteReference"/>
        </w:rPr>
        <w:footnoteRef/>
      </w:r>
      <w:r>
        <w:t xml:space="preserve"> Riddle 1992: 66-69</w:t>
      </w:r>
    </w:p>
  </w:footnote>
  <w:footnote w:id="9">
    <w:p w14:paraId="121B9794" w14:textId="21D8266C" w:rsidR="00930990" w:rsidRDefault="00930990">
      <w:pPr>
        <w:pStyle w:val="FootnoteText"/>
      </w:pPr>
      <w:r>
        <w:rPr>
          <w:rStyle w:val="FootnoteReference"/>
        </w:rPr>
        <w:footnoteRef/>
      </w:r>
      <w:r>
        <w:t xml:space="preserve"> Riddle 1992: </w:t>
      </w:r>
      <w:r w:rsidR="00BD54DC">
        <w:t>69</w:t>
      </w:r>
    </w:p>
  </w:footnote>
  <w:footnote w:id="10">
    <w:p w14:paraId="07848B76" w14:textId="46F3BE4E" w:rsidR="00570DC6" w:rsidRDefault="00570DC6">
      <w:pPr>
        <w:pStyle w:val="FootnoteText"/>
      </w:pPr>
      <w:r>
        <w:rPr>
          <w:rStyle w:val="FootnoteReference"/>
        </w:rPr>
        <w:footnoteRef/>
      </w:r>
      <w:r>
        <w:t xml:space="preserve"> </w:t>
      </w:r>
      <w:r w:rsidR="0085292E">
        <w:t>Riddle 1992: 73</w:t>
      </w:r>
    </w:p>
  </w:footnote>
  <w:footnote w:id="11">
    <w:p w14:paraId="1709A0E8" w14:textId="77264FDE" w:rsidR="006F1BF3" w:rsidRDefault="006F1BF3">
      <w:pPr>
        <w:pStyle w:val="FootnoteText"/>
      </w:pPr>
      <w:r>
        <w:rPr>
          <w:rStyle w:val="FootnoteReference"/>
        </w:rPr>
        <w:footnoteRef/>
      </w:r>
      <w:r>
        <w:t xml:space="preserve"> Pinch 2006: 14</w:t>
      </w:r>
    </w:p>
  </w:footnote>
  <w:footnote w:id="12">
    <w:p w14:paraId="2C0DEC5E" w14:textId="1C06491C" w:rsidR="002D3913" w:rsidRDefault="002D3913">
      <w:pPr>
        <w:pStyle w:val="FootnoteText"/>
      </w:pPr>
      <w:r>
        <w:rPr>
          <w:rStyle w:val="FootnoteReference"/>
        </w:rPr>
        <w:footnoteRef/>
      </w:r>
      <w:r>
        <w:t xml:space="preserve"> Pinch 2006: 143</w:t>
      </w:r>
    </w:p>
  </w:footnote>
  <w:footnote w:id="13">
    <w:p w14:paraId="2C27CF5E" w14:textId="3AE1A807" w:rsidR="002D46A1" w:rsidRDefault="002D46A1">
      <w:pPr>
        <w:pStyle w:val="FootnoteText"/>
      </w:pPr>
      <w:r>
        <w:rPr>
          <w:rStyle w:val="FootnoteReference"/>
        </w:rPr>
        <w:footnoteRef/>
      </w:r>
      <w:r>
        <w:t xml:space="preserve"> Norie 2016: 142</w:t>
      </w:r>
    </w:p>
  </w:footnote>
  <w:footnote w:id="14">
    <w:p w14:paraId="728E97AB" w14:textId="45F841AA" w:rsidR="002A2511" w:rsidRDefault="002A2511">
      <w:pPr>
        <w:pStyle w:val="FootnoteText"/>
      </w:pPr>
      <w:r>
        <w:rPr>
          <w:rStyle w:val="FootnoteReference"/>
        </w:rPr>
        <w:footnoteRef/>
      </w:r>
      <w:r>
        <w:t xml:space="preserve"> Panagiotakopulu 2004: 273</w:t>
      </w:r>
    </w:p>
  </w:footnote>
  <w:footnote w:id="15">
    <w:p w14:paraId="22DACB76" w14:textId="6945C0DD" w:rsidR="00285228" w:rsidRDefault="00285228">
      <w:pPr>
        <w:pStyle w:val="FootnoteText"/>
      </w:pPr>
      <w:r>
        <w:rPr>
          <w:rStyle w:val="FootnoteReference"/>
        </w:rPr>
        <w:footnoteRef/>
      </w:r>
      <w:r>
        <w:t xml:space="preserve"> Ebers Papyrus, Ebbell 1937: 39</w:t>
      </w:r>
    </w:p>
  </w:footnote>
  <w:footnote w:id="16">
    <w:p w14:paraId="7F80BDA9" w14:textId="68156B59" w:rsidR="00285228" w:rsidRDefault="00285228">
      <w:pPr>
        <w:pStyle w:val="FootnoteText"/>
      </w:pPr>
      <w:r>
        <w:rPr>
          <w:rStyle w:val="FootnoteReference"/>
        </w:rPr>
        <w:footnoteRef/>
      </w:r>
      <w:r>
        <w:t xml:space="preserve"> Hearst Papyrus, Goedicke 1948: 12-15</w:t>
      </w:r>
    </w:p>
  </w:footnote>
  <w:footnote w:id="17">
    <w:p w14:paraId="46D51A5F" w14:textId="5AFBBEC0" w:rsidR="00A24762" w:rsidRDefault="00A24762">
      <w:pPr>
        <w:pStyle w:val="FootnoteText"/>
      </w:pPr>
      <w:r>
        <w:rPr>
          <w:rStyle w:val="FootnoteReference"/>
        </w:rPr>
        <w:footnoteRef/>
      </w:r>
      <w:r>
        <w:t xml:space="preserve"> Pinch 2006: </w:t>
      </w:r>
      <w:r w:rsidR="0027567C">
        <w:t>133</w:t>
      </w:r>
    </w:p>
  </w:footnote>
  <w:footnote w:id="18">
    <w:p w14:paraId="07A92AC3" w14:textId="5D3B3B1E" w:rsidR="0056158B" w:rsidRDefault="0056158B">
      <w:pPr>
        <w:pStyle w:val="FootnoteText"/>
      </w:pPr>
      <w:r>
        <w:rPr>
          <w:rStyle w:val="FootnoteReference"/>
        </w:rPr>
        <w:footnoteRef/>
      </w:r>
      <w:r>
        <w:t xml:space="preserve"> Pinch 2006: 29-142</w:t>
      </w:r>
    </w:p>
  </w:footnote>
  <w:footnote w:id="19">
    <w:p w14:paraId="5511DD87" w14:textId="288CCDDD" w:rsidR="0056158B" w:rsidRDefault="0056158B">
      <w:pPr>
        <w:pStyle w:val="FootnoteText"/>
      </w:pPr>
      <w:r>
        <w:rPr>
          <w:rStyle w:val="FootnoteReference"/>
        </w:rPr>
        <w:footnoteRef/>
      </w:r>
      <w:r>
        <w:t xml:space="preserve"> Pinch 2006: 23</w:t>
      </w:r>
    </w:p>
  </w:footnote>
  <w:footnote w:id="20">
    <w:p w14:paraId="79F3A34A" w14:textId="1164F151" w:rsidR="00607ECD" w:rsidRDefault="00607ECD">
      <w:pPr>
        <w:pStyle w:val="FootnoteText"/>
      </w:pPr>
      <w:r>
        <w:rPr>
          <w:rStyle w:val="FootnoteReference"/>
        </w:rPr>
        <w:footnoteRef/>
      </w:r>
      <w:r>
        <w:t xml:space="preserve"> Pinch 2006: </w:t>
      </w:r>
      <w:r w:rsidR="000D2652">
        <w:t>17</w:t>
      </w:r>
    </w:p>
  </w:footnote>
  <w:footnote w:id="21">
    <w:p w14:paraId="3476B96D" w14:textId="7A9898D4" w:rsidR="00805682" w:rsidRDefault="00805682">
      <w:pPr>
        <w:pStyle w:val="FootnoteText"/>
      </w:pPr>
      <w:r>
        <w:rPr>
          <w:rStyle w:val="FootnoteReference"/>
        </w:rPr>
        <w:footnoteRef/>
      </w:r>
      <w:r>
        <w:t xml:space="preserve"> Zucconi 2013: 15</w:t>
      </w:r>
    </w:p>
  </w:footnote>
  <w:footnote w:id="22">
    <w:p w14:paraId="0CAB7DED" w14:textId="1B8AD873" w:rsidR="00897062" w:rsidRDefault="00897062">
      <w:pPr>
        <w:pStyle w:val="FootnoteText"/>
      </w:pPr>
      <w:r>
        <w:rPr>
          <w:rStyle w:val="FootnoteReference"/>
        </w:rPr>
        <w:footnoteRef/>
      </w:r>
      <w:r>
        <w:t xml:space="preserve"> Zucconi 2013: 39</w:t>
      </w:r>
    </w:p>
  </w:footnote>
  <w:footnote w:id="23">
    <w:p w14:paraId="43CDBE8B" w14:textId="2E8645AB" w:rsidR="007D4062" w:rsidRDefault="007D4062">
      <w:pPr>
        <w:pStyle w:val="FootnoteText"/>
      </w:pPr>
      <w:r>
        <w:rPr>
          <w:rStyle w:val="FootnoteReference"/>
        </w:rPr>
        <w:footnoteRef/>
      </w:r>
      <w:r>
        <w:t xml:space="preserve"> Dollinger 2013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23E92" w14:textId="77777777" w:rsidR="002A7051" w:rsidRPr="002A7051" w:rsidRDefault="002A7051">
    <w:pPr>
      <w:pStyle w:val="Header"/>
      <w:rPr>
        <w:rFonts w:ascii="Times New Roman" w:hAnsi="Times New Roman" w:cs="Times New Roman"/>
        <w:sz w:val="24"/>
        <w:szCs w:val="24"/>
      </w:rPr>
    </w:pPr>
    <w:r w:rsidRPr="002A7051">
      <w:rPr>
        <w:rFonts w:ascii="Times New Roman" w:hAnsi="Times New Roman" w:cs="Times New Roman"/>
        <w:sz w:val="24"/>
        <w:szCs w:val="24"/>
      </w:rPr>
      <w:t>Lauren Bird- Hall</w:t>
    </w:r>
    <w:r w:rsidRPr="002A7051">
      <w:rPr>
        <w:rFonts w:ascii="Times New Roman" w:hAnsi="Times New Roman" w:cs="Times New Roman"/>
        <w:sz w:val="24"/>
        <w:szCs w:val="24"/>
      </w:rPr>
      <w:ptab w:relativeTo="margin" w:alignment="center" w:leader="none"/>
    </w:r>
    <w:r w:rsidRPr="002A7051">
      <w:rPr>
        <w:rFonts w:ascii="Times New Roman" w:hAnsi="Times New Roman" w:cs="Times New Roman"/>
        <w:sz w:val="24"/>
        <w:szCs w:val="24"/>
      </w:rPr>
      <w:t>HPAH6001</w:t>
    </w:r>
    <w:r w:rsidRPr="002A7051">
      <w:rPr>
        <w:rFonts w:ascii="Times New Roman" w:hAnsi="Times New Roman" w:cs="Times New Roman"/>
        <w:sz w:val="24"/>
        <w:szCs w:val="24"/>
      </w:rPr>
      <w:ptab w:relativeTo="margin" w:alignment="right" w:leader="none"/>
    </w:r>
    <w:r w:rsidRPr="002A7051">
      <w:rPr>
        <w:rFonts w:ascii="Times New Roman" w:hAnsi="Times New Roman" w:cs="Times New Roman"/>
        <w:sz w:val="24"/>
        <w:szCs w:val="24"/>
      </w:rPr>
      <w:t>11/12/2017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14D48"/>
    <w:multiLevelType w:val="hybridMultilevel"/>
    <w:tmpl w:val="BB82E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31263"/>
    <w:multiLevelType w:val="hybridMultilevel"/>
    <w:tmpl w:val="4B7E7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051"/>
    <w:rsid w:val="00033F9A"/>
    <w:rsid w:val="00043214"/>
    <w:rsid w:val="00081E9B"/>
    <w:rsid w:val="000C5695"/>
    <w:rsid w:val="000D1E06"/>
    <w:rsid w:val="000D2652"/>
    <w:rsid w:val="000D343C"/>
    <w:rsid w:val="000E141E"/>
    <w:rsid w:val="0010014C"/>
    <w:rsid w:val="0010069F"/>
    <w:rsid w:val="001074B2"/>
    <w:rsid w:val="00112F04"/>
    <w:rsid w:val="001174BE"/>
    <w:rsid w:val="001301CA"/>
    <w:rsid w:val="00163A57"/>
    <w:rsid w:val="00184DEF"/>
    <w:rsid w:val="001C3941"/>
    <w:rsid w:val="001C518A"/>
    <w:rsid w:val="001D1ABB"/>
    <w:rsid w:val="001D25B6"/>
    <w:rsid w:val="001E3263"/>
    <w:rsid w:val="001E7867"/>
    <w:rsid w:val="00200699"/>
    <w:rsid w:val="002109FA"/>
    <w:rsid w:val="002448C6"/>
    <w:rsid w:val="0027567C"/>
    <w:rsid w:val="00285228"/>
    <w:rsid w:val="00290994"/>
    <w:rsid w:val="002A2511"/>
    <w:rsid w:val="002A4547"/>
    <w:rsid w:val="002A7051"/>
    <w:rsid w:val="002D04D9"/>
    <w:rsid w:val="002D3913"/>
    <w:rsid w:val="002D46A1"/>
    <w:rsid w:val="002E1FB4"/>
    <w:rsid w:val="002F733A"/>
    <w:rsid w:val="0030243F"/>
    <w:rsid w:val="0030389D"/>
    <w:rsid w:val="0033324A"/>
    <w:rsid w:val="00335FF6"/>
    <w:rsid w:val="00386C32"/>
    <w:rsid w:val="00392BE0"/>
    <w:rsid w:val="003A08FF"/>
    <w:rsid w:val="003C7268"/>
    <w:rsid w:val="003D3FC7"/>
    <w:rsid w:val="003D4AE0"/>
    <w:rsid w:val="003E02D2"/>
    <w:rsid w:val="003E57DA"/>
    <w:rsid w:val="00406F8D"/>
    <w:rsid w:val="00437F8B"/>
    <w:rsid w:val="00450A0E"/>
    <w:rsid w:val="00482E6E"/>
    <w:rsid w:val="0049498E"/>
    <w:rsid w:val="004C6D95"/>
    <w:rsid w:val="004F37E9"/>
    <w:rsid w:val="0053182C"/>
    <w:rsid w:val="00551DEC"/>
    <w:rsid w:val="005546D0"/>
    <w:rsid w:val="0056158B"/>
    <w:rsid w:val="00570DC6"/>
    <w:rsid w:val="00573D5E"/>
    <w:rsid w:val="00575EBC"/>
    <w:rsid w:val="00577599"/>
    <w:rsid w:val="0058133D"/>
    <w:rsid w:val="00584370"/>
    <w:rsid w:val="00592EF4"/>
    <w:rsid w:val="00597989"/>
    <w:rsid w:val="005D4875"/>
    <w:rsid w:val="005E6051"/>
    <w:rsid w:val="00607ECD"/>
    <w:rsid w:val="00645CBC"/>
    <w:rsid w:val="00650BA4"/>
    <w:rsid w:val="00683B64"/>
    <w:rsid w:val="006C7A83"/>
    <w:rsid w:val="006D3C4F"/>
    <w:rsid w:val="006F1BF3"/>
    <w:rsid w:val="0075550B"/>
    <w:rsid w:val="00763FF9"/>
    <w:rsid w:val="00781A6F"/>
    <w:rsid w:val="007C29E4"/>
    <w:rsid w:val="007D4062"/>
    <w:rsid w:val="007F3F50"/>
    <w:rsid w:val="00802A78"/>
    <w:rsid w:val="00805682"/>
    <w:rsid w:val="008274D7"/>
    <w:rsid w:val="00830A7A"/>
    <w:rsid w:val="008329A4"/>
    <w:rsid w:val="0085292E"/>
    <w:rsid w:val="00864751"/>
    <w:rsid w:val="0087090F"/>
    <w:rsid w:val="008801F9"/>
    <w:rsid w:val="00897062"/>
    <w:rsid w:val="009100D5"/>
    <w:rsid w:val="00913F97"/>
    <w:rsid w:val="00915918"/>
    <w:rsid w:val="009232C7"/>
    <w:rsid w:val="009239AA"/>
    <w:rsid w:val="00930990"/>
    <w:rsid w:val="009534BF"/>
    <w:rsid w:val="0096201F"/>
    <w:rsid w:val="00972B5F"/>
    <w:rsid w:val="00974312"/>
    <w:rsid w:val="009956DE"/>
    <w:rsid w:val="009A2BA8"/>
    <w:rsid w:val="009A7F30"/>
    <w:rsid w:val="009C3664"/>
    <w:rsid w:val="009D44A3"/>
    <w:rsid w:val="009F2188"/>
    <w:rsid w:val="00A0305C"/>
    <w:rsid w:val="00A202B1"/>
    <w:rsid w:val="00A20A66"/>
    <w:rsid w:val="00A24762"/>
    <w:rsid w:val="00A625F0"/>
    <w:rsid w:val="00A74225"/>
    <w:rsid w:val="00AE46E8"/>
    <w:rsid w:val="00AE628F"/>
    <w:rsid w:val="00AF229D"/>
    <w:rsid w:val="00AF6920"/>
    <w:rsid w:val="00B348D8"/>
    <w:rsid w:val="00BB11DE"/>
    <w:rsid w:val="00BC00D3"/>
    <w:rsid w:val="00BD54DC"/>
    <w:rsid w:val="00BE2A57"/>
    <w:rsid w:val="00C26926"/>
    <w:rsid w:val="00C330E7"/>
    <w:rsid w:val="00C375E7"/>
    <w:rsid w:val="00C50B4B"/>
    <w:rsid w:val="00C52F6E"/>
    <w:rsid w:val="00C86CB7"/>
    <w:rsid w:val="00CA11A6"/>
    <w:rsid w:val="00CA350F"/>
    <w:rsid w:val="00CB0CC2"/>
    <w:rsid w:val="00CF7CFE"/>
    <w:rsid w:val="00D175A0"/>
    <w:rsid w:val="00D3442A"/>
    <w:rsid w:val="00D34C7A"/>
    <w:rsid w:val="00D37A61"/>
    <w:rsid w:val="00D94084"/>
    <w:rsid w:val="00DE4829"/>
    <w:rsid w:val="00DF1DE1"/>
    <w:rsid w:val="00DF6511"/>
    <w:rsid w:val="00E0302F"/>
    <w:rsid w:val="00E22ED3"/>
    <w:rsid w:val="00E46122"/>
    <w:rsid w:val="00E61541"/>
    <w:rsid w:val="00EA4A9D"/>
    <w:rsid w:val="00EA624E"/>
    <w:rsid w:val="00EB45BF"/>
    <w:rsid w:val="00F16943"/>
    <w:rsid w:val="00F27B9E"/>
    <w:rsid w:val="00F34B43"/>
    <w:rsid w:val="00F40376"/>
    <w:rsid w:val="00F65856"/>
    <w:rsid w:val="00F7731A"/>
    <w:rsid w:val="00F7750A"/>
    <w:rsid w:val="00F90B73"/>
    <w:rsid w:val="00FD532B"/>
    <w:rsid w:val="00FE4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D9420"/>
  <w15:chartTrackingRefBased/>
  <w15:docId w15:val="{85E5D889-9B2E-40FC-B6CF-6DC690BD5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56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051"/>
    <w:pPr>
      <w:tabs>
        <w:tab w:val="center" w:pos="4513"/>
        <w:tab w:val="right" w:pos="9026"/>
      </w:tabs>
    </w:pPr>
  </w:style>
  <w:style w:type="character" w:customStyle="1" w:styleId="HeaderChar">
    <w:name w:val="Header Char"/>
    <w:basedOn w:val="DefaultParagraphFont"/>
    <w:link w:val="Header"/>
    <w:uiPriority w:val="99"/>
    <w:rsid w:val="002A7051"/>
  </w:style>
  <w:style w:type="paragraph" w:styleId="Footer">
    <w:name w:val="footer"/>
    <w:basedOn w:val="Normal"/>
    <w:link w:val="FooterChar"/>
    <w:uiPriority w:val="99"/>
    <w:unhideWhenUsed/>
    <w:rsid w:val="002A7051"/>
    <w:pPr>
      <w:tabs>
        <w:tab w:val="center" w:pos="4513"/>
        <w:tab w:val="right" w:pos="9026"/>
      </w:tabs>
    </w:pPr>
  </w:style>
  <w:style w:type="character" w:customStyle="1" w:styleId="FooterChar">
    <w:name w:val="Footer Char"/>
    <w:basedOn w:val="DefaultParagraphFont"/>
    <w:link w:val="Footer"/>
    <w:uiPriority w:val="99"/>
    <w:rsid w:val="002A7051"/>
  </w:style>
  <w:style w:type="paragraph" w:styleId="FootnoteText">
    <w:name w:val="footnote text"/>
    <w:basedOn w:val="Normal"/>
    <w:link w:val="FootnoteTextChar"/>
    <w:uiPriority w:val="99"/>
    <w:semiHidden/>
    <w:unhideWhenUsed/>
    <w:rsid w:val="002D04D9"/>
    <w:rPr>
      <w:sz w:val="20"/>
      <w:szCs w:val="20"/>
    </w:rPr>
  </w:style>
  <w:style w:type="character" w:customStyle="1" w:styleId="FootnoteTextChar">
    <w:name w:val="Footnote Text Char"/>
    <w:basedOn w:val="DefaultParagraphFont"/>
    <w:link w:val="FootnoteText"/>
    <w:uiPriority w:val="99"/>
    <w:semiHidden/>
    <w:rsid w:val="002D04D9"/>
    <w:rPr>
      <w:sz w:val="20"/>
      <w:szCs w:val="20"/>
    </w:rPr>
  </w:style>
  <w:style w:type="character" w:styleId="FootnoteReference">
    <w:name w:val="footnote reference"/>
    <w:basedOn w:val="DefaultParagraphFont"/>
    <w:uiPriority w:val="99"/>
    <w:semiHidden/>
    <w:unhideWhenUsed/>
    <w:rsid w:val="002D04D9"/>
    <w:rPr>
      <w:vertAlign w:val="superscript"/>
    </w:rPr>
  </w:style>
  <w:style w:type="paragraph" w:styleId="ListParagraph">
    <w:name w:val="List Paragraph"/>
    <w:basedOn w:val="Normal"/>
    <w:uiPriority w:val="34"/>
    <w:qFormat/>
    <w:rsid w:val="00BC00D3"/>
    <w:pPr>
      <w:ind w:left="720"/>
      <w:contextualSpacing/>
    </w:pPr>
  </w:style>
  <w:style w:type="character" w:styleId="Hyperlink">
    <w:name w:val="Hyperlink"/>
    <w:basedOn w:val="DefaultParagraphFont"/>
    <w:uiPriority w:val="99"/>
    <w:unhideWhenUsed/>
    <w:rsid w:val="00AF6920"/>
    <w:rPr>
      <w:color w:val="0563C1" w:themeColor="hyperlink"/>
      <w:u w:val="single"/>
    </w:rPr>
  </w:style>
  <w:style w:type="character" w:styleId="UnresolvedMention">
    <w:name w:val="Unresolved Mention"/>
    <w:basedOn w:val="DefaultParagraphFont"/>
    <w:uiPriority w:val="99"/>
    <w:semiHidden/>
    <w:unhideWhenUsed/>
    <w:rsid w:val="00AF692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cl.ac.uk/museums-static/digitalegypt/age/disea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reshafim.org.il/ad/egypt/timelines/topics/medic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21843-CCF0-4BB8-B165-1D32E1C2B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2141</TotalTime>
  <Pages>10</Pages>
  <Words>2608</Words>
  <Characters>14870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dc:creator>
  <cp:keywords/>
  <dc:description/>
  <cp:lastModifiedBy>Lauren Hall</cp:lastModifiedBy>
  <cp:revision>104</cp:revision>
  <dcterms:created xsi:type="dcterms:W3CDTF">2017-12-07T16:41:00Z</dcterms:created>
  <dcterms:modified xsi:type="dcterms:W3CDTF">2017-12-10T19:13:00Z</dcterms:modified>
</cp:coreProperties>
</file>