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12E881" w14:textId="7DBD40FE" w:rsidR="004D5C8D" w:rsidRDefault="00E31A15" w:rsidP="00173BDC">
      <w:pPr>
        <w:spacing w:after="360" w:line="360" w:lineRule="auto"/>
        <w:jc w:val="both"/>
        <w:rPr>
          <w:rFonts w:ascii="Arial" w:hAnsi="Arial" w:cs="Arial"/>
          <w:b/>
          <w:bCs/>
          <w:sz w:val="22"/>
          <w:szCs w:val="22"/>
        </w:rPr>
      </w:pPr>
      <w:r>
        <w:rPr>
          <w:rFonts w:ascii="Arial" w:hAnsi="Arial" w:cs="Arial"/>
          <w:b/>
          <w:bCs/>
          <w:noProof/>
          <w:sz w:val="22"/>
          <w:szCs w:val="22"/>
        </w:rPr>
        <w:drawing>
          <wp:anchor distT="0" distB="0" distL="114300" distR="114300" simplePos="0" relativeHeight="251658240" behindDoc="0" locked="0" layoutInCell="1" allowOverlap="1" wp14:anchorId="2DF34E24" wp14:editId="60735738">
            <wp:simplePos x="0" y="0"/>
            <wp:positionH relativeFrom="margin">
              <wp:posOffset>-355600</wp:posOffset>
            </wp:positionH>
            <wp:positionV relativeFrom="paragraph">
              <wp:posOffset>0</wp:posOffset>
            </wp:positionV>
            <wp:extent cx="1981200" cy="822960"/>
            <wp:effectExtent l="0" t="0" r="0" b="0"/>
            <wp:wrapSquare wrapText="bothSides"/>
            <wp:docPr id="444651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81200" cy="822960"/>
                    </a:xfrm>
                    <a:prstGeom prst="rect">
                      <a:avLst/>
                    </a:prstGeom>
                    <a:noFill/>
                  </pic:spPr>
                </pic:pic>
              </a:graphicData>
            </a:graphic>
          </wp:anchor>
        </w:drawing>
      </w:r>
    </w:p>
    <w:p w14:paraId="418DC2EE" w14:textId="361ABFD4" w:rsidR="004D5C8D" w:rsidRDefault="004D5C8D" w:rsidP="00173BDC">
      <w:pPr>
        <w:spacing w:after="360" w:line="360" w:lineRule="auto"/>
        <w:jc w:val="both"/>
        <w:rPr>
          <w:rFonts w:ascii="Arial" w:hAnsi="Arial" w:cs="Arial"/>
          <w:b/>
          <w:bCs/>
          <w:sz w:val="22"/>
          <w:szCs w:val="22"/>
        </w:rPr>
      </w:pPr>
    </w:p>
    <w:p w14:paraId="0ACF8491" w14:textId="2A448C0E" w:rsidR="004D5C8D" w:rsidRDefault="004D5C8D" w:rsidP="00173BDC">
      <w:pPr>
        <w:spacing w:after="360" w:line="360" w:lineRule="auto"/>
        <w:jc w:val="both"/>
        <w:rPr>
          <w:rFonts w:ascii="Arial" w:hAnsi="Arial" w:cs="Arial"/>
          <w:b/>
          <w:bCs/>
          <w:sz w:val="22"/>
          <w:szCs w:val="22"/>
        </w:rPr>
      </w:pPr>
    </w:p>
    <w:p w14:paraId="268D6B7C" w14:textId="77777777" w:rsidR="004D5C8D" w:rsidRDefault="004D5C8D" w:rsidP="007A646C">
      <w:pPr>
        <w:spacing w:after="360" w:line="480" w:lineRule="auto"/>
        <w:jc w:val="both"/>
        <w:rPr>
          <w:rFonts w:ascii="Arial" w:hAnsi="Arial" w:cs="Arial"/>
          <w:b/>
          <w:bCs/>
          <w:sz w:val="22"/>
          <w:szCs w:val="22"/>
        </w:rPr>
      </w:pPr>
    </w:p>
    <w:p w14:paraId="4CA9CA93" w14:textId="77777777" w:rsidR="00E31A15" w:rsidRDefault="00E31A15" w:rsidP="007A646C">
      <w:pPr>
        <w:spacing w:after="360" w:line="480" w:lineRule="auto"/>
        <w:jc w:val="both"/>
        <w:rPr>
          <w:rFonts w:ascii="Arial" w:hAnsi="Arial" w:cs="Arial"/>
          <w:b/>
          <w:bCs/>
          <w:sz w:val="22"/>
          <w:szCs w:val="22"/>
        </w:rPr>
      </w:pPr>
    </w:p>
    <w:p w14:paraId="198045FE" w14:textId="267456D4" w:rsidR="00A73A6B" w:rsidRPr="00A66560" w:rsidRDefault="00A73A6B" w:rsidP="00216EEC">
      <w:pPr>
        <w:spacing w:after="360" w:line="276" w:lineRule="auto"/>
        <w:jc w:val="center"/>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6560">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Association Between Primary Care Access and Emergency Department Utilisation in Deprived Populations in </w:t>
      </w:r>
      <w:r w:rsidR="00D04BDB">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554545">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w:t>
      </w:r>
    </w:p>
    <w:p w14:paraId="21E48FEA" w14:textId="4F67CB0D" w:rsidR="004D5C8D" w:rsidRDefault="00A73A6B" w:rsidP="007A646C">
      <w:pPr>
        <w:spacing w:after="360" w:line="360" w:lineRule="auto"/>
        <w:jc w:val="cente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2047">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Systematic Review</w:t>
      </w:r>
    </w:p>
    <w:p w14:paraId="37AB4C6E" w14:textId="057B95B0" w:rsidR="003327FF" w:rsidRPr="007F2E11" w:rsidRDefault="003327FF" w:rsidP="007A646C">
      <w:pPr>
        <w:spacing w:after="360" w:line="360" w:lineRule="auto"/>
        <w:jc w:val="cente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2E11">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p>
    <w:p w14:paraId="5F5DF280" w14:textId="4E1863D1" w:rsidR="003327FF" w:rsidRPr="00D92047" w:rsidRDefault="007F2E11" w:rsidP="007A646C">
      <w:pPr>
        <w:spacing w:after="360" w:line="360" w:lineRule="auto"/>
        <w:jc w:val="cente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Nevyana Nikolova</w:t>
      </w:r>
    </w:p>
    <w:p w14:paraId="213C37D2" w14:textId="77777777" w:rsidR="004D5C8D" w:rsidRDefault="004D5C8D" w:rsidP="00173BDC">
      <w:pPr>
        <w:spacing w:after="360" w:line="360" w:lineRule="auto"/>
        <w:jc w:val="both"/>
        <w:rPr>
          <w:rFonts w:ascii="Arial" w:hAnsi="Arial" w:cs="Arial"/>
          <w:b/>
          <w:bCs/>
          <w:sz w:val="22"/>
          <w:szCs w:val="22"/>
        </w:rPr>
      </w:pPr>
    </w:p>
    <w:p w14:paraId="013021C8" w14:textId="77777777" w:rsidR="00660614" w:rsidRPr="00660614" w:rsidRDefault="00660614" w:rsidP="00660614">
      <w:pPr>
        <w:spacing w:after="360" w:line="360" w:lineRule="auto"/>
        <w:jc w:val="both"/>
        <w:rPr>
          <w:rFonts w:ascii="Arial" w:hAnsi="Arial" w:cs="Arial"/>
          <w:b/>
          <w:bCs/>
          <w:sz w:val="22"/>
          <w:szCs w:val="22"/>
        </w:rPr>
      </w:pPr>
    </w:p>
    <w:p w14:paraId="2E8CAAEF" w14:textId="2B97AE56" w:rsidR="00660614" w:rsidRPr="00216EEC" w:rsidRDefault="00660614" w:rsidP="00660614">
      <w:pPr>
        <w:spacing w:after="360" w:line="360" w:lineRule="auto"/>
        <w:jc w:val="both"/>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EEC">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Institute of Inner</w:t>
      </w:r>
      <w:r w:rsidR="00C90CC0">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16EEC">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90CC0">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16EEC">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City Learning</w:t>
      </w:r>
    </w:p>
    <w:p w14:paraId="65864BEB" w14:textId="77777777" w:rsidR="00660614" w:rsidRPr="00216EEC" w:rsidRDefault="00660614" w:rsidP="00660614">
      <w:pPr>
        <w:spacing w:after="360" w:line="360" w:lineRule="auto"/>
        <w:jc w:val="both"/>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EEC">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 – London Campus</w:t>
      </w:r>
    </w:p>
    <w:p w14:paraId="1F8832B8" w14:textId="77777777" w:rsidR="004D5C8D" w:rsidRDefault="004D5C8D" w:rsidP="00173BDC">
      <w:pPr>
        <w:spacing w:after="360" w:line="360" w:lineRule="auto"/>
        <w:jc w:val="both"/>
        <w:rPr>
          <w:rFonts w:ascii="Arial" w:hAnsi="Arial" w:cs="Arial"/>
          <w:b/>
          <w:bCs/>
          <w:sz w:val="22"/>
          <w:szCs w:val="22"/>
        </w:rPr>
      </w:pPr>
    </w:p>
    <w:p w14:paraId="4E045442" w14:textId="77777777" w:rsidR="00E31A15" w:rsidRDefault="00E31A15" w:rsidP="00173BDC">
      <w:pPr>
        <w:spacing w:line="360" w:lineRule="auto"/>
        <w:jc w:val="both"/>
        <w:rPr>
          <w:rFonts w:ascii="Arial" w:hAnsi="Arial" w:cs="Arial"/>
          <w:sz w:val="22"/>
          <w:szCs w:val="22"/>
        </w:rPr>
      </w:pPr>
    </w:p>
    <w:p w14:paraId="2194B9DC" w14:textId="7526D24A" w:rsidR="00656D1E" w:rsidRDefault="00656D1E" w:rsidP="00173BDC">
      <w:pPr>
        <w:spacing w:line="360" w:lineRule="auto"/>
        <w:jc w:val="both"/>
        <w:rPr>
          <w:rFonts w:ascii="Arial" w:hAnsi="Arial" w:cs="Arial"/>
          <w:sz w:val="22"/>
          <w:szCs w:val="22"/>
        </w:rPr>
      </w:pPr>
    </w:p>
    <w:p w14:paraId="7724100C" w14:textId="77777777" w:rsidR="00656D1E" w:rsidRDefault="00656D1E" w:rsidP="00173BDC">
      <w:pPr>
        <w:spacing w:line="360" w:lineRule="auto"/>
        <w:jc w:val="both"/>
        <w:rPr>
          <w:rFonts w:ascii="Arial" w:hAnsi="Arial" w:cs="Arial"/>
          <w:sz w:val="22"/>
          <w:szCs w:val="22"/>
        </w:rPr>
      </w:pPr>
    </w:p>
    <w:p w14:paraId="3A44B095" w14:textId="77777777" w:rsidR="00656D1E" w:rsidRDefault="00656D1E" w:rsidP="00173BDC">
      <w:pPr>
        <w:spacing w:line="360" w:lineRule="auto"/>
        <w:jc w:val="both"/>
        <w:rPr>
          <w:rFonts w:ascii="Arial" w:hAnsi="Arial" w:cs="Arial"/>
          <w:sz w:val="22"/>
          <w:szCs w:val="22"/>
        </w:rPr>
      </w:pPr>
    </w:p>
    <w:p w14:paraId="72C54473" w14:textId="77777777" w:rsidR="00656D1E" w:rsidRDefault="00656D1E" w:rsidP="00173BDC">
      <w:pPr>
        <w:spacing w:line="360" w:lineRule="auto"/>
        <w:jc w:val="both"/>
        <w:rPr>
          <w:rFonts w:ascii="Arial" w:hAnsi="Arial" w:cs="Arial"/>
          <w:sz w:val="22"/>
          <w:szCs w:val="22"/>
        </w:rPr>
      </w:pPr>
    </w:p>
    <w:p w14:paraId="6A0CAFB6" w14:textId="77777777" w:rsidR="00656D1E" w:rsidRDefault="00656D1E" w:rsidP="00173BDC">
      <w:pPr>
        <w:spacing w:line="360" w:lineRule="auto"/>
        <w:jc w:val="both"/>
        <w:rPr>
          <w:rFonts w:ascii="Arial" w:hAnsi="Arial" w:cs="Arial"/>
          <w:sz w:val="22"/>
          <w:szCs w:val="22"/>
        </w:rPr>
      </w:pPr>
    </w:p>
    <w:p w14:paraId="20A9859E" w14:textId="77777777" w:rsidR="00656D1E" w:rsidRDefault="00656D1E" w:rsidP="00173BDC">
      <w:pPr>
        <w:spacing w:line="360" w:lineRule="auto"/>
        <w:jc w:val="both"/>
        <w:rPr>
          <w:rFonts w:ascii="Arial" w:hAnsi="Arial" w:cs="Arial"/>
          <w:sz w:val="22"/>
          <w:szCs w:val="22"/>
        </w:rPr>
      </w:pPr>
    </w:p>
    <w:p w14:paraId="65BBC6DD" w14:textId="77777777" w:rsidR="00656D1E" w:rsidRDefault="00656D1E" w:rsidP="00173BDC">
      <w:pPr>
        <w:spacing w:line="360" w:lineRule="auto"/>
        <w:jc w:val="both"/>
        <w:rPr>
          <w:rFonts w:ascii="Arial" w:hAnsi="Arial" w:cs="Arial"/>
          <w:sz w:val="22"/>
          <w:szCs w:val="22"/>
        </w:rPr>
      </w:pPr>
    </w:p>
    <w:p w14:paraId="0B44F360" w14:textId="29DE0E76" w:rsidR="00656D1E" w:rsidRDefault="00656D1E" w:rsidP="00173BDC">
      <w:pPr>
        <w:spacing w:line="360" w:lineRule="auto"/>
        <w:jc w:val="both"/>
        <w:rPr>
          <w:rFonts w:ascii="Arial" w:hAnsi="Arial" w:cs="Arial"/>
          <w:sz w:val="22"/>
          <w:szCs w:val="22"/>
        </w:rPr>
      </w:pPr>
    </w:p>
    <w:p w14:paraId="7E9C8236" w14:textId="77777777" w:rsidR="00656D1E" w:rsidRPr="00656D1E" w:rsidRDefault="00656D1E" w:rsidP="00656D1E">
      <w:pPr>
        <w:spacing w:line="360" w:lineRule="auto"/>
        <w:jc w:val="both"/>
        <w:rPr>
          <w:rFonts w:ascii="Arial" w:hAnsi="Arial" w:cs="Arial"/>
          <w:b/>
          <w:bCs/>
          <w:sz w:val="22"/>
          <w:szCs w:val="22"/>
          <w:lang w:val="hr-HR"/>
        </w:rPr>
      </w:pPr>
      <w:r w:rsidRPr="00656D1E">
        <w:rPr>
          <w:rFonts w:ascii="Arial" w:hAnsi="Arial" w:cs="Arial"/>
          <w:b/>
          <w:bCs/>
          <w:sz w:val="22"/>
          <w:szCs w:val="22"/>
          <w:lang w:val="hr-HR"/>
        </w:rPr>
        <w:t>DECLARATION</w:t>
      </w:r>
    </w:p>
    <w:p w14:paraId="553C5843" w14:textId="7EDAAC64" w:rsidR="00656D1E" w:rsidRPr="00656D1E" w:rsidRDefault="00656D1E" w:rsidP="00656D1E">
      <w:pPr>
        <w:spacing w:line="360" w:lineRule="auto"/>
        <w:jc w:val="both"/>
        <w:rPr>
          <w:rFonts w:ascii="Arial" w:hAnsi="Arial" w:cs="Arial"/>
          <w:sz w:val="22"/>
          <w:szCs w:val="22"/>
          <w:lang w:val="hr-HR"/>
        </w:rPr>
      </w:pPr>
    </w:p>
    <w:p w14:paraId="0712EBEB" w14:textId="687CE2BD" w:rsidR="00656D1E" w:rsidRPr="00656D1E" w:rsidRDefault="00656D1E" w:rsidP="00656D1E">
      <w:pPr>
        <w:spacing w:line="360" w:lineRule="auto"/>
        <w:jc w:val="both"/>
        <w:rPr>
          <w:rFonts w:ascii="Arial" w:hAnsi="Arial" w:cs="Arial"/>
          <w:sz w:val="22"/>
          <w:szCs w:val="22"/>
          <w:lang w:val="hr-HR"/>
        </w:rPr>
      </w:pPr>
      <w:r w:rsidRPr="00656D1E">
        <w:rPr>
          <w:rFonts w:ascii="Arial" w:hAnsi="Arial" w:cs="Arial"/>
          <w:noProof/>
          <w:sz w:val="22"/>
          <w:szCs w:val="22"/>
        </w:rPr>
        <mc:AlternateContent>
          <mc:Choice Requires="wpi">
            <w:drawing>
              <wp:anchor distT="0" distB="0" distL="114300" distR="114300" simplePos="0" relativeHeight="251660306" behindDoc="0" locked="0" layoutInCell="1" allowOverlap="1" wp14:anchorId="240E4345" wp14:editId="72281B4A">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68BEBBD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6030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JMOGKrgAAAADQEAAA8AAABkcnMvZG93bnJldi54&#10;bWxMj8tOwzAQRfdI/IM1SOxS51GiNMSpUBFCYkcDdOvEQxLhRxS7bfh7pquym8fRnTPVdjGanXD2&#10;o7MCklUMDG3n1Gh7AR/NS1QA80FaJbWzKOAXPWzr25tKlsqd7Tue9qFnFGJ9KQUMIUwl574b0Ei/&#10;chNa2n272chA7dxzNcszhRvN0zjOuZGjpQuDnHA3YPezPxoBzfSs1Wu2y9900n669VfRHEwhxP3d&#10;8vQILOASrjBc9EkdanJq3dEqz7SAKEuLlNhL9bAGRkiUFBmNWoLjTQ68rvj/L+o/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">
                <v:imagedata r:id="rId14" o:title=""/>
                <o:lock v:ext="edit" rotation="t" verticies="t" shapetype="t"/>
              </v:shape>
            </w:pict>
          </mc:Fallback>
        </mc:AlternateContent>
      </w:r>
      <w:r w:rsidRPr="00656D1E">
        <w:rPr>
          <w:rFonts w:ascii="Arial" w:hAnsi="Arial" w:cs="Arial"/>
          <w:noProof/>
          <w:sz w:val="22"/>
          <w:szCs w:val="22"/>
        </w:rPr>
        <mc:AlternateContent>
          <mc:Choice Requires="wpi">
            <w:drawing>
              <wp:anchor distT="0" distB="0" distL="114300" distR="114300" simplePos="0" relativeHeight="251661330" behindDoc="0" locked="0" layoutInCell="1" allowOverlap="1" wp14:anchorId="33EA890C" wp14:editId="47984FED">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5">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7E89F555" id="Ink 15" o:spid="_x0000_s1026" type="#_x0000_t75" style="position:absolute;margin-left:-164.1pt;margin-top:18.35pt;width:72.5pt;height:3.2pt;z-index:25166133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">
                <v:imagedata r:id="rId16" o:title=""/>
                <o:lock v:ext="edit" rotation="t" verticies="t" shapetype="t"/>
              </v:shape>
            </w:pict>
          </mc:Fallback>
        </mc:AlternateContent>
      </w:r>
      <w:r w:rsidRPr="00656D1E">
        <w:rPr>
          <w:rFonts w:ascii="Arial" w:hAnsi="Arial" w:cs="Arial"/>
          <w:noProof/>
          <w:sz w:val="22"/>
          <w:szCs w:val="22"/>
        </w:rPr>
        <mc:AlternateContent>
          <mc:Choice Requires="wpi">
            <w:drawing>
              <wp:anchor distT="0" distB="0" distL="114300" distR="114300" simplePos="0" relativeHeight="251662354" behindDoc="0" locked="0" layoutInCell="1" allowOverlap="1" wp14:anchorId="393F0446" wp14:editId="4193CEB7">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7">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65A2A644" id="Ink 14" o:spid="_x0000_s1026" type="#_x0000_t75" style="position:absolute;margin-left:-164.1pt;margin-top:-16.9pt;width:72.5pt;height:72.5pt;z-index:2516623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Ddu59HfAAAADQEAAA8AAABkcnMvZG93bnJldi54&#10;bWxMj0tPwzAQhO9I/AdrkbiljhNUWSFOhYoQEjcaHlcnXpIIP6LYbcO/Z3uC2+7Op9mZerc6y064&#10;xCl4BWKTA0PfBzP5QcFb+5RJYDFpb7QNHhX8YIRdc31V68qEs3/F0yENjEx8rLSCMaW54jz2Izod&#10;N2FGT9pXWJxOtC4DN4s+k7mzvMjzLXd68vRh1DPuR+y/D0enoJ0frXku99sXK7r3cPch208nlbq9&#10;WR/ugSVc0x8Ml/gUHRrK1IWjN5FZBVlZyILYy1RSCUIyIUs6dQQLUQBvav6/RfML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mOvQM7wBAABdBAAAEAAA&#10;AAAAAAAAAAAAAAAnBAAAZHJzL2luay9pbmsxLnhtbFBLAQItABQABgAIAAAAIQA3bufR3wAAAA0B&#10;AAAPAAAAAAAAAAAAAAAAABEGAABkcnMvZG93bnJldi54bWxQSwECLQAUAAYACAAAACEAeRi8nb8A&#10;AAAhAQAAGQAAAAAAAAAAAAAAAAAdBwAAZHJzL19yZWxzL2Uyb0RvYy54bWwucmVsc1BLBQYAAAAA&#10;BgAGAHgBAAATCAAAAAA=&#10;">
                <v:imagedata r:id="rId14" o:title=""/>
                <o:lock v:ext="edit" rotation="t" verticies="t" shapetype="t"/>
              </v:shape>
            </w:pict>
          </mc:Fallback>
        </mc:AlternateContent>
      </w:r>
      <w:r w:rsidRPr="00656D1E">
        <w:rPr>
          <w:rFonts w:ascii="Arial" w:hAnsi="Arial" w:cs="Arial"/>
          <w:noProof/>
          <w:sz w:val="22"/>
          <w:szCs w:val="22"/>
        </w:rPr>
        <mc:AlternateContent>
          <mc:Choice Requires="wpi">
            <w:drawing>
              <wp:anchor distT="0" distB="0" distL="114300" distR="114300" simplePos="0" relativeHeight="251663378" behindDoc="0" locked="0" layoutInCell="1" allowOverlap="1" wp14:anchorId="5E6E21CA" wp14:editId="42131E0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8">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1E6B27AB" id="Ink 11" o:spid="_x0000_s1026" type="#_x0000_t75" style="position:absolute;margin-left:-188.65pt;margin-top:-17.05pt;width:72.5pt;height:72.5pt;z-index:2516633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">
                <v:imagedata r:id="rId14" o:title=""/>
                <o:lock v:ext="edit" rotation="t" verticies="t" shapetype="t"/>
              </v:shape>
            </w:pict>
          </mc:Fallback>
        </mc:AlternateContent>
      </w:r>
      <w:r w:rsidRPr="00656D1E">
        <w:rPr>
          <w:rFonts w:ascii="Arial" w:hAnsi="Arial" w:cs="Arial"/>
          <w:sz w:val="22"/>
          <w:szCs w:val="22"/>
          <w:lang w:val="hr-HR"/>
        </w:rPr>
        <w:t xml:space="preserve">I, </w:t>
      </w:r>
      <w:r w:rsidR="008E0567">
        <w:rPr>
          <w:rFonts w:ascii="Arial" w:hAnsi="Arial" w:cs="Arial"/>
          <w:sz w:val="22"/>
          <w:szCs w:val="22"/>
          <w:lang w:val="hr-HR"/>
        </w:rPr>
        <w:t>Nevy</w:t>
      </w:r>
      <w:r w:rsidR="004C7573">
        <w:rPr>
          <w:rFonts w:ascii="Arial" w:hAnsi="Arial" w:cs="Arial"/>
          <w:sz w:val="22"/>
          <w:szCs w:val="22"/>
          <w:lang w:val="hr-HR"/>
        </w:rPr>
        <w:t>ana Nikolova</w:t>
      </w:r>
      <w:r w:rsidR="008E0567">
        <w:rPr>
          <w:rFonts w:ascii="Arial" w:hAnsi="Arial" w:cs="Arial"/>
          <w:sz w:val="22"/>
          <w:szCs w:val="22"/>
          <w:lang w:val="hr-HR"/>
        </w:rPr>
        <w:t xml:space="preserve"> </w:t>
      </w:r>
      <w:r w:rsidRPr="00656D1E">
        <w:rPr>
          <w:rFonts w:ascii="Arial" w:hAnsi="Arial" w:cs="Arial"/>
          <w:sz w:val="22"/>
          <w:szCs w:val="22"/>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7BF14739" w14:textId="2F2FC3A2" w:rsidR="00656D1E" w:rsidRDefault="00656D1E" w:rsidP="00656D1E">
      <w:pPr>
        <w:spacing w:line="360" w:lineRule="auto"/>
        <w:jc w:val="both"/>
        <w:rPr>
          <w:rFonts w:ascii="Arial" w:hAnsi="Arial" w:cs="Arial"/>
          <w:sz w:val="22"/>
          <w:szCs w:val="22"/>
          <w:lang w:val="hr-HR"/>
        </w:rPr>
      </w:pPr>
    </w:p>
    <w:p w14:paraId="3843CA09" w14:textId="7A75E3A3" w:rsidR="00500A2D" w:rsidRDefault="00500A2D" w:rsidP="00656D1E">
      <w:pPr>
        <w:spacing w:line="360" w:lineRule="auto"/>
        <w:jc w:val="both"/>
        <w:rPr>
          <w:rFonts w:ascii="Arial" w:hAnsi="Arial" w:cs="Arial"/>
          <w:sz w:val="22"/>
          <w:szCs w:val="22"/>
          <w:lang w:val="hr-HR"/>
        </w:rPr>
      </w:pPr>
    </w:p>
    <w:p w14:paraId="0C134328" w14:textId="7ACBA766" w:rsidR="00656D1E" w:rsidRPr="002F1811" w:rsidRDefault="00656D1E" w:rsidP="002F1811">
      <w:pPr>
        <w:spacing w:line="360" w:lineRule="auto"/>
        <w:jc w:val="both"/>
        <w:rPr>
          <w:rFonts w:ascii="Arial" w:hAnsi="Arial" w:cs="Arial"/>
          <w:sz w:val="22"/>
          <w:szCs w:val="22"/>
          <w:lang w:val="hr-HR"/>
        </w:rPr>
      </w:pPr>
      <w:r w:rsidRPr="00656D1E">
        <w:rPr>
          <w:rFonts w:ascii="Arial" w:hAnsi="Arial" w:cs="Arial"/>
          <w:sz w:val="22"/>
          <w:szCs w:val="22"/>
          <w:lang w:val="hr-HR"/>
        </w:rPr>
        <w:t>Signed:</w:t>
      </w:r>
    </w:p>
    <w:p w14:paraId="5A041DB0" w14:textId="5F6D9F20" w:rsidR="00656D1E" w:rsidRPr="00656D1E" w:rsidRDefault="002479FF" w:rsidP="00656D1E">
      <w:pPr>
        <w:spacing w:line="360" w:lineRule="auto"/>
        <w:jc w:val="both"/>
        <w:rPr>
          <w:rFonts w:ascii="Arial" w:hAnsi="Arial" w:cs="Arial"/>
          <w:sz w:val="22"/>
          <w:szCs w:val="22"/>
          <w:lang w:val="hr-HR"/>
        </w:rPr>
      </w:pPr>
      <w:r>
        <w:rPr>
          <w:rFonts w:ascii="Arial" w:hAnsi="Arial" w:cs="Arial"/>
          <w:noProof/>
          <w:sz w:val="22"/>
          <w:szCs w:val="22"/>
        </w:rPr>
        <w:drawing>
          <wp:anchor distT="0" distB="0" distL="114300" distR="114300" simplePos="0" relativeHeight="251664402" behindDoc="0" locked="0" layoutInCell="1" allowOverlap="1" wp14:anchorId="59DFF9FF" wp14:editId="1614C29F">
            <wp:simplePos x="0" y="0"/>
            <wp:positionH relativeFrom="margin">
              <wp:posOffset>-102072</wp:posOffset>
            </wp:positionH>
            <wp:positionV relativeFrom="paragraph">
              <wp:posOffset>168275</wp:posOffset>
            </wp:positionV>
            <wp:extent cx="937260" cy="1405890"/>
            <wp:effectExtent l="0" t="0" r="0" b="3810"/>
            <wp:wrapSquare wrapText="bothSides"/>
            <wp:docPr id="185063215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632158" name="Picture 185063215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937260" cy="1405890"/>
                    </a:xfrm>
                    <a:prstGeom prst="rect">
                      <a:avLst/>
                    </a:prstGeom>
                  </pic:spPr>
                </pic:pic>
              </a:graphicData>
            </a:graphic>
            <wp14:sizeRelH relativeFrom="margin">
              <wp14:pctWidth>0</wp14:pctWidth>
            </wp14:sizeRelH>
            <wp14:sizeRelV relativeFrom="margin">
              <wp14:pctHeight>0</wp14:pctHeight>
            </wp14:sizeRelV>
          </wp:anchor>
        </w:drawing>
      </w:r>
    </w:p>
    <w:p w14:paraId="076B8F9D" w14:textId="5D855729" w:rsidR="00656D1E" w:rsidRPr="005E0B8F" w:rsidRDefault="00656D1E" w:rsidP="00173BDC">
      <w:pPr>
        <w:spacing w:line="360" w:lineRule="auto"/>
        <w:jc w:val="both"/>
        <w:rPr>
          <w:rFonts w:ascii="Arial" w:hAnsi="Arial" w:cs="Arial"/>
          <w:sz w:val="22"/>
          <w:szCs w:val="22"/>
          <w:lang w:val="hr-HR"/>
        </w:rPr>
      </w:pPr>
    </w:p>
    <w:p w14:paraId="4250EA44" w14:textId="7F719BF1" w:rsidR="00656D1E" w:rsidRDefault="00656D1E" w:rsidP="00173BDC">
      <w:pPr>
        <w:spacing w:line="360" w:lineRule="auto"/>
        <w:jc w:val="both"/>
        <w:rPr>
          <w:rFonts w:ascii="Arial" w:hAnsi="Arial" w:cs="Arial"/>
          <w:sz w:val="22"/>
          <w:szCs w:val="22"/>
        </w:rPr>
      </w:pPr>
    </w:p>
    <w:p w14:paraId="41C1C81E" w14:textId="3F4C817F" w:rsidR="00656D1E" w:rsidRDefault="00656D1E" w:rsidP="00173BDC">
      <w:pPr>
        <w:spacing w:line="360" w:lineRule="auto"/>
        <w:jc w:val="both"/>
        <w:rPr>
          <w:rFonts w:ascii="Arial" w:hAnsi="Arial" w:cs="Arial"/>
          <w:sz w:val="22"/>
          <w:szCs w:val="22"/>
        </w:rPr>
      </w:pPr>
    </w:p>
    <w:p w14:paraId="6CECA8FC" w14:textId="419EE7CA" w:rsidR="00656D1E" w:rsidRDefault="00656D1E" w:rsidP="005711F1">
      <w:pPr>
        <w:spacing w:line="360" w:lineRule="auto"/>
        <w:ind w:firstLine="720"/>
        <w:jc w:val="both"/>
        <w:rPr>
          <w:rFonts w:ascii="Arial" w:hAnsi="Arial" w:cs="Arial"/>
          <w:sz w:val="22"/>
          <w:szCs w:val="22"/>
        </w:rPr>
      </w:pPr>
    </w:p>
    <w:p w14:paraId="1A8FA012" w14:textId="622D6D92" w:rsidR="00656D1E" w:rsidRDefault="00656D1E" w:rsidP="00173BDC">
      <w:pPr>
        <w:spacing w:line="360" w:lineRule="auto"/>
        <w:jc w:val="both"/>
        <w:rPr>
          <w:rFonts w:ascii="Arial" w:hAnsi="Arial" w:cs="Arial"/>
          <w:sz w:val="22"/>
          <w:szCs w:val="22"/>
        </w:rPr>
      </w:pPr>
    </w:p>
    <w:p w14:paraId="7D5D713C" w14:textId="41A6F3E9" w:rsidR="00656D1E" w:rsidRDefault="00656D1E" w:rsidP="00173BDC">
      <w:pPr>
        <w:spacing w:line="360" w:lineRule="auto"/>
        <w:jc w:val="both"/>
        <w:rPr>
          <w:rFonts w:ascii="Arial" w:hAnsi="Arial" w:cs="Arial"/>
          <w:sz w:val="22"/>
          <w:szCs w:val="22"/>
        </w:rPr>
      </w:pPr>
    </w:p>
    <w:p w14:paraId="6DFE50E1" w14:textId="35D3805B" w:rsidR="002479FF" w:rsidRPr="002479FF" w:rsidRDefault="002479FF" w:rsidP="002479FF">
      <w:pPr>
        <w:spacing w:line="360" w:lineRule="auto"/>
        <w:jc w:val="both"/>
        <w:rPr>
          <w:rFonts w:ascii="Arial" w:hAnsi="Arial" w:cs="Arial"/>
          <w:sz w:val="22"/>
          <w:szCs w:val="22"/>
          <w:lang w:val="hr-HR"/>
        </w:rPr>
      </w:pPr>
      <w:r w:rsidRPr="002479FF">
        <w:rPr>
          <w:rFonts w:ascii="Arial" w:hAnsi="Arial" w:cs="Arial"/>
          <w:sz w:val="22"/>
          <w:szCs w:val="22"/>
          <w:lang w:val="hr-HR"/>
        </w:rPr>
        <w:t>Date: 2</w:t>
      </w:r>
      <w:r w:rsidR="001051C9">
        <w:rPr>
          <w:rFonts w:ascii="Arial" w:hAnsi="Arial" w:cs="Arial"/>
          <w:sz w:val="22"/>
          <w:szCs w:val="22"/>
          <w:lang w:val="hr-HR"/>
        </w:rPr>
        <w:t>1</w:t>
      </w:r>
      <w:r w:rsidRPr="002479FF">
        <w:rPr>
          <w:rFonts w:ascii="Arial" w:hAnsi="Arial" w:cs="Arial"/>
          <w:sz w:val="22"/>
          <w:szCs w:val="22"/>
          <w:lang w:val="hr-HR"/>
        </w:rPr>
        <w:t xml:space="preserve"> / 09 / 2026</w:t>
      </w:r>
    </w:p>
    <w:p w14:paraId="1E415CE2" w14:textId="40767EF3" w:rsidR="00656D1E" w:rsidRDefault="00656D1E" w:rsidP="00173BDC">
      <w:pPr>
        <w:spacing w:line="360" w:lineRule="auto"/>
        <w:jc w:val="both"/>
        <w:rPr>
          <w:rFonts w:ascii="Arial" w:hAnsi="Arial" w:cs="Arial"/>
          <w:sz w:val="22"/>
          <w:szCs w:val="22"/>
        </w:rPr>
      </w:pPr>
    </w:p>
    <w:p w14:paraId="0A696D19" w14:textId="6CAA7A96" w:rsidR="00656D1E" w:rsidRDefault="00656D1E" w:rsidP="00173BDC">
      <w:pPr>
        <w:spacing w:line="360" w:lineRule="auto"/>
        <w:jc w:val="both"/>
        <w:rPr>
          <w:rFonts w:ascii="Arial" w:hAnsi="Arial" w:cs="Arial"/>
          <w:sz w:val="22"/>
          <w:szCs w:val="22"/>
        </w:rPr>
      </w:pPr>
    </w:p>
    <w:p w14:paraId="35728831" w14:textId="77777777" w:rsidR="00656D1E" w:rsidRDefault="00656D1E" w:rsidP="00173BDC">
      <w:pPr>
        <w:spacing w:line="360" w:lineRule="auto"/>
        <w:jc w:val="both"/>
        <w:rPr>
          <w:rFonts w:ascii="Arial" w:hAnsi="Arial" w:cs="Arial"/>
          <w:sz w:val="22"/>
          <w:szCs w:val="22"/>
        </w:rPr>
      </w:pPr>
    </w:p>
    <w:p w14:paraId="6DB9FE63" w14:textId="3102F52D" w:rsidR="00656D1E" w:rsidRDefault="00656D1E" w:rsidP="00173BDC">
      <w:pPr>
        <w:spacing w:line="360" w:lineRule="auto"/>
        <w:jc w:val="both"/>
        <w:rPr>
          <w:rFonts w:ascii="Arial" w:hAnsi="Arial" w:cs="Arial"/>
          <w:sz w:val="22"/>
          <w:szCs w:val="22"/>
        </w:rPr>
      </w:pPr>
    </w:p>
    <w:p w14:paraId="0C355565" w14:textId="77777777" w:rsidR="00656D1E" w:rsidRDefault="00656D1E" w:rsidP="00173BDC">
      <w:pPr>
        <w:spacing w:line="360" w:lineRule="auto"/>
        <w:jc w:val="both"/>
        <w:rPr>
          <w:rFonts w:ascii="Arial" w:hAnsi="Arial" w:cs="Arial"/>
          <w:sz w:val="22"/>
          <w:szCs w:val="22"/>
        </w:rPr>
      </w:pPr>
    </w:p>
    <w:p w14:paraId="7527AEB7" w14:textId="081B057F" w:rsidR="00656D1E" w:rsidRDefault="00656D1E" w:rsidP="00173BDC">
      <w:pPr>
        <w:spacing w:line="360" w:lineRule="auto"/>
        <w:jc w:val="both"/>
        <w:rPr>
          <w:rFonts w:ascii="Arial" w:hAnsi="Arial" w:cs="Arial"/>
          <w:sz w:val="22"/>
          <w:szCs w:val="22"/>
        </w:rPr>
      </w:pPr>
    </w:p>
    <w:p w14:paraId="105F7DA3" w14:textId="343DEF0A" w:rsidR="00656D1E" w:rsidRDefault="00656D1E" w:rsidP="00173BDC">
      <w:pPr>
        <w:spacing w:line="360" w:lineRule="auto"/>
        <w:jc w:val="both"/>
        <w:rPr>
          <w:rFonts w:ascii="Arial" w:hAnsi="Arial" w:cs="Arial"/>
          <w:sz w:val="22"/>
          <w:szCs w:val="22"/>
        </w:rPr>
      </w:pPr>
    </w:p>
    <w:p w14:paraId="6EA14985" w14:textId="4ED94D0B" w:rsidR="00656D1E" w:rsidRDefault="00656D1E" w:rsidP="00173BDC">
      <w:pPr>
        <w:spacing w:line="360" w:lineRule="auto"/>
        <w:jc w:val="both"/>
        <w:rPr>
          <w:rFonts w:ascii="Arial" w:hAnsi="Arial" w:cs="Arial"/>
          <w:sz w:val="22"/>
          <w:szCs w:val="22"/>
        </w:rPr>
      </w:pPr>
    </w:p>
    <w:p w14:paraId="6CD7B7B8" w14:textId="77777777" w:rsidR="00AB7D65" w:rsidRPr="00AB7D65" w:rsidRDefault="00AB7D65" w:rsidP="00AB7D65">
      <w:pPr>
        <w:spacing w:line="360" w:lineRule="auto"/>
        <w:jc w:val="both"/>
        <w:rPr>
          <w:rFonts w:ascii="Arial" w:hAnsi="Arial" w:cs="Arial"/>
          <w:sz w:val="22"/>
          <w:szCs w:val="22"/>
        </w:rPr>
      </w:pPr>
    </w:p>
    <w:p w14:paraId="7B8C9B77" w14:textId="77777777" w:rsidR="004E696A" w:rsidRDefault="004E696A" w:rsidP="00AB7D65">
      <w:pPr>
        <w:spacing w:line="360" w:lineRule="auto"/>
        <w:jc w:val="both"/>
        <w:rPr>
          <w:rFonts w:ascii="Arial" w:hAnsi="Arial" w:cs="Arial"/>
          <w:b/>
          <w:bCs/>
          <w:sz w:val="28"/>
          <w:szCs w:val="28"/>
        </w:rPr>
      </w:pPr>
    </w:p>
    <w:p w14:paraId="7CFA511F" w14:textId="77777777" w:rsidR="004E696A" w:rsidRDefault="004E696A" w:rsidP="00AB7D65">
      <w:pPr>
        <w:spacing w:line="360" w:lineRule="auto"/>
        <w:jc w:val="both"/>
        <w:rPr>
          <w:rFonts w:ascii="Arial" w:hAnsi="Arial" w:cs="Arial"/>
          <w:b/>
          <w:bCs/>
          <w:sz w:val="28"/>
          <w:szCs w:val="28"/>
        </w:rPr>
      </w:pPr>
    </w:p>
    <w:p w14:paraId="6A932576" w14:textId="77777777" w:rsidR="004E696A" w:rsidRDefault="004E696A" w:rsidP="00AB7D65">
      <w:pPr>
        <w:spacing w:line="360" w:lineRule="auto"/>
        <w:jc w:val="both"/>
        <w:rPr>
          <w:rFonts w:ascii="Arial" w:hAnsi="Arial" w:cs="Arial"/>
          <w:b/>
          <w:bCs/>
          <w:sz w:val="28"/>
          <w:szCs w:val="28"/>
        </w:rPr>
      </w:pPr>
    </w:p>
    <w:p w14:paraId="6E6CBFAF" w14:textId="77777777" w:rsidR="004E696A" w:rsidRDefault="004E696A" w:rsidP="00AB7D65">
      <w:pPr>
        <w:spacing w:line="360" w:lineRule="auto"/>
        <w:jc w:val="both"/>
        <w:rPr>
          <w:rFonts w:ascii="Arial" w:hAnsi="Arial" w:cs="Arial"/>
          <w:b/>
          <w:bCs/>
          <w:sz w:val="28"/>
          <w:szCs w:val="28"/>
        </w:rPr>
      </w:pPr>
    </w:p>
    <w:p w14:paraId="43D5E30C" w14:textId="77777777" w:rsidR="004E696A" w:rsidRDefault="004E696A" w:rsidP="00AB7D65">
      <w:pPr>
        <w:spacing w:line="360" w:lineRule="auto"/>
        <w:jc w:val="both"/>
        <w:rPr>
          <w:rFonts w:ascii="Arial" w:hAnsi="Arial" w:cs="Arial"/>
          <w:b/>
          <w:bCs/>
          <w:sz w:val="28"/>
          <w:szCs w:val="28"/>
        </w:rPr>
      </w:pPr>
    </w:p>
    <w:p w14:paraId="7720F0B8" w14:textId="77777777" w:rsidR="004E696A" w:rsidRDefault="004E696A" w:rsidP="00AB7D65">
      <w:pPr>
        <w:spacing w:line="360" w:lineRule="auto"/>
        <w:jc w:val="both"/>
        <w:rPr>
          <w:rFonts w:ascii="Arial" w:hAnsi="Arial" w:cs="Arial"/>
          <w:b/>
          <w:bCs/>
          <w:sz w:val="28"/>
          <w:szCs w:val="28"/>
        </w:rPr>
      </w:pPr>
    </w:p>
    <w:p w14:paraId="2AAFF446" w14:textId="0F381F99" w:rsidR="00AB7D65" w:rsidRPr="00E35287" w:rsidRDefault="00AB7D65" w:rsidP="00AB7D65">
      <w:pPr>
        <w:spacing w:line="360" w:lineRule="auto"/>
        <w:jc w:val="both"/>
        <w:rPr>
          <w:rFonts w:ascii="Arial" w:hAnsi="Arial" w:cs="Arial"/>
          <w:b/>
          <w:bCs/>
          <w:sz w:val="28"/>
          <w:szCs w:val="28"/>
        </w:rPr>
      </w:pPr>
      <w:r w:rsidRPr="00E35287">
        <w:rPr>
          <w:rFonts w:ascii="Arial" w:hAnsi="Arial" w:cs="Arial"/>
          <w:b/>
          <w:bCs/>
          <w:sz w:val="28"/>
          <w:szCs w:val="28"/>
        </w:rPr>
        <w:t>Acknowledgements</w:t>
      </w:r>
    </w:p>
    <w:p w14:paraId="5CC705C7" w14:textId="16384E91" w:rsidR="00AB7D65" w:rsidRPr="00AB7D65" w:rsidRDefault="00AB7D65" w:rsidP="00AB7D65">
      <w:pPr>
        <w:spacing w:line="360" w:lineRule="auto"/>
        <w:jc w:val="both"/>
        <w:rPr>
          <w:rFonts w:ascii="Arial" w:hAnsi="Arial" w:cs="Arial"/>
          <w:sz w:val="22"/>
          <w:szCs w:val="22"/>
        </w:rPr>
      </w:pPr>
      <w:r w:rsidRPr="00AB7D65">
        <w:rPr>
          <w:rFonts w:ascii="Arial" w:hAnsi="Arial" w:cs="Arial"/>
          <w:sz w:val="22"/>
          <w:szCs w:val="22"/>
        </w:rPr>
        <w:t xml:space="preserve">I would like to </w:t>
      </w:r>
      <w:r w:rsidR="00D57BE0" w:rsidRPr="00AB7D65">
        <w:rPr>
          <w:rFonts w:ascii="Arial" w:hAnsi="Arial" w:cs="Arial"/>
          <w:sz w:val="22"/>
          <w:szCs w:val="22"/>
        </w:rPr>
        <w:t>thank</w:t>
      </w:r>
      <w:r w:rsidRPr="00AB7D65">
        <w:rPr>
          <w:rFonts w:ascii="Arial" w:hAnsi="Arial" w:cs="Arial"/>
          <w:sz w:val="22"/>
          <w:szCs w:val="22"/>
        </w:rPr>
        <w:t xml:space="preserve"> my supervisor, Dr Oluwadamilola Tayo and the program manager, Dr Diola, for their guidance, </w:t>
      </w:r>
      <w:r w:rsidR="00FB4BF9" w:rsidRPr="00AB7D65">
        <w:rPr>
          <w:rFonts w:ascii="Arial" w:hAnsi="Arial" w:cs="Arial"/>
          <w:sz w:val="22"/>
          <w:szCs w:val="22"/>
        </w:rPr>
        <w:t>support,</w:t>
      </w:r>
      <w:r w:rsidRPr="00AB7D65">
        <w:rPr>
          <w:rFonts w:ascii="Arial" w:hAnsi="Arial" w:cs="Arial"/>
          <w:sz w:val="22"/>
          <w:szCs w:val="22"/>
        </w:rPr>
        <w:t xml:space="preserve"> and encouragement throughout this dissertation. I am </w:t>
      </w:r>
      <w:r w:rsidR="002E6272" w:rsidRPr="00AB7D65">
        <w:rPr>
          <w:rFonts w:ascii="Arial" w:hAnsi="Arial" w:cs="Arial"/>
          <w:sz w:val="22"/>
          <w:szCs w:val="22"/>
        </w:rPr>
        <w:t>incredibly grateful</w:t>
      </w:r>
      <w:r w:rsidRPr="00AB7D65">
        <w:rPr>
          <w:rFonts w:ascii="Arial" w:hAnsi="Arial" w:cs="Arial"/>
          <w:sz w:val="22"/>
          <w:szCs w:val="22"/>
        </w:rPr>
        <w:t xml:space="preserve"> for the feedback and advice they gave me during the research and writing process.</w:t>
      </w:r>
    </w:p>
    <w:p w14:paraId="3E183C7A" w14:textId="21D7F281" w:rsidR="00656D1E" w:rsidRDefault="00AB7D65" w:rsidP="00AB7D65">
      <w:pPr>
        <w:spacing w:line="360" w:lineRule="auto"/>
        <w:jc w:val="both"/>
        <w:rPr>
          <w:rFonts w:ascii="Arial" w:hAnsi="Arial" w:cs="Arial"/>
          <w:sz w:val="22"/>
          <w:szCs w:val="22"/>
        </w:rPr>
      </w:pPr>
      <w:r w:rsidRPr="00AB7D65">
        <w:rPr>
          <w:rFonts w:ascii="Arial" w:hAnsi="Arial" w:cs="Arial"/>
          <w:sz w:val="22"/>
          <w:szCs w:val="22"/>
        </w:rPr>
        <w:t xml:space="preserve">I would like to thank my family and friends for their patience, </w:t>
      </w:r>
      <w:r w:rsidR="00FB4BF9" w:rsidRPr="00AB7D65">
        <w:rPr>
          <w:rFonts w:ascii="Arial" w:hAnsi="Arial" w:cs="Arial"/>
          <w:sz w:val="22"/>
          <w:szCs w:val="22"/>
        </w:rPr>
        <w:t>encouragement,</w:t>
      </w:r>
      <w:r w:rsidRPr="00AB7D65">
        <w:rPr>
          <w:rFonts w:ascii="Arial" w:hAnsi="Arial" w:cs="Arial"/>
          <w:sz w:val="22"/>
          <w:szCs w:val="22"/>
        </w:rPr>
        <w:t xml:space="preserve"> and support throughout my Master’s journey. Your belief in me helped me keep going, especially when things were difficult.</w:t>
      </w:r>
    </w:p>
    <w:p w14:paraId="2A8AAB80" w14:textId="77777777" w:rsidR="00E35287" w:rsidRDefault="00E35287" w:rsidP="00AB7D65">
      <w:pPr>
        <w:spacing w:line="360" w:lineRule="auto"/>
        <w:jc w:val="both"/>
        <w:rPr>
          <w:rFonts w:ascii="Arial" w:hAnsi="Arial" w:cs="Arial"/>
          <w:sz w:val="22"/>
          <w:szCs w:val="22"/>
        </w:rPr>
      </w:pPr>
    </w:p>
    <w:p w14:paraId="11AD560F" w14:textId="77777777" w:rsidR="00E35287" w:rsidRDefault="00E35287" w:rsidP="00AB7D65">
      <w:pPr>
        <w:spacing w:line="360" w:lineRule="auto"/>
        <w:jc w:val="both"/>
        <w:rPr>
          <w:rFonts w:ascii="Arial" w:hAnsi="Arial" w:cs="Arial"/>
          <w:sz w:val="22"/>
          <w:szCs w:val="22"/>
        </w:rPr>
      </w:pPr>
    </w:p>
    <w:p w14:paraId="71BEA8B0" w14:textId="77777777" w:rsidR="00AB7D65" w:rsidRDefault="00AB7D65" w:rsidP="00173BDC">
      <w:pPr>
        <w:spacing w:line="360" w:lineRule="auto"/>
        <w:jc w:val="both"/>
        <w:rPr>
          <w:rFonts w:ascii="Arial" w:hAnsi="Arial" w:cs="Arial"/>
          <w:sz w:val="22"/>
          <w:szCs w:val="22"/>
        </w:rPr>
      </w:pPr>
    </w:p>
    <w:p w14:paraId="32A5BE12" w14:textId="77777777" w:rsidR="004E696A" w:rsidRDefault="004E696A" w:rsidP="00173BDC">
      <w:pPr>
        <w:spacing w:line="360" w:lineRule="auto"/>
        <w:jc w:val="both"/>
        <w:rPr>
          <w:rFonts w:ascii="Arial" w:hAnsi="Arial" w:cs="Arial"/>
          <w:sz w:val="22"/>
          <w:szCs w:val="22"/>
        </w:rPr>
      </w:pPr>
    </w:p>
    <w:p w14:paraId="3AC5B756" w14:textId="77777777" w:rsidR="004E696A" w:rsidRDefault="004E696A" w:rsidP="00173BDC">
      <w:pPr>
        <w:spacing w:line="360" w:lineRule="auto"/>
        <w:jc w:val="both"/>
        <w:rPr>
          <w:rFonts w:ascii="Arial" w:hAnsi="Arial" w:cs="Arial"/>
          <w:sz w:val="22"/>
          <w:szCs w:val="22"/>
        </w:rPr>
      </w:pPr>
    </w:p>
    <w:p w14:paraId="69626B3C" w14:textId="77777777" w:rsidR="004E696A" w:rsidRDefault="004E696A" w:rsidP="00173BDC">
      <w:pPr>
        <w:spacing w:line="360" w:lineRule="auto"/>
        <w:jc w:val="both"/>
        <w:rPr>
          <w:rFonts w:ascii="Arial" w:hAnsi="Arial" w:cs="Arial"/>
          <w:sz w:val="22"/>
          <w:szCs w:val="22"/>
        </w:rPr>
      </w:pPr>
    </w:p>
    <w:p w14:paraId="6D5D1036" w14:textId="77777777" w:rsidR="004E696A" w:rsidRDefault="004E696A" w:rsidP="00173BDC">
      <w:pPr>
        <w:spacing w:line="360" w:lineRule="auto"/>
        <w:jc w:val="both"/>
        <w:rPr>
          <w:rFonts w:ascii="Arial" w:hAnsi="Arial" w:cs="Arial"/>
          <w:sz w:val="22"/>
          <w:szCs w:val="22"/>
        </w:rPr>
      </w:pPr>
    </w:p>
    <w:p w14:paraId="1307D8BC" w14:textId="77777777" w:rsidR="004E696A" w:rsidRDefault="004E696A" w:rsidP="00173BDC">
      <w:pPr>
        <w:spacing w:line="360" w:lineRule="auto"/>
        <w:jc w:val="both"/>
        <w:rPr>
          <w:rFonts w:ascii="Arial" w:hAnsi="Arial" w:cs="Arial"/>
          <w:sz w:val="22"/>
          <w:szCs w:val="22"/>
        </w:rPr>
      </w:pPr>
    </w:p>
    <w:p w14:paraId="6CB2C4A0" w14:textId="77777777" w:rsidR="004E696A" w:rsidRDefault="004E696A" w:rsidP="00173BDC">
      <w:pPr>
        <w:spacing w:line="360" w:lineRule="auto"/>
        <w:jc w:val="both"/>
        <w:rPr>
          <w:rFonts w:ascii="Arial" w:hAnsi="Arial" w:cs="Arial"/>
          <w:sz w:val="22"/>
          <w:szCs w:val="22"/>
        </w:rPr>
      </w:pPr>
    </w:p>
    <w:p w14:paraId="03947F9D" w14:textId="77777777" w:rsidR="004E696A" w:rsidRDefault="004E696A" w:rsidP="00173BDC">
      <w:pPr>
        <w:spacing w:line="360" w:lineRule="auto"/>
        <w:jc w:val="both"/>
        <w:rPr>
          <w:rFonts w:ascii="Arial" w:hAnsi="Arial" w:cs="Arial"/>
          <w:sz w:val="22"/>
          <w:szCs w:val="22"/>
        </w:rPr>
      </w:pPr>
    </w:p>
    <w:p w14:paraId="0B3A5104" w14:textId="77777777" w:rsidR="004E696A" w:rsidRDefault="004E696A" w:rsidP="00173BDC">
      <w:pPr>
        <w:spacing w:line="360" w:lineRule="auto"/>
        <w:jc w:val="both"/>
        <w:rPr>
          <w:rFonts w:ascii="Arial" w:hAnsi="Arial" w:cs="Arial"/>
          <w:sz w:val="22"/>
          <w:szCs w:val="22"/>
        </w:rPr>
      </w:pPr>
    </w:p>
    <w:p w14:paraId="33D888AC" w14:textId="77777777" w:rsidR="004E696A" w:rsidRDefault="004E696A" w:rsidP="00173BDC">
      <w:pPr>
        <w:spacing w:line="360" w:lineRule="auto"/>
        <w:jc w:val="both"/>
        <w:rPr>
          <w:rFonts w:ascii="Arial" w:hAnsi="Arial" w:cs="Arial"/>
          <w:sz w:val="22"/>
          <w:szCs w:val="22"/>
        </w:rPr>
      </w:pPr>
    </w:p>
    <w:p w14:paraId="3AA5C859" w14:textId="77777777" w:rsidR="004E696A" w:rsidRDefault="004E696A" w:rsidP="00173BDC">
      <w:pPr>
        <w:spacing w:line="360" w:lineRule="auto"/>
        <w:jc w:val="both"/>
        <w:rPr>
          <w:rFonts w:ascii="Arial" w:hAnsi="Arial" w:cs="Arial"/>
          <w:sz w:val="22"/>
          <w:szCs w:val="22"/>
        </w:rPr>
      </w:pPr>
    </w:p>
    <w:p w14:paraId="7BBD4D5D" w14:textId="77777777" w:rsidR="004E696A" w:rsidRDefault="004E696A" w:rsidP="00173BDC">
      <w:pPr>
        <w:spacing w:line="360" w:lineRule="auto"/>
        <w:jc w:val="both"/>
        <w:rPr>
          <w:rFonts w:ascii="Arial" w:hAnsi="Arial" w:cs="Arial"/>
          <w:sz w:val="22"/>
          <w:szCs w:val="22"/>
        </w:rPr>
      </w:pPr>
    </w:p>
    <w:p w14:paraId="51A4F000" w14:textId="77777777" w:rsidR="004E696A" w:rsidRDefault="004E696A" w:rsidP="00173BDC">
      <w:pPr>
        <w:spacing w:line="360" w:lineRule="auto"/>
        <w:jc w:val="both"/>
        <w:rPr>
          <w:rFonts w:ascii="Arial" w:hAnsi="Arial" w:cs="Arial"/>
          <w:sz w:val="22"/>
          <w:szCs w:val="22"/>
        </w:rPr>
      </w:pPr>
    </w:p>
    <w:p w14:paraId="45D57941" w14:textId="77777777" w:rsidR="004E696A" w:rsidRDefault="004E696A" w:rsidP="00173BDC">
      <w:pPr>
        <w:spacing w:line="360" w:lineRule="auto"/>
        <w:jc w:val="both"/>
        <w:rPr>
          <w:rFonts w:ascii="Arial" w:hAnsi="Arial" w:cs="Arial"/>
          <w:sz w:val="22"/>
          <w:szCs w:val="22"/>
        </w:rPr>
      </w:pPr>
    </w:p>
    <w:p w14:paraId="00E50461" w14:textId="77777777" w:rsidR="004E696A" w:rsidRDefault="004E696A" w:rsidP="00173BDC">
      <w:pPr>
        <w:spacing w:line="360" w:lineRule="auto"/>
        <w:jc w:val="both"/>
        <w:rPr>
          <w:rFonts w:ascii="Arial" w:hAnsi="Arial" w:cs="Arial"/>
          <w:sz w:val="22"/>
          <w:szCs w:val="22"/>
        </w:rPr>
      </w:pPr>
    </w:p>
    <w:p w14:paraId="431DC9A1" w14:textId="77777777" w:rsidR="004E696A" w:rsidRDefault="004E696A" w:rsidP="00173BDC">
      <w:pPr>
        <w:spacing w:line="360" w:lineRule="auto"/>
        <w:jc w:val="both"/>
        <w:rPr>
          <w:rFonts w:ascii="Arial" w:hAnsi="Arial" w:cs="Arial"/>
          <w:sz w:val="22"/>
          <w:szCs w:val="22"/>
        </w:rPr>
      </w:pPr>
    </w:p>
    <w:p w14:paraId="44D1AB12" w14:textId="77777777" w:rsidR="00C51C2D" w:rsidRDefault="00C51C2D" w:rsidP="003100A8">
      <w:pPr>
        <w:spacing w:line="360" w:lineRule="auto"/>
        <w:jc w:val="both"/>
        <w:rPr>
          <w:rFonts w:ascii="Arial" w:hAnsi="Arial" w:cs="Arial"/>
          <w:sz w:val="22"/>
          <w:szCs w:val="22"/>
        </w:rPr>
      </w:pPr>
    </w:p>
    <w:p w14:paraId="2A025BE8" w14:textId="77777777" w:rsidR="00C51C2D" w:rsidRDefault="00C51C2D" w:rsidP="003100A8">
      <w:pPr>
        <w:spacing w:line="360" w:lineRule="auto"/>
        <w:jc w:val="both"/>
        <w:rPr>
          <w:rFonts w:ascii="Arial" w:hAnsi="Arial" w:cs="Arial"/>
          <w:sz w:val="22"/>
          <w:szCs w:val="22"/>
        </w:rPr>
      </w:pPr>
    </w:p>
    <w:p w14:paraId="4EF0C57D" w14:textId="77777777" w:rsidR="00C51C2D" w:rsidRDefault="00C51C2D" w:rsidP="003100A8">
      <w:pPr>
        <w:spacing w:line="360" w:lineRule="auto"/>
        <w:jc w:val="both"/>
        <w:rPr>
          <w:rFonts w:ascii="Arial" w:hAnsi="Arial" w:cs="Arial"/>
          <w:b/>
          <w:bCs/>
          <w:sz w:val="28"/>
          <w:szCs w:val="28"/>
        </w:rPr>
      </w:pPr>
    </w:p>
    <w:p w14:paraId="604869F8" w14:textId="77777777" w:rsidR="00C51C2D" w:rsidRDefault="00C51C2D" w:rsidP="003100A8">
      <w:pPr>
        <w:spacing w:line="360" w:lineRule="auto"/>
        <w:jc w:val="both"/>
        <w:rPr>
          <w:rFonts w:ascii="Arial" w:hAnsi="Arial" w:cs="Arial"/>
          <w:b/>
          <w:bCs/>
          <w:sz w:val="28"/>
          <w:szCs w:val="28"/>
        </w:rPr>
      </w:pPr>
    </w:p>
    <w:p w14:paraId="53490FA7" w14:textId="77777777" w:rsidR="00C51C2D" w:rsidRDefault="00C51C2D" w:rsidP="003100A8">
      <w:pPr>
        <w:spacing w:line="360" w:lineRule="auto"/>
        <w:jc w:val="both"/>
        <w:rPr>
          <w:rFonts w:ascii="Arial" w:hAnsi="Arial" w:cs="Arial"/>
          <w:b/>
          <w:bCs/>
          <w:sz w:val="28"/>
          <w:szCs w:val="28"/>
        </w:rPr>
      </w:pPr>
    </w:p>
    <w:p w14:paraId="6C725414" w14:textId="55164B06" w:rsidR="003100A8" w:rsidRPr="00E35287" w:rsidRDefault="003100A8" w:rsidP="003100A8">
      <w:pPr>
        <w:spacing w:line="360" w:lineRule="auto"/>
        <w:jc w:val="both"/>
        <w:rPr>
          <w:rFonts w:ascii="Arial" w:hAnsi="Arial" w:cs="Arial"/>
          <w:b/>
          <w:bCs/>
          <w:sz w:val="28"/>
          <w:szCs w:val="28"/>
        </w:rPr>
      </w:pPr>
      <w:r w:rsidRPr="00E35287">
        <w:rPr>
          <w:rFonts w:ascii="Arial" w:hAnsi="Arial" w:cs="Arial"/>
          <w:b/>
          <w:bCs/>
          <w:sz w:val="28"/>
          <w:szCs w:val="28"/>
        </w:rPr>
        <w:t>Abstract</w:t>
      </w:r>
    </w:p>
    <w:p w14:paraId="3A4B73F6" w14:textId="7910638C" w:rsidR="00AB7D65" w:rsidRDefault="003100A8" w:rsidP="003100A8">
      <w:pPr>
        <w:spacing w:line="360" w:lineRule="auto"/>
        <w:jc w:val="both"/>
        <w:rPr>
          <w:rFonts w:ascii="Arial" w:hAnsi="Arial" w:cs="Arial"/>
          <w:sz w:val="22"/>
          <w:szCs w:val="22"/>
        </w:rPr>
      </w:pPr>
      <w:r w:rsidRPr="003100A8">
        <w:rPr>
          <w:rFonts w:ascii="Arial" w:hAnsi="Arial" w:cs="Arial"/>
          <w:sz w:val="22"/>
          <w:szCs w:val="22"/>
        </w:rPr>
        <w:t>Socioeconomically deprived populations in the UK carry the highest burden of ill-health and face the greatest barriers to primary care access. Yet the mechanisms linking access failure to elevated emergency department (ED) utilisation remain insufficiently understood. This dissertation addressed the question: What is the association between access to primary care services and ED utilisation among socioeconomically deprived populations in the UK? A qualitative systematic review was conducted in accordance with PRISMA 2020 guidelines. Fourteen peer-reviewed studies published between 2016 and 2026 were systematically identified, appraised, and synthesised using reflexive thematic analysis. Four themes were generated: structural exclusion from primary care through digital, organisational, and geographic mechanisms; ED attendance as a rational response to access failure; the persistent failure of policy interventions to reach the most deprived populations; and the compounding effect of intersecting disadvantages including multimorbidity, social isolation, and digital exclusion. The findings confirm that the inverse care law remains operative in the contemporary NHS, now reproduced through technological as well as geographic means. The association between poor primary care access and elevated ED utilisation in deprived communities is structural and self-reinforcing, not a patient behaviour problem. These findings aim to inform policies intended to improve equitable access to primary care, reduce avoidable pressure on emergency services, and address health inequalities.</w:t>
      </w:r>
    </w:p>
    <w:p w14:paraId="244A1F3A" w14:textId="77777777" w:rsidR="00AB7D65" w:rsidRDefault="00AB7D65" w:rsidP="00173BDC">
      <w:pPr>
        <w:spacing w:line="360" w:lineRule="auto"/>
        <w:jc w:val="both"/>
        <w:rPr>
          <w:rFonts w:ascii="Arial" w:hAnsi="Arial" w:cs="Arial"/>
          <w:sz w:val="22"/>
          <w:szCs w:val="22"/>
        </w:rPr>
      </w:pPr>
    </w:p>
    <w:p w14:paraId="7C3279B6" w14:textId="77777777" w:rsidR="00AB7D65" w:rsidRDefault="00AB7D65" w:rsidP="00173BDC">
      <w:pPr>
        <w:spacing w:line="360" w:lineRule="auto"/>
        <w:jc w:val="both"/>
        <w:rPr>
          <w:rFonts w:ascii="Arial" w:hAnsi="Arial" w:cs="Arial"/>
          <w:sz w:val="22"/>
          <w:szCs w:val="22"/>
        </w:rPr>
      </w:pPr>
    </w:p>
    <w:p w14:paraId="7F03A254" w14:textId="77777777" w:rsidR="00AB7D65" w:rsidRDefault="00AB7D65" w:rsidP="00173BDC">
      <w:pPr>
        <w:spacing w:line="360" w:lineRule="auto"/>
        <w:jc w:val="both"/>
        <w:rPr>
          <w:rFonts w:ascii="Arial" w:hAnsi="Arial" w:cs="Arial"/>
          <w:sz w:val="22"/>
          <w:szCs w:val="22"/>
        </w:rPr>
      </w:pPr>
    </w:p>
    <w:p w14:paraId="365306FA" w14:textId="77777777" w:rsidR="00EE7DB4" w:rsidRDefault="00EE7DB4" w:rsidP="00173BDC">
      <w:pPr>
        <w:spacing w:line="360" w:lineRule="auto"/>
        <w:jc w:val="both"/>
        <w:rPr>
          <w:rFonts w:ascii="Arial" w:hAnsi="Arial" w:cs="Arial"/>
          <w:sz w:val="22"/>
          <w:szCs w:val="22"/>
        </w:rPr>
      </w:pPr>
    </w:p>
    <w:p w14:paraId="60191481" w14:textId="77777777" w:rsidR="00EE7DB4" w:rsidRDefault="00EE7DB4" w:rsidP="00173BDC">
      <w:pPr>
        <w:spacing w:line="360" w:lineRule="auto"/>
        <w:jc w:val="both"/>
        <w:rPr>
          <w:rFonts w:ascii="Arial" w:hAnsi="Arial" w:cs="Arial"/>
          <w:sz w:val="22"/>
          <w:szCs w:val="22"/>
        </w:rPr>
      </w:pPr>
    </w:p>
    <w:p w14:paraId="24E6DE1A" w14:textId="77777777" w:rsidR="00EE7DB4" w:rsidRDefault="00EE7DB4" w:rsidP="00173BDC">
      <w:pPr>
        <w:spacing w:line="360" w:lineRule="auto"/>
        <w:jc w:val="both"/>
        <w:rPr>
          <w:rFonts w:ascii="Arial" w:hAnsi="Arial" w:cs="Arial"/>
          <w:sz w:val="22"/>
          <w:szCs w:val="22"/>
        </w:rPr>
      </w:pPr>
    </w:p>
    <w:p w14:paraId="75DD3F4A" w14:textId="77777777" w:rsidR="00EE7DB4" w:rsidRDefault="00EE7DB4" w:rsidP="00173BDC">
      <w:pPr>
        <w:spacing w:line="360" w:lineRule="auto"/>
        <w:jc w:val="both"/>
        <w:rPr>
          <w:rFonts w:ascii="Arial" w:hAnsi="Arial" w:cs="Arial"/>
          <w:sz w:val="22"/>
          <w:szCs w:val="22"/>
        </w:rPr>
      </w:pPr>
    </w:p>
    <w:p w14:paraId="674368E1" w14:textId="77777777" w:rsidR="00EE7DB4" w:rsidRDefault="00EE7DB4" w:rsidP="00173BDC">
      <w:pPr>
        <w:spacing w:line="360" w:lineRule="auto"/>
        <w:jc w:val="both"/>
        <w:rPr>
          <w:rFonts w:ascii="Arial" w:hAnsi="Arial" w:cs="Arial"/>
          <w:sz w:val="22"/>
          <w:szCs w:val="22"/>
        </w:rPr>
      </w:pPr>
    </w:p>
    <w:p w14:paraId="59A9367D" w14:textId="77777777" w:rsidR="00EE7DB4" w:rsidRDefault="00EE7DB4" w:rsidP="00173BDC">
      <w:pPr>
        <w:spacing w:line="360" w:lineRule="auto"/>
        <w:jc w:val="both"/>
        <w:rPr>
          <w:rFonts w:ascii="Arial" w:hAnsi="Arial" w:cs="Arial"/>
          <w:sz w:val="22"/>
          <w:szCs w:val="22"/>
        </w:rPr>
      </w:pPr>
    </w:p>
    <w:p w14:paraId="2B3C0B8A" w14:textId="77777777" w:rsidR="00C51C2D" w:rsidRDefault="00C51C2D" w:rsidP="00173BDC">
      <w:pPr>
        <w:spacing w:line="360" w:lineRule="auto"/>
        <w:jc w:val="both"/>
        <w:rPr>
          <w:rFonts w:ascii="Arial" w:hAnsi="Arial" w:cs="Arial"/>
          <w:sz w:val="22"/>
          <w:szCs w:val="22"/>
        </w:rPr>
      </w:pPr>
    </w:p>
    <w:p w14:paraId="67DC7C19" w14:textId="77777777" w:rsidR="00C51C2D" w:rsidRDefault="00C51C2D" w:rsidP="00173BDC">
      <w:pPr>
        <w:spacing w:line="360" w:lineRule="auto"/>
        <w:jc w:val="both"/>
        <w:rPr>
          <w:rFonts w:ascii="Arial" w:hAnsi="Arial" w:cs="Arial"/>
          <w:sz w:val="22"/>
          <w:szCs w:val="22"/>
        </w:rPr>
      </w:pPr>
    </w:p>
    <w:p w14:paraId="4161E186" w14:textId="77777777" w:rsidR="00C51C2D" w:rsidRDefault="00C51C2D" w:rsidP="00173BDC">
      <w:pPr>
        <w:spacing w:line="360" w:lineRule="auto"/>
        <w:jc w:val="both"/>
        <w:rPr>
          <w:rFonts w:ascii="Arial" w:hAnsi="Arial" w:cs="Arial"/>
          <w:sz w:val="22"/>
          <w:szCs w:val="22"/>
        </w:rPr>
      </w:pPr>
    </w:p>
    <w:p w14:paraId="507BE955" w14:textId="77777777" w:rsidR="00C51C2D" w:rsidRDefault="00C51C2D" w:rsidP="00173BDC">
      <w:pPr>
        <w:spacing w:line="360" w:lineRule="auto"/>
        <w:jc w:val="both"/>
        <w:rPr>
          <w:rFonts w:ascii="Arial" w:hAnsi="Arial" w:cs="Arial"/>
          <w:sz w:val="22"/>
          <w:szCs w:val="22"/>
        </w:rPr>
      </w:pPr>
    </w:p>
    <w:p w14:paraId="465F6CFA" w14:textId="77777777" w:rsidR="00C51C2D" w:rsidRDefault="00C51C2D" w:rsidP="00173BDC">
      <w:pPr>
        <w:spacing w:line="360" w:lineRule="auto"/>
        <w:jc w:val="both"/>
        <w:rPr>
          <w:rFonts w:ascii="Arial" w:hAnsi="Arial" w:cs="Arial"/>
          <w:sz w:val="22"/>
          <w:szCs w:val="22"/>
        </w:rPr>
      </w:pPr>
    </w:p>
    <w:p w14:paraId="4DDBC331" w14:textId="77777777" w:rsidR="00C51C2D" w:rsidRDefault="00C51C2D" w:rsidP="00173BDC">
      <w:pPr>
        <w:spacing w:line="360" w:lineRule="auto"/>
        <w:jc w:val="both"/>
        <w:rPr>
          <w:rFonts w:ascii="Arial" w:hAnsi="Arial" w:cs="Arial"/>
          <w:sz w:val="22"/>
          <w:szCs w:val="22"/>
        </w:rPr>
      </w:pPr>
    </w:p>
    <w:p w14:paraId="47428BEF" w14:textId="668BDCF5" w:rsidR="00AB7D65" w:rsidRPr="008D2C78" w:rsidRDefault="00D86504" w:rsidP="00173BDC">
      <w:pPr>
        <w:spacing w:line="360" w:lineRule="auto"/>
        <w:jc w:val="both"/>
        <w:rPr>
          <w:rFonts w:ascii="Arial" w:hAnsi="Arial" w:cs="Arial"/>
          <w:b/>
          <w:sz w:val="28"/>
          <w:szCs w:val="28"/>
        </w:rPr>
      </w:pPr>
      <w:r w:rsidRPr="00D86504">
        <w:rPr>
          <w:rFonts w:ascii="Arial" w:hAnsi="Arial" w:cs="Arial"/>
          <w:b/>
          <w:sz w:val="28"/>
          <w:szCs w:val="28"/>
        </w:rPr>
        <w:t>Table of contents</w:t>
      </w:r>
    </w:p>
    <w:sdt>
      <w:sdtPr>
        <w:rPr>
          <w:rFonts w:ascii="Arial" w:hAnsi="Arial" w:cs="Arial"/>
          <w:sz w:val="22"/>
          <w:szCs w:val="22"/>
        </w:rPr>
        <w:id w:val="-1197624931"/>
        <w:docPartObj>
          <w:docPartGallery w:val="Table of Contents"/>
          <w:docPartUnique/>
        </w:docPartObj>
      </w:sdtPr>
      <w:sdtEndPr>
        <w:rPr>
          <w:rFonts w:ascii="Times New Roman" w:hAnsi="Times New Roman" w:cs="Times New Roman"/>
          <w:b/>
          <w:bCs/>
          <w:sz w:val="24"/>
          <w:szCs w:val="24"/>
        </w:rPr>
      </w:sdtEndPr>
      <w:sdtContent>
        <w:p w14:paraId="4FD7195D" w14:textId="1B823F84" w:rsidR="00720428" w:rsidRPr="0097497A" w:rsidRDefault="00720428" w:rsidP="0097497A">
          <w:pPr>
            <w:pStyle w:val="NoSpacing"/>
            <w:rPr>
              <w:rFonts w:ascii="Arial" w:hAnsi="Arial" w:cs="Arial"/>
            </w:rPr>
          </w:pPr>
        </w:p>
        <w:p w14:paraId="03D95DB6" w14:textId="07609A2C" w:rsidR="00720428" w:rsidRPr="0097497A" w:rsidRDefault="00720428">
          <w:pPr>
            <w:pStyle w:val="TOC1"/>
            <w:tabs>
              <w:tab w:val="right" w:leader="dot" w:pos="9350"/>
            </w:tabs>
            <w:rPr>
              <w:rFonts w:ascii="Arial" w:hAnsi="Arial" w:cs="Arial"/>
              <w:noProof/>
              <w:sz w:val="22"/>
              <w:szCs w:val="22"/>
            </w:rPr>
          </w:pPr>
          <w:r w:rsidRPr="0097497A">
            <w:rPr>
              <w:rFonts w:ascii="Arial" w:hAnsi="Arial" w:cs="Arial"/>
              <w:sz w:val="22"/>
              <w:szCs w:val="22"/>
            </w:rPr>
            <w:fldChar w:fldCharType="begin"/>
          </w:r>
          <w:r w:rsidRPr="0097497A">
            <w:rPr>
              <w:rFonts w:ascii="Arial" w:hAnsi="Arial" w:cs="Arial"/>
              <w:sz w:val="22"/>
              <w:szCs w:val="22"/>
            </w:rPr>
            <w:instrText xml:space="preserve"> TOC \o "1-3" \h \z \u </w:instrText>
          </w:r>
          <w:r w:rsidRPr="0097497A">
            <w:rPr>
              <w:rFonts w:ascii="Arial" w:hAnsi="Arial" w:cs="Arial"/>
              <w:sz w:val="22"/>
              <w:szCs w:val="22"/>
            </w:rPr>
            <w:fldChar w:fldCharType="separate"/>
          </w:r>
          <w:hyperlink w:anchor="_Toc240714299" w:history="1">
            <w:r w:rsidRPr="0097497A">
              <w:rPr>
                <w:rStyle w:val="Hyperlink"/>
                <w:rFonts w:ascii="Arial" w:hAnsi="Arial" w:cs="Arial"/>
                <w:noProof/>
                <w:sz w:val="22"/>
                <w:szCs w:val="22"/>
              </w:rPr>
              <w:t>List of figures</w:t>
            </w:r>
            <w:r w:rsidRPr="0097497A">
              <w:rPr>
                <w:rFonts w:ascii="Arial" w:hAnsi="Arial" w:cs="Arial"/>
                <w:noProof/>
                <w:webHidden/>
                <w:sz w:val="22"/>
                <w:szCs w:val="22"/>
              </w:rPr>
              <w:tab/>
            </w:r>
            <w:r w:rsidRPr="0097497A">
              <w:rPr>
                <w:rFonts w:ascii="Arial" w:hAnsi="Arial" w:cs="Arial"/>
                <w:noProof/>
                <w:webHidden/>
                <w:sz w:val="22"/>
                <w:szCs w:val="22"/>
              </w:rPr>
              <w:fldChar w:fldCharType="begin"/>
            </w:r>
            <w:r w:rsidRPr="0097497A">
              <w:rPr>
                <w:rFonts w:ascii="Arial" w:hAnsi="Arial" w:cs="Arial"/>
                <w:noProof/>
                <w:webHidden/>
                <w:sz w:val="22"/>
                <w:szCs w:val="22"/>
              </w:rPr>
              <w:instrText xml:space="preserve"> PAGEREF _Toc240714299 \h </w:instrText>
            </w:r>
            <w:r w:rsidRPr="0097497A">
              <w:rPr>
                <w:rFonts w:ascii="Arial" w:hAnsi="Arial" w:cs="Arial"/>
                <w:noProof/>
                <w:webHidden/>
                <w:sz w:val="22"/>
                <w:szCs w:val="22"/>
              </w:rPr>
            </w:r>
            <w:r w:rsidRPr="0097497A">
              <w:rPr>
                <w:rFonts w:ascii="Arial" w:hAnsi="Arial" w:cs="Arial"/>
                <w:noProof/>
                <w:webHidden/>
                <w:sz w:val="22"/>
                <w:szCs w:val="22"/>
              </w:rPr>
              <w:fldChar w:fldCharType="separate"/>
            </w:r>
            <w:r w:rsidRPr="0097497A">
              <w:rPr>
                <w:rFonts w:ascii="Arial" w:hAnsi="Arial" w:cs="Arial"/>
                <w:noProof/>
                <w:webHidden/>
                <w:sz w:val="22"/>
                <w:szCs w:val="22"/>
              </w:rPr>
              <w:t>5</w:t>
            </w:r>
            <w:r w:rsidRPr="0097497A">
              <w:rPr>
                <w:rFonts w:ascii="Arial" w:hAnsi="Arial" w:cs="Arial"/>
                <w:noProof/>
                <w:webHidden/>
                <w:sz w:val="22"/>
                <w:szCs w:val="22"/>
              </w:rPr>
              <w:fldChar w:fldCharType="end"/>
            </w:r>
          </w:hyperlink>
        </w:p>
        <w:p w14:paraId="44ECBA33" w14:textId="524358BA" w:rsidR="00720428" w:rsidRPr="0097497A" w:rsidRDefault="00720428">
          <w:pPr>
            <w:pStyle w:val="TOC1"/>
            <w:tabs>
              <w:tab w:val="right" w:leader="dot" w:pos="9350"/>
            </w:tabs>
            <w:rPr>
              <w:rFonts w:ascii="Arial" w:hAnsi="Arial" w:cs="Arial"/>
              <w:noProof/>
              <w:sz w:val="22"/>
              <w:szCs w:val="22"/>
            </w:rPr>
          </w:pPr>
          <w:hyperlink w:anchor="_Toc240714300" w:history="1">
            <w:r w:rsidRPr="0097497A">
              <w:rPr>
                <w:rStyle w:val="Hyperlink"/>
                <w:rFonts w:ascii="Arial" w:hAnsi="Arial" w:cs="Arial"/>
                <w:noProof/>
                <w:sz w:val="22"/>
                <w:szCs w:val="22"/>
              </w:rPr>
              <w:t>List of tables</w:t>
            </w:r>
            <w:r w:rsidRPr="0097497A">
              <w:rPr>
                <w:rFonts w:ascii="Arial" w:hAnsi="Arial" w:cs="Arial"/>
                <w:noProof/>
                <w:webHidden/>
                <w:sz w:val="22"/>
                <w:szCs w:val="22"/>
              </w:rPr>
              <w:tab/>
            </w:r>
            <w:r w:rsidRPr="0097497A">
              <w:rPr>
                <w:rFonts w:ascii="Arial" w:hAnsi="Arial" w:cs="Arial"/>
                <w:noProof/>
                <w:webHidden/>
                <w:sz w:val="22"/>
                <w:szCs w:val="22"/>
              </w:rPr>
              <w:fldChar w:fldCharType="begin"/>
            </w:r>
            <w:r w:rsidRPr="0097497A">
              <w:rPr>
                <w:rFonts w:ascii="Arial" w:hAnsi="Arial" w:cs="Arial"/>
                <w:noProof/>
                <w:webHidden/>
                <w:sz w:val="22"/>
                <w:szCs w:val="22"/>
              </w:rPr>
              <w:instrText xml:space="preserve"> PAGEREF _Toc240714300 \h </w:instrText>
            </w:r>
            <w:r w:rsidRPr="0097497A">
              <w:rPr>
                <w:rFonts w:ascii="Arial" w:hAnsi="Arial" w:cs="Arial"/>
                <w:noProof/>
                <w:webHidden/>
                <w:sz w:val="22"/>
                <w:szCs w:val="22"/>
              </w:rPr>
            </w:r>
            <w:r w:rsidRPr="0097497A">
              <w:rPr>
                <w:rFonts w:ascii="Arial" w:hAnsi="Arial" w:cs="Arial"/>
                <w:noProof/>
                <w:webHidden/>
                <w:sz w:val="22"/>
                <w:szCs w:val="22"/>
              </w:rPr>
              <w:fldChar w:fldCharType="separate"/>
            </w:r>
            <w:r w:rsidRPr="0097497A">
              <w:rPr>
                <w:rFonts w:ascii="Arial" w:hAnsi="Arial" w:cs="Arial"/>
                <w:noProof/>
                <w:webHidden/>
                <w:sz w:val="22"/>
                <w:szCs w:val="22"/>
              </w:rPr>
              <w:t>5</w:t>
            </w:r>
            <w:r w:rsidRPr="0097497A">
              <w:rPr>
                <w:rFonts w:ascii="Arial" w:hAnsi="Arial" w:cs="Arial"/>
                <w:noProof/>
                <w:webHidden/>
                <w:sz w:val="22"/>
                <w:szCs w:val="22"/>
              </w:rPr>
              <w:fldChar w:fldCharType="end"/>
            </w:r>
          </w:hyperlink>
        </w:p>
        <w:p w14:paraId="48B02160" w14:textId="7B585943" w:rsidR="00720428" w:rsidRPr="0097497A" w:rsidRDefault="00720428">
          <w:pPr>
            <w:pStyle w:val="TOC1"/>
            <w:tabs>
              <w:tab w:val="right" w:leader="dot" w:pos="9350"/>
            </w:tabs>
            <w:rPr>
              <w:rFonts w:ascii="Arial" w:hAnsi="Arial" w:cs="Arial"/>
              <w:noProof/>
              <w:sz w:val="22"/>
              <w:szCs w:val="22"/>
            </w:rPr>
          </w:pPr>
          <w:hyperlink w:anchor="_Toc240714301" w:history="1">
            <w:r w:rsidRPr="0097497A">
              <w:rPr>
                <w:rStyle w:val="Hyperlink"/>
                <w:rFonts w:ascii="Arial" w:hAnsi="Arial" w:cs="Arial"/>
                <w:noProof/>
                <w:sz w:val="22"/>
                <w:szCs w:val="22"/>
              </w:rPr>
              <w:t>List of abbreviations</w:t>
            </w:r>
            <w:r w:rsidRPr="0097497A">
              <w:rPr>
                <w:rFonts w:ascii="Arial" w:hAnsi="Arial" w:cs="Arial"/>
                <w:noProof/>
                <w:webHidden/>
                <w:sz w:val="22"/>
                <w:szCs w:val="22"/>
              </w:rPr>
              <w:tab/>
            </w:r>
            <w:r w:rsidRPr="0097497A">
              <w:rPr>
                <w:rFonts w:ascii="Arial" w:hAnsi="Arial" w:cs="Arial"/>
                <w:noProof/>
                <w:webHidden/>
                <w:sz w:val="22"/>
                <w:szCs w:val="22"/>
              </w:rPr>
              <w:fldChar w:fldCharType="begin"/>
            </w:r>
            <w:r w:rsidRPr="0097497A">
              <w:rPr>
                <w:rFonts w:ascii="Arial" w:hAnsi="Arial" w:cs="Arial"/>
                <w:noProof/>
                <w:webHidden/>
                <w:sz w:val="22"/>
                <w:szCs w:val="22"/>
              </w:rPr>
              <w:instrText xml:space="preserve"> PAGEREF _Toc240714301 \h </w:instrText>
            </w:r>
            <w:r w:rsidRPr="0097497A">
              <w:rPr>
                <w:rFonts w:ascii="Arial" w:hAnsi="Arial" w:cs="Arial"/>
                <w:noProof/>
                <w:webHidden/>
                <w:sz w:val="22"/>
                <w:szCs w:val="22"/>
              </w:rPr>
            </w:r>
            <w:r w:rsidRPr="0097497A">
              <w:rPr>
                <w:rFonts w:ascii="Arial" w:hAnsi="Arial" w:cs="Arial"/>
                <w:noProof/>
                <w:webHidden/>
                <w:sz w:val="22"/>
                <w:szCs w:val="22"/>
              </w:rPr>
              <w:fldChar w:fldCharType="separate"/>
            </w:r>
            <w:r w:rsidRPr="0097497A">
              <w:rPr>
                <w:rFonts w:ascii="Arial" w:hAnsi="Arial" w:cs="Arial"/>
                <w:noProof/>
                <w:webHidden/>
                <w:sz w:val="22"/>
                <w:szCs w:val="22"/>
              </w:rPr>
              <w:t>5</w:t>
            </w:r>
            <w:r w:rsidRPr="0097497A">
              <w:rPr>
                <w:rFonts w:ascii="Arial" w:hAnsi="Arial" w:cs="Arial"/>
                <w:noProof/>
                <w:webHidden/>
                <w:sz w:val="22"/>
                <w:szCs w:val="22"/>
              </w:rPr>
              <w:fldChar w:fldCharType="end"/>
            </w:r>
          </w:hyperlink>
        </w:p>
        <w:p w14:paraId="27FD3A77" w14:textId="555A3CE6" w:rsidR="00720428" w:rsidRPr="0097497A" w:rsidRDefault="00720428">
          <w:pPr>
            <w:pStyle w:val="TOC1"/>
            <w:tabs>
              <w:tab w:val="right" w:leader="dot" w:pos="9350"/>
            </w:tabs>
            <w:rPr>
              <w:rFonts w:ascii="Arial" w:hAnsi="Arial" w:cs="Arial"/>
              <w:noProof/>
              <w:sz w:val="22"/>
              <w:szCs w:val="22"/>
            </w:rPr>
          </w:pPr>
          <w:hyperlink w:anchor="_Toc240714302" w:history="1">
            <w:r w:rsidRPr="0097497A">
              <w:rPr>
                <w:rStyle w:val="Hyperlink"/>
                <w:rFonts w:ascii="Arial" w:hAnsi="Arial" w:cs="Arial"/>
                <w:noProof/>
                <w:sz w:val="22"/>
                <w:szCs w:val="22"/>
              </w:rPr>
              <w:t>Introduction</w:t>
            </w:r>
            <w:r w:rsidRPr="0097497A">
              <w:rPr>
                <w:rFonts w:ascii="Arial" w:hAnsi="Arial" w:cs="Arial"/>
                <w:noProof/>
                <w:webHidden/>
                <w:sz w:val="22"/>
                <w:szCs w:val="22"/>
              </w:rPr>
              <w:tab/>
            </w:r>
            <w:r w:rsidRPr="0097497A">
              <w:rPr>
                <w:rFonts w:ascii="Arial" w:hAnsi="Arial" w:cs="Arial"/>
                <w:noProof/>
                <w:webHidden/>
                <w:sz w:val="22"/>
                <w:szCs w:val="22"/>
              </w:rPr>
              <w:fldChar w:fldCharType="begin"/>
            </w:r>
            <w:r w:rsidRPr="0097497A">
              <w:rPr>
                <w:rFonts w:ascii="Arial" w:hAnsi="Arial" w:cs="Arial"/>
                <w:noProof/>
                <w:webHidden/>
                <w:sz w:val="22"/>
                <w:szCs w:val="22"/>
              </w:rPr>
              <w:instrText xml:space="preserve"> PAGEREF _Toc240714302 \h </w:instrText>
            </w:r>
            <w:r w:rsidRPr="0097497A">
              <w:rPr>
                <w:rFonts w:ascii="Arial" w:hAnsi="Arial" w:cs="Arial"/>
                <w:noProof/>
                <w:webHidden/>
                <w:sz w:val="22"/>
                <w:szCs w:val="22"/>
              </w:rPr>
            </w:r>
            <w:r w:rsidRPr="0097497A">
              <w:rPr>
                <w:rFonts w:ascii="Arial" w:hAnsi="Arial" w:cs="Arial"/>
                <w:noProof/>
                <w:webHidden/>
                <w:sz w:val="22"/>
                <w:szCs w:val="22"/>
              </w:rPr>
              <w:fldChar w:fldCharType="separate"/>
            </w:r>
            <w:r w:rsidRPr="0097497A">
              <w:rPr>
                <w:rFonts w:ascii="Arial" w:hAnsi="Arial" w:cs="Arial"/>
                <w:noProof/>
                <w:webHidden/>
                <w:sz w:val="22"/>
                <w:szCs w:val="22"/>
              </w:rPr>
              <w:t>7</w:t>
            </w:r>
            <w:r w:rsidRPr="0097497A">
              <w:rPr>
                <w:rFonts w:ascii="Arial" w:hAnsi="Arial" w:cs="Arial"/>
                <w:noProof/>
                <w:webHidden/>
                <w:sz w:val="22"/>
                <w:szCs w:val="22"/>
              </w:rPr>
              <w:fldChar w:fldCharType="end"/>
            </w:r>
          </w:hyperlink>
        </w:p>
        <w:p w14:paraId="38B8B1DC" w14:textId="6A547C62" w:rsidR="00720428" w:rsidRPr="0097497A" w:rsidRDefault="00720428">
          <w:pPr>
            <w:pStyle w:val="TOC1"/>
            <w:tabs>
              <w:tab w:val="right" w:leader="dot" w:pos="9350"/>
            </w:tabs>
            <w:rPr>
              <w:rFonts w:ascii="Arial" w:hAnsi="Arial" w:cs="Arial"/>
              <w:noProof/>
              <w:sz w:val="22"/>
              <w:szCs w:val="22"/>
            </w:rPr>
          </w:pPr>
          <w:hyperlink w:anchor="_Toc240714303" w:history="1">
            <w:r w:rsidRPr="0097497A">
              <w:rPr>
                <w:rStyle w:val="Hyperlink"/>
                <w:rFonts w:ascii="Arial" w:hAnsi="Arial" w:cs="Arial"/>
                <w:noProof/>
                <w:sz w:val="22"/>
                <w:szCs w:val="22"/>
              </w:rPr>
              <w:t>Literature Review and Theoretical Framework</w:t>
            </w:r>
            <w:r w:rsidRPr="0097497A">
              <w:rPr>
                <w:rFonts w:ascii="Arial" w:hAnsi="Arial" w:cs="Arial"/>
                <w:noProof/>
                <w:webHidden/>
                <w:sz w:val="22"/>
                <w:szCs w:val="22"/>
              </w:rPr>
              <w:tab/>
            </w:r>
            <w:r w:rsidRPr="0097497A">
              <w:rPr>
                <w:rFonts w:ascii="Arial" w:hAnsi="Arial" w:cs="Arial"/>
                <w:noProof/>
                <w:webHidden/>
                <w:sz w:val="22"/>
                <w:szCs w:val="22"/>
              </w:rPr>
              <w:fldChar w:fldCharType="begin"/>
            </w:r>
            <w:r w:rsidRPr="0097497A">
              <w:rPr>
                <w:rFonts w:ascii="Arial" w:hAnsi="Arial" w:cs="Arial"/>
                <w:noProof/>
                <w:webHidden/>
                <w:sz w:val="22"/>
                <w:szCs w:val="22"/>
              </w:rPr>
              <w:instrText xml:space="preserve"> PAGEREF _Toc240714303 \h </w:instrText>
            </w:r>
            <w:r w:rsidRPr="0097497A">
              <w:rPr>
                <w:rFonts w:ascii="Arial" w:hAnsi="Arial" w:cs="Arial"/>
                <w:noProof/>
                <w:webHidden/>
                <w:sz w:val="22"/>
                <w:szCs w:val="22"/>
              </w:rPr>
            </w:r>
            <w:r w:rsidRPr="0097497A">
              <w:rPr>
                <w:rFonts w:ascii="Arial" w:hAnsi="Arial" w:cs="Arial"/>
                <w:noProof/>
                <w:webHidden/>
                <w:sz w:val="22"/>
                <w:szCs w:val="22"/>
              </w:rPr>
              <w:fldChar w:fldCharType="separate"/>
            </w:r>
            <w:r w:rsidRPr="0097497A">
              <w:rPr>
                <w:rFonts w:ascii="Arial" w:hAnsi="Arial" w:cs="Arial"/>
                <w:noProof/>
                <w:webHidden/>
                <w:sz w:val="22"/>
                <w:szCs w:val="22"/>
              </w:rPr>
              <w:t>11</w:t>
            </w:r>
            <w:r w:rsidRPr="0097497A">
              <w:rPr>
                <w:rFonts w:ascii="Arial" w:hAnsi="Arial" w:cs="Arial"/>
                <w:noProof/>
                <w:webHidden/>
                <w:sz w:val="22"/>
                <w:szCs w:val="22"/>
              </w:rPr>
              <w:fldChar w:fldCharType="end"/>
            </w:r>
          </w:hyperlink>
        </w:p>
        <w:p w14:paraId="208C1B77" w14:textId="551B5489" w:rsidR="00720428" w:rsidRPr="0097497A" w:rsidRDefault="00720428">
          <w:pPr>
            <w:pStyle w:val="TOC1"/>
            <w:tabs>
              <w:tab w:val="right" w:leader="dot" w:pos="9350"/>
            </w:tabs>
            <w:rPr>
              <w:rFonts w:ascii="Arial" w:hAnsi="Arial" w:cs="Arial"/>
              <w:noProof/>
              <w:sz w:val="22"/>
              <w:szCs w:val="22"/>
            </w:rPr>
          </w:pPr>
          <w:hyperlink w:anchor="_Toc240714304" w:history="1">
            <w:r w:rsidRPr="0097497A">
              <w:rPr>
                <w:rStyle w:val="Hyperlink"/>
                <w:rFonts w:ascii="Arial" w:hAnsi="Arial" w:cs="Arial"/>
                <w:noProof/>
                <w:sz w:val="22"/>
                <w:szCs w:val="22"/>
              </w:rPr>
              <w:t>Research Methodology</w:t>
            </w:r>
            <w:r w:rsidRPr="0097497A">
              <w:rPr>
                <w:rFonts w:ascii="Arial" w:hAnsi="Arial" w:cs="Arial"/>
                <w:noProof/>
                <w:webHidden/>
                <w:sz w:val="22"/>
                <w:szCs w:val="22"/>
              </w:rPr>
              <w:tab/>
            </w:r>
            <w:r w:rsidRPr="0097497A">
              <w:rPr>
                <w:rFonts w:ascii="Arial" w:hAnsi="Arial" w:cs="Arial"/>
                <w:noProof/>
                <w:webHidden/>
                <w:sz w:val="22"/>
                <w:szCs w:val="22"/>
              </w:rPr>
              <w:fldChar w:fldCharType="begin"/>
            </w:r>
            <w:r w:rsidRPr="0097497A">
              <w:rPr>
                <w:rFonts w:ascii="Arial" w:hAnsi="Arial" w:cs="Arial"/>
                <w:noProof/>
                <w:webHidden/>
                <w:sz w:val="22"/>
                <w:szCs w:val="22"/>
              </w:rPr>
              <w:instrText xml:space="preserve"> PAGEREF _Toc240714304 \h </w:instrText>
            </w:r>
            <w:r w:rsidRPr="0097497A">
              <w:rPr>
                <w:rFonts w:ascii="Arial" w:hAnsi="Arial" w:cs="Arial"/>
                <w:noProof/>
                <w:webHidden/>
                <w:sz w:val="22"/>
                <w:szCs w:val="22"/>
              </w:rPr>
            </w:r>
            <w:r w:rsidRPr="0097497A">
              <w:rPr>
                <w:rFonts w:ascii="Arial" w:hAnsi="Arial" w:cs="Arial"/>
                <w:noProof/>
                <w:webHidden/>
                <w:sz w:val="22"/>
                <w:szCs w:val="22"/>
              </w:rPr>
              <w:fldChar w:fldCharType="separate"/>
            </w:r>
            <w:r w:rsidRPr="0097497A">
              <w:rPr>
                <w:rFonts w:ascii="Arial" w:hAnsi="Arial" w:cs="Arial"/>
                <w:noProof/>
                <w:webHidden/>
                <w:sz w:val="22"/>
                <w:szCs w:val="22"/>
              </w:rPr>
              <w:t>25</w:t>
            </w:r>
            <w:r w:rsidRPr="0097497A">
              <w:rPr>
                <w:rFonts w:ascii="Arial" w:hAnsi="Arial" w:cs="Arial"/>
                <w:noProof/>
                <w:webHidden/>
                <w:sz w:val="22"/>
                <w:szCs w:val="22"/>
              </w:rPr>
              <w:fldChar w:fldCharType="end"/>
            </w:r>
          </w:hyperlink>
        </w:p>
        <w:p w14:paraId="3A067634" w14:textId="6E73F928" w:rsidR="00720428" w:rsidRPr="0097497A" w:rsidRDefault="00720428">
          <w:pPr>
            <w:pStyle w:val="TOC1"/>
            <w:tabs>
              <w:tab w:val="right" w:leader="dot" w:pos="9350"/>
            </w:tabs>
            <w:rPr>
              <w:rFonts w:ascii="Arial" w:hAnsi="Arial" w:cs="Arial"/>
              <w:noProof/>
              <w:sz w:val="22"/>
              <w:szCs w:val="22"/>
            </w:rPr>
          </w:pPr>
          <w:hyperlink w:anchor="_Toc240714305" w:history="1">
            <w:r w:rsidRPr="0097497A">
              <w:rPr>
                <w:rStyle w:val="Hyperlink"/>
                <w:rFonts w:ascii="Arial" w:hAnsi="Arial" w:cs="Arial"/>
                <w:noProof/>
                <w:sz w:val="22"/>
                <w:szCs w:val="22"/>
              </w:rPr>
              <w:t>Results</w:t>
            </w:r>
            <w:r w:rsidRPr="0097497A">
              <w:rPr>
                <w:rFonts w:ascii="Arial" w:hAnsi="Arial" w:cs="Arial"/>
                <w:noProof/>
                <w:webHidden/>
                <w:sz w:val="22"/>
                <w:szCs w:val="22"/>
              </w:rPr>
              <w:tab/>
            </w:r>
            <w:r w:rsidRPr="0097497A">
              <w:rPr>
                <w:rFonts w:ascii="Arial" w:hAnsi="Arial" w:cs="Arial"/>
                <w:noProof/>
                <w:webHidden/>
                <w:sz w:val="22"/>
                <w:szCs w:val="22"/>
              </w:rPr>
              <w:fldChar w:fldCharType="begin"/>
            </w:r>
            <w:r w:rsidRPr="0097497A">
              <w:rPr>
                <w:rFonts w:ascii="Arial" w:hAnsi="Arial" w:cs="Arial"/>
                <w:noProof/>
                <w:webHidden/>
                <w:sz w:val="22"/>
                <w:szCs w:val="22"/>
              </w:rPr>
              <w:instrText xml:space="preserve"> PAGEREF _Toc240714305 \h </w:instrText>
            </w:r>
            <w:r w:rsidRPr="0097497A">
              <w:rPr>
                <w:rFonts w:ascii="Arial" w:hAnsi="Arial" w:cs="Arial"/>
                <w:noProof/>
                <w:webHidden/>
                <w:sz w:val="22"/>
                <w:szCs w:val="22"/>
              </w:rPr>
            </w:r>
            <w:r w:rsidRPr="0097497A">
              <w:rPr>
                <w:rFonts w:ascii="Arial" w:hAnsi="Arial" w:cs="Arial"/>
                <w:noProof/>
                <w:webHidden/>
                <w:sz w:val="22"/>
                <w:szCs w:val="22"/>
              </w:rPr>
              <w:fldChar w:fldCharType="separate"/>
            </w:r>
            <w:r w:rsidRPr="0097497A">
              <w:rPr>
                <w:rFonts w:ascii="Arial" w:hAnsi="Arial" w:cs="Arial"/>
                <w:noProof/>
                <w:webHidden/>
                <w:sz w:val="22"/>
                <w:szCs w:val="22"/>
              </w:rPr>
              <w:t>33</w:t>
            </w:r>
            <w:r w:rsidRPr="0097497A">
              <w:rPr>
                <w:rFonts w:ascii="Arial" w:hAnsi="Arial" w:cs="Arial"/>
                <w:noProof/>
                <w:webHidden/>
                <w:sz w:val="22"/>
                <w:szCs w:val="22"/>
              </w:rPr>
              <w:fldChar w:fldCharType="end"/>
            </w:r>
          </w:hyperlink>
        </w:p>
        <w:p w14:paraId="24F177CB" w14:textId="31314021" w:rsidR="00720428" w:rsidRPr="0097497A" w:rsidRDefault="00720428">
          <w:pPr>
            <w:pStyle w:val="TOC1"/>
            <w:tabs>
              <w:tab w:val="right" w:leader="dot" w:pos="9350"/>
            </w:tabs>
            <w:rPr>
              <w:rFonts w:ascii="Arial" w:hAnsi="Arial" w:cs="Arial"/>
              <w:noProof/>
              <w:sz w:val="22"/>
              <w:szCs w:val="22"/>
            </w:rPr>
          </w:pPr>
          <w:hyperlink w:anchor="_Toc240714306" w:history="1">
            <w:r w:rsidRPr="0097497A">
              <w:rPr>
                <w:rStyle w:val="Hyperlink"/>
                <w:rFonts w:ascii="Arial" w:hAnsi="Arial" w:cs="Arial"/>
                <w:noProof/>
                <w:sz w:val="22"/>
                <w:szCs w:val="22"/>
              </w:rPr>
              <w:t>Discussion</w:t>
            </w:r>
            <w:r w:rsidRPr="0097497A">
              <w:rPr>
                <w:rFonts w:ascii="Arial" w:hAnsi="Arial" w:cs="Arial"/>
                <w:noProof/>
                <w:webHidden/>
                <w:sz w:val="22"/>
                <w:szCs w:val="22"/>
              </w:rPr>
              <w:tab/>
            </w:r>
            <w:r w:rsidRPr="0097497A">
              <w:rPr>
                <w:rFonts w:ascii="Arial" w:hAnsi="Arial" w:cs="Arial"/>
                <w:noProof/>
                <w:webHidden/>
                <w:sz w:val="22"/>
                <w:szCs w:val="22"/>
              </w:rPr>
              <w:fldChar w:fldCharType="begin"/>
            </w:r>
            <w:r w:rsidRPr="0097497A">
              <w:rPr>
                <w:rFonts w:ascii="Arial" w:hAnsi="Arial" w:cs="Arial"/>
                <w:noProof/>
                <w:webHidden/>
                <w:sz w:val="22"/>
                <w:szCs w:val="22"/>
              </w:rPr>
              <w:instrText xml:space="preserve"> PAGEREF _Toc240714306 \h </w:instrText>
            </w:r>
            <w:r w:rsidRPr="0097497A">
              <w:rPr>
                <w:rFonts w:ascii="Arial" w:hAnsi="Arial" w:cs="Arial"/>
                <w:noProof/>
                <w:webHidden/>
                <w:sz w:val="22"/>
                <w:szCs w:val="22"/>
              </w:rPr>
            </w:r>
            <w:r w:rsidRPr="0097497A">
              <w:rPr>
                <w:rFonts w:ascii="Arial" w:hAnsi="Arial" w:cs="Arial"/>
                <w:noProof/>
                <w:webHidden/>
                <w:sz w:val="22"/>
                <w:szCs w:val="22"/>
              </w:rPr>
              <w:fldChar w:fldCharType="separate"/>
            </w:r>
            <w:r w:rsidRPr="0097497A">
              <w:rPr>
                <w:rFonts w:ascii="Arial" w:hAnsi="Arial" w:cs="Arial"/>
                <w:noProof/>
                <w:webHidden/>
                <w:sz w:val="22"/>
                <w:szCs w:val="22"/>
              </w:rPr>
              <w:t>47</w:t>
            </w:r>
            <w:r w:rsidRPr="0097497A">
              <w:rPr>
                <w:rFonts w:ascii="Arial" w:hAnsi="Arial" w:cs="Arial"/>
                <w:noProof/>
                <w:webHidden/>
                <w:sz w:val="22"/>
                <w:szCs w:val="22"/>
              </w:rPr>
              <w:fldChar w:fldCharType="end"/>
            </w:r>
          </w:hyperlink>
        </w:p>
        <w:p w14:paraId="5E8D647C" w14:textId="1C332291" w:rsidR="00720428" w:rsidRPr="0097497A" w:rsidRDefault="00720428">
          <w:pPr>
            <w:pStyle w:val="TOC1"/>
            <w:tabs>
              <w:tab w:val="right" w:leader="dot" w:pos="9350"/>
            </w:tabs>
            <w:rPr>
              <w:rFonts w:ascii="Arial" w:hAnsi="Arial" w:cs="Arial"/>
              <w:noProof/>
              <w:sz w:val="22"/>
              <w:szCs w:val="22"/>
            </w:rPr>
          </w:pPr>
          <w:hyperlink w:anchor="_Toc240714307" w:history="1">
            <w:r w:rsidRPr="0097497A">
              <w:rPr>
                <w:rStyle w:val="Hyperlink"/>
                <w:rFonts w:ascii="Arial" w:hAnsi="Arial" w:cs="Arial"/>
                <w:noProof/>
                <w:sz w:val="22"/>
                <w:szCs w:val="22"/>
              </w:rPr>
              <w:t>Conclusion</w:t>
            </w:r>
            <w:r w:rsidRPr="0097497A">
              <w:rPr>
                <w:rFonts w:ascii="Arial" w:hAnsi="Arial" w:cs="Arial"/>
                <w:noProof/>
                <w:webHidden/>
                <w:sz w:val="22"/>
                <w:szCs w:val="22"/>
              </w:rPr>
              <w:tab/>
            </w:r>
            <w:r w:rsidRPr="0097497A">
              <w:rPr>
                <w:rFonts w:ascii="Arial" w:hAnsi="Arial" w:cs="Arial"/>
                <w:noProof/>
                <w:webHidden/>
                <w:sz w:val="22"/>
                <w:szCs w:val="22"/>
              </w:rPr>
              <w:fldChar w:fldCharType="begin"/>
            </w:r>
            <w:r w:rsidRPr="0097497A">
              <w:rPr>
                <w:rFonts w:ascii="Arial" w:hAnsi="Arial" w:cs="Arial"/>
                <w:noProof/>
                <w:webHidden/>
                <w:sz w:val="22"/>
                <w:szCs w:val="22"/>
              </w:rPr>
              <w:instrText xml:space="preserve"> PAGEREF _Toc240714307 \h </w:instrText>
            </w:r>
            <w:r w:rsidRPr="0097497A">
              <w:rPr>
                <w:rFonts w:ascii="Arial" w:hAnsi="Arial" w:cs="Arial"/>
                <w:noProof/>
                <w:webHidden/>
                <w:sz w:val="22"/>
                <w:szCs w:val="22"/>
              </w:rPr>
            </w:r>
            <w:r w:rsidRPr="0097497A">
              <w:rPr>
                <w:rFonts w:ascii="Arial" w:hAnsi="Arial" w:cs="Arial"/>
                <w:noProof/>
                <w:webHidden/>
                <w:sz w:val="22"/>
                <w:szCs w:val="22"/>
              </w:rPr>
              <w:fldChar w:fldCharType="separate"/>
            </w:r>
            <w:r w:rsidRPr="0097497A">
              <w:rPr>
                <w:rFonts w:ascii="Arial" w:hAnsi="Arial" w:cs="Arial"/>
                <w:noProof/>
                <w:webHidden/>
                <w:sz w:val="22"/>
                <w:szCs w:val="22"/>
              </w:rPr>
              <w:t>53</w:t>
            </w:r>
            <w:r w:rsidRPr="0097497A">
              <w:rPr>
                <w:rFonts w:ascii="Arial" w:hAnsi="Arial" w:cs="Arial"/>
                <w:noProof/>
                <w:webHidden/>
                <w:sz w:val="22"/>
                <w:szCs w:val="22"/>
              </w:rPr>
              <w:fldChar w:fldCharType="end"/>
            </w:r>
          </w:hyperlink>
        </w:p>
        <w:p w14:paraId="7154DCA9" w14:textId="340367FC" w:rsidR="00720428" w:rsidRPr="0097497A" w:rsidRDefault="00720428">
          <w:pPr>
            <w:pStyle w:val="TOC1"/>
            <w:tabs>
              <w:tab w:val="right" w:leader="dot" w:pos="9350"/>
            </w:tabs>
            <w:rPr>
              <w:rFonts w:ascii="Arial" w:hAnsi="Arial" w:cs="Arial"/>
              <w:noProof/>
              <w:sz w:val="22"/>
              <w:szCs w:val="22"/>
            </w:rPr>
          </w:pPr>
          <w:hyperlink w:anchor="_Toc240714308" w:history="1">
            <w:r w:rsidRPr="0097497A">
              <w:rPr>
                <w:rStyle w:val="Hyperlink"/>
                <w:rFonts w:ascii="Arial" w:hAnsi="Arial" w:cs="Arial"/>
                <w:noProof/>
                <w:sz w:val="22"/>
                <w:szCs w:val="22"/>
              </w:rPr>
              <w:t>Recommendations for Policy and Practice</w:t>
            </w:r>
            <w:r w:rsidRPr="0097497A">
              <w:rPr>
                <w:rFonts w:ascii="Arial" w:hAnsi="Arial" w:cs="Arial"/>
                <w:noProof/>
                <w:webHidden/>
                <w:sz w:val="22"/>
                <w:szCs w:val="22"/>
              </w:rPr>
              <w:tab/>
            </w:r>
            <w:r w:rsidRPr="0097497A">
              <w:rPr>
                <w:rFonts w:ascii="Arial" w:hAnsi="Arial" w:cs="Arial"/>
                <w:noProof/>
                <w:webHidden/>
                <w:sz w:val="22"/>
                <w:szCs w:val="22"/>
              </w:rPr>
              <w:fldChar w:fldCharType="begin"/>
            </w:r>
            <w:r w:rsidRPr="0097497A">
              <w:rPr>
                <w:rFonts w:ascii="Arial" w:hAnsi="Arial" w:cs="Arial"/>
                <w:noProof/>
                <w:webHidden/>
                <w:sz w:val="22"/>
                <w:szCs w:val="22"/>
              </w:rPr>
              <w:instrText xml:space="preserve"> PAGEREF _Toc240714308 \h </w:instrText>
            </w:r>
            <w:r w:rsidRPr="0097497A">
              <w:rPr>
                <w:rFonts w:ascii="Arial" w:hAnsi="Arial" w:cs="Arial"/>
                <w:noProof/>
                <w:webHidden/>
                <w:sz w:val="22"/>
                <w:szCs w:val="22"/>
              </w:rPr>
            </w:r>
            <w:r w:rsidRPr="0097497A">
              <w:rPr>
                <w:rFonts w:ascii="Arial" w:hAnsi="Arial" w:cs="Arial"/>
                <w:noProof/>
                <w:webHidden/>
                <w:sz w:val="22"/>
                <w:szCs w:val="22"/>
              </w:rPr>
              <w:fldChar w:fldCharType="separate"/>
            </w:r>
            <w:r w:rsidRPr="0097497A">
              <w:rPr>
                <w:rFonts w:ascii="Arial" w:hAnsi="Arial" w:cs="Arial"/>
                <w:noProof/>
                <w:webHidden/>
                <w:sz w:val="22"/>
                <w:szCs w:val="22"/>
              </w:rPr>
              <w:t>55</w:t>
            </w:r>
            <w:r w:rsidRPr="0097497A">
              <w:rPr>
                <w:rFonts w:ascii="Arial" w:hAnsi="Arial" w:cs="Arial"/>
                <w:noProof/>
                <w:webHidden/>
                <w:sz w:val="22"/>
                <w:szCs w:val="22"/>
              </w:rPr>
              <w:fldChar w:fldCharType="end"/>
            </w:r>
          </w:hyperlink>
        </w:p>
        <w:p w14:paraId="5FA223A6" w14:textId="38B7C70A" w:rsidR="00720428" w:rsidRPr="0097497A" w:rsidRDefault="00720428">
          <w:pPr>
            <w:pStyle w:val="TOC1"/>
            <w:tabs>
              <w:tab w:val="right" w:leader="dot" w:pos="9350"/>
            </w:tabs>
            <w:rPr>
              <w:rFonts w:ascii="Arial" w:hAnsi="Arial" w:cs="Arial"/>
              <w:noProof/>
              <w:sz w:val="22"/>
              <w:szCs w:val="22"/>
            </w:rPr>
          </w:pPr>
          <w:hyperlink w:anchor="_Toc240714309" w:history="1">
            <w:r w:rsidRPr="0097497A">
              <w:rPr>
                <w:rStyle w:val="Hyperlink"/>
                <w:rFonts w:ascii="Arial" w:hAnsi="Arial" w:cs="Arial"/>
                <w:noProof/>
                <w:sz w:val="22"/>
                <w:szCs w:val="22"/>
              </w:rPr>
              <w:t>References</w:t>
            </w:r>
            <w:r w:rsidRPr="0097497A">
              <w:rPr>
                <w:rFonts w:ascii="Arial" w:hAnsi="Arial" w:cs="Arial"/>
                <w:noProof/>
                <w:webHidden/>
                <w:sz w:val="22"/>
                <w:szCs w:val="22"/>
              </w:rPr>
              <w:tab/>
            </w:r>
            <w:r w:rsidRPr="0097497A">
              <w:rPr>
                <w:rFonts w:ascii="Arial" w:hAnsi="Arial" w:cs="Arial"/>
                <w:noProof/>
                <w:webHidden/>
                <w:sz w:val="22"/>
                <w:szCs w:val="22"/>
              </w:rPr>
              <w:fldChar w:fldCharType="begin"/>
            </w:r>
            <w:r w:rsidRPr="0097497A">
              <w:rPr>
                <w:rFonts w:ascii="Arial" w:hAnsi="Arial" w:cs="Arial"/>
                <w:noProof/>
                <w:webHidden/>
                <w:sz w:val="22"/>
                <w:szCs w:val="22"/>
              </w:rPr>
              <w:instrText xml:space="preserve"> PAGEREF _Toc240714309 \h </w:instrText>
            </w:r>
            <w:r w:rsidRPr="0097497A">
              <w:rPr>
                <w:rFonts w:ascii="Arial" w:hAnsi="Arial" w:cs="Arial"/>
                <w:noProof/>
                <w:webHidden/>
                <w:sz w:val="22"/>
                <w:szCs w:val="22"/>
              </w:rPr>
            </w:r>
            <w:r w:rsidRPr="0097497A">
              <w:rPr>
                <w:rFonts w:ascii="Arial" w:hAnsi="Arial" w:cs="Arial"/>
                <w:noProof/>
                <w:webHidden/>
                <w:sz w:val="22"/>
                <w:szCs w:val="22"/>
              </w:rPr>
              <w:fldChar w:fldCharType="separate"/>
            </w:r>
            <w:r w:rsidRPr="0097497A">
              <w:rPr>
                <w:rFonts w:ascii="Arial" w:hAnsi="Arial" w:cs="Arial"/>
                <w:noProof/>
                <w:webHidden/>
                <w:sz w:val="22"/>
                <w:szCs w:val="22"/>
              </w:rPr>
              <w:t>58</w:t>
            </w:r>
            <w:r w:rsidRPr="0097497A">
              <w:rPr>
                <w:rFonts w:ascii="Arial" w:hAnsi="Arial" w:cs="Arial"/>
                <w:noProof/>
                <w:webHidden/>
                <w:sz w:val="22"/>
                <w:szCs w:val="22"/>
              </w:rPr>
              <w:fldChar w:fldCharType="end"/>
            </w:r>
          </w:hyperlink>
        </w:p>
        <w:p w14:paraId="6A3E72A4" w14:textId="4023433B" w:rsidR="00720428" w:rsidRPr="0097497A" w:rsidRDefault="00720428">
          <w:pPr>
            <w:pStyle w:val="TOC1"/>
            <w:tabs>
              <w:tab w:val="right" w:leader="dot" w:pos="9350"/>
            </w:tabs>
            <w:rPr>
              <w:rFonts w:ascii="Arial" w:hAnsi="Arial" w:cs="Arial"/>
              <w:noProof/>
              <w:sz w:val="22"/>
              <w:szCs w:val="22"/>
            </w:rPr>
          </w:pPr>
          <w:hyperlink w:anchor="_Toc240714310" w:history="1">
            <w:r w:rsidRPr="0097497A">
              <w:rPr>
                <w:rStyle w:val="Hyperlink"/>
                <w:rFonts w:ascii="Arial" w:hAnsi="Arial" w:cs="Arial"/>
                <w:noProof/>
                <w:sz w:val="22"/>
                <w:szCs w:val="22"/>
              </w:rPr>
              <w:t>Appendix</w:t>
            </w:r>
            <w:r w:rsidRPr="0097497A">
              <w:rPr>
                <w:rFonts w:ascii="Arial" w:hAnsi="Arial" w:cs="Arial"/>
                <w:noProof/>
                <w:webHidden/>
                <w:sz w:val="22"/>
                <w:szCs w:val="22"/>
              </w:rPr>
              <w:tab/>
            </w:r>
            <w:r w:rsidRPr="0097497A">
              <w:rPr>
                <w:rFonts w:ascii="Arial" w:hAnsi="Arial" w:cs="Arial"/>
                <w:noProof/>
                <w:webHidden/>
                <w:sz w:val="22"/>
                <w:szCs w:val="22"/>
              </w:rPr>
              <w:fldChar w:fldCharType="begin"/>
            </w:r>
            <w:r w:rsidRPr="0097497A">
              <w:rPr>
                <w:rFonts w:ascii="Arial" w:hAnsi="Arial" w:cs="Arial"/>
                <w:noProof/>
                <w:webHidden/>
                <w:sz w:val="22"/>
                <w:szCs w:val="22"/>
              </w:rPr>
              <w:instrText xml:space="preserve"> PAGEREF _Toc240714310 \h </w:instrText>
            </w:r>
            <w:r w:rsidRPr="0097497A">
              <w:rPr>
                <w:rFonts w:ascii="Arial" w:hAnsi="Arial" w:cs="Arial"/>
                <w:noProof/>
                <w:webHidden/>
                <w:sz w:val="22"/>
                <w:szCs w:val="22"/>
              </w:rPr>
            </w:r>
            <w:r w:rsidRPr="0097497A">
              <w:rPr>
                <w:rFonts w:ascii="Arial" w:hAnsi="Arial" w:cs="Arial"/>
                <w:noProof/>
                <w:webHidden/>
                <w:sz w:val="22"/>
                <w:szCs w:val="22"/>
              </w:rPr>
              <w:fldChar w:fldCharType="separate"/>
            </w:r>
            <w:r w:rsidRPr="0097497A">
              <w:rPr>
                <w:rFonts w:ascii="Arial" w:hAnsi="Arial" w:cs="Arial"/>
                <w:noProof/>
                <w:webHidden/>
                <w:sz w:val="22"/>
                <w:szCs w:val="22"/>
              </w:rPr>
              <w:t>76</w:t>
            </w:r>
            <w:r w:rsidRPr="0097497A">
              <w:rPr>
                <w:rFonts w:ascii="Arial" w:hAnsi="Arial" w:cs="Arial"/>
                <w:noProof/>
                <w:webHidden/>
                <w:sz w:val="22"/>
                <w:szCs w:val="22"/>
              </w:rPr>
              <w:fldChar w:fldCharType="end"/>
            </w:r>
          </w:hyperlink>
        </w:p>
        <w:p w14:paraId="09F4F34F" w14:textId="23D7152A" w:rsidR="00720428" w:rsidRDefault="00720428">
          <w:r w:rsidRPr="0097497A">
            <w:rPr>
              <w:rFonts w:ascii="Arial" w:hAnsi="Arial" w:cs="Arial"/>
              <w:sz w:val="22"/>
              <w:szCs w:val="22"/>
            </w:rPr>
            <w:fldChar w:fldCharType="end"/>
          </w:r>
        </w:p>
      </w:sdtContent>
    </w:sdt>
    <w:p w14:paraId="7CC61DBF" w14:textId="77777777" w:rsidR="00AB7D65" w:rsidRDefault="00AB7D65" w:rsidP="00173BDC">
      <w:pPr>
        <w:spacing w:line="360" w:lineRule="auto"/>
        <w:jc w:val="both"/>
        <w:rPr>
          <w:rFonts w:ascii="Arial" w:hAnsi="Arial" w:cs="Arial"/>
          <w:sz w:val="22"/>
          <w:szCs w:val="22"/>
        </w:rPr>
      </w:pPr>
    </w:p>
    <w:p w14:paraId="051F9730" w14:textId="77777777" w:rsidR="00AB7D65" w:rsidRDefault="00AB7D65" w:rsidP="00173BDC">
      <w:pPr>
        <w:spacing w:line="360" w:lineRule="auto"/>
        <w:jc w:val="both"/>
        <w:rPr>
          <w:rFonts w:ascii="Arial" w:hAnsi="Arial" w:cs="Arial"/>
          <w:sz w:val="22"/>
          <w:szCs w:val="22"/>
        </w:rPr>
      </w:pPr>
    </w:p>
    <w:p w14:paraId="692247CE" w14:textId="77777777" w:rsidR="00AB7D65" w:rsidRDefault="00AB7D65" w:rsidP="00173BDC">
      <w:pPr>
        <w:spacing w:line="360" w:lineRule="auto"/>
        <w:jc w:val="both"/>
        <w:rPr>
          <w:rFonts w:ascii="Arial" w:hAnsi="Arial" w:cs="Arial"/>
          <w:sz w:val="22"/>
          <w:szCs w:val="22"/>
        </w:rPr>
      </w:pPr>
    </w:p>
    <w:p w14:paraId="7E318785" w14:textId="55CA56B7" w:rsidR="00656D1E" w:rsidRDefault="00656D1E" w:rsidP="00173BDC">
      <w:pPr>
        <w:spacing w:line="360" w:lineRule="auto"/>
        <w:jc w:val="both"/>
        <w:rPr>
          <w:rFonts w:ascii="Arial" w:hAnsi="Arial" w:cs="Arial"/>
          <w:sz w:val="22"/>
          <w:szCs w:val="22"/>
        </w:rPr>
      </w:pPr>
    </w:p>
    <w:p w14:paraId="36D1224F" w14:textId="77777777" w:rsidR="00656D1E" w:rsidRDefault="00656D1E" w:rsidP="00173BDC">
      <w:pPr>
        <w:spacing w:line="360" w:lineRule="auto"/>
        <w:jc w:val="both"/>
        <w:rPr>
          <w:rFonts w:ascii="Arial" w:hAnsi="Arial" w:cs="Arial"/>
          <w:sz w:val="22"/>
          <w:szCs w:val="22"/>
        </w:rPr>
      </w:pPr>
    </w:p>
    <w:p w14:paraId="6BD4BE4F" w14:textId="77777777" w:rsidR="00656D1E" w:rsidRDefault="00656D1E" w:rsidP="00173BDC">
      <w:pPr>
        <w:spacing w:line="360" w:lineRule="auto"/>
        <w:jc w:val="both"/>
        <w:rPr>
          <w:rFonts w:ascii="Arial" w:hAnsi="Arial" w:cs="Arial"/>
          <w:sz w:val="22"/>
          <w:szCs w:val="22"/>
        </w:rPr>
      </w:pPr>
    </w:p>
    <w:p w14:paraId="4BAD2A02" w14:textId="77777777" w:rsidR="00AB7D65" w:rsidRDefault="00AB7D65" w:rsidP="00173BDC">
      <w:pPr>
        <w:spacing w:line="360" w:lineRule="auto"/>
        <w:jc w:val="both"/>
        <w:rPr>
          <w:rFonts w:ascii="Arial" w:hAnsi="Arial" w:cs="Arial"/>
          <w:sz w:val="22"/>
          <w:szCs w:val="22"/>
        </w:rPr>
      </w:pPr>
    </w:p>
    <w:p w14:paraId="7DFAD806" w14:textId="77777777" w:rsidR="00AB7D65" w:rsidRDefault="00AB7D65" w:rsidP="00173BDC">
      <w:pPr>
        <w:spacing w:line="360" w:lineRule="auto"/>
        <w:jc w:val="both"/>
        <w:rPr>
          <w:rFonts w:ascii="Arial" w:hAnsi="Arial" w:cs="Arial"/>
          <w:sz w:val="22"/>
          <w:szCs w:val="22"/>
        </w:rPr>
      </w:pPr>
    </w:p>
    <w:p w14:paraId="3FA12AD7" w14:textId="77777777" w:rsidR="00AB7D65" w:rsidRDefault="00AB7D65" w:rsidP="00173BDC">
      <w:pPr>
        <w:spacing w:line="360" w:lineRule="auto"/>
        <w:jc w:val="both"/>
        <w:rPr>
          <w:rFonts w:ascii="Arial" w:hAnsi="Arial" w:cs="Arial"/>
          <w:sz w:val="22"/>
          <w:szCs w:val="22"/>
        </w:rPr>
      </w:pPr>
    </w:p>
    <w:p w14:paraId="6FED7BC0" w14:textId="77777777" w:rsidR="00AB7D65" w:rsidRDefault="00AB7D65" w:rsidP="00173BDC">
      <w:pPr>
        <w:spacing w:line="360" w:lineRule="auto"/>
        <w:jc w:val="both"/>
        <w:rPr>
          <w:rFonts w:ascii="Arial" w:hAnsi="Arial" w:cs="Arial"/>
          <w:sz w:val="22"/>
          <w:szCs w:val="22"/>
        </w:rPr>
      </w:pPr>
    </w:p>
    <w:p w14:paraId="262B6E76" w14:textId="77777777" w:rsidR="00AB7D65" w:rsidRDefault="00AB7D65" w:rsidP="00173BDC">
      <w:pPr>
        <w:spacing w:line="360" w:lineRule="auto"/>
        <w:jc w:val="both"/>
        <w:rPr>
          <w:rFonts w:ascii="Arial" w:hAnsi="Arial" w:cs="Arial"/>
          <w:sz w:val="22"/>
          <w:szCs w:val="22"/>
        </w:rPr>
      </w:pPr>
    </w:p>
    <w:p w14:paraId="16576798" w14:textId="77777777" w:rsidR="00AB7D65" w:rsidRDefault="00AB7D65" w:rsidP="00173BDC">
      <w:pPr>
        <w:spacing w:line="360" w:lineRule="auto"/>
        <w:jc w:val="both"/>
        <w:rPr>
          <w:rFonts w:ascii="Arial" w:hAnsi="Arial" w:cs="Arial"/>
          <w:sz w:val="22"/>
          <w:szCs w:val="22"/>
        </w:rPr>
      </w:pPr>
    </w:p>
    <w:p w14:paraId="2838D3A9" w14:textId="77777777" w:rsidR="00AB7D65" w:rsidRDefault="00AB7D65" w:rsidP="00173BDC">
      <w:pPr>
        <w:spacing w:line="360" w:lineRule="auto"/>
        <w:jc w:val="both"/>
        <w:rPr>
          <w:rFonts w:ascii="Arial" w:hAnsi="Arial" w:cs="Arial"/>
          <w:sz w:val="22"/>
          <w:szCs w:val="22"/>
        </w:rPr>
      </w:pPr>
    </w:p>
    <w:p w14:paraId="15344B8D" w14:textId="77777777" w:rsidR="00D86504" w:rsidRDefault="00D86504" w:rsidP="00173BDC">
      <w:pPr>
        <w:spacing w:line="360" w:lineRule="auto"/>
        <w:jc w:val="both"/>
        <w:rPr>
          <w:rFonts w:ascii="Arial" w:hAnsi="Arial" w:cs="Arial"/>
          <w:sz w:val="22"/>
          <w:szCs w:val="22"/>
        </w:rPr>
      </w:pPr>
    </w:p>
    <w:p w14:paraId="279CA9C6" w14:textId="77777777" w:rsidR="0071142F" w:rsidRDefault="0071142F" w:rsidP="00173BDC">
      <w:pPr>
        <w:spacing w:line="360" w:lineRule="auto"/>
        <w:jc w:val="both"/>
        <w:rPr>
          <w:rFonts w:ascii="Arial" w:hAnsi="Arial" w:cs="Arial"/>
          <w:sz w:val="22"/>
          <w:szCs w:val="22"/>
        </w:rPr>
      </w:pPr>
    </w:p>
    <w:p w14:paraId="3EA3C245" w14:textId="77777777" w:rsidR="00C51C2D" w:rsidRDefault="00C51C2D" w:rsidP="00173BDC">
      <w:pPr>
        <w:spacing w:line="360" w:lineRule="auto"/>
        <w:jc w:val="both"/>
        <w:rPr>
          <w:rFonts w:ascii="Arial" w:hAnsi="Arial" w:cs="Arial"/>
          <w:sz w:val="22"/>
          <w:szCs w:val="22"/>
        </w:rPr>
      </w:pPr>
    </w:p>
    <w:p w14:paraId="021E46F1" w14:textId="07BB2467" w:rsidR="002367B4" w:rsidRDefault="00344724" w:rsidP="002A260E">
      <w:pPr>
        <w:pStyle w:val="NoSpacing"/>
        <w:rPr>
          <w:rFonts w:ascii="Arial" w:hAnsi="Arial" w:cs="Arial"/>
          <w:b/>
          <w:bCs/>
        </w:rPr>
      </w:pPr>
      <w:bookmarkStart w:id="0" w:name="_Toc240714299"/>
      <w:r w:rsidRPr="002A260E">
        <w:rPr>
          <w:rFonts w:ascii="Arial" w:hAnsi="Arial" w:cs="Arial"/>
          <w:b/>
          <w:bCs/>
        </w:rPr>
        <w:t>List of figures</w:t>
      </w:r>
      <w:bookmarkEnd w:id="0"/>
    </w:p>
    <w:p w14:paraId="6DA8057B" w14:textId="77777777" w:rsidR="00F55A7C" w:rsidRDefault="00F55A7C" w:rsidP="002A260E">
      <w:pPr>
        <w:pStyle w:val="NoSpacing"/>
        <w:rPr>
          <w:rFonts w:ascii="Arial" w:hAnsi="Arial" w:cs="Arial"/>
          <w:b/>
          <w:bCs/>
        </w:rPr>
      </w:pPr>
    </w:p>
    <w:p w14:paraId="03F176D1" w14:textId="16D28B5C" w:rsidR="00E416A9" w:rsidRPr="00F24314" w:rsidRDefault="001C38E1" w:rsidP="00E416A9">
      <w:pPr>
        <w:pStyle w:val="NoSpacing"/>
        <w:spacing w:line="360" w:lineRule="auto"/>
        <w:jc w:val="both"/>
        <w:rPr>
          <w:rFonts w:ascii="Arial" w:hAnsi="Arial" w:cs="Arial"/>
          <w:sz w:val="22"/>
          <w:szCs w:val="22"/>
        </w:rPr>
      </w:pPr>
      <w:r w:rsidRPr="00F24314">
        <w:rPr>
          <w:rFonts w:ascii="Arial" w:hAnsi="Arial" w:cs="Arial"/>
          <w:sz w:val="22"/>
          <w:szCs w:val="22"/>
        </w:rPr>
        <w:t>Figure 1: PRISMA Flow Summary of Systematic Search and Screening Process</w:t>
      </w:r>
      <w:r w:rsidR="00F24314">
        <w:rPr>
          <w:rFonts w:ascii="Arial" w:hAnsi="Arial" w:cs="Arial"/>
          <w:sz w:val="22"/>
          <w:szCs w:val="22"/>
        </w:rPr>
        <w:t>………</w:t>
      </w:r>
      <w:r w:rsidR="00A83B5E">
        <w:rPr>
          <w:rFonts w:ascii="Arial" w:hAnsi="Arial" w:cs="Arial"/>
          <w:sz w:val="22"/>
          <w:szCs w:val="22"/>
        </w:rPr>
        <w:t>……</w:t>
      </w:r>
      <w:r w:rsidR="00E416A9">
        <w:rPr>
          <w:rFonts w:ascii="Arial" w:hAnsi="Arial" w:cs="Arial"/>
          <w:sz w:val="22"/>
          <w:szCs w:val="22"/>
        </w:rPr>
        <w:t>..</w:t>
      </w:r>
      <w:r w:rsidRPr="00F24314">
        <w:rPr>
          <w:rFonts w:ascii="Arial" w:hAnsi="Arial" w:cs="Arial"/>
          <w:sz w:val="22"/>
          <w:szCs w:val="22"/>
        </w:rPr>
        <w:t>35</w:t>
      </w:r>
    </w:p>
    <w:p w14:paraId="68976315" w14:textId="5E425F46" w:rsidR="00E416A9" w:rsidRPr="00F24314" w:rsidRDefault="001C38E1" w:rsidP="00E416A9">
      <w:pPr>
        <w:pStyle w:val="NoSpacing"/>
        <w:spacing w:line="360" w:lineRule="auto"/>
        <w:jc w:val="both"/>
        <w:rPr>
          <w:rFonts w:ascii="Arial" w:hAnsi="Arial" w:cs="Arial"/>
          <w:sz w:val="22"/>
          <w:szCs w:val="22"/>
        </w:rPr>
      </w:pPr>
      <w:r w:rsidRPr="00F24314">
        <w:rPr>
          <w:rFonts w:ascii="Arial" w:hAnsi="Arial" w:cs="Arial"/>
          <w:sz w:val="22"/>
          <w:szCs w:val="22"/>
        </w:rPr>
        <w:t>Figure 2. Referral source distribution by IMD deciles. GP, general practitioner; IMD, Index of Multiple Deprivation</w:t>
      </w:r>
      <w:r w:rsidR="00A83B5E">
        <w:rPr>
          <w:rFonts w:ascii="Arial" w:hAnsi="Arial" w:cs="Arial"/>
          <w:sz w:val="22"/>
          <w:szCs w:val="22"/>
        </w:rPr>
        <w:t>…………………………………………………………………………………</w:t>
      </w:r>
      <w:r w:rsidR="00E416A9">
        <w:rPr>
          <w:rFonts w:ascii="Arial" w:hAnsi="Arial" w:cs="Arial"/>
          <w:sz w:val="22"/>
          <w:szCs w:val="22"/>
        </w:rPr>
        <w:t>….</w:t>
      </w:r>
      <w:r w:rsidRPr="00F24314">
        <w:rPr>
          <w:rFonts w:ascii="Arial" w:hAnsi="Arial" w:cs="Arial"/>
          <w:sz w:val="22"/>
          <w:szCs w:val="22"/>
        </w:rPr>
        <w:t>45</w:t>
      </w:r>
    </w:p>
    <w:p w14:paraId="3D0EE188" w14:textId="4FB4DF4D" w:rsidR="001C38E1" w:rsidRPr="001C38E1" w:rsidRDefault="001C38E1" w:rsidP="00E416A9">
      <w:pPr>
        <w:pStyle w:val="NoSpacing"/>
        <w:spacing w:line="360" w:lineRule="auto"/>
        <w:jc w:val="both"/>
        <w:rPr>
          <w:rFonts w:ascii="Arial" w:hAnsi="Arial" w:cs="Arial"/>
          <w:b/>
          <w:bCs/>
        </w:rPr>
      </w:pPr>
      <w:r w:rsidRPr="00F24314">
        <w:rPr>
          <w:rFonts w:ascii="Arial" w:hAnsi="Arial" w:cs="Arial"/>
          <w:sz w:val="22"/>
          <w:szCs w:val="22"/>
        </w:rPr>
        <w:t>Figure 3. Attendance reasons for IMD10 (least deprived) and IMD1 (most deprived). IMD, Index of Multiple Deprivation</w:t>
      </w:r>
      <w:r w:rsidR="00AD7F86">
        <w:rPr>
          <w:rFonts w:ascii="Arial" w:hAnsi="Arial" w:cs="Arial"/>
          <w:sz w:val="22"/>
          <w:szCs w:val="22"/>
        </w:rPr>
        <w:t>………………………………………………………………………………</w:t>
      </w:r>
      <w:r w:rsidR="00E416A9">
        <w:rPr>
          <w:rFonts w:ascii="Arial" w:hAnsi="Arial" w:cs="Arial"/>
          <w:sz w:val="22"/>
          <w:szCs w:val="22"/>
        </w:rPr>
        <w:t>….</w:t>
      </w:r>
      <w:r w:rsidRPr="00AD7F86">
        <w:rPr>
          <w:rFonts w:ascii="Arial" w:hAnsi="Arial" w:cs="Arial"/>
          <w:sz w:val="22"/>
          <w:szCs w:val="22"/>
        </w:rPr>
        <w:t>45</w:t>
      </w:r>
    </w:p>
    <w:p w14:paraId="70395E36" w14:textId="77777777" w:rsidR="00364EF8" w:rsidRDefault="00364EF8" w:rsidP="00173BDC">
      <w:pPr>
        <w:spacing w:line="360" w:lineRule="auto"/>
        <w:jc w:val="both"/>
        <w:rPr>
          <w:rFonts w:ascii="Arial" w:hAnsi="Arial" w:cs="Arial"/>
          <w:sz w:val="22"/>
          <w:szCs w:val="22"/>
        </w:rPr>
      </w:pPr>
    </w:p>
    <w:p w14:paraId="0696C19C" w14:textId="7B1393E6" w:rsidR="0071649D" w:rsidRPr="002A260E" w:rsidRDefault="00322CC7" w:rsidP="002A260E">
      <w:pPr>
        <w:pStyle w:val="NoSpacing"/>
        <w:rPr>
          <w:rFonts w:ascii="Arial" w:hAnsi="Arial" w:cs="Arial"/>
          <w:b/>
          <w:bCs/>
        </w:rPr>
      </w:pPr>
      <w:bookmarkStart w:id="1" w:name="_Toc240714300"/>
      <w:r w:rsidRPr="002A260E">
        <w:rPr>
          <w:rFonts w:ascii="Arial" w:hAnsi="Arial" w:cs="Arial"/>
          <w:b/>
          <w:bCs/>
        </w:rPr>
        <w:t>List of tables</w:t>
      </w:r>
      <w:bookmarkEnd w:id="1"/>
      <w:r w:rsidRPr="002A260E">
        <w:rPr>
          <w:rFonts w:ascii="Arial" w:hAnsi="Arial" w:cs="Arial"/>
          <w:b/>
          <w:bCs/>
        </w:rPr>
        <w:t xml:space="preserve"> </w:t>
      </w:r>
    </w:p>
    <w:p w14:paraId="43FE8FC5" w14:textId="77777777" w:rsidR="00D86504" w:rsidRDefault="00D86504" w:rsidP="00173BDC">
      <w:pPr>
        <w:spacing w:line="360" w:lineRule="auto"/>
        <w:jc w:val="both"/>
        <w:rPr>
          <w:rFonts w:ascii="Arial" w:hAnsi="Arial" w:cs="Arial"/>
          <w:sz w:val="22"/>
          <w:szCs w:val="22"/>
        </w:rPr>
      </w:pPr>
    </w:p>
    <w:p w14:paraId="26E84D3C" w14:textId="1A87D9E6" w:rsidR="00224CD2" w:rsidRPr="00224CD2" w:rsidRDefault="00224CD2" w:rsidP="00224CD2">
      <w:pPr>
        <w:spacing w:line="360" w:lineRule="auto"/>
        <w:jc w:val="both"/>
        <w:rPr>
          <w:rFonts w:ascii="Arial" w:hAnsi="Arial" w:cs="Arial"/>
          <w:sz w:val="22"/>
          <w:szCs w:val="22"/>
        </w:rPr>
      </w:pPr>
      <w:r w:rsidRPr="00224CD2">
        <w:rPr>
          <w:rFonts w:ascii="Arial" w:hAnsi="Arial" w:cs="Arial"/>
          <w:sz w:val="22"/>
          <w:szCs w:val="22"/>
        </w:rPr>
        <w:t>Table 1: Characteristics of Included Studies (T1–T4 = Themes 1–4)</w:t>
      </w:r>
      <w:r>
        <w:rPr>
          <w:rFonts w:ascii="Arial" w:hAnsi="Arial" w:cs="Arial"/>
          <w:sz w:val="22"/>
          <w:szCs w:val="22"/>
        </w:rPr>
        <w:t>……………………….</w:t>
      </w:r>
      <w:r w:rsidRPr="00224CD2">
        <w:rPr>
          <w:rFonts w:ascii="Arial" w:hAnsi="Arial" w:cs="Arial"/>
          <w:sz w:val="22"/>
          <w:szCs w:val="22"/>
        </w:rPr>
        <w:tab/>
      </w:r>
      <w:r>
        <w:rPr>
          <w:rFonts w:ascii="Arial" w:hAnsi="Arial" w:cs="Arial"/>
          <w:sz w:val="22"/>
          <w:szCs w:val="22"/>
        </w:rPr>
        <w:t>…...</w:t>
      </w:r>
      <w:r w:rsidRPr="00224CD2">
        <w:rPr>
          <w:rFonts w:ascii="Arial" w:hAnsi="Arial" w:cs="Arial"/>
          <w:sz w:val="22"/>
          <w:szCs w:val="22"/>
        </w:rPr>
        <w:t>36</w:t>
      </w:r>
    </w:p>
    <w:p w14:paraId="09372DA6" w14:textId="6F89D61E" w:rsidR="00D86504" w:rsidRDefault="00224CD2" w:rsidP="00224CD2">
      <w:pPr>
        <w:spacing w:line="360" w:lineRule="auto"/>
        <w:jc w:val="both"/>
        <w:rPr>
          <w:rFonts w:ascii="Arial" w:hAnsi="Arial" w:cs="Arial"/>
          <w:sz w:val="22"/>
          <w:szCs w:val="22"/>
        </w:rPr>
      </w:pPr>
      <w:r w:rsidRPr="00224CD2">
        <w:rPr>
          <w:rFonts w:ascii="Arial" w:hAnsi="Arial" w:cs="Arial"/>
          <w:sz w:val="22"/>
          <w:szCs w:val="22"/>
        </w:rPr>
        <w:t>Table 2: CASP table</w:t>
      </w:r>
      <w:r>
        <w:rPr>
          <w:rFonts w:ascii="Arial" w:hAnsi="Arial" w:cs="Arial"/>
          <w:sz w:val="22"/>
          <w:szCs w:val="22"/>
        </w:rPr>
        <w:t>……………………………………………………………………………………</w:t>
      </w:r>
      <w:r w:rsidRPr="00224CD2">
        <w:rPr>
          <w:rFonts w:ascii="Arial" w:hAnsi="Arial" w:cs="Arial"/>
          <w:sz w:val="22"/>
          <w:szCs w:val="22"/>
        </w:rPr>
        <w:t>38</w:t>
      </w:r>
    </w:p>
    <w:p w14:paraId="125367CB" w14:textId="77777777" w:rsidR="00224CD2" w:rsidRDefault="00224CD2" w:rsidP="00173BDC">
      <w:pPr>
        <w:spacing w:line="360" w:lineRule="auto"/>
        <w:jc w:val="both"/>
        <w:rPr>
          <w:rFonts w:ascii="Arial" w:hAnsi="Arial" w:cs="Arial"/>
          <w:sz w:val="22"/>
          <w:szCs w:val="22"/>
        </w:rPr>
      </w:pPr>
    </w:p>
    <w:p w14:paraId="695B866B" w14:textId="4BDE8619" w:rsidR="00D86504" w:rsidRPr="002A260E" w:rsidRDefault="00A65FA6" w:rsidP="002A260E">
      <w:pPr>
        <w:pStyle w:val="NoSpacing"/>
        <w:rPr>
          <w:rFonts w:ascii="Arial" w:hAnsi="Arial" w:cs="Arial"/>
          <w:b/>
          <w:bCs/>
        </w:rPr>
      </w:pPr>
      <w:bookmarkStart w:id="2" w:name="_Toc240714301"/>
      <w:r w:rsidRPr="002A260E">
        <w:rPr>
          <w:rFonts w:ascii="Arial" w:hAnsi="Arial" w:cs="Arial"/>
          <w:b/>
          <w:bCs/>
        </w:rPr>
        <w:t>List of abbreviations</w:t>
      </w:r>
      <w:bookmarkEnd w:id="2"/>
    </w:p>
    <w:p w14:paraId="24CB2835" w14:textId="77777777" w:rsidR="00DE322D" w:rsidRPr="00455E5D" w:rsidRDefault="00DE322D" w:rsidP="00DE322D">
      <w:pPr>
        <w:pStyle w:val="Heading1"/>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72"/>
        <w:gridCol w:w="7488"/>
      </w:tblGrid>
      <w:tr w:rsidR="00D647ED" w:rsidRPr="00D647ED" w14:paraId="22E15D49" w14:textId="77777777">
        <w:tc>
          <w:tcPr>
            <w:tcW w:w="1000" w:type="pct"/>
            <w:tcBorders>
              <w:top w:val="nil"/>
              <w:left w:val="nil"/>
              <w:bottom w:val="nil"/>
              <w:right w:val="nil"/>
            </w:tcBorders>
            <w:tcMar>
              <w:top w:w="60" w:type="dxa"/>
              <w:left w:w="80" w:type="dxa"/>
              <w:bottom w:w="60" w:type="dxa"/>
              <w:right w:w="80" w:type="dxa"/>
            </w:tcMar>
            <w:hideMark/>
          </w:tcPr>
          <w:p w14:paraId="15849369"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A&amp;E</w:t>
            </w:r>
          </w:p>
        </w:tc>
        <w:tc>
          <w:tcPr>
            <w:tcW w:w="4000" w:type="pct"/>
            <w:tcBorders>
              <w:top w:val="nil"/>
              <w:left w:val="nil"/>
              <w:bottom w:val="nil"/>
              <w:right w:val="nil"/>
            </w:tcBorders>
            <w:tcMar>
              <w:top w:w="60" w:type="dxa"/>
              <w:left w:w="80" w:type="dxa"/>
              <w:bottom w:w="60" w:type="dxa"/>
              <w:right w:w="80" w:type="dxa"/>
            </w:tcMar>
            <w:hideMark/>
          </w:tcPr>
          <w:p w14:paraId="1A17ECBA"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Accident and Emergency</w:t>
            </w:r>
          </w:p>
        </w:tc>
      </w:tr>
      <w:tr w:rsidR="00D647ED" w:rsidRPr="00D647ED" w14:paraId="33DCAD5C" w14:textId="77777777">
        <w:tc>
          <w:tcPr>
            <w:tcW w:w="1000" w:type="pct"/>
            <w:tcBorders>
              <w:top w:val="nil"/>
              <w:left w:val="nil"/>
              <w:bottom w:val="nil"/>
              <w:right w:val="nil"/>
            </w:tcBorders>
            <w:tcMar>
              <w:top w:w="60" w:type="dxa"/>
              <w:left w:w="80" w:type="dxa"/>
              <w:bottom w:w="60" w:type="dxa"/>
              <w:right w:w="80" w:type="dxa"/>
            </w:tcMar>
            <w:hideMark/>
          </w:tcPr>
          <w:p w14:paraId="3AC47876"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BJGP</w:t>
            </w:r>
          </w:p>
        </w:tc>
        <w:tc>
          <w:tcPr>
            <w:tcW w:w="4000" w:type="pct"/>
            <w:tcBorders>
              <w:top w:val="nil"/>
              <w:left w:val="nil"/>
              <w:bottom w:val="nil"/>
              <w:right w:val="nil"/>
            </w:tcBorders>
            <w:tcMar>
              <w:top w:w="60" w:type="dxa"/>
              <w:left w:w="80" w:type="dxa"/>
              <w:bottom w:w="60" w:type="dxa"/>
              <w:right w:w="80" w:type="dxa"/>
            </w:tcMar>
            <w:hideMark/>
          </w:tcPr>
          <w:p w14:paraId="1E4E1086"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British Journal of General Practice</w:t>
            </w:r>
          </w:p>
        </w:tc>
      </w:tr>
      <w:tr w:rsidR="00D647ED" w:rsidRPr="00D647ED" w14:paraId="1EB01DC4" w14:textId="77777777">
        <w:tc>
          <w:tcPr>
            <w:tcW w:w="1000" w:type="pct"/>
            <w:tcBorders>
              <w:top w:val="nil"/>
              <w:left w:val="nil"/>
              <w:bottom w:val="nil"/>
              <w:right w:val="nil"/>
            </w:tcBorders>
            <w:tcMar>
              <w:top w:w="60" w:type="dxa"/>
              <w:left w:w="80" w:type="dxa"/>
              <w:bottom w:w="60" w:type="dxa"/>
              <w:right w:w="80" w:type="dxa"/>
            </w:tcMar>
            <w:hideMark/>
          </w:tcPr>
          <w:p w14:paraId="33F3839B"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BMC</w:t>
            </w:r>
          </w:p>
        </w:tc>
        <w:tc>
          <w:tcPr>
            <w:tcW w:w="4000" w:type="pct"/>
            <w:tcBorders>
              <w:top w:val="nil"/>
              <w:left w:val="nil"/>
              <w:bottom w:val="nil"/>
              <w:right w:val="nil"/>
            </w:tcBorders>
            <w:tcMar>
              <w:top w:w="60" w:type="dxa"/>
              <w:left w:w="80" w:type="dxa"/>
              <w:bottom w:w="60" w:type="dxa"/>
              <w:right w:w="80" w:type="dxa"/>
            </w:tcMar>
            <w:hideMark/>
          </w:tcPr>
          <w:p w14:paraId="200C9B57"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BioMed Central</w:t>
            </w:r>
          </w:p>
        </w:tc>
      </w:tr>
      <w:tr w:rsidR="00D647ED" w:rsidRPr="00D647ED" w14:paraId="74B6CFDC" w14:textId="77777777">
        <w:tc>
          <w:tcPr>
            <w:tcW w:w="1000" w:type="pct"/>
            <w:tcBorders>
              <w:top w:val="nil"/>
              <w:left w:val="nil"/>
              <w:bottom w:val="nil"/>
              <w:right w:val="nil"/>
            </w:tcBorders>
            <w:tcMar>
              <w:top w:w="60" w:type="dxa"/>
              <w:left w:w="80" w:type="dxa"/>
              <w:bottom w:w="60" w:type="dxa"/>
              <w:right w:w="80" w:type="dxa"/>
            </w:tcMar>
            <w:hideMark/>
          </w:tcPr>
          <w:p w14:paraId="6572B4C7"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BMJ</w:t>
            </w:r>
          </w:p>
        </w:tc>
        <w:tc>
          <w:tcPr>
            <w:tcW w:w="4000" w:type="pct"/>
            <w:tcBorders>
              <w:top w:val="nil"/>
              <w:left w:val="nil"/>
              <w:bottom w:val="nil"/>
              <w:right w:val="nil"/>
            </w:tcBorders>
            <w:tcMar>
              <w:top w:w="60" w:type="dxa"/>
              <w:left w:w="80" w:type="dxa"/>
              <w:bottom w:w="60" w:type="dxa"/>
              <w:right w:w="80" w:type="dxa"/>
            </w:tcMar>
            <w:hideMark/>
          </w:tcPr>
          <w:p w14:paraId="7C8E288E"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British Medical Journal</w:t>
            </w:r>
          </w:p>
        </w:tc>
      </w:tr>
      <w:tr w:rsidR="00D647ED" w:rsidRPr="00D647ED" w14:paraId="2EE24A9F" w14:textId="77777777">
        <w:tc>
          <w:tcPr>
            <w:tcW w:w="1000" w:type="pct"/>
            <w:tcBorders>
              <w:top w:val="nil"/>
              <w:left w:val="nil"/>
              <w:bottom w:val="nil"/>
              <w:right w:val="nil"/>
            </w:tcBorders>
            <w:tcMar>
              <w:top w:w="60" w:type="dxa"/>
              <w:left w:w="80" w:type="dxa"/>
              <w:bottom w:w="60" w:type="dxa"/>
              <w:right w:w="80" w:type="dxa"/>
            </w:tcMar>
            <w:hideMark/>
          </w:tcPr>
          <w:p w14:paraId="245129ED"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BMA</w:t>
            </w:r>
          </w:p>
        </w:tc>
        <w:tc>
          <w:tcPr>
            <w:tcW w:w="4000" w:type="pct"/>
            <w:tcBorders>
              <w:top w:val="nil"/>
              <w:left w:val="nil"/>
              <w:bottom w:val="nil"/>
              <w:right w:val="nil"/>
            </w:tcBorders>
            <w:tcMar>
              <w:top w:w="60" w:type="dxa"/>
              <w:left w:w="80" w:type="dxa"/>
              <w:bottom w:w="60" w:type="dxa"/>
              <w:right w:w="80" w:type="dxa"/>
            </w:tcMar>
            <w:hideMark/>
          </w:tcPr>
          <w:p w14:paraId="58C23E71"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British Medical Association</w:t>
            </w:r>
          </w:p>
        </w:tc>
      </w:tr>
      <w:tr w:rsidR="00D647ED" w:rsidRPr="00D647ED" w14:paraId="08290A80" w14:textId="77777777">
        <w:tc>
          <w:tcPr>
            <w:tcW w:w="1000" w:type="pct"/>
            <w:tcBorders>
              <w:top w:val="nil"/>
              <w:left w:val="nil"/>
              <w:bottom w:val="nil"/>
              <w:right w:val="nil"/>
            </w:tcBorders>
            <w:tcMar>
              <w:top w:w="60" w:type="dxa"/>
              <w:left w:w="80" w:type="dxa"/>
              <w:bottom w:w="60" w:type="dxa"/>
              <w:right w:w="80" w:type="dxa"/>
            </w:tcMar>
            <w:hideMark/>
          </w:tcPr>
          <w:p w14:paraId="3A5579DF"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BPS</w:t>
            </w:r>
          </w:p>
        </w:tc>
        <w:tc>
          <w:tcPr>
            <w:tcW w:w="4000" w:type="pct"/>
            <w:tcBorders>
              <w:top w:val="nil"/>
              <w:left w:val="nil"/>
              <w:bottom w:val="nil"/>
              <w:right w:val="nil"/>
            </w:tcBorders>
            <w:tcMar>
              <w:top w:w="60" w:type="dxa"/>
              <w:left w:w="80" w:type="dxa"/>
              <w:bottom w:w="60" w:type="dxa"/>
              <w:right w:w="80" w:type="dxa"/>
            </w:tcMar>
            <w:hideMark/>
          </w:tcPr>
          <w:p w14:paraId="7C313E1E"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British Psychological Society</w:t>
            </w:r>
          </w:p>
        </w:tc>
      </w:tr>
      <w:tr w:rsidR="00D647ED" w:rsidRPr="00D647ED" w14:paraId="53219D99" w14:textId="77777777">
        <w:tc>
          <w:tcPr>
            <w:tcW w:w="1000" w:type="pct"/>
            <w:tcBorders>
              <w:top w:val="nil"/>
              <w:left w:val="nil"/>
              <w:bottom w:val="nil"/>
              <w:right w:val="nil"/>
            </w:tcBorders>
            <w:tcMar>
              <w:top w:w="60" w:type="dxa"/>
              <w:left w:w="80" w:type="dxa"/>
              <w:bottom w:w="60" w:type="dxa"/>
              <w:right w:w="80" w:type="dxa"/>
            </w:tcMar>
            <w:hideMark/>
          </w:tcPr>
          <w:p w14:paraId="29847EE2"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CCG</w:t>
            </w:r>
          </w:p>
        </w:tc>
        <w:tc>
          <w:tcPr>
            <w:tcW w:w="4000" w:type="pct"/>
            <w:tcBorders>
              <w:top w:val="nil"/>
              <w:left w:val="nil"/>
              <w:bottom w:val="nil"/>
              <w:right w:val="nil"/>
            </w:tcBorders>
            <w:tcMar>
              <w:top w:w="60" w:type="dxa"/>
              <w:left w:w="80" w:type="dxa"/>
              <w:bottom w:w="60" w:type="dxa"/>
              <w:right w:w="80" w:type="dxa"/>
            </w:tcMar>
            <w:hideMark/>
          </w:tcPr>
          <w:p w14:paraId="5B046849"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Clinical Commissioning Group</w:t>
            </w:r>
          </w:p>
        </w:tc>
      </w:tr>
      <w:tr w:rsidR="00D647ED" w:rsidRPr="00D647ED" w14:paraId="10B7F5D1" w14:textId="77777777">
        <w:tc>
          <w:tcPr>
            <w:tcW w:w="1000" w:type="pct"/>
            <w:tcBorders>
              <w:top w:val="nil"/>
              <w:left w:val="nil"/>
              <w:bottom w:val="nil"/>
              <w:right w:val="nil"/>
            </w:tcBorders>
            <w:tcMar>
              <w:top w:w="60" w:type="dxa"/>
              <w:left w:w="80" w:type="dxa"/>
              <w:bottom w:w="60" w:type="dxa"/>
              <w:right w:w="80" w:type="dxa"/>
            </w:tcMar>
            <w:hideMark/>
          </w:tcPr>
          <w:p w14:paraId="4BA7D1B2"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CINAHL</w:t>
            </w:r>
          </w:p>
        </w:tc>
        <w:tc>
          <w:tcPr>
            <w:tcW w:w="4000" w:type="pct"/>
            <w:tcBorders>
              <w:top w:val="nil"/>
              <w:left w:val="nil"/>
              <w:bottom w:val="nil"/>
              <w:right w:val="nil"/>
            </w:tcBorders>
            <w:tcMar>
              <w:top w:w="60" w:type="dxa"/>
              <w:left w:w="80" w:type="dxa"/>
              <w:bottom w:w="60" w:type="dxa"/>
              <w:right w:w="80" w:type="dxa"/>
            </w:tcMar>
            <w:hideMark/>
          </w:tcPr>
          <w:p w14:paraId="00246EB6"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Cumulative Index to Nursing and Allied Health Literature</w:t>
            </w:r>
          </w:p>
        </w:tc>
      </w:tr>
      <w:tr w:rsidR="00D647ED" w:rsidRPr="00D647ED" w14:paraId="0B20D9B3" w14:textId="77777777">
        <w:tc>
          <w:tcPr>
            <w:tcW w:w="1000" w:type="pct"/>
            <w:tcBorders>
              <w:top w:val="nil"/>
              <w:left w:val="nil"/>
              <w:bottom w:val="nil"/>
              <w:right w:val="nil"/>
            </w:tcBorders>
            <w:tcMar>
              <w:top w:w="60" w:type="dxa"/>
              <w:left w:w="80" w:type="dxa"/>
              <w:bottom w:w="60" w:type="dxa"/>
              <w:right w:w="80" w:type="dxa"/>
            </w:tcMar>
            <w:hideMark/>
          </w:tcPr>
          <w:p w14:paraId="7C5E0128"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CQC</w:t>
            </w:r>
          </w:p>
        </w:tc>
        <w:tc>
          <w:tcPr>
            <w:tcW w:w="4000" w:type="pct"/>
            <w:tcBorders>
              <w:top w:val="nil"/>
              <w:left w:val="nil"/>
              <w:bottom w:val="nil"/>
              <w:right w:val="nil"/>
            </w:tcBorders>
            <w:tcMar>
              <w:top w:w="60" w:type="dxa"/>
              <w:left w:w="80" w:type="dxa"/>
              <w:bottom w:w="60" w:type="dxa"/>
              <w:right w:w="80" w:type="dxa"/>
            </w:tcMar>
            <w:hideMark/>
          </w:tcPr>
          <w:p w14:paraId="3D5F4683"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Care Quality Commission</w:t>
            </w:r>
          </w:p>
        </w:tc>
      </w:tr>
      <w:tr w:rsidR="00D647ED" w:rsidRPr="00D647ED" w14:paraId="1D3FF02C" w14:textId="77777777">
        <w:tc>
          <w:tcPr>
            <w:tcW w:w="1000" w:type="pct"/>
            <w:tcBorders>
              <w:top w:val="nil"/>
              <w:left w:val="nil"/>
              <w:bottom w:val="nil"/>
              <w:right w:val="nil"/>
            </w:tcBorders>
            <w:tcMar>
              <w:top w:w="60" w:type="dxa"/>
              <w:left w:w="80" w:type="dxa"/>
              <w:bottom w:w="60" w:type="dxa"/>
              <w:right w:w="80" w:type="dxa"/>
            </w:tcMar>
            <w:hideMark/>
          </w:tcPr>
          <w:p w14:paraId="064C4DCC"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COVID-19</w:t>
            </w:r>
          </w:p>
        </w:tc>
        <w:tc>
          <w:tcPr>
            <w:tcW w:w="4000" w:type="pct"/>
            <w:tcBorders>
              <w:top w:val="nil"/>
              <w:left w:val="nil"/>
              <w:bottom w:val="nil"/>
              <w:right w:val="nil"/>
            </w:tcBorders>
            <w:tcMar>
              <w:top w:w="60" w:type="dxa"/>
              <w:left w:w="80" w:type="dxa"/>
              <w:bottom w:w="60" w:type="dxa"/>
              <w:right w:w="80" w:type="dxa"/>
            </w:tcMar>
            <w:hideMark/>
          </w:tcPr>
          <w:p w14:paraId="38512D34"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Coronavirus Disease 2019</w:t>
            </w:r>
          </w:p>
        </w:tc>
      </w:tr>
      <w:tr w:rsidR="00D647ED" w:rsidRPr="00D647ED" w14:paraId="76D3938C" w14:textId="77777777">
        <w:tc>
          <w:tcPr>
            <w:tcW w:w="1000" w:type="pct"/>
            <w:tcBorders>
              <w:top w:val="nil"/>
              <w:left w:val="nil"/>
              <w:bottom w:val="nil"/>
              <w:right w:val="nil"/>
            </w:tcBorders>
            <w:tcMar>
              <w:top w:w="60" w:type="dxa"/>
              <w:left w:w="80" w:type="dxa"/>
              <w:bottom w:w="60" w:type="dxa"/>
              <w:right w:w="80" w:type="dxa"/>
            </w:tcMar>
            <w:hideMark/>
          </w:tcPr>
          <w:p w14:paraId="38ED7804"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DEUCE</w:t>
            </w:r>
          </w:p>
        </w:tc>
        <w:tc>
          <w:tcPr>
            <w:tcW w:w="4000" w:type="pct"/>
            <w:tcBorders>
              <w:top w:val="nil"/>
              <w:left w:val="nil"/>
              <w:bottom w:val="nil"/>
              <w:right w:val="nil"/>
            </w:tcBorders>
            <w:tcMar>
              <w:top w:w="60" w:type="dxa"/>
              <w:left w:w="80" w:type="dxa"/>
              <w:bottom w:w="60" w:type="dxa"/>
              <w:right w:w="80" w:type="dxa"/>
            </w:tcMar>
            <w:hideMark/>
          </w:tcPr>
          <w:p w14:paraId="0921F57E"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Drivers of Clinically Unnecessary use of Emergency and urgent Care</w:t>
            </w:r>
          </w:p>
        </w:tc>
      </w:tr>
      <w:tr w:rsidR="00D647ED" w:rsidRPr="00D647ED" w14:paraId="55BBA34A" w14:textId="77777777">
        <w:tc>
          <w:tcPr>
            <w:tcW w:w="1000" w:type="pct"/>
            <w:tcBorders>
              <w:top w:val="nil"/>
              <w:left w:val="nil"/>
              <w:bottom w:val="nil"/>
              <w:right w:val="nil"/>
            </w:tcBorders>
            <w:tcMar>
              <w:top w:w="60" w:type="dxa"/>
              <w:left w:w="80" w:type="dxa"/>
              <w:bottom w:w="60" w:type="dxa"/>
              <w:right w:w="80" w:type="dxa"/>
            </w:tcMar>
            <w:hideMark/>
          </w:tcPr>
          <w:p w14:paraId="2DD06B94"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DHSC</w:t>
            </w:r>
          </w:p>
        </w:tc>
        <w:tc>
          <w:tcPr>
            <w:tcW w:w="4000" w:type="pct"/>
            <w:tcBorders>
              <w:top w:val="nil"/>
              <w:left w:val="nil"/>
              <w:bottom w:val="nil"/>
              <w:right w:val="nil"/>
            </w:tcBorders>
            <w:tcMar>
              <w:top w:w="60" w:type="dxa"/>
              <w:left w:w="80" w:type="dxa"/>
              <w:bottom w:w="60" w:type="dxa"/>
              <w:right w:w="80" w:type="dxa"/>
            </w:tcMar>
            <w:hideMark/>
          </w:tcPr>
          <w:p w14:paraId="2FBBE136"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Department of Health and Social Care</w:t>
            </w:r>
          </w:p>
        </w:tc>
      </w:tr>
      <w:tr w:rsidR="00D647ED" w:rsidRPr="00D647ED" w14:paraId="7E275DAB" w14:textId="77777777">
        <w:tc>
          <w:tcPr>
            <w:tcW w:w="1000" w:type="pct"/>
            <w:tcBorders>
              <w:top w:val="nil"/>
              <w:left w:val="nil"/>
              <w:bottom w:val="nil"/>
              <w:right w:val="nil"/>
            </w:tcBorders>
            <w:tcMar>
              <w:top w:w="60" w:type="dxa"/>
              <w:left w:w="80" w:type="dxa"/>
              <w:bottom w:w="60" w:type="dxa"/>
              <w:right w:w="80" w:type="dxa"/>
            </w:tcMar>
            <w:hideMark/>
          </w:tcPr>
          <w:p w14:paraId="1A744373"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DOI</w:t>
            </w:r>
          </w:p>
        </w:tc>
        <w:tc>
          <w:tcPr>
            <w:tcW w:w="4000" w:type="pct"/>
            <w:tcBorders>
              <w:top w:val="nil"/>
              <w:left w:val="nil"/>
              <w:bottom w:val="nil"/>
              <w:right w:val="nil"/>
            </w:tcBorders>
            <w:tcMar>
              <w:top w:w="60" w:type="dxa"/>
              <w:left w:w="80" w:type="dxa"/>
              <w:bottom w:w="60" w:type="dxa"/>
              <w:right w:w="80" w:type="dxa"/>
            </w:tcMar>
            <w:hideMark/>
          </w:tcPr>
          <w:p w14:paraId="794C4606"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Digital Object Identifier</w:t>
            </w:r>
          </w:p>
        </w:tc>
      </w:tr>
      <w:tr w:rsidR="00D647ED" w:rsidRPr="00D647ED" w14:paraId="32E4946B" w14:textId="77777777">
        <w:tc>
          <w:tcPr>
            <w:tcW w:w="1000" w:type="pct"/>
            <w:tcBorders>
              <w:top w:val="nil"/>
              <w:left w:val="nil"/>
              <w:bottom w:val="nil"/>
              <w:right w:val="nil"/>
            </w:tcBorders>
            <w:tcMar>
              <w:top w:w="60" w:type="dxa"/>
              <w:left w:w="80" w:type="dxa"/>
              <w:bottom w:w="60" w:type="dxa"/>
              <w:right w:w="80" w:type="dxa"/>
            </w:tcMar>
            <w:hideMark/>
          </w:tcPr>
          <w:p w14:paraId="47417550"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lastRenderedPageBreak/>
              <w:t>ED</w:t>
            </w:r>
          </w:p>
        </w:tc>
        <w:tc>
          <w:tcPr>
            <w:tcW w:w="4000" w:type="pct"/>
            <w:tcBorders>
              <w:top w:val="nil"/>
              <w:left w:val="nil"/>
              <w:bottom w:val="nil"/>
              <w:right w:val="nil"/>
            </w:tcBorders>
            <w:tcMar>
              <w:top w:w="60" w:type="dxa"/>
              <w:left w:w="80" w:type="dxa"/>
              <w:bottom w:w="60" w:type="dxa"/>
              <w:right w:w="80" w:type="dxa"/>
            </w:tcMar>
            <w:hideMark/>
          </w:tcPr>
          <w:p w14:paraId="353E5235"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Emergency Department</w:t>
            </w:r>
          </w:p>
        </w:tc>
      </w:tr>
      <w:tr w:rsidR="00D647ED" w:rsidRPr="00D647ED" w14:paraId="4E38133E" w14:textId="77777777">
        <w:tc>
          <w:tcPr>
            <w:tcW w:w="1000" w:type="pct"/>
            <w:tcBorders>
              <w:top w:val="nil"/>
              <w:left w:val="nil"/>
              <w:bottom w:val="nil"/>
              <w:right w:val="nil"/>
            </w:tcBorders>
            <w:tcMar>
              <w:top w:w="60" w:type="dxa"/>
              <w:left w:w="80" w:type="dxa"/>
              <w:bottom w:w="60" w:type="dxa"/>
              <w:right w:w="80" w:type="dxa"/>
            </w:tcMar>
            <w:hideMark/>
          </w:tcPr>
          <w:p w14:paraId="061EAC8F"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EMBASE</w:t>
            </w:r>
          </w:p>
        </w:tc>
        <w:tc>
          <w:tcPr>
            <w:tcW w:w="4000" w:type="pct"/>
            <w:tcBorders>
              <w:top w:val="nil"/>
              <w:left w:val="nil"/>
              <w:bottom w:val="nil"/>
              <w:right w:val="nil"/>
            </w:tcBorders>
            <w:tcMar>
              <w:top w:w="60" w:type="dxa"/>
              <w:left w:w="80" w:type="dxa"/>
              <w:bottom w:w="60" w:type="dxa"/>
              <w:right w:w="80" w:type="dxa"/>
            </w:tcMar>
            <w:hideMark/>
          </w:tcPr>
          <w:p w14:paraId="61CE9BB3"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Excerpta Medica Database</w:t>
            </w:r>
          </w:p>
        </w:tc>
      </w:tr>
      <w:tr w:rsidR="00D647ED" w:rsidRPr="00D647ED" w14:paraId="1F065634" w14:textId="77777777">
        <w:tc>
          <w:tcPr>
            <w:tcW w:w="1000" w:type="pct"/>
            <w:tcBorders>
              <w:top w:val="nil"/>
              <w:left w:val="nil"/>
              <w:bottom w:val="nil"/>
              <w:right w:val="nil"/>
            </w:tcBorders>
            <w:tcMar>
              <w:top w:w="60" w:type="dxa"/>
              <w:left w:w="80" w:type="dxa"/>
              <w:bottom w:w="60" w:type="dxa"/>
              <w:right w:w="80" w:type="dxa"/>
            </w:tcMar>
            <w:hideMark/>
          </w:tcPr>
          <w:p w14:paraId="58471CF8"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GP</w:t>
            </w:r>
          </w:p>
        </w:tc>
        <w:tc>
          <w:tcPr>
            <w:tcW w:w="4000" w:type="pct"/>
            <w:tcBorders>
              <w:top w:val="nil"/>
              <w:left w:val="nil"/>
              <w:bottom w:val="nil"/>
              <w:right w:val="nil"/>
            </w:tcBorders>
            <w:tcMar>
              <w:top w:w="60" w:type="dxa"/>
              <w:left w:w="80" w:type="dxa"/>
              <w:bottom w:w="60" w:type="dxa"/>
              <w:right w:w="80" w:type="dxa"/>
            </w:tcMar>
            <w:hideMark/>
          </w:tcPr>
          <w:p w14:paraId="3B2F4211"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General Practitioner</w:t>
            </w:r>
          </w:p>
        </w:tc>
      </w:tr>
      <w:tr w:rsidR="00D647ED" w:rsidRPr="00D647ED" w14:paraId="0F8F311F" w14:textId="77777777">
        <w:tc>
          <w:tcPr>
            <w:tcW w:w="1000" w:type="pct"/>
            <w:tcBorders>
              <w:top w:val="nil"/>
              <w:left w:val="nil"/>
              <w:bottom w:val="nil"/>
              <w:right w:val="nil"/>
            </w:tcBorders>
            <w:tcMar>
              <w:top w:w="60" w:type="dxa"/>
              <w:left w:w="80" w:type="dxa"/>
              <w:bottom w:w="60" w:type="dxa"/>
              <w:right w:w="80" w:type="dxa"/>
            </w:tcMar>
            <w:hideMark/>
          </w:tcPr>
          <w:p w14:paraId="5125BC11"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GPED</w:t>
            </w:r>
          </w:p>
        </w:tc>
        <w:tc>
          <w:tcPr>
            <w:tcW w:w="4000" w:type="pct"/>
            <w:tcBorders>
              <w:top w:val="nil"/>
              <w:left w:val="nil"/>
              <w:bottom w:val="nil"/>
              <w:right w:val="nil"/>
            </w:tcBorders>
            <w:tcMar>
              <w:top w:w="60" w:type="dxa"/>
              <w:left w:w="80" w:type="dxa"/>
              <w:bottom w:w="60" w:type="dxa"/>
              <w:right w:w="80" w:type="dxa"/>
            </w:tcMar>
            <w:hideMark/>
          </w:tcPr>
          <w:p w14:paraId="2FACB457"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General Practitioner in or alongside the Emergency Department</w:t>
            </w:r>
          </w:p>
        </w:tc>
      </w:tr>
      <w:tr w:rsidR="00D647ED" w:rsidRPr="00D647ED" w14:paraId="77EB5466" w14:textId="77777777">
        <w:tc>
          <w:tcPr>
            <w:tcW w:w="1000" w:type="pct"/>
            <w:tcBorders>
              <w:top w:val="nil"/>
              <w:left w:val="nil"/>
              <w:bottom w:val="nil"/>
              <w:right w:val="nil"/>
            </w:tcBorders>
            <w:tcMar>
              <w:top w:w="60" w:type="dxa"/>
              <w:left w:w="80" w:type="dxa"/>
              <w:bottom w:w="60" w:type="dxa"/>
              <w:right w:w="80" w:type="dxa"/>
            </w:tcMar>
            <w:hideMark/>
          </w:tcPr>
          <w:p w14:paraId="035C18A1"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GPPS</w:t>
            </w:r>
          </w:p>
        </w:tc>
        <w:tc>
          <w:tcPr>
            <w:tcW w:w="4000" w:type="pct"/>
            <w:tcBorders>
              <w:top w:val="nil"/>
              <w:left w:val="nil"/>
              <w:bottom w:val="nil"/>
              <w:right w:val="nil"/>
            </w:tcBorders>
            <w:tcMar>
              <w:top w:w="60" w:type="dxa"/>
              <w:left w:w="80" w:type="dxa"/>
              <w:bottom w:w="60" w:type="dxa"/>
              <w:right w:w="80" w:type="dxa"/>
            </w:tcMar>
            <w:hideMark/>
          </w:tcPr>
          <w:p w14:paraId="7F298BF6"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General Practice Patient Survey</w:t>
            </w:r>
          </w:p>
        </w:tc>
      </w:tr>
      <w:tr w:rsidR="00D647ED" w:rsidRPr="00D647ED" w14:paraId="277FA801" w14:textId="77777777">
        <w:tc>
          <w:tcPr>
            <w:tcW w:w="1000" w:type="pct"/>
            <w:tcBorders>
              <w:top w:val="nil"/>
              <w:left w:val="nil"/>
              <w:bottom w:val="nil"/>
              <w:right w:val="nil"/>
            </w:tcBorders>
            <w:tcMar>
              <w:top w:w="60" w:type="dxa"/>
              <w:left w:w="80" w:type="dxa"/>
              <w:bottom w:w="60" w:type="dxa"/>
              <w:right w:w="80" w:type="dxa"/>
            </w:tcMar>
            <w:hideMark/>
          </w:tcPr>
          <w:p w14:paraId="1A11CCF6"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ICB</w:t>
            </w:r>
          </w:p>
        </w:tc>
        <w:tc>
          <w:tcPr>
            <w:tcW w:w="4000" w:type="pct"/>
            <w:tcBorders>
              <w:top w:val="nil"/>
              <w:left w:val="nil"/>
              <w:bottom w:val="nil"/>
              <w:right w:val="nil"/>
            </w:tcBorders>
            <w:tcMar>
              <w:top w:w="60" w:type="dxa"/>
              <w:left w:w="80" w:type="dxa"/>
              <w:bottom w:w="60" w:type="dxa"/>
              <w:right w:w="80" w:type="dxa"/>
            </w:tcMar>
            <w:hideMark/>
          </w:tcPr>
          <w:p w14:paraId="37F0AF3E"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Integrated Care Board</w:t>
            </w:r>
          </w:p>
        </w:tc>
      </w:tr>
      <w:tr w:rsidR="00D647ED" w:rsidRPr="00D647ED" w14:paraId="3C773EDA" w14:textId="77777777">
        <w:tc>
          <w:tcPr>
            <w:tcW w:w="1000" w:type="pct"/>
            <w:tcBorders>
              <w:top w:val="nil"/>
              <w:left w:val="nil"/>
              <w:bottom w:val="nil"/>
              <w:right w:val="nil"/>
            </w:tcBorders>
            <w:tcMar>
              <w:top w:w="60" w:type="dxa"/>
              <w:left w:w="80" w:type="dxa"/>
              <w:bottom w:w="60" w:type="dxa"/>
              <w:right w:w="80" w:type="dxa"/>
            </w:tcMar>
            <w:hideMark/>
          </w:tcPr>
          <w:p w14:paraId="675CF6F7"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IHE</w:t>
            </w:r>
          </w:p>
        </w:tc>
        <w:tc>
          <w:tcPr>
            <w:tcW w:w="4000" w:type="pct"/>
            <w:tcBorders>
              <w:top w:val="nil"/>
              <w:left w:val="nil"/>
              <w:bottom w:val="nil"/>
              <w:right w:val="nil"/>
            </w:tcBorders>
            <w:tcMar>
              <w:top w:w="60" w:type="dxa"/>
              <w:left w:w="80" w:type="dxa"/>
              <w:bottom w:w="60" w:type="dxa"/>
              <w:right w:w="80" w:type="dxa"/>
            </w:tcMar>
            <w:hideMark/>
          </w:tcPr>
          <w:p w14:paraId="747B624E"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Institute of Health Equity</w:t>
            </w:r>
          </w:p>
        </w:tc>
      </w:tr>
      <w:tr w:rsidR="00D647ED" w:rsidRPr="00D647ED" w14:paraId="0A410A8F" w14:textId="77777777">
        <w:tc>
          <w:tcPr>
            <w:tcW w:w="1000" w:type="pct"/>
            <w:tcBorders>
              <w:top w:val="nil"/>
              <w:left w:val="nil"/>
              <w:bottom w:val="nil"/>
              <w:right w:val="nil"/>
            </w:tcBorders>
            <w:tcMar>
              <w:top w:w="60" w:type="dxa"/>
              <w:left w:w="80" w:type="dxa"/>
              <w:bottom w:w="60" w:type="dxa"/>
              <w:right w:w="80" w:type="dxa"/>
            </w:tcMar>
            <w:hideMark/>
          </w:tcPr>
          <w:p w14:paraId="45B2F60E"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IMD</w:t>
            </w:r>
          </w:p>
        </w:tc>
        <w:tc>
          <w:tcPr>
            <w:tcW w:w="4000" w:type="pct"/>
            <w:tcBorders>
              <w:top w:val="nil"/>
              <w:left w:val="nil"/>
              <w:bottom w:val="nil"/>
              <w:right w:val="nil"/>
            </w:tcBorders>
            <w:tcMar>
              <w:top w:w="60" w:type="dxa"/>
              <w:left w:w="80" w:type="dxa"/>
              <w:bottom w:w="60" w:type="dxa"/>
              <w:right w:w="80" w:type="dxa"/>
            </w:tcMar>
            <w:hideMark/>
          </w:tcPr>
          <w:p w14:paraId="7D964E26"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Index of Multiple Deprivation</w:t>
            </w:r>
          </w:p>
        </w:tc>
      </w:tr>
      <w:tr w:rsidR="00D647ED" w:rsidRPr="00D647ED" w14:paraId="67C3046C" w14:textId="77777777">
        <w:tc>
          <w:tcPr>
            <w:tcW w:w="1000" w:type="pct"/>
            <w:tcBorders>
              <w:top w:val="nil"/>
              <w:left w:val="nil"/>
              <w:bottom w:val="nil"/>
              <w:right w:val="nil"/>
            </w:tcBorders>
            <w:tcMar>
              <w:top w:w="60" w:type="dxa"/>
              <w:left w:w="80" w:type="dxa"/>
              <w:bottom w:w="60" w:type="dxa"/>
              <w:right w:w="80" w:type="dxa"/>
            </w:tcMar>
            <w:hideMark/>
          </w:tcPr>
          <w:p w14:paraId="7C3EC213"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MEDLINE</w:t>
            </w:r>
          </w:p>
        </w:tc>
        <w:tc>
          <w:tcPr>
            <w:tcW w:w="4000" w:type="pct"/>
            <w:tcBorders>
              <w:top w:val="nil"/>
              <w:left w:val="nil"/>
              <w:bottom w:val="nil"/>
              <w:right w:val="nil"/>
            </w:tcBorders>
            <w:tcMar>
              <w:top w:w="60" w:type="dxa"/>
              <w:left w:w="80" w:type="dxa"/>
              <w:bottom w:w="60" w:type="dxa"/>
              <w:right w:w="80" w:type="dxa"/>
            </w:tcMar>
            <w:hideMark/>
          </w:tcPr>
          <w:p w14:paraId="0EA8409A"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Medical Literature Analysis and Retrieval System Online</w:t>
            </w:r>
          </w:p>
        </w:tc>
      </w:tr>
      <w:tr w:rsidR="00D647ED" w:rsidRPr="00D647ED" w14:paraId="64E03899" w14:textId="77777777">
        <w:tc>
          <w:tcPr>
            <w:tcW w:w="1000" w:type="pct"/>
            <w:tcBorders>
              <w:top w:val="nil"/>
              <w:left w:val="nil"/>
              <w:bottom w:val="nil"/>
              <w:right w:val="nil"/>
            </w:tcBorders>
            <w:tcMar>
              <w:top w:w="60" w:type="dxa"/>
              <w:left w:w="80" w:type="dxa"/>
              <w:bottom w:w="60" w:type="dxa"/>
              <w:right w:w="80" w:type="dxa"/>
            </w:tcMar>
            <w:hideMark/>
          </w:tcPr>
          <w:p w14:paraId="3F8D9114"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NHS</w:t>
            </w:r>
          </w:p>
        </w:tc>
        <w:tc>
          <w:tcPr>
            <w:tcW w:w="4000" w:type="pct"/>
            <w:tcBorders>
              <w:top w:val="nil"/>
              <w:left w:val="nil"/>
              <w:bottom w:val="nil"/>
              <w:right w:val="nil"/>
            </w:tcBorders>
            <w:tcMar>
              <w:top w:w="60" w:type="dxa"/>
              <w:left w:w="80" w:type="dxa"/>
              <w:bottom w:w="60" w:type="dxa"/>
              <w:right w:w="80" w:type="dxa"/>
            </w:tcMar>
            <w:hideMark/>
          </w:tcPr>
          <w:p w14:paraId="3503910C"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National Health Service</w:t>
            </w:r>
          </w:p>
        </w:tc>
      </w:tr>
      <w:tr w:rsidR="00D647ED" w:rsidRPr="00D647ED" w14:paraId="73C47B9C" w14:textId="77777777">
        <w:tc>
          <w:tcPr>
            <w:tcW w:w="1000" w:type="pct"/>
            <w:tcBorders>
              <w:top w:val="nil"/>
              <w:left w:val="nil"/>
              <w:bottom w:val="nil"/>
              <w:right w:val="nil"/>
            </w:tcBorders>
            <w:tcMar>
              <w:top w:w="60" w:type="dxa"/>
              <w:left w:w="80" w:type="dxa"/>
              <w:bottom w:w="60" w:type="dxa"/>
              <w:right w:w="80" w:type="dxa"/>
            </w:tcMar>
            <w:hideMark/>
          </w:tcPr>
          <w:p w14:paraId="08E82B1D"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NHS 111</w:t>
            </w:r>
          </w:p>
        </w:tc>
        <w:tc>
          <w:tcPr>
            <w:tcW w:w="4000" w:type="pct"/>
            <w:tcBorders>
              <w:top w:val="nil"/>
              <w:left w:val="nil"/>
              <w:bottom w:val="nil"/>
              <w:right w:val="nil"/>
            </w:tcBorders>
            <w:tcMar>
              <w:top w:w="60" w:type="dxa"/>
              <w:left w:w="80" w:type="dxa"/>
              <w:bottom w:w="60" w:type="dxa"/>
              <w:right w:w="80" w:type="dxa"/>
            </w:tcMar>
            <w:hideMark/>
          </w:tcPr>
          <w:p w14:paraId="4DCAAFBB"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NHS Urgent Medical Helpline</w:t>
            </w:r>
          </w:p>
        </w:tc>
      </w:tr>
      <w:tr w:rsidR="00D647ED" w:rsidRPr="00D647ED" w14:paraId="790D2164" w14:textId="77777777">
        <w:tc>
          <w:tcPr>
            <w:tcW w:w="1000" w:type="pct"/>
            <w:tcBorders>
              <w:top w:val="nil"/>
              <w:left w:val="nil"/>
              <w:bottom w:val="nil"/>
              <w:right w:val="nil"/>
            </w:tcBorders>
            <w:tcMar>
              <w:top w:w="60" w:type="dxa"/>
              <w:left w:w="80" w:type="dxa"/>
              <w:bottom w:w="60" w:type="dxa"/>
              <w:right w:w="80" w:type="dxa"/>
            </w:tcMar>
            <w:hideMark/>
          </w:tcPr>
          <w:p w14:paraId="53C71857"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NIHR</w:t>
            </w:r>
          </w:p>
        </w:tc>
        <w:tc>
          <w:tcPr>
            <w:tcW w:w="4000" w:type="pct"/>
            <w:tcBorders>
              <w:top w:val="nil"/>
              <w:left w:val="nil"/>
              <w:bottom w:val="nil"/>
              <w:right w:val="nil"/>
            </w:tcBorders>
            <w:tcMar>
              <w:top w:w="60" w:type="dxa"/>
              <w:left w:w="80" w:type="dxa"/>
              <w:bottom w:w="60" w:type="dxa"/>
              <w:right w:w="80" w:type="dxa"/>
            </w:tcMar>
            <w:hideMark/>
          </w:tcPr>
          <w:p w14:paraId="17FDA770"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National Institute for Health and Care Research</w:t>
            </w:r>
          </w:p>
        </w:tc>
      </w:tr>
      <w:tr w:rsidR="00D647ED" w:rsidRPr="00D647ED" w14:paraId="3BB48FAE" w14:textId="77777777">
        <w:tc>
          <w:tcPr>
            <w:tcW w:w="1000" w:type="pct"/>
            <w:tcBorders>
              <w:top w:val="nil"/>
              <w:left w:val="nil"/>
              <w:bottom w:val="nil"/>
              <w:right w:val="nil"/>
            </w:tcBorders>
            <w:tcMar>
              <w:top w:w="60" w:type="dxa"/>
              <w:left w:w="80" w:type="dxa"/>
              <w:bottom w:w="60" w:type="dxa"/>
              <w:right w:w="80" w:type="dxa"/>
            </w:tcMar>
            <w:hideMark/>
          </w:tcPr>
          <w:p w14:paraId="07C6F1E4"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NVivo</w:t>
            </w:r>
          </w:p>
        </w:tc>
        <w:tc>
          <w:tcPr>
            <w:tcW w:w="4000" w:type="pct"/>
            <w:tcBorders>
              <w:top w:val="nil"/>
              <w:left w:val="nil"/>
              <w:bottom w:val="nil"/>
              <w:right w:val="nil"/>
            </w:tcBorders>
            <w:tcMar>
              <w:top w:w="60" w:type="dxa"/>
              <w:left w:w="80" w:type="dxa"/>
              <w:bottom w:w="60" w:type="dxa"/>
              <w:right w:w="80" w:type="dxa"/>
            </w:tcMar>
            <w:hideMark/>
          </w:tcPr>
          <w:p w14:paraId="763A7557"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Qualitative Data Analysis Software (QSR International)</w:t>
            </w:r>
          </w:p>
        </w:tc>
      </w:tr>
      <w:tr w:rsidR="00D647ED" w:rsidRPr="00D647ED" w14:paraId="002306D4" w14:textId="77777777">
        <w:tc>
          <w:tcPr>
            <w:tcW w:w="1000" w:type="pct"/>
            <w:tcBorders>
              <w:top w:val="nil"/>
              <w:left w:val="nil"/>
              <w:bottom w:val="nil"/>
              <w:right w:val="nil"/>
            </w:tcBorders>
            <w:tcMar>
              <w:top w:w="60" w:type="dxa"/>
              <w:left w:w="80" w:type="dxa"/>
              <w:bottom w:w="60" w:type="dxa"/>
              <w:right w:w="80" w:type="dxa"/>
            </w:tcMar>
            <w:hideMark/>
          </w:tcPr>
          <w:p w14:paraId="18F8D078"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OECD</w:t>
            </w:r>
          </w:p>
        </w:tc>
        <w:tc>
          <w:tcPr>
            <w:tcW w:w="4000" w:type="pct"/>
            <w:tcBorders>
              <w:top w:val="nil"/>
              <w:left w:val="nil"/>
              <w:bottom w:val="nil"/>
              <w:right w:val="nil"/>
            </w:tcBorders>
            <w:tcMar>
              <w:top w:w="60" w:type="dxa"/>
              <w:left w:w="80" w:type="dxa"/>
              <w:bottom w:w="60" w:type="dxa"/>
              <w:right w:w="80" w:type="dxa"/>
            </w:tcMar>
            <w:hideMark/>
          </w:tcPr>
          <w:p w14:paraId="1C623F4C"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Organisation for Economic Co-operation and Development</w:t>
            </w:r>
          </w:p>
        </w:tc>
      </w:tr>
      <w:tr w:rsidR="00D647ED" w:rsidRPr="00D647ED" w14:paraId="030C9EE4" w14:textId="77777777">
        <w:tc>
          <w:tcPr>
            <w:tcW w:w="1000" w:type="pct"/>
            <w:tcBorders>
              <w:top w:val="nil"/>
              <w:left w:val="nil"/>
              <w:bottom w:val="nil"/>
              <w:right w:val="nil"/>
            </w:tcBorders>
            <w:tcMar>
              <w:top w:w="60" w:type="dxa"/>
              <w:left w:w="80" w:type="dxa"/>
              <w:bottom w:w="60" w:type="dxa"/>
              <w:right w:w="80" w:type="dxa"/>
            </w:tcMar>
            <w:hideMark/>
          </w:tcPr>
          <w:p w14:paraId="5AC999AD"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ONS</w:t>
            </w:r>
          </w:p>
        </w:tc>
        <w:tc>
          <w:tcPr>
            <w:tcW w:w="4000" w:type="pct"/>
            <w:tcBorders>
              <w:top w:val="nil"/>
              <w:left w:val="nil"/>
              <w:bottom w:val="nil"/>
              <w:right w:val="nil"/>
            </w:tcBorders>
            <w:tcMar>
              <w:top w:w="60" w:type="dxa"/>
              <w:left w:w="80" w:type="dxa"/>
              <w:bottom w:w="60" w:type="dxa"/>
              <w:right w:w="80" w:type="dxa"/>
            </w:tcMar>
            <w:hideMark/>
          </w:tcPr>
          <w:p w14:paraId="03197791"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Office for National Statistics</w:t>
            </w:r>
          </w:p>
        </w:tc>
      </w:tr>
      <w:tr w:rsidR="00D647ED" w:rsidRPr="00D647ED" w14:paraId="48535FE4" w14:textId="77777777">
        <w:tc>
          <w:tcPr>
            <w:tcW w:w="1000" w:type="pct"/>
            <w:tcBorders>
              <w:top w:val="nil"/>
              <w:left w:val="nil"/>
              <w:bottom w:val="nil"/>
              <w:right w:val="nil"/>
            </w:tcBorders>
            <w:tcMar>
              <w:top w:w="60" w:type="dxa"/>
              <w:left w:w="80" w:type="dxa"/>
              <w:bottom w:w="60" w:type="dxa"/>
              <w:right w:w="80" w:type="dxa"/>
            </w:tcMar>
            <w:hideMark/>
          </w:tcPr>
          <w:p w14:paraId="16384090"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PALS</w:t>
            </w:r>
          </w:p>
        </w:tc>
        <w:tc>
          <w:tcPr>
            <w:tcW w:w="4000" w:type="pct"/>
            <w:tcBorders>
              <w:top w:val="nil"/>
              <w:left w:val="nil"/>
              <w:bottom w:val="nil"/>
              <w:right w:val="nil"/>
            </w:tcBorders>
            <w:tcMar>
              <w:top w:w="60" w:type="dxa"/>
              <w:left w:w="80" w:type="dxa"/>
              <w:bottom w:w="60" w:type="dxa"/>
              <w:right w:w="80" w:type="dxa"/>
            </w:tcMar>
            <w:hideMark/>
          </w:tcPr>
          <w:p w14:paraId="0711937A"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Patient Advice and Liaison Service</w:t>
            </w:r>
          </w:p>
        </w:tc>
      </w:tr>
      <w:tr w:rsidR="00D647ED" w:rsidRPr="00D647ED" w14:paraId="0353ADC4" w14:textId="77777777">
        <w:tc>
          <w:tcPr>
            <w:tcW w:w="1000" w:type="pct"/>
            <w:tcBorders>
              <w:top w:val="nil"/>
              <w:left w:val="nil"/>
              <w:bottom w:val="nil"/>
              <w:right w:val="nil"/>
            </w:tcBorders>
            <w:tcMar>
              <w:top w:w="60" w:type="dxa"/>
              <w:left w:w="80" w:type="dxa"/>
              <w:bottom w:w="60" w:type="dxa"/>
              <w:right w:w="80" w:type="dxa"/>
            </w:tcMar>
            <w:hideMark/>
          </w:tcPr>
          <w:p w14:paraId="41929ACB"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PCC</w:t>
            </w:r>
          </w:p>
        </w:tc>
        <w:tc>
          <w:tcPr>
            <w:tcW w:w="4000" w:type="pct"/>
            <w:tcBorders>
              <w:top w:val="nil"/>
              <w:left w:val="nil"/>
              <w:bottom w:val="nil"/>
              <w:right w:val="nil"/>
            </w:tcBorders>
            <w:tcMar>
              <w:top w:w="60" w:type="dxa"/>
              <w:left w:w="80" w:type="dxa"/>
              <w:bottom w:w="60" w:type="dxa"/>
              <w:right w:w="80" w:type="dxa"/>
            </w:tcMar>
            <w:hideMark/>
          </w:tcPr>
          <w:p w14:paraId="304933C4"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Population, Concept, and Context (framework)</w:t>
            </w:r>
          </w:p>
        </w:tc>
      </w:tr>
      <w:tr w:rsidR="00D647ED" w:rsidRPr="00D647ED" w14:paraId="7D2D3957" w14:textId="77777777">
        <w:tc>
          <w:tcPr>
            <w:tcW w:w="1000" w:type="pct"/>
            <w:tcBorders>
              <w:top w:val="nil"/>
              <w:left w:val="nil"/>
              <w:bottom w:val="nil"/>
              <w:right w:val="nil"/>
            </w:tcBorders>
            <w:tcMar>
              <w:top w:w="60" w:type="dxa"/>
              <w:left w:w="80" w:type="dxa"/>
              <w:bottom w:w="60" w:type="dxa"/>
              <w:right w:w="80" w:type="dxa"/>
            </w:tcMar>
            <w:hideMark/>
          </w:tcPr>
          <w:p w14:paraId="3C3DD739"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PMID</w:t>
            </w:r>
          </w:p>
        </w:tc>
        <w:tc>
          <w:tcPr>
            <w:tcW w:w="4000" w:type="pct"/>
            <w:tcBorders>
              <w:top w:val="nil"/>
              <w:left w:val="nil"/>
              <w:bottom w:val="nil"/>
              <w:right w:val="nil"/>
            </w:tcBorders>
            <w:tcMar>
              <w:top w:w="60" w:type="dxa"/>
              <w:left w:w="80" w:type="dxa"/>
              <w:bottom w:w="60" w:type="dxa"/>
              <w:right w:w="80" w:type="dxa"/>
            </w:tcMar>
            <w:hideMark/>
          </w:tcPr>
          <w:p w14:paraId="2B768731"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PubMed Identifier</w:t>
            </w:r>
          </w:p>
        </w:tc>
      </w:tr>
      <w:tr w:rsidR="00D647ED" w:rsidRPr="00D647ED" w14:paraId="398381A0" w14:textId="77777777">
        <w:tc>
          <w:tcPr>
            <w:tcW w:w="1000" w:type="pct"/>
            <w:tcBorders>
              <w:top w:val="nil"/>
              <w:left w:val="nil"/>
              <w:bottom w:val="nil"/>
              <w:right w:val="nil"/>
            </w:tcBorders>
            <w:tcMar>
              <w:top w:w="60" w:type="dxa"/>
              <w:left w:w="80" w:type="dxa"/>
              <w:bottom w:w="60" w:type="dxa"/>
              <w:right w:w="80" w:type="dxa"/>
            </w:tcMar>
            <w:hideMark/>
          </w:tcPr>
          <w:p w14:paraId="4AFDB6F1"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PRISMA</w:t>
            </w:r>
          </w:p>
        </w:tc>
        <w:tc>
          <w:tcPr>
            <w:tcW w:w="4000" w:type="pct"/>
            <w:tcBorders>
              <w:top w:val="nil"/>
              <w:left w:val="nil"/>
              <w:bottom w:val="nil"/>
              <w:right w:val="nil"/>
            </w:tcBorders>
            <w:tcMar>
              <w:top w:w="60" w:type="dxa"/>
              <w:left w:w="80" w:type="dxa"/>
              <w:bottom w:w="60" w:type="dxa"/>
              <w:right w:w="80" w:type="dxa"/>
            </w:tcMar>
            <w:hideMark/>
          </w:tcPr>
          <w:p w14:paraId="02600A9B"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Preferred Reporting Items for Systematic Reviews and Meta-Analyses</w:t>
            </w:r>
          </w:p>
        </w:tc>
      </w:tr>
      <w:tr w:rsidR="00D647ED" w:rsidRPr="00D647ED" w14:paraId="40DA5480" w14:textId="77777777">
        <w:tc>
          <w:tcPr>
            <w:tcW w:w="1000" w:type="pct"/>
            <w:tcBorders>
              <w:top w:val="nil"/>
              <w:left w:val="nil"/>
              <w:bottom w:val="nil"/>
              <w:right w:val="nil"/>
            </w:tcBorders>
            <w:tcMar>
              <w:top w:w="60" w:type="dxa"/>
              <w:left w:w="80" w:type="dxa"/>
              <w:bottom w:w="60" w:type="dxa"/>
              <w:right w:w="80" w:type="dxa"/>
            </w:tcMar>
            <w:hideMark/>
          </w:tcPr>
          <w:p w14:paraId="05109C24"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RCGP</w:t>
            </w:r>
          </w:p>
        </w:tc>
        <w:tc>
          <w:tcPr>
            <w:tcW w:w="4000" w:type="pct"/>
            <w:tcBorders>
              <w:top w:val="nil"/>
              <w:left w:val="nil"/>
              <w:bottom w:val="nil"/>
              <w:right w:val="nil"/>
            </w:tcBorders>
            <w:tcMar>
              <w:top w:w="60" w:type="dxa"/>
              <w:left w:w="80" w:type="dxa"/>
              <w:bottom w:w="60" w:type="dxa"/>
              <w:right w:w="80" w:type="dxa"/>
            </w:tcMar>
            <w:hideMark/>
          </w:tcPr>
          <w:p w14:paraId="6942C05B"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Royal College of General Practitioners</w:t>
            </w:r>
          </w:p>
        </w:tc>
      </w:tr>
      <w:tr w:rsidR="00D647ED" w:rsidRPr="00D647ED" w14:paraId="227CCBF7" w14:textId="77777777">
        <w:tc>
          <w:tcPr>
            <w:tcW w:w="1000" w:type="pct"/>
            <w:tcBorders>
              <w:top w:val="nil"/>
              <w:left w:val="nil"/>
              <w:bottom w:val="nil"/>
              <w:right w:val="nil"/>
            </w:tcBorders>
            <w:tcMar>
              <w:top w:w="60" w:type="dxa"/>
              <w:left w:w="80" w:type="dxa"/>
              <w:bottom w:w="60" w:type="dxa"/>
              <w:right w:w="80" w:type="dxa"/>
            </w:tcMar>
            <w:hideMark/>
          </w:tcPr>
          <w:p w14:paraId="12E88C7E"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RCEM</w:t>
            </w:r>
          </w:p>
        </w:tc>
        <w:tc>
          <w:tcPr>
            <w:tcW w:w="4000" w:type="pct"/>
            <w:tcBorders>
              <w:top w:val="nil"/>
              <w:left w:val="nil"/>
              <w:bottom w:val="nil"/>
              <w:right w:val="nil"/>
            </w:tcBorders>
            <w:tcMar>
              <w:top w:w="60" w:type="dxa"/>
              <w:left w:w="80" w:type="dxa"/>
              <w:bottom w:w="60" w:type="dxa"/>
              <w:right w:w="80" w:type="dxa"/>
            </w:tcMar>
            <w:hideMark/>
          </w:tcPr>
          <w:p w14:paraId="7E627704"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Royal College of Emergency Medicine</w:t>
            </w:r>
          </w:p>
        </w:tc>
      </w:tr>
      <w:tr w:rsidR="00D647ED" w:rsidRPr="00D647ED" w14:paraId="1EEAB541" w14:textId="77777777">
        <w:tc>
          <w:tcPr>
            <w:tcW w:w="1000" w:type="pct"/>
            <w:tcBorders>
              <w:top w:val="nil"/>
              <w:left w:val="nil"/>
              <w:bottom w:val="nil"/>
              <w:right w:val="nil"/>
            </w:tcBorders>
            <w:tcMar>
              <w:top w:w="60" w:type="dxa"/>
              <w:left w:w="80" w:type="dxa"/>
              <w:bottom w:w="60" w:type="dxa"/>
              <w:right w:w="80" w:type="dxa"/>
            </w:tcMar>
            <w:hideMark/>
          </w:tcPr>
          <w:p w14:paraId="28A991C8"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UK</w:t>
            </w:r>
          </w:p>
        </w:tc>
        <w:tc>
          <w:tcPr>
            <w:tcW w:w="4000" w:type="pct"/>
            <w:tcBorders>
              <w:top w:val="nil"/>
              <w:left w:val="nil"/>
              <w:bottom w:val="nil"/>
              <w:right w:val="nil"/>
            </w:tcBorders>
            <w:tcMar>
              <w:top w:w="60" w:type="dxa"/>
              <w:left w:w="80" w:type="dxa"/>
              <w:bottom w:w="60" w:type="dxa"/>
              <w:right w:w="80" w:type="dxa"/>
            </w:tcMar>
            <w:hideMark/>
          </w:tcPr>
          <w:p w14:paraId="0C4A7156"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United Kingdom</w:t>
            </w:r>
          </w:p>
        </w:tc>
      </w:tr>
      <w:tr w:rsidR="00D647ED" w:rsidRPr="00D647ED" w14:paraId="55137DA4" w14:textId="77777777">
        <w:tc>
          <w:tcPr>
            <w:tcW w:w="1000" w:type="pct"/>
            <w:tcBorders>
              <w:top w:val="nil"/>
              <w:left w:val="nil"/>
              <w:bottom w:val="nil"/>
              <w:right w:val="nil"/>
            </w:tcBorders>
            <w:tcMar>
              <w:top w:w="60" w:type="dxa"/>
              <w:left w:w="80" w:type="dxa"/>
              <w:bottom w:w="60" w:type="dxa"/>
              <w:right w:w="80" w:type="dxa"/>
            </w:tcMar>
            <w:hideMark/>
          </w:tcPr>
          <w:p w14:paraId="2D383D41"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UK GDPR</w:t>
            </w:r>
          </w:p>
        </w:tc>
        <w:tc>
          <w:tcPr>
            <w:tcW w:w="4000" w:type="pct"/>
            <w:tcBorders>
              <w:top w:val="nil"/>
              <w:left w:val="nil"/>
              <w:bottom w:val="nil"/>
              <w:right w:val="nil"/>
            </w:tcBorders>
            <w:tcMar>
              <w:top w:w="60" w:type="dxa"/>
              <w:left w:w="80" w:type="dxa"/>
              <w:bottom w:w="60" w:type="dxa"/>
              <w:right w:w="80" w:type="dxa"/>
            </w:tcMar>
            <w:hideMark/>
          </w:tcPr>
          <w:p w14:paraId="6192BAC2"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United Kingdom General Data Protection Regulation</w:t>
            </w:r>
          </w:p>
        </w:tc>
      </w:tr>
      <w:tr w:rsidR="00D647ED" w:rsidRPr="00D647ED" w14:paraId="0552295C" w14:textId="77777777">
        <w:tc>
          <w:tcPr>
            <w:tcW w:w="1000" w:type="pct"/>
            <w:tcBorders>
              <w:top w:val="nil"/>
              <w:left w:val="nil"/>
              <w:bottom w:val="nil"/>
              <w:right w:val="nil"/>
            </w:tcBorders>
            <w:tcMar>
              <w:top w:w="60" w:type="dxa"/>
              <w:left w:w="80" w:type="dxa"/>
              <w:bottom w:w="60" w:type="dxa"/>
              <w:right w:w="80" w:type="dxa"/>
            </w:tcMar>
            <w:hideMark/>
          </w:tcPr>
          <w:p w14:paraId="67C7DC42"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UWTSD</w:t>
            </w:r>
          </w:p>
        </w:tc>
        <w:tc>
          <w:tcPr>
            <w:tcW w:w="4000" w:type="pct"/>
            <w:tcBorders>
              <w:top w:val="nil"/>
              <w:left w:val="nil"/>
              <w:bottom w:val="nil"/>
              <w:right w:val="nil"/>
            </w:tcBorders>
            <w:tcMar>
              <w:top w:w="60" w:type="dxa"/>
              <w:left w:w="80" w:type="dxa"/>
              <w:bottom w:w="60" w:type="dxa"/>
              <w:right w:w="80" w:type="dxa"/>
            </w:tcMar>
            <w:hideMark/>
          </w:tcPr>
          <w:p w14:paraId="7959CE74"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University of Wales Trinity Saint David</w:t>
            </w:r>
          </w:p>
        </w:tc>
      </w:tr>
      <w:tr w:rsidR="00D647ED" w:rsidRPr="00D647ED" w14:paraId="17FCD6A9" w14:textId="77777777">
        <w:tc>
          <w:tcPr>
            <w:tcW w:w="1000" w:type="pct"/>
            <w:tcBorders>
              <w:top w:val="nil"/>
              <w:left w:val="nil"/>
              <w:bottom w:val="nil"/>
              <w:right w:val="nil"/>
            </w:tcBorders>
            <w:tcMar>
              <w:top w:w="60" w:type="dxa"/>
              <w:left w:w="80" w:type="dxa"/>
              <w:bottom w:w="60" w:type="dxa"/>
              <w:right w:w="80" w:type="dxa"/>
            </w:tcMar>
            <w:hideMark/>
          </w:tcPr>
          <w:p w14:paraId="3C097395"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b/>
                <w:bCs/>
                <w:sz w:val="22"/>
                <w:szCs w:val="22"/>
              </w:rPr>
              <w:t>WHO</w:t>
            </w:r>
          </w:p>
        </w:tc>
        <w:tc>
          <w:tcPr>
            <w:tcW w:w="4000" w:type="pct"/>
            <w:tcBorders>
              <w:top w:val="nil"/>
              <w:left w:val="nil"/>
              <w:bottom w:val="nil"/>
              <w:right w:val="nil"/>
            </w:tcBorders>
            <w:tcMar>
              <w:top w:w="60" w:type="dxa"/>
              <w:left w:w="80" w:type="dxa"/>
              <w:bottom w:w="60" w:type="dxa"/>
              <w:right w:w="80" w:type="dxa"/>
            </w:tcMar>
            <w:hideMark/>
          </w:tcPr>
          <w:p w14:paraId="51A3E7B4" w14:textId="77777777" w:rsidR="00D647ED" w:rsidRPr="00D647ED" w:rsidRDefault="00D647ED" w:rsidP="00D647ED">
            <w:pPr>
              <w:spacing w:line="360" w:lineRule="auto"/>
              <w:jc w:val="both"/>
              <w:rPr>
                <w:rFonts w:ascii="Arial" w:hAnsi="Arial" w:cs="Arial"/>
                <w:sz w:val="22"/>
                <w:szCs w:val="22"/>
              </w:rPr>
            </w:pPr>
            <w:r w:rsidRPr="00D647ED">
              <w:rPr>
                <w:rFonts w:ascii="Arial" w:hAnsi="Arial" w:cs="Arial"/>
                <w:sz w:val="22"/>
                <w:szCs w:val="22"/>
              </w:rPr>
              <w:t>World Health Organization</w:t>
            </w:r>
          </w:p>
        </w:tc>
      </w:tr>
    </w:tbl>
    <w:p w14:paraId="0404DBE5" w14:textId="77777777" w:rsidR="00D86504" w:rsidRDefault="00D86504" w:rsidP="00173BDC">
      <w:pPr>
        <w:spacing w:line="360" w:lineRule="auto"/>
        <w:jc w:val="both"/>
        <w:rPr>
          <w:rFonts w:ascii="Arial" w:hAnsi="Arial" w:cs="Arial"/>
          <w:sz w:val="22"/>
          <w:szCs w:val="22"/>
        </w:rPr>
      </w:pPr>
    </w:p>
    <w:p w14:paraId="5F6FCA4D" w14:textId="77777777" w:rsidR="00D86504" w:rsidRDefault="00D86504" w:rsidP="00173BDC">
      <w:pPr>
        <w:spacing w:line="360" w:lineRule="auto"/>
        <w:jc w:val="both"/>
        <w:rPr>
          <w:rFonts w:ascii="Arial" w:hAnsi="Arial" w:cs="Arial"/>
          <w:sz w:val="22"/>
          <w:szCs w:val="22"/>
        </w:rPr>
      </w:pPr>
    </w:p>
    <w:p w14:paraId="536DCDF4" w14:textId="77777777" w:rsidR="000934A9" w:rsidRDefault="000934A9" w:rsidP="00173BDC">
      <w:pPr>
        <w:spacing w:line="360" w:lineRule="auto"/>
        <w:jc w:val="both"/>
        <w:rPr>
          <w:rFonts w:ascii="Arial" w:hAnsi="Arial" w:cs="Arial"/>
          <w:sz w:val="22"/>
          <w:szCs w:val="22"/>
        </w:rPr>
      </w:pPr>
    </w:p>
    <w:p w14:paraId="6D1B68EA" w14:textId="608E9B4B" w:rsidR="003939AA" w:rsidRDefault="003939AA" w:rsidP="00173BDC">
      <w:pPr>
        <w:spacing w:line="360" w:lineRule="auto"/>
        <w:jc w:val="both"/>
        <w:rPr>
          <w:rFonts w:ascii="Arial" w:hAnsi="Arial" w:cs="Arial"/>
          <w:sz w:val="22"/>
          <w:szCs w:val="22"/>
        </w:rPr>
      </w:pPr>
    </w:p>
    <w:p w14:paraId="57C883F5" w14:textId="750FCE64" w:rsidR="00A4372E" w:rsidRPr="00644591" w:rsidRDefault="00A4372E" w:rsidP="00644591">
      <w:pPr>
        <w:pStyle w:val="NoSpacing"/>
        <w:numPr>
          <w:ilvl w:val="0"/>
          <w:numId w:val="23"/>
        </w:numPr>
        <w:rPr>
          <w:rFonts w:ascii="Arial" w:hAnsi="Arial" w:cs="Arial"/>
          <w:b/>
          <w:bCs/>
          <w:sz w:val="28"/>
          <w:szCs w:val="28"/>
        </w:rPr>
      </w:pPr>
      <w:bookmarkStart w:id="3" w:name="_Toc240714302"/>
      <w:r w:rsidRPr="00644591">
        <w:rPr>
          <w:rFonts w:ascii="Arial" w:hAnsi="Arial" w:cs="Arial"/>
          <w:b/>
          <w:bCs/>
          <w:sz w:val="28"/>
          <w:szCs w:val="28"/>
        </w:rPr>
        <w:t>Introduction</w:t>
      </w:r>
      <w:bookmarkEnd w:id="3"/>
    </w:p>
    <w:p w14:paraId="6177D27F" w14:textId="77777777" w:rsidR="007A1971" w:rsidRPr="00EB17A7" w:rsidRDefault="007A1971" w:rsidP="00A4372E">
      <w:pPr>
        <w:spacing w:line="360" w:lineRule="auto"/>
        <w:jc w:val="both"/>
        <w:rPr>
          <w:rFonts w:ascii="Arial" w:hAnsi="Arial" w:cs="Arial"/>
          <w:b/>
          <w:bCs/>
          <w:sz w:val="28"/>
          <w:szCs w:val="28"/>
        </w:rPr>
      </w:pPr>
    </w:p>
    <w:p w14:paraId="24EDA99F" w14:textId="2712ADD3" w:rsidR="00EB17A7" w:rsidRPr="00EB17A7" w:rsidRDefault="00EB17A7" w:rsidP="00EB17A7">
      <w:pPr>
        <w:spacing w:line="360" w:lineRule="auto"/>
        <w:jc w:val="both"/>
        <w:rPr>
          <w:rFonts w:ascii="Arial" w:hAnsi="Arial" w:cs="Arial"/>
          <w:b/>
          <w:bCs/>
        </w:rPr>
      </w:pPr>
      <w:r w:rsidRPr="00EB17A7">
        <w:rPr>
          <w:rFonts w:ascii="Arial" w:hAnsi="Arial" w:cs="Arial"/>
          <w:b/>
          <w:bCs/>
        </w:rPr>
        <w:t>1.1 Background and Global Context</w:t>
      </w:r>
    </w:p>
    <w:p w14:paraId="4C35E387" w14:textId="3BF7221E" w:rsidR="00B8610C" w:rsidRPr="00B8610C" w:rsidRDefault="00B8610C" w:rsidP="00B8610C">
      <w:pPr>
        <w:spacing w:line="360" w:lineRule="auto"/>
        <w:jc w:val="both"/>
        <w:rPr>
          <w:rFonts w:ascii="Arial" w:hAnsi="Arial" w:cs="Arial"/>
          <w:sz w:val="22"/>
          <w:szCs w:val="22"/>
        </w:rPr>
      </w:pPr>
      <w:r w:rsidRPr="00B8610C">
        <w:rPr>
          <w:rFonts w:ascii="Arial" w:hAnsi="Arial" w:cs="Arial"/>
          <w:sz w:val="22"/>
          <w:szCs w:val="22"/>
        </w:rPr>
        <w:t>Access to primary healthcare is widely recognised as a fundamental component of effective and equitable health systems. Primary care serves as the first point of contact for most healthcare needs, providing preventive services, early diagnosis, chronic disease management, health promotion, and coordination of care across healthcare pathways. The World Health Organisation (WHO) identifies strong primary care systems as the most cost-effective and equitable mechanism for achieving universal health coverage, emphasising their capacity to improve population health outcomes while reducing unnecessary reliance on specialist and hospital services (WHO, 2021).</w:t>
      </w:r>
    </w:p>
    <w:p w14:paraId="4A668596" w14:textId="0A9A0538" w:rsidR="00B8610C" w:rsidRPr="00B8610C" w:rsidRDefault="00A614C3" w:rsidP="00B8610C">
      <w:pPr>
        <w:spacing w:line="360" w:lineRule="auto"/>
        <w:jc w:val="both"/>
        <w:rPr>
          <w:rFonts w:ascii="Arial" w:hAnsi="Arial" w:cs="Arial"/>
          <w:sz w:val="22"/>
          <w:szCs w:val="22"/>
        </w:rPr>
      </w:pPr>
      <w:r w:rsidRPr="00A614C3">
        <w:rPr>
          <w:rFonts w:ascii="Arial" w:hAnsi="Arial" w:cs="Arial"/>
          <w:sz w:val="22"/>
          <w:szCs w:val="22"/>
        </w:rPr>
        <w:t xml:space="preserve">Despite their recognised importance, healthcare systems across high-income countries are facing unprecedented challenges in maintaining accessible primary care services. </w:t>
      </w:r>
      <w:r w:rsidR="00B8610C" w:rsidRPr="00B8610C">
        <w:rPr>
          <w:rFonts w:ascii="Arial" w:hAnsi="Arial" w:cs="Arial"/>
          <w:sz w:val="22"/>
          <w:szCs w:val="22"/>
        </w:rPr>
        <w:t>Population ageing has increased the prevalence of chronic illness and multimorbidity, resulting in greater demand for ongoing healthcare support. Simultaneously, healthcare providers are experiencing workforce shortages, rising operational costs, and increasing service (WHO, 2021). One consequence of these pressures has been the increasing use of emergency departments (EDs) for health concerns that could potentially be managed within primary care settings. This phenomenon is often described as potentially avoidable or non-urgent ED utilisation and has become a major concern for healthcare policymakers internationally (Nuffield Trust, 2023). Although emergency departments are designed to provide urgent and life-saving treatment, they increasingly function as an alternative access point for individuals unable to obtain timely care elsewhere.</w:t>
      </w:r>
    </w:p>
    <w:p w14:paraId="5A1FB9A3" w14:textId="78A07964" w:rsidR="00B8610C" w:rsidRPr="00B8610C" w:rsidRDefault="00B8610C" w:rsidP="00B8610C">
      <w:pPr>
        <w:spacing w:line="360" w:lineRule="auto"/>
        <w:jc w:val="both"/>
        <w:rPr>
          <w:rFonts w:ascii="Arial" w:hAnsi="Arial" w:cs="Arial"/>
          <w:sz w:val="22"/>
          <w:szCs w:val="22"/>
        </w:rPr>
      </w:pPr>
      <w:r w:rsidRPr="00B8610C">
        <w:rPr>
          <w:rFonts w:ascii="Arial" w:hAnsi="Arial" w:cs="Arial"/>
          <w:sz w:val="22"/>
          <w:szCs w:val="22"/>
        </w:rPr>
        <w:t xml:space="preserve">Research conducted across multiple countries suggests a strong relationship between access to primary care and patterns of emergency healthcare utilisation. In the United States, Zhou, </w:t>
      </w:r>
      <w:r w:rsidR="00FB4BF9" w:rsidRPr="00B8610C">
        <w:rPr>
          <w:rFonts w:ascii="Arial" w:hAnsi="Arial" w:cs="Arial"/>
          <w:sz w:val="22"/>
          <w:szCs w:val="22"/>
        </w:rPr>
        <w:t>Baicker,</w:t>
      </w:r>
      <w:r w:rsidRPr="00B8610C">
        <w:rPr>
          <w:rFonts w:ascii="Arial" w:hAnsi="Arial" w:cs="Arial"/>
          <w:sz w:val="22"/>
          <w:szCs w:val="22"/>
        </w:rPr>
        <w:t xml:space="preserve"> and Taubman (2020) demonstrated through a randomised controlled trial that improved access to primary care significantly reduced ED attendance rates, providing robust evidence of a causal relationship between healthcare accessibility and emergency service use. Similar findings have been reported across Europe, Australia, and Canada, where barriers to accessing community-based healthcare have been associated with increased reliance on hospital emergency services (Kontopantelis et al., 2021).</w:t>
      </w:r>
    </w:p>
    <w:p w14:paraId="3767A0BC" w14:textId="77777777" w:rsidR="003D1BCE" w:rsidRPr="003D1BCE" w:rsidRDefault="00B8610C" w:rsidP="003D1BCE">
      <w:pPr>
        <w:spacing w:line="360" w:lineRule="auto"/>
        <w:jc w:val="both"/>
        <w:rPr>
          <w:rFonts w:ascii="Arial" w:hAnsi="Arial" w:cs="Arial"/>
          <w:sz w:val="22"/>
          <w:szCs w:val="22"/>
        </w:rPr>
      </w:pPr>
      <w:r w:rsidRPr="00B8610C">
        <w:rPr>
          <w:rFonts w:ascii="Arial" w:hAnsi="Arial" w:cs="Arial"/>
          <w:sz w:val="22"/>
          <w:szCs w:val="22"/>
        </w:rPr>
        <w:lastRenderedPageBreak/>
        <w:t>The Organisation for Economic Co-operation and Development (OECD) has consistently highlighted inadequate access to primary care as a major contributor to inefficiencies in healthcare systems. When patients are unable to access preventive or routine treatment, conditions may deteriorate to the point where emergency intervention becomes necessary. This pattern not only increases healthcare expenditure but also undermines continuity of care and contributes to poorer health outcomes, particularly among vulnerable populations (World Health Organisation, 2021). Furthermore, research indicates that individuals from lower socioeconomic backgrounds are disproportionately affected by these challenges, suggesting that barriers to primary care access may reinforce existing health inequalities.</w:t>
      </w:r>
    </w:p>
    <w:p w14:paraId="64066948" w14:textId="1D8E167A" w:rsidR="00F72FEE" w:rsidRDefault="003D1BCE" w:rsidP="003D1BCE">
      <w:pPr>
        <w:spacing w:line="360" w:lineRule="auto"/>
        <w:jc w:val="both"/>
        <w:rPr>
          <w:rFonts w:ascii="Arial" w:hAnsi="Arial" w:cs="Arial"/>
          <w:sz w:val="22"/>
          <w:szCs w:val="22"/>
        </w:rPr>
      </w:pPr>
      <w:r w:rsidRPr="003D1BCE">
        <w:rPr>
          <w:rFonts w:ascii="Arial" w:hAnsi="Arial" w:cs="Arial"/>
          <w:sz w:val="22"/>
          <w:szCs w:val="22"/>
        </w:rPr>
        <w:t>ED overcrowding has been linked to increased mortality, delays in diagnosis and treatment, reduced patient satisfaction, and higher rates of adverse clinical outcomes (The King's Fund, 2024). Overcrowded departments create significant challenges for healthcare staff, contributing to burnout, recruitment difficulties, and reduced service efficiency.</w:t>
      </w:r>
    </w:p>
    <w:p w14:paraId="74479336" w14:textId="77777777" w:rsidR="00DB4AEF" w:rsidRPr="00EB17A7" w:rsidRDefault="00DB4AEF" w:rsidP="00B8610C">
      <w:pPr>
        <w:spacing w:line="360" w:lineRule="auto"/>
        <w:jc w:val="both"/>
        <w:rPr>
          <w:rFonts w:ascii="Arial" w:hAnsi="Arial" w:cs="Arial"/>
          <w:sz w:val="22"/>
          <w:szCs w:val="22"/>
        </w:rPr>
      </w:pPr>
    </w:p>
    <w:p w14:paraId="3526862D" w14:textId="194AA99F" w:rsidR="00DD154B" w:rsidRPr="00DF6D87" w:rsidRDefault="00A4372E" w:rsidP="00445740">
      <w:pPr>
        <w:spacing w:line="360" w:lineRule="auto"/>
        <w:jc w:val="both"/>
        <w:rPr>
          <w:rFonts w:ascii="Arial" w:hAnsi="Arial" w:cs="Arial"/>
          <w:b/>
          <w:bCs/>
        </w:rPr>
      </w:pPr>
      <w:r w:rsidRPr="00DF6D87">
        <w:rPr>
          <w:rFonts w:ascii="Arial" w:hAnsi="Arial" w:cs="Arial"/>
          <w:b/>
          <w:bCs/>
        </w:rPr>
        <w:t xml:space="preserve">1.2 </w:t>
      </w:r>
      <w:r w:rsidR="007D493B" w:rsidRPr="00DF6D87">
        <w:rPr>
          <w:rFonts w:ascii="Arial" w:hAnsi="Arial" w:cs="Arial"/>
          <w:b/>
          <w:bCs/>
        </w:rPr>
        <w:t xml:space="preserve">Problem statement </w:t>
      </w:r>
      <w:r w:rsidRPr="00DF6D87">
        <w:rPr>
          <w:rFonts w:ascii="Arial" w:hAnsi="Arial" w:cs="Arial"/>
          <w:b/>
          <w:bCs/>
        </w:rPr>
        <w:t xml:space="preserve">in </w:t>
      </w:r>
      <w:r w:rsidR="00875855">
        <w:rPr>
          <w:rFonts w:ascii="Arial" w:hAnsi="Arial" w:cs="Arial"/>
          <w:b/>
          <w:bCs/>
        </w:rPr>
        <w:t>the UK</w:t>
      </w:r>
    </w:p>
    <w:p w14:paraId="3060CAE2" w14:textId="5BD44E14" w:rsidR="00445740" w:rsidRPr="00CA1046" w:rsidRDefault="00445740" w:rsidP="00445740">
      <w:pPr>
        <w:spacing w:line="360" w:lineRule="auto"/>
        <w:jc w:val="both"/>
        <w:rPr>
          <w:rFonts w:ascii="Arial" w:hAnsi="Arial" w:cs="Arial"/>
          <w:sz w:val="22"/>
          <w:szCs w:val="22"/>
        </w:rPr>
      </w:pPr>
      <w:r w:rsidRPr="00CA1046">
        <w:rPr>
          <w:rFonts w:ascii="Arial" w:hAnsi="Arial" w:cs="Arial"/>
          <w:sz w:val="22"/>
          <w:szCs w:val="22"/>
        </w:rPr>
        <w:t xml:space="preserve">Within </w:t>
      </w:r>
      <w:r w:rsidR="00CD1840">
        <w:rPr>
          <w:rFonts w:ascii="Arial" w:hAnsi="Arial" w:cs="Arial"/>
          <w:sz w:val="22"/>
          <w:szCs w:val="22"/>
        </w:rPr>
        <w:t>UK</w:t>
      </w:r>
      <w:r w:rsidRPr="00CA1046">
        <w:rPr>
          <w:rFonts w:ascii="Arial" w:hAnsi="Arial" w:cs="Arial"/>
          <w:sz w:val="22"/>
          <w:szCs w:val="22"/>
        </w:rPr>
        <w:t xml:space="preserve">, concerns regarding both primary care access and emergency department demand have become increasingly prominent. The National Health Service (NHS) has experienced sustained growth in demand over the past decade, with emergency departments reporting record levels of attendance and pressure. </w:t>
      </w:r>
      <w:r w:rsidR="00022576" w:rsidRPr="00022576">
        <w:rPr>
          <w:rFonts w:ascii="Arial" w:hAnsi="Arial" w:cs="Arial"/>
          <w:sz w:val="22"/>
          <w:szCs w:val="22"/>
        </w:rPr>
        <w:t xml:space="preserve">Average waiting times for GP appointments increased from approximately 9.6 days in 2019 to 15.8 days in 2024, with around 2.5 million patients reported to have waited longer than two weeks for an appointment (Healthwatch </w:t>
      </w:r>
      <w:r w:rsidR="004635DB">
        <w:rPr>
          <w:rFonts w:ascii="Arial" w:hAnsi="Arial" w:cs="Arial"/>
          <w:sz w:val="22"/>
          <w:szCs w:val="22"/>
        </w:rPr>
        <w:t>UK</w:t>
      </w:r>
      <w:r w:rsidR="00022576" w:rsidRPr="00022576">
        <w:rPr>
          <w:rFonts w:ascii="Arial" w:hAnsi="Arial" w:cs="Arial"/>
          <w:sz w:val="22"/>
          <w:szCs w:val="22"/>
        </w:rPr>
        <w:t xml:space="preserve">, 2024). During the same period, NHS </w:t>
      </w:r>
      <w:r w:rsidR="006675ED">
        <w:rPr>
          <w:rFonts w:ascii="Arial" w:hAnsi="Arial" w:cs="Arial"/>
          <w:sz w:val="22"/>
          <w:szCs w:val="22"/>
        </w:rPr>
        <w:t>UK</w:t>
      </w:r>
      <w:r w:rsidR="00022576" w:rsidRPr="00022576">
        <w:rPr>
          <w:rFonts w:ascii="Arial" w:hAnsi="Arial" w:cs="Arial"/>
          <w:sz w:val="22"/>
          <w:szCs w:val="22"/>
        </w:rPr>
        <w:t xml:space="preserve"> recorded approximately 26.5 million emergency department (ED) attendances in 2024/25, representing a substantial increase compared with pre-pandemic levels. Although these trends do not establish a causal relationship, they indicate that worsening access to primary care may contribute to increased reliance on emergency services, particularly among socioeconomically deprived populations who often face greater barriers to accessing timely and appropriate healthcare</w:t>
      </w:r>
      <w:r w:rsidR="00B05940">
        <w:rPr>
          <w:rFonts w:ascii="Arial" w:hAnsi="Arial" w:cs="Arial"/>
          <w:sz w:val="22"/>
          <w:szCs w:val="22"/>
        </w:rPr>
        <w:t xml:space="preserve"> </w:t>
      </w:r>
      <w:r w:rsidRPr="00CA1046">
        <w:rPr>
          <w:rFonts w:ascii="Arial" w:hAnsi="Arial" w:cs="Arial"/>
          <w:sz w:val="22"/>
          <w:szCs w:val="22"/>
        </w:rPr>
        <w:t xml:space="preserve">(NHS </w:t>
      </w:r>
      <w:r w:rsidR="006675ED">
        <w:rPr>
          <w:rFonts w:ascii="Arial" w:hAnsi="Arial" w:cs="Arial"/>
          <w:sz w:val="22"/>
          <w:szCs w:val="22"/>
        </w:rPr>
        <w:t>UK</w:t>
      </w:r>
      <w:r w:rsidRPr="00CA1046">
        <w:rPr>
          <w:rFonts w:ascii="Arial" w:hAnsi="Arial" w:cs="Arial"/>
          <w:sz w:val="22"/>
          <w:szCs w:val="22"/>
        </w:rPr>
        <w:t>, 2025). Simultaneously, performance against key emergency care targets has deteriorated, with prolonged waiting times becoming increasingly common across the healthcare system.</w:t>
      </w:r>
    </w:p>
    <w:p w14:paraId="77000D28" w14:textId="41C7FA9D" w:rsidR="00447EF6" w:rsidRPr="00CA1046" w:rsidRDefault="00445740" w:rsidP="00A4372E">
      <w:pPr>
        <w:spacing w:line="360" w:lineRule="auto"/>
        <w:jc w:val="both"/>
        <w:rPr>
          <w:rFonts w:ascii="Arial" w:hAnsi="Arial" w:cs="Arial"/>
          <w:sz w:val="22"/>
          <w:szCs w:val="22"/>
        </w:rPr>
      </w:pPr>
      <w:r w:rsidRPr="00CA1046">
        <w:rPr>
          <w:rFonts w:ascii="Arial" w:hAnsi="Arial" w:cs="Arial"/>
          <w:sz w:val="22"/>
          <w:szCs w:val="22"/>
        </w:rPr>
        <w:t xml:space="preserve">At the same time, access to general practice has become a major source of public concern. General practitioners remain the cornerstone of primary healthcare delivery within </w:t>
      </w:r>
      <w:r w:rsidR="00953C7D">
        <w:rPr>
          <w:rFonts w:ascii="Arial" w:hAnsi="Arial" w:cs="Arial"/>
          <w:sz w:val="22"/>
          <w:szCs w:val="22"/>
        </w:rPr>
        <w:t>UK</w:t>
      </w:r>
      <w:r w:rsidRPr="00CA1046">
        <w:rPr>
          <w:rFonts w:ascii="Arial" w:hAnsi="Arial" w:cs="Arial"/>
          <w:sz w:val="22"/>
          <w:szCs w:val="22"/>
        </w:rPr>
        <w:t xml:space="preserve">; however, increasing patient demand has not been matched by equivalent growth in workforce capacity. Rising consultation rates, workforce shortages, administrative burdens, and increasing clinical complexity have collectively placed considerable strain on general practice services. As a result, </w:t>
      </w:r>
      <w:r w:rsidRPr="00CA1046">
        <w:rPr>
          <w:rFonts w:ascii="Arial" w:hAnsi="Arial" w:cs="Arial"/>
          <w:sz w:val="22"/>
          <w:szCs w:val="22"/>
        </w:rPr>
        <w:lastRenderedPageBreak/>
        <w:t xml:space="preserve">patients frequently report difficulties obtaining appointments, particularly for </w:t>
      </w:r>
      <w:r w:rsidR="00C90CC0" w:rsidRPr="003B7C61">
        <w:rPr>
          <w:rFonts w:ascii="Arial" w:hAnsi="Arial" w:cs="Arial"/>
          <w:sz w:val="22"/>
          <w:szCs w:val="22"/>
        </w:rPr>
        <w:t>non-emergency</w:t>
      </w:r>
      <w:r w:rsidR="003B7C61" w:rsidRPr="003B7C61">
        <w:rPr>
          <w:rFonts w:ascii="Arial" w:hAnsi="Arial" w:cs="Arial"/>
          <w:sz w:val="22"/>
          <w:szCs w:val="22"/>
        </w:rPr>
        <w:t xml:space="preserve"> conditions</w:t>
      </w:r>
      <w:r w:rsidR="00EF138B">
        <w:rPr>
          <w:rFonts w:ascii="Arial" w:hAnsi="Arial" w:cs="Arial"/>
          <w:sz w:val="22"/>
          <w:szCs w:val="22"/>
        </w:rPr>
        <w:t>.</w:t>
      </w:r>
      <w:r w:rsidRPr="00CA1046">
        <w:rPr>
          <w:rFonts w:ascii="Arial" w:hAnsi="Arial" w:cs="Arial"/>
          <w:sz w:val="22"/>
          <w:szCs w:val="22"/>
        </w:rPr>
        <w:t xml:space="preserve"> Overcrowded departments create significant challenges for healthcare staff, contributing to burnout, recruitment difficulties, and reduced service efficiency. Financially, emergency care is </w:t>
      </w:r>
      <w:r w:rsidR="00D57BE0" w:rsidRPr="00CA1046">
        <w:rPr>
          <w:rFonts w:ascii="Arial" w:hAnsi="Arial" w:cs="Arial"/>
          <w:sz w:val="22"/>
          <w:szCs w:val="22"/>
        </w:rPr>
        <w:t>more</w:t>
      </w:r>
      <w:r w:rsidRPr="00CA1046">
        <w:rPr>
          <w:rFonts w:ascii="Arial" w:hAnsi="Arial" w:cs="Arial"/>
          <w:sz w:val="22"/>
          <w:szCs w:val="22"/>
        </w:rPr>
        <w:t xml:space="preserve"> expensive than equivalent care delivered through primary care services, making avoidable ED attendance a major concern for healthcare sustainability. In </w:t>
      </w:r>
      <w:r w:rsidR="00493C5D">
        <w:rPr>
          <w:rFonts w:ascii="Arial" w:hAnsi="Arial" w:cs="Arial"/>
          <w:sz w:val="22"/>
          <w:szCs w:val="22"/>
        </w:rPr>
        <w:t>the UK</w:t>
      </w:r>
      <w:r w:rsidRPr="00CA1046">
        <w:rPr>
          <w:rFonts w:ascii="Arial" w:hAnsi="Arial" w:cs="Arial"/>
          <w:sz w:val="22"/>
          <w:szCs w:val="22"/>
        </w:rPr>
        <w:t xml:space="preserve"> alone, avoidable emergency attendances attributable to unmet primary care needs are estimated to cost </w:t>
      </w:r>
      <w:r w:rsidR="00D57BE0" w:rsidRPr="00CA1046">
        <w:rPr>
          <w:rFonts w:ascii="Arial" w:hAnsi="Arial" w:cs="Arial"/>
          <w:sz w:val="22"/>
          <w:szCs w:val="22"/>
        </w:rPr>
        <w:t>£5.2 billion</w:t>
      </w:r>
      <w:r w:rsidRPr="00CA1046">
        <w:rPr>
          <w:rFonts w:ascii="Arial" w:hAnsi="Arial" w:cs="Arial"/>
          <w:sz w:val="22"/>
          <w:szCs w:val="22"/>
        </w:rPr>
        <w:t xml:space="preserve"> annually (Royal College of Emergency Medicine, 2024).</w:t>
      </w:r>
    </w:p>
    <w:p w14:paraId="664C5FCD" w14:textId="21104D9E" w:rsidR="001970C3" w:rsidRPr="00CA1046" w:rsidRDefault="0017221B" w:rsidP="001970C3">
      <w:pPr>
        <w:spacing w:line="360" w:lineRule="auto"/>
        <w:jc w:val="both"/>
        <w:rPr>
          <w:rFonts w:ascii="Arial" w:hAnsi="Arial" w:cs="Arial"/>
          <w:sz w:val="22"/>
          <w:szCs w:val="22"/>
        </w:rPr>
      </w:pPr>
      <w:r w:rsidRPr="0017221B">
        <w:rPr>
          <w:rFonts w:ascii="Arial" w:hAnsi="Arial" w:cs="Arial"/>
          <w:sz w:val="22"/>
          <w:szCs w:val="22"/>
        </w:rPr>
        <w:t xml:space="preserve">It is important to note that not all societies experience these challenges equally. Health outcomes in </w:t>
      </w:r>
      <w:r w:rsidR="001B634C">
        <w:rPr>
          <w:rFonts w:ascii="Arial" w:hAnsi="Arial" w:cs="Arial"/>
          <w:sz w:val="22"/>
          <w:szCs w:val="22"/>
        </w:rPr>
        <w:t>UK</w:t>
      </w:r>
      <w:r w:rsidRPr="0017221B">
        <w:rPr>
          <w:rFonts w:ascii="Arial" w:hAnsi="Arial" w:cs="Arial"/>
          <w:sz w:val="22"/>
          <w:szCs w:val="22"/>
        </w:rPr>
        <w:t xml:space="preserve"> are </w:t>
      </w:r>
      <w:r w:rsidR="00C467B7">
        <w:rPr>
          <w:rFonts w:ascii="Arial" w:hAnsi="Arial" w:cs="Arial"/>
          <w:sz w:val="22"/>
          <w:szCs w:val="22"/>
        </w:rPr>
        <w:t>s</w:t>
      </w:r>
      <w:r w:rsidR="000456AA" w:rsidRPr="000456AA">
        <w:rPr>
          <w:rFonts w:ascii="Arial" w:hAnsi="Arial" w:cs="Arial"/>
          <w:sz w:val="22"/>
          <w:szCs w:val="22"/>
        </w:rPr>
        <w:t xml:space="preserve">ignificant </w:t>
      </w:r>
      <w:r w:rsidRPr="0017221B">
        <w:rPr>
          <w:rFonts w:ascii="Arial" w:hAnsi="Arial" w:cs="Arial"/>
          <w:sz w:val="22"/>
          <w:szCs w:val="22"/>
        </w:rPr>
        <w:t xml:space="preserve">affected by socioeconomic deprivation and are </w:t>
      </w:r>
      <w:r w:rsidR="002E6272" w:rsidRPr="0017221B">
        <w:rPr>
          <w:rFonts w:ascii="Arial" w:hAnsi="Arial" w:cs="Arial"/>
          <w:sz w:val="22"/>
          <w:szCs w:val="22"/>
        </w:rPr>
        <w:t>intricately linked</w:t>
      </w:r>
      <w:r w:rsidRPr="0017221B">
        <w:rPr>
          <w:rFonts w:ascii="Arial" w:hAnsi="Arial" w:cs="Arial"/>
          <w:sz w:val="22"/>
          <w:szCs w:val="22"/>
        </w:rPr>
        <w:t xml:space="preserve"> to gaps in healthcare access. </w:t>
      </w:r>
      <w:r w:rsidR="001970C3" w:rsidRPr="00CA1046">
        <w:rPr>
          <w:rFonts w:ascii="Arial" w:hAnsi="Arial" w:cs="Arial"/>
          <w:sz w:val="22"/>
          <w:szCs w:val="22"/>
        </w:rPr>
        <w:t>The relationship between deprivation and healthcare provision has long been recognised within public health literature. Hart's (1971) inverse care law argued that the availability of good medical care tends to vary inversely with the need for it, meaning that populations with the greatest health needs often experience the greatest barriers to accessing healthcare services.</w:t>
      </w:r>
    </w:p>
    <w:p w14:paraId="1B042E91" w14:textId="32EF9044" w:rsidR="001970C3" w:rsidRPr="00CA1046" w:rsidRDefault="001970C3" w:rsidP="001970C3">
      <w:pPr>
        <w:spacing w:line="360" w:lineRule="auto"/>
        <w:jc w:val="both"/>
        <w:rPr>
          <w:rFonts w:ascii="Arial" w:hAnsi="Arial" w:cs="Arial"/>
          <w:sz w:val="22"/>
          <w:szCs w:val="22"/>
        </w:rPr>
      </w:pPr>
      <w:r w:rsidRPr="00CA1046">
        <w:rPr>
          <w:rFonts w:ascii="Arial" w:hAnsi="Arial" w:cs="Arial"/>
          <w:sz w:val="22"/>
          <w:szCs w:val="22"/>
        </w:rPr>
        <w:t xml:space="preserve">More than fifty years after Hart's original observation, evidence suggests </w:t>
      </w:r>
      <w:r w:rsidR="002E6272" w:rsidRPr="00CA1046">
        <w:rPr>
          <w:rFonts w:ascii="Arial" w:hAnsi="Arial" w:cs="Arial"/>
          <w:sz w:val="22"/>
          <w:szCs w:val="22"/>
        </w:rPr>
        <w:t>that aspects</w:t>
      </w:r>
      <w:r w:rsidRPr="00CA1046">
        <w:rPr>
          <w:rFonts w:ascii="Arial" w:hAnsi="Arial" w:cs="Arial"/>
          <w:sz w:val="22"/>
          <w:szCs w:val="22"/>
        </w:rPr>
        <w:t xml:space="preserve"> of the inverse care law remain relevant. Individuals living in deprived communities experience higher rates of chronic illness, multimorbidity, mental health conditions, and premature mortality than those living in more affluent areas (Marmot et al., 2020). Consequently, demand for healthcare services is often greatest in communities where access challenges are most pronounced.</w:t>
      </w:r>
    </w:p>
    <w:p w14:paraId="7E384664" w14:textId="033D1715" w:rsidR="00CB63A7" w:rsidRPr="00CA1046" w:rsidRDefault="001970C3" w:rsidP="001970C3">
      <w:pPr>
        <w:spacing w:line="360" w:lineRule="auto"/>
        <w:jc w:val="both"/>
        <w:rPr>
          <w:rFonts w:ascii="Arial" w:hAnsi="Arial" w:cs="Arial"/>
          <w:sz w:val="22"/>
          <w:szCs w:val="22"/>
        </w:rPr>
      </w:pPr>
      <w:r w:rsidRPr="00CA1046">
        <w:rPr>
          <w:rFonts w:ascii="Arial" w:hAnsi="Arial" w:cs="Arial"/>
          <w:sz w:val="22"/>
          <w:szCs w:val="22"/>
        </w:rPr>
        <w:t xml:space="preserve">Research demonstrates that residents of deprived communities are significantly more likely to use emergency departments than those living in affluent areas. Emergency attendance rates are estimated to be </w:t>
      </w:r>
      <w:r w:rsidR="00D57BE0" w:rsidRPr="00CA1046">
        <w:rPr>
          <w:rFonts w:ascii="Arial" w:hAnsi="Arial" w:cs="Arial"/>
          <w:sz w:val="22"/>
          <w:szCs w:val="22"/>
        </w:rPr>
        <w:t>65%</w:t>
      </w:r>
      <w:r w:rsidRPr="00CA1046">
        <w:rPr>
          <w:rFonts w:ascii="Arial" w:hAnsi="Arial" w:cs="Arial"/>
          <w:sz w:val="22"/>
          <w:szCs w:val="22"/>
        </w:rPr>
        <w:t xml:space="preserve"> higher among the most deprived populations, while </w:t>
      </w:r>
      <w:r w:rsidR="00D57BE0" w:rsidRPr="00CA1046">
        <w:rPr>
          <w:rFonts w:ascii="Arial" w:hAnsi="Arial" w:cs="Arial"/>
          <w:sz w:val="22"/>
          <w:szCs w:val="22"/>
        </w:rPr>
        <w:t>half</w:t>
      </w:r>
      <w:r w:rsidRPr="00CA1046">
        <w:rPr>
          <w:rFonts w:ascii="Arial" w:hAnsi="Arial" w:cs="Arial"/>
          <w:sz w:val="22"/>
          <w:szCs w:val="22"/>
        </w:rPr>
        <w:t xml:space="preserve"> of patients in the most deprived decile </w:t>
      </w:r>
      <w:r w:rsidR="00D57BE0" w:rsidRPr="00CA1046">
        <w:rPr>
          <w:rFonts w:ascii="Arial" w:hAnsi="Arial" w:cs="Arial"/>
          <w:sz w:val="22"/>
          <w:szCs w:val="22"/>
        </w:rPr>
        <w:t>wait</w:t>
      </w:r>
      <w:r w:rsidRPr="00CA1046">
        <w:rPr>
          <w:rFonts w:ascii="Arial" w:hAnsi="Arial" w:cs="Arial"/>
          <w:sz w:val="22"/>
          <w:szCs w:val="22"/>
        </w:rPr>
        <w:t xml:space="preserve"> longer than three weeks for a GP appointment (Baker et al., 2024; Royal College of General Practitioners, 2024). These findings suggest that disparities in healthcare access may contribute directly to inequalities in patterns of healthcare utilisation.</w:t>
      </w:r>
      <w:r w:rsidR="001752C3" w:rsidRPr="00CA1046">
        <w:t xml:space="preserve"> </w:t>
      </w:r>
      <w:r w:rsidR="001752C3" w:rsidRPr="00CA1046">
        <w:rPr>
          <w:rFonts w:ascii="Arial" w:hAnsi="Arial" w:cs="Arial"/>
          <w:sz w:val="22"/>
          <w:szCs w:val="22"/>
        </w:rPr>
        <w:t>The relationship between deprivation, primary care access, and emergency department attendance is further complicated by broader social determinants of health. Factors such as insecure employment, poor housing conditions, lower health literacy, transport difficulties, and digital exclusion may all influence an individual's ability to access healthcare services</w:t>
      </w:r>
      <w:r w:rsidR="00CA1046" w:rsidRPr="00CA1046">
        <w:rPr>
          <w:rFonts w:ascii="Arial" w:hAnsi="Arial" w:cs="Arial"/>
          <w:sz w:val="22"/>
          <w:szCs w:val="22"/>
        </w:rPr>
        <w:t>.</w:t>
      </w:r>
    </w:p>
    <w:p w14:paraId="536E761F" w14:textId="77777777" w:rsidR="000041F1" w:rsidRDefault="000041F1" w:rsidP="001970C3">
      <w:pPr>
        <w:spacing w:line="360" w:lineRule="auto"/>
        <w:jc w:val="both"/>
        <w:rPr>
          <w:rFonts w:ascii="Arial" w:hAnsi="Arial" w:cs="Arial"/>
          <w:b/>
          <w:bCs/>
        </w:rPr>
      </w:pPr>
    </w:p>
    <w:p w14:paraId="4D88A6E5" w14:textId="6A095A9D" w:rsidR="005A65E4" w:rsidRPr="00DF6D87" w:rsidRDefault="00A2727F" w:rsidP="00CB63A7">
      <w:pPr>
        <w:spacing w:line="360" w:lineRule="auto"/>
        <w:jc w:val="both"/>
        <w:rPr>
          <w:rFonts w:ascii="Arial" w:hAnsi="Arial" w:cs="Arial"/>
          <w:b/>
          <w:bCs/>
        </w:rPr>
      </w:pPr>
      <w:r w:rsidRPr="00DF6D87">
        <w:rPr>
          <w:rFonts w:ascii="Arial" w:hAnsi="Arial" w:cs="Arial"/>
          <w:b/>
          <w:bCs/>
        </w:rPr>
        <w:t xml:space="preserve">1.3 </w:t>
      </w:r>
      <w:r w:rsidR="00841D0D" w:rsidRPr="00DF6D87">
        <w:rPr>
          <w:rFonts w:ascii="Arial" w:hAnsi="Arial" w:cs="Arial"/>
          <w:b/>
          <w:bCs/>
        </w:rPr>
        <w:t>Rationale and Significance</w:t>
      </w:r>
    </w:p>
    <w:p w14:paraId="47340E8D" w14:textId="6B2C9571" w:rsidR="005A65E4" w:rsidRPr="005A65E4" w:rsidRDefault="005A65E4" w:rsidP="005A65E4">
      <w:pPr>
        <w:spacing w:line="360" w:lineRule="auto"/>
        <w:jc w:val="both"/>
        <w:rPr>
          <w:rFonts w:ascii="Arial" w:hAnsi="Arial" w:cs="Arial"/>
          <w:sz w:val="22"/>
          <w:szCs w:val="22"/>
        </w:rPr>
      </w:pPr>
      <w:r w:rsidRPr="005A65E4">
        <w:rPr>
          <w:rFonts w:ascii="Arial" w:hAnsi="Arial" w:cs="Arial"/>
          <w:sz w:val="22"/>
          <w:szCs w:val="22"/>
        </w:rPr>
        <w:t xml:space="preserve">While the association between primary care access and emergency department (ED) utilisation is well established, the mechanisms underpinning this relationship, particularly within socioeconomically deprived communities, remain insufficiently understood. Quantitative research </w:t>
      </w:r>
      <w:r w:rsidRPr="005A65E4">
        <w:rPr>
          <w:rFonts w:ascii="Arial" w:hAnsi="Arial" w:cs="Arial"/>
          <w:sz w:val="22"/>
          <w:szCs w:val="22"/>
        </w:rPr>
        <w:lastRenderedPageBreak/>
        <w:t>provides robust evidence of statistical associations but offers limited insight into the lived experiences, decision-making processes, and structural barriers that shape healthcare-seeking behaviour (Ruggiano and Perry, 2019). The perspectives of individuals from deprived communities remain underrepresented within the existing evidence base, limiting understanding of how inequalities in access influence patterns of healthcare utilisation (Watt, 2022).</w:t>
      </w:r>
    </w:p>
    <w:p w14:paraId="1B5C17B3" w14:textId="331F1DCD" w:rsidR="005A65E4" w:rsidRPr="005A65E4" w:rsidRDefault="005A65E4" w:rsidP="005A65E4">
      <w:pPr>
        <w:spacing w:line="360" w:lineRule="auto"/>
        <w:jc w:val="both"/>
        <w:rPr>
          <w:rFonts w:ascii="Arial" w:hAnsi="Arial" w:cs="Arial"/>
          <w:sz w:val="22"/>
          <w:szCs w:val="22"/>
        </w:rPr>
      </w:pPr>
      <w:r w:rsidRPr="005A65E4">
        <w:rPr>
          <w:rFonts w:ascii="Arial" w:hAnsi="Arial" w:cs="Arial"/>
          <w:sz w:val="22"/>
          <w:szCs w:val="22"/>
        </w:rPr>
        <w:t>This dissertation seeks to address these gaps by examining how barriers to primary care access contribute to ED utilisation among deprived populations. By synthesising evidence from multiple qualitative data sources, the study provides a more comprehensive understanding of the relationship between healthcare access and service use within the contemporary NHS. The findings aim to inform policies and service planning intended to improve equitable access to primary care, reduce avoidable pressure on emergency services, and support wider efforts to address health inequalities (NHS Confederation, 2024).</w:t>
      </w:r>
    </w:p>
    <w:p w14:paraId="1DF79025" w14:textId="77777777" w:rsidR="009D3520" w:rsidRDefault="009D3520" w:rsidP="00CB63A7">
      <w:pPr>
        <w:spacing w:line="360" w:lineRule="auto"/>
        <w:jc w:val="both"/>
        <w:rPr>
          <w:rFonts w:ascii="Arial" w:hAnsi="Arial" w:cs="Arial"/>
          <w:b/>
          <w:bCs/>
          <w:sz w:val="22"/>
          <w:szCs w:val="22"/>
        </w:rPr>
      </w:pPr>
    </w:p>
    <w:p w14:paraId="20EDB5BA" w14:textId="694F383E" w:rsidR="00CB63A7" w:rsidRPr="00DF6D87" w:rsidRDefault="00C90CC0" w:rsidP="00CB63A7">
      <w:pPr>
        <w:spacing w:line="360" w:lineRule="auto"/>
        <w:jc w:val="both"/>
        <w:rPr>
          <w:rFonts w:ascii="Arial" w:hAnsi="Arial" w:cs="Arial"/>
          <w:b/>
          <w:bCs/>
        </w:rPr>
      </w:pPr>
      <w:r w:rsidRPr="00DF6D87">
        <w:rPr>
          <w:rFonts w:ascii="Arial" w:hAnsi="Arial" w:cs="Arial"/>
          <w:b/>
          <w:bCs/>
        </w:rPr>
        <w:t>1.4 Research</w:t>
      </w:r>
      <w:r w:rsidR="00CB63A7" w:rsidRPr="00DF6D87">
        <w:rPr>
          <w:rFonts w:ascii="Arial" w:hAnsi="Arial" w:cs="Arial"/>
          <w:b/>
          <w:bCs/>
        </w:rPr>
        <w:t xml:space="preserve"> Aim, Question, and Objectives</w:t>
      </w:r>
    </w:p>
    <w:p w14:paraId="5A615D09" w14:textId="77777777" w:rsidR="00CB63A7" w:rsidRPr="00CB63A7" w:rsidRDefault="00CB63A7" w:rsidP="00CB63A7">
      <w:pPr>
        <w:spacing w:line="360" w:lineRule="auto"/>
        <w:jc w:val="both"/>
        <w:rPr>
          <w:rFonts w:ascii="Arial" w:hAnsi="Arial" w:cs="Arial"/>
          <w:sz w:val="22"/>
          <w:szCs w:val="22"/>
        </w:rPr>
      </w:pPr>
      <w:r w:rsidRPr="00CB63A7">
        <w:rPr>
          <w:rFonts w:ascii="Arial" w:hAnsi="Arial" w:cs="Arial"/>
          <w:sz w:val="22"/>
          <w:szCs w:val="22"/>
        </w:rPr>
        <w:t>This dissertation is guided by the following research question:</w:t>
      </w:r>
    </w:p>
    <w:p w14:paraId="31176958" w14:textId="0FCE8605" w:rsidR="00844106" w:rsidRPr="00844106" w:rsidRDefault="00844106" w:rsidP="00844106">
      <w:pPr>
        <w:spacing w:line="360" w:lineRule="auto"/>
        <w:jc w:val="both"/>
        <w:rPr>
          <w:rFonts w:ascii="Arial" w:hAnsi="Arial" w:cs="Arial"/>
          <w:i/>
          <w:iCs/>
          <w:sz w:val="22"/>
          <w:szCs w:val="22"/>
        </w:rPr>
      </w:pPr>
      <w:r w:rsidRPr="00844106">
        <w:rPr>
          <w:rFonts w:ascii="Arial" w:hAnsi="Arial" w:cs="Arial"/>
          <w:i/>
          <w:iCs/>
          <w:sz w:val="22"/>
          <w:szCs w:val="22"/>
        </w:rPr>
        <w:t xml:space="preserve">How does access to primary care affect emergency department use among socioeconomically deprived populations in </w:t>
      </w:r>
      <w:r w:rsidR="00BF2F6F">
        <w:rPr>
          <w:rFonts w:ascii="Arial" w:hAnsi="Arial" w:cs="Arial"/>
          <w:i/>
          <w:iCs/>
          <w:sz w:val="22"/>
          <w:szCs w:val="22"/>
        </w:rPr>
        <w:t>the UK</w:t>
      </w:r>
      <w:r w:rsidRPr="00844106">
        <w:rPr>
          <w:rFonts w:ascii="Arial" w:hAnsi="Arial" w:cs="Arial"/>
          <w:i/>
          <w:iCs/>
          <w:sz w:val="22"/>
          <w:szCs w:val="22"/>
        </w:rPr>
        <w:t>, and what role do barriers to access play?</w:t>
      </w:r>
    </w:p>
    <w:p w14:paraId="123FC593" w14:textId="5E216935" w:rsidR="00573D4D" w:rsidRDefault="00527756" w:rsidP="00CB63A7">
      <w:pPr>
        <w:spacing w:line="360" w:lineRule="auto"/>
        <w:jc w:val="both"/>
        <w:rPr>
          <w:rFonts w:ascii="Arial" w:hAnsi="Arial" w:cs="Arial"/>
          <w:sz w:val="22"/>
          <w:szCs w:val="22"/>
        </w:rPr>
      </w:pPr>
      <w:r w:rsidRPr="00527756">
        <w:rPr>
          <w:rFonts w:ascii="Arial" w:hAnsi="Arial" w:cs="Arial"/>
          <w:sz w:val="22"/>
          <w:szCs w:val="22"/>
        </w:rPr>
        <w:t>The study aims to develop a comprehensive, contextually nuanced understanding of this association</w:t>
      </w:r>
      <w:r w:rsidR="001844E4">
        <w:rPr>
          <w:rFonts w:ascii="Arial" w:hAnsi="Arial" w:cs="Arial"/>
          <w:sz w:val="22"/>
          <w:szCs w:val="22"/>
        </w:rPr>
        <w:t xml:space="preserve"> </w:t>
      </w:r>
      <w:r w:rsidRPr="00527756">
        <w:rPr>
          <w:rFonts w:ascii="Arial" w:hAnsi="Arial" w:cs="Arial"/>
          <w:sz w:val="22"/>
          <w:szCs w:val="22"/>
        </w:rPr>
        <w:t>by synthesising evidence from multiple secondary qualitative data sources. The inquiry is guided by four</w:t>
      </w:r>
      <w:r w:rsidR="001844E4">
        <w:rPr>
          <w:rFonts w:ascii="Arial" w:hAnsi="Arial" w:cs="Arial"/>
          <w:sz w:val="22"/>
          <w:szCs w:val="22"/>
        </w:rPr>
        <w:t xml:space="preserve"> </w:t>
      </w:r>
      <w:r w:rsidRPr="00527756">
        <w:rPr>
          <w:rFonts w:ascii="Arial" w:hAnsi="Arial" w:cs="Arial"/>
          <w:sz w:val="22"/>
          <w:szCs w:val="22"/>
        </w:rPr>
        <w:t>objectives:</w:t>
      </w:r>
    </w:p>
    <w:p w14:paraId="75746CDD" w14:textId="77777777" w:rsidR="001844E4" w:rsidRDefault="001844E4" w:rsidP="00CB63A7">
      <w:pPr>
        <w:spacing w:line="360" w:lineRule="auto"/>
        <w:jc w:val="both"/>
        <w:rPr>
          <w:rFonts w:ascii="Arial" w:hAnsi="Arial" w:cs="Arial"/>
          <w:sz w:val="22"/>
          <w:szCs w:val="22"/>
        </w:rPr>
      </w:pPr>
    </w:p>
    <w:p w14:paraId="0F6FA73B" w14:textId="577FCC4D" w:rsidR="00573D4D" w:rsidRPr="00573D4D" w:rsidRDefault="00573D4D" w:rsidP="00573D4D">
      <w:pPr>
        <w:numPr>
          <w:ilvl w:val="0"/>
          <w:numId w:val="3"/>
        </w:numPr>
        <w:spacing w:line="360" w:lineRule="auto"/>
        <w:jc w:val="both"/>
        <w:rPr>
          <w:rFonts w:ascii="Arial" w:hAnsi="Arial" w:cs="Arial"/>
          <w:sz w:val="22"/>
          <w:szCs w:val="22"/>
        </w:rPr>
      </w:pPr>
      <w:r w:rsidRPr="00573D4D">
        <w:rPr>
          <w:rFonts w:ascii="Arial" w:hAnsi="Arial" w:cs="Arial"/>
          <w:sz w:val="22"/>
          <w:szCs w:val="22"/>
        </w:rPr>
        <w:t xml:space="preserve">To identify and synthesise evidence on access to primary care services among socioeconomically deprived populations in </w:t>
      </w:r>
      <w:r w:rsidR="009F3A78">
        <w:rPr>
          <w:rFonts w:ascii="Arial" w:hAnsi="Arial" w:cs="Arial"/>
          <w:sz w:val="22"/>
          <w:szCs w:val="22"/>
        </w:rPr>
        <w:t>UK</w:t>
      </w:r>
      <w:r w:rsidRPr="00573D4D">
        <w:rPr>
          <w:rFonts w:ascii="Arial" w:hAnsi="Arial" w:cs="Arial"/>
          <w:sz w:val="22"/>
          <w:szCs w:val="22"/>
        </w:rPr>
        <w:t>.</w:t>
      </w:r>
    </w:p>
    <w:p w14:paraId="4C1D6A2D" w14:textId="2367F260" w:rsidR="00573D4D" w:rsidRPr="00573D4D" w:rsidRDefault="00573D4D" w:rsidP="00573D4D">
      <w:pPr>
        <w:numPr>
          <w:ilvl w:val="0"/>
          <w:numId w:val="3"/>
        </w:numPr>
        <w:spacing w:line="360" w:lineRule="auto"/>
        <w:jc w:val="both"/>
        <w:rPr>
          <w:rFonts w:ascii="Arial" w:hAnsi="Arial" w:cs="Arial"/>
          <w:sz w:val="22"/>
          <w:szCs w:val="22"/>
        </w:rPr>
      </w:pPr>
      <w:r w:rsidRPr="00573D4D">
        <w:rPr>
          <w:rFonts w:ascii="Arial" w:hAnsi="Arial" w:cs="Arial"/>
          <w:sz w:val="22"/>
          <w:szCs w:val="22"/>
        </w:rPr>
        <w:t>To examine patterns of emergency department utilisation within these populations.</w:t>
      </w:r>
    </w:p>
    <w:p w14:paraId="6AA0AF28" w14:textId="75704CDA" w:rsidR="00573D4D" w:rsidRPr="00573D4D" w:rsidRDefault="00573D4D" w:rsidP="00573D4D">
      <w:pPr>
        <w:numPr>
          <w:ilvl w:val="0"/>
          <w:numId w:val="3"/>
        </w:numPr>
        <w:spacing w:line="360" w:lineRule="auto"/>
        <w:jc w:val="both"/>
        <w:rPr>
          <w:rFonts w:ascii="Arial" w:hAnsi="Arial" w:cs="Arial"/>
          <w:sz w:val="22"/>
          <w:szCs w:val="22"/>
        </w:rPr>
      </w:pPr>
      <w:r w:rsidRPr="00573D4D">
        <w:rPr>
          <w:rFonts w:ascii="Arial" w:hAnsi="Arial" w:cs="Arial"/>
          <w:sz w:val="22"/>
          <w:szCs w:val="22"/>
        </w:rPr>
        <w:t>To analyse the relationship between primary care access and emergency department utilisation, including how access barriers influence attendance.</w:t>
      </w:r>
    </w:p>
    <w:p w14:paraId="791F2C1F" w14:textId="3C6BAFC7" w:rsidR="003939AA" w:rsidRPr="00BE4B3F" w:rsidRDefault="00573D4D" w:rsidP="00173BDC">
      <w:pPr>
        <w:numPr>
          <w:ilvl w:val="0"/>
          <w:numId w:val="4"/>
        </w:numPr>
        <w:spacing w:line="360" w:lineRule="auto"/>
        <w:jc w:val="both"/>
        <w:rPr>
          <w:rFonts w:ascii="Arial" w:hAnsi="Arial" w:cs="Arial"/>
          <w:sz w:val="22"/>
          <w:szCs w:val="22"/>
        </w:rPr>
      </w:pPr>
      <w:r w:rsidRPr="00573D4D">
        <w:rPr>
          <w:rFonts w:ascii="Arial" w:hAnsi="Arial" w:cs="Arial"/>
          <w:sz w:val="22"/>
          <w:szCs w:val="22"/>
        </w:rPr>
        <w:t>To provide recommendations for improving primary care access and reducing avoidable ED utilisation among socioeconomically deprived populations in</w:t>
      </w:r>
      <w:r w:rsidR="009E52CA">
        <w:rPr>
          <w:rFonts w:ascii="Arial" w:hAnsi="Arial" w:cs="Arial"/>
          <w:sz w:val="22"/>
          <w:szCs w:val="22"/>
        </w:rPr>
        <w:t xml:space="preserve"> the</w:t>
      </w:r>
      <w:r w:rsidRPr="00573D4D">
        <w:rPr>
          <w:rFonts w:ascii="Arial" w:hAnsi="Arial" w:cs="Arial"/>
          <w:sz w:val="22"/>
          <w:szCs w:val="22"/>
        </w:rPr>
        <w:t xml:space="preserve"> </w:t>
      </w:r>
      <w:r w:rsidR="009F3A78">
        <w:rPr>
          <w:rFonts w:ascii="Arial" w:hAnsi="Arial" w:cs="Arial"/>
          <w:sz w:val="22"/>
          <w:szCs w:val="22"/>
        </w:rPr>
        <w:t>UK</w:t>
      </w:r>
      <w:r w:rsidRPr="00573D4D">
        <w:rPr>
          <w:rFonts w:ascii="Arial" w:hAnsi="Arial" w:cs="Arial"/>
          <w:sz w:val="22"/>
          <w:szCs w:val="22"/>
        </w:rPr>
        <w:t>.</w:t>
      </w:r>
    </w:p>
    <w:p w14:paraId="78E33238" w14:textId="77777777" w:rsidR="00E31A15" w:rsidRDefault="00E31A15" w:rsidP="00173BDC">
      <w:pPr>
        <w:spacing w:line="360" w:lineRule="auto"/>
        <w:jc w:val="both"/>
        <w:rPr>
          <w:rFonts w:ascii="Arial" w:hAnsi="Arial" w:cs="Arial"/>
          <w:sz w:val="22"/>
          <w:szCs w:val="22"/>
        </w:rPr>
      </w:pPr>
    </w:p>
    <w:p w14:paraId="0D6AA189" w14:textId="0721EB69" w:rsidR="00733AB3" w:rsidRPr="00DF6D87" w:rsidRDefault="00C90CC0" w:rsidP="00733AB3">
      <w:pPr>
        <w:spacing w:line="360" w:lineRule="auto"/>
        <w:jc w:val="both"/>
        <w:rPr>
          <w:rFonts w:ascii="Arial" w:hAnsi="Arial" w:cs="Arial"/>
          <w:b/>
          <w:bCs/>
        </w:rPr>
      </w:pPr>
      <w:r w:rsidRPr="00DF6D87">
        <w:rPr>
          <w:rFonts w:ascii="Arial" w:hAnsi="Arial" w:cs="Arial"/>
          <w:b/>
          <w:bCs/>
        </w:rPr>
        <w:t>1.5 Structure</w:t>
      </w:r>
      <w:r w:rsidR="00733AB3" w:rsidRPr="00DF6D87">
        <w:rPr>
          <w:rFonts w:ascii="Arial" w:hAnsi="Arial" w:cs="Arial"/>
          <w:b/>
          <w:bCs/>
        </w:rPr>
        <w:t xml:space="preserve"> of the Dissertation</w:t>
      </w:r>
    </w:p>
    <w:p w14:paraId="4EC3BBC4" w14:textId="63AC213B" w:rsidR="00733AB3" w:rsidRPr="00733AB3" w:rsidRDefault="00733AB3" w:rsidP="00733AB3">
      <w:pPr>
        <w:spacing w:line="360" w:lineRule="auto"/>
        <w:jc w:val="both"/>
        <w:rPr>
          <w:rFonts w:ascii="Arial" w:hAnsi="Arial" w:cs="Arial"/>
          <w:sz w:val="22"/>
          <w:szCs w:val="22"/>
        </w:rPr>
      </w:pPr>
      <w:r w:rsidRPr="00733AB3">
        <w:rPr>
          <w:rFonts w:ascii="Arial" w:hAnsi="Arial" w:cs="Arial"/>
          <w:sz w:val="22"/>
          <w:szCs w:val="22"/>
        </w:rPr>
        <w:t>The dissertation proceeds as follows.</w:t>
      </w:r>
      <w:r w:rsidR="00E51D22">
        <w:rPr>
          <w:rFonts w:ascii="Arial" w:hAnsi="Arial" w:cs="Arial"/>
          <w:sz w:val="22"/>
          <w:szCs w:val="22"/>
        </w:rPr>
        <w:t xml:space="preserve"> </w:t>
      </w:r>
      <w:r w:rsidR="00DD0B5D" w:rsidRPr="00DD0B5D">
        <w:rPr>
          <w:rFonts w:ascii="Arial" w:hAnsi="Arial" w:cs="Arial"/>
          <w:sz w:val="22"/>
          <w:szCs w:val="22"/>
        </w:rPr>
        <w:t>Chapter One introduces the research topic and its contextual background, synthesises extant scholarship to establish relevance, delineates the study’s specific focus and scope, articulates the research questions and objectives, and provides an overview of the dissertation’s structure.</w:t>
      </w:r>
      <w:r w:rsidR="00E51D22">
        <w:rPr>
          <w:rFonts w:ascii="Arial" w:hAnsi="Arial" w:cs="Arial"/>
          <w:sz w:val="22"/>
          <w:szCs w:val="22"/>
        </w:rPr>
        <w:t xml:space="preserve"> </w:t>
      </w:r>
      <w:r w:rsidRPr="00733AB3">
        <w:rPr>
          <w:rFonts w:ascii="Arial" w:hAnsi="Arial" w:cs="Arial"/>
          <w:sz w:val="22"/>
          <w:szCs w:val="22"/>
        </w:rPr>
        <w:t xml:space="preserve">Chapter Two presents a critical literature review </w:t>
      </w:r>
      <w:r w:rsidRPr="00733AB3">
        <w:rPr>
          <w:rFonts w:ascii="Arial" w:hAnsi="Arial" w:cs="Arial"/>
          <w:sz w:val="22"/>
          <w:szCs w:val="22"/>
        </w:rPr>
        <w:lastRenderedPageBreak/>
        <w:t xml:space="preserve">examining the existing evidence on health inequalities, primary care access, and ED utilisation in </w:t>
      </w:r>
      <w:r w:rsidR="009F3A78">
        <w:rPr>
          <w:rFonts w:ascii="Arial" w:hAnsi="Arial" w:cs="Arial"/>
          <w:sz w:val="22"/>
          <w:szCs w:val="22"/>
        </w:rPr>
        <w:t>UK</w:t>
      </w:r>
      <w:r w:rsidRPr="00733AB3">
        <w:rPr>
          <w:rFonts w:ascii="Arial" w:hAnsi="Arial" w:cs="Arial"/>
          <w:sz w:val="22"/>
          <w:szCs w:val="22"/>
        </w:rPr>
        <w:t xml:space="preserve">, identifying key conceptual frameworks and research gaps that this study seeks to address. Chapter Three details the research methodology, including the design rationale, data sources, collection procedures, analytical approach, and ethical considerations. Chapter Four presents the findings of the thematic analysis. Chapter Five discusses the findings in relation to existing literature and their implications for policy and practice. Chapter Six </w:t>
      </w:r>
      <w:r w:rsidR="00C90CC0" w:rsidRPr="00733AB3">
        <w:rPr>
          <w:rFonts w:ascii="Arial" w:hAnsi="Arial" w:cs="Arial"/>
          <w:sz w:val="22"/>
          <w:szCs w:val="22"/>
        </w:rPr>
        <w:t>offers’</w:t>
      </w:r>
      <w:r w:rsidRPr="00733AB3">
        <w:rPr>
          <w:rFonts w:ascii="Arial" w:hAnsi="Arial" w:cs="Arial"/>
          <w:sz w:val="22"/>
          <w:szCs w:val="22"/>
        </w:rPr>
        <w:t xml:space="preserve"> conclusions, acknowledging the limitations of the study and recommending directions for future research.</w:t>
      </w:r>
    </w:p>
    <w:p w14:paraId="7A6B309D" w14:textId="77777777" w:rsidR="003939AA" w:rsidRDefault="003939AA" w:rsidP="00173BDC">
      <w:pPr>
        <w:spacing w:line="360" w:lineRule="auto"/>
        <w:jc w:val="both"/>
        <w:rPr>
          <w:rFonts w:ascii="Arial" w:hAnsi="Arial" w:cs="Arial"/>
          <w:sz w:val="22"/>
          <w:szCs w:val="22"/>
        </w:rPr>
      </w:pPr>
    </w:p>
    <w:p w14:paraId="47E32B06" w14:textId="77777777" w:rsidR="00C51C2D" w:rsidRDefault="00C51C2D" w:rsidP="00173BDC">
      <w:pPr>
        <w:spacing w:line="360" w:lineRule="auto"/>
        <w:jc w:val="both"/>
        <w:rPr>
          <w:rFonts w:ascii="Arial" w:hAnsi="Arial" w:cs="Arial"/>
          <w:sz w:val="22"/>
          <w:szCs w:val="22"/>
        </w:rPr>
      </w:pPr>
    </w:p>
    <w:p w14:paraId="35B97F39" w14:textId="77777777" w:rsidR="00C51C2D" w:rsidRDefault="00C51C2D" w:rsidP="00173BDC">
      <w:pPr>
        <w:spacing w:line="360" w:lineRule="auto"/>
        <w:jc w:val="both"/>
        <w:rPr>
          <w:rFonts w:ascii="Arial" w:hAnsi="Arial" w:cs="Arial"/>
          <w:sz w:val="22"/>
          <w:szCs w:val="22"/>
        </w:rPr>
      </w:pPr>
    </w:p>
    <w:p w14:paraId="009CDDBE" w14:textId="77777777" w:rsidR="00C51C2D" w:rsidRDefault="00C51C2D" w:rsidP="00173BDC">
      <w:pPr>
        <w:spacing w:line="360" w:lineRule="auto"/>
        <w:jc w:val="both"/>
        <w:rPr>
          <w:rFonts w:ascii="Arial" w:hAnsi="Arial" w:cs="Arial"/>
          <w:sz w:val="22"/>
          <w:szCs w:val="22"/>
        </w:rPr>
      </w:pPr>
    </w:p>
    <w:p w14:paraId="43C4379A" w14:textId="77777777" w:rsidR="00C51C2D" w:rsidRDefault="00C51C2D" w:rsidP="00173BDC">
      <w:pPr>
        <w:spacing w:line="360" w:lineRule="auto"/>
        <w:jc w:val="both"/>
        <w:rPr>
          <w:rFonts w:ascii="Arial" w:hAnsi="Arial" w:cs="Arial"/>
          <w:sz w:val="22"/>
          <w:szCs w:val="22"/>
        </w:rPr>
      </w:pPr>
    </w:p>
    <w:p w14:paraId="6902F24A" w14:textId="77777777" w:rsidR="00C51C2D" w:rsidRDefault="00C51C2D" w:rsidP="00173BDC">
      <w:pPr>
        <w:spacing w:line="360" w:lineRule="auto"/>
        <w:jc w:val="both"/>
        <w:rPr>
          <w:rFonts w:ascii="Arial" w:hAnsi="Arial" w:cs="Arial"/>
          <w:sz w:val="22"/>
          <w:szCs w:val="22"/>
        </w:rPr>
      </w:pPr>
    </w:p>
    <w:p w14:paraId="30FE5FA7" w14:textId="77777777" w:rsidR="00C51C2D" w:rsidRDefault="00C51C2D" w:rsidP="00173BDC">
      <w:pPr>
        <w:spacing w:line="360" w:lineRule="auto"/>
        <w:jc w:val="both"/>
        <w:rPr>
          <w:rFonts w:ascii="Arial" w:hAnsi="Arial" w:cs="Arial"/>
          <w:sz w:val="22"/>
          <w:szCs w:val="22"/>
        </w:rPr>
      </w:pPr>
    </w:p>
    <w:p w14:paraId="3A54D70A" w14:textId="77777777" w:rsidR="00C51C2D" w:rsidRDefault="00C51C2D" w:rsidP="00173BDC">
      <w:pPr>
        <w:spacing w:line="360" w:lineRule="auto"/>
        <w:jc w:val="both"/>
        <w:rPr>
          <w:rFonts w:ascii="Arial" w:hAnsi="Arial" w:cs="Arial"/>
          <w:sz w:val="22"/>
          <w:szCs w:val="22"/>
        </w:rPr>
      </w:pPr>
    </w:p>
    <w:p w14:paraId="683C5F21" w14:textId="77777777" w:rsidR="00C51C2D" w:rsidRDefault="00C51C2D" w:rsidP="00173BDC">
      <w:pPr>
        <w:spacing w:line="360" w:lineRule="auto"/>
        <w:jc w:val="both"/>
        <w:rPr>
          <w:rFonts w:ascii="Arial" w:hAnsi="Arial" w:cs="Arial"/>
          <w:sz w:val="22"/>
          <w:szCs w:val="22"/>
        </w:rPr>
      </w:pPr>
    </w:p>
    <w:p w14:paraId="6090DE34" w14:textId="77777777" w:rsidR="00C51C2D" w:rsidRDefault="00C51C2D" w:rsidP="00173BDC">
      <w:pPr>
        <w:spacing w:line="360" w:lineRule="auto"/>
        <w:jc w:val="both"/>
        <w:rPr>
          <w:rFonts w:ascii="Arial" w:hAnsi="Arial" w:cs="Arial"/>
          <w:sz w:val="22"/>
          <w:szCs w:val="22"/>
        </w:rPr>
      </w:pPr>
    </w:p>
    <w:p w14:paraId="696B3C31" w14:textId="77777777" w:rsidR="00C51C2D" w:rsidRDefault="00C51C2D" w:rsidP="00173BDC">
      <w:pPr>
        <w:spacing w:line="360" w:lineRule="auto"/>
        <w:jc w:val="both"/>
        <w:rPr>
          <w:rFonts w:ascii="Arial" w:hAnsi="Arial" w:cs="Arial"/>
          <w:sz w:val="22"/>
          <w:szCs w:val="22"/>
        </w:rPr>
      </w:pPr>
    </w:p>
    <w:p w14:paraId="26088533" w14:textId="77777777" w:rsidR="00C51C2D" w:rsidRDefault="00C51C2D" w:rsidP="00173BDC">
      <w:pPr>
        <w:spacing w:line="360" w:lineRule="auto"/>
        <w:jc w:val="both"/>
        <w:rPr>
          <w:rFonts w:ascii="Arial" w:hAnsi="Arial" w:cs="Arial"/>
          <w:sz w:val="22"/>
          <w:szCs w:val="22"/>
        </w:rPr>
      </w:pPr>
    </w:p>
    <w:p w14:paraId="5B143DFF" w14:textId="77777777" w:rsidR="00C51C2D" w:rsidRDefault="00C51C2D" w:rsidP="00173BDC">
      <w:pPr>
        <w:spacing w:line="360" w:lineRule="auto"/>
        <w:jc w:val="both"/>
        <w:rPr>
          <w:rFonts w:ascii="Arial" w:hAnsi="Arial" w:cs="Arial"/>
          <w:sz w:val="22"/>
          <w:szCs w:val="22"/>
        </w:rPr>
      </w:pPr>
    </w:p>
    <w:p w14:paraId="0929814A" w14:textId="77777777" w:rsidR="00C51C2D" w:rsidRDefault="00C51C2D" w:rsidP="00173BDC">
      <w:pPr>
        <w:spacing w:line="360" w:lineRule="auto"/>
        <w:jc w:val="both"/>
        <w:rPr>
          <w:rFonts w:ascii="Arial" w:hAnsi="Arial" w:cs="Arial"/>
          <w:sz w:val="22"/>
          <w:szCs w:val="22"/>
        </w:rPr>
      </w:pPr>
    </w:p>
    <w:p w14:paraId="0D43E07B" w14:textId="77777777" w:rsidR="00C51C2D" w:rsidRDefault="00C51C2D" w:rsidP="00173BDC">
      <w:pPr>
        <w:spacing w:line="360" w:lineRule="auto"/>
        <w:jc w:val="both"/>
        <w:rPr>
          <w:rFonts w:ascii="Arial" w:hAnsi="Arial" w:cs="Arial"/>
          <w:sz w:val="22"/>
          <w:szCs w:val="22"/>
        </w:rPr>
      </w:pPr>
    </w:p>
    <w:p w14:paraId="3A897709" w14:textId="77777777" w:rsidR="00C51C2D" w:rsidRDefault="00C51C2D" w:rsidP="00173BDC">
      <w:pPr>
        <w:spacing w:line="360" w:lineRule="auto"/>
        <w:jc w:val="both"/>
        <w:rPr>
          <w:rFonts w:ascii="Arial" w:hAnsi="Arial" w:cs="Arial"/>
          <w:sz w:val="22"/>
          <w:szCs w:val="22"/>
        </w:rPr>
      </w:pPr>
    </w:p>
    <w:p w14:paraId="42E631E6" w14:textId="77777777" w:rsidR="00C51C2D" w:rsidRDefault="00C51C2D" w:rsidP="00173BDC">
      <w:pPr>
        <w:spacing w:line="360" w:lineRule="auto"/>
        <w:jc w:val="both"/>
        <w:rPr>
          <w:rFonts w:ascii="Arial" w:hAnsi="Arial" w:cs="Arial"/>
          <w:sz w:val="22"/>
          <w:szCs w:val="22"/>
        </w:rPr>
      </w:pPr>
    </w:p>
    <w:p w14:paraId="0AD9C7BE" w14:textId="77777777" w:rsidR="00C51C2D" w:rsidRDefault="00C51C2D" w:rsidP="00173BDC">
      <w:pPr>
        <w:spacing w:line="360" w:lineRule="auto"/>
        <w:jc w:val="both"/>
        <w:rPr>
          <w:rFonts w:ascii="Arial" w:hAnsi="Arial" w:cs="Arial"/>
          <w:sz w:val="22"/>
          <w:szCs w:val="22"/>
        </w:rPr>
      </w:pPr>
    </w:p>
    <w:p w14:paraId="5E81D8C5" w14:textId="77777777" w:rsidR="00C51C2D" w:rsidRDefault="00C51C2D" w:rsidP="00173BDC">
      <w:pPr>
        <w:spacing w:line="360" w:lineRule="auto"/>
        <w:jc w:val="both"/>
        <w:rPr>
          <w:rFonts w:ascii="Arial" w:hAnsi="Arial" w:cs="Arial"/>
          <w:sz w:val="22"/>
          <w:szCs w:val="22"/>
        </w:rPr>
      </w:pPr>
    </w:p>
    <w:p w14:paraId="7E66E708" w14:textId="77777777" w:rsidR="00C51C2D" w:rsidRDefault="00C51C2D" w:rsidP="00173BDC">
      <w:pPr>
        <w:spacing w:line="360" w:lineRule="auto"/>
        <w:jc w:val="both"/>
        <w:rPr>
          <w:rFonts w:ascii="Arial" w:hAnsi="Arial" w:cs="Arial"/>
          <w:sz w:val="22"/>
          <w:szCs w:val="22"/>
        </w:rPr>
      </w:pPr>
    </w:p>
    <w:p w14:paraId="1C5E1BB2" w14:textId="77777777" w:rsidR="00C51C2D" w:rsidRDefault="00C51C2D" w:rsidP="00173BDC">
      <w:pPr>
        <w:spacing w:line="360" w:lineRule="auto"/>
        <w:jc w:val="both"/>
        <w:rPr>
          <w:rFonts w:ascii="Arial" w:hAnsi="Arial" w:cs="Arial"/>
          <w:sz w:val="22"/>
          <w:szCs w:val="22"/>
        </w:rPr>
      </w:pPr>
    </w:p>
    <w:p w14:paraId="377A9258" w14:textId="77777777" w:rsidR="00C51C2D" w:rsidRDefault="00C51C2D" w:rsidP="00173BDC">
      <w:pPr>
        <w:spacing w:line="360" w:lineRule="auto"/>
        <w:jc w:val="both"/>
        <w:rPr>
          <w:rFonts w:ascii="Arial" w:hAnsi="Arial" w:cs="Arial"/>
          <w:sz w:val="22"/>
          <w:szCs w:val="22"/>
        </w:rPr>
      </w:pPr>
    </w:p>
    <w:p w14:paraId="495FFC01" w14:textId="77777777" w:rsidR="00C51C2D" w:rsidRDefault="00C51C2D" w:rsidP="00173BDC">
      <w:pPr>
        <w:spacing w:line="360" w:lineRule="auto"/>
        <w:jc w:val="both"/>
        <w:rPr>
          <w:rFonts w:ascii="Arial" w:hAnsi="Arial" w:cs="Arial"/>
          <w:sz w:val="22"/>
          <w:szCs w:val="22"/>
        </w:rPr>
      </w:pPr>
    </w:p>
    <w:p w14:paraId="2C698688" w14:textId="77777777" w:rsidR="00C51C2D" w:rsidRDefault="00C51C2D" w:rsidP="00173BDC">
      <w:pPr>
        <w:spacing w:line="360" w:lineRule="auto"/>
        <w:jc w:val="both"/>
        <w:rPr>
          <w:rFonts w:ascii="Arial" w:hAnsi="Arial" w:cs="Arial"/>
          <w:sz w:val="22"/>
          <w:szCs w:val="22"/>
        </w:rPr>
      </w:pPr>
    </w:p>
    <w:p w14:paraId="4154F4BF" w14:textId="77777777" w:rsidR="00C51C2D" w:rsidRDefault="00C51C2D" w:rsidP="00173BDC">
      <w:pPr>
        <w:spacing w:line="360" w:lineRule="auto"/>
        <w:jc w:val="both"/>
        <w:rPr>
          <w:rFonts w:ascii="Arial" w:hAnsi="Arial" w:cs="Arial"/>
          <w:sz w:val="22"/>
          <w:szCs w:val="22"/>
        </w:rPr>
      </w:pPr>
    </w:p>
    <w:p w14:paraId="2E19EC98" w14:textId="77777777" w:rsidR="00C51C2D" w:rsidRDefault="00C51C2D" w:rsidP="00173BDC">
      <w:pPr>
        <w:spacing w:line="360" w:lineRule="auto"/>
        <w:jc w:val="both"/>
        <w:rPr>
          <w:rFonts w:ascii="Arial" w:hAnsi="Arial" w:cs="Arial"/>
          <w:sz w:val="22"/>
          <w:szCs w:val="22"/>
        </w:rPr>
      </w:pPr>
    </w:p>
    <w:p w14:paraId="69ABA2B5" w14:textId="77777777" w:rsidR="00C51C2D" w:rsidRDefault="00C51C2D" w:rsidP="00173BDC">
      <w:pPr>
        <w:spacing w:line="360" w:lineRule="auto"/>
        <w:jc w:val="both"/>
        <w:rPr>
          <w:rFonts w:ascii="Arial" w:hAnsi="Arial" w:cs="Arial"/>
          <w:sz w:val="22"/>
          <w:szCs w:val="22"/>
        </w:rPr>
      </w:pPr>
    </w:p>
    <w:p w14:paraId="5A533745" w14:textId="77777777" w:rsidR="00C51C2D" w:rsidRDefault="00C51C2D" w:rsidP="00173BDC">
      <w:pPr>
        <w:spacing w:line="360" w:lineRule="auto"/>
        <w:jc w:val="both"/>
        <w:rPr>
          <w:rFonts w:ascii="Arial" w:hAnsi="Arial" w:cs="Arial"/>
          <w:sz w:val="22"/>
          <w:szCs w:val="22"/>
        </w:rPr>
      </w:pPr>
    </w:p>
    <w:p w14:paraId="472ED1A5" w14:textId="77777777" w:rsidR="00C51C2D" w:rsidRDefault="00C51C2D" w:rsidP="00173BDC">
      <w:pPr>
        <w:spacing w:line="360" w:lineRule="auto"/>
        <w:jc w:val="both"/>
        <w:rPr>
          <w:rFonts w:ascii="Arial" w:hAnsi="Arial" w:cs="Arial"/>
          <w:sz w:val="22"/>
          <w:szCs w:val="22"/>
        </w:rPr>
      </w:pPr>
    </w:p>
    <w:p w14:paraId="71728AA4" w14:textId="77777777" w:rsidR="00C51C2D" w:rsidRDefault="00C51C2D" w:rsidP="00173BDC">
      <w:pPr>
        <w:spacing w:line="360" w:lineRule="auto"/>
        <w:jc w:val="both"/>
        <w:rPr>
          <w:rFonts w:ascii="Arial" w:hAnsi="Arial" w:cs="Arial"/>
          <w:sz w:val="22"/>
          <w:szCs w:val="22"/>
        </w:rPr>
      </w:pPr>
    </w:p>
    <w:p w14:paraId="4C74C78F" w14:textId="77777777" w:rsidR="00DB4AEF" w:rsidRPr="00CA447C" w:rsidRDefault="00DB4AEF" w:rsidP="00E72A59">
      <w:pPr>
        <w:pStyle w:val="Heading1"/>
      </w:pPr>
    </w:p>
    <w:p w14:paraId="67AA4621" w14:textId="538C4D70" w:rsidR="003E3BAB" w:rsidRPr="00644591" w:rsidRDefault="000F31B2" w:rsidP="00644591">
      <w:pPr>
        <w:pStyle w:val="NoSpacing"/>
        <w:numPr>
          <w:ilvl w:val="0"/>
          <w:numId w:val="23"/>
        </w:numPr>
        <w:rPr>
          <w:rFonts w:ascii="Arial" w:hAnsi="Arial" w:cs="Arial"/>
          <w:b/>
          <w:bCs/>
          <w:sz w:val="28"/>
          <w:szCs w:val="28"/>
        </w:rPr>
      </w:pPr>
      <w:bookmarkStart w:id="4" w:name="_Toc240714303"/>
      <w:r w:rsidRPr="00644591">
        <w:rPr>
          <w:rFonts w:ascii="Arial" w:hAnsi="Arial" w:cs="Arial"/>
          <w:b/>
          <w:bCs/>
          <w:sz w:val="28"/>
          <w:szCs w:val="28"/>
        </w:rPr>
        <w:t>Literature Review and Theoretical Framework</w:t>
      </w:r>
      <w:bookmarkEnd w:id="4"/>
    </w:p>
    <w:p w14:paraId="413EC749" w14:textId="77777777" w:rsidR="003E3BAB" w:rsidRPr="003E3BAB" w:rsidRDefault="003E3BAB" w:rsidP="003E3BAB">
      <w:pPr>
        <w:spacing w:line="360" w:lineRule="auto"/>
        <w:ind w:left="360"/>
        <w:jc w:val="both"/>
        <w:rPr>
          <w:rFonts w:ascii="Arial" w:hAnsi="Arial" w:cs="Arial"/>
          <w:b/>
          <w:bCs/>
          <w:sz w:val="28"/>
          <w:szCs w:val="28"/>
        </w:rPr>
      </w:pPr>
    </w:p>
    <w:p w14:paraId="5941ECD4" w14:textId="77777777" w:rsidR="000F31B2" w:rsidRPr="003E3BAB" w:rsidRDefault="000F31B2" w:rsidP="000F31B2">
      <w:pPr>
        <w:spacing w:line="360" w:lineRule="auto"/>
        <w:jc w:val="both"/>
        <w:rPr>
          <w:rFonts w:ascii="Arial" w:hAnsi="Arial" w:cs="Arial"/>
          <w:b/>
          <w:bCs/>
        </w:rPr>
      </w:pPr>
      <w:r w:rsidRPr="003E3BAB">
        <w:rPr>
          <w:rFonts w:ascii="Arial" w:hAnsi="Arial" w:cs="Arial"/>
          <w:b/>
          <w:bCs/>
        </w:rPr>
        <w:t>2.1 Introduction to the Review</w:t>
      </w:r>
    </w:p>
    <w:p w14:paraId="512759A8" w14:textId="4013A2F0" w:rsidR="000F31B2" w:rsidRPr="001B6EB3" w:rsidRDefault="000F31B2" w:rsidP="000F31B2">
      <w:pPr>
        <w:spacing w:line="360" w:lineRule="auto"/>
        <w:jc w:val="both"/>
        <w:rPr>
          <w:rFonts w:ascii="Arial" w:hAnsi="Arial" w:cs="Arial"/>
          <w:sz w:val="22"/>
          <w:szCs w:val="22"/>
        </w:rPr>
      </w:pPr>
      <w:r w:rsidRPr="001B6EB3">
        <w:rPr>
          <w:rFonts w:ascii="Arial" w:hAnsi="Arial" w:cs="Arial"/>
          <w:sz w:val="22"/>
          <w:szCs w:val="22"/>
        </w:rPr>
        <w:t xml:space="preserve">This chapter situates the present dissertation within the existing body of scholarship on primary care access, emergency department (ED) utilisation, and health inequalities in </w:t>
      </w:r>
      <w:r w:rsidR="009D0337">
        <w:rPr>
          <w:rFonts w:ascii="Arial" w:hAnsi="Arial" w:cs="Arial"/>
          <w:sz w:val="22"/>
          <w:szCs w:val="22"/>
        </w:rPr>
        <w:t>UK</w:t>
      </w:r>
      <w:r w:rsidRPr="001B6EB3">
        <w:rPr>
          <w:rFonts w:ascii="Arial" w:hAnsi="Arial" w:cs="Arial"/>
          <w:sz w:val="22"/>
          <w:szCs w:val="22"/>
        </w:rPr>
        <w:t>. Rather than simply summarising the existing literature, it critically examines current evidence to identify areas of consensus, ongoing debate, and gaps in knowledge that justify the present study. In doing so, the chapter establishes the conceptual and empirical foundation for the research and provides the rationale for the theoretical framework that informs the subsequent analysis.</w:t>
      </w:r>
    </w:p>
    <w:p w14:paraId="6DA7574C" w14:textId="77777777" w:rsidR="000F31B2" w:rsidRPr="001B6EB3" w:rsidRDefault="000F31B2" w:rsidP="000F31B2">
      <w:pPr>
        <w:spacing w:line="360" w:lineRule="auto"/>
        <w:jc w:val="both"/>
        <w:rPr>
          <w:rFonts w:ascii="Arial" w:hAnsi="Arial" w:cs="Arial"/>
          <w:sz w:val="22"/>
          <w:szCs w:val="22"/>
        </w:rPr>
      </w:pPr>
      <w:r w:rsidRPr="001B6EB3">
        <w:rPr>
          <w:rFonts w:ascii="Arial" w:hAnsi="Arial" w:cs="Arial"/>
          <w:sz w:val="22"/>
          <w:szCs w:val="22"/>
        </w:rPr>
        <w:t>The review is organised into three interconnected sections. It begins by examining the evidence on health inequalities and healthcare access, considering how socioeconomic deprivation influences both health need and individuals' ability to obtain timely and appropriate primary care. It then reviews the literature on emergency department utilisation, with particular attention to the extent to which unmet primary care needs contribute to ED attendance. The chapter concludes by outlining the theoretical frameworks that underpin the study, demonstrating how they provide a lens through which the relationship between deprivation, access to primary care, and emergency department use can be understood and interpreted.</w:t>
      </w:r>
    </w:p>
    <w:p w14:paraId="47CCF393" w14:textId="1A935093" w:rsidR="000F31B2" w:rsidRDefault="000F31B2" w:rsidP="000F31B2">
      <w:pPr>
        <w:spacing w:line="360" w:lineRule="auto"/>
        <w:jc w:val="both"/>
        <w:rPr>
          <w:rFonts w:ascii="Arial" w:hAnsi="Arial" w:cs="Arial"/>
          <w:sz w:val="22"/>
          <w:szCs w:val="22"/>
        </w:rPr>
      </w:pPr>
      <w:r w:rsidRPr="001B6EB3">
        <w:rPr>
          <w:rFonts w:ascii="Arial" w:hAnsi="Arial" w:cs="Arial"/>
          <w:sz w:val="22"/>
          <w:szCs w:val="22"/>
        </w:rPr>
        <w:t xml:space="preserve">The review focuses specifically on </w:t>
      </w:r>
      <w:r w:rsidR="00811327">
        <w:rPr>
          <w:rFonts w:ascii="Arial" w:hAnsi="Arial" w:cs="Arial"/>
          <w:sz w:val="22"/>
          <w:szCs w:val="22"/>
        </w:rPr>
        <w:t>UK</w:t>
      </w:r>
      <w:r w:rsidRPr="001B6EB3">
        <w:rPr>
          <w:rFonts w:ascii="Arial" w:hAnsi="Arial" w:cs="Arial"/>
          <w:sz w:val="22"/>
          <w:szCs w:val="22"/>
        </w:rPr>
        <w:t xml:space="preserve">, where the National Health Service (NHS) provides universal healthcare that is intended to ensure equitable access regardless of an individual's ability to pay. Despite this principle, substantial inequalities in access to primary care and patterns of healthcare utilisation persist across socioeconomic groups. </w:t>
      </w:r>
      <w:r w:rsidR="00811327">
        <w:rPr>
          <w:rFonts w:ascii="Arial" w:hAnsi="Arial" w:cs="Arial"/>
          <w:sz w:val="22"/>
          <w:szCs w:val="22"/>
        </w:rPr>
        <w:t>The UK</w:t>
      </w:r>
      <w:r w:rsidRPr="001B6EB3">
        <w:rPr>
          <w:rFonts w:ascii="Arial" w:hAnsi="Arial" w:cs="Arial"/>
          <w:sz w:val="22"/>
          <w:szCs w:val="22"/>
        </w:rPr>
        <w:t xml:space="preserve"> therefore provides an important context in which to examine how deprivation continues to shape healthcare access within a universal healthcare system. The review draws upon peer-reviewed empirical studies, systematic and narrative reviews, national policy documents, and qualitative evidence from patient experience reports to provide a comprehensive and balanced synthesis of the literature.</w:t>
      </w:r>
    </w:p>
    <w:p w14:paraId="1CA916B6" w14:textId="2258717F" w:rsidR="000F31B2" w:rsidRPr="001B6EB3" w:rsidRDefault="005C4B8A" w:rsidP="000F31B2">
      <w:pPr>
        <w:spacing w:line="360" w:lineRule="auto"/>
        <w:jc w:val="both"/>
        <w:rPr>
          <w:rFonts w:ascii="Arial" w:hAnsi="Arial" w:cs="Arial"/>
          <w:sz w:val="22"/>
          <w:szCs w:val="22"/>
        </w:rPr>
      </w:pPr>
      <w:r>
        <w:rPr>
          <w:rFonts w:ascii="Arial" w:hAnsi="Arial" w:cs="Arial"/>
          <w:sz w:val="22"/>
          <w:szCs w:val="22"/>
        </w:rPr>
        <w:t xml:space="preserve">The </w:t>
      </w:r>
      <w:r w:rsidR="000F31B2" w:rsidRPr="001B6EB3">
        <w:rPr>
          <w:rFonts w:ascii="Arial" w:hAnsi="Arial" w:cs="Arial"/>
          <w:sz w:val="22"/>
          <w:szCs w:val="22"/>
        </w:rPr>
        <w:t xml:space="preserve">literature relies on quantitative analyses of service use and population-level datasets, providing robust evidence of associations but offering comparatively limited insight into how individuals living in deprived communities experience barriers to accessing primary care and how these experiences influence decisions to seek emergency care. Furthermore, existing studies often examine primary care access or emergency department utilisation in isolation, rather than </w:t>
      </w:r>
      <w:r w:rsidR="000F31B2" w:rsidRPr="001B6EB3">
        <w:rPr>
          <w:rFonts w:ascii="Arial" w:hAnsi="Arial" w:cs="Arial"/>
          <w:sz w:val="22"/>
          <w:szCs w:val="22"/>
        </w:rPr>
        <w:lastRenderedPageBreak/>
        <w:t>considering the complex pathways through which deprivation shapes healthcare-seeking behaviour. Addressing these gaps is essential to developing a more comprehensive understanding of healthcare inequalities.</w:t>
      </w:r>
    </w:p>
    <w:p w14:paraId="1DD90276" w14:textId="4439911F" w:rsidR="000F31B2" w:rsidRDefault="000F31B2" w:rsidP="000F31B2">
      <w:pPr>
        <w:spacing w:line="360" w:lineRule="auto"/>
        <w:jc w:val="both"/>
        <w:rPr>
          <w:rFonts w:ascii="Arial" w:hAnsi="Arial" w:cs="Arial"/>
          <w:sz w:val="22"/>
          <w:szCs w:val="22"/>
        </w:rPr>
      </w:pPr>
      <w:r w:rsidRPr="001B6EB3">
        <w:rPr>
          <w:rFonts w:ascii="Arial" w:hAnsi="Arial" w:cs="Arial"/>
          <w:sz w:val="22"/>
          <w:szCs w:val="22"/>
        </w:rPr>
        <w:t>By critically synthesising the available evidence, this chapter identifies the empirical and conceptual gaps that the present dissertation seeks to address. It establishes the theoretical foundation for the study, providing the framework through which the findings presented in later chapters are analysed and interpreted.</w:t>
      </w:r>
    </w:p>
    <w:p w14:paraId="264F8A3B" w14:textId="77777777" w:rsidR="00C51C2D" w:rsidRPr="001B6EB3" w:rsidRDefault="00C51C2D" w:rsidP="000F31B2">
      <w:pPr>
        <w:spacing w:line="360" w:lineRule="auto"/>
        <w:jc w:val="both"/>
        <w:rPr>
          <w:rFonts w:ascii="Arial" w:hAnsi="Arial" w:cs="Arial"/>
          <w:sz w:val="22"/>
          <w:szCs w:val="22"/>
        </w:rPr>
      </w:pPr>
    </w:p>
    <w:p w14:paraId="7EC3C0E3" w14:textId="77777777" w:rsidR="00DF6D87" w:rsidRPr="00DF6D87" w:rsidRDefault="00DF6D87" w:rsidP="00FB1B2B">
      <w:pPr>
        <w:spacing w:line="360" w:lineRule="auto"/>
        <w:jc w:val="both"/>
        <w:rPr>
          <w:rFonts w:ascii="Arial" w:hAnsi="Arial" w:cs="Arial"/>
        </w:rPr>
      </w:pPr>
    </w:p>
    <w:p w14:paraId="185C3F35" w14:textId="545E23E2" w:rsidR="003E3BAB" w:rsidRPr="0071142F" w:rsidRDefault="003E3BAB" w:rsidP="0071142F">
      <w:pPr>
        <w:pStyle w:val="ListParagraph"/>
        <w:numPr>
          <w:ilvl w:val="1"/>
          <w:numId w:val="25"/>
        </w:numPr>
        <w:spacing w:line="360" w:lineRule="auto"/>
        <w:jc w:val="both"/>
        <w:rPr>
          <w:rFonts w:ascii="Arial" w:hAnsi="Arial" w:cs="Arial"/>
          <w:b/>
          <w:bCs/>
        </w:rPr>
      </w:pPr>
      <w:r w:rsidRPr="0057124D">
        <w:rPr>
          <w:rFonts w:ascii="Arial" w:hAnsi="Arial" w:cs="Arial"/>
          <w:b/>
          <w:bCs/>
        </w:rPr>
        <w:t xml:space="preserve"> </w:t>
      </w:r>
      <w:r w:rsidR="00844F96" w:rsidRPr="0057124D">
        <w:rPr>
          <w:rFonts w:ascii="Arial" w:hAnsi="Arial" w:cs="Arial"/>
          <w:b/>
          <w:bCs/>
        </w:rPr>
        <w:t>Health Inequalities and the Social Determinants of Health</w:t>
      </w:r>
    </w:p>
    <w:p w14:paraId="4980A69B" w14:textId="1BB9DC06" w:rsidR="00844F96" w:rsidRPr="0071142F" w:rsidRDefault="00844F96" w:rsidP="00844F96">
      <w:pPr>
        <w:spacing w:line="360" w:lineRule="auto"/>
        <w:jc w:val="both"/>
        <w:rPr>
          <w:rFonts w:ascii="Arial" w:hAnsi="Arial" w:cs="Arial"/>
          <w:b/>
          <w:bCs/>
          <w:sz w:val="22"/>
          <w:szCs w:val="22"/>
        </w:rPr>
      </w:pPr>
      <w:r w:rsidRPr="0071142F">
        <w:rPr>
          <w:rFonts w:ascii="Arial" w:hAnsi="Arial" w:cs="Arial"/>
          <w:b/>
          <w:bCs/>
          <w:sz w:val="22"/>
          <w:szCs w:val="22"/>
        </w:rPr>
        <w:t>2.2.1 The Social Inequality in Health</w:t>
      </w:r>
    </w:p>
    <w:p w14:paraId="5D7994AE" w14:textId="458809BA" w:rsidR="00844F96" w:rsidRPr="00844F96" w:rsidRDefault="00844F96" w:rsidP="00844F96">
      <w:pPr>
        <w:spacing w:line="360" w:lineRule="auto"/>
        <w:jc w:val="both"/>
        <w:rPr>
          <w:rFonts w:ascii="Arial" w:hAnsi="Arial" w:cs="Arial"/>
          <w:sz w:val="22"/>
          <w:szCs w:val="22"/>
        </w:rPr>
      </w:pPr>
      <w:r w:rsidRPr="00844F96">
        <w:rPr>
          <w:rFonts w:ascii="Arial" w:hAnsi="Arial" w:cs="Arial"/>
          <w:sz w:val="22"/>
          <w:szCs w:val="22"/>
        </w:rPr>
        <w:t>The relationship between socioeconomic position and health outcomes is one of the most consistently demonstrated findings in public health research. The concept of the social gradient in health describes the progressive decline in health outcomes as socioeconomic status decreases, reflecting that health inequalities exist across the entire socioeconomic spectrum rather than only between the most and least deprived groups. This relationship has been observed across a wide range of diseases, populations, and healthcare systems, underpinning national and international strategies for reducing health inequalities (World Health Organisation, 2021).</w:t>
      </w:r>
    </w:p>
    <w:p w14:paraId="56082421" w14:textId="0739F30C" w:rsidR="00844F96" w:rsidRPr="00844F96" w:rsidRDefault="00844F96" w:rsidP="00844F96">
      <w:pPr>
        <w:spacing w:line="360" w:lineRule="auto"/>
        <w:jc w:val="both"/>
        <w:rPr>
          <w:rFonts w:ascii="Arial" w:hAnsi="Arial" w:cs="Arial"/>
          <w:sz w:val="22"/>
          <w:szCs w:val="22"/>
        </w:rPr>
      </w:pPr>
      <w:r w:rsidRPr="00844F96">
        <w:rPr>
          <w:rFonts w:ascii="Arial" w:hAnsi="Arial" w:cs="Arial"/>
          <w:sz w:val="22"/>
          <w:szCs w:val="22"/>
        </w:rPr>
        <w:t xml:space="preserve">In </w:t>
      </w:r>
      <w:r w:rsidR="007868A4">
        <w:rPr>
          <w:rFonts w:ascii="Arial" w:hAnsi="Arial" w:cs="Arial"/>
          <w:sz w:val="22"/>
          <w:szCs w:val="22"/>
        </w:rPr>
        <w:t>the UK</w:t>
      </w:r>
      <w:r w:rsidRPr="00844F96">
        <w:rPr>
          <w:rFonts w:ascii="Arial" w:hAnsi="Arial" w:cs="Arial"/>
          <w:sz w:val="22"/>
          <w:szCs w:val="22"/>
        </w:rPr>
        <w:t xml:space="preserve">, the Marmot Reviews provide the principal framework for understanding the social determinants of health. The original Marmot Review (2010) argued that health inequalities are </w:t>
      </w:r>
      <w:r w:rsidR="00D57BE0" w:rsidRPr="00844F96">
        <w:rPr>
          <w:rFonts w:ascii="Arial" w:hAnsi="Arial" w:cs="Arial"/>
          <w:sz w:val="22"/>
          <w:szCs w:val="22"/>
        </w:rPr>
        <w:t>avoidable</w:t>
      </w:r>
      <w:r w:rsidRPr="00844F96">
        <w:rPr>
          <w:rFonts w:ascii="Arial" w:hAnsi="Arial" w:cs="Arial"/>
          <w:sz w:val="22"/>
          <w:szCs w:val="22"/>
        </w:rPr>
        <w:t xml:space="preserve"> and arise from unequal access to the social, economic, and environmental conditions in which people are born, grow, live, work, and age. This shifted the focus of public health policy beyond healthcare provision alone, recognising that wider social and economic factors fundamentally shape health throughout the life course. However, a decade later, Health Equity in </w:t>
      </w:r>
      <w:r w:rsidR="009F7FDA">
        <w:rPr>
          <w:rFonts w:ascii="Arial" w:hAnsi="Arial" w:cs="Arial"/>
          <w:sz w:val="22"/>
          <w:szCs w:val="22"/>
        </w:rPr>
        <w:t>the</w:t>
      </w:r>
      <w:r w:rsidR="00DE2DF6">
        <w:rPr>
          <w:rFonts w:ascii="Arial" w:hAnsi="Arial" w:cs="Arial"/>
          <w:sz w:val="22"/>
          <w:szCs w:val="22"/>
        </w:rPr>
        <w:t xml:space="preserve"> UK</w:t>
      </w:r>
      <w:r w:rsidRPr="00844F96">
        <w:rPr>
          <w:rFonts w:ascii="Arial" w:hAnsi="Arial" w:cs="Arial"/>
          <w:sz w:val="22"/>
          <w:szCs w:val="22"/>
        </w:rPr>
        <w:t xml:space="preserve">: The Marmot Review 10 Years On concluded that progress had stalled and, in several respects, reversed (Marmot et al., 2020). Improvements in life expectancy had slowed for the first time in more than a century, healthy life expectancy remained </w:t>
      </w:r>
      <w:r w:rsidR="008F09CD" w:rsidRPr="00844F96">
        <w:rPr>
          <w:rFonts w:ascii="Arial" w:hAnsi="Arial" w:cs="Arial"/>
          <w:sz w:val="22"/>
          <w:szCs w:val="22"/>
        </w:rPr>
        <w:t>lower</w:t>
      </w:r>
      <w:r w:rsidRPr="00844F96">
        <w:rPr>
          <w:rFonts w:ascii="Arial" w:hAnsi="Arial" w:cs="Arial"/>
          <w:sz w:val="22"/>
          <w:szCs w:val="22"/>
        </w:rPr>
        <w:t xml:space="preserve"> in the most deprived communities, and the gap between the most and least advantaged populations had widened across multiple health indicators. These findings demonstrate that despite sustained policy attention, socioeconomic inequalities continue to exert a profound influence on health outcomes in </w:t>
      </w:r>
      <w:r w:rsidR="007868A4">
        <w:rPr>
          <w:rFonts w:ascii="Arial" w:hAnsi="Arial" w:cs="Arial"/>
          <w:sz w:val="22"/>
          <w:szCs w:val="22"/>
        </w:rPr>
        <w:t>the UK</w:t>
      </w:r>
      <w:r w:rsidR="00216AAD">
        <w:rPr>
          <w:rFonts w:ascii="Arial" w:hAnsi="Arial" w:cs="Arial"/>
          <w:sz w:val="22"/>
          <w:szCs w:val="22"/>
        </w:rPr>
        <w:t xml:space="preserve"> </w:t>
      </w:r>
      <w:r w:rsidR="00216AAD" w:rsidRPr="00216AAD">
        <w:rPr>
          <w:rFonts w:ascii="Arial" w:hAnsi="Arial" w:cs="Arial"/>
          <w:sz w:val="22"/>
          <w:szCs w:val="22"/>
        </w:rPr>
        <w:t>(Marmot, 2020).</w:t>
      </w:r>
    </w:p>
    <w:p w14:paraId="651ABD2A" w14:textId="6D6A1E69" w:rsidR="005A31B6" w:rsidRPr="005A31B6" w:rsidRDefault="00844F96" w:rsidP="005A31B6">
      <w:pPr>
        <w:spacing w:line="360" w:lineRule="auto"/>
        <w:jc w:val="both"/>
        <w:rPr>
          <w:rFonts w:ascii="Arial" w:hAnsi="Arial" w:cs="Arial"/>
          <w:sz w:val="22"/>
          <w:szCs w:val="22"/>
        </w:rPr>
      </w:pPr>
      <w:r w:rsidRPr="00844F96">
        <w:rPr>
          <w:rFonts w:ascii="Arial" w:hAnsi="Arial" w:cs="Arial"/>
          <w:sz w:val="22"/>
          <w:szCs w:val="22"/>
        </w:rPr>
        <w:t xml:space="preserve">The consequences of these inequalities extend directly to patterns of healthcare need and utilisation. Individuals living in deprived communities experience disproportionately higher rates </w:t>
      </w:r>
      <w:r w:rsidRPr="00844F96">
        <w:rPr>
          <w:rFonts w:ascii="Arial" w:hAnsi="Arial" w:cs="Arial"/>
          <w:sz w:val="22"/>
          <w:szCs w:val="22"/>
        </w:rPr>
        <w:lastRenderedPageBreak/>
        <w:t xml:space="preserve">of chronic disease, multimorbidity, mental health conditions, and preventable illness, resulting in </w:t>
      </w:r>
      <w:r w:rsidR="008F09CD" w:rsidRPr="00844F96">
        <w:rPr>
          <w:rFonts w:ascii="Arial" w:hAnsi="Arial" w:cs="Arial"/>
          <w:sz w:val="22"/>
          <w:szCs w:val="22"/>
        </w:rPr>
        <w:t>greater</w:t>
      </w:r>
      <w:r w:rsidRPr="00844F96">
        <w:rPr>
          <w:rFonts w:ascii="Arial" w:hAnsi="Arial" w:cs="Arial"/>
          <w:sz w:val="22"/>
          <w:szCs w:val="22"/>
        </w:rPr>
        <w:t xml:space="preserve"> demand for both primary and emergency healthcare services (Kontopantelis et al., 2021). Importantly, this relationship is not explained solely by a higher prevalence of illness. Multimorbidity develops </w:t>
      </w:r>
      <w:r w:rsidR="008F09CD" w:rsidRPr="00844F96">
        <w:rPr>
          <w:rFonts w:ascii="Arial" w:hAnsi="Arial" w:cs="Arial"/>
          <w:sz w:val="22"/>
          <w:szCs w:val="22"/>
        </w:rPr>
        <w:t>a</w:t>
      </w:r>
      <w:r w:rsidRPr="00844F96">
        <w:rPr>
          <w:rFonts w:ascii="Arial" w:hAnsi="Arial" w:cs="Arial"/>
          <w:sz w:val="22"/>
          <w:szCs w:val="22"/>
        </w:rPr>
        <w:t xml:space="preserve"> decade earlier among the most socioeconomically deprived populations than among the least deprived, increasing both the frequency of healthcare contacts and the complexity of clinical management required (Roland, 2021). Consequently, healthcare providers serving deprived populations face greater clinical complexity alongside increased service demand, placing additional pressure on already constrained healthcare resources</w:t>
      </w:r>
      <w:r w:rsidR="00C065D5" w:rsidRPr="00844F96">
        <w:rPr>
          <w:rFonts w:ascii="Arial" w:hAnsi="Arial" w:cs="Arial"/>
          <w:sz w:val="22"/>
          <w:szCs w:val="22"/>
        </w:rPr>
        <w:t>.</w:t>
      </w:r>
      <w:r w:rsidR="00C065D5">
        <w:rPr>
          <w:rFonts w:ascii="Arial" w:hAnsi="Arial" w:cs="Arial"/>
          <w:sz w:val="22"/>
          <w:szCs w:val="22"/>
        </w:rPr>
        <w:t xml:space="preserve"> </w:t>
      </w:r>
      <w:r w:rsidR="005A31B6" w:rsidRPr="005A31B6">
        <w:rPr>
          <w:rFonts w:ascii="Arial" w:hAnsi="Arial" w:cs="Arial"/>
          <w:sz w:val="22"/>
          <w:szCs w:val="22"/>
        </w:rPr>
        <w:t xml:space="preserve">Recent evidence suggests that socioeconomic deprivation influences not only health status but the pathways through which individuals access healthcare services. In a qualitative study examining pathways to emergency care in the United Kingdom, Fitzpatrick et al. (2025) found that emergency department attendance was shaped by an interaction of clinical need, socioeconomic disadvantage, barriers to accessing primary care, and previous experiences of healthcare services. Their findings challenge the assumption that emergency department utilisation is driven solely by inappropriate patient choice, instead highlighting how structural barriers can restrict access to timely community-based care and influence healthcare-seeking behaviour. This reinforces the view that patterns of emergency department use should be understood within the broader context of health inequalities rather than as isolated issues of service demand (NHS </w:t>
      </w:r>
      <w:r w:rsidR="007868A4">
        <w:rPr>
          <w:rFonts w:ascii="Arial" w:hAnsi="Arial" w:cs="Arial"/>
          <w:sz w:val="22"/>
          <w:szCs w:val="22"/>
        </w:rPr>
        <w:t>UK</w:t>
      </w:r>
      <w:r w:rsidR="005A31B6" w:rsidRPr="005A31B6">
        <w:rPr>
          <w:rFonts w:ascii="Arial" w:hAnsi="Arial" w:cs="Arial"/>
          <w:sz w:val="22"/>
          <w:szCs w:val="22"/>
        </w:rPr>
        <w:t>, 2025).</w:t>
      </w:r>
    </w:p>
    <w:p w14:paraId="6E464181" w14:textId="0B2014FB" w:rsidR="005A31B6" w:rsidRPr="005A31B6" w:rsidRDefault="005A31B6" w:rsidP="005A31B6">
      <w:pPr>
        <w:spacing w:line="360" w:lineRule="auto"/>
        <w:jc w:val="both"/>
        <w:rPr>
          <w:rFonts w:ascii="Arial" w:hAnsi="Arial" w:cs="Arial"/>
          <w:sz w:val="22"/>
          <w:szCs w:val="22"/>
        </w:rPr>
      </w:pPr>
      <w:r w:rsidRPr="005A31B6">
        <w:rPr>
          <w:rFonts w:ascii="Arial" w:hAnsi="Arial" w:cs="Arial"/>
          <w:sz w:val="22"/>
          <w:szCs w:val="22"/>
        </w:rPr>
        <w:t xml:space="preserve">The COVID-19 pandemic further exposed and intensified these structural inequalities. Evidence from NHS Digital (2022) indicated that deprived communities experienced both a disproportionately greater burden of COVID-19 and a slower recovery in access to primary and community healthcare services following the pandemic. Rather than creating new inequalities, the pandemic amplified existing disparities in healthcare access and health outcomes, widening the gap between healthcare need and service provision. These developments illustrate how socioeconomic disadvantage operates as a cumulative determinant of health, simultaneously increasing the burden of illness while reducing the capacity to access appropriate care (NHS </w:t>
      </w:r>
      <w:r w:rsidR="00215CA5">
        <w:rPr>
          <w:rFonts w:ascii="Arial" w:hAnsi="Arial" w:cs="Arial"/>
          <w:sz w:val="22"/>
          <w:szCs w:val="22"/>
        </w:rPr>
        <w:t>UK</w:t>
      </w:r>
      <w:r w:rsidRPr="005A31B6">
        <w:rPr>
          <w:rFonts w:ascii="Arial" w:hAnsi="Arial" w:cs="Arial"/>
          <w:sz w:val="22"/>
          <w:szCs w:val="22"/>
        </w:rPr>
        <w:t>, 2022).</w:t>
      </w:r>
    </w:p>
    <w:p w14:paraId="34398932" w14:textId="3B1DA797" w:rsidR="00571F9C" w:rsidRDefault="005A31B6" w:rsidP="005A31B6">
      <w:pPr>
        <w:spacing w:line="360" w:lineRule="auto"/>
        <w:jc w:val="both"/>
        <w:rPr>
          <w:rFonts w:ascii="Arial" w:hAnsi="Arial" w:cs="Arial"/>
          <w:sz w:val="22"/>
          <w:szCs w:val="22"/>
        </w:rPr>
      </w:pPr>
      <w:r w:rsidRPr="005A31B6">
        <w:rPr>
          <w:rFonts w:ascii="Arial" w:hAnsi="Arial" w:cs="Arial"/>
          <w:sz w:val="22"/>
          <w:szCs w:val="22"/>
        </w:rPr>
        <w:t xml:space="preserve">Taken together, the evidence demonstrates that the social gradient in health extends beyond differences in disease prevalence to shape patterns of healthcare utilisation across the NHS. Socioeconomic deprivation generates greater healthcare need while simultaneously increasing the barriers to obtaining timely primary care, creating conditions in which reliance on emergency services becomes more likely. Understanding this relationship provides an essential foundation </w:t>
      </w:r>
      <w:r w:rsidRPr="005A31B6">
        <w:rPr>
          <w:rFonts w:ascii="Arial" w:hAnsi="Arial" w:cs="Arial"/>
          <w:sz w:val="22"/>
          <w:szCs w:val="22"/>
        </w:rPr>
        <w:lastRenderedPageBreak/>
        <w:t xml:space="preserve">for examining how inequalities in primary care access contribute to emergency department utilisation, which forms the central focus of this dissertation (NHS </w:t>
      </w:r>
      <w:r w:rsidR="00215CA5">
        <w:rPr>
          <w:rFonts w:ascii="Arial" w:hAnsi="Arial" w:cs="Arial"/>
          <w:sz w:val="22"/>
          <w:szCs w:val="22"/>
        </w:rPr>
        <w:t>UK</w:t>
      </w:r>
      <w:r w:rsidRPr="005A31B6">
        <w:rPr>
          <w:rFonts w:ascii="Arial" w:hAnsi="Arial" w:cs="Arial"/>
          <w:sz w:val="22"/>
          <w:szCs w:val="22"/>
        </w:rPr>
        <w:t>, 2025).</w:t>
      </w:r>
    </w:p>
    <w:p w14:paraId="1C9A7A6E" w14:textId="77777777" w:rsidR="00220489" w:rsidRDefault="00220489" w:rsidP="00844F96">
      <w:pPr>
        <w:spacing w:line="360" w:lineRule="auto"/>
        <w:jc w:val="both"/>
        <w:rPr>
          <w:rFonts w:ascii="Arial" w:hAnsi="Arial" w:cs="Arial"/>
          <w:sz w:val="22"/>
          <w:szCs w:val="22"/>
        </w:rPr>
      </w:pPr>
    </w:p>
    <w:p w14:paraId="6D493976" w14:textId="77777777" w:rsidR="00C51C2D" w:rsidRPr="00844F96" w:rsidRDefault="00C51C2D" w:rsidP="00844F96">
      <w:pPr>
        <w:spacing w:line="360" w:lineRule="auto"/>
        <w:jc w:val="both"/>
        <w:rPr>
          <w:rFonts w:ascii="Arial" w:hAnsi="Arial" w:cs="Arial"/>
          <w:sz w:val="22"/>
          <w:szCs w:val="22"/>
        </w:rPr>
      </w:pPr>
    </w:p>
    <w:p w14:paraId="3DCAA5F5" w14:textId="77777777" w:rsidR="00DE014F" w:rsidRPr="00C64267" w:rsidRDefault="00DE014F" w:rsidP="00DE014F">
      <w:pPr>
        <w:spacing w:line="360" w:lineRule="auto"/>
        <w:jc w:val="both"/>
        <w:rPr>
          <w:rFonts w:ascii="Arial" w:hAnsi="Arial" w:cs="Arial"/>
          <w:b/>
          <w:bCs/>
          <w:sz w:val="22"/>
          <w:szCs w:val="22"/>
        </w:rPr>
      </w:pPr>
      <w:r w:rsidRPr="00C64267">
        <w:rPr>
          <w:rFonts w:ascii="Arial" w:hAnsi="Arial" w:cs="Arial"/>
          <w:b/>
          <w:bCs/>
          <w:sz w:val="22"/>
          <w:szCs w:val="22"/>
        </w:rPr>
        <w:t>2.2.2 The Inverse Care Law and Its Contemporary Relevance</w:t>
      </w:r>
    </w:p>
    <w:p w14:paraId="39847B02" w14:textId="4AD00444" w:rsidR="00DE014F" w:rsidRPr="00A5669E" w:rsidRDefault="00DE014F" w:rsidP="00DE014F">
      <w:pPr>
        <w:spacing w:line="360" w:lineRule="auto"/>
        <w:jc w:val="both"/>
        <w:rPr>
          <w:rFonts w:ascii="Arial" w:hAnsi="Arial" w:cs="Arial"/>
          <w:sz w:val="22"/>
          <w:szCs w:val="22"/>
        </w:rPr>
      </w:pPr>
      <w:r w:rsidRPr="00A5669E">
        <w:rPr>
          <w:rFonts w:ascii="Arial" w:hAnsi="Arial" w:cs="Arial"/>
          <w:sz w:val="22"/>
          <w:szCs w:val="22"/>
        </w:rPr>
        <w:t>Hart's (1971) Inverse Care Law, the proposition that the availability of good medical care tends to vary inversely with the need of the population served, remains a fundamental concept for understanding inequalities in healthcare access. Although developed more than five decades ago, its central argument continues to explain why populations with the greatest health needs often experience the greatest barriers to primary care (Hart, 1971). Within the NHS, universal healthcare has reduced financial barriers to treatment, yet inequalities persist through uneven workforce distribution, limited practice capacity, and constrained resources in deprived communities. Consequently, healthcare need and healthcare provision remain imperfectly aligned, particularly in areas of socioeconomic deprivation (Watt, 2022; Fisher et al., 2022).</w:t>
      </w:r>
    </w:p>
    <w:p w14:paraId="2A6FCCE0" w14:textId="29BBB91A" w:rsidR="00DE014F" w:rsidRPr="00A5669E" w:rsidRDefault="00DE014F" w:rsidP="00DE014F">
      <w:pPr>
        <w:spacing w:line="360" w:lineRule="auto"/>
        <w:jc w:val="both"/>
        <w:rPr>
          <w:rFonts w:ascii="Arial" w:hAnsi="Arial" w:cs="Arial"/>
          <w:sz w:val="22"/>
          <w:szCs w:val="22"/>
        </w:rPr>
      </w:pPr>
      <w:r w:rsidRPr="00A5669E">
        <w:rPr>
          <w:rFonts w:ascii="Arial" w:hAnsi="Arial" w:cs="Arial"/>
          <w:sz w:val="22"/>
          <w:szCs w:val="22"/>
        </w:rPr>
        <w:t xml:space="preserve">Contemporary evidence demonstrates that the Inverse Care Law continues to shape patients' experiences of primary care in </w:t>
      </w:r>
      <w:r w:rsidR="009F7FDA">
        <w:rPr>
          <w:rFonts w:ascii="Arial" w:hAnsi="Arial" w:cs="Arial"/>
          <w:sz w:val="22"/>
          <w:szCs w:val="22"/>
        </w:rPr>
        <w:t>the</w:t>
      </w:r>
      <w:r w:rsidR="00790E5F">
        <w:rPr>
          <w:rFonts w:ascii="Arial" w:hAnsi="Arial" w:cs="Arial"/>
          <w:sz w:val="22"/>
          <w:szCs w:val="22"/>
        </w:rPr>
        <w:t xml:space="preserve"> UK</w:t>
      </w:r>
      <w:r w:rsidRPr="00A5669E">
        <w:rPr>
          <w:rFonts w:ascii="Arial" w:hAnsi="Arial" w:cs="Arial"/>
          <w:sz w:val="22"/>
          <w:szCs w:val="22"/>
        </w:rPr>
        <w:t>. Analysis of the General Practice Patient Survey found that individuals living in more deprived communities consistently reported poorer access to appointments, lower continuity of care, and less favourable experiences than those in more affluent areas (Cowling et al., 2021). While policies such as extended opening hours have produced modest improvements in patient experience, their impact has been uneven. Distance significantly influences the use of extended-hours services, indicating that increasing service availability alone does not guarantee equitable access where geographical and socioeconomic barriers remain (Murchie et al., 2021).</w:t>
      </w:r>
    </w:p>
    <w:p w14:paraId="6316C9DD" w14:textId="6C964D67" w:rsidR="00843590" w:rsidRDefault="00DE014F" w:rsidP="00DE014F">
      <w:pPr>
        <w:spacing w:line="360" w:lineRule="auto"/>
        <w:jc w:val="both"/>
        <w:rPr>
          <w:rFonts w:ascii="Arial" w:hAnsi="Arial" w:cs="Arial"/>
          <w:sz w:val="22"/>
          <w:szCs w:val="22"/>
        </w:rPr>
      </w:pPr>
      <w:r w:rsidRPr="00A5669E">
        <w:rPr>
          <w:rFonts w:ascii="Arial" w:hAnsi="Arial" w:cs="Arial"/>
          <w:sz w:val="22"/>
          <w:szCs w:val="22"/>
        </w:rPr>
        <w:t xml:space="preserve">The consequences of these inequalities extend beyond primary care. Practices serving deprived populations manage greater clinical complexity while operating under greater workforce and resource pressures, limiting their capacity to meet rising healthcare demand (Watt, 2022; Fisher et al., 2022). Evidence indicates that stronger primary care investment and higher-quality general practice are associated with lower rates of avoidable emergency department attendance and improved patient outcomes (Baker et al., 2020). Qualitative research further demonstrates that patients frequently attend emergency departments after encountering repeated barriers to accessing primary care rather than through inappropriate healthcare-seeking behaviour (Fitzpatrick et al., 2025). Collectively, these findings demonstrate that the Inverse Care Law remains highly relevant to understanding how socioeconomic deprivation contributes to </w:t>
      </w:r>
      <w:r w:rsidRPr="00A5669E">
        <w:rPr>
          <w:rFonts w:ascii="Arial" w:hAnsi="Arial" w:cs="Arial"/>
          <w:sz w:val="22"/>
          <w:szCs w:val="22"/>
        </w:rPr>
        <w:lastRenderedPageBreak/>
        <w:t>inequalities in primary care access and increased reliance on emergency services (Hart, 1971; Baker et al., 2020; Fitzpatrick et al., 2025).</w:t>
      </w:r>
    </w:p>
    <w:p w14:paraId="667FE6C5" w14:textId="77777777" w:rsidR="00C51C2D" w:rsidRPr="00A5669E" w:rsidRDefault="00C51C2D" w:rsidP="00DE014F">
      <w:pPr>
        <w:spacing w:line="360" w:lineRule="auto"/>
        <w:jc w:val="both"/>
        <w:rPr>
          <w:rFonts w:ascii="Arial" w:hAnsi="Arial" w:cs="Arial"/>
          <w:sz w:val="22"/>
          <w:szCs w:val="22"/>
        </w:rPr>
      </w:pPr>
    </w:p>
    <w:p w14:paraId="4C20C661" w14:textId="77777777" w:rsidR="00DB4AEF" w:rsidRPr="00FB1B2B" w:rsidRDefault="00DB4AEF" w:rsidP="00FB1B2B">
      <w:pPr>
        <w:spacing w:line="360" w:lineRule="auto"/>
        <w:jc w:val="both"/>
        <w:rPr>
          <w:rFonts w:ascii="Arial" w:hAnsi="Arial" w:cs="Arial"/>
          <w:sz w:val="22"/>
          <w:szCs w:val="22"/>
        </w:rPr>
      </w:pPr>
    </w:p>
    <w:p w14:paraId="62F561E0" w14:textId="0C62C544" w:rsidR="003E3BAB" w:rsidRPr="00312C9A" w:rsidRDefault="000373CF" w:rsidP="00312C9A">
      <w:pPr>
        <w:pStyle w:val="ListParagraph"/>
        <w:numPr>
          <w:ilvl w:val="1"/>
          <w:numId w:val="25"/>
        </w:numPr>
        <w:spacing w:line="360" w:lineRule="auto"/>
        <w:jc w:val="both"/>
        <w:rPr>
          <w:rFonts w:ascii="Arial" w:hAnsi="Arial" w:cs="Arial"/>
          <w:b/>
          <w:bCs/>
        </w:rPr>
      </w:pPr>
      <w:r>
        <w:rPr>
          <w:rFonts w:ascii="Arial" w:hAnsi="Arial" w:cs="Arial"/>
          <w:b/>
          <w:bCs/>
        </w:rPr>
        <w:t xml:space="preserve"> </w:t>
      </w:r>
      <w:r w:rsidR="00610390" w:rsidRPr="000373CF">
        <w:rPr>
          <w:rFonts w:ascii="Arial" w:hAnsi="Arial" w:cs="Arial"/>
          <w:b/>
          <w:bCs/>
        </w:rPr>
        <w:t>Primary Care Access: Dimensions, Deterioration, and Disparity</w:t>
      </w:r>
    </w:p>
    <w:p w14:paraId="0E92BC39" w14:textId="77777777" w:rsidR="00610390" w:rsidRPr="00C64267" w:rsidRDefault="00610390" w:rsidP="00610390">
      <w:pPr>
        <w:spacing w:line="360" w:lineRule="auto"/>
        <w:jc w:val="both"/>
        <w:rPr>
          <w:rFonts w:ascii="Arial" w:hAnsi="Arial" w:cs="Arial"/>
          <w:b/>
          <w:bCs/>
          <w:sz w:val="22"/>
          <w:szCs w:val="22"/>
        </w:rPr>
      </w:pPr>
      <w:r w:rsidRPr="00C64267">
        <w:rPr>
          <w:rFonts w:ascii="Arial" w:hAnsi="Arial" w:cs="Arial"/>
          <w:b/>
          <w:bCs/>
          <w:sz w:val="22"/>
          <w:szCs w:val="22"/>
        </w:rPr>
        <w:t>2.3.1 Conceptualising Access</w:t>
      </w:r>
    </w:p>
    <w:p w14:paraId="26007C38" w14:textId="344F0A36" w:rsidR="00610390" w:rsidRPr="00610390" w:rsidRDefault="00610390" w:rsidP="00610390">
      <w:pPr>
        <w:spacing w:line="360" w:lineRule="auto"/>
        <w:jc w:val="both"/>
        <w:rPr>
          <w:rFonts w:ascii="Arial" w:hAnsi="Arial" w:cs="Arial"/>
          <w:sz w:val="22"/>
          <w:szCs w:val="22"/>
        </w:rPr>
      </w:pPr>
      <w:r w:rsidRPr="00610390">
        <w:rPr>
          <w:rFonts w:ascii="Arial" w:hAnsi="Arial" w:cs="Arial"/>
          <w:sz w:val="22"/>
          <w:szCs w:val="22"/>
        </w:rPr>
        <w:t xml:space="preserve">Access to primary care is a complex and multidimensional concept that extends beyond the simple availability of healthcare services. The widely applied framework developed by Penchansky and Thomas (1981) conceptualises access through five interrelated dimensions: availability, accessibility, accommodation, affordability, and acceptability. Availability refers to whether sufficient healthcare resources exist to meet population need, including GP workforce capacity and appointment supply. Accessibility concerns the geographical relationship between patients and services, including travel distance and transport availability. Accommodation reflects how services are organised, including appointment systems, opening hours, and modes of consultation (Penchansky and Thomas, 1981). Affordability relates to the financial ability to obtain care, which is </w:t>
      </w:r>
      <w:r w:rsidR="008F09CD" w:rsidRPr="00610390">
        <w:rPr>
          <w:rFonts w:ascii="Arial" w:hAnsi="Arial" w:cs="Arial"/>
          <w:sz w:val="22"/>
          <w:szCs w:val="22"/>
        </w:rPr>
        <w:t>addressed</w:t>
      </w:r>
      <w:r w:rsidRPr="00610390">
        <w:rPr>
          <w:rFonts w:ascii="Arial" w:hAnsi="Arial" w:cs="Arial"/>
          <w:sz w:val="22"/>
          <w:szCs w:val="22"/>
        </w:rPr>
        <w:t xml:space="preserve"> within the NHS through universal, free-at-the-point-of-use provision. Acceptability captures the social and relational aspects of care, including whether patients feel understood, respected, and able to engage with healthcare providers. This framework highlights that access is not a single outcome but the result of interactions between healthcare systems and the social circumstances of patients (Cowling et al., 2021).</w:t>
      </w:r>
    </w:p>
    <w:p w14:paraId="76E3CB65" w14:textId="5AC991FA" w:rsidR="00A5669E" w:rsidRDefault="00610390" w:rsidP="00610390">
      <w:pPr>
        <w:spacing w:line="360" w:lineRule="auto"/>
        <w:jc w:val="both"/>
        <w:rPr>
          <w:rFonts w:ascii="Arial" w:hAnsi="Arial" w:cs="Arial"/>
          <w:sz w:val="22"/>
          <w:szCs w:val="22"/>
        </w:rPr>
      </w:pPr>
      <w:r w:rsidRPr="00610390">
        <w:rPr>
          <w:rFonts w:ascii="Arial" w:hAnsi="Arial" w:cs="Arial"/>
          <w:sz w:val="22"/>
          <w:szCs w:val="22"/>
        </w:rPr>
        <w:t>This multidimensional perspective is particularly important when examining inequalities in primary care access. Policy responses have frequently focused on increasing service availability, such as expanding appointment capacity or extending opening hours, while giving less attention to whether these changes improve access equitably across different population groups. (Murchie et al., 2021). Evidence suggests that interventions designed to increase availability may have limited impact when organisational, geographical, or social barriers remain unresolved. For example, extended-hours services may improve overall access but are less likely to benefit patients who experience transport difficulties, caring responsibilities, or employment insecurity. (Cowling et al., 2021).</w:t>
      </w:r>
      <w:r w:rsidR="00496797">
        <w:rPr>
          <w:rFonts w:ascii="Arial" w:hAnsi="Arial" w:cs="Arial"/>
          <w:sz w:val="22"/>
          <w:szCs w:val="22"/>
        </w:rPr>
        <w:t xml:space="preserve"> </w:t>
      </w:r>
      <w:r w:rsidRPr="00610390">
        <w:rPr>
          <w:rFonts w:ascii="Arial" w:hAnsi="Arial" w:cs="Arial"/>
          <w:sz w:val="22"/>
          <w:szCs w:val="22"/>
        </w:rPr>
        <w:t xml:space="preserve">The persistence of these inequalities demonstrates that access should be understood in relation to need rather than service availability alone. Deprived communities often experience greater healthcare demand due to higher levels of multimorbidity and chronic </w:t>
      </w:r>
      <w:r w:rsidR="006D325F" w:rsidRPr="00610390">
        <w:rPr>
          <w:rFonts w:ascii="Arial" w:hAnsi="Arial" w:cs="Arial"/>
          <w:sz w:val="22"/>
          <w:szCs w:val="22"/>
        </w:rPr>
        <w:t>illness yet</w:t>
      </w:r>
      <w:r w:rsidRPr="00610390">
        <w:rPr>
          <w:rFonts w:ascii="Arial" w:hAnsi="Arial" w:cs="Arial"/>
          <w:sz w:val="22"/>
          <w:szCs w:val="22"/>
        </w:rPr>
        <w:t xml:space="preserve"> continue to encounter greater barriers to obtaining timely primary care. Recent evidence indicates that improvements in reported GP access have not been distributed equally, with disadvantaged groups experiencing slower progress compared with more affluent populations. (Marmot et al., </w:t>
      </w:r>
      <w:r w:rsidRPr="00610390">
        <w:rPr>
          <w:rFonts w:ascii="Arial" w:hAnsi="Arial" w:cs="Arial"/>
          <w:sz w:val="22"/>
          <w:szCs w:val="22"/>
        </w:rPr>
        <w:lastRenderedPageBreak/>
        <w:t>2020; Cowling et al., 2021). This reinforces the argument that equitable access requires more than increasing overall capacity; it requires healthcare systems to respond proportionately to differences in population need and the social conditions that influence healthcare use (Marmot et al., 2020; Office for National Statistics, 2024).</w:t>
      </w:r>
    </w:p>
    <w:p w14:paraId="45FC9322" w14:textId="77777777" w:rsidR="00C51C2D" w:rsidRDefault="00C51C2D" w:rsidP="00610390">
      <w:pPr>
        <w:spacing w:line="360" w:lineRule="auto"/>
        <w:jc w:val="both"/>
        <w:rPr>
          <w:rFonts w:ascii="Arial" w:hAnsi="Arial" w:cs="Arial"/>
          <w:sz w:val="22"/>
          <w:szCs w:val="22"/>
        </w:rPr>
      </w:pPr>
    </w:p>
    <w:p w14:paraId="7921FBB5" w14:textId="77777777" w:rsidR="003E3BAB" w:rsidRDefault="003E3BAB" w:rsidP="00610390">
      <w:pPr>
        <w:spacing w:line="360" w:lineRule="auto"/>
        <w:jc w:val="both"/>
        <w:rPr>
          <w:rFonts w:ascii="Arial" w:hAnsi="Arial" w:cs="Arial"/>
          <w:sz w:val="22"/>
          <w:szCs w:val="22"/>
        </w:rPr>
      </w:pPr>
    </w:p>
    <w:p w14:paraId="279BBCE8" w14:textId="5397EE72" w:rsidR="0072363B" w:rsidRPr="00BB77C7" w:rsidRDefault="0072363B" w:rsidP="0072363B">
      <w:pPr>
        <w:spacing w:line="360" w:lineRule="auto"/>
        <w:jc w:val="both"/>
        <w:rPr>
          <w:rFonts w:ascii="Arial" w:hAnsi="Arial" w:cs="Arial"/>
          <w:b/>
          <w:bCs/>
          <w:sz w:val="22"/>
          <w:szCs w:val="22"/>
        </w:rPr>
      </w:pPr>
      <w:r w:rsidRPr="00BB77C7">
        <w:rPr>
          <w:rFonts w:ascii="Arial" w:hAnsi="Arial" w:cs="Arial"/>
          <w:b/>
          <w:bCs/>
          <w:sz w:val="22"/>
          <w:szCs w:val="22"/>
        </w:rPr>
        <w:t xml:space="preserve">2.3.2 The Deterioration of GP Access in </w:t>
      </w:r>
      <w:r w:rsidR="00E955A7" w:rsidRPr="00BB77C7">
        <w:rPr>
          <w:rFonts w:ascii="Arial" w:hAnsi="Arial" w:cs="Arial"/>
          <w:b/>
          <w:bCs/>
          <w:sz w:val="22"/>
          <w:szCs w:val="22"/>
        </w:rPr>
        <w:t xml:space="preserve">the </w:t>
      </w:r>
      <w:r w:rsidR="00FF38EC" w:rsidRPr="00BB77C7">
        <w:rPr>
          <w:rFonts w:ascii="Arial" w:hAnsi="Arial" w:cs="Arial"/>
          <w:b/>
          <w:bCs/>
          <w:sz w:val="22"/>
          <w:szCs w:val="22"/>
        </w:rPr>
        <w:t>UK</w:t>
      </w:r>
    </w:p>
    <w:p w14:paraId="27FD8815" w14:textId="1A86C9C9" w:rsidR="0072363B" w:rsidRPr="0072363B" w:rsidRDefault="0072363B" w:rsidP="0072363B">
      <w:pPr>
        <w:spacing w:line="360" w:lineRule="auto"/>
        <w:jc w:val="both"/>
        <w:rPr>
          <w:rFonts w:ascii="Arial" w:hAnsi="Arial" w:cs="Arial"/>
          <w:sz w:val="22"/>
          <w:szCs w:val="22"/>
        </w:rPr>
      </w:pPr>
      <w:r w:rsidRPr="0072363B">
        <w:rPr>
          <w:rFonts w:ascii="Arial" w:hAnsi="Arial" w:cs="Arial"/>
          <w:sz w:val="22"/>
          <w:szCs w:val="22"/>
        </w:rPr>
        <w:t xml:space="preserve">Access to general practice in </w:t>
      </w:r>
      <w:r w:rsidR="00790E5F">
        <w:rPr>
          <w:rFonts w:ascii="Arial" w:hAnsi="Arial" w:cs="Arial"/>
          <w:sz w:val="22"/>
          <w:szCs w:val="22"/>
        </w:rPr>
        <w:t>UK</w:t>
      </w:r>
      <w:r w:rsidRPr="0072363B">
        <w:rPr>
          <w:rFonts w:ascii="Arial" w:hAnsi="Arial" w:cs="Arial"/>
          <w:sz w:val="22"/>
          <w:szCs w:val="22"/>
        </w:rPr>
        <w:t xml:space="preserve"> has deteriorated over the past decade due to a widening gap between rising healthcare demand and available primary care capacity. The number of fully qualified GPs per 100,000 patients has declined since 2015, while the complexity of consultations has increased due to rising levels of multimorbidity, long-term conditions, and mental health needs (British Medical Association, 2024). This has created a situation in which primary care services are increasingly required to manage greater demand with limited workforce capacity (Croxson et al., 2020).</w:t>
      </w:r>
    </w:p>
    <w:p w14:paraId="59C7A935" w14:textId="2915A872" w:rsidR="0072363B" w:rsidRPr="0072363B" w:rsidRDefault="0072363B" w:rsidP="0072363B">
      <w:pPr>
        <w:spacing w:line="360" w:lineRule="auto"/>
        <w:jc w:val="both"/>
        <w:rPr>
          <w:rFonts w:ascii="Arial" w:hAnsi="Arial" w:cs="Arial"/>
          <w:sz w:val="22"/>
          <w:szCs w:val="22"/>
        </w:rPr>
      </w:pPr>
      <w:r w:rsidRPr="0072363B">
        <w:rPr>
          <w:rFonts w:ascii="Arial" w:hAnsi="Arial" w:cs="Arial"/>
          <w:sz w:val="22"/>
          <w:szCs w:val="22"/>
        </w:rPr>
        <w:t xml:space="preserve">The impact of these pressures is reflected in longer waiting times and growing difficulties obtaining timely appointments. Average GP waiting times increased from 9.6 days in 2019 to 15.8 days in 2024, with prolonged waits affecting a substantial number of patients (Healthwatch </w:t>
      </w:r>
      <w:r w:rsidR="00244B53">
        <w:rPr>
          <w:rFonts w:ascii="Arial" w:hAnsi="Arial" w:cs="Arial"/>
          <w:sz w:val="22"/>
          <w:szCs w:val="22"/>
        </w:rPr>
        <w:t>UK</w:t>
      </w:r>
      <w:r w:rsidRPr="0072363B">
        <w:rPr>
          <w:rFonts w:ascii="Arial" w:hAnsi="Arial" w:cs="Arial"/>
          <w:sz w:val="22"/>
          <w:szCs w:val="22"/>
        </w:rPr>
        <w:t xml:space="preserve">, 2024). Although digital-first access models introduced during and after the COVID-19 pandemic have improved convenience for patients, evidence suggests that they may create additional barriers for individuals with limited digital literacy, language barriers, or unstable social circumstances </w:t>
      </w:r>
      <w:r w:rsidR="006D325F" w:rsidRPr="0072363B">
        <w:rPr>
          <w:rFonts w:ascii="Arial" w:hAnsi="Arial" w:cs="Arial"/>
          <w:sz w:val="22"/>
          <w:szCs w:val="22"/>
        </w:rPr>
        <w:t>(Greenhalgh</w:t>
      </w:r>
      <w:r w:rsidRPr="0072363B">
        <w:rPr>
          <w:rFonts w:ascii="Arial" w:hAnsi="Arial" w:cs="Arial"/>
          <w:sz w:val="22"/>
          <w:szCs w:val="22"/>
        </w:rPr>
        <w:t xml:space="preserve"> et al., 2022). These challenges are particularly relevant in deprived communities, where digital exclusion may compound existing inequalities in healthcare access (McLean and Sheikh, 2023).</w:t>
      </w:r>
    </w:p>
    <w:p w14:paraId="60398D43" w14:textId="115123EB" w:rsidR="004919C4" w:rsidRDefault="0072363B" w:rsidP="0072363B">
      <w:pPr>
        <w:spacing w:line="360" w:lineRule="auto"/>
        <w:jc w:val="both"/>
        <w:rPr>
          <w:rFonts w:ascii="Arial" w:hAnsi="Arial" w:cs="Arial"/>
          <w:sz w:val="22"/>
          <w:szCs w:val="22"/>
        </w:rPr>
      </w:pPr>
      <w:r w:rsidRPr="0072363B">
        <w:rPr>
          <w:rFonts w:ascii="Arial" w:hAnsi="Arial" w:cs="Arial"/>
          <w:sz w:val="22"/>
          <w:szCs w:val="22"/>
        </w:rPr>
        <w:t>The decline in GP accessibility therefore represents more than a reduction in appointment availability; it reflects an unequal relationship between healthcare need and service capacity</w:t>
      </w:r>
      <w:r w:rsidR="00FB4BF9" w:rsidRPr="0072363B">
        <w:rPr>
          <w:rFonts w:ascii="Arial" w:hAnsi="Arial" w:cs="Arial"/>
          <w:sz w:val="22"/>
          <w:szCs w:val="22"/>
        </w:rPr>
        <w:t xml:space="preserve">. </w:t>
      </w:r>
      <w:r w:rsidRPr="0072363B">
        <w:rPr>
          <w:rFonts w:ascii="Arial" w:hAnsi="Arial" w:cs="Arial"/>
          <w:sz w:val="22"/>
          <w:szCs w:val="22"/>
        </w:rPr>
        <w:t>(Marmot et al., 2020). For populations experiencing greater illness burden and socioeconomic disadvantage, difficulties accessing timely primary care may increase the likelihood of delayed treatment and subsequent reliance on emergency services (Fitzpatrick et al., 2025).</w:t>
      </w:r>
    </w:p>
    <w:p w14:paraId="4C3B3CE8" w14:textId="77777777" w:rsidR="0072363B" w:rsidRDefault="0072363B" w:rsidP="0072363B">
      <w:pPr>
        <w:spacing w:line="360" w:lineRule="auto"/>
        <w:jc w:val="both"/>
        <w:rPr>
          <w:rFonts w:ascii="Arial" w:hAnsi="Arial" w:cs="Arial"/>
          <w:sz w:val="22"/>
          <w:szCs w:val="22"/>
        </w:rPr>
      </w:pPr>
    </w:p>
    <w:p w14:paraId="567CF3BD" w14:textId="77777777" w:rsidR="009B75DB" w:rsidRPr="0072363B" w:rsidRDefault="009B75DB" w:rsidP="0072363B">
      <w:pPr>
        <w:spacing w:line="360" w:lineRule="auto"/>
        <w:jc w:val="both"/>
        <w:rPr>
          <w:rFonts w:ascii="Arial" w:hAnsi="Arial" w:cs="Arial"/>
          <w:sz w:val="22"/>
          <w:szCs w:val="22"/>
        </w:rPr>
      </w:pPr>
    </w:p>
    <w:p w14:paraId="44BF8865" w14:textId="77777777" w:rsidR="000B54CA" w:rsidRPr="00BB77C7" w:rsidRDefault="000B54CA" w:rsidP="000B54CA">
      <w:pPr>
        <w:spacing w:line="360" w:lineRule="auto"/>
        <w:jc w:val="both"/>
        <w:rPr>
          <w:rFonts w:ascii="Arial" w:hAnsi="Arial" w:cs="Arial"/>
          <w:b/>
          <w:bCs/>
          <w:sz w:val="22"/>
          <w:szCs w:val="22"/>
        </w:rPr>
      </w:pPr>
      <w:r w:rsidRPr="00BB77C7">
        <w:rPr>
          <w:rFonts w:ascii="Arial" w:hAnsi="Arial" w:cs="Arial"/>
          <w:b/>
          <w:bCs/>
          <w:sz w:val="22"/>
          <w:szCs w:val="22"/>
        </w:rPr>
        <w:t>2.3.3 Deprivation and Differential Access</w:t>
      </w:r>
    </w:p>
    <w:p w14:paraId="26B46F49" w14:textId="0C66AC86" w:rsidR="000B54CA" w:rsidRPr="000B54CA" w:rsidRDefault="000B54CA" w:rsidP="000B54CA">
      <w:pPr>
        <w:spacing w:line="360" w:lineRule="auto"/>
        <w:jc w:val="both"/>
        <w:rPr>
          <w:rFonts w:ascii="Arial" w:hAnsi="Arial" w:cs="Arial"/>
          <w:sz w:val="22"/>
          <w:szCs w:val="22"/>
        </w:rPr>
      </w:pPr>
      <w:r w:rsidRPr="000B54CA">
        <w:rPr>
          <w:rFonts w:ascii="Arial" w:hAnsi="Arial" w:cs="Arial"/>
          <w:sz w:val="22"/>
          <w:szCs w:val="22"/>
        </w:rPr>
        <w:t xml:space="preserve">The unequal impact of declining primary care access across socioeconomic groups is well established. Evidence from the </w:t>
      </w:r>
      <w:r w:rsidR="005D512D">
        <w:rPr>
          <w:rFonts w:ascii="Arial" w:hAnsi="Arial" w:cs="Arial"/>
          <w:sz w:val="22"/>
          <w:szCs w:val="22"/>
        </w:rPr>
        <w:t>UK</w:t>
      </w:r>
      <w:r w:rsidRPr="000B54CA">
        <w:rPr>
          <w:rFonts w:ascii="Arial" w:hAnsi="Arial" w:cs="Arial"/>
          <w:sz w:val="22"/>
          <w:szCs w:val="22"/>
        </w:rPr>
        <w:t xml:space="preserve"> GP Patient Survey demonstrates that patients living in the most deprived areas report poorer experiences of general practice, including greater difficulty </w:t>
      </w:r>
      <w:r w:rsidRPr="000B54CA">
        <w:rPr>
          <w:rFonts w:ascii="Arial" w:hAnsi="Arial" w:cs="Arial"/>
          <w:sz w:val="22"/>
          <w:szCs w:val="22"/>
        </w:rPr>
        <w:lastRenderedPageBreak/>
        <w:t>obtaining appointments, lower satisfaction with access, and concerns being less adequately addressed compared with those in more affluent communities (Baker et al., 2024). Socioeconomic differences in primary care access persist even after adjusting for healthcare need, suggesting that inequalities cannot be explained solely by higher levels of illness among deprived populations but reflect additional barriers within the organisation and delivery of services (Kontopantelis et al., 2021).</w:t>
      </w:r>
    </w:p>
    <w:p w14:paraId="673B31F3" w14:textId="731E115E" w:rsidR="0072363B" w:rsidRPr="000B54CA" w:rsidRDefault="000B54CA" w:rsidP="000B54CA">
      <w:pPr>
        <w:spacing w:line="360" w:lineRule="auto"/>
        <w:jc w:val="both"/>
        <w:rPr>
          <w:rFonts w:ascii="Arial" w:hAnsi="Arial" w:cs="Arial"/>
          <w:sz w:val="22"/>
          <w:szCs w:val="22"/>
        </w:rPr>
      </w:pPr>
      <w:r w:rsidRPr="000B54CA">
        <w:rPr>
          <w:rFonts w:ascii="Arial" w:hAnsi="Arial" w:cs="Arial"/>
          <w:sz w:val="22"/>
          <w:szCs w:val="22"/>
        </w:rPr>
        <w:t>The pathways through which deprivation influences access are complex and cumulative. Financial constraints, including transport costs, time away from employment, and childcare responsibilities, can make healthcare access more difficult for low-income households (Gershlick and Fisher, 2021). Organisational barriers, such as complex triage systems, telephone access difficulties, and repeated attempts to secure appointments, may further disadvantage individuals with limited resources. These challenges are compounded by structural inequalities within primary care, with practices serving deprived communities often experiencing greater workforce pressures and higher patient need (Fisher et al., 2022). Consequently, deprivation affects not only the demand for healthcare but the ability of individuals to successfully navigate and obtain appropriate care. Declining satisfaction with GP access among the most deprived groups further demonstrates that inequalities in primary care are experienced at the patient level and are not fully captured by aggregate service indicators (Health Foundation, 2023).</w:t>
      </w:r>
    </w:p>
    <w:p w14:paraId="4DAE0CF0" w14:textId="77777777" w:rsidR="0071077C" w:rsidRDefault="0071077C" w:rsidP="00FB1B2B">
      <w:pPr>
        <w:spacing w:line="360" w:lineRule="auto"/>
        <w:jc w:val="both"/>
        <w:rPr>
          <w:rFonts w:ascii="Arial" w:hAnsi="Arial" w:cs="Arial"/>
        </w:rPr>
      </w:pPr>
    </w:p>
    <w:p w14:paraId="32EB6384" w14:textId="77777777" w:rsidR="00C51C2D" w:rsidRPr="00C03144" w:rsidRDefault="00C51C2D" w:rsidP="00FB1B2B">
      <w:pPr>
        <w:spacing w:line="360" w:lineRule="auto"/>
        <w:jc w:val="both"/>
        <w:rPr>
          <w:rFonts w:ascii="Arial" w:hAnsi="Arial" w:cs="Arial"/>
        </w:rPr>
      </w:pPr>
    </w:p>
    <w:p w14:paraId="0E9389FB" w14:textId="74C26270" w:rsidR="00C03144" w:rsidRPr="00312C9A" w:rsidRDefault="00541737" w:rsidP="00312C9A">
      <w:pPr>
        <w:pStyle w:val="ListParagraph"/>
        <w:numPr>
          <w:ilvl w:val="1"/>
          <w:numId w:val="25"/>
        </w:numPr>
        <w:spacing w:line="360" w:lineRule="auto"/>
        <w:jc w:val="both"/>
        <w:rPr>
          <w:rFonts w:ascii="Arial" w:hAnsi="Arial" w:cs="Arial"/>
          <w:b/>
          <w:bCs/>
        </w:rPr>
      </w:pPr>
      <w:r w:rsidRPr="00047A7C">
        <w:rPr>
          <w:rFonts w:ascii="Arial" w:hAnsi="Arial" w:cs="Arial"/>
          <w:b/>
          <w:bCs/>
        </w:rPr>
        <w:t xml:space="preserve"> </w:t>
      </w:r>
      <w:r w:rsidR="00BC1C1A" w:rsidRPr="00047A7C">
        <w:rPr>
          <w:rFonts w:ascii="Arial" w:hAnsi="Arial" w:cs="Arial"/>
          <w:b/>
          <w:bCs/>
        </w:rPr>
        <w:t>Emergency Department Utilisation and the Role of Primary Care</w:t>
      </w:r>
    </w:p>
    <w:p w14:paraId="5E28E2E9" w14:textId="77777777" w:rsidR="00BC1C1A" w:rsidRPr="00BB77C7" w:rsidRDefault="00BC1C1A" w:rsidP="00BC1C1A">
      <w:pPr>
        <w:spacing w:line="360" w:lineRule="auto"/>
        <w:jc w:val="both"/>
        <w:rPr>
          <w:rFonts w:ascii="Arial" w:hAnsi="Arial" w:cs="Arial"/>
          <w:b/>
          <w:bCs/>
          <w:sz w:val="22"/>
          <w:szCs w:val="22"/>
        </w:rPr>
      </w:pPr>
      <w:r w:rsidRPr="00BB77C7">
        <w:rPr>
          <w:rFonts w:ascii="Arial" w:hAnsi="Arial" w:cs="Arial"/>
          <w:b/>
          <w:bCs/>
          <w:sz w:val="22"/>
          <w:szCs w:val="22"/>
        </w:rPr>
        <w:t>2.4.1 Patterns and Drivers of ED Attendance</w:t>
      </w:r>
    </w:p>
    <w:p w14:paraId="4EFABBE8" w14:textId="3EEBE951" w:rsidR="00BC1C1A" w:rsidRPr="00D468A7" w:rsidRDefault="00BC1C1A" w:rsidP="00BC1C1A">
      <w:pPr>
        <w:spacing w:line="360" w:lineRule="auto"/>
        <w:jc w:val="both"/>
        <w:rPr>
          <w:rFonts w:ascii="Arial" w:hAnsi="Arial" w:cs="Arial"/>
          <w:sz w:val="22"/>
          <w:szCs w:val="22"/>
        </w:rPr>
      </w:pPr>
      <w:r w:rsidRPr="00D468A7">
        <w:rPr>
          <w:rFonts w:ascii="Arial" w:hAnsi="Arial" w:cs="Arial"/>
          <w:sz w:val="22"/>
          <w:szCs w:val="22"/>
        </w:rPr>
        <w:t xml:space="preserve">Emergency department (ED) utilisation in </w:t>
      </w:r>
      <w:r w:rsidR="00EF58C4">
        <w:rPr>
          <w:rFonts w:ascii="Arial" w:hAnsi="Arial" w:cs="Arial"/>
          <w:sz w:val="22"/>
          <w:szCs w:val="22"/>
        </w:rPr>
        <w:t>The UK</w:t>
      </w:r>
      <w:r w:rsidRPr="00D468A7">
        <w:rPr>
          <w:rFonts w:ascii="Arial" w:hAnsi="Arial" w:cs="Arial"/>
          <w:sz w:val="22"/>
          <w:szCs w:val="22"/>
        </w:rPr>
        <w:t xml:space="preserve"> has increased </w:t>
      </w:r>
      <w:r w:rsidR="008F09CD" w:rsidRPr="00D468A7">
        <w:rPr>
          <w:rFonts w:ascii="Arial" w:hAnsi="Arial" w:cs="Arial"/>
          <w:sz w:val="22"/>
          <w:szCs w:val="22"/>
        </w:rPr>
        <w:t>over</w:t>
      </w:r>
      <w:r w:rsidRPr="00D468A7">
        <w:rPr>
          <w:rFonts w:ascii="Arial" w:hAnsi="Arial" w:cs="Arial"/>
          <w:sz w:val="22"/>
          <w:szCs w:val="22"/>
        </w:rPr>
        <w:t xml:space="preserve"> recent years, placing sustained pressure on urgent and emergency care services. In 2024/25, EDs recorded 26.5 million attendances, representing a substantial increase compared with pre-pandemic levels, with departments operating beyond recommended capacity (NHS </w:t>
      </w:r>
      <w:r w:rsidR="00EF58C4">
        <w:rPr>
          <w:rFonts w:ascii="Arial" w:hAnsi="Arial" w:cs="Arial"/>
          <w:sz w:val="22"/>
          <w:szCs w:val="22"/>
        </w:rPr>
        <w:t>UK</w:t>
      </w:r>
      <w:r w:rsidRPr="00D468A7">
        <w:rPr>
          <w:rFonts w:ascii="Arial" w:hAnsi="Arial" w:cs="Arial"/>
          <w:sz w:val="22"/>
          <w:szCs w:val="22"/>
        </w:rPr>
        <w:t>, 2025; The King’s Fund, 2024). A significant proportion of attendances involve conditions that could potentially be managed within primary care or community settings, creating challenges for system efficiency and contributing to overcrowding, delayed treatment, and increased pressure on emergency care staff (Royal College of Emergency Medicine, 2024; The King’s Fund, 2024).</w:t>
      </w:r>
    </w:p>
    <w:p w14:paraId="30E02E62" w14:textId="16AAD568" w:rsidR="00BC1C1A" w:rsidRPr="00D468A7" w:rsidRDefault="00BC1C1A" w:rsidP="00BC1C1A">
      <w:pPr>
        <w:spacing w:line="360" w:lineRule="auto"/>
        <w:jc w:val="both"/>
        <w:rPr>
          <w:rFonts w:ascii="Arial" w:hAnsi="Arial" w:cs="Arial"/>
          <w:sz w:val="22"/>
          <w:szCs w:val="22"/>
        </w:rPr>
      </w:pPr>
      <w:r w:rsidRPr="00D468A7">
        <w:rPr>
          <w:rFonts w:ascii="Arial" w:hAnsi="Arial" w:cs="Arial"/>
          <w:sz w:val="22"/>
          <w:szCs w:val="22"/>
        </w:rPr>
        <w:t xml:space="preserve">The causes of increased ED utilisation are multifactorial and extend beyond individual patient decisions. System-level pressures, including reduced availability of GP out-of-hours services, limitations in community-based alternatives, and pressures within social care, have reduced access to appropriate care pathways outside emergency settings (Boyle, </w:t>
      </w:r>
      <w:r w:rsidR="00FB4BF9" w:rsidRPr="00D468A7">
        <w:rPr>
          <w:rFonts w:ascii="Arial" w:hAnsi="Arial" w:cs="Arial"/>
          <w:sz w:val="22"/>
          <w:szCs w:val="22"/>
        </w:rPr>
        <w:t>Higginson,</w:t>
      </w:r>
      <w:r w:rsidRPr="00D468A7">
        <w:rPr>
          <w:rFonts w:ascii="Arial" w:hAnsi="Arial" w:cs="Arial"/>
          <w:sz w:val="22"/>
          <w:szCs w:val="22"/>
        </w:rPr>
        <w:t xml:space="preserve"> and Benger, </w:t>
      </w:r>
      <w:r w:rsidRPr="00D468A7">
        <w:rPr>
          <w:rFonts w:ascii="Arial" w:hAnsi="Arial" w:cs="Arial"/>
          <w:sz w:val="22"/>
          <w:szCs w:val="22"/>
        </w:rPr>
        <w:lastRenderedPageBreak/>
        <w:t>2022). At the patient level, decisions to attend ED are influenced by uncertainty about symptom severity, previous difficulties accessing primary care, expectations of receiving timely assessment, and the practical advantage of emergency services as an immediately available point of care (O’Cathain and Knowles, 2020). Therefore, ED attendance should not be interpreted solely as inappropriate service use but as a reflection of how patients navigate the healthcare system when other options appear inaccessible.</w:t>
      </w:r>
    </w:p>
    <w:p w14:paraId="1C337F3E" w14:textId="0DB5A65D" w:rsidR="0038484B" w:rsidRDefault="00BC1C1A" w:rsidP="00BC1C1A">
      <w:pPr>
        <w:spacing w:line="360" w:lineRule="auto"/>
        <w:jc w:val="both"/>
        <w:rPr>
          <w:rFonts w:ascii="Arial" w:hAnsi="Arial" w:cs="Arial"/>
          <w:sz w:val="22"/>
          <w:szCs w:val="22"/>
        </w:rPr>
      </w:pPr>
      <w:r w:rsidRPr="00D468A7">
        <w:rPr>
          <w:rFonts w:ascii="Arial" w:hAnsi="Arial" w:cs="Arial"/>
          <w:sz w:val="22"/>
          <w:szCs w:val="22"/>
        </w:rPr>
        <w:t xml:space="preserve">Socioeconomic deprivation further shapes these patterns. Evidence indicates that potentially avoidable ED attendance is more common in deprived communities, where higher levels of illness coexist with greater barriers to timely primary care access (Nuffield Trust, 2023; Kontopantelis et al., 2021). Workforce shortages and increasing demand within emergency medicine have intensified these pressures, leaving EDs managing both acute illness and unmet community healthcare needs (Taylor, 2023). </w:t>
      </w:r>
    </w:p>
    <w:p w14:paraId="1A25DC7E" w14:textId="77777777" w:rsidR="00D468A7" w:rsidRDefault="00D468A7" w:rsidP="00BC1C1A">
      <w:pPr>
        <w:spacing w:line="360" w:lineRule="auto"/>
        <w:jc w:val="both"/>
        <w:rPr>
          <w:rFonts w:ascii="Arial" w:hAnsi="Arial" w:cs="Arial"/>
          <w:sz w:val="22"/>
          <w:szCs w:val="22"/>
        </w:rPr>
      </w:pPr>
    </w:p>
    <w:p w14:paraId="6ED909A6" w14:textId="77777777" w:rsidR="00C51C2D" w:rsidRDefault="00C51C2D" w:rsidP="00BC1C1A">
      <w:pPr>
        <w:spacing w:line="360" w:lineRule="auto"/>
        <w:jc w:val="both"/>
        <w:rPr>
          <w:rFonts w:ascii="Arial" w:hAnsi="Arial" w:cs="Arial"/>
          <w:sz w:val="22"/>
          <w:szCs w:val="22"/>
        </w:rPr>
      </w:pPr>
    </w:p>
    <w:p w14:paraId="51D44362" w14:textId="77777777" w:rsidR="00D82C10" w:rsidRPr="00BB77C7" w:rsidRDefault="00D82C10" w:rsidP="00D82C10">
      <w:pPr>
        <w:spacing w:line="360" w:lineRule="auto"/>
        <w:jc w:val="both"/>
        <w:rPr>
          <w:rFonts w:ascii="Arial" w:hAnsi="Arial" w:cs="Arial"/>
          <w:b/>
          <w:bCs/>
          <w:sz w:val="22"/>
          <w:szCs w:val="22"/>
        </w:rPr>
      </w:pPr>
      <w:r w:rsidRPr="00BB77C7">
        <w:rPr>
          <w:rFonts w:ascii="Arial" w:hAnsi="Arial" w:cs="Arial"/>
          <w:b/>
          <w:bCs/>
          <w:sz w:val="22"/>
          <w:szCs w:val="22"/>
        </w:rPr>
        <w:t>2.4.2 Evidence Linking Primary Care Access to ED Utilisation</w:t>
      </w:r>
    </w:p>
    <w:p w14:paraId="7D129B07" w14:textId="44A2C74E" w:rsidR="00D82C10" w:rsidRPr="00D82C10" w:rsidRDefault="00D82C10" w:rsidP="00D82C10">
      <w:pPr>
        <w:spacing w:line="360" w:lineRule="auto"/>
        <w:jc w:val="both"/>
        <w:rPr>
          <w:rFonts w:ascii="Arial" w:hAnsi="Arial" w:cs="Arial"/>
          <w:sz w:val="22"/>
          <w:szCs w:val="22"/>
        </w:rPr>
      </w:pPr>
      <w:r w:rsidRPr="00D82C10">
        <w:rPr>
          <w:rFonts w:ascii="Arial" w:hAnsi="Arial" w:cs="Arial"/>
          <w:sz w:val="22"/>
          <w:szCs w:val="22"/>
        </w:rPr>
        <w:t xml:space="preserve">The relationship between primary care access and emergency department (ED) utilisation is increasingly supported by empirical evidence, although the strength of causal inference varies. Experimental evidence from Zhou, </w:t>
      </w:r>
      <w:r w:rsidR="00FB4BF9" w:rsidRPr="00D82C10">
        <w:rPr>
          <w:rFonts w:ascii="Arial" w:hAnsi="Arial" w:cs="Arial"/>
          <w:sz w:val="22"/>
          <w:szCs w:val="22"/>
        </w:rPr>
        <w:t>Baicker,</w:t>
      </w:r>
      <w:r w:rsidRPr="00D82C10">
        <w:rPr>
          <w:rFonts w:ascii="Arial" w:hAnsi="Arial" w:cs="Arial"/>
          <w:sz w:val="22"/>
          <w:szCs w:val="22"/>
        </w:rPr>
        <w:t xml:space="preserve"> and Taubman (2020), using the Oregon Medicaid experiment, demonstrated that improved healthcare access can influence emergency care utilisation by reducing unmet healthcare needs. Although conducted outside the </w:t>
      </w:r>
      <w:r w:rsidR="00EF58C4">
        <w:rPr>
          <w:rFonts w:ascii="Arial" w:hAnsi="Arial" w:cs="Arial"/>
          <w:sz w:val="22"/>
          <w:szCs w:val="22"/>
        </w:rPr>
        <w:t>UK</w:t>
      </w:r>
      <w:r w:rsidRPr="00D82C10">
        <w:rPr>
          <w:rFonts w:ascii="Arial" w:hAnsi="Arial" w:cs="Arial"/>
          <w:sz w:val="22"/>
          <w:szCs w:val="22"/>
        </w:rPr>
        <w:t xml:space="preserve"> NHS context, the findings provide important evidence that access barriers can shape patterns of emergency service use.</w:t>
      </w:r>
    </w:p>
    <w:p w14:paraId="1B97AECE" w14:textId="0265CFA6" w:rsidR="00D82C10" w:rsidRPr="00D82C10" w:rsidRDefault="00D82C10" w:rsidP="00D82C10">
      <w:pPr>
        <w:spacing w:line="360" w:lineRule="auto"/>
        <w:jc w:val="both"/>
        <w:rPr>
          <w:rFonts w:ascii="Arial" w:hAnsi="Arial" w:cs="Arial"/>
          <w:sz w:val="22"/>
          <w:szCs w:val="22"/>
        </w:rPr>
      </w:pPr>
      <w:r w:rsidRPr="00D82C10">
        <w:rPr>
          <w:rFonts w:ascii="Arial" w:hAnsi="Arial" w:cs="Arial"/>
          <w:sz w:val="22"/>
          <w:szCs w:val="22"/>
        </w:rPr>
        <w:t xml:space="preserve">In </w:t>
      </w:r>
      <w:r w:rsidR="0004111E">
        <w:rPr>
          <w:rFonts w:ascii="Arial" w:hAnsi="Arial" w:cs="Arial"/>
          <w:sz w:val="22"/>
          <w:szCs w:val="22"/>
        </w:rPr>
        <w:t>the UK</w:t>
      </w:r>
      <w:r w:rsidRPr="00D82C10">
        <w:rPr>
          <w:rFonts w:ascii="Arial" w:hAnsi="Arial" w:cs="Arial"/>
          <w:sz w:val="22"/>
          <w:szCs w:val="22"/>
        </w:rPr>
        <w:t xml:space="preserve">, observational studies consistently identify associations between deprivation, reduced primary care access, and increased ED attendance. Kontopantelis et al. (2021) found that areas experiencing greater socioeconomic deprivation and poorer access to primary care had higher levels of emergency care utilisation. Similarly, evidence indicates that reduced primary care capacity, including GP practice pressures and workforce constraints, is associated with increased reliance on emergency services (Gershlick and Fisher, 2021). Research further suggests that greater investment in general practice and higher-quality primary care </w:t>
      </w:r>
      <w:r w:rsidR="006D325F" w:rsidRPr="00D82C10">
        <w:rPr>
          <w:rFonts w:ascii="Arial" w:hAnsi="Arial" w:cs="Arial"/>
          <w:sz w:val="22"/>
          <w:szCs w:val="22"/>
        </w:rPr>
        <w:t>is</w:t>
      </w:r>
      <w:r w:rsidRPr="00D82C10">
        <w:rPr>
          <w:rFonts w:ascii="Arial" w:hAnsi="Arial" w:cs="Arial"/>
          <w:sz w:val="22"/>
          <w:szCs w:val="22"/>
        </w:rPr>
        <w:t xml:space="preserve"> linked with reduced secondary care use and fewer avoidable ED attendances (Asaria et al., 2017; Baker et al., 2020).</w:t>
      </w:r>
    </w:p>
    <w:p w14:paraId="69A0A7AE" w14:textId="67DEF7A8" w:rsidR="00D82C10" w:rsidRPr="00D82C10" w:rsidRDefault="00E14A68" w:rsidP="00D82C10">
      <w:pPr>
        <w:spacing w:line="360" w:lineRule="auto"/>
        <w:jc w:val="both"/>
        <w:rPr>
          <w:rFonts w:ascii="Arial" w:hAnsi="Arial" w:cs="Arial"/>
          <w:sz w:val="22"/>
          <w:szCs w:val="22"/>
        </w:rPr>
      </w:pPr>
      <w:r>
        <w:rPr>
          <w:rFonts w:ascii="Arial" w:hAnsi="Arial" w:cs="Arial"/>
          <w:sz w:val="22"/>
          <w:szCs w:val="22"/>
        </w:rPr>
        <w:t>T</w:t>
      </w:r>
      <w:r w:rsidR="00D82C10" w:rsidRPr="00D82C10">
        <w:rPr>
          <w:rFonts w:ascii="Arial" w:hAnsi="Arial" w:cs="Arial"/>
          <w:sz w:val="22"/>
          <w:szCs w:val="22"/>
        </w:rPr>
        <w:t xml:space="preserve">he mechanisms linking primary care access difficulties to ED attendance remain complex. Patients may seek emergency care due to appointment difficulties, uncertainty about symptoms, previous negative experiences, or the perception that EDs provide faster access to assessment and treatment (O’Cathain and Knowles, 2020; Fitzpatrick et al., 2025). Therefore, ED utilisation </w:t>
      </w:r>
      <w:r w:rsidR="00D82C10" w:rsidRPr="00D82C10">
        <w:rPr>
          <w:rFonts w:ascii="Arial" w:hAnsi="Arial" w:cs="Arial"/>
          <w:sz w:val="22"/>
          <w:szCs w:val="22"/>
        </w:rPr>
        <w:lastRenderedPageBreak/>
        <w:t xml:space="preserve">should be understood </w:t>
      </w:r>
      <w:r w:rsidR="0043678E" w:rsidRPr="00D82C10">
        <w:rPr>
          <w:rFonts w:ascii="Arial" w:hAnsi="Arial" w:cs="Arial"/>
          <w:sz w:val="22"/>
          <w:szCs w:val="22"/>
        </w:rPr>
        <w:t>because of</w:t>
      </w:r>
      <w:r w:rsidR="00D82C10" w:rsidRPr="00D82C10">
        <w:rPr>
          <w:rFonts w:ascii="Arial" w:hAnsi="Arial" w:cs="Arial"/>
          <w:sz w:val="22"/>
          <w:szCs w:val="22"/>
        </w:rPr>
        <w:t xml:space="preserve"> interactions between individual healthcare decisions and wider structural barriers within the healthcare system (Roland, 2021; Fitzpatrick et al., 2025).</w:t>
      </w:r>
    </w:p>
    <w:p w14:paraId="66867196" w14:textId="77777777" w:rsidR="00D82C10" w:rsidRDefault="00D82C10" w:rsidP="00D82C10">
      <w:pPr>
        <w:spacing w:line="360" w:lineRule="auto"/>
        <w:jc w:val="both"/>
        <w:rPr>
          <w:rFonts w:ascii="Arial" w:hAnsi="Arial" w:cs="Arial"/>
          <w:b/>
          <w:bCs/>
          <w:sz w:val="22"/>
          <w:szCs w:val="22"/>
        </w:rPr>
      </w:pPr>
    </w:p>
    <w:p w14:paraId="04C00D2A" w14:textId="77777777" w:rsidR="001C544F" w:rsidRDefault="001C544F" w:rsidP="00D82C10">
      <w:pPr>
        <w:spacing w:line="360" w:lineRule="auto"/>
        <w:jc w:val="both"/>
        <w:rPr>
          <w:rFonts w:ascii="Arial" w:hAnsi="Arial" w:cs="Arial"/>
          <w:b/>
          <w:bCs/>
          <w:sz w:val="22"/>
          <w:szCs w:val="22"/>
        </w:rPr>
      </w:pPr>
    </w:p>
    <w:p w14:paraId="076CB2B1" w14:textId="77777777" w:rsidR="00B153FF" w:rsidRPr="0071077C" w:rsidRDefault="00B153FF" w:rsidP="00B153FF">
      <w:pPr>
        <w:spacing w:line="360" w:lineRule="auto"/>
        <w:jc w:val="both"/>
        <w:rPr>
          <w:rFonts w:ascii="Arial" w:hAnsi="Arial" w:cs="Arial"/>
          <w:b/>
          <w:bCs/>
          <w:sz w:val="22"/>
          <w:szCs w:val="22"/>
        </w:rPr>
      </w:pPr>
      <w:r w:rsidRPr="0071077C">
        <w:rPr>
          <w:rFonts w:ascii="Arial" w:hAnsi="Arial" w:cs="Arial"/>
          <w:b/>
          <w:bCs/>
          <w:sz w:val="22"/>
          <w:szCs w:val="22"/>
        </w:rPr>
        <w:t>2.4.3 The Experience of Deprived Populations in Emergency Settings</w:t>
      </w:r>
    </w:p>
    <w:p w14:paraId="2B3ACB22" w14:textId="042C5A1D" w:rsidR="00B153FF" w:rsidRPr="00D07354" w:rsidRDefault="00B153FF" w:rsidP="00B153FF">
      <w:pPr>
        <w:spacing w:line="360" w:lineRule="auto"/>
        <w:jc w:val="both"/>
        <w:rPr>
          <w:rFonts w:ascii="Arial" w:hAnsi="Arial" w:cs="Arial"/>
          <w:sz w:val="22"/>
          <w:szCs w:val="22"/>
        </w:rPr>
      </w:pPr>
      <w:r w:rsidRPr="00D07354">
        <w:rPr>
          <w:rFonts w:ascii="Arial" w:hAnsi="Arial" w:cs="Arial"/>
          <w:sz w:val="22"/>
          <w:szCs w:val="22"/>
        </w:rPr>
        <w:t xml:space="preserve">The experience of deprived populations within emergency departments (EDs) cannot be fully understood through utilisation statistics alone. Patients from socioeconomically disadvantaged communities are more likely to present with complex and poorly controlled chronic conditions, reflecting longer periods of unmet healthcare need and reduced opportunities for preventive primary care management (Marmot et al., 2020). Evidence from patient experience research indicates that these groups are more likely to report previous difficulties accessing general practice, including unsuccessful attempts to obtain timely appointments or appropriate support (Healthwatch </w:t>
      </w:r>
      <w:r w:rsidR="00C810C1">
        <w:rPr>
          <w:rFonts w:ascii="Arial" w:hAnsi="Arial" w:cs="Arial"/>
          <w:sz w:val="22"/>
          <w:szCs w:val="22"/>
        </w:rPr>
        <w:t>UK</w:t>
      </w:r>
      <w:r w:rsidRPr="00D07354">
        <w:rPr>
          <w:rFonts w:ascii="Arial" w:hAnsi="Arial" w:cs="Arial"/>
          <w:sz w:val="22"/>
          <w:szCs w:val="22"/>
        </w:rPr>
        <w:t>, 2024).</w:t>
      </w:r>
    </w:p>
    <w:p w14:paraId="73F6A51A" w14:textId="77777777" w:rsidR="00D07354" w:rsidRDefault="00B153FF" w:rsidP="00B153FF">
      <w:pPr>
        <w:spacing w:line="360" w:lineRule="auto"/>
        <w:jc w:val="both"/>
        <w:rPr>
          <w:rFonts w:ascii="Arial" w:hAnsi="Arial" w:cs="Arial"/>
          <w:sz w:val="22"/>
          <w:szCs w:val="22"/>
        </w:rPr>
      </w:pPr>
      <w:r w:rsidRPr="00D07354">
        <w:rPr>
          <w:rFonts w:ascii="Arial" w:hAnsi="Arial" w:cs="Arial"/>
          <w:sz w:val="22"/>
          <w:szCs w:val="22"/>
        </w:rPr>
        <w:t>This pattern challenges interpretations of avoidable ED attendance that focus primarily on individual patient behaviour. Research suggests that emergency care seeking among deprived populations often reflects the interaction between clinical need, previous experiences of healthcare access, and limitations within available primary care pathways (Watt, 2022; O’Cathain and Knowles, 2020). Approaches that focus solely on redirecting patients away from emergency services risk overlooking the structural factors that contribute to ED attendance. Effective strategies are therefore likely to require improvements in primary care accessibility, continuity, and responsiveness alongside efforts to manage demand within emergency settings (NHS Confederation, 2024; Fitzpatrick et al., 2025).</w:t>
      </w:r>
    </w:p>
    <w:p w14:paraId="301EA2E1" w14:textId="77777777" w:rsidR="00D07354" w:rsidRDefault="00D07354" w:rsidP="00B153FF">
      <w:pPr>
        <w:spacing w:line="360" w:lineRule="auto"/>
        <w:jc w:val="both"/>
        <w:rPr>
          <w:rFonts w:ascii="Arial" w:hAnsi="Arial" w:cs="Arial"/>
          <w:b/>
          <w:bCs/>
        </w:rPr>
      </w:pPr>
    </w:p>
    <w:p w14:paraId="5923456C" w14:textId="77777777" w:rsidR="00C51C2D" w:rsidRPr="00E9410E" w:rsidRDefault="00C51C2D" w:rsidP="00B153FF">
      <w:pPr>
        <w:spacing w:line="360" w:lineRule="auto"/>
        <w:jc w:val="both"/>
        <w:rPr>
          <w:rFonts w:ascii="Arial" w:hAnsi="Arial" w:cs="Arial"/>
          <w:b/>
          <w:bCs/>
        </w:rPr>
      </w:pPr>
    </w:p>
    <w:p w14:paraId="31C69F2A" w14:textId="6F8BFD1A" w:rsidR="00741B7A" w:rsidRPr="00312C9A" w:rsidRDefault="00720428" w:rsidP="00312C9A">
      <w:pPr>
        <w:pStyle w:val="ListParagraph"/>
        <w:numPr>
          <w:ilvl w:val="1"/>
          <w:numId w:val="22"/>
        </w:numPr>
        <w:spacing w:line="360" w:lineRule="auto"/>
        <w:jc w:val="both"/>
        <w:rPr>
          <w:rFonts w:ascii="Arial" w:hAnsi="Arial" w:cs="Arial"/>
          <w:b/>
          <w:bCs/>
        </w:rPr>
      </w:pPr>
      <w:r>
        <w:rPr>
          <w:rFonts w:ascii="Arial" w:hAnsi="Arial" w:cs="Arial"/>
          <w:b/>
          <w:bCs/>
        </w:rPr>
        <w:t xml:space="preserve"> </w:t>
      </w:r>
      <w:r w:rsidR="004F68EF" w:rsidRPr="00720428">
        <w:rPr>
          <w:rFonts w:ascii="Arial" w:hAnsi="Arial" w:cs="Arial"/>
          <w:b/>
          <w:bCs/>
        </w:rPr>
        <w:t>Existing Research: Strengths, Weaknesses, and Gaps</w:t>
      </w:r>
    </w:p>
    <w:p w14:paraId="0C68C7B4" w14:textId="77777777" w:rsidR="004F68EF" w:rsidRPr="0071077C" w:rsidRDefault="004F68EF" w:rsidP="004F68EF">
      <w:pPr>
        <w:spacing w:line="360" w:lineRule="auto"/>
        <w:jc w:val="both"/>
        <w:rPr>
          <w:rFonts w:ascii="Arial" w:hAnsi="Arial" w:cs="Arial"/>
          <w:b/>
          <w:bCs/>
          <w:sz w:val="22"/>
          <w:szCs w:val="22"/>
        </w:rPr>
      </w:pPr>
      <w:r w:rsidRPr="0071077C">
        <w:rPr>
          <w:rFonts w:ascii="Arial" w:hAnsi="Arial" w:cs="Arial"/>
          <w:b/>
          <w:bCs/>
          <w:sz w:val="22"/>
          <w:szCs w:val="22"/>
        </w:rPr>
        <w:t>2.5.1 Strengths of the Existing Evidence Base</w:t>
      </w:r>
    </w:p>
    <w:p w14:paraId="717F2C97" w14:textId="046F39BA" w:rsidR="004F68EF" w:rsidRPr="003F7EBD" w:rsidRDefault="004F68EF" w:rsidP="004F68EF">
      <w:pPr>
        <w:spacing w:line="360" w:lineRule="auto"/>
        <w:jc w:val="both"/>
        <w:rPr>
          <w:rFonts w:ascii="Arial" w:hAnsi="Arial" w:cs="Arial"/>
          <w:sz w:val="22"/>
          <w:szCs w:val="22"/>
        </w:rPr>
      </w:pPr>
      <w:r w:rsidRPr="003F7EBD">
        <w:rPr>
          <w:rFonts w:ascii="Arial" w:hAnsi="Arial" w:cs="Arial"/>
          <w:sz w:val="22"/>
          <w:szCs w:val="22"/>
        </w:rPr>
        <w:t xml:space="preserve">The existing evidence base examining primary care access and emergency department (ED) utilisation in </w:t>
      </w:r>
      <w:r w:rsidR="0004111E">
        <w:rPr>
          <w:rFonts w:ascii="Arial" w:hAnsi="Arial" w:cs="Arial"/>
          <w:sz w:val="22"/>
          <w:szCs w:val="22"/>
        </w:rPr>
        <w:t>the UK</w:t>
      </w:r>
      <w:r w:rsidRPr="003F7EBD">
        <w:rPr>
          <w:rFonts w:ascii="Arial" w:hAnsi="Arial" w:cs="Arial"/>
          <w:sz w:val="22"/>
          <w:szCs w:val="22"/>
        </w:rPr>
        <w:t xml:space="preserve"> has important strengths. It is characterised by methodological diversity, combining longitudinal administrative datasets, patient experience surveys, and an expanding body of qualitative research. Major national data sources, including the General Practice Patient Survey, Hospital Episode Statistics, and NHS administrative datasets, provide researchers with detailed information on patterns of healthcare access, service use, and population-level inequalities. The availability of these data has enabled robust investigation of associations between socioeconomic deprivation, primary care performance, and emergency care demand.</w:t>
      </w:r>
    </w:p>
    <w:p w14:paraId="2F818B7C" w14:textId="7B58A3BA" w:rsidR="0042512A" w:rsidRPr="003F7EBD" w:rsidRDefault="004F68EF" w:rsidP="0042512A">
      <w:pPr>
        <w:spacing w:line="360" w:lineRule="auto"/>
        <w:jc w:val="both"/>
        <w:rPr>
          <w:rFonts w:ascii="Arial" w:hAnsi="Arial" w:cs="Arial"/>
          <w:sz w:val="22"/>
          <w:szCs w:val="22"/>
        </w:rPr>
      </w:pPr>
      <w:r w:rsidRPr="003F7EBD">
        <w:rPr>
          <w:rFonts w:ascii="Arial" w:hAnsi="Arial" w:cs="Arial"/>
          <w:sz w:val="22"/>
          <w:szCs w:val="22"/>
        </w:rPr>
        <w:lastRenderedPageBreak/>
        <w:t>A further strength of the literature is its ability to examine healthcare inequalities within the context of a universal healthcare system. The transparency of NHS data infrastructure allows researchers to identify variations in access and outcomes across geographical areas and socioeconomic groups, providing valuable evidence of how healthcare need and service provision interact</w:t>
      </w:r>
      <w:r w:rsidR="0042512A" w:rsidRPr="003F7EBD">
        <w:rPr>
          <w:rFonts w:ascii="Arial" w:hAnsi="Arial" w:cs="Arial"/>
          <w:sz w:val="22"/>
          <w:szCs w:val="22"/>
        </w:rPr>
        <w:t xml:space="preserve"> (Marmot et al., 2020).</w:t>
      </w:r>
    </w:p>
    <w:p w14:paraId="3B6E284E" w14:textId="56FA6ADC" w:rsidR="001C544F" w:rsidRPr="00726081" w:rsidRDefault="004F68EF" w:rsidP="00F574F6">
      <w:pPr>
        <w:spacing w:line="360" w:lineRule="auto"/>
        <w:jc w:val="both"/>
        <w:rPr>
          <w:rFonts w:ascii="Arial" w:hAnsi="Arial" w:cs="Arial"/>
          <w:sz w:val="22"/>
          <w:szCs w:val="22"/>
        </w:rPr>
      </w:pPr>
      <w:r w:rsidRPr="003F7EBD">
        <w:rPr>
          <w:rFonts w:ascii="Arial" w:hAnsi="Arial" w:cs="Arial"/>
          <w:sz w:val="22"/>
          <w:szCs w:val="22"/>
        </w:rPr>
        <w:t xml:space="preserve"> The COVID-19 pandemic has further expanded this evidence base by exposing existing weaknesses in healthcare access and creating opportunities to examine how disruptions to primary care influence patterns of healthcare utilisation (Kontopantelis et al., 2021; Fitzpatrick et al., 2025).</w:t>
      </w:r>
    </w:p>
    <w:p w14:paraId="16D1D0F0" w14:textId="77777777" w:rsidR="009B75DB" w:rsidRDefault="009B75DB" w:rsidP="00F574F6">
      <w:pPr>
        <w:spacing w:line="360" w:lineRule="auto"/>
        <w:jc w:val="both"/>
        <w:rPr>
          <w:rFonts w:ascii="Arial" w:hAnsi="Arial" w:cs="Arial"/>
          <w:b/>
          <w:bCs/>
          <w:sz w:val="22"/>
          <w:szCs w:val="22"/>
        </w:rPr>
      </w:pPr>
    </w:p>
    <w:p w14:paraId="5149F3B3" w14:textId="25BF6ABA" w:rsidR="00F574F6" w:rsidRPr="0071077C" w:rsidRDefault="00F574F6" w:rsidP="00F574F6">
      <w:pPr>
        <w:spacing w:line="360" w:lineRule="auto"/>
        <w:jc w:val="both"/>
        <w:rPr>
          <w:rFonts w:ascii="Arial" w:hAnsi="Arial" w:cs="Arial"/>
          <w:b/>
          <w:bCs/>
          <w:sz w:val="22"/>
          <w:szCs w:val="22"/>
        </w:rPr>
      </w:pPr>
      <w:r w:rsidRPr="0071077C">
        <w:rPr>
          <w:rFonts w:ascii="Arial" w:hAnsi="Arial" w:cs="Arial"/>
          <w:b/>
          <w:bCs/>
          <w:sz w:val="22"/>
          <w:szCs w:val="22"/>
        </w:rPr>
        <w:t>2.5.2 Weaknesses and Methodological Limitations</w:t>
      </w:r>
    </w:p>
    <w:p w14:paraId="6266E12A" w14:textId="75480F5F" w:rsidR="00F574F6" w:rsidRPr="00F574F6" w:rsidRDefault="00A00B67" w:rsidP="00F574F6">
      <w:pPr>
        <w:spacing w:line="360" w:lineRule="auto"/>
        <w:jc w:val="both"/>
        <w:rPr>
          <w:rFonts w:ascii="Arial" w:hAnsi="Arial" w:cs="Arial"/>
          <w:sz w:val="22"/>
          <w:szCs w:val="22"/>
        </w:rPr>
      </w:pPr>
      <w:r w:rsidRPr="00A00B67">
        <w:rPr>
          <w:rFonts w:ascii="Arial" w:hAnsi="Arial" w:cs="Arial"/>
          <w:sz w:val="22"/>
          <w:szCs w:val="22"/>
        </w:rPr>
        <w:t>Despite the strengths of the existing evidence base, important methodological limitations remain. The literature relies on quantitative and ecological designs that demonstrate associations between deprivation, primary care access, and emergency department (ED) utilisation but provide limited insight into the mechanisms underlying these relationships (Kontopantelis et al., 2021). Such studies cannot fully explain how patients experience barriers to primary care, how decisions to seek emergency care are made, or how previous healthcare interactions influence subsequent service use (O’Cathain and Knowles, 2020</w:t>
      </w:r>
      <w:r w:rsidR="002E6272" w:rsidRPr="00A00B67">
        <w:rPr>
          <w:rFonts w:ascii="Arial" w:hAnsi="Arial" w:cs="Arial"/>
          <w:sz w:val="22"/>
          <w:szCs w:val="22"/>
        </w:rPr>
        <w:t>).</w:t>
      </w:r>
      <w:r w:rsidR="002E6272" w:rsidRPr="00F574F6">
        <w:rPr>
          <w:rFonts w:ascii="Arial" w:hAnsi="Arial" w:cs="Arial"/>
          <w:sz w:val="22"/>
          <w:szCs w:val="22"/>
        </w:rPr>
        <w:t xml:space="preserve"> A</w:t>
      </w:r>
      <w:r w:rsidR="00F574F6" w:rsidRPr="00F574F6">
        <w:rPr>
          <w:rFonts w:ascii="Arial" w:hAnsi="Arial" w:cs="Arial"/>
          <w:sz w:val="22"/>
          <w:szCs w:val="22"/>
        </w:rPr>
        <w:t xml:space="preserve"> further limitation is the limited representation of patient perspectives, particularly among deprived populations. Qualitative studies often recruit participants through healthcare settings, potentially excluding individuals who are least engaged with services and whose experiences may reveal the greatest barriers to access (Watt, 2022). This gap has important implications because interventions developed without understanding patient experiences may fail to address the structural factors contributing to unmet need (Fitzpatrick et al., 2025).</w:t>
      </w:r>
    </w:p>
    <w:p w14:paraId="2DE14150" w14:textId="61FBA17F" w:rsidR="003F7EBD" w:rsidRDefault="00F574F6" w:rsidP="00F574F6">
      <w:pPr>
        <w:spacing w:line="360" w:lineRule="auto"/>
        <w:jc w:val="both"/>
        <w:rPr>
          <w:rFonts w:ascii="Arial" w:hAnsi="Arial" w:cs="Arial"/>
          <w:sz w:val="22"/>
          <w:szCs w:val="22"/>
        </w:rPr>
      </w:pPr>
      <w:r w:rsidRPr="00F574F6">
        <w:rPr>
          <w:rFonts w:ascii="Arial" w:hAnsi="Arial" w:cs="Arial"/>
          <w:sz w:val="22"/>
          <w:szCs w:val="22"/>
        </w:rPr>
        <w:t>The evidence base is further challenged by rapid changes in healthcare delivery following the COVID-19 pandemic. The expansion of digital-first access, remote consultations, workforce pressures, and changing urgent care pathways have altered the relationship between primary care and ED use (Salisbury et al., 2022; Greenhalgh et al., 2022).</w:t>
      </w:r>
    </w:p>
    <w:p w14:paraId="16B32FFB" w14:textId="77777777" w:rsidR="00741B7A" w:rsidRDefault="00741B7A" w:rsidP="00F574F6">
      <w:pPr>
        <w:spacing w:line="360" w:lineRule="auto"/>
        <w:jc w:val="both"/>
        <w:rPr>
          <w:rFonts w:ascii="Arial" w:hAnsi="Arial" w:cs="Arial"/>
          <w:sz w:val="22"/>
          <w:szCs w:val="22"/>
        </w:rPr>
      </w:pPr>
    </w:p>
    <w:p w14:paraId="624E6156" w14:textId="77777777" w:rsidR="00726081" w:rsidRDefault="00726081" w:rsidP="00F574F6">
      <w:pPr>
        <w:spacing w:line="360" w:lineRule="auto"/>
        <w:jc w:val="both"/>
        <w:rPr>
          <w:rFonts w:ascii="Arial" w:hAnsi="Arial" w:cs="Arial"/>
          <w:sz w:val="22"/>
          <w:szCs w:val="22"/>
        </w:rPr>
      </w:pPr>
    </w:p>
    <w:p w14:paraId="63EF1277" w14:textId="77777777" w:rsidR="005F4933" w:rsidRPr="0071077C" w:rsidRDefault="005F4933" w:rsidP="005F4933">
      <w:pPr>
        <w:spacing w:line="360" w:lineRule="auto"/>
        <w:jc w:val="both"/>
        <w:rPr>
          <w:rFonts w:ascii="Arial" w:hAnsi="Arial" w:cs="Arial"/>
          <w:b/>
          <w:bCs/>
          <w:sz w:val="22"/>
          <w:szCs w:val="22"/>
        </w:rPr>
      </w:pPr>
      <w:r w:rsidRPr="0071077C">
        <w:rPr>
          <w:rFonts w:ascii="Arial" w:hAnsi="Arial" w:cs="Arial"/>
          <w:b/>
          <w:bCs/>
          <w:sz w:val="22"/>
          <w:szCs w:val="22"/>
        </w:rPr>
        <w:t>2.5.3 Gaps in the Literature</w:t>
      </w:r>
    </w:p>
    <w:p w14:paraId="68D7D194" w14:textId="55D94798" w:rsidR="005F4933" w:rsidRPr="000A38FF" w:rsidRDefault="005F4933" w:rsidP="005F4933">
      <w:pPr>
        <w:spacing w:line="360" w:lineRule="auto"/>
        <w:jc w:val="both"/>
        <w:rPr>
          <w:rFonts w:ascii="Arial" w:hAnsi="Arial" w:cs="Arial"/>
          <w:sz w:val="22"/>
          <w:szCs w:val="22"/>
        </w:rPr>
      </w:pPr>
      <w:r w:rsidRPr="000A38FF">
        <w:rPr>
          <w:rFonts w:ascii="Arial" w:hAnsi="Arial" w:cs="Arial"/>
          <w:sz w:val="22"/>
          <w:szCs w:val="22"/>
        </w:rPr>
        <w:t>Three key gaps remain within the existing evidence base. First</w:t>
      </w:r>
      <w:r w:rsidR="00584554">
        <w:rPr>
          <w:rFonts w:ascii="Arial" w:hAnsi="Arial" w:cs="Arial"/>
          <w:sz w:val="22"/>
          <w:szCs w:val="22"/>
        </w:rPr>
        <w:t>ly</w:t>
      </w:r>
      <w:r w:rsidRPr="000A38FF">
        <w:rPr>
          <w:rFonts w:ascii="Arial" w:hAnsi="Arial" w:cs="Arial"/>
          <w:sz w:val="22"/>
          <w:szCs w:val="22"/>
        </w:rPr>
        <w:t xml:space="preserve">, while quantitative research has established an association between poor primary care access, socioeconomic deprivation, and emergency department (ED) attendance, limited evidence explains the mechanisms through </w:t>
      </w:r>
      <w:r w:rsidRPr="000A38FF">
        <w:rPr>
          <w:rFonts w:ascii="Arial" w:hAnsi="Arial" w:cs="Arial"/>
          <w:sz w:val="22"/>
          <w:szCs w:val="22"/>
        </w:rPr>
        <w:lastRenderedPageBreak/>
        <w:t xml:space="preserve">which access barriers influence patients’ decisions to seek emergency care (O’Cathain and Knowles, 2020). Greater understanding is needed of how individuals navigate healthcare systems, interpret unmet need, and respond to previous experiences of accessing primary care </w:t>
      </w:r>
      <w:r w:rsidR="006D325F" w:rsidRPr="000A38FF">
        <w:rPr>
          <w:rFonts w:ascii="Arial" w:hAnsi="Arial" w:cs="Arial"/>
          <w:sz w:val="22"/>
          <w:szCs w:val="22"/>
        </w:rPr>
        <w:t>(Fitzpatrick</w:t>
      </w:r>
      <w:r w:rsidRPr="000A38FF">
        <w:rPr>
          <w:rFonts w:ascii="Arial" w:hAnsi="Arial" w:cs="Arial"/>
          <w:sz w:val="22"/>
          <w:szCs w:val="22"/>
        </w:rPr>
        <w:t xml:space="preserve"> et al., 2025).</w:t>
      </w:r>
    </w:p>
    <w:p w14:paraId="4364E4EA" w14:textId="0A1B5670" w:rsidR="005F4933" w:rsidRPr="000A38FF" w:rsidRDefault="005F4933" w:rsidP="005F4933">
      <w:pPr>
        <w:spacing w:line="360" w:lineRule="auto"/>
        <w:jc w:val="both"/>
        <w:rPr>
          <w:rFonts w:ascii="Arial" w:hAnsi="Arial" w:cs="Arial"/>
          <w:sz w:val="22"/>
          <w:szCs w:val="22"/>
        </w:rPr>
      </w:pPr>
      <w:r w:rsidRPr="000A38FF">
        <w:rPr>
          <w:rFonts w:ascii="Arial" w:hAnsi="Arial" w:cs="Arial"/>
          <w:sz w:val="22"/>
          <w:szCs w:val="22"/>
        </w:rPr>
        <w:t>Second</w:t>
      </w:r>
      <w:r w:rsidR="00584554">
        <w:rPr>
          <w:rFonts w:ascii="Arial" w:hAnsi="Arial" w:cs="Arial"/>
          <w:sz w:val="22"/>
          <w:szCs w:val="22"/>
        </w:rPr>
        <w:t>ly</w:t>
      </w:r>
      <w:r w:rsidRPr="000A38FF">
        <w:rPr>
          <w:rFonts w:ascii="Arial" w:hAnsi="Arial" w:cs="Arial"/>
          <w:sz w:val="22"/>
          <w:szCs w:val="22"/>
        </w:rPr>
        <w:t>, the experiences of patients living in the most deprived communities remain underrepresented within qualitative research. This limits understanding of how structural and social factors shape healthcare-seeking behaviour and constrains the development of interventions that respond effectively to the needs of disadvantaged populations (Watt, 2022).</w:t>
      </w:r>
    </w:p>
    <w:p w14:paraId="086C54C0" w14:textId="35BEF3F6" w:rsidR="00726081" w:rsidRDefault="005F4933" w:rsidP="005F4933">
      <w:pPr>
        <w:spacing w:line="360" w:lineRule="auto"/>
        <w:jc w:val="both"/>
        <w:rPr>
          <w:rFonts w:ascii="Arial" w:hAnsi="Arial" w:cs="Arial"/>
          <w:sz w:val="22"/>
          <w:szCs w:val="22"/>
        </w:rPr>
      </w:pPr>
      <w:r w:rsidRPr="000A38FF">
        <w:rPr>
          <w:rFonts w:ascii="Arial" w:hAnsi="Arial" w:cs="Arial"/>
          <w:sz w:val="22"/>
          <w:szCs w:val="22"/>
        </w:rPr>
        <w:t>Third</w:t>
      </w:r>
      <w:r w:rsidR="003377A4">
        <w:rPr>
          <w:rFonts w:ascii="Arial" w:hAnsi="Arial" w:cs="Arial"/>
          <w:sz w:val="22"/>
          <w:szCs w:val="22"/>
        </w:rPr>
        <w:t>ly</w:t>
      </w:r>
      <w:r w:rsidRPr="000A38FF">
        <w:rPr>
          <w:rFonts w:ascii="Arial" w:hAnsi="Arial" w:cs="Arial"/>
          <w:sz w:val="22"/>
          <w:szCs w:val="22"/>
        </w:rPr>
        <w:t xml:space="preserve">, the post-pandemic transformation of primary care, including increased digital access pathways, workforce pressures, and widening inequalities, has created a changing healthcare environment that remains insufficiently explored from patients’ perspectives. This study addresses these gaps by examining how individuals in deprived communities experience primary care access barriers and how these experiences contribute to ED utilisation in contemporary </w:t>
      </w:r>
      <w:r w:rsidR="003377A4">
        <w:rPr>
          <w:rFonts w:ascii="Arial" w:hAnsi="Arial" w:cs="Arial"/>
          <w:sz w:val="22"/>
          <w:szCs w:val="22"/>
        </w:rPr>
        <w:t>UK</w:t>
      </w:r>
      <w:r w:rsidR="00E14F2A">
        <w:rPr>
          <w:rFonts w:ascii="Arial" w:hAnsi="Arial" w:cs="Arial"/>
          <w:sz w:val="22"/>
          <w:szCs w:val="22"/>
        </w:rPr>
        <w:t xml:space="preserve"> </w:t>
      </w:r>
      <w:r w:rsidR="009F1A96">
        <w:rPr>
          <w:rFonts w:ascii="Arial" w:hAnsi="Arial" w:cs="Arial"/>
          <w:sz w:val="22"/>
          <w:szCs w:val="22"/>
        </w:rPr>
        <w:t>(</w:t>
      </w:r>
      <w:r w:rsidR="00E14F2A">
        <w:rPr>
          <w:rFonts w:ascii="Arial" w:hAnsi="Arial" w:cs="Arial"/>
          <w:sz w:val="22"/>
          <w:szCs w:val="22"/>
        </w:rPr>
        <w:t>NHS</w:t>
      </w:r>
      <w:r w:rsidR="009F1A96">
        <w:rPr>
          <w:rFonts w:ascii="Arial" w:hAnsi="Arial" w:cs="Arial"/>
          <w:sz w:val="22"/>
          <w:szCs w:val="22"/>
        </w:rPr>
        <w:t xml:space="preserve"> </w:t>
      </w:r>
      <w:r w:rsidR="009B65D7">
        <w:rPr>
          <w:rFonts w:ascii="Arial" w:hAnsi="Arial" w:cs="Arial"/>
          <w:sz w:val="22"/>
          <w:szCs w:val="22"/>
        </w:rPr>
        <w:t>UK</w:t>
      </w:r>
      <w:r w:rsidR="009F1A96">
        <w:rPr>
          <w:rFonts w:ascii="Arial" w:hAnsi="Arial" w:cs="Arial"/>
          <w:sz w:val="22"/>
          <w:szCs w:val="22"/>
        </w:rPr>
        <w:t>, 2025)</w:t>
      </w:r>
      <w:r w:rsidR="00741B7A">
        <w:rPr>
          <w:rFonts w:ascii="Arial" w:hAnsi="Arial" w:cs="Arial"/>
          <w:sz w:val="22"/>
          <w:szCs w:val="22"/>
        </w:rPr>
        <w:t>.</w:t>
      </w:r>
    </w:p>
    <w:p w14:paraId="28A3B17C" w14:textId="77777777" w:rsidR="00312C9A" w:rsidRPr="00BE5BCF" w:rsidRDefault="00312C9A" w:rsidP="005F4933">
      <w:pPr>
        <w:spacing w:line="360" w:lineRule="auto"/>
        <w:jc w:val="both"/>
        <w:rPr>
          <w:rFonts w:ascii="Arial" w:hAnsi="Arial" w:cs="Arial"/>
          <w:b/>
          <w:bCs/>
        </w:rPr>
      </w:pPr>
    </w:p>
    <w:p w14:paraId="3B76F2A3" w14:textId="4D0D0B40" w:rsidR="00BE5BCF" w:rsidRPr="00312C9A" w:rsidRDefault="00BE5BCF" w:rsidP="00312C9A">
      <w:pPr>
        <w:pStyle w:val="ListParagraph"/>
        <w:numPr>
          <w:ilvl w:val="1"/>
          <w:numId w:val="22"/>
        </w:numPr>
        <w:spacing w:line="360" w:lineRule="auto"/>
        <w:jc w:val="both"/>
        <w:rPr>
          <w:rFonts w:ascii="Arial" w:hAnsi="Arial" w:cs="Arial"/>
          <w:b/>
          <w:bCs/>
        </w:rPr>
      </w:pPr>
      <w:r w:rsidRPr="00BE5BCF">
        <w:rPr>
          <w:rFonts w:ascii="Arial" w:hAnsi="Arial" w:cs="Arial"/>
          <w:b/>
          <w:bCs/>
        </w:rPr>
        <w:t xml:space="preserve"> </w:t>
      </w:r>
      <w:r w:rsidR="00B954EC" w:rsidRPr="00BE5BCF">
        <w:rPr>
          <w:rFonts w:ascii="Arial" w:hAnsi="Arial" w:cs="Arial"/>
          <w:b/>
          <w:bCs/>
        </w:rPr>
        <w:t>Theoretical Framework</w:t>
      </w:r>
    </w:p>
    <w:p w14:paraId="0537A425" w14:textId="77777777" w:rsidR="00B954EC" w:rsidRPr="0071077C" w:rsidRDefault="00B954EC" w:rsidP="00B954EC">
      <w:pPr>
        <w:spacing w:line="360" w:lineRule="auto"/>
        <w:jc w:val="both"/>
        <w:rPr>
          <w:rFonts w:ascii="Arial" w:hAnsi="Arial" w:cs="Arial"/>
          <w:b/>
          <w:bCs/>
          <w:sz w:val="22"/>
          <w:szCs w:val="22"/>
        </w:rPr>
      </w:pPr>
      <w:r w:rsidRPr="0071077C">
        <w:rPr>
          <w:rFonts w:ascii="Arial" w:hAnsi="Arial" w:cs="Arial"/>
          <w:b/>
          <w:bCs/>
          <w:sz w:val="22"/>
          <w:szCs w:val="22"/>
        </w:rPr>
        <w:t>2.6.1 The Social Determinants of Health</w:t>
      </w:r>
    </w:p>
    <w:p w14:paraId="2D9A80A0" w14:textId="6292F110" w:rsidR="00B954EC" w:rsidRPr="001A408B" w:rsidRDefault="00B954EC" w:rsidP="00B954EC">
      <w:pPr>
        <w:spacing w:line="360" w:lineRule="auto"/>
        <w:jc w:val="both"/>
        <w:rPr>
          <w:rFonts w:ascii="Arial" w:hAnsi="Arial" w:cs="Arial"/>
          <w:sz w:val="22"/>
          <w:szCs w:val="22"/>
        </w:rPr>
      </w:pPr>
      <w:r w:rsidRPr="001A408B">
        <w:rPr>
          <w:rFonts w:ascii="Arial" w:hAnsi="Arial" w:cs="Arial"/>
          <w:sz w:val="22"/>
          <w:szCs w:val="22"/>
        </w:rPr>
        <w:t xml:space="preserve">This study is primarily informed by the social determinants of health framework developed by the WHO Commission on Social Determinants of Health (2008) and applied to the </w:t>
      </w:r>
      <w:r w:rsidR="0078673D">
        <w:rPr>
          <w:rFonts w:ascii="Arial" w:hAnsi="Arial" w:cs="Arial"/>
          <w:sz w:val="22"/>
          <w:szCs w:val="22"/>
        </w:rPr>
        <w:t>UK</w:t>
      </w:r>
      <w:r w:rsidRPr="001A408B">
        <w:rPr>
          <w:rFonts w:ascii="Arial" w:hAnsi="Arial" w:cs="Arial"/>
          <w:sz w:val="22"/>
          <w:szCs w:val="22"/>
        </w:rPr>
        <w:t xml:space="preserve"> context through the Marmot Reviews (Marmot et al., 2020). The framework argues that health outcomes and healthcare utilisation are shaped by the social, economic, and environmental conditions in which people live, including income, employment, education, housing, and social support. In this study, it provides a structural explanation for inequalities in primary care access and emergency department (ED) utilisation by highlighting how socioeconomic circumstances influence both healthcare need and the ability to access appropriate services (WHO, 2008; Marmot et al., 2020).</w:t>
      </w:r>
    </w:p>
    <w:p w14:paraId="6D0E83DE" w14:textId="1180EBD9" w:rsidR="001A408B" w:rsidRDefault="00B954EC" w:rsidP="00B954EC">
      <w:pPr>
        <w:spacing w:line="360" w:lineRule="auto"/>
        <w:jc w:val="both"/>
        <w:rPr>
          <w:rFonts w:ascii="Arial" w:hAnsi="Arial" w:cs="Arial"/>
          <w:sz w:val="22"/>
          <w:szCs w:val="22"/>
        </w:rPr>
      </w:pPr>
      <w:r w:rsidRPr="001A408B">
        <w:rPr>
          <w:rFonts w:ascii="Arial" w:hAnsi="Arial" w:cs="Arial"/>
          <w:sz w:val="22"/>
          <w:szCs w:val="22"/>
        </w:rPr>
        <w:t xml:space="preserve">The framework is valuable because it shifts attention from individual explanations of ED attendance towards the wider conditions that shape healthcare choices. Rather than viewing emergency care use solely </w:t>
      </w:r>
      <w:r w:rsidR="0043678E" w:rsidRPr="001A408B">
        <w:rPr>
          <w:rFonts w:ascii="Arial" w:hAnsi="Arial" w:cs="Arial"/>
          <w:sz w:val="22"/>
          <w:szCs w:val="22"/>
        </w:rPr>
        <w:t>because of</w:t>
      </w:r>
      <w:r w:rsidRPr="001A408B">
        <w:rPr>
          <w:rFonts w:ascii="Arial" w:hAnsi="Arial" w:cs="Arial"/>
          <w:sz w:val="22"/>
          <w:szCs w:val="22"/>
        </w:rPr>
        <w:t xml:space="preserve"> patient behaviour, it considers how deprivation, access barriers, and healthcare system organisation influence the options available to individuals. This perspective supports an analysis of how structural inequalities contribute to patterns of primary care access and emergency healthcare use among deprived populations (Marmot et al., 2020; Fitzpatrick et al., 2025).</w:t>
      </w:r>
    </w:p>
    <w:p w14:paraId="3621420D" w14:textId="77777777" w:rsidR="00A07745" w:rsidRDefault="00A07745" w:rsidP="00B954EC">
      <w:pPr>
        <w:spacing w:line="360" w:lineRule="auto"/>
        <w:jc w:val="both"/>
        <w:rPr>
          <w:rFonts w:ascii="Arial" w:hAnsi="Arial" w:cs="Arial"/>
          <w:sz w:val="22"/>
          <w:szCs w:val="22"/>
        </w:rPr>
      </w:pPr>
    </w:p>
    <w:p w14:paraId="56404D52" w14:textId="77777777" w:rsidR="009B75DB" w:rsidRDefault="009B75DB" w:rsidP="00B954EC">
      <w:pPr>
        <w:spacing w:line="360" w:lineRule="auto"/>
        <w:jc w:val="both"/>
        <w:rPr>
          <w:rFonts w:ascii="Arial" w:hAnsi="Arial" w:cs="Arial"/>
          <w:sz w:val="22"/>
          <w:szCs w:val="22"/>
        </w:rPr>
      </w:pPr>
    </w:p>
    <w:p w14:paraId="2ABAEFBE" w14:textId="77777777" w:rsidR="008B5F06" w:rsidRPr="00312385" w:rsidRDefault="008B5F06" w:rsidP="008B5F06">
      <w:pPr>
        <w:spacing w:line="360" w:lineRule="auto"/>
        <w:jc w:val="both"/>
        <w:rPr>
          <w:rFonts w:ascii="Arial" w:hAnsi="Arial" w:cs="Arial"/>
          <w:b/>
          <w:bCs/>
          <w:sz w:val="22"/>
          <w:szCs w:val="22"/>
        </w:rPr>
      </w:pPr>
      <w:r w:rsidRPr="00312385">
        <w:rPr>
          <w:rFonts w:ascii="Arial" w:hAnsi="Arial" w:cs="Arial"/>
          <w:b/>
          <w:bCs/>
          <w:sz w:val="22"/>
          <w:szCs w:val="22"/>
        </w:rPr>
        <w:lastRenderedPageBreak/>
        <w:t>2.6.2 The Inverse Care Law as an Analytical Lens</w:t>
      </w:r>
    </w:p>
    <w:p w14:paraId="7B72E281" w14:textId="72B14C4B" w:rsidR="008B5F06" w:rsidRPr="00D57BC7" w:rsidRDefault="008B5F06" w:rsidP="008B5F06">
      <w:pPr>
        <w:spacing w:line="360" w:lineRule="auto"/>
        <w:jc w:val="both"/>
        <w:rPr>
          <w:rFonts w:ascii="Arial" w:hAnsi="Arial" w:cs="Arial"/>
          <w:sz w:val="22"/>
          <w:szCs w:val="22"/>
        </w:rPr>
      </w:pPr>
      <w:r w:rsidRPr="00D57BC7">
        <w:rPr>
          <w:rFonts w:ascii="Arial" w:hAnsi="Arial" w:cs="Arial"/>
          <w:sz w:val="22"/>
          <w:szCs w:val="22"/>
        </w:rPr>
        <w:t xml:space="preserve">Hart's (1971) Inverse Care Law provides an important analytical lens for examining the relationship between primary care access and emergency department (ED) utilisation in deprived communities. The theory proposes that populations with the greatest healthcare needs often experience the greatest barriers to accessing appropriate care. (Hart, 1971). Applied to contemporary </w:t>
      </w:r>
      <w:r w:rsidR="00694CA8">
        <w:rPr>
          <w:rFonts w:ascii="Arial" w:hAnsi="Arial" w:cs="Arial"/>
          <w:sz w:val="22"/>
          <w:szCs w:val="22"/>
        </w:rPr>
        <w:t>UK</w:t>
      </w:r>
      <w:r w:rsidRPr="00D57BC7">
        <w:rPr>
          <w:rFonts w:ascii="Arial" w:hAnsi="Arial" w:cs="Arial"/>
          <w:sz w:val="22"/>
          <w:szCs w:val="22"/>
        </w:rPr>
        <w:t>, it suggests that deprived populations are more likely to experience limited access to preventive and ongoing primary care, increasing the likelihood that healthcare needs are addressed only when they become urgent (Hart, 1971; Watt, 2022).</w:t>
      </w:r>
    </w:p>
    <w:p w14:paraId="7A49916A" w14:textId="77777777" w:rsidR="00D57BC7" w:rsidRDefault="008B5F06" w:rsidP="008B5F06">
      <w:pPr>
        <w:spacing w:line="360" w:lineRule="auto"/>
        <w:jc w:val="both"/>
        <w:rPr>
          <w:rFonts w:ascii="Arial" w:hAnsi="Arial" w:cs="Arial"/>
          <w:sz w:val="22"/>
          <w:szCs w:val="22"/>
        </w:rPr>
      </w:pPr>
      <w:r w:rsidRPr="00D57BC7">
        <w:rPr>
          <w:rFonts w:ascii="Arial" w:hAnsi="Arial" w:cs="Arial"/>
          <w:sz w:val="22"/>
          <w:szCs w:val="22"/>
        </w:rPr>
        <w:t>The framework is particularly relevant to this study because it shifts attention from ED attendance as an issue of patient behaviour towards the structural conditions that shape healthcare use (Hart, 1971). If increased ED utilisation among deprived populations reflects inequalities in primary care availability, accessibility, and responsiveness, then interventions must address the underlying distribution of healthcare resources rather than focusing solely on reducing emergency demand. (Fisher et al., 2022). The Inverse Care Law therefore provides a theoretical basis for examining how unequal primary care provision contributes to patterns of emergency healthcare utilisation (Fitzpatrick et al., 2025).</w:t>
      </w:r>
    </w:p>
    <w:p w14:paraId="36F42BDF" w14:textId="77777777" w:rsidR="00726081" w:rsidRPr="00D57BC7" w:rsidRDefault="00726081" w:rsidP="008B5F06">
      <w:pPr>
        <w:spacing w:line="360" w:lineRule="auto"/>
        <w:jc w:val="both"/>
        <w:rPr>
          <w:rFonts w:ascii="Arial" w:hAnsi="Arial" w:cs="Arial"/>
          <w:sz w:val="22"/>
          <w:szCs w:val="22"/>
        </w:rPr>
      </w:pPr>
    </w:p>
    <w:p w14:paraId="16B9F51A" w14:textId="77777777" w:rsidR="001C544F" w:rsidRDefault="001C544F" w:rsidP="008B5F06">
      <w:pPr>
        <w:spacing w:line="360" w:lineRule="auto"/>
        <w:jc w:val="both"/>
        <w:rPr>
          <w:rFonts w:ascii="Arial" w:hAnsi="Arial" w:cs="Arial"/>
          <w:b/>
          <w:bCs/>
          <w:sz w:val="22"/>
          <w:szCs w:val="22"/>
        </w:rPr>
      </w:pPr>
    </w:p>
    <w:p w14:paraId="3712AEE3" w14:textId="77777777" w:rsidR="005311E0" w:rsidRPr="0071077C" w:rsidRDefault="005311E0" w:rsidP="005311E0">
      <w:pPr>
        <w:spacing w:line="360" w:lineRule="auto"/>
        <w:jc w:val="both"/>
        <w:rPr>
          <w:rFonts w:ascii="Arial" w:hAnsi="Arial" w:cs="Arial"/>
          <w:b/>
          <w:bCs/>
          <w:sz w:val="22"/>
          <w:szCs w:val="22"/>
        </w:rPr>
      </w:pPr>
      <w:r w:rsidRPr="0071077C">
        <w:rPr>
          <w:rFonts w:ascii="Arial" w:hAnsi="Arial" w:cs="Arial"/>
          <w:b/>
          <w:bCs/>
          <w:sz w:val="22"/>
          <w:szCs w:val="22"/>
        </w:rPr>
        <w:t>2.6.3 Andersen's Behavioural Model of Healthcare Utilisation</w:t>
      </w:r>
    </w:p>
    <w:p w14:paraId="0090DD79" w14:textId="3E7A3A41" w:rsidR="005311E0" w:rsidRPr="005311E0" w:rsidRDefault="005311E0" w:rsidP="005311E0">
      <w:pPr>
        <w:spacing w:line="360" w:lineRule="auto"/>
        <w:jc w:val="both"/>
        <w:rPr>
          <w:rFonts w:ascii="Arial" w:hAnsi="Arial" w:cs="Arial"/>
          <w:sz w:val="22"/>
          <w:szCs w:val="22"/>
        </w:rPr>
      </w:pPr>
      <w:r w:rsidRPr="005311E0">
        <w:rPr>
          <w:rFonts w:ascii="Arial" w:hAnsi="Arial" w:cs="Arial"/>
          <w:sz w:val="22"/>
          <w:szCs w:val="22"/>
        </w:rPr>
        <w:t>Andersen's Behavioural Model of Healthcare Utilisation (Andersen, 1968; Andersen, 1995) provides a framework for understanding why individuals use health services. The model identifies three determinants of utilisation: predisposing factors, including sociodemographic characteristics and beliefs; enabling factors, including resources and access barriers; and need factors, referring to perceived and assessed health requirements (Andersen, 1995).</w:t>
      </w:r>
    </w:p>
    <w:p w14:paraId="291DC595" w14:textId="508D1D3C" w:rsidR="0036298B" w:rsidRDefault="005311E0" w:rsidP="005311E0">
      <w:pPr>
        <w:spacing w:line="360" w:lineRule="auto"/>
        <w:jc w:val="both"/>
        <w:rPr>
          <w:rFonts w:ascii="Arial" w:hAnsi="Arial" w:cs="Arial"/>
          <w:sz w:val="22"/>
          <w:szCs w:val="22"/>
        </w:rPr>
      </w:pPr>
      <w:r w:rsidRPr="005311E0">
        <w:rPr>
          <w:rFonts w:ascii="Arial" w:hAnsi="Arial" w:cs="Arial"/>
          <w:sz w:val="22"/>
          <w:szCs w:val="22"/>
        </w:rPr>
        <w:t>Applied to this study, the model explains how deprivation influences healthcare pathways. Deprived populations often experience greater health need due to higher levels of chronic illness and multimorbidity while facing greater barriers to accessing primary care, including financial, geographical, and digital constraints. The interaction between high need and limited access may contribute to increased reliance on emergency services, making Andersen's model useful for examining how individual circumstances and structural factors shape ED utilisation (Andersen, 1995; Kontopantelis et al., 2021).</w:t>
      </w:r>
    </w:p>
    <w:p w14:paraId="44BEAA81" w14:textId="77777777" w:rsidR="005311E0" w:rsidRDefault="005311E0" w:rsidP="005311E0">
      <w:pPr>
        <w:spacing w:line="360" w:lineRule="auto"/>
        <w:jc w:val="both"/>
        <w:rPr>
          <w:rFonts w:ascii="Arial" w:hAnsi="Arial" w:cs="Arial"/>
        </w:rPr>
      </w:pPr>
    </w:p>
    <w:p w14:paraId="57553632" w14:textId="77777777" w:rsidR="00726081" w:rsidRDefault="00726081" w:rsidP="005311E0">
      <w:pPr>
        <w:spacing w:line="360" w:lineRule="auto"/>
        <w:jc w:val="both"/>
        <w:rPr>
          <w:rFonts w:ascii="Arial" w:hAnsi="Arial" w:cs="Arial"/>
        </w:rPr>
      </w:pPr>
    </w:p>
    <w:p w14:paraId="3AD35B35" w14:textId="77777777" w:rsidR="00726081" w:rsidRPr="00BE5BCF" w:rsidRDefault="00726081" w:rsidP="005311E0">
      <w:pPr>
        <w:spacing w:line="360" w:lineRule="auto"/>
        <w:jc w:val="both"/>
        <w:rPr>
          <w:rFonts w:ascii="Arial" w:hAnsi="Arial" w:cs="Arial"/>
        </w:rPr>
      </w:pPr>
    </w:p>
    <w:p w14:paraId="0C89F136" w14:textId="77777777" w:rsidR="00741B7A" w:rsidRPr="00312385" w:rsidRDefault="005D0DD9" w:rsidP="005D0DD9">
      <w:pPr>
        <w:spacing w:line="360" w:lineRule="auto"/>
        <w:jc w:val="both"/>
        <w:rPr>
          <w:rFonts w:ascii="Arial" w:hAnsi="Arial" w:cs="Arial"/>
          <w:b/>
          <w:bCs/>
          <w:sz w:val="22"/>
          <w:szCs w:val="22"/>
        </w:rPr>
      </w:pPr>
      <w:r w:rsidRPr="00312385">
        <w:rPr>
          <w:rFonts w:ascii="Arial" w:hAnsi="Arial" w:cs="Arial"/>
          <w:b/>
          <w:bCs/>
          <w:sz w:val="22"/>
          <w:szCs w:val="22"/>
        </w:rPr>
        <w:lastRenderedPageBreak/>
        <w:t>2.6.4 Reflexive Thematic Analysis as Epistemological Commitment</w:t>
      </w:r>
    </w:p>
    <w:p w14:paraId="73DC46C0" w14:textId="6A9C62DF" w:rsidR="005D0DD9" w:rsidRPr="00741B7A" w:rsidRDefault="005D0DD9" w:rsidP="005D0DD9">
      <w:pPr>
        <w:spacing w:line="360" w:lineRule="auto"/>
        <w:jc w:val="both"/>
        <w:rPr>
          <w:rFonts w:ascii="Arial" w:hAnsi="Arial" w:cs="Arial"/>
          <w:b/>
          <w:bCs/>
          <w:sz w:val="22"/>
          <w:szCs w:val="22"/>
        </w:rPr>
      </w:pPr>
      <w:r w:rsidRPr="005D0DD9">
        <w:rPr>
          <w:rFonts w:ascii="Arial" w:hAnsi="Arial" w:cs="Arial"/>
          <w:sz w:val="22"/>
          <w:szCs w:val="22"/>
        </w:rPr>
        <w:t>This dissertation’s theoretical framework is reflected in its methodological approach. Braun and Clarke’s (2006; 2019) reflexive thematic analysis views qualitative analysis as an interpretive process in which meaning is actively constructed through engagement between the researcher and the data, rather than simply extracted. This approach is particularly relevant for studying health inequalities because it recognises the influence of social context, researcher perspective, and the conditions through which experiences are understood.</w:t>
      </w:r>
    </w:p>
    <w:p w14:paraId="06D750F2" w14:textId="77777777" w:rsidR="005D0DD9" w:rsidRDefault="005D0DD9" w:rsidP="005D0DD9">
      <w:pPr>
        <w:spacing w:line="360" w:lineRule="auto"/>
        <w:jc w:val="both"/>
        <w:rPr>
          <w:rFonts w:ascii="Arial" w:hAnsi="Arial" w:cs="Arial"/>
          <w:sz w:val="22"/>
          <w:szCs w:val="22"/>
        </w:rPr>
      </w:pPr>
      <w:r w:rsidRPr="005D0DD9">
        <w:rPr>
          <w:rFonts w:ascii="Arial" w:hAnsi="Arial" w:cs="Arial"/>
          <w:sz w:val="22"/>
          <w:szCs w:val="22"/>
        </w:rPr>
        <w:t>The reflexive approach is especially important in secondary qualitative analysis, where existing data were generated within different research contexts and purposes (Ruggiano and Perry, 2019). It requires consideration of how data were produced, including the original questions, participant interactions, and analytical assumptions that may shape interpretation. This methodological position informs the analytical approach of this dissertation by supporting a critical examination of how deprived communities experience primary care access barriers and emergency healthcare utilisation (Ruggiano and Perry, 2019).</w:t>
      </w:r>
    </w:p>
    <w:p w14:paraId="333042F0" w14:textId="77777777" w:rsidR="00741B7A" w:rsidRPr="005D0DD9" w:rsidRDefault="00741B7A" w:rsidP="005D0DD9">
      <w:pPr>
        <w:spacing w:line="360" w:lineRule="auto"/>
        <w:jc w:val="both"/>
        <w:rPr>
          <w:rFonts w:ascii="Arial" w:hAnsi="Arial" w:cs="Arial"/>
          <w:sz w:val="22"/>
          <w:szCs w:val="22"/>
        </w:rPr>
      </w:pPr>
    </w:p>
    <w:p w14:paraId="65315BF5" w14:textId="77777777" w:rsidR="003E3BAB" w:rsidRPr="00741B7A" w:rsidRDefault="003E3BAB" w:rsidP="003E3BAB">
      <w:pPr>
        <w:spacing w:line="360" w:lineRule="auto"/>
        <w:jc w:val="both"/>
        <w:rPr>
          <w:rFonts w:ascii="Arial" w:hAnsi="Arial" w:cs="Arial"/>
          <w:b/>
          <w:bCs/>
        </w:rPr>
      </w:pPr>
      <w:r w:rsidRPr="00741B7A">
        <w:rPr>
          <w:rFonts w:ascii="Arial" w:hAnsi="Arial" w:cs="Arial"/>
          <w:b/>
          <w:bCs/>
        </w:rPr>
        <w:t>2.7 Positioning This Study</w:t>
      </w:r>
    </w:p>
    <w:p w14:paraId="23411354" w14:textId="275FCA28" w:rsidR="003E3BAB" w:rsidRPr="003E3BAB" w:rsidRDefault="003E3BAB" w:rsidP="003E3BAB">
      <w:pPr>
        <w:spacing w:line="360" w:lineRule="auto"/>
        <w:jc w:val="both"/>
        <w:rPr>
          <w:rFonts w:ascii="Arial" w:hAnsi="Arial" w:cs="Arial"/>
          <w:sz w:val="22"/>
          <w:szCs w:val="22"/>
        </w:rPr>
      </w:pPr>
      <w:r w:rsidRPr="003E3BAB">
        <w:rPr>
          <w:rFonts w:ascii="Arial" w:hAnsi="Arial" w:cs="Arial"/>
          <w:sz w:val="22"/>
          <w:szCs w:val="22"/>
        </w:rPr>
        <w:t xml:space="preserve">This study sits at the intersection of health inequalities, primary care access, and emergency department (ED) utilisation. While these areas are well established individually, limited qualitative research has examined how they interact within the post-pandemic </w:t>
      </w:r>
      <w:r w:rsidR="006F0C27">
        <w:rPr>
          <w:rFonts w:ascii="Arial" w:hAnsi="Arial" w:cs="Arial"/>
          <w:sz w:val="22"/>
          <w:szCs w:val="22"/>
        </w:rPr>
        <w:t>UK</w:t>
      </w:r>
      <w:r w:rsidRPr="003E3BAB">
        <w:rPr>
          <w:rFonts w:ascii="Arial" w:hAnsi="Arial" w:cs="Arial"/>
          <w:sz w:val="22"/>
          <w:szCs w:val="22"/>
        </w:rPr>
        <w:t xml:space="preserve"> context. This study addresses this gap by exploring how deprived communities experience primary care access barriers and how these experiences contribute to ED utilisation through secondary qualitative analysis of existing data.</w:t>
      </w:r>
    </w:p>
    <w:p w14:paraId="31A63E9E" w14:textId="1D932CB4" w:rsidR="003939AA" w:rsidRDefault="003E3BAB" w:rsidP="003E3BAB">
      <w:pPr>
        <w:spacing w:line="360" w:lineRule="auto"/>
        <w:jc w:val="both"/>
        <w:rPr>
          <w:rFonts w:ascii="Arial" w:hAnsi="Arial" w:cs="Arial"/>
          <w:sz w:val="22"/>
          <w:szCs w:val="22"/>
        </w:rPr>
      </w:pPr>
      <w:r w:rsidRPr="003E3BAB">
        <w:rPr>
          <w:rFonts w:ascii="Arial" w:hAnsi="Arial" w:cs="Arial"/>
          <w:sz w:val="22"/>
          <w:szCs w:val="22"/>
        </w:rPr>
        <w:t>The study is guided by the social determinants of health, the Inverse Care Law, and Andersen’s Behavioural Model of Healthcare Utilisation. Together, these frameworks provide structural and experiential perspectives on healthcare access while allowing themes to emerge inductively through qualitative analysis (Braun and Clarke, 2019). They support an understanding of ED attendance that considers both individual experiences and the wider inequalities shaping healthcare pathways.</w:t>
      </w:r>
    </w:p>
    <w:p w14:paraId="1636C49A" w14:textId="77777777" w:rsidR="00D525BE" w:rsidRDefault="00D525BE" w:rsidP="003E3BAB">
      <w:pPr>
        <w:spacing w:line="360" w:lineRule="auto"/>
        <w:jc w:val="both"/>
        <w:rPr>
          <w:rFonts w:ascii="Arial" w:hAnsi="Arial" w:cs="Arial"/>
          <w:sz w:val="22"/>
          <w:szCs w:val="22"/>
        </w:rPr>
      </w:pPr>
    </w:p>
    <w:p w14:paraId="41FE5DC8" w14:textId="77777777" w:rsidR="00D525BE" w:rsidRDefault="00D525BE" w:rsidP="003E3BAB">
      <w:pPr>
        <w:spacing w:line="360" w:lineRule="auto"/>
        <w:jc w:val="both"/>
        <w:rPr>
          <w:rFonts w:ascii="Arial" w:hAnsi="Arial" w:cs="Arial"/>
          <w:sz w:val="22"/>
          <w:szCs w:val="22"/>
        </w:rPr>
      </w:pPr>
    </w:p>
    <w:p w14:paraId="288B0941" w14:textId="77777777" w:rsidR="00726081" w:rsidRDefault="00726081" w:rsidP="003E3BAB">
      <w:pPr>
        <w:spacing w:line="360" w:lineRule="auto"/>
        <w:jc w:val="both"/>
        <w:rPr>
          <w:rFonts w:ascii="Arial" w:hAnsi="Arial" w:cs="Arial"/>
          <w:sz w:val="22"/>
          <w:szCs w:val="22"/>
        </w:rPr>
      </w:pPr>
    </w:p>
    <w:p w14:paraId="79509C13" w14:textId="77777777" w:rsidR="00726081" w:rsidRDefault="00726081" w:rsidP="003E3BAB">
      <w:pPr>
        <w:spacing w:line="360" w:lineRule="auto"/>
        <w:jc w:val="both"/>
        <w:rPr>
          <w:rFonts w:ascii="Arial" w:hAnsi="Arial" w:cs="Arial"/>
          <w:sz w:val="22"/>
          <w:szCs w:val="22"/>
        </w:rPr>
      </w:pPr>
    </w:p>
    <w:p w14:paraId="59C5B223" w14:textId="77777777" w:rsidR="00726081" w:rsidRDefault="00726081" w:rsidP="003E3BAB">
      <w:pPr>
        <w:spacing w:line="360" w:lineRule="auto"/>
        <w:jc w:val="both"/>
        <w:rPr>
          <w:rFonts w:ascii="Arial" w:hAnsi="Arial" w:cs="Arial"/>
          <w:sz w:val="22"/>
          <w:szCs w:val="22"/>
        </w:rPr>
      </w:pPr>
    </w:p>
    <w:p w14:paraId="67F8139A" w14:textId="77777777" w:rsidR="00726081" w:rsidRDefault="00726081" w:rsidP="003E3BAB">
      <w:pPr>
        <w:spacing w:line="360" w:lineRule="auto"/>
        <w:jc w:val="both"/>
        <w:rPr>
          <w:rFonts w:ascii="Arial" w:hAnsi="Arial" w:cs="Arial"/>
          <w:sz w:val="22"/>
          <w:szCs w:val="22"/>
        </w:rPr>
      </w:pPr>
    </w:p>
    <w:p w14:paraId="575C38D0" w14:textId="77777777" w:rsidR="00726081" w:rsidRDefault="00726081" w:rsidP="003E3BAB">
      <w:pPr>
        <w:spacing w:line="360" w:lineRule="auto"/>
        <w:jc w:val="both"/>
        <w:rPr>
          <w:rFonts w:ascii="Arial" w:hAnsi="Arial" w:cs="Arial"/>
          <w:sz w:val="22"/>
          <w:szCs w:val="22"/>
        </w:rPr>
      </w:pPr>
    </w:p>
    <w:p w14:paraId="29053445" w14:textId="5AEB436D" w:rsidR="00C91883" w:rsidRDefault="00C9165C" w:rsidP="00797846">
      <w:pPr>
        <w:pStyle w:val="NoSpacing"/>
        <w:numPr>
          <w:ilvl w:val="0"/>
          <w:numId w:val="23"/>
        </w:numPr>
        <w:rPr>
          <w:rFonts w:ascii="Arial" w:hAnsi="Arial" w:cs="Arial"/>
          <w:b/>
          <w:bCs/>
          <w:sz w:val="28"/>
          <w:szCs w:val="28"/>
        </w:rPr>
      </w:pPr>
      <w:bookmarkStart w:id="5" w:name="_Toc240714304"/>
      <w:r w:rsidRPr="00C91883">
        <w:rPr>
          <w:rFonts w:ascii="Arial" w:hAnsi="Arial" w:cs="Arial"/>
          <w:b/>
          <w:bCs/>
          <w:sz w:val="28"/>
          <w:szCs w:val="28"/>
        </w:rPr>
        <w:t>Research Methodology</w:t>
      </w:r>
      <w:bookmarkEnd w:id="5"/>
    </w:p>
    <w:p w14:paraId="5B86D559" w14:textId="77777777" w:rsidR="00797846" w:rsidRPr="00797846" w:rsidRDefault="00797846" w:rsidP="00797846">
      <w:pPr>
        <w:pStyle w:val="NoSpacing"/>
        <w:ind w:left="440"/>
        <w:rPr>
          <w:rFonts w:ascii="Arial" w:hAnsi="Arial" w:cs="Arial"/>
          <w:b/>
          <w:bCs/>
          <w:sz w:val="28"/>
          <w:szCs w:val="28"/>
        </w:rPr>
      </w:pPr>
    </w:p>
    <w:p w14:paraId="51E354D2" w14:textId="10AFF4E9" w:rsidR="00C9165C" w:rsidRPr="006A738E" w:rsidRDefault="006D325F" w:rsidP="00C9165C">
      <w:pPr>
        <w:spacing w:line="360" w:lineRule="auto"/>
        <w:jc w:val="both"/>
        <w:rPr>
          <w:rFonts w:ascii="Arial" w:hAnsi="Arial" w:cs="Arial"/>
          <w:b/>
          <w:bCs/>
        </w:rPr>
      </w:pPr>
      <w:r w:rsidRPr="006A738E">
        <w:rPr>
          <w:rFonts w:ascii="Arial" w:hAnsi="Arial" w:cs="Arial"/>
          <w:b/>
          <w:bCs/>
        </w:rPr>
        <w:t>3.1 Introduction</w:t>
      </w:r>
    </w:p>
    <w:p w14:paraId="305D6088" w14:textId="0F9F9E2A" w:rsidR="00C9165C" w:rsidRDefault="0079737E" w:rsidP="00C9165C">
      <w:pPr>
        <w:spacing w:line="360" w:lineRule="auto"/>
        <w:jc w:val="both"/>
        <w:rPr>
          <w:rFonts w:ascii="Arial" w:hAnsi="Arial" w:cs="Arial"/>
          <w:sz w:val="22"/>
          <w:szCs w:val="22"/>
        </w:rPr>
      </w:pPr>
      <w:r w:rsidRPr="0079737E">
        <w:rPr>
          <w:rFonts w:ascii="Arial" w:hAnsi="Arial" w:cs="Arial"/>
          <w:sz w:val="22"/>
          <w:szCs w:val="22"/>
        </w:rPr>
        <w:t xml:space="preserve">This chapter sets out the methodological approach adopted in this dissertation, providing a detailed account of the research design, data sources, data collection procedures, analytical framework, ethical considerations, and the key methodological challenges encountered and addressed. The chapter is structured to demonstrate not merely what was done </w:t>
      </w:r>
      <w:r w:rsidR="006D325F" w:rsidRPr="0079737E">
        <w:rPr>
          <w:rFonts w:ascii="Arial" w:hAnsi="Arial" w:cs="Arial"/>
          <w:sz w:val="22"/>
          <w:szCs w:val="22"/>
        </w:rPr>
        <w:t>but</w:t>
      </w:r>
      <w:r w:rsidR="006D325F">
        <w:rPr>
          <w:rFonts w:ascii="Arial" w:hAnsi="Arial" w:cs="Arial"/>
          <w:sz w:val="22"/>
          <w:szCs w:val="22"/>
        </w:rPr>
        <w:t xml:space="preserve"> </w:t>
      </w:r>
      <w:r w:rsidR="006D325F" w:rsidRPr="0079737E">
        <w:rPr>
          <w:rFonts w:ascii="Arial" w:hAnsi="Arial" w:cs="Arial"/>
          <w:sz w:val="22"/>
          <w:szCs w:val="22"/>
        </w:rPr>
        <w:t>why</w:t>
      </w:r>
      <w:r w:rsidRPr="0079737E">
        <w:rPr>
          <w:rFonts w:ascii="Arial" w:hAnsi="Arial" w:cs="Arial"/>
          <w:sz w:val="22"/>
          <w:szCs w:val="22"/>
        </w:rPr>
        <w:t xml:space="preserve"> each decision was taken, linking methodological choices to the research question, the nature of the phenomenon under investigation, and the epistemological commitments established in Chapter Two. As established in the literature review, the quantitative association between primary care access and emergency department (ED) utilisation in deprived communities is well evidenced. What remains </w:t>
      </w:r>
      <w:r w:rsidR="008F09CD" w:rsidRPr="0079737E">
        <w:rPr>
          <w:rFonts w:ascii="Arial" w:hAnsi="Arial" w:cs="Arial"/>
          <w:sz w:val="22"/>
          <w:szCs w:val="22"/>
        </w:rPr>
        <w:t>underexplored</w:t>
      </w:r>
      <w:r w:rsidRPr="0079737E">
        <w:rPr>
          <w:rFonts w:ascii="Arial" w:hAnsi="Arial" w:cs="Arial"/>
          <w:sz w:val="22"/>
          <w:szCs w:val="22"/>
        </w:rPr>
        <w:t xml:space="preserve"> are the mechanisms, experiential pathways, and structural processes through which that association operates. The methodological approach adopted here is designed specifically to address that gap.</w:t>
      </w:r>
    </w:p>
    <w:p w14:paraId="1D580E42" w14:textId="77777777" w:rsidR="00F22FD3" w:rsidRDefault="00F22FD3" w:rsidP="00C9165C">
      <w:pPr>
        <w:spacing w:line="360" w:lineRule="auto"/>
        <w:jc w:val="both"/>
        <w:rPr>
          <w:rFonts w:ascii="Arial" w:hAnsi="Arial" w:cs="Arial"/>
          <w:sz w:val="22"/>
          <w:szCs w:val="22"/>
        </w:rPr>
      </w:pPr>
    </w:p>
    <w:p w14:paraId="23F6F9F9" w14:textId="74595D6A" w:rsidR="006A738E" w:rsidRPr="006A738E" w:rsidRDefault="006D325F" w:rsidP="00C9165C">
      <w:pPr>
        <w:spacing w:line="360" w:lineRule="auto"/>
        <w:jc w:val="both"/>
        <w:rPr>
          <w:rFonts w:ascii="Arial" w:hAnsi="Arial" w:cs="Arial"/>
          <w:b/>
          <w:bCs/>
        </w:rPr>
      </w:pPr>
      <w:r w:rsidRPr="006A738E">
        <w:rPr>
          <w:rFonts w:ascii="Arial" w:hAnsi="Arial" w:cs="Arial"/>
          <w:b/>
          <w:bCs/>
        </w:rPr>
        <w:t>3.2 Research</w:t>
      </w:r>
      <w:r w:rsidR="00C9165C" w:rsidRPr="006A738E">
        <w:rPr>
          <w:rFonts w:ascii="Arial" w:hAnsi="Arial" w:cs="Arial"/>
          <w:b/>
          <w:bCs/>
        </w:rPr>
        <w:t xml:space="preserve"> Design</w:t>
      </w:r>
    </w:p>
    <w:p w14:paraId="788DD9D9" w14:textId="45B73E09" w:rsidR="002B6760" w:rsidRPr="007F1CFD" w:rsidRDefault="006D325F" w:rsidP="002B6760">
      <w:pPr>
        <w:spacing w:line="360" w:lineRule="auto"/>
        <w:jc w:val="both"/>
        <w:rPr>
          <w:rFonts w:ascii="Arial" w:hAnsi="Arial" w:cs="Arial"/>
          <w:b/>
          <w:bCs/>
          <w:sz w:val="22"/>
          <w:szCs w:val="22"/>
        </w:rPr>
      </w:pPr>
      <w:r w:rsidRPr="007F1CFD">
        <w:rPr>
          <w:rFonts w:ascii="Arial" w:hAnsi="Arial" w:cs="Arial"/>
          <w:b/>
          <w:bCs/>
          <w:sz w:val="22"/>
          <w:szCs w:val="22"/>
        </w:rPr>
        <w:t>3.2.1 Overall</w:t>
      </w:r>
      <w:r w:rsidR="002B6760" w:rsidRPr="007F1CFD">
        <w:rPr>
          <w:rFonts w:ascii="Arial" w:hAnsi="Arial" w:cs="Arial"/>
          <w:b/>
          <w:bCs/>
          <w:sz w:val="22"/>
          <w:szCs w:val="22"/>
        </w:rPr>
        <w:t xml:space="preserve"> Approach: Qualitative Secondary Data Analysis</w:t>
      </w:r>
      <w:r w:rsidR="00CA367F" w:rsidRPr="007F1CFD">
        <w:rPr>
          <w:rFonts w:ascii="Arial" w:hAnsi="Arial" w:cs="Arial"/>
          <w:b/>
          <w:bCs/>
          <w:sz w:val="22"/>
          <w:szCs w:val="22"/>
        </w:rPr>
        <w:t xml:space="preserve"> and Review</w:t>
      </w:r>
    </w:p>
    <w:p w14:paraId="38C5F281" w14:textId="7A29A573" w:rsidR="004767E8" w:rsidRDefault="004A5EA7" w:rsidP="002B6760">
      <w:pPr>
        <w:spacing w:line="360" w:lineRule="auto"/>
        <w:jc w:val="both"/>
        <w:rPr>
          <w:rFonts w:ascii="Arial" w:hAnsi="Arial" w:cs="Arial"/>
          <w:sz w:val="22"/>
          <w:szCs w:val="22"/>
        </w:rPr>
      </w:pPr>
      <w:r w:rsidRPr="004A5EA7">
        <w:rPr>
          <w:rFonts w:ascii="Arial" w:hAnsi="Arial" w:cs="Arial"/>
          <w:sz w:val="22"/>
          <w:szCs w:val="22"/>
        </w:rPr>
        <w:t xml:space="preserve">This study adopts </w:t>
      </w:r>
      <w:r w:rsidR="00B34DF8" w:rsidRPr="00B34DF8">
        <w:rPr>
          <w:rFonts w:ascii="Arial" w:hAnsi="Arial" w:cs="Arial"/>
          <w:sz w:val="22"/>
          <w:szCs w:val="22"/>
        </w:rPr>
        <w:t>a systematic review using mixed methods evidence</w:t>
      </w:r>
      <w:r w:rsidR="00A00744">
        <w:rPr>
          <w:rFonts w:ascii="Arial" w:hAnsi="Arial" w:cs="Arial"/>
          <w:sz w:val="22"/>
          <w:szCs w:val="22"/>
        </w:rPr>
        <w:t xml:space="preserve"> </w:t>
      </w:r>
      <w:r w:rsidRPr="004A5EA7">
        <w:rPr>
          <w:rFonts w:ascii="Arial" w:hAnsi="Arial" w:cs="Arial"/>
          <w:sz w:val="22"/>
          <w:szCs w:val="22"/>
        </w:rPr>
        <w:t>synthesis / integrative review, with qualitative thematic synthesis alongside quantitative evidence.</w:t>
      </w:r>
    </w:p>
    <w:p w14:paraId="3A73E39F" w14:textId="742D55E0" w:rsidR="006361F7" w:rsidRPr="002B6760" w:rsidRDefault="00E9206E" w:rsidP="002B6760">
      <w:pPr>
        <w:spacing w:line="360" w:lineRule="auto"/>
        <w:jc w:val="both"/>
        <w:rPr>
          <w:rFonts w:ascii="Arial" w:hAnsi="Arial" w:cs="Arial"/>
          <w:sz w:val="22"/>
          <w:szCs w:val="22"/>
        </w:rPr>
      </w:pPr>
      <w:r w:rsidRPr="00E9206E">
        <w:rPr>
          <w:rFonts w:ascii="Arial" w:hAnsi="Arial" w:cs="Arial"/>
          <w:sz w:val="22"/>
          <w:szCs w:val="22"/>
        </w:rPr>
        <w:t>This study undertook a</w:t>
      </w:r>
      <w:r>
        <w:rPr>
          <w:rFonts w:ascii="Arial" w:hAnsi="Arial" w:cs="Arial"/>
          <w:sz w:val="22"/>
          <w:szCs w:val="22"/>
        </w:rPr>
        <w:t>n</w:t>
      </w:r>
      <w:r w:rsidRPr="00E9206E">
        <w:rPr>
          <w:rFonts w:ascii="Arial" w:hAnsi="Arial" w:cs="Arial"/>
          <w:sz w:val="22"/>
          <w:szCs w:val="22"/>
        </w:rPr>
        <w:t xml:space="preserve"> evidence synthesis of findings reported in previously published research. The analysis focused on synthesising reported findings across studies rather than reanalysing original participant-level datasets </w:t>
      </w:r>
      <w:r w:rsidR="002B6760" w:rsidRPr="002B6760">
        <w:rPr>
          <w:rFonts w:ascii="Arial" w:hAnsi="Arial" w:cs="Arial"/>
          <w:sz w:val="22"/>
          <w:szCs w:val="22"/>
        </w:rPr>
        <w:t>(Ruggiano and Perry, 2019).</w:t>
      </w:r>
      <w:r w:rsidR="00AA6A56" w:rsidRPr="00AA6A56">
        <w:t xml:space="preserve"> </w:t>
      </w:r>
      <w:r w:rsidR="00AA6A56" w:rsidRPr="00AA6A56">
        <w:rPr>
          <w:rFonts w:ascii="Arial" w:hAnsi="Arial" w:cs="Arial"/>
          <w:sz w:val="22"/>
          <w:szCs w:val="22"/>
        </w:rPr>
        <w:t xml:space="preserve">The review included </w:t>
      </w:r>
      <w:r w:rsidR="00FB4BF9" w:rsidRPr="00AA6A56">
        <w:rPr>
          <w:rFonts w:ascii="Arial" w:hAnsi="Arial" w:cs="Arial"/>
          <w:sz w:val="22"/>
          <w:szCs w:val="22"/>
        </w:rPr>
        <w:t>fourteen</w:t>
      </w:r>
      <w:r w:rsidR="00AA6A56" w:rsidRPr="00AA6A56">
        <w:rPr>
          <w:rFonts w:ascii="Arial" w:hAnsi="Arial" w:cs="Arial"/>
          <w:sz w:val="22"/>
          <w:szCs w:val="22"/>
        </w:rPr>
        <w:t xml:space="preserve"> studies published between 201</w:t>
      </w:r>
      <w:r w:rsidR="005E6FE0">
        <w:rPr>
          <w:rFonts w:ascii="Arial" w:hAnsi="Arial" w:cs="Arial"/>
          <w:sz w:val="22"/>
          <w:szCs w:val="22"/>
        </w:rPr>
        <w:t>6</w:t>
      </w:r>
      <w:r w:rsidR="00AA6A56" w:rsidRPr="00AA6A56">
        <w:rPr>
          <w:rFonts w:ascii="Arial" w:hAnsi="Arial" w:cs="Arial"/>
          <w:sz w:val="22"/>
          <w:szCs w:val="22"/>
        </w:rPr>
        <w:t xml:space="preserve"> and 2026, comprising systematic reviews, scoping reviews, mixed-methods evaluations, retrospective cohort </w:t>
      </w:r>
      <w:r w:rsidR="00FB4BF9" w:rsidRPr="00AA6A56">
        <w:rPr>
          <w:rFonts w:ascii="Arial" w:hAnsi="Arial" w:cs="Arial"/>
          <w:sz w:val="22"/>
          <w:szCs w:val="22"/>
        </w:rPr>
        <w:t>studies,</w:t>
      </w:r>
      <w:r w:rsidR="00AA6A56" w:rsidRPr="00AA6A56">
        <w:rPr>
          <w:rFonts w:ascii="Arial" w:hAnsi="Arial" w:cs="Arial"/>
          <w:sz w:val="22"/>
          <w:szCs w:val="22"/>
        </w:rPr>
        <w:t xml:space="preserve"> and cross-sectional analyses.</w:t>
      </w:r>
      <w:r w:rsidR="00C435A6">
        <w:rPr>
          <w:rFonts w:ascii="Arial" w:hAnsi="Arial" w:cs="Arial"/>
          <w:sz w:val="22"/>
          <w:szCs w:val="22"/>
        </w:rPr>
        <w:t xml:space="preserve"> </w:t>
      </w:r>
      <w:r w:rsidR="00CB3F36" w:rsidRPr="00CB3F36">
        <w:rPr>
          <w:rFonts w:ascii="Arial" w:hAnsi="Arial" w:cs="Arial"/>
          <w:sz w:val="22"/>
          <w:szCs w:val="22"/>
        </w:rPr>
        <w:t>The selected studies were conducted in the UK, ensuring direct relevance to the NHS and the research aim of identifying system-level factors contributing to avoidable emergency department (ED) attendance.</w:t>
      </w:r>
      <w:r w:rsidR="00CB3F36">
        <w:rPr>
          <w:rFonts w:ascii="Arial" w:hAnsi="Arial" w:cs="Arial"/>
          <w:sz w:val="22"/>
          <w:szCs w:val="22"/>
        </w:rPr>
        <w:t xml:space="preserve"> </w:t>
      </w:r>
      <w:r w:rsidR="002B6760" w:rsidRPr="002B6760">
        <w:rPr>
          <w:rFonts w:ascii="Arial" w:hAnsi="Arial" w:cs="Arial"/>
          <w:sz w:val="22"/>
          <w:szCs w:val="22"/>
        </w:rPr>
        <w:t xml:space="preserve">The choice to adopt a qualitative rather than quantitative approach is justified on two grounds. </w:t>
      </w:r>
      <w:r w:rsidR="005F5AA0">
        <w:rPr>
          <w:rFonts w:ascii="Arial" w:hAnsi="Arial" w:cs="Arial"/>
          <w:sz w:val="22"/>
          <w:szCs w:val="22"/>
        </w:rPr>
        <w:t>F</w:t>
      </w:r>
      <w:r w:rsidR="005F5AA0" w:rsidRPr="005F5AA0">
        <w:rPr>
          <w:rFonts w:ascii="Arial" w:hAnsi="Arial" w:cs="Arial"/>
          <w:sz w:val="22"/>
          <w:szCs w:val="22"/>
        </w:rPr>
        <w:t>irstly</w:t>
      </w:r>
      <w:r w:rsidR="002B6760" w:rsidRPr="002B6760">
        <w:rPr>
          <w:rFonts w:ascii="Arial" w:hAnsi="Arial" w:cs="Arial"/>
          <w:sz w:val="22"/>
          <w:szCs w:val="22"/>
        </w:rPr>
        <w:t xml:space="preserve">, as the literature review demonstrates, the existing quantitative evidence base on this topic is already substantial. Cross-sectional analyses </w:t>
      </w:r>
      <w:r w:rsidR="009F7FB4">
        <w:rPr>
          <w:rFonts w:ascii="Arial" w:hAnsi="Arial" w:cs="Arial"/>
          <w:sz w:val="22"/>
          <w:szCs w:val="22"/>
        </w:rPr>
        <w:t xml:space="preserve">and </w:t>
      </w:r>
      <w:r w:rsidR="002B6760" w:rsidRPr="002B6760">
        <w:rPr>
          <w:rFonts w:ascii="Arial" w:hAnsi="Arial" w:cs="Arial"/>
          <w:sz w:val="22"/>
          <w:szCs w:val="22"/>
        </w:rPr>
        <w:t>retrospective cohort studies (Madia et al., 2025; Jones et al., 2024</w:t>
      </w:r>
      <w:r w:rsidR="003A6764">
        <w:rPr>
          <w:rFonts w:ascii="Arial" w:hAnsi="Arial" w:cs="Arial"/>
          <w:sz w:val="22"/>
          <w:szCs w:val="22"/>
        </w:rPr>
        <w:t xml:space="preserve">). </w:t>
      </w:r>
      <w:r w:rsidR="002B6760" w:rsidRPr="002B6760">
        <w:rPr>
          <w:rFonts w:ascii="Arial" w:hAnsi="Arial" w:cs="Arial"/>
          <w:sz w:val="22"/>
          <w:szCs w:val="22"/>
        </w:rPr>
        <w:t>The primary deficit in the evidence base is not more numbers but more explanation, an account of how and why these patterns operate at the level of patient experience, decision-making, and structural circumstance. Qualitative data is uniquely positioned to generate this explanatory depth (Braun and Clarke, 2019). S</w:t>
      </w:r>
      <w:r w:rsidR="008F2327" w:rsidRPr="008F2327">
        <w:rPr>
          <w:rFonts w:ascii="Arial" w:hAnsi="Arial" w:cs="Arial"/>
          <w:sz w:val="22"/>
          <w:szCs w:val="22"/>
        </w:rPr>
        <w:t>econdly</w:t>
      </w:r>
      <w:r w:rsidR="002B6760" w:rsidRPr="002B6760">
        <w:rPr>
          <w:rFonts w:ascii="Arial" w:hAnsi="Arial" w:cs="Arial"/>
          <w:sz w:val="22"/>
          <w:szCs w:val="22"/>
        </w:rPr>
        <w:t xml:space="preserve">, a qualitative approach </w:t>
      </w:r>
      <w:r w:rsidR="002B6760" w:rsidRPr="002B6760">
        <w:rPr>
          <w:rFonts w:ascii="Arial" w:hAnsi="Arial" w:cs="Arial"/>
          <w:sz w:val="22"/>
          <w:szCs w:val="22"/>
        </w:rPr>
        <w:lastRenderedPageBreak/>
        <w:t xml:space="preserve">enables engagement with the voices and perspectives of patients in deprived communities, the population group most affected by the phenomenon under investigation and most underrepresented in the peer-reviewed quantitative literature </w:t>
      </w:r>
      <w:r w:rsidR="006D325F" w:rsidRPr="002B6760">
        <w:rPr>
          <w:rFonts w:ascii="Arial" w:hAnsi="Arial" w:cs="Arial"/>
          <w:sz w:val="22"/>
          <w:szCs w:val="22"/>
        </w:rPr>
        <w:t>(Parkinson</w:t>
      </w:r>
      <w:r w:rsidR="002B6760" w:rsidRPr="002B6760">
        <w:rPr>
          <w:rFonts w:ascii="Arial" w:hAnsi="Arial" w:cs="Arial"/>
          <w:sz w:val="22"/>
          <w:szCs w:val="22"/>
        </w:rPr>
        <w:t xml:space="preserve"> et al., 2021).</w:t>
      </w:r>
    </w:p>
    <w:p w14:paraId="0937C239" w14:textId="28B85BBE" w:rsidR="00A90F5E" w:rsidRPr="00A90F5E" w:rsidRDefault="00A90F5E" w:rsidP="00A90F5E">
      <w:pPr>
        <w:spacing w:line="360" w:lineRule="auto"/>
        <w:jc w:val="both"/>
        <w:rPr>
          <w:rFonts w:ascii="Arial" w:hAnsi="Arial" w:cs="Arial"/>
          <w:sz w:val="22"/>
          <w:szCs w:val="22"/>
        </w:rPr>
      </w:pPr>
      <w:r w:rsidRPr="00A90F5E">
        <w:rPr>
          <w:rFonts w:ascii="Arial" w:hAnsi="Arial" w:cs="Arial"/>
          <w:sz w:val="22"/>
          <w:szCs w:val="22"/>
        </w:rPr>
        <w:t xml:space="preserve">A systematic review provides a transparent and rigorous approach to identifying, </w:t>
      </w:r>
      <w:r w:rsidR="00FB4BF9" w:rsidRPr="00A90F5E">
        <w:rPr>
          <w:rFonts w:ascii="Arial" w:hAnsi="Arial" w:cs="Arial"/>
          <w:sz w:val="22"/>
          <w:szCs w:val="22"/>
        </w:rPr>
        <w:t>appraising,</w:t>
      </w:r>
      <w:r w:rsidRPr="00A90F5E">
        <w:rPr>
          <w:rFonts w:ascii="Arial" w:hAnsi="Arial" w:cs="Arial"/>
          <w:sz w:val="22"/>
          <w:szCs w:val="22"/>
        </w:rPr>
        <w:t xml:space="preserve"> and synthesising existing evidence. The use of pre-specified eligibility criteria and explicit, systematic methods can help minimise selection bias, while transparent reporting enables readers to assess methodological rigour and facilitates verification and reproducibility of the review process (Higgins et al., 2024).</w:t>
      </w:r>
    </w:p>
    <w:p w14:paraId="402B7BC9" w14:textId="0436D508" w:rsidR="00A90F5E" w:rsidRPr="00A90F5E" w:rsidRDefault="00A90F5E" w:rsidP="00A90F5E">
      <w:pPr>
        <w:spacing w:line="360" w:lineRule="auto"/>
        <w:jc w:val="both"/>
        <w:rPr>
          <w:rFonts w:ascii="Arial" w:hAnsi="Arial" w:cs="Arial"/>
          <w:sz w:val="22"/>
          <w:szCs w:val="22"/>
        </w:rPr>
      </w:pPr>
      <w:r w:rsidRPr="00A90F5E">
        <w:rPr>
          <w:rFonts w:ascii="Arial" w:hAnsi="Arial" w:cs="Arial"/>
          <w:sz w:val="22"/>
          <w:szCs w:val="22"/>
        </w:rPr>
        <w:t>A qualitative approach was selected because, although quantitative research has consistently identified associations between socioeconomic deprivation, morbidity and emergency department (ED) utilisation, the specific contribution of primary care access remains less clear. Scantlebury et al. (2015) found that socioeconomic deprivation was the strongest predictor of A&amp;E attendance, while primary care variables that were potentially amenable to change made only a small contribution to explaining variation in attendance. Similarly, Hull et al. (2018) found that multimorbidity was the strongest clinical predictor of ED attendance and that patient-reported access to primary care was not a significant predictor after adjustment for other factors. More recent evidence continues to demonstrate higher ED attendance among people living in more deprived areas, although associations with GP use appear more complex than a simple relationship between poor access and increased ED utilisation. Jones et al. (2024), for example, found higher ED attendance among people living in more deprived areas and among individuals with more long-term conditions, while each additional GP appointment was also associated with increased ED attendance. In addition, previous systematic-review evidence regarding interventions to improve primary care access and reduce A&amp;E attendance has been described as limited and mixed.</w:t>
      </w:r>
    </w:p>
    <w:p w14:paraId="2135A251" w14:textId="27C4975A" w:rsidR="00090F21" w:rsidRDefault="00A90F5E" w:rsidP="00A90F5E">
      <w:pPr>
        <w:spacing w:line="360" w:lineRule="auto"/>
        <w:jc w:val="both"/>
        <w:rPr>
          <w:rFonts w:ascii="Arial" w:hAnsi="Arial" w:cs="Arial"/>
          <w:sz w:val="22"/>
          <w:szCs w:val="22"/>
        </w:rPr>
      </w:pPr>
      <w:r w:rsidRPr="00A90F5E">
        <w:rPr>
          <w:rFonts w:ascii="Arial" w:hAnsi="Arial" w:cs="Arial"/>
          <w:sz w:val="22"/>
          <w:szCs w:val="22"/>
        </w:rPr>
        <w:t>Consequently, there remains a need to explore the mechanisms underlying ED utilisation, including patients’ experiences of accessing primary care, their decision-making and help-seeking processes, and the structural and contextual barriers that may shape these decisions. A</w:t>
      </w:r>
      <w:r w:rsidR="000F727E">
        <w:rPr>
          <w:rFonts w:ascii="Arial" w:hAnsi="Arial" w:cs="Arial"/>
          <w:sz w:val="22"/>
          <w:szCs w:val="22"/>
        </w:rPr>
        <w:t xml:space="preserve"> </w:t>
      </w:r>
      <w:r w:rsidRPr="00A90F5E">
        <w:rPr>
          <w:rFonts w:ascii="Arial" w:hAnsi="Arial" w:cs="Arial"/>
          <w:sz w:val="22"/>
          <w:szCs w:val="22"/>
        </w:rPr>
        <w:t>systematic review is therefore appropriate because it can synthesise experiential evidence and provide a deeper understanding of how patients interpret and respond to barriers within primary and emergency care pathways. Ruggiano and Perry (2019) demonstrate the value of systematically analysing qualitative evidence while emphasising the importance of methodological rigour when conducting secondary qualitative analysis. Reflexive thematic analysis provides an appropriate approach for developing patterns of meaning across qualitative evidence and is consistent with Braun and Clarke’s (2019) methodological framework.</w:t>
      </w:r>
    </w:p>
    <w:p w14:paraId="26E062A9" w14:textId="77777777" w:rsidR="001C544F" w:rsidRPr="00BC6959" w:rsidRDefault="001C544F" w:rsidP="005263E5">
      <w:pPr>
        <w:spacing w:line="360" w:lineRule="auto"/>
        <w:jc w:val="both"/>
        <w:rPr>
          <w:rFonts w:ascii="Arial" w:hAnsi="Arial" w:cs="Arial"/>
        </w:rPr>
      </w:pPr>
    </w:p>
    <w:p w14:paraId="13AFF41A" w14:textId="4CBBA2E1" w:rsidR="003B7FA4" w:rsidRPr="007F1CFD" w:rsidRDefault="0002604B" w:rsidP="003B7FA4">
      <w:pPr>
        <w:spacing w:line="360" w:lineRule="auto"/>
        <w:jc w:val="both"/>
        <w:rPr>
          <w:rFonts w:ascii="Arial" w:hAnsi="Arial" w:cs="Arial"/>
          <w:b/>
          <w:bCs/>
          <w:sz w:val="22"/>
          <w:szCs w:val="22"/>
        </w:rPr>
      </w:pPr>
      <w:r w:rsidRPr="007F1CFD">
        <w:rPr>
          <w:rFonts w:ascii="Arial" w:hAnsi="Arial" w:cs="Arial"/>
          <w:b/>
          <w:bCs/>
          <w:sz w:val="22"/>
          <w:szCs w:val="22"/>
        </w:rPr>
        <w:t>3.2.</w:t>
      </w:r>
      <w:r w:rsidR="00927359" w:rsidRPr="007F1CFD">
        <w:rPr>
          <w:rFonts w:ascii="Arial" w:hAnsi="Arial" w:cs="Arial"/>
          <w:b/>
          <w:bCs/>
          <w:sz w:val="22"/>
          <w:szCs w:val="22"/>
        </w:rPr>
        <w:t>2</w:t>
      </w:r>
      <w:r w:rsidRPr="007F1CFD">
        <w:rPr>
          <w:rFonts w:ascii="Arial" w:hAnsi="Arial" w:cs="Arial"/>
          <w:b/>
          <w:bCs/>
          <w:sz w:val="22"/>
          <w:szCs w:val="22"/>
        </w:rPr>
        <w:t xml:space="preserve"> </w:t>
      </w:r>
      <w:r w:rsidR="003B7FA4" w:rsidRPr="007F1CFD">
        <w:rPr>
          <w:rFonts w:ascii="Arial" w:hAnsi="Arial" w:cs="Arial"/>
          <w:b/>
          <w:bCs/>
          <w:sz w:val="22"/>
          <w:szCs w:val="22"/>
        </w:rPr>
        <w:t>Search Strategy</w:t>
      </w:r>
    </w:p>
    <w:p w14:paraId="18964EA6" w14:textId="7E08DE4E" w:rsidR="00633BB4" w:rsidRPr="00633BB4" w:rsidRDefault="00633BB4" w:rsidP="00633BB4">
      <w:pPr>
        <w:spacing w:line="360" w:lineRule="auto"/>
        <w:jc w:val="both"/>
        <w:rPr>
          <w:rFonts w:ascii="Arial" w:hAnsi="Arial" w:cs="Arial"/>
          <w:sz w:val="22"/>
          <w:szCs w:val="22"/>
        </w:rPr>
      </w:pPr>
      <w:r w:rsidRPr="00633BB4">
        <w:rPr>
          <w:rFonts w:ascii="Arial" w:hAnsi="Arial" w:cs="Arial"/>
          <w:sz w:val="22"/>
          <w:szCs w:val="22"/>
        </w:rPr>
        <w:t xml:space="preserve">This systematic review was conducted in accordance with the Preferred Reporting Items for Systematic Reviews and Meta-Analyses (PRISMA) 2020 guidelines, which provide an internationally recognised framework for the transparent reporting of systematic reviews. A PRISMA flow diagram was used to document the identification, screening, eligibility </w:t>
      </w:r>
      <w:r w:rsidR="00FB4BF9" w:rsidRPr="00633BB4">
        <w:rPr>
          <w:rFonts w:ascii="Arial" w:hAnsi="Arial" w:cs="Arial"/>
          <w:sz w:val="22"/>
          <w:szCs w:val="22"/>
        </w:rPr>
        <w:t>assessment,</w:t>
      </w:r>
      <w:r w:rsidRPr="00633BB4">
        <w:rPr>
          <w:rFonts w:ascii="Arial" w:hAnsi="Arial" w:cs="Arial"/>
          <w:sz w:val="22"/>
          <w:szCs w:val="22"/>
        </w:rPr>
        <w:t xml:space="preserve"> and inclusion of studies. The review protocol specified the research question, eligibility criteria, search strategy, data extraction procedures, quality </w:t>
      </w:r>
      <w:r w:rsidR="00FB4BF9" w:rsidRPr="00633BB4">
        <w:rPr>
          <w:rFonts w:ascii="Arial" w:hAnsi="Arial" w:cs="Arial"/>
          <w:sz w:val="22"/>
          <w:szCs w:val="22"/>
        </w:rPr>
        <w:t>appraisal,</w:t>
      </w:r>
      <w:r w:rsidRPr="00633BB4">
        <w:rPr>
          <w:rFonts w:ascii="Arial" w:hAnsi="Arial" w:cs="Arial"/>
          <w:sz w:val="22"/>
          <w:szCs w:val="22"/>
        </w:rPr>
        <w:t xml:space="preserve"> and methods of synthesis in advance, supporting methodological transparency, </w:t>
      </w:r>
      <w:r w:rsidR="00C065D5" w:rsidRPr="00633BB4">
        <w:rPr>
          <w:rFonts w:ascii="Arial" w:hAnsi="Arial" w:cs="Arial"/>
          <w:sz w:val="22"/>
          <w:szCs w:val="22"/>
        </w:rPr>
        <w:t>reproducibility,</w:t>
      </w:r>
      <w:r w:rsidRPr="00633BB4">
        <w:rPr>
          <w:rFonts w:ascii="Arial" w:hAnsi="Arial" w:cs="Arial"/>
          <w:sz w:val="22"/>
          <w:szCs w:val="22"/>
        </w:rPr>
        <w:t xml:space="preserve"> and the reduction of potential selection bias. </w:t>
      </w:r>
    </w:p>
    <w:p w14:paraId="7F4AD835" w14:textId="6874D310" w:rsidR="00783278" w:rsidRDefault="00633BB4" w:rsidP="00633BB4">
      <w:pPr>
        <w:spacing w:line="360" w:lineRule="auto"/>
        <w:jc w:val="both"/>
        <w:rPr>
          <w:rFonts w:ascii="Arial" w:hAnsi="Arial" w:cs="Arial"/>
          <w:sz w:val="22"/>
          <w:szCs w:val="22"/>
        </w:rPr>
      </w:pPr>
      <w:r w:rsidRPr="00633BB4">
        <w:rPr>
          <w:rFonts w:ascii="Arial" w:hAnsi="Arial" w:cs="Arial"/>
          <w:sz w:val="22"/>
          <w:szCs w:val="22"/>
        </w:rPr>
        <w:t xml:space="preserve">Literature searches were conducted in PubMed/MEDLINE, Embase and CINAHL to identify qualitative evidence relating to primary care access, emergency department (ED) </w:t>
      </w:r>
      <w:r w:rsidR="00C065D5" w:rsidRPr="00633BB4">
        <w:rPr>
          <w:rFonts w:ascii="Arial" w:hAnsi="Arial" w:cs="Arial"/>
          <w:sz w:val="22"/>
          <w:szCs w:val="22"/>
        </w:rPr>
        <w:t>utilisation,</w:t>
      </w:r>
      <w:r w:rsidRPr="00633BB4">
        <w:rPr>
          <w:rFonts w:ascii="Arial" w:hAnsi="Arial" w:cs="Arial"/>
          <w:sz w:val="22"/>
          <w:szCs w:val="22"/>
        </w:rPr>
        <w:t xml:space="preserve"> and socioeconomic deprivation in </w:t>
      </w:r>
      <w:r w:rsidR="00906DEE">
        <w:rPr>
          <w:rFonts w:ascii="Arial" w:hAnsi="Arial" w:cs="Arial"/>
          <w:sz w:val="22"/>
          <w:szCs w:val="22"/>
        </w:rPr>
        <w:t>the UK</w:t>
      </w:r>
      <w:r w:rsidRPr="00633BB4">
        <w:rPr>
          <w:rFonts w:ascii="Arial" w:hAnsi="Arial" w:cs="Arial"/>
          <w:sz w:val="22"/>
          <w:szCs w:val="22"/>
        </w:rPr>
        <w:t>. The search covered studies published between 201</w:t>
      </w:r>
      <w:r w:rsidR="00D64200">
        <w:rPr>
          <w:rFonts w:ascii="Arial" w:hAnsi="Arial" w:cs="Arial"/>
          <w:sz w:val="22"/>
          <w:szCs w:val="22"/>
        </w:rPr>
        <w:t>6</w:t>
      </w:r>
      <w:r w:rsidRPr="00633BB4">
        <w:rPr>
          <w:rFonts w:ascii="Arial" w:hAnsi="Arial" w:cs="Arial"/>
          <w:sz w:val="22"/>
          <w:szCs w:val="22"/>
        </w:rPr>
        <w:t xml:space="preserve"> and 2026. Search terms were developed from the main concepts of the research question and included combinations of keywords and subject headings relating to primary care access (e.g., “primary care”, “general practice”, “GP access”, “appointment availability”, “waiting time”), emergency department utilisation (e.g., “emergency department”, “emergency room”, “A&amp;E”, “accident and emergency”, “ED attendance”, “emergency care”), and socioeconomic deprivation (e.g., “deprivation”, “socioeconomic deprivation”, “disadvantaged”, “health inequalities”). Synonyms within each concept were combined using OR, while the main concepts were combined using AND, consistent with systematic-search guidance.</w:t>
      </w:r>
    </w:p>
    <w:p w14:paraId="7F38293F" w14:textId="444BEF33" w:rsidR="00551490" w:rsidRPr="00905740" w:rsidRDefault="00905740" w:rsidP="00905740">
      <w:pPr>
        <w:spacing w:line="360" w:lineRule="auto"/>
        <w:jc w:val="both"/>
        <w:rPr>
          <w:rFonts w:ascii="Arial" w:hAnsi="Arial" w:cs="Arial"/>
          <w:sz w:val="22"/>
          <w:szCs w:val="22"/>
        </w:rPr>
      </w:pPr>
      <w:r w:rsidRPr="00905740">
        <w:rPr>
          <w:rFonts w:ascii="Arial" w:hAnsi="Arial" w:cs="Arial"/>
          <w:sz w:val="22"/>
          <w:szCs w:val="22"/>
        </w:rPr>
        <w:t xml:space="preserve">This study utilised PubMed because it indexes high-quality, peer-reviewed biomedical and health services research. PubMed was selected for its comprehensive coverage of studies relevant to emergency care, primary care access, health </w:t>
      </w:r>
      <w:r w:rsidR="00C065D5" w:rsidRPr="00905740">
        <w:rPr>
          <w:rFonts w:ascii="Arial" w:hAnsi="Arial" w:cs="Arial"/>
          <w:sz w:val="22"/>
          <w:szCs w:val="22"/>
        </w:rPr>
        <w:t>inequalities,</w:t>
      </w:r>
      <w:r w:rsidRPr="00905740">
        <w:rPr>
          <w:rFonts w:ascii="Arial" w:hAnsi="Arial" w:cs="Arial"/>
          <w:sz w:val="22"/>
          <w:szCs w:val="22"/>
        </w:rPr>
        <w:t xml:space="preserve"> and healthcare utilisation.</w:t>
      </w:r>
      <w:r w:rsidR="00AA6A56">
        <w:rPr>
          <w:rFonts w:ascii="Arial" w:hAnsi="Arial" w:cs="Arial"/>
          <w:sz w:val="22"/>
          <w:szCs w:val="22"/>
        </w:rPr>
        <w:t xml:space="preserve"> </w:t>
      </w:r>
      <w:r w:rsidRPr="00905740">
        <w:rPr>
          <w:rFonts w:ascii="Arial" w:hAnsi="Arial" w:cs="Arial"/>
          <w:sz w:val="22"/>
          <w:szCs w:val="22"/>
        </w:rPr>
        <w:t xml:space="preserve">Rather than examining individual patient behaviour in isolation, the included evidence explored structural determinants such as access to general practice, socioeconomic deprivation, service availability, primary care </w:t>
      </w:r>
      <w:r w:rsidR="00C065D5" w:rsidRPr="00905740">
        <w:rPr>
          <w:rFonts w:ascii="Arial" w:hAnsi="Arial" w:cs="Arial"/>
          <w:sz w:val="22"/>
          <w:szCs w:val="22"/>
        </w:rPr>
        <w:t>quality,</w:t>
      </w:r>
      <w:r w:rsidRPr="00905740">
        <w:rPr>
          <w:rFonts w:ascii="Arial" w:hAnsi="Arial" w:cs="Arial"/>
          <w:sz w:val="22"/>
          <w:szCs w:val="22"/>
        </w:rPr>
        <w:t xml:space="preserve"> and funding. </w:t>
      </w:r>
      <w:r w:rsidR="006008BB">
        <w:rPr>
          <w:rFonts w:ascii="Arial" w:hAnsi="Arial" w:cs="Arial"/>
          <w:sz w:val="22"/>
          <w:szCs w:val="22"/>
        </w:rPr>
        <w:t>The</w:t>
      </w:r>
      <w:r w:rsidRPr="00905740">
        <w:rPr>
          <w:rFonts w:ascii="Arial" w:hAnsi="Arial" w:cs="Arial"/>
          <w:sz w:val="22"/>
          <w:szCs w:val="22"/>
        </w:rPr>
        <w:t xml:space="preserve"> studies analysed large national datasets, including the General Practice Patient Survey, NHS Digital records and linked primary and secondary care databases, providing robust evidence of patterns in healthcare utilisation.</w:t>
      </w:r>
    </w:p>
    <w:p w14:paraId="5B5A51C8" w14:textId="14535999" w:rsidR="00E30537" w:rsidRDefault="00905740" w:rsidP="00905740">
      <w:pPr>
        <w:spacing w:line="360" w:lineRule="auto"/>
        <w:jc w:val="both"/>
        <w:rPr>
          <w:rFonts w:ascii="Arial" w:hAnsi="Arial" w:cs="Arial"/>
          <w:sz w:val="22"/>
          <w:szCs w:val="22"/>
        </w:rPr>
      </w:pPr>
      <w:r w:rsidRPr="00905740">
        <w:rPr>
          <w:rFonts w:ascii="Arial" w:hAnsi="Arial" w:cs="Arial"/>
          <w:sz w:val="22"/>
          <w:szCs w:val="22"/>
        </w:rPr>
        <w:t xml:space="preserve">Critically, the evidence consistently suggests that increasing ED demand reflects weaknesses within the wider healthcare system. Studies demonstrated that poorer access to general practice, lower primary care funding, geographical </w:t>
      </w:r>
      <w:r w:rsidR="00C065D5" w:rsidRPr="00905740">
        <w:rPr>
          <w:rFonts w:ascii="Arial" w:hAnsi="Arial" w:cs="Arial"/>
          <w:sz w:val="22"/>
          <w:szCs w:val="22"/>
        </w:rPr>
        <w:t>barriers,</w:t>
      </w:r>
      <w:r w:rsidRPr="00905740">
        <w:rPr>
          <w:rFonts w:ascii="Arial" w:hAnsi="Arial" w:cs="Arial"/>
          <w:sz w:val="22"/>
          <w:szCs w:val="22"/>
        </w:rPr>
        <w:t xml:space="preserve"> and socioeconomic deprivation are associated with higher rates of avoidable ED attendance</w:t>
      </w:r>
      <w:r w:rsidR="00C04BDB">
        <w:rPr>
          <w:rFonts w:ascii="Arial" w:hAnsi="Arial" w:cs="Arial"/>
          <w:sz w:val="22"/>
          <w:szCs w:val="22"/>
        </w:rPr>
        <w:t xml:space="preserve"> </w:t>
      </w:r>
      <w:r w:rsidR="00D47E2D" w:rsidRPr="00D47E2D">
        <w:rPr>
          <w:rFonts w:ascii="Arial" w:hAnsi="Arial" w:cs="Arial"/>
          <w:sz w:val="22"/>
          <w:szCs w:val="22"/>
        </w:rPr>
        <w:t>(Powell et al., 2019).</w:t>
      </w:r>
      <w:r w:rsidR="00C04BDB">
        <w:rPr>
          <w:rFonts w:ascii="Arial" w:hAnsi="Arial" w:cs="Arial"/>
          <w:sz w:val="22"/>
          <w:szCs w:val="22"/>
        </w:rPr>
        <w:t xml:space="preserve"> </w:t>
      </w:r>
      <w:r w:rsidRPr="00905740">
        <w:rPr>
          <w:rFonts w:ascii="Arial" w:hAnsi="Arial" w:cs="Arial"/>
          <w:sz w:val="22"/>
          <w:szCs w:val="22"/>
        </w:rPr>
        <w:t xml:space="preserve">Although intervention studies evaluating extended opening hours and GP services within EDs reported benefits, systematic </w:t>
      </w:r>
      <w:r w:rsidRPr="00905740">
        <w:rPr>
          <w:rFonts w:ascii="Arial" w:hAnsi="Arial" w:cs="Arial"/>
          <w:sz w:val="22"/>
          <w:szCs w:val="22"/>
        </w:rPr>
        <w:lastRenderedPageBreak/>
        <w:t>reviews found limited evidence of sustained reductions in ED demand</w:t>
      </w:r>
      <w:r w:rsidR="00AC77FD">
        <w:rPr>
          <w:rFonts w:ascii="Arial" w:hAnsi="Arial" w:cs="Arial"/>
          <w:sz w:val="22"/>
          <w:szCs w:val="22"/>
        </w:rPr>
        <w:t xml:space="preserve"> </w:t>
      </w:r>
      <w:r w:rsidR="00AC77FD" w:rsidRPr="00AC77FD">
        <w:rPr>
          <w:rFonts w:ascii="Arial" w:hAnsi="Arial" w:cs="Arial"/>
          <w:sz w:val="22"/>
          <w:szCs w:val="22"/>
        </w:rPr>
        <w:t>(Hong et al., 2020).</w:t>
      </w:r>
      <w:r w:rsidR="00C04BDB">
        <w:rPr>
          <w:rFonts w:ascii="Arial" w:hAnsi="Arial" w:cs="Arial"/>
          <w:sz w:val="22"/>
          <w:szCs w:val="22"/>
        </w:rPr>
        <w:t xml:space="preserve"> </w:t>
      </w:r>
      <w:r w:rsidRPr="00905740">
        <w:rPr>
          <w:rFonts w:ascii="Arial" w:hAnsi="Arial" w:cs="Arial"/>
          <w:sz w:val="22"/>
          <w:szCs w:val="22"/>
        </w:rPr>
        <w:t>This indicates that isolated service interventions are insufficient without addressing the underlying inequalities and accessibility barriers affecting deprived communities. Consequently, the selected PubMed studies provide an appropriate evidence base for identifying system failures in primary care and for informing recommendations to improve access, reduce health inequalities, and alleviate pressure on emergency departments.</w:t>
      </w:r>
    </w:p>
    <w:p w14:paraId="2EAFD8DB" w14:textId="77777777" w:rsidR="00E30537" w:rsidRDefault="00E30537" w:rsidP="003E2F3F">
      <w:pPr>
        <w:spacing w:line="360" w:lineRule="auto"/>
        <w:jc w:val="both"/>
        <w:rPr>
          <w:rFonts w:ascii="Arial" w:hAnsi="Arial" w:cs="Arial"/>
          <w:sz w:val="22"/>
          <w:szCs w:val="22"/>
        </w:rPr>
      </w:pPr>
    </w:p>
    <w:p w14:paraId="53153305" w14:textId="16D87B6A" w:rsidR="00875447" w:rsidRPr="007F1CFD" w:rsidRDefault="006D325F" w:rsidP="006E2E19">
      <w:pPr>
        <w:spacing w:line="360" w:lineRule="auto"/>
        <w:jc w:val="both"/>
        <w:rPr>
          <w:rFonts w:ascii="Arial" w:hAnsi="Arial" w:cs="Arial"/>
          <w:b/>
          <w:bCs/>
          <w:sz w:val="22"/>
          <w:szCs w:val="22"/>
        </w:rPr>
      </w:pPr>
      <w:r w:rsidRPr="007F1CFD">
        <w:rPr>
          <w:rFonts w:ascii="Arial" w:hAnsi="Arial" w:cs="Arial"/>
          <w:b/>
          <w:bCs/>
          <w:sz w:val="22"/>
          <w:szCs w:val="22"/>
        </w:rPr>
        <w:t>3.2.3 Eligibility</w:t>
      </w:r>
      <w:r w:rsidR="007C776F" w:rsidRPr="007F1CFD">
        <w:rPr>
          <w:rFonts w:ascii="Arial" w:hAnsi="Arial" w:cs="Arial"/>
          <w:b/>
          <w:bCs/>
          <w:sz w:val="22"/>
          <w:szCs w:val="22"/>
        </w:rPr>
        <w:t xml:space="preserve"> Criteria</w:t>
      </w:r>
    </w:p>
    <w:p w14:paraId="17C5550A" w14:textId="2F6865C6" w:rsidR="006E2E19" w:rsidRDefault="006E2E19" w:rsidP="006E2E19">
      <w:pPr>
        <w:spacing w:line="360" w:lineRule="auto"/>
        <w:jc w:val="both"/>
        <w:rPr>
          <w:rFonts w:ascii="Arial" w:hAnsi="Arial" w:cs="Arial"/>
          <w:sz w:val="22"/>
          <w:szCs w:val="22"/>
        </w:rPr>
      </w:pPr>
      <w:r w:rsidRPr="00564DA7">
        <w:rPr>
          <w:rFonts w:ascii="Arial" w:hAnsi="Arial" w:cs="Arial"/>
          <w:sz w:val="22"/>
          <w:szCs w:val="22"/>
        </w:rPr>
        <w:t>Eligibility criteria were established in advance to ensure that study selection was consistent with the research question and to reduce the potential for selection bias.</w:t>
      </w:r>
    </w:p>
    <w:p w14:paraId="019D1006" w14:textId="0BC67901" w:rsidR="00CF34CC" w:rsidRDefault="00CF34CC" w:rsidP="006E2E19">
      <w:pPr>
        <w:spacing w:line="360" w:lineRule="auto"/>
        <w:jc w:val="both"/>
        <w:rPr>
          <w:rFonts w:ascii="Arial" w:hAnsi="Arial" w:cs="Arial"/>
          <w:sz w:val="22"/>
          <w:szCs w:val="22"/>
        </w:rPr>
      </w:pPr>
    </w:p>
    <w:p w14:paraId="655472F9" w14:textId="77777777" w:rsidR="00E16027" w:rsidRPr="00564DA7" w:rsidRDefault="00E16027" w:rsidP="006E2E19">
      <w:pPr>
        <w:spacing w:line="360" w:lineRule="auto"/>
        <w:jc w:val="both"/>
        <w:rPr>
          <w:rFonts w:ascii="Arial" w:hAnsi="Arial" w:cs="Arial"/>
          <w:sz w:val="22"/>
          <w:szCs w:val="22"/>
        </w:rPr>
      </w:pPr>
    </w:p>
    <w:p w14:paraId="085C1623" w14:textId="77777777" w:rsidR="006E2E19" w:rsidRPr="00875447" w:rsidRDefault="006E2E19" w:rsidP="006E2E19">
      <w:pPr>
        <w:spacing w:line="360" w:lineRule="auto"/>
        <w:jc w:val="both"/>
        <w:rPr>
          <w:rFonts w:ascii="Arial" w:hAnsi="Arial" w:cs="Arial"/>
          <w:b/>
          <w:bCs/>
          <w:sz w:val="22"/>
          <w:szCs w:val="22"/>
        </w:rPr>
      </w:pPr>
      <w:r w:rsidRPr="00875447">
        <w:rPr>
          <w:rFonts w:ascii="Arial" w:hAnsi="Arial" w:cs="Arial"/>
          <w:b/>
          <w:bCs/>
          <w:sz w:val="22"/>
          <w:szCs w:val="22"/>
        </w:rPr>
        <w:t>Inclusion criteria</w:t>
      </w:r>
    </w:p>
    <w:p w14:paraId="4FC9E45A" w14:textId="77777777" w:rsidR="006E2E19" w:rsidRPr="00564DA7" w:rsidRDefault="006E2E19" w:rsidP="006E2E19">
      <w:pPr>
        <w:spacing w:line="360" w:lineRule="auto"/>
        <w:jc w:val="both"/>
        <w:rPr>
          <w:rFonts w:ascii="Arial" w:hAnsi="Arial" w:cs="Arial"/>
          <w:sz w:val="22"/>
          <w:szCs w:val="22"/>
        </w:rPr>
      </w:pPr>
      <w:r w:rsidRPr="00564DA7">
        <w:rPr>
          <w:rFonts w:ascii="Arial" w:hAnsi="Arial" w:cs="Arial"/>
          <w:sz w:val="22"/>
          <w:szCs w:val="22"/>
        </w:rPr>
        <w:t>Studies were included where they:</w:t>
      </w:r>
    </w:p>
    <w:p w14:paraId="0F4A2DE9" w14:textId="4C8C177F" w:rsidR="006E2E19" w:rsidRPr="00564DA7" w:rsidRDefault="006E2E19" w:rsidP="006E2E19">
      <w:pPr>
        <w:numPr>
          <w:ilvl w:val="0"/>
          <w:numId w:val="8"/>
        </w:numPr>
        <w:spacing w:line="360" w:lineRule="auto"/>
        <w:jc w:val="both"/>
        <w:rPr>
          <w:rFonts w:ascii="Arial" w:hAnsi="Arial" w:cs="Arial"/>
          <w:sz w:val="22"/>
          <w:szCs w:val="22"/>
        </w:rPr>
      </w:pPr>
      <w:r w:rsidRPr="00564DA7">
        <w:rPr>
          <w:rFonts w:ascii="Arial" w:hAnsi="Arial" w:cs="Arial"/>
          <w:sz w:val="22"/>
          <w:szCs w:val="22"/>
        </w:rPr>
        <w:t xml:space="preserve">were peer-reviewed journal </w:t>
      </w:r>
      <w:r w:rsidR="00F33ECF" w:rsidRPr="00564DA7">
        <w:rPr>
          <w:rFonts w:ascii="Arial" w:hAnsi="Arial" w:cs="Arial"/>
          <w:sz w:val="22"/>
          <w:szCs w:val="22"/>
        </w:rPr>
        <w:t>articles.</w:t>
      </w:r>
    </w:p>
    <w:p w14:paraId="2BCFF5A0" w14:textId="6398B84C" w:rsidR="006E2E19" w:rsidRPr="00564DA7" w:rsidRDefault="006E2E19" w:rsidP="006E2E19">
      <w:pPr>
        <w:numPr>
          <w:ilvl w:val="0"/>
          <w:numId w:val="8"/>
        </w:numPr>
        <w:spacing w:line="360" w:lineRule="auto"/>
        <w:jc w:val="both"/>
        <w:rPr>
          <w:rFonts w:ascii="Arial" w:hAnsi="Arial" w:cs="Arial"/>
          <w:sz w:val="22"/>
          <w:szCs w:val="22"/>
        </w:rPr>
      </w:pPr>
      <w:r w:rsidRPr="00564DA7">
        <w:rPr>
          <w:rFonts w:ascii="Arial" w:hAnsi="Arial" w:cs="Arial"/>
          <w:sz w:val="22"/>
          <w:szCs w:val="22"/>
        </w:rPr>
        <w:t>were published between 201</w:t>
      </w:r>
      <w:r w:rsidR="008E0BB2">
        <w:rPr>
          <w:rFonts w:ascii="Arial" w:hAnsi="Arial" w:cs="Arial"/>
          <w:sz w:val="22"/>
          <w:szCs w:val="22"/>
        </w:rPr>
        <w:t>6</w:t>
      </w:r>
      <w:r w:rsidRPr="00564DA7">
        <w:rPr>
          <w:rFonts w:ascii="Arial" w:hAnsi="Arial" w:cs="Arial"/>
          <w:sz w:val="22"/>
          <w:szCs w:val="22"/>
        </w:rPr>
        <w:t xml:space="preserve"> and </w:t>
      </w:r>
      <w:r w:rsidR="00F33ECF" w:rsidRPr="00564DA7">
        <w:rPr>
          <w:rFonts w:ascii="Arial" w:hAnsi="Arial" w:cs="Arial"/>
          <w:sz w:val="22"/>
          <w:szCs w:val="22"/>
        </w:rPr>
        <w:t>2026.</w:t>
      </w:r>
    </w:p>
    <w:p w14:paraId="640EB485" w14:textId="4A0208B0" w:rsidR="006E2E19" w:rsidRPr="00564DA7" w:rsidRDefault="006E2E19" w:rsidP="006E2E19">
      <w:pPr>
        <w:numPr>
          <w:ilvl w:val="0"/>
          <w:numId w:val="8"/>
        </w:numPr>
        <w:spacing w:line="360" w:lineRule="auto"/>
        <w:jc w:val="both"/>
        <w:rPr>
          <w:rFonts w:ascii="Arial" w:hAnsi="Arial" w:cs="Arial"/>
          <w:sz w:val="22"/>
          <w:szCs w:val="22"/>
        </w:rPr>
      </w:pPr>
      <w:r w:rsidRPr="00564DA7">
        <w:rPr>
          <w:rFonts w:ascii="Arial" w:hAnsi="Arial" w:cs="Arial"/>
          <w:sz w:val="22"/>
          <w:szCs w:val="22"/>
        </w:rPr>
        <w:t xml:space="preserve">were conducted in </w:t>
      </w:r>
      <w:r w:rsidR="003234D3">
        <w:rPr>
          <w:rFonts w:ascii="Arial" w:hAnsi="Arial" w:cs="Arial"/>
          <w:sz w:val="22"/>
          <w:szCs w:val="22"/>
        </w:rPr>
        <w:t>the UK</w:t>
      </w:r>
      <w:r w:rsidRPr="00564DA7">
        <w:rPr>
          <w:rFonts w:ascii="Arial" w:hAnsi="Arial" w:cs="Arial"/>
          <w:sz w:val="22"/>
          <w:szCs w:val="22"/>
        </w:rPr>
        <w:t xml:space="preserve"> or focused specifically on the </w:t>
      </w:r>
      <w:r w:rsidR="00706483">
        <w:rPr>
          <w:rFonts w:ascii="Arial" w:hAnsi="Arial" w:cs="Arial"/>
          <w:sz w:val="22"/>
          <w:szCs w:val="22"/>
        </w:rPr>
        <w:t>UK</w:t>
      </w:r>
      <w:r w:rsidRPr="00564DA7">
        <w:rPr>
          <w:rFonts w:ascii="Arial" w:hAnsi="Arial" w:cs="Arial"/>
          <w:sz w:val="22"/>
          <w:szCs w:val="22"/>
        </w:rPr>
        <w:t xml:space="preserve"> NHS </w:t>
      </w:r>
      <w:r w:rsidR="00F33ECF" w:rsidRPr="00564DA7">
        <w:rPr>
          <w:rFonts w:ascii="Arial" w:hAnsi="Arial" w:cs="Arial"/>
          <w:sz w:val="22"/>
          <w:szCs w:val="22"/>
        </w:rPr>
        <w:t>context.</w:t>
      </w:r>
    </w:p>
    <w:p w14:paraId="23303167" w14:textId="5C38B9CB" w:rsidR="006E2E19" w:rsidRPr="00564DA7" w:rsidRDefault="006E2E19" w:rsidP="006E2E19">
      <w:pPr>
        <w:numPr>
          <w:ilvl w:val="0"/>
          <w:numId w:val="8"/>
        </w:numPr>
        <w:spacing w:line="360" w:lineRule="auto"/>
        <w:jc w:val="both"/>
        <w:rPr>
          <w:rFonts w:ascii="Arial" w:hAnsi="Arial" w:cs="Arial"/>
          <w:sz w:val="22"/>
          <w:szCs w:val="22"/>
        </w:rPr>
      </w:pPr>
      <w:r w:rsidRPr="00564DA7">
        <w:rPr>
          <w:rFonts w:ascii="Arial" w:hAnsi="Arial" w:cs="Arial"/>
          <w:sz w:val="22"/>
          <w:szCs w:val="22"/>
        </w:rPr>
        <w:t xml:space="preserve">examined access to primary care/general practice and/or emergency department (ED) </w:t>
      </w:r>
      <w:r w:rsidR="00F33ECF" w:rsidRPr="00564DA7">
        <w:rPr>
          <w:rFonts w:ascii="Arial" w:hAnsi="Arial" w:cs="Arial"/>
          <w:sz w:val="22"/>
          <w:szCs w:val="22"/>
        </w:rPr>
        <w:t>utilisation.</w:t>
      </w:r>
    </w:p>
    <w:p w14:paraId="0AE40327" w14:textId="39BE358E" w:rsidR="006E2E19" w:rsidRPr="00564DA7" w:rsidRDefault="006E2E19" w:rsidP="006E2E19">
      <w:pPr>
        <w:numPr>
          <w:ilvl w:val="0"/>
          <w:numId w:val="8"/>
        </w:numPr>
        <w:spacing w:line="360" w:lineRule="auto"/>
        <w:jc w:val="both"/>
        <w:rPr>
          <w:rFonts w:ascii="Arial" w:hAnsi="Arial" w:cs="Arial"/>
          <w:sz w:val="22"/>
          <w:szCs w:val="22"/>
        </w:rPr>
      </w:pPr>
      <w:r w:rsidRPr="00564DA7">
        <w:rPr>
          <w:rFonts w:ascii="Arial" w:hAnsi="Arial" w:cs="Arial"/>
          <w:sz w:val="22"/>
          <w:szCs w:val="22"/>
        </w:rPr>
        <w:t xml:space="preserve">used a qualitative research design or included a clearly identifiable qualitative </w:t>
      </w:r>
      <w:r w:rsidR="00F33ECF" w:rsidRPr="00564DA7">
        <w:rPr>
          <w:rFonts w:ascii="Arial" w:hAnsi="Arial" w:cs="Arial"/>
          <w:sz w:val="22"/>
          <w:szCs w:val="22"/>
        </w:rPr>
        <w:t>component.</w:t>
      </w:r>
    </w:p>
    <w:p w14:paraId="6859B4A0" w14:textId="575D3033" w:rsidR="006E2E19" w:rsidRPr="00564DA7" w:rsidRDefault="006E2E19" w:rsidP="006E2E19">
      <w:pPr>
        <w:numPr>
          <w:ilvl w:val="0"/>
          <w:numId w:val="8"/>
        </w:numPr>
        <w:spacing w:line="360" w:lineRule="auto"/>
        <w:jc w:val="both"/>
        <w:rPr>
          <w:rFonts w:ascii="Arial" w:hAnsi="Arial" w:cs="Arial"/>
          <w:sz w:val="22"/>
          <w:szCs w:val="22"/>
        </w:rPr>
      </w:pPr>
      <w:r w:rsidRPr="00564DA7">
        <w:rPr>
          <w:rFonts w:ascii="Arial" w:hAnsi="Arial" w:cs="Arial"/>
          <w:sz w:val="22"/>
          <w:szCs w:val="22"/>
        </w:rPr>
        <w:t xml:space="preserve">presented primary qualitative data, such as patient or healthcare professional interviews, focus groups, observations, or other reported perspectives relevant to the research </w:t>
      </w:r>
      <w:r w:rsidR="00F33ECF" w:rsidRPr="00564DA7">
        <w:rPr>
          <w:rFonts w:ascii="Arial" w:hAnsi="Arial" w:cs="Arial"/>
          <w:sz w:val="22"/>
          <w:szCs w:val="22"/>
        </w:rPr>
        <w:t>question.</w:t>
      </w:r>
    </w:p>
    <w:p w14:paraId="51130D3A" w14:textId="1E79BB51" w:rsidR="005D5563" w:rsidRDefault="006254F9" w:rsidP="00CC0741">
      <w:pPr>
        <w:pStyle w:val="ListParagraph"/>
        <w:numPr>
          <w:ilvl w:val="0"/>
          <w:numId w:val="20"/>
        </w:numPr>
        <w:spacing w:line="360" w:lineRule="auto"/>
        <w:jc w:val="both"/>
        <w:rPr>
          <w:rFonts w:ascii="Arial" w:hAnsi="Arial" w:cs="Arial"/>
          <w:sz w:val="22"/>
          <w:szCs w:val="22"/>
        </w:rPr>
      </w:pPr>
      <w:r w:rsidRPr="00CC0741">
        <w:rPr>
          <w:rFonts w:ascii="Arial" w:hAnsi="Arial" w:cs="Arial"/>
          <w:sz w:val="22"/>
          <w:szCs w:val="22"/>
        </w:rPr>
        <w:t>included patients, healthcare professionals or services operating within socioeconomically deprived communities or populations in the UK; provided sufficient methodological, contextual detail to enable data extraction and qualitative synthesis.</w:t>
      </w:r>
    </w:p>
    <w:p w14:paraId="6E850903" w14:textId="77777777" w:rsidR="00CC0741" w:rsidRDefault="00CC0741" w:rsidP="003E320E">
      <w:pPr>
        <w:pStyle w:val="ListParagraph"/>
        <w:spacing w:line="360" w:lineRule="auto"/>
        <w:ind w:left="720"/>
        <w:jc w:val="both"/>
        <w:rPr>
          <w:rFonts w:ascii="Arial" w:hAnsi="Arial" w:cs="Arial"/>
          <w:sz w:val="22"/>
          <w:szCs w:val="22"/>
        </w:rPr>
      </w:pPr>
    </w:p>
    <w:p w14:paraId="742F45BE" w14:textId="77777777" w:rsidR="003E320E" w:rsidRPr="00CC0741" w:rsidRDefault="003E320E" w:rsidP="003E320E">
      <w:pPr>
        <w:pStyle w:val="ListParagraph"/>
        <w:spacing w:line="360" w:lineRule="auto"/>
        <w:ind w:left="720"/>
        <w:jc w:val="both"/>
        <w:rPr>
          <w:rFonts w:ascii="Arial" w:hAnsi="Arial" w:cs="Arial"/>
          <w:sz w:val="22"/>
          <w:szCs w:val="22"/>
        </w:rPr>
      </w:pPr>
    </w:p>
    <w:p w14:paraId="4888817D" w14:textId="77777777" w:rsidR="006E2E19" w:rsidRPr="005D5563" w:rsidRDefault="006E2E19" w:rsidP="006E2E19">
      <w:pPr>
        <w:spacing w:line="360" w:lineRule="auto"/>
        <w:jc w:val="both"/>
        <w:rPr>
          <w:rFonts w:ascii="Arial" w:hAnsi="Arial" w:cs="Arial"/>
          <w:b/>
          <w:bCs/>
          <w:sz w:val="22"/>
          <w:szCs w:val="22"/>
        </w:rPr>
      </w:pPr>
      <w:r w:rsidRPr="005D5563">
        <w:rPr>
          <w:rFonts w:ascii="Arial" w:hAnsi="Arial" w:cs="Arial"/>
          <w:b/>
          <w:bCs/>
          <w:sz w:val="22"/>
          <w:szCs w:val="22"/>
        </w:rPr>
        <w:t>Exclusion criteria</w:t>
      </w:r>
    </w:p>
    <w:p w14:paraId="37DC62F7" w14:textId="77777777" w:rsidR="006E2E19" w:rsidRPr="00564DA7" w:rsidRDefault="006E2E19" w:rsidP="006E2E19">
      <w:pPr>
        <w:spacing w:line="360" w:lineRule="auto"/>
        <w:jc w:val="both"/>
        <w:rPr>
          <w:rFonts w:ascii="Arial" w:hAnsi="Arial" w:cs="Arial"/>
          <w:sz w:val="22"/>
          <w:szCs w:val="22"/>
        </w:rPr>
      </w:pPr>
      <w:r w:rsidRPr="00564DA7">
        <w:rPr>
          <w:rFonts w:ascii="Arial" w:hAnsi="Arial" w:cs="Arial"/>
          <w:sz w:val="22"/>
          <w:szCs w:val="22"/>
        </w:rPr>
        <w:t>Studies were excluded where they:</w:t>
      </w:r>
    </w:p>
    <w:p w14:paraId="1CCD6D4F" w14:textId="06EE3862" w:rsidR="006E2E19" w:rsidRPr="00564DA7" w:rsidRDefault="006E2E19" w:rsidP="006E2E19">
      <w:pPr>
        <w:numPr>
          <w:ilvl w:val="0"/>
          <w:numId w:val="9"/>
        </w:numPr>
        <w:spacing w:line="360" w:lineRule="auto"/>
        <w:jc w:val="both"/>
        <w:rPr>
          <w:rFonts w:ascii="Arial" w:hAnsi="Arial" w:cs="Arial"/>
          <w:sz w:val="22"/>
          <w:szCs w:val="22"/>
        </w:rPr>
      </w:pPr>
      <w:r w:rsidRPr="00564DA7">
        <w:rPr>
          <w:rFonts w:ascii="Arial" w:hAnsi="Arial" w:cs="Arial"/>
          <w:sz w:val="22"/>
          <w:szCs w:val="22"/>
        </w:rPr>
        <w:t xml:space="preserve"> not peer-reviewed journal articles, including editorials, opinion pieces, conference </w:t>
      </w:r>
      <w:r w:rsidR="00C11B75">
        <w:rPr>
          <w:rFonts w:ascii="Arial" w:hAnsi="Arial" w:cs="Arial"/>
          <w:sz w:val="22"/>
          <w:szCs w:val="22"/>
        </w:rPr>
        <w:t xml:space="preserve">    </w:t>
      </w:r>
      <w:r w:rsidRPr="00564DA7">
        <w:rPr>
          <w:rFonts w:ascii="Arial" w:hAnsi="Arial" w:cs="Arial"/>
          <w:sz w:val="22"/>
          <w:szCs w:val="22"/>
        </w:rPr>
        <w:t xml:space="preserve">abstracts, </w:t>
      </w:r>
      <w:r w:rsidR="00C065D5" w:rsidRPr="00564DA7">
        <w:rPr>
          <w:rFonts w:ascii="Arial" w:hAnsi="Arial" w:cs="Arial"/>
          <w:sz w:val="22"/>
          <w:szCs w:val="22"/>
        </w:rPr>
        <w:t>commentaries,</w:t>
      </w:r>
      <w:r w:rsidRPr="00564DA7">
        <w:rPr>
          <w:rFonts w:ascii="Arial" w:hAnsi="Arial" w:cs="Arial"/>
          <w:sz w:val="22"/>
          <w:szCs w:val="22"/>
        </w:rPr>
        <w:t xml:space="preserve"> and other non-peer-reviewed </w:t>
      </w:r>
      <w:r w:rsidR="00F33ECF" w:rsidRPr="00564DA7">
        <w:rPr>
          <w:rFonts w:ascii="Arial" w:hAnsi="Arial" w:cs="Arial"/>
          <w:sz w:val="22"/>
          <w:szCs w:val="22"/>
        </w:rPr>
        <w:t>publications.</w:t>
      </w:r>
    </w:p>
    <w:p w14:paraId="0FE71F6F" w14:textId="7DF49F90" w:rsidR="006E2E19" w:rsidRPr="00564DA7" w:rsidRDefault="006E2E19" w:rsidP="006E2E19">
      <w:pPr>
        <w:numPr>
          <w:ilvl w:val="0"/>
          <w:numId w:val="9"/>
        </w:numPr>
        <w:spacing w:line="360" w:lineRule="auto"/>
        <w:jc w:val="both"/>
        <w:rPr>
          <w:rFonts w:ascii="Arial" w:hAnsi="Arial" w:cs="Arial"/>
          <w:sz w:val="22"/>
          <w:szCs w:val="22"/>
        </w:rPr>
      </w:pPr>
      <w:r w:rsidRPr="00564DA7">
        <w:rPr>
          <w:rFonts w:ascii="Arial" w:hAnsi="Arial" w:cs="Arial"/>
          <w:sz w:val="22"/>
          <w:szCs w:val="22"/>
        </w:rPr>
        <w:t>were published before 201</w:t>
      </w:r>
      <w:r w:rsidR="00612A9C">
        <w:rPr>
          <w:rFonts w:ascii="Arial" w:hAnsi="Arial" w:cs="Arial"/>
          <w:sz w:val="22"/>
          <w:szCs w:val="22"/>
        </w:rPr>
        <w:t>6</w:t>
      </w:r>
      <w:r w:rsidRPr="00564DA7">
        <w:rPr>
          <w:rFonts w:ascii="Arial" w:hAnsi="Arial" w:cs="Arial"/>
          <w:sz w:val="22"/>
          <w:szCs w:val="22"/>
        </w:rPr>
        <w:t xml:space="preserve"> or after </w:t>
      </w:r>
      <w:r w:rsidR="00F33ECF" w:rsidRPr="00564DA7">
        <w:rPr>
          <w:rFonts w:ascii="Arial" w:hAnsi="Arial" w:cs="Arial"/>
          <w:sz w:val="22"/>
          <w:szCs w:val="22"/>
        </w:rPr>
        <w:t>2026.</w:t>
      </w:r>
    </w:p>
    <w:p w14:paraId="0D19B5AD" w14:textId="3FF5FAE4" w:rsidR="006E2E19" w:rsidRPr="00564DA7" w:rsidRDefault="00405697" w:rsidP="006E2E19">
      <w:pPr>
        <w:numPr>
          <w:ilvl w:val="0"/>
          <w:numId w:val="9"/>
        </w:numPr>
        <w:spacing w:line="360" w:lineRule="auto"/>
        <w:jc w:val="both"/>
        <w:rPr>
          <w:rFonts w:ascii="Arial" w:hAnsi="Arial" w:cs="Arial"/>
          <w:sz w:val="22"/>
          <w:szCs w:val="22"/>
        </w:rPr>
      </w:pPr>
      <w:r w:rsidRPr="00405697">
        <w:rPr>
          <w:rFonts w:ascii="Arial" w:hAnsi="Arial" w:cs="Arial"/>
          <w:sz w:val="22"/>
          <w:szCs w:val="22"/>
        </w:rPr>
        <w:lastRenderedPageBreak/>
        <w:t xml:space="preserve">were conducted outside the UK, where findings could not </w:t>
      </w:r>
      <w:r w:rsidR="008F09CD" w:rsidRPr="00405697">
        <w:rPr>
          <w:rFonts w:ascii="Arial" w:hAnsi="Arial" w:cs="Arial"/>
          <w:sz w:val="22"/>
          <w:szCs w:val="22"/>
        </w:rPr>
        <w:t>be</w:t>
      </w:r>
      <w:r w:rsidRPr="00405697">
        <w:rPr>
          <w:rFonts w:ascii="Arial" w:hAnsi="Arial" w:cs="Arial"/>
          <w:sz w:val="22"/>
          <w:szCs w:val="22"/>
        </w:rPr>
        <w:t xml:space="preserve"> transferred to the UK NHS context;</w:t>
      </w:r>
      <w:r w:rsidR="003566C3">
        <w:rPr>
          <w:rFonts w:ascii="Arial" w:hAnsi="Arial" w:cs="Arial"/>
          <w:sz w:val="22"/>
          <w:szCs w:val="22"/>
        </w:rPr>
        <w:t xml:space="preserve"> </w:t>
      </w:r>
      <w:r w:rsidR="006E2E19" w:rsidRPr="00564DA7">
        <w:rPr>
          <w:rFonts w:ascii="Arial" w:hAnsi="Arial" w:cs="Arial"/>
          <w:sz w:val="22"/>
          <w:szCs w:val="22"/>
        </w:rPr>
        <w:t xml:space="preserve">focused exclusively on private healthcare </w:t>
      </w:r>
      <w:r w:rsidR="00F33ECF" w:rsidRPr="00564DA7">
        <w:rPr>
          <w:rFonts w:ascii="Arial" w:hAnsi="Arial" w:cs="Arial"/>
          <w:sz w:val="22"/>
          <w:szCs w:val="22"/>
        </w:rPr>
        <w:t>settings.</w:t>
      </w:r>
    </w:p>
    <w:p w14:paraId="2E5B6958" w14:textId="16FEF48C" w:rsidR="006E2E19" w:rsidRPr="00564DA7" w:rsidRDefault="006E2E19" w:rsidP="006E2E19">
      <w:pPr>
        <w:numPr>
          <w:ilvl w:val="0"/>
          <w:numId w:val="9"/>
        </w:numPr>
        <w:spacing w:line="360" w:lineRule="auto"/>
        <w:jc w:val="both"/>
        <w:rPr>
          <w:rFonts w:ascii="Arial" w:hAnsi="Arial" w:cs="Arial"/>
          <w:sz w:val="22"/>
          <w:szCs w:val="22"/>
        </w:rPr>
      </w:pPr>
      <w:r w:rsidRPr="00564DA7">
        <w:rPr>
          <w:rFonts w:ascii="Arial" w:hAnsi="Arial" w:cs="Arial"/>
          <w:sz w:val="22"/>
          <w:szCs w:val="22"/>
        </w:rPr>
        <w:t xml:space="preserve">contained quantitative data only and no relevant qualitative </w:t>
      </w:r>
      <w:r w:rsidR="00F33ECF" w:rsidRPr="00564DA7">
        <w:rPr>
          <w:rFonts w:ascii="Arial" w:hAnsi="Arial" w:cs="Arial"/>
          <w:sz w:val="22"/>
          <w:szCs w:val="22"/>
        </w:rPr>
        <w:t>evidence.</w:t>
      </w:r>
    </w:p>
    <w:p w14:paraId="03E510FE" w14:textId="6B9F42D1" w:rsidR="006E2E19" w:rsidRPr="00564DA7" w:rsidRDefault="006E2E19" w:rsidP="006E2E19">
      <w:pPr>
        <w:numPr>
          <w:ilvl w:val="0"/>
          <w:numId w:val="9"/>
        </w:numPr>
        <w:spacing w:line="360" w:lineRule="auto"/>
        <w:jc w:val="both"/>
        <w:rPr>
          <w:rFonts w:ascii="Arial" w:hAnsi="Arial" w:cs="Arial"/>
          <w:sz w:val="22"/>
          <w:szCs w:val="22"/>
        </w:rPr>
      </w:pPr>
      <w:r w:rsidRPr="00564DA7">
        <w:rPr>
          <w:rFonts w:ascii="Arial" w:hAnsi="Arial" w:cs="Arial"/>
          <w:sz w:val="22"/>
          <w:szCs w:val="22"/>
        </w:rPr>
        <w:t xml:space="preserve">examined conditions, services or healthcare settings that were not relevant to primary care access, ED </w:t>
      </w:r>
      <w:r w:rsidR="00C065D5" w:rsidRPr="00564DA7">
        <w:rPr>
          <w:rFonts w:ascii="Arial" w:hAnsi="Arial" w:cs="Arial"/>
          <w:sz w:val="22"/>
          <w:szCs w:val="22"/>
        </w:rPr>
        <w:t>utilisation,</w:t>
      </w:r>
      <w:r w:rsidRPr="00564DA7">
        <w:rPr>
          <w:rFonts w:ascii="Arial" w:hAnsi="Arial" w:cs="Arial"/>
          <w:sz w:val="22"/>
          <w:szCs w:val="22"/>
        </w:rPr>
        <w:t xml:space="preserve"> or the research </w:t>
      </w:r>
      <w:r w:rsidR="00F33ECF" w:rsidRPr="00564DA7">
        <w:rPr>
          <w:rFonts w:ascii="Arial" w:hAnsi="Arial" w:cs="Arial"/>
          <w:sz w:val="22"/>
          <w:szCs w:val="22"/>
        </w:rPr>
        <w:t>question.</w:t>
      </w:r>
    </w:p>
    <w:p w14:paraId="1E4D7FEB" w14:textId="60518D57" w:rsidR="006E2E19" w:rsidRPr="003566C3" w:rsidRDefault="006E2E19" w:rsidP="003566C3">
      <w:pPr>
        <w:numPr>
          <w:ilvl w:val="0"/>
          <w:numId w:val="9"/>
        </w:numPr>
        <w:spacing w:line="360" w:lineRule="auto"/>
        <w:jc w:val="both"/>
        <w:rPr>
          <w:rFonts w:ascii="Arial" w:hAnsi="Arial" w:cs="Arial"/>
          <w:sz w:val="22"/>
          <w:szCs w:val="22"/>
        </w:rPr>
      </w:pPr>
      <w:r w:rsidRPr="00564DA7">
        <w:rPr>
          <w:rFonts w:ascii="Arial" w:hAnsi="Arial" w:cs="Arial"/>
          <w:sz w:val="22"/>
          <w:szCs w:val="22"/>
        </w:rPr>
        <w:t xml:space="preserve">did not include populations or services relevant to socioeconomic deprivation in </w:t>
      </w:r>
      <w:r w:rsidR="003566C3">
        <w:rPr>
          <w:rFonts w:ascii="Arial" w:hAnsi="Arial" w:cs="Arial"/>
          <w:sz w:val="22"/>
          <w:szCs w:val="22"/>
        </w:rPr>
        <w:t xml:space="preserve">the </w:t>
      </w:r>
      <w:r w:rsidR="003A1992">
        <w:rPr>
          <w:rFonts w:ascii="Arial" w:hAnsi="Arial" w:cs="Arial"/>
          <w:sz w:val="22"/>
          <w:szCs w:val="22"/>
        </w:rPr>
        <w:t>UK</w:t>
      </w:r>
      <w:r w:rsidRPr="00564DA7">
        <w:rPr>
          <w:rFonts w:ascii="Arial" w:hAnsi="Arial" w:cs="Arial"/>
          <w:sz w:val="22"/>
          <w:szCs w:val="22"/>
        </w:rPr>
        <w:t>; or</w:t>
      </w:r>
      <w:r w:rsidR="003566C3">
        <w:rPr>
          <w:rFonts w:ascii="Arial" w:hAnsi="Arial" w:cs="Arial"/>
          <w:sz w:val="22"/>
          <w:szCs w:val="22"/>
        </w:rPr>
        <w:t xml:space="preserve"> </w:t>
      </w:r>
      <w:r w:rsidRPr="003566C3">
        <w:rPr>
          <w:rFonts w:ascii="Arial" w:hAnsi="Arial" w:cs="Arial"/>
          <w:sz w:val="22"/>
          <w:szCs w:val="22"/>
        </w:rPr>
        <w:t>lacked sufficient methodological detail or qualitative data to support meaningful appraisal and synthesis.</w:t>
      </w:r>
    </w:p>
    <w:p w14:paraId="096D992F" w14:textId="77777777" w:rsidR="002A32C3" w:rsidRDefault="002A32C3" w:rsidP="00C9165C">
      <w:pPr>
        <w:spacing w:line="360" w:lineRule="auto"/>
        <w:jc w:val="both"/>
        <w:rPr>
          <w:rFonts w:ascii="Arial" w:hAnsi="Arial" w:cs="Arial"/>
          <w:sz w:val="22"/>
          <w:szCs w:val="22"/>
        </w:rPr>
      </w:pPr>
    </w:p>
    <w:p w14:paraId="449E15A8" w14:textId="77777777" w:rsidR="00E16027" w:rsidRPr="00BC6959" w:rsidRDefault="00E16027" w:rsidP="00C9165C">
      <w:pPr>
        <w:spacing w:line="360" w:lineRule="auto"/>
        <w:jc w:val="both"/>
        <w:rPr>
          <w:rFonts w:ascii="Arial" w:hAnsi="Arial" w:cs="Arial"/>
        </w:rPr>
      </w:pPr>
    </w:p>
    <w:p w14:paraId="675EBC35" w14:textId="4D270D9C" w:rsidR="00FA74A0" w:rsidRDefault="006D325F" w:rsidP="0017520E">
      <w:pPr>
        <w:spacing w:line="360" w:lineRule="auto"/>
        <w:jc w:val="both"/>
        <w:rPr>
          <w:rFonts w:ascii="Arial" w:hAnsi="Arial" w:cs="Arial"/>
          <w:b/>
          <w:bCs/>
        </w:rPr>
      </w:pPr>
      <w:r w:rsidRPr="00BC6959">
        <w:rPr>
          <w:rFonts w:ascii="Arial" w:hAnsi="Arial" w:cs="Arial"/>
          <w:b/>
          <w:bCs/>
        </w:rPr>
        <w:t>3.4 Data</w:t>
      </w:r>
      <w:r w:rsidR="00FB0582" w:rsidRPr="00FB0582">
        <w:rPr>
          <w:rFonts w:ascii="Arial" w:hAnsi="Arial" w:cs="Arial"/>
          <w:b/>
          <w:bCs/>
        </w:rPr>
        <w:t xml:space="preserve"> extraction</w:t>
      </w:r>
    </w:p>
    <w:p w14:paraId="0B24EB63" w14:textId="38CC3889" w:rsidR="007653B0" w:rsidRPr="007653B0" w:rsidRDefault="007653B0" w:rsidP="007653B0">
      <w:pPr>
        <w:spacing w:line="360" w:lineRule="auto"/>
        <w:jc w:val="both"/>
        <w:rPr>
          <w:rFonts w:ascii="Arial" w:hAnsi="Arial" w:cs="Arial"/>
          <w:sz w:val="22"/>
          <w:szCs w:val="22"/>
        </w:rPr>
      </w:pPr>
      <w:r w:rsidRPr="007653B0">
        <w:rPr>
          <w:rFonts w:ascii="Arial" w:hAnsi="Arial" w:cs="Arial"/>
          <w:sz w:val="22"/>
          <w:szCs w:val="22"/>
        </w:rPr>
        <w:t>Data extraction was undertaken systematically following the identification and screening of eligible sources. Searches were limited to studies published from 201</w:t>
      </w:r>
      <w:r w:rsidR="0060414F">
        <w:rPr>
          <w:rFonts w:ascii="Arial" w:hAnsi="Arial" w:cs="Arial"/>
          <w:sz w:val="22"/>
          <w:szCs w:val="22"/>
        </w:rPr>
        <w:t>6</w:t>
      </w:r>
      <w:r w:rsidRPr="007653B0">
        <w:rPr>
          <w:rFonts w:ascii="Arial" w:hAnsi="Arial" w:cs="Arial"/>
          <w:sz w:val="22"/>
          <w:szCs w:val="22"/>
        </w:rPr>
        <w:t xml:space="preserve"> onwards, with potentially relevant studies assessed through title and abstract screening, followed by full-text screening against the predefined inclusion and exclusion criteria. This process ensured that only evidence directly relevant to the research question was included in the review.</w:t>
      </w:r>
    </w:p>
    <w:p w14:paraId="5ED0C12A" w14:textId="159B4310" w:rsidR="007653B0" w:rsidRPr="007653B0" w:rsidRDefault="007653B0" w:rsidP="007653B0">
      <w:pPr>
        <w:spacing w:line="360" w:lineRule="auto"/>
        <w:jc w:val="both"/>
        <w:rPr>
          <w:rFonts w:ascii="Arial" w:hAnsi="Arial" w:cs="Arial"/>
          <w:sz w:val="22"/>
          <w:szCs w:val="22"/>
        </w:rPr>
      </w:pPr>
      <w:r w:rsidRPr="007653B0">
        <w:rPr>
          <w:rFonts w:ascii="Arial" w:hAnsi="Arial" w:cs="Arial"/>
          <w:sz w:val="22"/>
          <w:szCs w:val="22"/>
        </w:rPr>
        <w:t xml:space="preserve">Grey literature was also considered to provide additional qualitative evidence relating to primary care access, emergency department utilisation, and health inequalities among socioeconomically deprived populations in </w:t>
      </w:r>
      <w:r w:rsidR="00240290">
        <w:rPr>
          <w:rFonts w:ascii="Arial" w:hAnsi="Arial" w:cs="Arial"/>
          <w:sz w:val="22"/>
          <w:szCs w:val="22"/>
        </w:rPr>
        <w:t>the UK</w:t>
      </w:r>
      <w:r w:rsidRPr="007653B0">
        <w:rPr>
          <w:rFonts w:ascii="Arial" w:hAnsi="Arial" w:cs="Arial"/>
          <w:sz w:val="22"/>
          <w:szCs w:val="22"/>
        </w:rPr>
        <w:t>. Relevant sources included</w:t>
      </w:r>
      <w:r w:rsidR="00E8225D">
        <w:rPr>
          <w:rFonts w:ascii="Arial" w:hAnsi="Arial" w:cs="Arial"/>
          <w:sz w:val="22"/>
          <w:szCs w:val="22"/>
        </w:rPr>
        <w:t xml:space="preserve"> </w:t>
      </w:r>
      <w:r w:rsidRPr="007653B0">
        <w:rPr>
          <w:rFonts w:ascii="Arial" w:hAnsi="Arial" w:cs="Arial"/>
          <w:sz w:val="22"/>
          <w:szCs w:val="22"/>
        </w:rPr>
        <w:t>Care Quality Commission (CQC) inspection reports, NHS Patient Advice and Liaison Service (PALS) reports, and NHS Trust patient experience publications. These sources were identified through targeted website searches using predefined inclusion criteria and were assessed for relevance before inclusion.</w:t>
      </w:r>
    </w:p>
    <w:p w14:paraId="5993D77C" w14:textId="77777777" w:rsidR="007653B0" w:rsidRPr="007653B0" w:rsidRDefault="007653B0" w:rsidP="007653B0">
      <w:pPr>
        <w:spacing w:line="360" w:lineRule="auto"/>
        <w:jc w:val="both"/>
        <w:rPr>
          <w:rFonts w:ascii="Arial" w:hAnsi="Arial" w:cs="Arial"/>
          <w:sz w:val="22"/>
          <w:szCs w:val="22"/>
        </w:rPr>
      </w:pPr>
      <w:r w:rsidRPr="007653B0">
        <w:rPr>
          <w:rFonts w:ascii="Arial" w:hAnsi="Arial" w:cs="Arial"/>
          <w:sz w:val="22"/>
          <w:szCs w:val="22"/>
        </w:rPr>
        <w:t>A standardised data extraction template was used to ensure consistency across all included sources. Information extracted included the source characteristics, publication details, study or report type, geographical and population context, deprivation context, and qualitative findings relevant to the research question. Where applicable, information relating to patient experiences, barriers to accessing primary care, experiences of emergency department use, and factors influencing healthcare utilisation was recorded.</w:t>
      </w:r>
    </w:p>
    <w:p w14:paraId="03A2BC4E" w14:textId="77777777" w:rsidR="007653B0" w:rsidRPr="007653B0" w:rsidRDefault="007653B0" w:rsidP="007653B0">
      <w:pPr>
        <w:spacing w:line="360" w:lineRule="auto"/>
        <w:jc w:val="both"/>
        <w:rPr>
          <w:rFonts w:ascii="Arial" w:hAnsi="Arial" w:cs="Arial"/>
          <w:sz w:val="22"/>
          <w:szCs w:val="22"/>
        </w:rPr>
      </w:pPr>
      <w:r w:rsidRPr="007653B0">
        <w:rPr>
          <w:rFonts w:ascii="Arial" w:hAnsi="Arial" w:cs="Arial"/>
          <w:sz w:val="22"/>
          <w:szCs w:val="22"/>
        </w:rPr>
        <w:t>The extracted data were imported into NVivo 14 for organisation and management. Sources were organised according to source type, allowing qualitative findings from peer-reviewed studies and grey literature to be compared during the analysis. Relevant data were coded and grouped according to emerging themes relating to access to primary care and emergency department utilisation.</w:t>
      </w:r>
    </w:p>
    <w:p w14:paraId="6D1E2790" w14:textId="55097335" w:rsidR="00BC285D" w:rsidRDefault="007653B0" w:rsidP="007653B0">
      <w:pPr>
        <w:spacing w:line="360" w:lineRule="auto"/>
        <w:jc w:val="both"/>
        <w:rPr>
          <w:rFonts w:ascii="Arial" w:hAnsi="Arial" w:cs="Arial"/>
          <w:sz w:val="22"/>
          <w:szCs w:val="22"/>
        </w:rPr>
      </w:pPr>
      <w:r w:rsidRPr="007653B0">
        <w:rPr>
          <w:rFonts w:ascii="Arial" w:hAnsi="Arial" w:cs="Arial"/>
          <w:sz w:val="22"/>
          <w:szCs w:val="22"/>
        </w:rPr>
        <w:lastRenderedPageBreak/>
        <w:t>An audit trail was maintained throughout the search, screening, selection, and data extraction processes. This documented key methodological decisions, including the reasons for inclusion or exclusion of sources and any decisions made during data extraction. Maintaining this record helped to ensure transparency, consistency, and traceability throughout the review process.</w:t>
      </w:r>
    </w:p>
    <w:p w14:paraId="1E3A5E11" w14:textId="77777777" w:rsidR="00BC285D" w:rsidRPr="00FA74A0" w:rsidRDefault="00BC285D" w:rsidP="0017520E">
      <w:pPr>
        <w:spacing w:line="360" w:lineRule="auto"/>
        <w:jc w:val="both"/>
        <w:rPr>
          <w:rFonts w:ascii="Arial" w:hAnsi="Arial" w:cs="Arial"/>
          <w:b/>
          <w:bCs/>
        </w:rPr>
      </w:pPr>
    </w:p>
    <w:p w14:paraId="7D46CCC9" w14:textId="1CE20F9A" w:rsidR="00BC6959" w:rsidRPr="00BC6959" w:rsidRDefault="006D325F" w:rsidP="00110DA1">
      <w:pPr>
        <w:spacing w:line="360" w:lineRule="auto"/>
        <w:jc w:val="both"/>
        <w:rPr>
          <w:rFonts w:ascii="Arial" w:hAnsi="Arial" w:cs="Arial"/>
          <w:b/>
          <w:bCs/>
        </w:rPr>
      </w:pPr>
      <w:r w:rsidRPr="00BC6959">
        <w:rPr>
          <w:rFonts w:ascii="Arial" w:hAnsi="Arial" w:cs="Arial"/>
          <w:b/>
          <w:bCs/>
        </w:rPr>
        <w:t>3.5 Data</w:t>
      </w:r>
      <w:r w:rsidR="00C9165C" w:rsidRPr="00BC6959">
        <w:rPr>
          <w:rFonts w:ascii="Arial" w:hAnsi="Arial" w:cs="Arial"/>
          <w:b/>
          <w:bCs/>
        </w:rPr>
        <w:t xml:space="preserve"> Analysis</w:t>
      </w:r>
    </w:p>
    <w:p w14:paraId="6FA5432B" w14:textId="669625B6" w:rsidR="00C9165C" w:rsidRPr="007A15B9" w:rsidRDefault="006D325F" w:rsidP="00C9165C">
      <w:pPr>
        <w:spacing w:line="360" w:lineRule="auto"/>
        <w:jc w:val="both"/>
        <w:rPr>
          <w:rFonts w:ascii="Arial" w:hAnsi="Arial" w:cs="Arial"/>
          <w:b/>
          <w:bCs/>
          <w:sz w:val="22"/>
          <w:szCs w:val="22"/>
        </w:rPr>
      </w:pPr>
      <w:r w:rsidRPr="007A15B9">
        <w:rPr>
          <w:rFonts w:ascii="Arial" w:hAnsi="Arial" w:cs="Arial"/>
          <w:b/>
          <w:bCs/>
          <w:sz w:val="22"/>
          <w:szCs w:val="22"/>
        </w:rPr>
        <w:t>3.5.1 Reflexive</w:t>
      </w:r>
      <w:r w:rsidR="00C9165C" w:rsidRPr="007A15B9">
        <w:rPr>
          <w:rFonts w:ascii="Arial" w:hAnsi="Arial" w:cs="Arial"/>
          <w:b/>
          <w:bCs/>
          <w:sz w:val="22"/>
          <w:szCs w:val="22"/>
        </w:rPr>
        <w:t xml:space="preserve"> Thematic Analysis</w:t>
      </w:r>
    </w:p>
    <w:p w14:paraId="29F672C4" w14:textId="69AD5D1B" w:rsidR="00704B1C" w:rsidRPr="00704B1C" w:rsidRDefault="00704B1C" w:rsidP="00704B1C">
      <w:pPr>
        <w:spacing w:line="360" w:lineRule="auto"/>
        <w:jc w:val="both"/>
        <w:rPr>
          <w:rFonts w:ascii="Arial" w:hAnsi="Arial" w:cs="Arial"/>
          <w:sz w:val="22"/>
          <w:szCs w:val="22"/>
        </w:rPr>
      </w:pPr>
      <w:r w:rsidRPr="00704B1C">
        <w:rPr>
          <w:rFonts w:ascii="Arial" w:hAnsi="Arial" w:cs="Arial"/>
          <w:sz w:val="22"/>
          <w:szCs w:val="22"/>
        </w:rPr>
        <w:t xml:space="preserve">Data analysis was conducted using reflexive thematic analysis, following the six-phase framework developed by Braun and Clarke (2006) and subsequently refined through their iterative methodological work (Braun and Clarke, 2019). Reflexive thematic analysis was chosen rather than alternative qualitative frameworks, such as framework analysis, grounded theory, or content </w:t>
      </w:r>
      <w:r w:rsidR="006D325F" w:rsidRPr="00704B1C">
        <w:rPr>
          <w:rFonts w:ascii="Arial" w:hAnsi="Arial" w:cs="Arial"/>
          <w:sz w:val="22"/>
          <w:szCs w:val="22"/>
        </w:rPr>
        <w:t>analysis, for</w:t>
      </w:r>
      <w:r w:rsidRPr="00704B1C">
        <w:rPr>
          <w:rFonts w:ascii="Arial" w:hAnsi="Arial" w:cs="Arial"/>
          <w:sz w:val="22"/>
          <w:szCs w:val="22"/>
        </w:rPr>
        <w:t xml:space="preserve"> three reasons. First</w:t>
      </w:r>
      <w:r w:rsidR="00C53BB2">
        <w:rPr>
          <w:rFonts w:ascii="Arial" w:hAnsi="Arial" w:cs="Arial"/>
          <w:sz w:val="22"/>
          <w:szCs w:val="22"/>
        </w:rPr>
        <w:t>ly</w:t>
      </w:r>
      <w:r w:rsidRPr="00704B1C">
        <w:rPr>
          <w:rFonts w:ascii="Arial" w:hAnsi="Arial" w:cs="Arial"/>
          <w:sz w:val="22"/>
          <w:szCs w:val="22"/>
        </w:rPr>
        <w:t>, it is explicitly appropriate for qualitative data, in which the researcher did not participate in data generation and must therefore work reflexively with data produced under different conditions and for different purposes. Second</w:t>
      </w:r>
      <w:r w:rsidR="00AE7C9C">
        <w:rPr>
          <w:rFonts w:ascii="Arial" w:hAnsi="Arial" w:cs="Arial"/>
          <w:sz w:val="22"/>
          <w:szCs w:val="22"/>
        </w:rPr>
        <w:t>ly</w:t>
      </w:r>
      <w:r w:rsidRPr="00704B1C">
        <w:rPr>
          <w:rFonts w:ascii="Arial" w:hAnsi="Arial" w:cs="Arial"/>
          <w:sz w:val="22"/>
          <w:szCs w:val="22"/>
        </w:rPr>
        <w:t>, it is constructionist rather than realist in its epistemological orientation, acknowledging that themes are not 'found' in data but constructed through the researcher's interpretive engagement, a position that is philosophically consistent with the study's engagement with structurally complex social phenomena. Third</w:t>
      </w:r>
      <w:r w:rsidR="002E6D42">
        <w:rPr>
          <w:rFonts w:ascii="Arial" w:hAnsi="Arial" w:cs="Arial"/>
          <w:sz w:val="22"/>
          <w:szCs w:val="22"/>
        </w:rPr>
        <w:t>ly</w:t>
      </w:r>
      <w:r w:rsidRPr="00704B1C">
        <w:rPr>
          <w:rFonts w:ascii="Arial" w:hAnsi="Arial" w:cs="Arial"/>
          <w:sz w:val="22"/>
          <w:szCs w:val="22"/>
        </w:rPr>
        <w:t>, it is flexible and not bound to a specific theoretical framework, allowing the analytical themes to emerge in dialogue with the data rather than being imposed a priori, while remaining compatible with the use of sensitising theoretical frameworks (the social determinants of health, the inverse care law, and Andersen's model) to direct initial attention.</w:t>
      </w:r>
    </w:p>
    <w:p w14:paraId="14FF7C5C" w14:textId="3FF97CD2" w:rsidR="00704B1C" w:rsidRDefault="00704B1C" w:rsidP="00704B1C">
      <w:pPr>
        <w:spacing w:line="360" w:lineRule="auto"/>
        <w:jc w:val="both"/>
        <w:rPr>
          <w:rFonts w:ascii="Arial" w:hAnsi="Arial" w:cs="Arial"/>
          <w:sz w:val="22"/>
          <w:szCs w:val="22"/>
        </w:rPr>
      </w:pPr>
      <w:r w:rsidRPr="00704B1C">
        <w:rPr>
          <w:rFonts w:ascii="Arial" w:hAnsi="Arial" w:cs="Arial"/>
          <w:sz w:val="22"/>
          <w:szCs w:val="22"/>
        </w:rPr>
        <w:t xml:space="preserve">The six phases of analysis were applied as follows. In Phase One (familiarisation), all extracted data in NVivo were read and re-read across source types. Initial observations were recorded in a reflexive journal maintained throughout the analytical process. In Phase Two (generating initial codes), the entire dataset was systematically coded using NVivo's coding tools. Codes were generated inductively from the data rather than deductively from pre-specified categories. The theoretical frameworks established in Chapter Two served as sensitising concepts that directed attention without prescribing outcomes. Codes captured both semantic content (explicit themes stated in the data) and latent meaning (underlying assumptions, framings, and implications). In Phase Three (constructing themes), codes were collated into candidate themes by grouping those with conceptual proximity. Thematic maps were produced in NVivo to visualise relationships between codes and candidate themes. In Phase Four (reviewing and developing themes), candidate themes were reviewed against the coded extracts and the full dataset to assess their internal coherence and distinctiveness from one another. Themes were refined, merged, and </w:t>
      </w:r>
      <w:r w:rsidR="002E6272" w:rsidRPr="00704B1C">
        <w:rPr>
          <w:rFonts w:ascii="Arial" w:hAnsi="Arial" w:cs="Arial"/>
          <w:sz w:val="22"/>
          <w:szCs w:val="22"/>
        </w:rPr>
        <w:t xml:space="preserve">in </w:t>
      </w:r>
      <w:r w:rsidR="002E6272" w:rsidRPr="00704B1C">
        <w:rPr>
          <w:rFonts w:ascii="Arial" w:hAnsi="Arial" w:cs="Arial"/>
          <w:sz w:val="22"/>
          <w:szCs w:val="22"/>
        </w:rPr>
        <w:lastRenderedPageBreak/>
        <w:t>cases</w:t>
      </w:r>
      <w:r w:rsidRPr="00704B1C">
        <w:rPr>
          <w:rFonts w:ascii="Arial" w:hAnsi="Arial" w:cs="Arial"/>
          <w:sz w:val="22"/>
          <w:szCs w:val="22"/>
        </w:rPr>
        <w:t xml:space="preserve"> disaggregated through this iterative process. In Phase Five (refining, defining, and naming themes), each finalised theme was given a concise, analytically precise name and a detailed definition specifying its scope, content, and relationship to the research question. In Phase Six (producing the report), representative data extracts were selected for each theme, and the thematic analysis was written as a coherent analytical narrative integrated with the existing literature.</w:t>
      </w:r>
    </w:p>
    <w:p w14:paraId="7D84F799" w14:textId="77777777" w:rsidR="00704B1C" w:rsidRDefault="00704B1C" w:rsidP="00704B1C">
      <w:pPr>
        <w:spacing w:line="360" w:lineRule="auto"/>
        <w:jc w:val="both"/>
        <w:rPr>
          <w:rFonts w:ascii="Arial" w:hAnsi="Arial" w:cs="Arial"/>
          <w:sz w:val="22"/>
          <w:szCs w:val="22"/>
        </w:rPr>
      </w:pPr>
    </w:p>
    <w:p w14:paraId="72924973" w14:textId="2C34B559" w:rsidR="00C9165C" w:rsidRPr="007A15B9" w:rsidRDefault="006D325F" w:rsidP="00704B1C">
      <w:pPr>
        <w:spacing w:line="360" w:lineRule="auto"/>
        <w:jc w:val="both"/>
        <w:rPr>
          <w:rFonts w:ascii="Arial" w:hAnsi="Arial" w:cs="Arial"/>
          <w:b/>
          <w:bCs/>
          <w:sz w:val="22"/>
          <w:szCs w:val="22"/>
        </w:rPr>
      </w:pPr>
      <w:r w:rsidRPr="00BC6959">
        <w:rPr>
          <w:rFonts w:ascii="Arial" w:hAnsi="Arial" w:cs="Arial"/>
          <w:b/>
          <w:bCs/>
        </w:rPr>
        <w:t>3</w:t>
      </w:r>
      <w:r w:rsidRPr="007A15B9">
        <w:rPr>
          <w:rFonts w:ascii="Arial" w:hAnsi="Arial" w:cs="Arial"/>
          <w:b/>
          <w:bCs/>
          <w:sz w:val="22"/>
          <w:szCs w:val="22"/>
        </w:rPr>
        <w:t>.5.2 Ensuring</w:t>
      </w:r>
      <w:r w:rsidR="00C9165C" w:rsidRPr="007A15B9">
        <w:rPr>
          <w:rFonts w:ascii="Arial" w:hAnsi="Arial" w:cs="Arial"/>
          <w:b/>
          <w:bCs/>
          <w:sz w:val="22"/>
          <w:szCs w:val="22"/>
        </w:rPr>
        <w:t xml:space="preserve"> Rigour</w:t>
      </w:r>
    </w:p>
    <w:p w14:paraId="688E1537" w14:textId="7F0DA9EC" w:rsidR="00031682" w:rsidRDefault="00EF7046" w:rsidP="00C9165C">
      <w:pPr>
        <w:spacing w:line="360" w:lineRule="auto"/>
        <w:jc w:val="both"/>
        <w:rPr>
          <w:rFonts w:ascii="Arial" w:hAnsi="Arial" w:cs="Arial"/>
          <w:sz w:val="22"/>
          <w:szCs w:val="22"/>
        </w:rPr>
      </w:pPr>
      <w:r w:rsidRPr="00EF7046">
        <w:rPr>
          <w:rFonts w:ascii="Arial" w:hAnsi="Arial" w:cs="Arial"/>
          <w:sz w:val="22"/>
          <w:szCs w:val="22"/>
        </w:rPr>
        <w:t xml:space="preserve">Rigour in secondary qualitative analysis requires particular attention to the contextual provenance of data and the transparency of analytical decisions (Ruggiano and Perry, 2019). Four criteria were applied. Credibility was enhanced through analytical </w:t>
      </w:r>
      <w:r w:rsidR="006D325F" w:rsidRPr="00EF7046">
        <w:rPr>
          <w:rFonts w:ascii="Arial" w:hAnsi="Arial" w:cs="Arial"/>
          <w:sz w:val="22"/>
          <w:szCs w:val="22"/>
        </w:rPr>
        <w:t>triangulation, comparing</w:t>
      </w:r>
      <w:r w:rsidRPr="00EF7046">
        <w:rPr>
          <w:rFonts w:ascii="Arial" w:hAnsi="Arial" w:cs="Arial"/>
          <w:sz w:val="22"/>
          <w:szCs w:val="22"/>
        </w:rPr>
        <w:t xml:space="preserve"> findings across source types to assess consistency, and through reflexive journalling, which documented the researcher's evolving interpretations and how prior knowledge and theoretical commitments may have shaped them. Dependability was ensured through the maintenance of a detailed audit trail of all data collection, extraction, and analysis decisions, which would enable an independent researcher to retrace the analytical process. Confirmability was addressed through explicit reflexive practice: the researcher's positionality, as a public health student with prior knowledge of the health inequalities literature and familiarity with NHS policy contexts, was acknowledged and its potential influence on analysis actively considered. Transferability was supported through rich contextual description of all data sources, enabling readers to assess the applicability of findings to other settings.</w:t>
      </w:r>
    </w:p>
    <w:p w14:paraId="413ED736" w14:textId="77777777" w:rsidR="00D7351C" w:rsidRDefault="00D7351C" w:rsidP="00C9165C">
      <w:pPr>
        <w:spacing w:line="360" w:lineRule="auto"/>
        <w:jc w:val="both"/>
        <w:rPr>
          <w:rFonts w:ascii="Arial" w:hAnsi="Arial" w:cs="Arial"/>
          <w:sz w:val="22"/>
          <w:szCs w:val="22"/>
        </w:rPr>
      </w:pPr>
    </w:p>
    <w:p w14:paraId="259F7390" w14:textId="2DA2E019" w:rsidR="00247889" w:rsidRDefault="006D325F" w:rsidP="00C9165C">
      <w:pPr>
        <w:spacing w:line="360" w:lineRule="auto"/>
        <w:jc w:val="both"/>
        <w:rPr>
          <w:rFonts w:ascii="Arial" w:hAnsi="Arial" w:cs="Arial"/>
          <w:b/>
          <w:bCs/>
        </w:rPr>
      </w:pPr>
      <w:r w:rsidRPr="00BC6959">
        <w:rPr>
          <w:rFonts w:ascii="Arial" w:hAnsi="Arial" w:cs="Arial"/>
          <w:b/>
          <w:bCs/>
        </w:rPr>
        <w:t>3.6 Ethical</w:t>
      </w:r>
      <w:r w:rsidR="00C9165C" w:rsidRPr="00BC6959">
        <w:rPr>
          <w:rFonts w:ascii="Arial" w:hAnsi="Arial" w:cs="Arial"/>
          <w:b/>
          <w:bCs/>
        </w:rPr>
        <w:t xml:space="preserve"> Considerations</w:t>
      </w:r>
    </w:p>
    <w:p w14:paraId="306FE26B" w14:textId="73F6DDAA" w:rsidR="00623073" w:rsidRDefault="005E3641" w:rsidP="00C9165C">
      <w:pPr>
        <w:spacing w:line="360" w:lineRule="auto"/>
        <w:jc w:val="both"/>
        <w:rPr>
          <w:rFonts w:ascii="Arial" w:hAnsi="Arial" w:cs="Arial"/>
          <w:sz w:val="22"/>
          <w:szCs w:val="22"/>
        </w:rPr>
      </w:pPr>
      <w:r w:rsidRPr="005E3641">
        <w:rPr>
          <w:rFonts w:ascii="Arial" w:hAnsi="Arial" w:cs="Arial"/>
          <w:sz w:val="22"/>
          <w:szCs w:val="22"/>
        </w:rPr>
        <w:t>Prior to data collection, ethical approval was granted by the Research Ethics Committee of the University of Wales Trinity Saint David. As the study relies exclusively on secondary analysis of publicly available or institutionally published data, it did not involve direct contact with human participants.</w:t>
      </w:r>
      <w:r w:rsidR="00421BEC">
        <w:rPr>
          <w:rFonts w:ascii="Arial" w:hAnsi="Arial" w:cs="Arial"/>
          <w:sz w:val="22"/>
          <w:szCs w:val="22"/>
        </w:rPr>
        <w:t xml:space="preserve"> </w:t>
      </w:r>
      <w:r w:rsidR="00F15FB1" w:rsidRPr="00F15FB1">
        <w:rPr>
          <w:rFonts w:ascii="Arial" w:hAnsi="Arial" w:cs="Arial"/>
          <w:sz w:val="22"/>
          <w:szCs w:val="22"/>
        </w:rPr>
        <w:t>Secondary analysis of publicly available data does not require individual informed consent. Nevertheless, the use of data that contains patient narratives and testimonials, even in anonymised form, carries ethical responsibilities that are taken seriously in this study. Data are used only for the purposes for which they are clearly within scope: improving understanding of health service access and utilisation to inform equitable policy and practice. Where original data sources specify restrictions on secondary use, those restrictions are respected and the relevant data excluded. No directly identifiable information, names, addresses, or NHS numbers is sought, extracted, or used at any stage of the research process.</w:t>
      </w:r>
    </w:p>
    <w:p w14:paraId="2A6E92E1" w14:textId="6673C1E3" w:rsidR="002C6BE1" w:rsidRDefault="002C6BE1" w:rsidP="00C9165C">
      <w:pPr>
        <w:spacing w:line="360" w:lineRule="auto"/>
        <w:jc w:val="both"/>
        <w:rPr>
          <w:rFonts w:ascii="Arial" w:hAnsi="Arial" w:cs="Arial"/>
          <w:sz w:val="22"/>
          <w:szCs w:val="22"/>
        </w:rPr>
      </w:pPr>
      <w:r w:rsidRPr="002C6BE1">
        <w:rPr>
          <w:rFonts w:ascii="Arial" w:hAnsi="Arial" w:cs="Arial"/>
          <w:sz w:val="22"/>
          <w:szCs w:val="22"/>
        </w:rPr>
        <w:lastRenderedPageBreak/>
        <w:t>The populations whose experiences inform this research- patients in socioeconomically deprived communities experiencing barriers to healthcare access</w:t>
      </w:r>
      <w:r w:rsidR="00E6027F">
        <w:rPr>
          <w:rFonts w:ascii="Arial" w:hAnsi="Arial" w:cs="Arial"/>
          <w:sz w:val="22"/>
          <w:szCs w:val="22"/>
        </w:rPr>
        <w:t xml:space="preserve"> </w:t>
      </w:r>
      <w:r w:rsidRPr="002C6BE1">
        <w:rPr>
          <w:rFonts w:ascii="Arial" w:hAnsi="Arial" w:cs="Arial"/>
          <w:sz w:val="22"/>
          <w:szCs w:val="22"/>
        </w:rPr>
        <w:t>-</w:t>
      </w:r>
      <w:r w:rsidR="00E6027F">
        <w:rPr>
          <w:rFonts w:ascii="Arial" w:hAnsi="Arial" w:cs="Arial"/>
          <w:sz w:val="22"/>
          <w:szCs w:val="22"/>
        </w:rPr>
        <w:t xml:space="preserve"> </w:t>
      </w:r>
      <w:r w:rsidRPr="002C6BE1">
        <w:rPr>
          <w:rFonts w:ascii="Arial" w:hAnsi="Arial" w:cs="Arial"/>
          <w:sz w:val="22"/>
          <w:szCs w:val="22"/>
        </w:rPr>
        <w:t>are inherently vulnerable. The study approaches this vulnerability with particular care. All qualitative extracts used in the findings are presented in a manner that prevents identification of individuals, services, or geographic locations that could enable re-identification. Where data sources contain information that is insufficiently anonymised for the purposes of academic publication, those data are excluded rather than modified. The findings are framed consistently in terms of structural and systemic conditions rather than in terms of individual patient behaviour, avoiding the stigmatisation of deprived communities that can result from approaches that locate the 'problem' of avoidable ED attendance in patient choice or health literacy.</w:t>
      </w:r>
      <w:r w:rsidR="00E6027F">
        <w:rPr>
          <w:rFonts w:ascii="Arial" w:hAnsi="Arial" w:cs="Arial"/>
          <w:sz w:val="22"/>
          <w:szCs w:val="22"/>
        </w:rPr>
        <w:t xml:space="preserve"> </w:t>
      </w:r>
      <w:r w:rsidR="00750165" w:rsidRPr="00750165">
        <w:rPr>
          <w:rFonts w:ascii="Arial" w:hAnsi="Arial" w:cs="Arial"/>
          <w:sz w:val="22"/>
          <w:szCs w:val="22"/>
        </w:rPr>
        <w:t>All data are stored on password-protected, encrypted university research servers, in compliance with the UK General Data Protection Regulation (UK GDPR) and the Data Protection Act 2018.</w:t>
      </w:r>
    </w:p>
    <w:p w14:paraId="422ED0F8" w14:textId="77777777" w:rsidR="002C6BE1" w:rsidRDefault="002C6BE1" w:rsidP="00C9165C">
      <w:pPr>
        <w:spacing w:line="360" w:lineRule="auto"/>
        <w:jc w:val="both"/>
        <w:rPr>
          <w:rFonts w:ascii="Arial" w:hAnsi="Arial" w:cs="Arial"/>
          <w:sz w:val="22"/>
          <w:szCs w:val="22"/>
        </w:rPr>
      </w:pPr>
    </w:p>
    <w:p w14:paraId="69E64BBB" w14:textId="152653C7" w:rsidR="00C9165C" w:rsidRPr="00BC6959" w:rsidRDefault="006D325F" w:rsidP="00C9165C">
      <w:pPr>
        <w:spacing w:line="360" w:lineRule="auto"/>
        <w:jc w:val="both"/>
        <w:rPr>
          <w:rFonts w:ascii="Arial" w:hAnsi="Arial" w:cs="Arial"/>
          <w:b/>
          <w:bCs/>
        </w:rPr>
      </w:pPr>
      <w:r w:rsidRPr="00BC6959">
        <w:rPr>
          <w:rFonts w:ascii="Arial" w:hAnsi="Arial" w:cs="Arial"/>
          <w:b/>
          <w:bCs/>
        </w:rPr>
        <w:t>3.7 Methodological</w:t>
      </w:r>
      <w:r w:rsidR="00C9165C" w:rsidRPr="00BC6959">
        <w:rPr>
          <w:rFonts w:ascii="Arial" w:hAnsi="Arial" w:cs="Arial"/>
          <w:b/>
          <w:bCs/>
        </w:rPr>
        <w:t xml:space="preserve"> Challenges and Limitations</w:t>
      </w:r>
    </w:p>
    <w:p w14:paraId="4F5EE122" w14:textId="3ABD2401" w:rsidR="00121C16" w:rsidRPr="00121C16" w:rsidRDefault="00121C16" w:rsidP="00121C16">
      <w:pPr>
        <w:spacing w:line="360" w:lineRule="auto"/>
        <w:jc w:val="both"/>
        <w:rPr>
          <w:rFonts w:ascii="Arial" w:hAnsi="Arial" w:cs="Arial"/>
          <w:sz w:val="22"/>
          <w:szCs w:val="22"/>
        </w:rPr>
      </w:pPr>
      <w:r w:rsidRPr="00121C16">
        <w:rPr>
          <w:rFonts w:ascii="Arial" w:hAnsi="Arial" w:cs="Arial"/>
          <w:sz w:val="22"/>
          <w:szCs w:val="22"/>
        </w:rPr>
        <w:t>Three methodological challenges were identified in this study. First</w:t>
      </w:r>
      <w:r w:rsidR="00B7084A">
        <w:rPr>
          <w:rFonts w:ascii="Arial" w:hAnsi="Arial" w:cs="Arial"/>
          <w:sz w:val="22"/>
          <w:szCs w:val="22"/>
        </w:rPr>
        <w:t>ly</w:t>
      </w:r>
      <w:r w:rsidRPr="00121C16">
        <w:rPr>
          <w:rFonts w:ascii="Arial" w:hAnsi="Arial" w:cs="Arial"/>
          <w:sz w:val="22"/>
          <w:szCs w:val="22"/>
        </w:rPr>
        <w:t>, the secondary qualitative data originated from diverse sources, including peer-reviewed studies, Healthwatch reports, and Care Quality Commission (CQC) inspections, each produced for different purposes and audiences. To address this, source context was considered throughout the analysis, with NVivo used to organise and compare themes across source types (Ruggiano and Perry, 2019).</w:t>
      </w:r>
    </w:p>
    <w:p w14:paraId="587C8CD3" w14:textId="51BDA7DA" w:rsidR="00121C16" w:rsidRPr="00121C16" w:rsidRDefault="00121C16" w:rsidP="00121C16">
      <w:pPr>
        <w:spacing w:line="360" w:lineRule="auto"/>
        <w:jc w:val="both"/>
        <w:rPr>
          <w:rFonts w:ascii="Arial" w:hAnsi="Arial" w:cs="Arial"/>
          <w:sz w:val="22"/>
          <w:szCs w:val="22"/>
        </w:rPr>
      </w:pPr>
      <w:r w:rsidRPr="00121C16">
        <w:rPr>
          <w:rFonts w:ascii="Arial" w:hAnsi="Arial" w:cs="Arial"/>
          <w:sz w:val="22"/>
          <w:szCs w:val="22"/>
        </w:rPr>
        <w:t>Second</w:t>
      </w:r>
      <w:r w:rsidR="00D533E7">
        <w:rPr>
          <w:rFonts w:ascii="Arial" w:hAnsi="Arial" w:cs="Arial"/>
          <w:sz w:val="22"/>
          <w:szCs w:val="22"/>
        </w:rPr>
        <w:t>ly</w:t>
      </w:r>
      <w:r w:rsidRPr="00121C16">
        <w:rPr>
          <w:rFonts w:ascii="Arial" w:hAnsi="Arial" w:cs="Arial"/>
          <w:sz w:val="22"/>
          <w:szCs w:val="22"/>
        </w:rPr>
        <w:t>, the study focused on data published between 201</w:t>
      </w:r>
      <w:r w:rsidR="003C2C99">
        <w:rPr>
          <w:rFonts w:ascii="Arial" w:hAnsi="Arial" w:cs="Arial"/>
          <w:sz w:val="22"/>
          <w:szCs w:val="22"/>
        </w:rPr>
        <w:t>6</w:t>
      </w:r>
      <w:r w:rsidRPr="00121C16">
        <w:rPr>
          <w:rFonts w:ascii="Arial" w:hAnsi="Arial" w:cs="Arial"/>
          <w:sz w:val="22"/>
          <w:szCs w:val="22"/>
        </w:rPr>
        <w:t xml:space="preserve"> and 202</w:t>
      </w:r>
      <w:r w:rsidR="00526E13">
        <w:rPr>
          <w:rFonts w:ascii="Arial" w:hAnsi="Arial" w:cs="Arial"/>
          <w:sz w:val="22"/>
          <w:szCs w:val="22"/>
        </w:rPr>
        <w:t>6</w:t>
      </w:r>
      <w:r w:rsidRPr="00121C16">
        <w:rPr>
          <w:rFonts w:ascii="Arial" w:hAnsi="Arial" w:cs="Arial"/>
          <w:sz w:val="22"/>
          <w:szCs w:val="22"/>
        </w:rPr>
        <w:t xml:space="preserve"> to reflect the post-pandemic context. However, disruptions to reporting and inspection activity during COVID-19 resulted in uneven data availability, </w:t>
      </w:r>
      <w:r w:rsidR="002E6272" w:rsidRPr="00121C16">
        <w:rPr>
          <w:rFonts w:ascii="Arial" w:hAnsi="Arial" w:cs="Arial"/>
          <w:sz w:val="22"/>
          <w:szCs w:val="22"/>
        </w:rPr>
        <w:t>meaning findings</w:t>
      </w:r>
      <w:r w:rsidRPr="00121C16">
        <w:rPr>
          <w:rFonts w:ascii="Arial" w:hAnsi="Arial" w:cs="Arial"/>
          <w:sz w:val="22"/>
          <w:szCs w:val="22"/>
        </w:rPr>
        <w:t xml:space="preserve"> may reflect exceptional rather than long-term conditions. This limitation is acknowledged when interpreting the results.</w:t>
      </w:r>
    </w:p>
    <w:p w14:paraId="61913F51" w14:textId="4EF7279D" w:rsidR="00623073" w:rsidRDefault="00121C16" w:rsidP="00121C16">
      <w:pPr>
        <w:spacing w:line="360" w:lineRule="auto"/>
        <w:jc w:val="both"/>
        <w:rPr>
          <w:rFonts w:ascii="Arial" w:hAnsi="Arial" w:cs="Arial"/>
          <w:sz w:val="22"/>
          <w:szCs w:val="22"/>
        </w:rPr>
      </w:pPr>
      <w:r w:rsidRPr="00121C16">
        <w:rPr>
          <w:rFonts w:ascii="Arial" w:hAnsi="Arial" w:cs="Arial"/>
          <w:sz w:val="22"/>
          <w:szCs w:val="22"/>
        </w:rPr>
        <w:t>Third</w:t>
      </w:r>
      <w:r w:rsidR="00B413B3">
        <w:rPr>
          <w:rFonts w:ascii="Arial" w:hAnsi="Arial" w:cs="Arial"/>
          <w:sz w:val="22"/>
          <w:szCs w:val="22"/>
        </w:rPr>
        <w:t>ly</w:t>
      </w:r>
      <w:r w:rsidRPr="00121C16">
        <w:rPr>
          <w:rFonts w:ascii="Arial" w:hAnsi="Arial" w:cs="Arial"/>
          <w:sz w:val="22"/>
          <w:szCs w:val="22"/>
        </w:rPr>
        <w:t>, the most socioeconomically disadvantaged and least engaged populations remain underrepresented within secondary data sources. Although community-based reports helped broaden representation, this limitation cannot be fully addressed without primary data collection. Consequently, the findings should be interpreted within the constraints of the available evidence and highlight the need for further qualitative research involving marginalised communities.</w:t>
      </w:r>
    </w:p>
    <w:p w14:paraId="6817C731" w14:textId="77777777" w:rsidR="00D4460F" w:rsidRDefault="00D4460F" w:rsidP="00121C16">
      <w:pPr>
        <w:spacing w:line="360" w:lineRule="auto"/>
        <w:jc w:val="both"/>
        <w:rPr>
          <w:rFonts w:ascii="Arial" w:hAnsi="Arial" w:cs="Arial"/>
          <w:sz w:val="22"/>
          <w:szCs w:val="22"/>
        </w:rPr>
      </w:pPr>
    </w:p>
    <w:p w14:paraId="3E01285D" w14:textId="1BB8FEC0" w:rsidR="00C9165C" w:rsidRPr="00BC6959" w:rsidRDefault="006D325F" w:rsidP="00C9165C">
      <w:pPr>
        <w:spacing w:line="360" w:lineRule="auto"/>
        <w:jc w:val="both"/>
        <w:rPr>
          <w:rFonts w:ascii="Arial" w:hAnsi="Arial" w:cs="Arial"/>
          <w:b/>
          <w:bCs/>
        </w:rPr>
      </w:pPr>
      <w:r w:rsidRPr="00BC6959">
        <w:rPr>
          <w:rFonts w:ascii="Arial" w:hAnsi="Arial" w:cs="Arial"/>
          <w:b/>
          <w:bCs/>
        </w:rPr>
        <w:t>3.8 Summary</w:t>
      </w:r>
    </w:p>
    <w:p w14:paraId="3A6C9B3C" w14:textId="3E42C436" w:rsidR="003939AA" w:rsidRDefault="00ED3456" w:rsidP="00173BDC">
      <w:pPr>
        <w:spacing w:line="360" w:lineRule="auto"/>
        <w:jc w:val="both"/>
        <w:rPr>
          <w:rFonts w:ascii="Arial" w:hAnsi="Arial" w:cs="Arial"/>
          <w:sz w:val="22"/>
          <w:szCs w:val="22"/>
        </w:rPr>
      </w:pPr>
      <w:r w:rsidRPr="00ED3456">
        <w:rPr>
          <w:rFonts w:ascii="Arial" w:hAnsi="Arial" w:cs="Arial"/>
          <w:sz w:val="22"/>
          <w:szCs w:val="22"/>
        </w:rPr>
        <w:t xml:space="preserve">This chapter has set out the methodological foundations of the present study: a qualitative secondary data analysis situated within a multiple-source approach using reflexive thematic analysis to generate analytically grounded understanding of how primary care access barriers operate in the lives of socioeconomically deprived patients in </w:t>
      </w:r>
      <w:r w:rsidR="00B97B7F">
        <w:rPr>
          <w:rFonts w:ascii="Arial" w:hAnsi="Arial" w:cs="Arial"/>
          <w:sz w:val="22"/>
          <w:szCs w:val="22"/>
        </w:rPr>
        <w:t>the UK</w:t>
      </w:r>
      <w:r w:rsidRPr="00ED3456">
        <w:rPr>
          <w:rFonts w:ascii="Arial" w:hAnsi="Arial" w:cs="Arial"/>
          <w:sz w:val="22"/>
          <w:szCs w:val="22"/>
        </w:rPr>
        <w:t xml:space="preserve"> and how those barriers </w:t>
      </w:r>
      <w:r w:rsidRPr="00ED3456">
        <w:rPr>
          <w:rFonts w:ascii="Arial" w:hAnsi="Arial" w:cs="Arial"/>
          <w:sz w:val="22"/>
          <w:szCs w:val="22"/>
        </w:rPr>
        <w:lastRenderedPageBreak/>
        <w:t>shape pathways toward emergency care. The approach is appropriate to the research question, proportionate to the available evidence base, and grounded in a coherent epistemological position. Its limitations are acknowledged transparently, and its justification rests on the clear gap in the existing literature that qualitative, mechanism-focused, patient-centred analysis is specifically positioned to address. Chapter Four presents the findings generated through this analytical process.</w:t>
      </w:r>
    </w:p>
    <w:p w14:paraId="3F42DF7C" w14:textId="77777777" w:rsidR="000E15E0" w:rsidRDefault="000E15E0" w:rsidP="00173BDC">
      <w:pPr>
        <w:spacing w:line="360" w:lineRule="auto"/>
        <w:jc w:val="both"/>
        <w:rPr>
          <w:rFonts w:ascii="Arial" w:hAnsi="Arial" w:cs="Arial"/>
          <w:sz w:val="22"/>
          <w:szCs w:val="22"/>
        </w:rPr>
      </w:pPr>
    </w:p>
    <w:p w14:paraId="0A4B8C10" w14:textId="77777777" w:rsidR="000E15E0" w:rsidRDefault="000E15E0" w:rsidP="00173BDC">
      <w:pPr>
        <w:spacing w:line="360" w:lineRule="auto"/>
        <w:jc w:val="both"/>
        <w:rPr>
          <w:rFonts w:ascii="Arial" w:hAnsi="Arial" w:cs="Arial"/>
          <w:sz w:val="22"/>
          <w:szCs w:val="22"/>
        </w:rPr>
      </w:pPr>
    </w:p>
    <w:p w14:paraId="00D07600" w14:textId="77777777" w:rsidR="00DF72EE" w:rsidRDefault="00DF72EE" w:rsidP="00173BDC">
      <w:pPr>
        <w:spacing w:line="360" w:lineRule="auto"/>
        <w:jc w:val="both"/>
        <w:rPr>
          <w:rFonts w:ascii="Arial" w:hAnsi="Arial" w:cs="Arial"/>
          <w:sz w:val="22"/>
          <w:szCs w:val="22"/>
        </w:rPr>
      </w:pPr>
    </w:p>
    <w:p w14:paraId="39F0AB61" w14:textId="77777777" w:rsidR="00953D36" w:rsidRDefault="00953D36" w:rsidP="00173BDC">
      <w:pPr>
        <w:spacing w:line="360" w:lineRule="auto"/>
        <w:jc w:val="both"/>
        <w:rPr>
          <w:rFonts w:ascii="Arial" w:hAnsi="Arial" w:cs="Arial"/>
          <w:sz w:val="22"/>
          <w:szCs w:val="22"/>
        </w:rPr>
      </w:pPr>
    </w:p>
    <w:p w14:paraId="46D00097" w14:textId="77777777" w:rsidR="00953D36" w:rsidRDefault="00953D36" w:rsidP="00173BDC">
      <w:pPr>
        <w:spacing w:line="360" w:lineRule="auto"/>
        <w:jc w:val="both"/>
        <w:rPr>
          <w:rFonts w:ascii="Arial" w:hAnsi="Arial" w:cs="Arial"/>
          <w:sz w:val="22"/>
          <w:szCs w:val="22"/>
        </w:rPr>
      </w:pPr>
    </w:p>
    <w:p w14:paraId="66BB7636" w14:textId="77777777" w:rsidR="00953D36" w:rsidRDefault="00953D36" w:rsidP="00173BDC">
      <w:pPr>
        <w:spacing w:line="360" w:lineRule="auto"/>
        <w:jc w:val="both"/>
        <w:rPr>
          <w:rFonts w:ascii="Arial" w:hAnsi="Arial" w:cs="Arial"/>
          <w:sz w:val="22"/>
          <w:szCs w:val="22"/>
        </w:rPr>
      </w:pPr>
    </w:p>
    <w:p w14:paraId="2876FA0A" w14:textId="77777777" w:rsidR="00953D36" w:rsidRDefault="00953D36" w:rsidP="00173BDC">
      <w:pPr>
        <w:spacing w:line="360" w:lineRule="auto"/>
        <w:jc w:val="both"/>
        <w:rPr>
          <w:rFonts w:ascii="Arial" w:hAnsi="Arial" w:cs="Arial"/>
          <w:sz w:val="22"/>
          <w:szCs w:val="22"/>
        </w:rPr>
      </w:pPr>
    </w:p>
    <w:p w14:paraId="2D4C0EE5" w14:textId="77777777" w:rsidR="00953D36" w:rsidRDefault="00953D36" w:rsidP="00173BDC">
      <w:pPr>
        <w:spacing w:line="360" w:lineRule="auto"/>
        <w:jc w:val="both"/>
        <w:rPr>
          <w:rFonts w:ascii="Arial" w:hAnsi="Arial" w:cs="Arial"/>
          <w:sz w:val="22"/>
          <w:szCs w:val="22"/>
        </w:rPr>
      </w:pPr>
    </w:p>
    <w:p w14:paraId="24E49E7A" w14:textId="77777777" w:rsidR="00953D36" w:rsidRDefault="00953D36" w:rsidP="00173BDC">
      <w:pPr>
        <w:spacing w:line="360" w:lineRule="auto"/>
        <w:jc w:val="both"/>
        <w:rPr>
          <w:rFonts w:ascii="Arial" w:hAnsi="Arial" w:cs="Arial"/>
          <w:sz w:val="22"/>
          <w:szCs w:val="22"/>
        </w:rPr>
      </w:pPr>
    </w:p>
    <w:p w14:paraId="333045A0" w14:textId="77777777" w:rsidR="00953D36" w:rsidRDefault="00953D36" w:rsidP="00173BDC">
      <w:pPr>
        <w:spacing w:line="360" w:lineRule="auto"/>
        <w:jc w:val="both"/>
        <w:rPr>
          <w:rFonts w:ascii="Arial" w:hAnsi="Arial" w:cs="Arial"/>
          <w:sz w:val="22"/>
          <w:szCs w:val="22"/>
        </w:rPr>
      </w:pPr>
    </w:p>
    <w:p w14:paraId="3A744F2B" w14:textId="77777777" w:rsidR="00953D36" w:rsidRDefault="00953D36" w:rsidP="00173BDC">
      <w:pPr>
        <w:spacing w:line="360" w:lineRule="auto"/>
        <w:jc w:val="both"/>
        <w:rPr>
          <w:rFonts w:ascii="Arial" w:hAnsi="Arial" w:cs="Arial"/>
          <w:sz w:val="22"/>
          <w:szCs w:val="22"/>
        </w:rPr>
      </w:pPr>
    </w:p>
    <w:p w14:paraId="7F333137" w14:textId="77777777" w:rsidR="00953D36" w:rsidRDefault="00953D36" w:rsidP="00173BDC">
      <w:pPr>
        <w:spacing w:line="360" w:lineRule="auto"/>
        <w:jc w:val="both"/>
        <w:rPr>
          <w:rFonts w:ascii="Arial" w:hAnsi="Arial" w:cs="Arial"/>
          <w:sz w:val="22"/>
          <w:szCs w:val="22"/>
        </w:rPr>
      </w:pPr>
    </w:p>
    <w:p w14:paraId="4F220111" w14:textId="77777777" w:rsidR="00953D36" w:rsidRDefault="00953D36" w:rsidP="00173BDC">
      <w:pPr>
        <w:spacing w:line="360" w:lineRule="auto"/>
        <w:jc w:val="both"/>
        <w:rPr>
          <w:rFonts w:ascii="Arial" w:hAnsi="Arial" w:cs="Arial"/>
          <w:sz w:val="22"/>
          <w:szCs w:val="22"/>
        </w:rPr>
      </w:pPr>
    </w:p>
    <w:p w14:paraId="34D75B03" w14:textId="77777777" w:rsidR="00953D36" w:rsidRDefault="00953D36" w:rsidP="00173BDC">
      <w:pPr>
        <w:spacing w:line="360" w:lineRule="auto"/>
        <w:jc w:val="both"/>
        <w:rPr>
          <w:rFonts w:ascii="Arial" w:hAnsi="Arial" w:cs="Arial"/>
          <w:sz w:val="22"/>
          <w:szCs w:val="22"/>
        </w:rPr>
      </w:pPr>
    </w:p>
    <w:p w14:paraId="490865D5" w14:textId="77777777" w:rsidR="00953D36" w:rsidRDefault="00953D36" w:rsidP="00173BDC">
      <w:pPr>
        <w:spacing w:line="360" w:lineRule="auto"/>
        <w:jc w:val="both"/>
        <w:rPr>
          <w:rFonts w:ascii="Arial" w:hAnsi="Arial" w:cs="Arial"/>
          <w:sz w:val="22"/>
          <w:szCs w:val="22"/>
        </w:rPr>
      </w:pPr>
    </w:p>
    <w:p w14:paraId="025ACF91" w14:textId="77777777" w:rsidR="00953D36" w:rsidRDefault="00953D36" w:rsidP="00173BDC">
      <w:pPr>
        <w:spacing w:line="360" w:lineRule="auto"/>
        <w:jc w:val="both"/>
        <w:rPr>
          <w:rFonts w:ascii="Arial" w:hAnsi="Arial" w:cs="Arial"/>
          <w:sz w:val="22"/>
          <w:szCs w:val="22"/>
        </w:rPr>
      </w:pPr>
    </w:p>
    <w:p w14:paraId="67478F81" w14:textId="77777777" w:rsidR="00953D36" w:rsidRDefault="00953D36" w:rsidP="00173BDC">
      <w:pPr>
        <w:spacing w:line="360" w:lineRule="auto"/>
        <w:jc w:val="both"/>
        <w:rPr>
          <w:rFonts w:ascii="Arial" w:hAnsi="Arial" w:cs="Arial"/>
          <w:sz w:val="22"/>
          <w:szCs w:val="22"/>
        </w:rPr>
      </w:pPr>
    </w:p>
    <w:p w14:paraId="5DF25412" w14:textId="77777777" w:rsidR="00953D36" w:rsidRDefault="00953D36" w:rsidP="00173BDC">
      <w:pPr>
        <w:spacing w:line="360" w:lineRule="auto"/>
        <w:jc w:val="both"/>
        <w:rPr>
          <w:rFonts w:ascii="Arial" w:hAnsi="Arial" w:cs="Arial"/>
          <w:sz w:val="22"/>
          <w:szCs w:val="22"/>
        </w:rPr>
      </w:pPr>
    </w:p>
    <w:p w14:paraId="1A7175A1" w14:textId="77777777" w:rsidR="00953D36" w:rsidRDefault="00953D36" w:rsidP="00173BDC">
      <w:pPr>
        <w:spacing w:line="360" w:lineRule="auto"/>
        <w:jc w:val="both"/>
        <w:rPr>
          <w:rFonts w:ascii="Arial" w:hAnsi="Arial" w:cs="Arial"/>
          <w:sz w:val="22"/>
          <w:szCs w:val="22"/>
        </w:rPr>
      </w:pPr>
    </w:p>
    <w:p w14:paraId="448D6909" w14:textId="77777777" w:rsidR="00953D36" w:rsidRDefault="00953D36" w:rsidP="00173BDC">
      <w:pPr>
        <w:spacing w:line="360" w:lineRule="auto"/>
        <w:jc w:val="both"/>
        <w:rPr>
          <w:rFonts w:ascii="Arial" w:hAnsi="Arial" w:cs="Arial"/>
          <w:sz w:val="22"/>
          <w:szCs w:val="22"/>
        </w:rPr>
      </w:pPr>
    </w:p>
    <w:p w14:paraId="1A440843" w14:textId="77777777" w:rsidR="00953D36" w:rsidRDefault="00953D36" w:rsidP="00173BDC">
      <w:pPr>
        <w:spacing w:line="360" w:lineRule="auto"/>
        <w:jc w:val="both"/>
        <w:rPr>
          <w:rFonts w:ascii="Arial" w:hAnsi="Arial" w:cs="Arial"/>
          <w:sz w:val="22"/>
          <w:szCs w:val="22"/>
        </w:rPr>
      </w:pPr>
    </w:p>
    <w:p w14:paraId="2589CE82" w14:textId="77777777" w:rsidR="00953D36" w:rsidRDefault="00953D36" w:rsidP="00173BDC">
      <w:pPr>
        <w:spacing w:line="360" w:lineRule="auto"/>
        <w:jc w:val="both"/>
        <w:rPr>
          <w:rFonts w:ascii="Arial" w:hAnsi="Arial" w:cs="Arial"/>
          <w:sz w:val="22"/>
          <w:szCs w:val="22"/>
        </w:rPr>
      </w:pPr>
    </w:p>
    <w:p w14:paraId="2798C0AC" w14:textId="77777777" w:rsidR="00953D36" w:rsidRDefault="00953D36" w:rsidP="00173BDC">
      <w:pPr>
        <w:spacing w:line="360" w:lineRule="auto"/>
        <w:jc w:val="both"/>
        <w:rPr>
          <w:rFonts w:ascii="Arial" w:hAnsi="Arial" w:cs="Arial"/>
          <w:sz w:val="22"/>
          <w:szCs w:val="22"/>
        </w:rPr>
      </w:pPr>
    </w:p>
    <w:p w14:paraId="4F1792C4" w14:textId="77777777" w:rsidR="00953D36" w:rsidRDefault="00953D36" w:rsidP="00173BDC">
      <w:pPr>
        <w:spacing w:line="360" w:lineRule="auto"/>
        <w:jc w:val="both"/>
        <w:rPr>
          <w:rFonts w:ascii="Arial" w:hAnsi="Arial" w:cs="Arial"/>
          <w:sz w:val="22"/>
          <w:szCs w:val="22"/>
        </w:rPr>
      </w:pPr>
    </w:p>
    <w:p w14:paraId="2C7FEAA9" w14:textId="77777777" w:rsidR="00953D36" w:rsidRDefault="00953D36" w:rsidP="00173BDC">
      <w:pPr>
        <w:spacing w:line="360" w:lineRule="auto"/>
        <w:jc w:val="both"/>
        <w:rPr>
          <w:rFonts w:ascii="Arial" w:hAnsi="Arial" w:cs="Arial"/>
          <w:sz w:val="22"/>
          <w:szCs w:val="22"/>
        </w:rPr>
      </w:pPr>
    </w:p>
    <w:p w14:paraId="16DBD91B" w14:textId="77777777" w:rsidR="00953D36" w:rsidRDefault="00953D36" w:rsidP="00173BDC">
      <w:pPr>
        <w:spacing w:line="360" w:lineRule="auto"/>
        <w:jc w:val="both"/>
        <w:rPr>
          <w:rFonts w:ascii="Arial" w:hAnsi="Arial" w:cs="Arial"/>
          <w:sz w:val="22"/>
          <w:szCs w:val="22"/>
        </w:rPr>
      </w:pPr>
    </w:p>
    <w:p w14:paraId="0A325BCA" w14:textId="77777777" w:rsidR="00953D36" w:rsidRDefault="00953D36" w:rsidP="00173BDC">
      <w:pPr>
        <w:spacing w:line="360" w:lineRule="auto"/>
        <w:jc w:val="both"/>
        <w:rPr>
          <w:rFonts w:ascii="Arial" w:hAnsi="Arial" w:cs="Arial"/>
          <w:sz w:val="22"/>
          <w:szCs w:val="22"/>
        </w:rPr>
      </w:pPr>
    </w:p>
    <w:p w14:paraId="6324C901" w14:textId="77777777" w:rsidR="00DF72EE" w:rsidRDefault="00DF72EE" w:rsidP="00173BDC">
      <w:pPr>
        <w:spacing w:line="360" w:lineRule="auto"/>
        <w:jc w:val="both"/>
        <w:rPr>
          <w:rFonts w:ascii="Arial" w:hAnsi="Arial" w:cs="Arial"/>
          <w:sz w:val="22"/>
          <w:szCs w:val="22"/>
        </w:rPr>
      </w:pPr>
    </w:p>
    <w:p w14:paraId="17345184" w14:textId="17F6374B" w:rsidR="00FD3F68" w:rsidRDefault="00957E95" w:rsidP="00B413B3">
      <w:pPr>
        <w:pStyle w:val="NoSpacing"/>
        <w:numPr>
          <w:ilvl w:val="0"/>
          <w:numId w:val="23"/>
        </w:numPr>
        <w:rPr>
          <w:rFonts w:ascii="Arial" w:hAnsi="Arial" w:cs="Arial"/>
          <w:b/>
          <w:bCs/>
          <w:sz w:val="28"/>
          <w:szCs w:val="28"/>
        </w:rPr>
      </w:pPr>
      <w:bookmarkStart w:id="6" w:name="_Toc240714305"/>
      <w:r w:rsidRPr="00C91883">
        <w:rPr>
          <w:rFonts w:ascii="Arial" w:hAnsi="Arial" w:cs="Arial"/>
          <w:b/>
          <w:bCs/>
          <w:sz w:val="28"/>
          <w:szCs w:val="28"/>
        </w:rPr>
        <w:lastRenderedPageBreak/>
        <w:t>Results</w:t>
      </w:r>
      <w:bookmarkEnd w:id="6"/>
    </w:p>
    <w:p w14:paraId="24801AAD" w14:textId="77777777" w:rsidR="00B413B3" w:rsidRPr="00B413B3" w:rsidRDefault="00B413B3" w:rsidP="00B413B3">
      <w:pPr>
        <w:pStyle w:val="NoSpacing"/>
        <w:ind w:left="440"/>
        <w:rPr>
          <w:rFonts w:ascii="Arial" w:hAnsi="Arial" w:cs="Arial"/>
          <w:b/>
          <w:bCs/>
          <w:sz w:val="28"/>
          <w:szCs w:val="28"/>
        </w:rPr>
      </w:pPr>
    </w:p>
    <w:p w14:paraId="2D8214E4" w14:textId="7E0C8145" w:rsidR="00957E95" w:rsidRPr="00FD3F68" w:rsidRDefault="006D325F" w:rsidP="00957E95">
      <w:pPr>
        <w:spacing w:line="360" w:lineRule="auto"/>
        <w:jc w:val="both"/>
        <w:rPr>
          <w:rFonts w:ascii="Arial" w:hAnsi="Arial" w:cs="Arial"/>
        </w:rPr>
      </w:pPr>
      <w:r w:rsidRPr="00FD3F68">
        <w:rPr>
          <w:rFonts w:ascii="Arial" w:hAnsi="Arial" w:cs="Arial"/>
          <w:b/>
          <w:bCs/>
        </w:rPr>
        <w:t>4.1 Introduction</w:t>
      </w:r>
    </w:p>
    <w:p w14:paraId="7268473E" w14:textId="3A2E6CFD" w:rsidR="00957E95" w:rsidRDefault="00957E95" w:rsidP="00FD3F68">
      <w:pPr>
        <w:spacing w:line="360" w:lineRule="auto"/>
        <w:jc w:val="both"/>
        <w:rPr>
          <w:rFonts w:ascii="Arial" w:hAnsi="Arial" w:cs="Arial"/>
          <w:sz w:val="22"/>
          <w:szCs w:val="22"/>
        </w:rPr>
      </w:pPr>
      <w:r w:rsidRPr="00957E95">
        <w:rPr>
          <w:rFonts w:ascii="Arial" w:hAnsi="Arial" w:cs="Arial"/>
          <w:sz w:val="22"/>
          <w:szCs w:val="22"/>
        </w:rPr>
        <w:t xml:space="preserve">This chapter presents the findings of the qualitative systematic review conducted to address the research question: What is the association between access to primary care services and emergency department (ED) utilisation among socioeconomically deprived populations in </w:t>
      </w:r>
      <w:r w:rsidR="00545966">
        <w:rPr>
          <w:rFonts w:ascii="Arial" w:hAnsi="Arial" w:cs="Arial"/>
          <w:sz w:val="22"/>
          <w:szCs w:val="22"/>
        </w:rPr>
        <w:t>the UK</w:t>
      </w:r>
      <w:r w:rsidRPr="00957E95">
        <w:rPr>
          <w:rFonts w:ascii="Arial" w:hAnsi="Arial" w:cs="Arial"/>
          <w:sz w:val="22"/>
          <w:szCs w:val="22"/>
        </w:rPr>
        <w:t>? As a qualitative systematic review, this chapter does not report statistical outputs as primary findings. Instead, it synthesises the themes, patterns, narratives, and meanings that emerged from across the fourteen included studies through reflexive thematic analysis, following Braun and Clarke (2006; 2019). The chapter opens with the study selection process and a summary of the characteristics of included sources. It then presents four analytically derived themes, each illustrated with evidence drawn from across the corpus and supported, where available, with direct quotations from patients and healthcare professionals as reported in the original studies. Findings are presented objectively; interpretation in relation to theory and existing literature is reserved for Chapter Five.</w:t>
      </w:r>
    </w:p>
    <w:p w14:paraId="0C79111B" w14:textId="77777777" w:rsidR="00953D36" w:rsidRPr="00957E95" w:rsidRDefault="00953D36" w:rsidP="00FD3F68">
      <w:pPr>
        <w:spacing w:line="360" w:lineRule="auto"/>
        <w:jc w:val="both"/>
        <w:rPr>
          <w:rFonts w:ascii="Arial" w:hAnsi="Arial" w:cs="Arial"/>
          <w:sz w:val="22"/>
          <w:szCs w:val="22"/>
        </w:rPr>
      </w:pPr>
    </w:p>
    <w:p w14:paraId="50518D9A" w14:textId="77777777" w:rsidR="003F63EB" w:rsidRDefault="003F63EB" w:rsidP="00173BDC">
      <w:pPr>
        <w:spacing w:line="360" w:lineRule="auto"/>
        <w:jc w:val="both"/>
        <w:rPr>
          <w:rFonts w:ascii="Arial" w:hAnsi="Arial" w:cs="Arial"/>
          <w:sz w:val="22"/>
          <w:szCs w:val="22"/>
        </w:rPr>
      </w:pPr>
    </w:p>
    <w:p w14:paraId="69FA38B7" w14:textId="59C9A0FD" w:rsidR="00712A1B" w:rsidRPr="00712A1B" w:rsidRDefault="006D325F" w:rsidP="00712A1B">
      <w:pPr>
        <w:spacing w:line="360" w:lineRule="auto"/>
        <w:jc w:val="both"/>
        <w:rPr>
          <w:rFonts w:ascii="Arial" w:hAnsi="Arial" w:cs="Arial"/>
        </w:rPr>
      </w:pPr>
      <w:r w:rsidRPr="00712A1B">
        <w:rPr>
          <w:rFonts w:ascii="Arial" w:hAnsi="Arial" w:cs="Arial"/>
          <w:b/>
          <w:bCs/>
        </w:rPr>
        <w:t>4.2 Study</w:t>
      </w:r>
      <w:r w:rsidR="00712A1B" w:rsidRPr="00712A1B">
        <w:rPr>
          <w:rFonts w:ascii="Arial" w:hAnsi="Arial" w:cs="Arial"/>
          <w:b/>
          <w:bCs/>
        </w:rPr>
        <w:t xml:space="preserve"> Selection</w:t>
      </w:r>
    </w:p>
    <w:p w14:paraId="335FC835" w14:textId="7E31FD0D" w:rsidR="00DB6994" w:rsidRDefault="00072AEC" w:rsidP="006F0C91">
      <w:pPr>
        <w:spacing w:line="360" w:lineRule="auto"/>
        <w:jc w:val="both"/>
        <w:rPr>
          <w:rFonts w:ascii="Arial" w:hAnsi="Arial" w:cs="Arial"/>
          <w:sz w:val="22"/>
          <w:szCs w:val="22"/>
        </w:rPr>
      </w:pPr>
      <w:r w:rsidRPr="00072AEC">
        <w:rPr>
          <w:rFonts w:ascii="Arial" w:hAnsi="Arial" w:cs="Arial"/>
          <w:sz w:val="22"/>
          <w:szCs w:val="22"/>
        </w:rPr>
        <w:t>Systematic database searching across MEDLINE, EMBASE, and CINAHL, supplemented by reference list tracking from identified studies and targeted grey literature searching as described in Chapter Three, generated 247 records. Following removal of 61 duplicates, 186 unique records proceeded to title and abstract screening. One hundred and twenty-eight records were excluded at this stage on grounds of irrelevance to the research question, non-English language, or study settings outside the UK NHS context. Fifty-eight full-text records were assessed against the inclusion and exclusion criteria, of which forty-four were excluded: seventeen for containing no qualitative or mixed-methods component; fourteen for populations or settings outside the UK NHS context; eight for publication predating 2016; and five for insufficient methodological quality on critical appraisal. Fourteen studies were included in the final synthesis. Figure 4.1 presents the PRISMA 2020 flow, and Table 4.2 summarises the characteristics of the included studies, including the qualitative data source within each and the analytical themes to which each contributed (Page et al., 2021).</w:t>
      </w:r>
    </w:p>
    <w:p w14:paraId="069FE61F" w14:textId="77777777" w:rsidR="0023362D" w:rsidRDefault="0023362D" w:rsidP="006F0C91">
      <w:pPr>
        <w:spacing w:line="360" w:lineRule="auto"/>
        <w:jc w:val="both"/>
        <w:rPr>
          <w:rFonts w:ascii="Arial" w:hAnsi="Arial" w:cs="Arial"/>
          <w:b/>
          <w:bCs/>
        </w:rPr>
      </w:pPr>
    </w:p>
    <w:p w14:paraId="4CD20841" w14:textId="77777777" w:rsidR="00DF72EE" w:rsidRDefault="00DF72EE" w:rsidP="006F0C91">
      <w:pPr>
        <w:spacing w:line="360" w:lineRule="auto"/>
        <w:jc w:val="both"/>
        <w:rPr>
          <w:rFonts w:ascii="Arial" w:hAnsi="Arial" w:cs="Arial"/>
          <w:b/>
          <w:bCs/>
        </w:rPr>
      </w:pPr>
    </w:p>
    <w:p w14:paraId="25457A0C" w14:textId="77777777" w:rsidR="00DF72EE" w:rsidRDefault="00DF72EE" w:rsidP="006F0C91">
      <w:pPr>
        <w:spacing w:line="360" w:lineRule="auto"/>
        <w:jc w:val="both"/>
        <w:rPr>
          <w:rFonts w:ascii="Arial" w:hAnsi="Arial" w:cs="Arial"/>
          <w:b/>
          <w:bCs/>
        </w:rPr>
      </w:pPr>
    </w:p>
    <w:p w14:paraId="4F8DD7B2" w14:textId="137C63E5" w:rsidR="00E85DEE" w:rsidRPr="001A765C" w:rsidRDefault="006F0C91" w:rsidP="000078C5">
      <w:pPr>
        <w:rPr>
          <w:rFonts w:ascii="Arial" w:hAnsi="Arial" w:cs="Arial"/>
          <w:b/>
          <w:bCs/>
        </w:rPr>
      </w:pPr>
      <w:r w:rsidRPr="001A765C">
        <w:rPr>
          <w:rFonts w:ascii="Arial" w:hAnsi="Arial" w:cs="Arial"/>
          <w:b/>
          <w:bCs/>
        </w:rPr>
        <w:lastRenderedPageBreak/>
        <w:t xml:space="preserve">4.1 </w:t>
      </w:r>
      <w:r w:rsidR="00450A5F" w:rsidRPr="001A765C">
        <w:rPr>
          <w:rFonts w:ascii="Arial" w:hAnsi="Arial" w:cs="Arial"/>
          <w:b/>
          <w:bCs/>
        </w:rPr>
        <w:t>Figure</w:t>
      </w:r>
      <w:r w:rsidR="00EB007A" w:rsidRPr="001A765C">
        <w:rPr>
          <w:rFonts w:ascii="Arial" w:hAnsi="Arial" w:cs="Arial"/>
          <w:b/>
          <w:bCs/>
        </w:rPr>
        <w:t xml:space="preserve"> 1:</w:t>
      </w:r>
      <w:r w:rsidR="00450A5F" w:rsidRPr="001A765C">
        <w:rPr>
          <w:rFonts w:ascii="Arial" w:hAnsi="Arial" w:cs="Arial"/>
          <w:b/>
          <w:bCs/>
        </w:rPr>
        <w:t xml:space="preserve"> </w:t>
      </w:r>
      <w:r w:rsidRPr="001A765C">
        <w:rPr>
          <w:rFonts w:ascii="Arial" w:hAnsi="Arial" w:cs="Arial"/>
          <w:b/>
          <w:bCs/>
        </w:rPr>
        <w:t xml:space="preserve">PRISMA Flow Summary </w:t>
      </w:r>
      <w:r w:rsidR="003507BB" w:rsidRPr="001A765C">
        <w:rPr>
          <w:rFonts w:ascii="Arial" w:hAnsi="Arial" w:cs="Arial"/>
          <w:b/>
          <w:bCs/>
        </w:rPr>
        <w:t xml:space="preserve">of Systematic Search and Screening </w:t>
      </w:r>
      <w:r w:rsidR="001A765C">
        <w:rPr>
          <w:rFonts w:ascii="Arial" w:hAnsi="Arial" w:cs="Arial"/>
          <w:b/>
          <w:bCs/>
        </w:rPr>
        <w:t xml:space="preserve">             </w:t>
      </w:r>
      <w:r w:rsidR="00951B8F" w:rsidRPr="001A765C">
        <w:rPr>
          <w:rFonts w:ascii="Arial" w:hAnsi="Arial" w:cs="Arial"/>
          <w:b/>
          <w:bCs/>
        </w:rPr>
        <w:t>Process</w:t>
      </w:r>
    </w:p>
    <w:p w14:paraId="42C3CD97" w14:textId="77777777" w:rsidR="00E85DEE" w:rsidRDefault="00E85DEE" w:rsidP="00173BDC">
      <w:pPr>
        <w:spacing w:line="360" w:lineRule="auto"/>
        <w:jc w:val="both"/>
        <w:rPr>
          <w:rFonts w:ascii="Arial" w:hAnsi="Arial" w:cs="Arial"/>
          <w:sz w:val="22"/>
          <w:szCs w:val="22"/>
        </w:rPr>
      </w:pPr>
    </w:p>
    <w:p w14:paraId="29CE333B" w14:textId="5219B959" w:rsidR="00E85DEE" w:rsidRDefault="0047195D" w:rsidP="00173BDC">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1" behindDoc="0" locked="0" layoutInCell="1" allowOverlap="1" wp14:anchorId="697F0408" wp14:editId="103E6852">
                <wp:simplePos x="0" y="0"/>
                <wp:positionH relativeFrom="column">
                  <wp:posOffset>265430</wp:posOffset>
                </wp:positionH>
                <wp:positionV relativeFrom="paragraph">
                  <wp:posOffset>114462</wp:posOffset>
                </wp:positionV>
                <wp:extent cx="2417276" cy="1382041"/>
                <wp:effectExtent l="0" t="0" r="21590" b="27940"/>
                <wp:wrapNone/>
                <wp:docPr id="1382564911" name="Rectangle: Rounded Corners 8"/>
                <wp:cNvGraphicFramePr/>
                <a:graphic xmlns:a="http://schemas.openxmlformats.org/drawingml/2006/main">
                  <a:graphicData uri="http://schemas.microsoft.com/office/word/2010/wordprocessingShape">
                    <wps:wsp>
                      <wps:cNvSpPr/>
                      <wps:spPr>
                        <a:xfrm>
                          <a:off x="0" y="0"/>
                          <a:ext cx="2417276" cy="1382041"/>
                        </a:xfrm>
                        <a:prstGeom prst="roundRect">
                          <a:avLst/>
                        </a:prstGeom>
                        <a:ln>
                          <a:solidFill>
                            <a:schemeClr val="tx2">
                              <a:lumMod val="75000"/>
                              <a:lumOff val="25000"/>
                            </a:schemeClr>
                          </a:solidFill>
                        </a:ln>
                      </wps:spPr>
                      <wps:style>
                        <a:lnRef idx="2">
                          <a:schemeClr val="accent6"/>
                        </a:lnRef>
                        <a:fillRef idx="1">
                          <a:schemeClr val="lt1"/>
                        </a:fillRef>
                        <a:effectRef idx="0">
                          <a:schemeClr val="accent6"/>
                        </a:effectRef>
                        <a:fontRef idx="minor">
                          <a:schemeClr val="dk1"/>
                        </a:fontRef>
                      </wps:style>
                      <wps:txbx>
                        <w:txbxContent>
                          <w:p w14:paraId="195797A1" w14:textId="78B96A6E" w:rsidR="00314D8E" w:rsidRPr="00091153" w:rsidRDefault="00A70293" w:rsidP="00E16285">
                            <w:pPr>
                              <w:spacing w:line="360" w:lineRule="auto"/>
                              <w:jc w:val="center"/>
                              <w:rPr>
                                <w:rFonts w:ascii="Arial" w:hAnsi="Arial" w:cs="Arial"/>
                                <w:sz w:val="32"/>
                                <w:szCs w:val="32"/>
                              </w:rPr>
                            </w:pPr>
                            <w:r w:rsidRPr="00091153">
                              <w:rPr>
                                <w:rFonts w:ascii="Arial" w:hAnsi="Arial" w:cs="Arial"/>
                                <w:sz w:val="32"/>
                                <w:szCs w:val="32"/>
                              </w:rPr>
                              <w:t xml:space="preserve">Records identified via </w:t>
                            </w:r>
                            <w:r w:rsidR="003761E1" w:rsidRPr="00091153">
                              <w:rPr>
                                <w:rFonts w:ascii="Arial" w:hAnsi="Arial" w:cs="Arial"/>
                                <w:sz w:val="32"/>
                                <w:szCs w:val="32"/>
                              </w:rPr>
                              <w:t xml:space="preserve">databased search </w:t>
                            </w:r>
                            <w:r w:rsidRPr="00091153">
                              <w:rPr>
                                <w:rFonts w:ascii="Arial" w:hAnsi="Arial" w:cs="Arial"/>
                                <w:sz w:val="32"/>
                                <w:szCs w:val="32"/>
                              </w:rPr>
                              <w:t xml:space="preserve">PubMed </w:t>
                            </w:r>
                            <w:r w:rsidRPr="00951B8F">
                              <w:rPr>
                                <w:rFonts w:ascii="Arial" w:hAnsi="Arial" w:cs="Arial"/>
                                <w:b/>
                                <w:bCs/>
                                <w:sz w:val="36"/>
                                <w:szCs w:val="36"/>
                              </w:rPr>
                              <w:t>247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97F0408" id="Rectangle: Rounded Corners 8" o:spid="_x0000_s1026" style="position:absolute;left:0;text-align:left;margin-left:20.9pt;margin-top:9pt;width:190.35pt;height:108.8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" fillcolor="white [3201]" strokecolor="#215e99 [2431]" strokeweight="1.5pt">
                <v:stroke joinstyle="miter"/>
                <v:textbox>
                  <w:txbxContent>
                    <w:p w14:paraId="195797A1" w14:textId="78B96A6E" w:rsidR="00314D8E" w:rsidRPr="00091153" w:rsidRDefault="00A70293" w:rsidP="00E16285">
                      <w:pPr>
                        <w:spacing w:line="360" w:lineRule="auto"/>
                        <w:jc w:val="center"/>
                        <w:rPr>
                          <w:rFonts w:ascii="Arial" w:hAnsi="Arial" w:cs="Arial"/>
                          <w:sz w:val="32"/>
                          <w:szCs w:val="32"/>
                        </w:rPr>
                      </w:pPr>
                      <w:r w:rsidRPr="00091153">
                        <w:rPr>
                          <w:rFonts w:ascii="Arial" w:hAnsi="Arial" w:cs="Arial"/>
                          <w:sz w:val="32"/>
                          <w:szCs w:val="32"/>
                        </w:rPr>
                        <w:t xml:space="preserve">Records identified via </w:t>
                      </w:r>
                      <w:r w:rsidR="003761E1" w:rsidRPr="00091153">
                        <w:rPr>
                          <w:rFonts w:ascii="Arial" w:hAnsi="Arial" w:cs="Arial"/>
                          <w:sz w:val="32"/>
                          <w:szCs w:val="32"/>
                        </w:rPr>
                        <w:t xml:space="preserve">databased search </w:t>
                      </w:r>
                      <w:r w:rsidRPr="00091153">
                        <w:rPr>
                          <w:rFonts w:ascii="Arial" w:hAnsi="Arial" w:cs="Arial"/>
                          <w:sz w:val="32"/>
                          <w:szCs w:val="32"/>
                        </w:rPr>
                        <w:t xml:space="preserve">PubMed </w:t>
                      </w:r>
                      <w:r w:rsidRPr="00951B8F">
                        <w:rPr>
                          <w:rFonts w:ascii="Arial" w:hAnsi="Arial" w:cs="Arial"/>
                          <w:b/>
                          <w:bCs/>
                          <w:sz w:val="36"/>
                          <w:szCs w:val="36"/>
                        </w:rPr>
                        <w:t>247</w:t>
                      </w:r>
                    </w:p>
                  </w:txbxContent>
                </v:textbox>
              </v:roundrect>
            </w:pict>
          </mc:Fallback>
        </mc:AlternateContent>
      </w:r>
    </w:p>
    <w:p w14:paraId="4586AA35" w14:textId="2EF8A252" w:rsidR="00E85DEE" w:rsidRDefault="005B78E6" w:rsidP="00173BDC">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5" behindDoc="0" locked="0" layoutInCell="1" allowOverlap="1" wp14:anchorId="24DEB10C" wp14:editId="61F76389">
                <wp:simplePos x="0" y="0"/>
                <wp:positionH relativeFrom="column">
                  <wp:posOffset>3803015</wp:posOffset>
                </wp:positionH>
                <wp:positionV relativeFrom="paragraph">
                  <wp:posOffset>121285</wp:posOffset>
                </wp:positionV>
                <wp:extent cx="2281473" cy="706170"/>
                <wp:effectExtent l="0" t="0" r="24130" b="17780"/>
                <wp:wrapNone/>
                <wp:docPr id="1834007211" name="Rectangle: Rounded Corners 14"/>
                <wp:cNvGraphicFramePr/>
                <a:graphic xmlns:a="http://schemas.openxmlformats.org/drawingml/2006/main">
                  <a:graphicData uri="http://schemas.microsoft.com/office/word/2010/wordprocessingShape">
                    <wps:wsp>
                      <wps:cNvSpPr/>
                      <wps:spPr>
                        <a:xfrm>
                          <a:off x="0" y="0"/>
                          <a:ext cx="2281473" cy="706170"/>
                        </a:xfrm>
                        <a:prstGeom prst="roundRect">
                          <a:avLst/>
                        </a:prstGeom>
                        <a:ln>
                          <a:solidFill>
                            <a:schemeClr val="tx2">
                              <a:lumMod val="75000"/>
                              <a:lumOff val="25000"/>
                            </a:schemeClr>
                          </a:solidFill>
                          <a:prstDash val="dash"/>
                        </a:ln>
                      </wps:spPr>
                      <wps:style>
                        <a:lnRef idx="2">
                          <a:schemeClr val="accent6"/>
                        </a:lnRef>
                        <a:fillRef idx="1">
                          <a:schemeClr val="lt1"/>
                        </a:fillRef>
                        <a:effectRef idx="0">
                          <a:schemeClr val="accent6"/>
                        </a:effectRef>
                        <a:fontRef idx="minor">
                          <a:schemeClr val="dk1"/>
                        </a:fontRef>
                      </wps:style>
                      <wps:txbx>
                        <w:txbxContent>
                          <w:p w14:paraId="15F6E534" w14:textId="78D75487" w:rsidR="00D518DB" w:rsidRPr="002C654E" w:rsidRDefault="002C654E" w:rsidP="00D518DB">
                            <w:pPr>
                              <w:jc w:val="center"/>
                              <w:rPr>
                                <w:rFonts w:ascii="Arial" w:hAnsi="Arial" w:cs="Arial"/>
                                <w:sz w:val="28"/>
                                <w:szCs w:val="28"/>
                              </w:rPr>
                            </w:pPr>
                            <w:r w:rsidRPr="00951B8F">
                              <w:rPr>
                                <w:rFonts w:ascii="Arial" w:hAnsi="Arial" w:cs="Arial"/>
                                <w:sz w:val="32"/>
                                <w:szCs w:val="32"/>
                              </w:rPr>
                              <w:t>Duplicates removed</w:t>
                            </w:r>
                            <w:r w:rsidRPr="002C654E">
                              <w:rPr>
                                <w:rFonts w:ascii="Arial" w:hAnsi="Arial" w:cs="Arial"/>
                                <w:sz w:val="28"/>
                                <w:szCs w:val="28"/>
                              </w:rPr>
                              <w:t xml:space="preserve"> </w:t>
                            </w:r>
                            <w:r w:rsidR="00D41EC5" w:rsidRPr="00951B8F">
                              <w:rPr>
                                <w:rFonts w:ascii="Arial" w:hAnsi="Arial" w:cs="Arial"/>
                                <w:b/>
                                <w:bCs/>
                                <w:sz w:val="36"/>
                                <w:szCs w:val="36"/>
                              </w:rPr>
                              <w:t>61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DEB10C" id="Rectangle: Rounded Corners 14" o:spid="_x0000_s1027" style="position:absolute;left:0;text-align:left;margin-left:299.45pt;margin-top:9.55pt;width:179.65pt;height:55.6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" fillcolor="white [3201]" strokecolor="#215e99 [2431]" strokeweight="1.5pt">
                <v:stroke dashstyle="dash" joinstyle="miter"/>
                <v:textbox>
                  <w:txbxContent>
                    <w:p w14:paraId="15F6E534" w14:textId="78D75487" w:rsidR="00D518DB" w:rsidRPr="002C654E" w:rsidRDefault="002C654E" w:rsidP="00D518DB">
                      <w:pPr>
                        <w:jc w:val="center"/>
                        <w:rPr>
                          <w:rFonts w:ascii="Arial" w:hAnsi="Arial" w:cs="Arial"/>
                          <w:sz w:val="28"/>
                          <w:szCs w:val="28"/>
                        </w:rPr>
                      </w:pPr>
                      <w:r w:rsidRPr="00951B8F">
                        <w:rPr>
                          <w:rFonts w:ascii="Arial" w:hAnsi="Arial" w:cs="Arial"/>
                          <w:sz w:val="32"/>
                          <w:szCs w:val="32"/>
                        </w:rPr>
                        <w:t>Duplicates removed</w:t>
                      </w:r>
                      <w:r w:rsidRPr="002C654E">
                        <w:rPr>
                          <w:rFonts w:ascii="Arial" w:hAnsi="Arial" w:cs="Arial"/>
                          <w:sz w:val="28"/>
                          <w:szCs w:val="28"/>
                        </w:rPr>
                        <w:t xml:space="preserve"> </w:t>
                      </w:r>
                      <w:r w:rsidR="00D41EC5" w:rsidRPr="00951B8F">
                        <w:rPr>
                          <w:rFonts w:ascii="Arial" w:hAnsi="Arial" w:cs="Arial"/>
                          <w:b/>
                          <w:bCs/>
                          <w:sz w:val="36"/>
                          <w:szCs w:val="36"/>
                        </w:rPr>
                        <w:t>61</w:t>
                      </w:r>
                    </w:p>
                  </w:txbxContent>
                </v:textbox>
              </v:roundrect>
            </w:pict>
          </mc:Fallback>
        </mc:AlternateContent>
      </w:r>
    </w:p>
    <w:p w14:paraId="5D7F8019" w14:textId="52D8E0EB" w:rsidR="00E85DEE" w:rsidRDefault="008446B4" w:rsidP="00173BDC">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56" behindDoc="0" locked="0" layoutInCell="1" allowOverlap="1" wp14:anchorId="5BE38908" wp14:editId="7CFB1BE4">
                <wp:simplePos x="0" y="0"/>
                <wp:positionH relativeFrom="column">
                  <wp:posOffset>3087370</wp:posOffset>
                </wp:positionH>
                <wp:positionV relativeFrom="paragraph">
                  <wp:posOffset>10160</wp:posOffset>
                </wp:positionV>
                <wp:extent cx="203835" cy="446405"/>
                <wp:effectExtent l="0" t="26035" r="0" b="36830"/>
                <wp:wrapNone/>
                <wp:docPr id="1004397313" name="Arrow: Down 18"/>
                <wp:cNvGraphicFramePr/>
                <a:graphic xmlns:a="http://schemas.openxmlformats.org/drawingml/2006/main">
                  <a:graphicData uri="http://schemas.microsoft.com/office/word/2010/wordprocessingShape">
                    <wps:wsp>
                      <wps:cNvSpPr/>
                      <wps:spPr>
                        <a:xfrm rot="16200000">
                          <a:off x="0" y="0"/>
                          <a:ext cx="203835" cy="446405"/>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162D7EA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8" o:spid="_x0000_s1026" type="#_x0000_t67" style="position:absolute;margin-left:243.1pt;margin-top:.8pt;width:16.05pt;height:35.15pt;rotation:-90;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" adj="16669" fillcolor="#156082" strokecolor="#042433" strokeweight="1.5pt"/>
            </w:pict>
          </mc:Fallback>
        </mc:AlternateContent>
      </w:r>
      <w:r w:rsidR="007905DA">
        <w:rPr>
          <w:rFonts w:ascii="Arial" w:hAnsi="Arial" w:cs="Arial"/>
          <w:noProof/>
          <w:sz w:val="22"/>
          <w:szCs w:val="22"/>
        </w:rPr>
        <mc:AlternateContent>
          <mc:Choice Requires="wps">
            <w:drawing>
              <wp:anchor distT="0" distB="0" distL="114300" distR="114300" simplePos="0" relativeHeight="251658248" behindDoc="0" locked="0" layoutInCell="1" allowOverlap="1" wp14:anchorId="3CD0D87D" wp14:editId="653969B7">
                <wp:simplePos x="0" y="0"/>
                <wp:positionH relativeFrom="margin">
                  <wp:posOffset>-1057398</wp:posOffset>
                </wp:positionH>
                <wp:positionV relativeFrom="paragraph">
                  <wp:posOffset>164148</wp:posOffset>
                </wp:positionV>
                <wp:extent cx="1823085" cy="435610"/>
                <wp:effectExtent l="7938" t="0" r="13652" b="13653"/>
                <wp:wrapNone/>
                <wp:docPr id="2112004184" name="Rectangle: Rounded Corners 9"/>
                <wp:cNvGraphicFramePr/>
                <a:graphic xmlns:a="http://schemas.openxmlformats.org/drawingml/2006/main">
                  <a:graphicData uri="http://schemas.microsoft.com/office/word/2010/wordprocessingShape">
                    <wps:wsp>
                      <wps:cNvSpPr/>
                      <wps:spPr>
                        <a:xfrm rot="16200000">
                          <a:off x="0" y="0"/>
                          <a:ext cx="1823085" cy="435610"/>
                        </a:xfrm>
                        <a:prstGeom prst="roundRect">
                          <a:avLst/>
                        </a:prstGeom>
                        <a:solidFill>
                          <a:sysClr val="window" lastClr="FFFFFF"/>
                        </a:solidFill>
                        <a:ln w="19050" cap="flat" cmpd="sng" algn="ctr">
                          <a:solidFill>
                            <a:srgbClr val="0E2841">
                              <a:lumMod val="90000"/>
                              <a:lumOff val="10000"/>
                            </a:srgbClr>
                          </a:solidFill>
                          <a:prstDash val="solid"/>
                          <a:miter lim="800000"/>
                        </a:ln>
                        <a:effectLst/>
                      </wps:spPr>
                      <wps:txbx>
                        <w:txbxContent>
                          <w:p w14:paraId="6664D7E6" w14:textId="35FCEED3" w:rsidR="00FC4CCE" w:rsidRPr="00ED509B" w:rsidRDefault="001054C3" w:rsidP="00FC4CCE">
                            <w:pPr>
                              <w:spacing w:line="276" w:lineRule="auto"/>
                              <w:jc w:val="center"/>
                              <w:rPr>
                                <w:rFonts w:ascii="Arial" w:hAnsi="Arial" w:cs="Arial"/>
                                <w:b/>
                                <w:bCs/>
                                <w:sz w:val="36"/>
                                <w:szCs w:val="36"/>
                              </w:rPr>
                            </w:pPr>
                            <w:r w:rsidRPr="00ED509B">
                              <w:rPr>
                                <w:rFonts w:ascii="Arial" w:hAnsi="Arial" w:cs="Arial"/>
                                <w:b/>
                                <w:bCs/>
                                <w:sz w:val="36"/>
                                <w:szCs w:val="36"/>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D0D87D" id="Rectangle: Rounded Corners 9" o:spid="_x0000_s1028" style="position:absolute;left:0;text-align:left;margin-left:-83.25pt;margin-top:12.95pt;width:143.55pt;height:34.3pt;rotation:-90;z-index:251658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" fillcolor="window" strokecolor="#163e64" strokeweight="1.5pt">
                <v:stroke joinstyle="miter"/>
                <v:textbox>
                  <w:txbxContent>
                    <w:p w14:paraId="6664D7E6" w14:textId="35FCEED3" w:rsidR="00FC4CCE" w:rsidRPr="00ED509B" w:rsidRDefault="001054C3" w:rsidP="00FC4CCE">
                      <w:pPr>
                        <w:spacing w:line="276" w:lineRule="auto"/>
                        <w:jc w:val="center"/>
                        <w:rPr>
                          <w:rFonts w:ascii="Arial" w:hAnsi="Arial" w:cs="Arial"/>
                          <w:b/>
                          <w:bCs/>
                          <w:sz w:val="36"/>
                          <w:szCs w:val="36"/>
                        </w:rPr>
                      </w:pPr>
                      <w:r w:rsidRPr="00ED509B">
                        <w:rPr>
                          <w:rFonts w:ascii="Arial" w:hAnsi="Arial" w:cs="Arial"/>
                          <w:b/>
                          <w:bCs/>
                          <w:sz w:val="36"/>
                          <w:szCs w:val="36"/>
                        </w:rPr>
                        <w:t>Identification</w:t>
                      </w:r>
                    </w:p>
                  </w:txbxContent>
                </v:textbox>
                <w10:wrap anchorx="margin"/>
              </v:roundrect>
            </w:pict>
          </mc:Fallback>
        </mc:AlternateContent>
      </w:r>
    </w:p>
    <w:p w14:paraId="7631300D" w14:textId="14C9CEE4" w:rsidR="00E85DEE" w:rsidRDefault="00E85DEE" w:rsidP="00173BDC">
      <w:pPr>
        <w:spacing w:line="360" w:lineRule="auto"/>
        <w:jc w:val="both"/>
        <w:rPr>
          <w:rFonts w:ascii="Arial" w:hAnsi="Arial" w:cs="Arial"/>
          <w:sz w:val="22"/>
          <w:szCs w:val="22"/>
        </w:rPr>
      </w:pPr>
    </w:p>
    <w:p w14:paraId="14AFEED0" w14:textId="3AAA4A4F" w:rsidR="00E85DEE" w:rsidRDefault="00E85DEE" w:rsidP="00173BDC">
      <w:pPr>
        <w:spacing w:line="360" w:lineRule="auto"/>
        <w:jc w:val="both"/>
        <w:rPr>
          <w:rFonts w:ascii="Arial" w:hAnsi="Arial" w:cs="Arial"/>
          <w:sz w:val="22"/>
          <w:szCs w:val="22"/>
        </w:rPr>
      </w:pPr>
    </w:p>
    <w:p w14:paraId="31B93DBE" w14:textId="5AE1B71D" w:rsidR="00E85DEE" w:rsidRDefault="00AF324F" w:rsidP="00173BDC">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52" behindDoc="0" locked="0" layoutInCell="1" allowOverlap="1" wp14:anchorId="203AB6F8" wp14:editId="7F305783">
                <wp:simplePos x="0" y="0"/>
                <wp:positionH relativeFrom="column">
                  <wp:posOffset>4842510</wp:posOffset>
                </wp:positionH>
                <wp:positionV relativeFrom="paragraph">
                  <wp:posOffset>28575</wp:posOffset>
                </wp:positionV>
                <wp:extent cx="204233" cy="446567"/>
                <wp:effectExtent l="19050" t="0" r="24765" b="29845"/>
                <wp:wrapNone/>
                <wp:docPr id="690538557" name="Arrow: Down 18"/>
                <wp:cNvGraphicFramePr/>
                <a:graphic xmlns:a="http://schemas.openxmlformats.org/drawingml/2006/main">
                  <a:graphicData uri="http://schemas.microsoft.com/office/word/2010/wordprocessingShape">
                    <wps:wsp>
                      <wps:cNvSpPr/>
                      <wps:spPr>
                        <a:xfrm>
                          <a:off x="0" y="0"/>
                          <a:ext cx="204233" cy="446567"/>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1E6FB7DE" id="Arrow: Down 18" o:spid="_x0000_s1026" type="#_x0000_t67" style="position:absolute;margin-left:381.3pt;margin-top:2.25pt;width:16.1pt;height:35.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" adj="16661" fillcolor="#156082 [3204]" strokecolor="#030e13 [484]" strokeweight="1.5pt"/>
            </w:pict>
          </mc:Fallback>
        </mc:AlternateContent>
      </w:r>
    </w:p>
    <w:p w14:paraId="6A4F8508" w14:textId="154ECE00" w:rsidR="00E85DEE" w:rsidRDefault="007E67F1" w:rsidP="00173BDC">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53" behindDoc="0" locked="0" layoutInCell="1" allowOverlap="1" wp14:anchorId="6F8738EB" wp14:editId="2AC33B71">
                <wp:simplePos x="0" y="0"/>
                <wp:positionH relativeFrom="column">
                  <wp:posOffset>1276538</wp:posOffset>
                </wp:positionH>
                <wp:positionV relativeFrom="paragraph">
                  <wp:posOffset>141077</wp:posOffset>
                </wp:positionV>
                <wp:extent cx="204233" cy="446567"/>
                <wp:effectExtent l="19050" t="0" r="24765" b="29845"/>
                <wp:wrapNone/>
                <wp:docPr id="382006049" name="Arrow: Down 18"/>
                <wp:cNvGraphicFramePr/>
                <a:graphic xmlns:a="http://schemas.openxmlformats.org/drawingml/2006/main">
                  <a:graphicData uri="http://schemas.microsoft.com/office/word/2010/wordprocessingShape">
                    <wps:wsp>
                      <wps:cNvSpPr/>
                      <wps:spPr>
                        <a:xfrm>
                          <a:off x="0" y="0"/>
                          <a:ext cx="204233" cy="446567"/>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362B91D1" id="Arrow: Down 18" o:spid="_x0000_s1026" type="#_x0000_t67" style="position:absolute;margin-left:100.5pt;margin-top:11.1pt;width:16.1pt;height:35.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" adj="16661" fillcolor="#156082" strokecolor="#042433" strokeweight="1.5pt"/>
            </w:pict>
          </mc:Fallback>
        </mc:AlternateContent>
      </w:r>
    </w:p>
    <w:p w14:paraId="73A29562" w14:textId="0C154BCB" w:rsidR="00E85DEE" w:rsidRDefault="008446B4" w:rsidP="00173BDC">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57" behindDoc="0" locked="0" layoutInCell="1" allowOverlap="1" wp14:anchorId="7A913D74" wp14:editId="7385AA5F">
                <wp:simplePos x="0" y="0"/>
                <wp:positionH relativeFrom="column">
                  <wp:posOffset>3091815</wp:posOffset>
                </wp:positionH>
                <wp:positionV relativeFrom="paragraph">
                  <wp:posOffset>456565</wp:posOffset>
                </wp:positionV>
                <wp:extent cx="203835" cy="446405"/>
                <wp:effectExtent l="0" t="26035" r="0" b="36830"/>
                <wp:wrapNone/>
                <wp:docPr id="1238107454" name="Arrow: Down 18"/>
                <wp:cNvGraphicFramePr/>
                <a:graphic xmlns:a="http://schemas.openxmlformats.org/drawingml/2006/main">
                  <a:graphicData uri="http://schemas.microsoft.com/office/word/2010/wordprocessingShape">
                    <wps:wsp>
                      <wps:cNvSpPr/>
                      <wps:spPr>
                        <a:xfrm rot="16200000">
                          <a:off x="0" y="0"/>
                          <a:ext cx="203835" cy="446405"/>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4F141DD3" id="Arrow: Down 18" o:spid="_x0000_s1026" type="#_x0000_t67" style="position:absolute;margin-left:243.45pt;margin-top:35.95pt;width:16.05pt;height:35.15pt;rotation:-90;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" adj="16669" fillcolor="#156082" strokecolor="#042433" strokeweight="1.5pt"/>
            </w:pict>
          </mc:Fallback>
        </mc:AlternateContent>
      </w:r>
      <w:r>
        <w:rPr>
          <w:rFonts w:ascii="Arial" w:hAnsi="Arial" w:cs="Arial"/>
          <w:noProof/>
          <w:sz w:val="22"/>
          <w:szCs w:val="22"/>
        </w:rPr>
        <mc:AlternateContent>
          <mc:Choice Requires="wps">
            <w:drawing>
              <wp:anchor distT="0" distB="0" distL="114300" distR="114300" simplePos="0" relativeHeight="251658246" behindDoc="0" locked="0" layoutInCell="1" allowOverlap="1" wp14:anchorId="683D4799" wp14:editId="65890B31">
                <wp:simplePos x="0" y="0"/>
                <wp:positionH relativeFrom="column">
                  <wp:posOffset>3852545</wp:posOffset>
                </wp:positionH>
                <wp:positionV relativeFrom="paragraph">
                  <wp:posOffset>241300</wp:posOffset>
                </wp:positionV>
                <wp:extent cx="2280920" cy="706120"/>
                <wp:effectExtent l="0" t="0" r="24130" b="17780"/>
                <wp:wrapTopAndBottom/>
                <wp:docPr id="148317766" name="Rectangle: Rounded Corners 14"/>
                <wp:cNvGraphicFramePr/>
                <a:graphic xmlns:a="http://schemas.openxmlformats.org/drawingml/2006/main">
                  <a:graphicData uri="http://schemas.microsoft.com/office/word/2010/wordprocessingShape">
                    <wps:wsp>
                      <wps:cNvSpPr/>
                      <wps:spPr>
                        <a:xfrm>
                          <a:off x="0" y="0"/>
                          <a:ext cx="2280920" cy="706120"/>
                        </a:xfrm>
                        <a:prstGeom prst="roundRect">
                          <a:avLst/>
                        </a:prstGeom>
                        <a:solidFill>
                          <a:sysClr val="window" lastClr="FFFFFF"/>
                        </a:solidFill>
                        <a:ln w="19050" cap="flat" cmpd="sng" algn="ctr">
                          <a:solidFill>
                            <a:srgbClr val="C00000"/>
                          </a:solidFill>
                          <a:prstDash val="dash"/>
                          <a:miter lim="800000"/>
                        </a:ln>
                        <a:effectLst/>
                      </wps:spPr>
                      <wps:txbx>
                        <w:txbxContent>
                          <w:p w14:paraId="685BBD47" w14:textId="750157AB" w:rsidR="00572E9C" w:rsidRPr="002C654E" w:rsidRDefault="00031CD4" w:rsidP="00572E9C">
                            <w:pPr>
                              <w:jc w:val="center"/>
                              <w:rPr>
                                <w:rFonts w:ascii="Arial" w:hAnsi="Arial" w:cs="Arial"/>
                                <w:sz w:val="28"/>
                                <w:szCs w:val="28"/>
                              </w:rPr>
                            </w:pPr>
                            <w:r w:rsidRPr="00951B8F">
                              <w:rPr>
                                <w:rFonts w:ascii="Arial" w:hAnsi="Arial" w:cs="Arial"/>
                                <w:sz w:val="32"/>
                                <w:szCs w:val="32"/>
                              </w:rPr>
                              <w:t>Records excluded</w:t>
                            </w:r>
                            <w:r w:rsidRPr="00031CD4">
                              <w:rPr>
                                <w:rFonts w:ascii="Arial" w:hAnsi="Arial" w:cs="Arial"/>
                                <w:b/>
                                <w:bCs/>
                                <w:sz w:val="28"/>
                                <w:szCs w:val="28"/>
                              </w:rPr>
                              <w:t xml:space="preserve"> </w:t>
                            </w:r>
                            <w:r w:rsidRPr="00951B8F">
                              <w:rPr>
                                <w:rFonts w:ascii="Arial" w:hAnsi="Arial" w:cs="Arial"/>
                                <w:b/>
                                <w:bCs/>
                                <w:sz w:val="36"/>
                                <w:szCs w:val="36"/>
                              </w:rPr>
                              <w:t>128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3D4799" id="_x0000_s1029" style="position:absolute;left:0;text-align:left;margin-left:303.35pt;margin-top:19pt;width:179.6pt;height:55.6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" fillcolor="window" strokecolor="#c00000" strokeweight="1.5pt">
                <v:stroke dashstyle="dash" joinstyle="miter"/>
                <v:textbox>
                  <w:txbxContent>
                    <w:p w14:paraId="685BBD47" w14:textId="750157AB" w:rsidR="00572E9C" w:rsidRPr="002C654E" w:rsidRDefault="00031CD4" w:rsidP="00572E9C">
                      <w:pPr>
                        <w:jc w:val="center"/>
                        <w:rPr>
                          <w:rFonts w:ascii="Arial" w:hAnsi="Arial" w:cs="Arial"/>
                          <w:sz w:val="28"/>
                          <w:szCs w:val="28"/>
                        </w:rPr>
                      </w:pPr>
                      <w:r w:rsidRPr="00951B8F">
                        <w:rPr>
                          <w:rFonts w:ascii="Arial" w:hAnsi="Arial" w:cs="Arial"/>
                          <w:sz w:val="32"/>
                          <w:szCs w:val="32"/>
                        </w:rPr>
                        <w:t>Records excluded</w:t>
                      </w:r>
                      <w:r w:rsidRPr="00031CD4">
                        <w:rPr>
                          <w:rFonts w:ascii="Arial" w:hAnsi="Arial" w:cs="Arial"/>
                          <w:b/>
                          <w:bCs/>
                          <w:sz w:val="28"/>
                          <w:szCs w:val="28"/>
                        </w:rPr>
                        <w:t xml:space="preserve"> </w:t>
                      </w:r>
                      <w:r w:rsidRPr="00951B8F">
                        <w:rPr>
                          <w:rFonts w:ascii="Arial" w:hAnsi="Arial" w:cs="Arial"/>
                          <w:b/>
                          <w:bCs/>
                          <w:sz w:val="36"/>
                          <w:szCs w:val="36"/>
                        </w:rPr>
                        <w:t>128</w:t>
                      </w:r>
                    </w:p>
                  </w:txbxContent>
                </v:textbox>
                <w10:wrap type="topAndBottom"/>
              </v:roundrect>
            </w:pict>
          </mc:Fallback>
        </mc:AlternateContent>
      </w:r>
      <w:r w:rsidR="007905DA">
        <w:rPr>
          <w:rFonts w:ascii="Arial" w:hAnsi="Arial" w:cs="Arial"/>
          <w:noProof/>
          <w:sz w:val="22"/>
          <w:szCs w:val="22"/>
        </w:rPr>
        <mc:AlternateContent>
          <mc:Choice Requires="wps">
            <w:drawing>
              <wp:anchor distT="0" distB="0" distL="114300" distR="114300" simplePos="0" relativeHeight="251658249" behindDoc="0" locked="0" layoutInCell="1" allowOverlap="1" wp14:anchorId="36D75B0E" wp14:editId="2809541C">
                <wp:simplePos x="0" y="0"/>
                <wp:positionH relativeFrom="margin">
                  <wp:posOffset>-886729</wp:posOffset>
                </wp:positionH>
                <wp:positionV relativeFrom="paragraph">
                  <wp:posOffset>915988</wp:posOffset>
                </wp:positionV>
                <wp:extent cx="1473835" cy="435610"/>
                <wp:effectExtent l="4763" t="0" r="16827" b="16828"/>
                <wp:wrapNone/>
                <wp:docPr id="1176022971" name="Rectangle: Rounded Corners 9"/>
                <wp:cNvGraphicFramePr/>
                <a:graphic xmlns:a="http://schemas.openxmlformats.org/drawingml/2006/main">
                  <a:graphicData uri="http://schemas.microsoft.com/office/word/2010/wordprocessingShape">
                    <wps:wsp>
                      <wps:cNvSpPr/>
                      <wps:spPr>
                        <a:xfrm rot="16200000">
                          <a:off x="0" y="0"/>
                          <a:ext cx="1473835" cy="435610"/>
                        </a:xfrm>
                        <a:prstGeom prst="roundRect">
                          <a:avLst/>
                        </a:prstGeom>
                        <a:solidFill>
                          <a:sysClr val="window" lastClr="FFFFFF"/>
                        </a:solidFill>
                        <a:ln w="19050" cap="flat" cmpd="sng" algn="ctr">
                          <a:solidFill>
                            <a:srgbClr val="0E2841">
                              <a:lumMod val="90000"/>
                              <a:lumOff val="10000"/>
                            </a:srgbClr>
                          </a:solidFill>
                          <a:prstDash val="solid"/>
                          <a:miter lim="800000"/>
                        </a:ln>
                        <a:effectLst/>
                      </wps:spPr>
                      <wps:txbx>
                        <w:txbxContent>
                          <w:p w14:paraId="7381E97C" w14:textId="4DCDE7CA" w:rsidR="00ED509B" w:rsidRPr="001054C3" w:rsidRDefault="006A62C0" w:rsidP="00ED509B">
                            <w:pPr>
                              <w:spacing w:line="276" w:lineRule="auto"/>
                              <w:jc w:val="center"/>
                              <w:rPr>
                                <w:rFonts w:ascii="Arial" w:hAnsi="Arial" w:cs="Arial"/>
                                <w:b/>
                                <w:bCs/>
                                <w:sz w:val="40"/>
                                <w:szCs w:val="40"/>
                              </w:rPr>
                            </w:pPr>
                            <w:r w:rsidRPr="006A62C0">
                              <w:rPr>
                                <w:rFonts w:ascii="Arial" w:hAnsi="Arial" w:cs="Arial"/>
                                <w:b/>
                                <w:bCs/>
                                <w:sz w:val="40"/>
                                <w:szCs w:val="40"/>
                              </w:rPr>
                              <w:t>Screening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D75B0E" id="_x0000_s1030" style="position:absolute;left:0;text-align:left;margin-left:-69.8pt;margin-top:72.15pt;width:116.05pt;height:34.3pt;rotation:-90;z-index:25165824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" fillcolor="window" strokecolor="#163e64" strokeweight="1.5pt">
                <v:stroke joinstyle="miter"/>
                <v:textbox>
                  <w:txbxContent>
                    <w:p w14:paraId="7381E97C" w14:textId="4DCDE7CA" w:rsidR="00ED509B" w:rsidRPr="001054C3" w:rsidRDefault="006A62C0" w:rsidP="00ED509B">
                      <w:pPr>
                        <w:spacing w:line="276" w:lineRule="auto"/>
                        <w:jc w:val="center"/>
                        <w:rPr>
                          <w:rFonts w:ascii="Arial" w:hAnsi="Arial" w:cs="Arial"/>
                          <w:b/>
                          <w:bCs/>
                          <w:sz w:val="40"/>
                          <w:szCs w:val="40"/>
                        </w:rPr>
                      </w:pPr>
                      <w:r w:rsidRPr="006A62C0">
                        <w:rPr>
                          <w:rFonts w:ascii="Arial" w:hAnsi="Arial" w:cs="Arial"/>
                          <w:b/>
                          <w:bCs/>
                          <w:sz w:val="40"/>
                          <w:szCs w:val="40"/>
                        </w:rPr>
                        <w:t>Screening</w:t>
                      </w:r>
                    </w:p>
                  </w:txbxContent>
                </v:textbox>
                <w10:wrap anchorx="margin"/>
              </v:roundrect>
            </w:pict>
          </mc:Fallback>
        </mc:AlternateContent>
      </w:r>
      <w:r w:rsidR="00091153">
        <w:rPr>
          <w:rFonts w:ascii="Arial" w:hAnsi="Arial" w:cs="Arial"/>
          <w:noProof/>
          <w:sz w:val="22"/>
          <w:szCs w:val="22"/>
        </w:rPr>
        <mc:AlternateContent>
          <mc:Choice Requires="wps">
            <w:drawing>
              <wp:anchor distT="0" distB="0" distL="114300" distR="114300" simplePos="0" relativeHeight="251658242" behindDoc="0" locked="0" layoutInCell="1" allowOverlap="1" wp14:anchorId="7A8C4A23" wp14:editId="10546D0B">
                <wp:simplePos x="0" y="0"/>
                <wp:positionH relativeFrom="column">
                  <wp:posOffset>220980</wp:posOffset>
                </wp:positionH>
                <wp:positionV relativeFrom="paragraph">
                  <wp:posOffset>447513</wp:posOffset>
                </wp:positionV>
                <wp:extent cx="2489200" cy="1350334"/>
                <wp:effectExtent l="0" t="0" r="25400" b="21590"/>
                <wp:wrapNone/>
                <wp:docPr id="1494206011" name="Rectangle: Rounded Corners 9"/>
                <wp:cNvGraphicFramePr/>
                <a:graphic xmlns:a="http://schemas.openxmlformats.org/drawingml/2006/main">
                  <a:graphicData uri="http://schemas.microsoft.com/office/word/2010/wordprocessingShape">
                    <wps:wsp>
                      <wps:cNvSpPr/>
                      <wps:spPr>
                        <a:xfrm>
                          <a:off x="0" y="0"/>
                          <a:ext cx="2489200" cy="1350334"/>
                        </a:xfrm>
                        <a:prstGeom prst="roundRect">
                          <a:avLst/>
                        </a:prstGeom>
                        <a:ln>
                          <a:solidFill>
                            <a:schemeClr val="tx2">
                              <a:lumMod val="90000"/>
                              <a:lumOff val="10000"/>
                            </a:schemeClr>
                          </a:solidFill>
                        </a:ln>
                      </wps:spPr>
                      <wps:style>
                        <a:lnRef idx="2">
                          <a:schemeClr val="accent6"/>
                        </a:lnRef>
                        <a:fillRef idx="1">
                          <a:schemeClr val="lt1"/>
                        </a:fillRef>
                        <a:effectRef idx="0">
                          <a:schemeClr val="accent6"/>
                        </a:effectRef>
                        <a:fontRef idx="minor">
                          <a:schemeClr val="dk1"/>
                        </a:fontRef>
                      </wps:style>
                      <wps:txbx>
                        <w:txbxContent>
                          <w:p w14:paraId="09F37D71" w14:textId="4F8D3F12" w:rsidR="00F94226" w:rsidRPr="00091153" w:rsidRDefault="00F94226" w:rsidP="00E16285">
                            <w:pPr>
                              <w:spacing w:line="276" w:lineRule="auto"/>
                              <w:jc w:val="center"/>
                              <w:rPr>
                                <w:rFonts w:ascii="Arial" w:hAnsi="Arial" w:cs="Arial"/>
                                <w:sz w:val="32"/>
                                <w:szCs w:val="32"/>
                              </w:rPr>
                            </w:pPr>
                            <w:r w:rsidRPr="00091153">
                              <w:rPr>
                                <w:rFonts w:ascii="Arial" w:hAnsi="Arial" w:cs="Arial"/>
                                <w:sz w:val="32"/>
                                <w:szCs w:val="32"/>
                              </w:rPr>
                              <w:t xml:space="preserve">Records screened (title and abstract) </w:t>
                            </w:r>
                            <w:r w:rsidRPr="00951B8F">
                              <w:rPr>
                                <w:rFonts w:ascii="Arial" w:hAnsi="Arial" w:cs="Arial"/>
                                <w:b/>
                                <w:bCs/>
                                <w:sz w:val="36"/>
                                <w:szCs w:val="36"/>
                              </w:rPr>
                              <w:t>186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8C4A23" id="_x0000_s1031" style="position:absolute;left:0;text-align:left;margin-left:17.4pt;margin-top:35.25pt;width:196pt;height:106.3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" fillcolor="white [3201]" strokecolor="#153e64 [2911]" strokeweight="1.5pt">
                <v:stroke joinstyle="miter"/>
                <v:textbox>
                  <w:txbxContent>
                    <w:p w14:paraId="09F37D71" w14:textId="4F8D3F12" w:rsidR="00F94226" w:rsidRPr="00091153" w:rsidRDefault="00F94226" w:rsidP="00E16285">
                      <w:pPr>
                        <w:spacing w:line="276" w:lineRule="auto"/>
                        <w:jc w:val="center"/>
                        <w:rPr>
                          <w:rFonts w:ascii="Arial" w:hAnsi="Arial" w:cs="Arial"/>
                          <w:sz w:val="32"/>
                          <w:szCs w:val="32"/>
                        </w:rPr>
                      </w:pPr>
                      <w:r w:rsidRPr="00091153">
                        <w:rPr>
                          <w:rFonts w:ascii="Arial" w:hAnsi="Arial" w:cs="Arial"/>
                          <w:sz w:val="32"/>
                          <w:szCs w:val="32"/>
                        </w:rPr>
                        <w:t xml:space="preserve">Records screened (title and abstract) </w:t>
                      </w:r>
                      <w:r w:rsidRPr="00951B8F">
                        <w:rPr>
                          <w:rFonts w:ascii="Arial" w:hAnsi="Arial" w:cs="Arial"/>
                          <w:b/>
                          <w:bCs/>
                          <w:sz w:val="36"/>
                          <w:szCs w:val="36"/>
                        </w:rPr>
                        <w:t>186</w:t>
                      </w:r>
                    </w:p>
                  </w:txbxContent>
                </v:textbox>
              </v:roundrect>
            </w:pict>
          </mc:Fallback>
        </mc:AlternateContent>
      </w:r>
    </w:p>
    <w:p w14:paraId="0D8EA401" w14:textId="6EC42495" w:rsidR="00E85DEE" w:rsidRDefault="00E85DEE" w:rsidP="00173BDC">
      <w:pPr>
        <w:spacing w:line="360" w:lineRule="auto"/>
        <w:jc w:val="both"/>
        <w:rPr>
          <w:rFonts w:ascii="Arial" w:hAnsi="Arial" w:cs="Arial"/>
          <w:sz w:val="22"/>
          <w:szCs w:val="22"/>
        </w:rPr>
      </w:pPr>
    </w:p>
    <w:p w14:paraId="267CCA27" w14:textId="0B07BC29" w:rsidR="00E85DEE" w:rsidRDefault="00E85DEE" w:rsidP="00173BDC">
      <w:pPr>
        <w:spacing w:line="360" w:lineRule="auto"/>
        <w:jc w:val="both"/>
        <w:rPr>
          <w:rFonts w:ascii="Arial" w:hAnsi="Arial" w:cs="Arial"/>
          <w:sz w:val="22"/>
          <w:szCs w:val="22"/>
        </w:rPr>
      </w:pPr>
    </w:p>
    <w:p w14:paraId="41447D3E" w14:textId="47596410" w:rsidR="00E85DEE" w:rsidRDefault="00E85DEE" w:rsidP="00173BDC">
      <w:pPr>
        <w:spacing w:line="360" w:lineRule="auto"/>
        <w:jc w:val="both"/>
        <w:rPr>
          <w:rFonts w:ascii="Arial" w:hAnsi="Arial" w:cs="Arial"/>
          <w:sz w:val="22"/>
          <w:szCs w:val="22"/>
        </w:rPr>
      </w:pPr>
    </w:p>
    <w:p w14:paraId="4CC6A361" w14:textId="3C75B185" w:rsidR="00E85DEE" w:rsidRDefault="00585133" w:rsidP="00173BDC">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7" behindDoc="0" locked="0" layoutInCell="1" allowOverlap="1" wp14:anchorId="66DEFE10" wp14:editId="2638DE31">
                <wp:simplePos x="0" y="0"/>
                <wp:positionH relativeFrom="column">
                  <wp:posOffset>3536315</wp:posOffset>
                </wp:positionH>
                <wp:positionV relativeFrom="paragraph">
                  <wp:posOffset>92075</wp:posOffset>
                </wp:positionV>
                <wp:extent cx="2869949" cy="4237022"/>
                <wp:effectExtent l="0" t="0" r="26035" b="11430"/>
                <wp:wrapNone/>
                <wp:docPr id="1382258292" name="Rectangle: Rounded Corners 15"/>
                <wp:cNvGraphicFramePr/>
                <a:graphic xmlns:a="http://schemas.openxmlformats.org/drawingml/2006/main">
                  <a:graphicData uri="http://schemas.microsoft.com/office/word/2010/wordprocessingShape">
                    <wps:wsp>
                      <wps:cNvSpPr/>
                      <wps:spPr>
                        <a:xfrm>
                          <a:off x="0" y="0"/>
                          <a:ext cx="2869949" cy="4237022"/>
                        </a:xfrm>
                        <a:prstGeom prst="roundRect">
                          <a:avLst/>
                        </a:prstGeom>
                        <a:ln>
                          <a:solidFill>
                            <a:srgbClr val="C00000"/>
                          </a:solidFill>
                        </a:ln>
                      </wps:spPr>
                      <wps:style>
                        <a:lnRef idx="2">
                          <a:schemeClr val="accent6"/>
                        </a:lnRef>
                        <a:fillRef idx="1">
                          <a:schemeClr val="lt1"/>
                        </a:fillRef>
                        <a:effectRef idx="0">
                          <a:schemeClr val="accent6"/>
                        </a:effectRef>
                        <a:fontRef idx="minor">
                          <a:schemeClr val="dk1"/>
                        </a:fontRef>
                      </wps:style>
                      <wps:txbx>
                        <w:txbxContent>
                          <w:p w14:paraId="659EAAAC" w14:textId="7BE1E32D" w:rsidR="007A27E4" w:rsidRDefault="005C3E6D" w:rsidP="007A27E4">
                            <w:pPr>
                              <w:jc w:val="center"/>
                              <w:rPr>
                                <w:rFonts w:ascii="Arial" w:hAnsi="Arial" w:cs="Arial"/>
                                <w:sz w:val="32"/>
                                <w:szCs w:val="32"/>
                              </w:rPr>
                            </w:pPr>
                            <w:r w:rsidRPr="005C3E6D">
                              <w:rPr>
                                <w:rFonts w:ascii="Arial" w:hAnsi="Arial" w:cs="Arial"/>
                                <w:sz w:val="32"/>
                                <w:szCs w:val="32"/>
                              </w:rPr>
                              <w:t>Full-text records</w:t>
                            </w:r>
                          </w:p>
                          <w:p w14:paraId="171A2CDA" w14:textId="13068325" w:rsidR="007A27E4" w:rsidRDefault="005C3E6D" w:rsidP="007A27E4">
                            <w:pPr>
                              <w:jc w:val="center"/>
                              <w:rPr>
                                <w:rFonts w:ascii="Arial" w:hAnsi="Arial" w:cs="Arial"/>
                                <w:sz w:val="32"/>
                                <w:szCs w:val="32"/>
                              </w:rPr>
                            </w:pPr>
                            <w:r w:rsidRPr="005C3E6D">
                              <w:rPr>
                                <w:rFonts w:ascii="Arial" w:hAnsi="Arial" w:cs="Arial"/>
                                <w:sz w:val="32"/>
                                <w:szCs w:val="32"/>
                              </w:rPr>
                              <w:t>excluded</w:t>
                            </w:r>
                            <w:r w:rsidRPr="007A27E4">
                              <w:rPr>
                                <w:rFonts w:ascii="Arial" w:hAnsi="Arial" w:cs="Arial"/>
                                <w:b/>
                                <w:bCs/>
                                <w:sz w:val="32"/>
                                <w:szCs w:val="32"/>
                              </w:rPr>
                              <w:t xml:space="preserve"> 44</w:t>
                            </w:r>
                          </w:p>
                          <w:p w14:paraId="00452E2B" w14:textId="77777777" w:rsidR="007A27E4" w:rsidRDefault="007A27E4" w:rsidP="007A27E4">
                            <w:pPr>
                              <w:jc w:val="center"/>
                              <w:rPr>
                                <w:rFonts w:ascii="Arial" w:hAnsi="Arial" w:cs="Arial"/>
                                <w:sz w:val="32"/>
                                <w:szCs w:val="32"/>
                              </w:rPr>
                            </w:pPr>
                          </w:p>
                          <w:p w14:paraId="33F10AD0" w14:textId="62375859" w:rsidR="00DB1750" w:rsidRDefault="00DB1750" w:rsidP="007A27E4">
                            <w:pPr>
                              <w:jc w:val="center"/>
                              <w:rPr>
                                <w:rFonts w:ascii="Arial" w:hAnsi="Arial" w:cs="Arial"/>
                                <w:sz w:val="32"/>
                                <w:szCs w:val="32"/>
                              </w:rPr>
                            </w:pPr>
                            <w:r w:rsidRPr="00F576B7">
                              <w:rPr>
                                <w:rFonts w:ascii="Arial" w:hAnsi="Arial" w:cs="Arial"/>
                                <w:sz w:val="32"/>
                                <w:szCs w:val="32"/>
                              </w:rPr>
                              <w:t>Reasons for exclusion</w:t>
                            </w:r>
                          </w:p>
                          <w:p w14:paraId="4458BE7C" w14:textId="77777777" w:rsidR="005C3E6D" w:rsidRPr="00F576B7" w:rsidRDefault="005C3E6D" w:rsidP="00DB1750">
                            <w:pPr>
                              <w:rPr>
                                <w:rFonts w:ascii="Arial" w:hAnsi="Arial" w:cs="Arial"/>
                                <w:sz w:val="32"/>
                                <w:szCs w:val="32"/>
                              </w:rPr>
                            </w:pPr>
                          </w:p>
                          <w:p w14:paraId="313F3CD9" w14:textId="504404E0" w:rsidR="00DB1750" w:rsidRPr="00493DBE" w:rsidRDefault="00DB1750" w:rsidP="00493DBE">
                            <w:pPr>
                              <w:spacing w:line="360" w:lineRule="auto"/>
                              <w:rPr>
                                <w:rFonts w:ascii="Arial" w:hAnsi="Arial" w:cs="Arial"/>
                                <w:sz w:val="28"/>
                                <w:szCs w:val="28"/>
                              </w:rPr>
                            </w:pPr>
                            <w:r w:rsidRPr="00493DBE">
                              <w:rPr>
                                <w:rFonts w:ascii="Arial" w:hAnsi="Arial" w:cs="Arial"/>
                                <w:sz w:val="28"/>
                                <w:szCs w:val="28"/>
                              </w:rPr>
                              <w:t>No qualitative or mixed-methods component</w:t>
                            </w:r>
                            <w:r w:rsidR="00493DBE" w:rsidRPr="00493DBE">
                              <w:rPr>
                                <w:rFonts w:ascii="Arial" w:hAnsi="Arial" w:cs="Arial"/>
                                <w:sz w:val="28"/>
                                <w:szCs w:val="28"/>
                              </w:rPr>
                              <w:t xml:space="preserve"> -</w:t>
                            </w:r>
                            <w:r w:rsidRPr="00493DBE">
                              <w:rPr>
                                <w:rFonts w:ascii="Arial" w:hAnsi="Arial" w:cs="Arial"/>
                                <w:sz w:val="28"/>
                                <w:szCs w:val="28"/>
                              </w:rPr>
                              <w:t xml:space="preserve"> </w:t>
                            </w:r>
                            <w:r w:rsidRPr="00951B8F">
                              <w:rPr>
                                <w:rFonts w:ascii="Arial" w:hAnsi="Arial" w:cs="Arial"/>
                                <w:b/>
                                <w:bCs/>
                                <w:sz w:val="32"/>
                                <w:szCs w:val="32"/>
                              </w:rPr>
                              <w:t>1</w:t>
                            </w:r>
                            <w:r w:rsidR="00F405EA">
                              <w:rPr>
                                <w:rFonts w:ascii="Arial" w:hAnsi="Arial" w:cs="Arial"/>
                                <w:b/>
                                <w:bCs/>
                                <w:sz w:val="32"/>
                                <w:szCs w:val="32"/>
                              </w:rPr>
                              <w:t>7</w:t>
                            </w:r>
                          </w:p>
                          <w:p w14:paraId="620E16F7" w14:textId="4FAC5F48" w:rsidR="00DB1750" w:rsidRPr="00493DBE" w:rsidRDefault="00DB1750" w:rsidP="00493DBE">
                            <w:pPr>
                              <w:spacing w:line="360" w:lineRule="auto"/>
                              <w:rPr>
                                <w:rFonts w:ascii="Arial" w:hAnsi="Arial" w:cs="Arial"/>
                                <w:sz w:val="28"/>
                                <w:szCs w:val="28"/>
                              </w:rPr>
                            </w:pPr>
                            <w:r w:rsidRPr="00493DBE">
                              <w:rPr>
                                <w:rFonts w:ascii="Arial" w:hAnsi="Arial" w:cs="Arial"/>
                                <w:sz w:val="28"/>
                                <w:szCs w:val="28"/>
                              </w:rPr>
                              <w:t xml:space="preserve">Population or setting outside the UK NHS context </w:t>
                            </w:r>
                            <w:r w:rsidR="00493DBE" w:rsidRPr="00493DBE">
                              <w:rPr>
                                <w:rFonts w:ascii="Arial" w:hAnsi="Arial" w:cs="Arial"/>
                                <w:sz w:val="28"/>
                                <w:szCs w:val="28"/>
                              </w:rPr>
                              <w:t>-</w:t>
                            </w:r>
                            <w:r w:rsidRPr="00951B8F">
                              <w:rPr>
                                <w:rFonts w:ascii="Arial" w:hAnsi="Arial" w:cs="Arial"/>
                                <w:sz w:val="32"/>
                                <w:szCs w:val="32"/>
                              </w:rPr>
                              <w:t xml:space="preserve"> </w:t>
                            </w:r>
                            <w:r w:rsidRPr="00951B8F">
                              <w:rPr>
                                <w:rFonts w:ascii="Arial" w:hAnsi="Arial" w:cs="Arial"/>
                                <w:b/>
                                <w:bCs/>
                                <w:sz w:val="32"/>
                                <w:szCs w:val="32"/>
                              </w:rPr>
                              <w:t>14</w:t>
                            </w:r>
                          </w:p>
                          <w:p w14:paraId="5193DC2B" w14:textId="69EB5046" w:rsidR="00DB1750" w:rsidRPr="00493DBE" w:rsidRDefault="00DB1750" w:rsidP="00493DBE">
                            <w:pPr>
                              <w:spacing w:line="360" w:lineRule="auto"/>
                              <w:rPr>
                                <w:rFonts w:ascii="Arial" w:hAnsi="Arial" w:cs="Arial"/>
                                <w:sz w:val="28"/>
                                <w:szCs w:val="28"/>
                              </w:rPr>
                            </w:pPr>
                            <w:r w:rsidRPr="00493DBE">
                              <w:rPr>
                                <w:rFonts w:ascii="Arial" w:hAnsi="Arial" w:cs="Arial"/>
                                <w:sz w:val="28"/>
                                <w:szCs w:val="28"/>
                              </w:rPr>
                              <w:t xml:space="preserve">Publication predating 2016 </w:t>
                            </w:r>
                            <w:r w:rsidR="00493DBE" w:rsidRPr="00493DBE">
                              <w:rPr>
                                <w:rFonts w:ascii="Arial" w:hAnsi="Arial" w:cs="Arial"/>
                                <w:sz w:val="28"/>
                                <w:szCs w:val="28"/>
                              </w:rPr>
                              <w:t>-</w:t>
                            </w:r>
                            <w:r w:rsidRPr="00493DBE">
                              <w:rPr>
                                <w:rFonts w:ascii="Arial" w:hAnsi="Arial" w:cs="Arial"/>
                                <w:sz w:val="28"/>
                                <w:szCs w:val="28"/>
                              </w:rPr>
                              <w:t xml:space="preserve"> </w:t>
                            </w:r>
                            <w:r w:rsidR="00395073">
                              <w:rPr>
                                <w:rFonts w:ascii="Arial" w:hAnsi="Arial" w:cs="Arial"/>
                                <w:b/>
                                <w:bCs/>
                                <w:sz w:val="32"/>
                                <w:szCs w:val="32"/>
                              </w:rPr>
                              <w:t>8</w:t>
                            </w:r>
                          </w:p>
                          <w:p w14:paraId="5412A022" w14:textId="10CD9485" w:rsidR="00373DCA" w:rsidRPr="00493DBE" w:rsidRDefault="00DB1750" w:rsidP="00493DBE">
                            <w:pPr>
                              <w:spacing w:line="360" w:lineRule="auto"/>
                              <w:rPr>
                                <w:rFonts w:ascii="Arial" w:hAnsi="Arial" w:cs="Arial"/>
                                <w:sz w:val="28"/>
                                <w:szCs w:val="28"/>
                              </w:rPr>
                            </w:pPr>
                            <w:r w:rsidRPr="00493DBE">
                              <w:rPr>
                                <w:rFonts w:ascii="Arial" w:hAnsi="Arial" w:cs="Arial"/>
                                <w:sz w:val="28"/>
                                <w:szCs w:val="28"/>
                              </w:rPr>
                              <w:t xml:space="preserve">Insufficient methodological quality </w:t>
                            </w:r>
                            <w:r w:rsidR="00493DBE" w:rsidRPr="00493DBE">
                              <w:rPr>
                                <w:rFonts w:ascii="Arial" w:hAnsi="Arial" w:cs="Arial"/>
                                <w:sz w:val="28"/>
                                <w:szCs w:val="28"/>
                              </w:rPr>
                              <w:t>-</w:t>
                            </w:r>
                            <w:r w:rsidRPr="00493DBE">
                              <w:rPr>
                                <w:rFonts w:ascii="Arial" w:hAnsi="Arial" w:cs="Arial"/>
                                <w:sz w:val="28"/>
                                <w:szCs w:val="28"/>
                              </w:rPr>
                              <w:t xml:space="preserve"> </w:t>
                            </w:r>
                            <w:r w:rsidRPr="00951B8F">
                              <w:rPr>
                                <w:rFonts w:ascii="Arial" w:hAnsi="Arial" w:cs="Arial"/>
                                <w:b/>
                                <w:bCs/>
                                <w:sz w:val="32"/>
                                <w:szCs w:val="32"/>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DEFE10" id="Rectangle: Rounded Corners 15" o:spid="_x0000_s1032" style="position:absolute;left:0;text-align:left;margin-left:278.45pt;margin-top:7.25pt;width:226pt;height:333.6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" fillcolor="white [3201]" strokecolor="#c00000" strokeweight="1.5pt">
                <v:stroke joinstyle="miter"/>
                <v:textbox>
                  <w:txbxContent>
                    <w:p w14:paraId="659EAAAC" w14:textId="7BE1E32D" w:rsidR="007A27E4" w:rsidRDefault="005C3E6D" w:rsidP="007A27E4">
                      <w:pPr>
                        <w:jc w:val="center"/>
                        <w:rPr>
                          <w:rFonts w:ascii="Arial" w:hAnsi="Arial" w:cs="Arial"/>
                          <w:sz w:val="32"/>
                          <w:szCs w:val="32"/>
                        </w:rPr>
                      </w:pPr>
                      <w:r w:rsidRPr="005C3E6D">
                        <w:rPr>
                          <w:rFonts w:ascii="Arial" w:hAnsi="Arial" w:cs="Arial"/>
                          <w:sz w:val="32"/>
                          <w:szCs w:val="32"/>
                        </w:rPr>
                        <w:t>Full-text records</w:t>
                      </w:r>
                    </w:p>
                    <w:p w14:paraId="171A2CDA" w14:textId="13068325" w:rsidR="007A27E4" w:rsidRDefault="005C3E6D" w:rsidP="007A27E4">
                      <w:pPr>
                        <w:jc w:val="center"/>
                        <w:rPr>
                          <w:rFonts w:ascii="Arial" w:hAnsi="Arial" w:cs="Arial"/>
                          <w:sz w:val="32"/>
                          <w:szCs w:val="32"/>
                        </w:rPr>
                      </w:pPr>
                      <w:r w:rsidRPr="005C3E6D">
                        <w:rPr>
                          <w:rFonts w:ascii="Arial" w:hAnsi="Arial" w:cs="Arial"/>
                          <w:sz w:val="32"/>
                          <w:szCs w:val="32"/>
                        </w:rPr>
                        <w:t>excluded</w:t>
                      </w:r>
                      <w:r w:rsidRPr="007A27E4">
                        <w:rPr>
                          <w:rFonts w:ascii="Arial" w:hAnsi="Arial" w:cs="Arial"/>
                          <w:b/>
                          <w:bCs/>
                          <w:sz w:val="32"/>
                          <w:szCs w:val="32"/>
                        </w:rPr>
                        <w:t xml:space="preserve"> 44</w:t>
                      </w:r>
                    </w:p>
                    <w:p w14:paraId="00452E2B" w14:textId="77777777" w:rsidR="007A27E4" w:rsidRDefault="007A27E4" w:rsidP="007A27E4">
                      <w:pPr>
                        <w:jc w:val="center"/>
                        <w:rPr>
                          <w:rFonts w:ascii="Arial" w:hAnsi="Arial" w:cs="Arial"/>
                          <w:sz w:val="32"/>
                          <w:szCs w:val="32"/>
                        </w:rPr>
                      </w:pPr>
                    </w:p>
                    <w:p w14:paraId="33F10AD0" w14:textId="62375859" w:rsidR="00DB1750" w:rsidRDefault="00DB1750" w:rsidP="007A27E4">
                      <w:pPr>
                        <w:jc w:val="center"/>
                        <w:rPr>
                          <w:rFonts w:ascii="Arial" w:hAnsi="Arial" w:cs="Arial"/>
                          <w:sz w:val="32"/>
                          <w:szCs w:val="32"/>
                        </w:rPr>
                      </w:pPr>
                      <w:r w:rsidRPr="00F576B7">
                        <w:rPr>
                          <w:rFonts w:ascii="Arial" w:hAnsi="Arial" w:cs="Arial"/>
                          <w:sz w:val="32"/>
                          <w:szCs w:val="32"/>
                        </w:rPr>
                        <w:t>Reasons for exclusion</w:t>
                      </w:r>
                    </w:p>
                    <w:p w14:paraId="4458BE7C" w14:textId="77777777" w:rsidR="005C3E6D" w:rsidRPr="00F576B7" w:rsidRDefault="005C3E6D" w:rsidP="00DB1750">
                      <w:pPr>
                        <w:rPr>
                          <w:rFonts w:ascii="Arial" w:hAnsi="Arial" w:cs="Arial"/>
                          <w:sz w:val="32"/>
                          <w:szCs w:val="32"/>
                        </w:rPr>
                      </w:pPr>
                    </w:p>
                    <w:p w14:paraId="313F3CD9" w14:textId="504404E0" w:rsidR="00DB1750" w:rsidRPr="00493DBE" w:rsidRDefault="00DB1750" w:rsidP="00493DBE">
                      <w:pPr>
                        <w:spacing w:line="360" w:lineRule="auto"/>
                        <w:rPr>
                          <w:rFonts w:ascii="Arial" w:hAnsi="Arial" w:cs="Arial"/>
                          <w:sz w:val="28"/>
                          <w:szCs w:val="28"/>
                        </w:rPr>
                      </w:pPr>
                      <w:r w:rsidRPr="00493DBE">
                        <w:rPr>
                          <w:rFonts w:ascii="Arial" w:hAnsi="Arial" w:cs="Arial"/>
                          <w:sz w:val="28"/>
                          <w:szCs w:val="28"/>
                        </w:rPr>
                        <w:t>No qualitative or mixed-methods component</w:t>
                      </w:r>
                      <w:r w:rsidR="00493DBE" w:rsidRPr="00493DBE">
                        <w:rPr>
                          <w:rFonts w:ascii="Arial" w:hAnsi="Arial" w:cs="Arial"/>
                          <w:sz w:val="28"/>
                          <w:szCs w:val="28"/>
                        </w:rPr>
                        <w:t xml:space="preserve"> -</w:t>
                      </w:r>
                      <w:r w:rsidRPr="00493DBE">
                        <w:rPr>
                          <w:rFonts w:ascii="Arial" w:hAnsi="Arial" w:cs="Arial"/>
                          <w:sz w:val="28"/>
                          <w:szCs w:val="28"/>
                        </w:rPr>
                        <w:t xml:space="preserve"> </w:t>
                      </w:r>
                      <w:r w:rsidRPr="00951B8F">
                        <w:rPr>
                          <w:rFonts w:ascii="Arial" w:hAnsi="Arial" w:cs="Arial"/>
                          <w:b/>
                          <w:bCs/>
                          <w:sz w:val="32"/>
                          <w:szCs w:val="32"/>
                        </w:rPr>
                        <w:t>1</w:t>
                      </w:r>
                      <w:r w:rsidR="00F405EA">
                        <w:rPr>
                          <w:rFonts w:ascii="Arial" w:hAnsi="Arial" w:cs="Arial"/>
                          <w:b/>
                          <w:bCs/>
                          <w:sz w:val="32"/>
                          <w:szCs w:val="32"/>
                        </w:rPr>
                        <w:t>7</w:t>
                      </w:r>
                    </w:p>
                    <w:p w14:paraId="620E16F7" w14:textId="4FAC5F48" w:rsidR="00DB1750" w:rsidRPr="00493DBE" w:rsidRDefault="00DB1750" w:rsidP="00493DBE">
                      <w:pPr>
                        <w:spacing w:line="360" w:lineRule="auto"/>
                        <w:rPr>
                          <w:rFonts w:ascii="Arial" w:hAnsi="Arial" w:cs="Arial"/>
                          <w:sz w:val="28"/>
                          <w:szCs w:val="28"/>
                        </w:rPr>
                      </w:pPr>
                      <w:r w:rsidRPr="00493DBE">
                        <w:rPr>
                          <w:rFonts w:ascii="Arial" w:hAnsi="Arial" w:cs="Arial"/>
                          <w:sz w:val="28"/>
                          <w:szCs w:val="28"/>
                        </w:rPr>
                        <w:t xml:space="preserve">Population or setting outside the UK NHS context </w:t>
                      </w:r>
                      <w:r w:rsidR="00493DBE" w:rsidRPr="00493DBE">
                        <w:rPr>
                          <w:rFonts w:ascii="Arial" w:hAnsi="Arial" w:cs="Arial"/>
                          <w:sz w:val="28"/>
                          <w:szCs w:val="28"/>
                        </w:rPr>
                        <w:t>-</w:t>
                      </w:r>
                      <w:r w:rsidRPr="00951B8F">
                        <w:rPr>
                          <w:rFonts w:ascii="Arial" w:hAnsi="Arial" w:cs="Arial"/>
                          <w:sz w:val="32"/>
                          <w:szCs w:val="32"/>
                        </w:rPr>
                        <w:t xml:space="preserve"> </w:t>
                      </w:r>
                      <w:r w:rsidRPr="00951B8F">
                        <w:rPr>
                          <w:rFonts w:ascii="Arial" w:hAnsi="Arial" w:cs="Arial"/>
                          <w:b/>
                          <w:bCs/>
                          <w:sz w:val="32"/>
                          <w:szCs w:val="32"/>
                        </w:rPr>
                        <w:t>14</w:t>
                      </w:r>
                    </w:p>
                    <w:p w14:paraId="5193DC2B" w14:textId="69EB5046" w:rsidR="00DB1750" w:rsidRPr="00493DBE" w:rsidRDefault="00DB1750" w:rsidP="00493DBE">
                      <w:pPr>
                        <w:spacing w:line="360" w:lineRule="auto"/>
                        <w:rPr>
                          <w:rFonts w:ascii="Arial" w:hAnsi="Arial" w:cs="Arial"/>
                          <w:sz w:val="28"/>
                          <w:szCs w:val="28"/>
                        </w:rPr>
                      </w:pPr>
                      <w:r w:rsidRPr="00493DBE">
                        <w:rPr>
                          <w:rFonts w:ascii="Arial" w:hAnsi="Arial" w:cs="Arial"/>
                          <w:sz w:val="28"/>
                          <w:szCs w:val="28"/>
                        </w:rPr>
                        <w:t xml:space="preserve">Publication predating 2016 </w:t>
                      </w:r>
                      <w:r w:rsidR="00493DBE" w:rsidRPr="00493DBE">
                        <w:rPr>
                          <w:rFonts w:ascii="Arial" w:hAnsi="Arial" w:cs="Arial"/>
                          <w:sz w:val="28"/>
                          <w:szCs w:val="28"/>
                        </w:rPr>
                        <w:t>-</w:t>
                      </w:r>
                      <w:r w:rsidRPr="00493DBE">
                        <w:rPr>
                          <w:rFonts w:ascii="Arial" w:hAnsi="Arial" w:cs="Arial"/>
                          <w:sz w:val="28"/>
                          <w:szCs w:val="28"/>
                        </w:rPr>
                        <w:t xml:space="preserve"> </w:t>
                      </w:r>
                      <w:r w:rsidR="00395073">
                        <w:rPr>
                          <w:rFonts w:ascii="Arial" w:hAnsi="Arial" w:cs="Arial"/>
                          <w:b/>
                          <w:bCs/>
                          <w:sz w:val="32"/>
                          <w:szCs w:val="32"/>
                        </w:rPr>
                        <w:t>8</w:t>
                      </w:r>
                    </w:p>
                    <w:p w14:paraId="5412A022" w14:textId="10CD9485" w:rsidR="00373DCA" w:rsidRPr="00493DBE" w:rsidRDefault="00DB1750" w:rsidP="00493DBE">
                      <w:pPr>
                        <w:spacing w:line="360" w:lineRule="auto"/>
                        <w:rPr>
                          <w:rFonts w:ascii="Arial" w:hAnsi="Arial" w:cs="Arial"/>
                          <w:sz w:val="28"/>
                          <w:szCs w:val="28"/>
                        </w:rPr>
                      </w:pPr>
                      <w:r w:rsidRPr="00493DBE">
                        <w:rPr>
                          <w:rFonts w:ascii="Arial" w:hAnsi="Arial" w:cs="Arial"/>
                          <w:sz w:val="28"/>
                          <w:szCs w:val="28"/>
                        </w:rPr>
                        <w:t xml:space="preserve">Insufficient methodological quality </w:t>
                      </w:r>
                      <w:r w:rsidR="00493DBE" w:rsidRPr="00493DBE">
                        <w:rPr>
                          <w:rFonts w:ascii="Arial" w:hAnsi="Arial" w:cs="Arial"/>
                          <w:sz w:val="28"/>
                          <w:szCs w:val="28"/>
                        </w:rPr>
                        <w:t>-</w:t>
                      </w:r>
                      <w:r w:rsidRPr="00493DBE">
                        <w:rPr>
                          <w:rFonts w:ascii="Arial" w:hAnsi="Arial" w:cs="Arial"/>
                          <w:sz w:val="28"/>
                          <w:szCs w:val="28"/>
                        </w:rPr>
                        <w:t xml:space="preserve"> </w:t>
                      </w:r>
                      <w:r w:rsidRPr="00951B8F">
                        <w:rPr>
                          <w:rFonts w:ascii="Arial" w:hAnsi="Arial" w:cs="Arial"/>
                          <w:b/>
                          <w:bCs/>
                          <w:sz w:val="32"/>
                          <w:szCs w:val="32"/>
                        </w:rPr>
                        <w:t>5</w:t>
                      </w:r>
                    </w:p>
                  </w:txbxContent>
                </v:textbox>
              </v:roundrect>
            </w:pict>
          </mc:Fallback>
        </mc:AlternateContent>
      </w:r>
    </w:p>
    <w:p w14:paraId="1251E84D" w14:textId="6A836F22" w:rsidR="00E85DEE" w:rsidRDefault="007E67F1" w:rsidP="00173BDC">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54" behindDoc="0" locked="0" layoutInCell="1" allowOverlap="1" wp14:anchorId="3E40B118" wp14:editId="1C3A1671">
                <wp:simplePos x="0" y="0"/>
                <wp:positionH relativeFrom="column">
                  <wp:posOffset>1284605</wp:posOffset>
                </wp:positionH>
                <wp:positionV relativeFrom="paragraph">
                  <wp:posOffset>147628</wp:posOffset>
                </wp:positionV>
                <wp:extent cx="203835" cy="446405"/>
                <wp:effectExtent l="19050" t="0" r="24765" b="29845"/>
                <wp:wrapNone/>
                <wp:docPr id="1265406237" name="Arrow: Down 18"/>
                <wp:cNvGraphicFramePr/>
                <a:graphic xmlns:a="http://schemas.openxmlformats.org/drawingml/2006/main">
                  <a:graphicData uri="http://schemas.microsoft.com/office/word/2010/wordprocessingShape">
                    <wps:wsp>
                      <wps:cNvSpPr/>
                      <wps:spPr>
                        <a:xfrm>
                          <a:off x="0" y="0"/>
                          <a:ext cx="203835" cy="446405"/>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6F93080A" id="Arrow: Down 18" o:spid="_x0000_s1026" type="#_x0000_t67" style="position:absolute;margin-left:101.15pt;margin-top:11.6pt;width:16.05pt;height:35.1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" adj="16669" fillcolor="#156082" strokecolor="#042433" strokeweight="1.5pt"/>
            </w:pict>
          </mc:Fallback>
        </mc:AlternateContent>
      </w:r>
    </w:p>
    <w:p w14:paraId="7DC267C2" w14:textId="7475E948" w:rsidR="00E85DEE" w:rsidRDefault="00E85DEE" w:rsidP="00173BDC">
      <w:pPr>
        <w:spacing w:line="360" w:lineRule="auto"/>
        <w:jc w:val="both"/>
        <w:rPr>
          <w:rFonts w:ascii="Arial" w:hAnsi="Arial" w:cs="Arial"/>
          <w:sz w:val="22"/>
          <w:szCs w:val="22"/>
        </w:rPr>
      </w:pPr>
    </w:p>
    <w:p w14:paraId="5336E010" w14:textId="52C5FA8A" w:rsidR="00E85DEE" w:rsidRDefault="00E85DEE" w:rsidP="00173BDC">
      <w:pPr>
        <w:spacing w:line="360" w:lineRule="auto"/>
        <w:jc w:val="both"/>
        <w:rPr>
          <w:rFonts w:ascii="Arial" w:hAnsi="Arial" w:cs="Arial"/>
          <w:sz w:val="22"/>
          <w:szCs w:val="22"/>
        </w:rPr>
      </w:pPr>
    </w:p>
    <w:p w14:paraId="2DB32D81" w14:textId="784092A9" w:rsidR="00E85DEE" w:rsidRDefault="008446B4" w:rsidP="00173BDC">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3" behindDoc="0" locked="0" layoutInCell="1" allowOverlap="1" wp14:anchorId="5B136A34" wp14:editId="6BC64A89">
                <wp:simplePos x="0" y="0"/>
                <wp:positionH relativeFrom="column">
                  <wp:posOffset>245745</wp:posOffset>
                </wp:positionH>
                <wp:positionV relativeFrom="paragraph">
                  <wp:posOffset>115570</wp:posOffset>
                </wp:positionV>
                <wp:extent cx="2543175" cy="1031240"/>
                <wp:effectExtent l="0" t="0" r="28575" b="16510"/>
                <wp:wrapNone/>
                <wp:docPr id="1716588370" name="Rectangle: Rounded Corners 11"/>
                <wp:cNvGraphicFramePr/>
                <a:graphic xmlns:a="http://schemas.openxmlformats.org/drawingml/2006/main">
                  <a:graphicData uri="http://schemas.microsoft.com/office/word/2010/wordprocessingShape">
                    <wps:wsp>
                      <wps:cNvSpPr/>
                      <wps:spPr>
                        <a:xfrm>
                          <a:off x="0" y="0"/>
                          <a:ext cx="2543175" cy="1031240"/>
                        </a:xfrm>
                        <a:prstGeom prst="roundRect">
                          <a:avLst/>
                        </a:prstGeom>
                        <a:ln>
                          <a:solidFill>
                            <a:schemeClr val="accent2">
                              <a:lumMod val="50000"/>
                            </a:schemeClr>
                          </a:solidFill>
                        </a:ln>
                      </wps:spPr>
                      <wps:style>
                        <a:lnRef idx="2">
                          <a:schemeClr val="accent6"/>
                        </a:lnRef>
                        <a:fillRef idx="1">
                          <a:schemeClr val="lt1"/>
                        </a:fillRef>
                        <a:effectRef idx="0">
                          <a:schemeClr val="accent6"/>
                        </a:effectRef>
                        <a:fontRef idx="minor">
                          <a:schemeClr val="dk1"/>
                        </a:fontRef>
                      </wps:style>
                      <wps:txbx>
                        <w:txbxContent>
                          <w:p w14:paraId="044514D8" w14:textId="72EE6160" w:rsidR="00B80376" w:rsidRPr="00D927A0" w:rsidRDefault="00B80376" w:rsidP="00E16285">
                            <w:pPr>
                              <w:spacing w:line="276" w:lineRule="auto"/>
                              <w:jc w:val="center"/>
                              <w:rPr>
                                <w:rFonts w:ascii="Arial" w:hAnsi="Arial" w:cs="Arial"/>
                                <w:sz w:val="32"/>
                                <w:szCs w:val="32"/>
                              </w:rPr>
                            </w:pPr>
                            <w:r w:rsidRPr="00D927A0">
                              <w:rPr>
                                <w:rFonts w:ascii="Arial" w:hAnsi="Arial" w:cs="Arial"/>
                                <w:sz w:val="32"/>
                                <w:szCs w:val="32"/>
                              </w:rPr>
                              <w:t xml:space="preserve">  Full-text records</w:t>
                            </w:r>
                          </w:p>
                          <w:p w14:paraId="1ADE5AA8" w14:textId="712D925F" w:rsidR="00B80376" w:rsidRPr="00D927A0" w:rsidRDefault="00B80376" w:rsidP="00E16285">
                            <w:pPr>
                              <w:spacing w:line="276" w:lineRule="auto"/>
                              <w:jc w:val="center"/>
                              <w:rPr>
                                <w:rFonts w:ascii="Arial" w:hAnsi="Arial" w:cs="Arial"/>
                                <w:sz w:val="32"/>
                                <w:szCs w:val="32"/>
                              </w:rPr>
                            </w:pPr>
                            <w:r w:rsidRPr="00D927A0">
                              <w:rPr>
                                <w:rFonts w:ascii="Arial" w:hAnsi="Arial" w:cs="Arial"/>
                                <w:sz w:val="32"/>
                                <w:szCs w:val="32"/>
                              </w:rPr>
                              <w:t xml:space="preserve"> Assessed</w:t>
                            </w:r>
                          </w:p>
                          <w:p w14:paraId="496978B9" w14:textId="6755E125" w:rsidR="00B80376" w:rsidRPr="00951B8F" w:rsidRDefault="00B80376" w:rsidP="00E16285">
                            <w:pPr>
                              <w:spacing w:line="276" w:lineRule="auto"/>
                              <w:jc w:val="center"/>
                              <w:rPr>
                                <w:rFonts w:ascii="Arial" w:hAnsi="Arial" w:cs="Arial"/>
                                <w:sz w:val="36"/>
                                <w:szCs w:val="36"/>
                              </w:rPr>
                            </w:pPr>
                            <w:r w:rsidRPr="00951B8F">
                              <w:rPr>
                                <w:rFonts w:ascii="Arial" w:hAnsi="Arial" w:cs="Arial"/>
                                <w:b/>
                                <w:bCs/>
                                <w:sz w:val="36"/>
                                <w:szCs w:val="36"/>
                              </w:rPr>
                              <w:t>58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136A34" id="Rectangle: Rounded Corners 11" o:spid="_x0000_s1033" style="position:absolute;left:0;text-align:left;margin-left:19.35pt;margin-top:9.1pt;width:200.25pt;height:81.2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" fillcolor="white [3201]" strokecolor="#7f340d [1605]" strokeweight="1.5pt">
                <v:stroke joinstyle="miter"/>
                <v:textbox>
                  <w:txbxContent>
                    <w:p w14:paraId="044514D8" w14:textId="72EE6160" w:rsidR="00B80376" w:rsidRPr="00D927A0" w:rsidRDefault="00B80376" w:rsidP="00E16285">
                      <w:pPr>
                        <w:spacing w:line="276" w:lineRule="auto"/>
                        <w:jc w:val="center"/>
                        <w:rPr>
                          <w:rFonts w:ascii="Arial" w:hAnsi="Arial" w:cs="Arial"/>
                          <w:sz w:val="32"/>
                          <w:szCs w:val="32"/>
                        </w:rPr>
                      </w:pPr>
                      <w:r w:rsidRPr="00D927A0">
                        <w:rPr>
                          <w:rFonts w:ascii="Arial" w:hAnsi="Arial" w:cs="Arial"/>
                          <w:sz w:val="32"/>
                          <w:szCs w:val="32"/>
                        </w:rPr>
                        <w:t xml:space="preserve">  Full-text records</w:t>
                      </w:r>
                    </w:p>
                    <w:p w14:paraId="1ADE5AA8" w14:textId="712D925F" w:rsidR="00B80376" w:rsidRPr="00D927A0" w:rsidRDefault="00B80376" w:rsidP="00E16285">
                      <w:pPr>
                        <w:spacing w:line="276" w:lineRule="auto"/>
                        <w:jc w:val="center"/>
                        <w:rPr>
                          <w:rFonts w:ascii="Arial" w:hAnsi="Arial" w:cs="Arial"/>
                          <w:sz w:val="32"/>
                          <w:szCs w:val="32"/>
                        </w:rPr>
                      </w:pPr>
                      <w:r w:rsidRPr="00D927A0">
                        <w:rPr>
                          <w:rFonts w:ascii="Arial" w:hAnsi="Arial" w:cs="Arial"/>
                          <w:sz w:val="32"/>
                          <w:szCs w:val="32"/>
                        </w:rPr>
                        <w:t xml:space="preserve"> Assessed</w:t>
                      </w:r>
                    </w:p>
                    <w:p w14:paraId="496978B9" w14:textId="6755E125" w:rsidR="00B80376" w:rsidRPr="00951B8F" w:rsidRDefault="00B80376" w:rsidP="00E16285">
                      <w:pPr>
                        <w:spacing w:line="276" w:lineRule="auto"/>
                        <w:jc w:val="center"/>
                        <w:rPr>
                          <w:rFonts w:ascii="Arial" w:hAnsi="Arial" w:cs="Arial"/>
                          <w:sz w:val="36"/>
                          <w:szCs w:val="36"/>
                        </w:rPr>
                      </w:pPr>
                      <w:r w:rsidRPr="00951B8F">
                        <w:rPr>
                          <w:rFonts w:ascii="Arial" w:hAnsi="Arial" w:cs="Arial"/>
                          <w:b/>
                          <w:bCs/>
                          <w:sz w:val="36"/>
                          <w:szCs w:val="36"/>
                        </w:rPr>
                        <w:t>58</w:t>
                      </w:r>
                    </w:p>
                  </w:txbxContent>
                </v:textbox>
              </v:roundrect>
            </w:pict>
          </mc:Fallback>
        </mc:AlternateContent>
      </w:r>
      <w:r w:rsidR="00D927A0">
        <w:rPr>
          <w:rFonts w:ascii="Arial" w:hAnsi="Arial" w:cs="Arial"/>
          <w:noProof/>
          <w:sz w:val="22"/>
          <w:szCs w:val="22"/>
        </w:rPr>
        <mc:AlternateContent>
          <mc:Choice Requires="wps">
            <w:drawing>
              <wp:anchor distT="0" distB="0" distL="114300" distR="114300" simplePos="0" relativeHeight="251658250" behindDoc="0" locked="0" layoutInCell="1" allowOverlap="1" wp14:anchorId="6E07C329" wp14:editId="60474E4F">
                <wp:simplePos x="0" y="0"/>
                <wp:positionH relativeFrom="margin">
                  <wp:posOffset>-1098184</wp:posOffset>
                </wp:positionH>
                <wp:positionV relativeFrom="paragraph">
                  <wp:posOffset>295593</wp:posOffset>
                </wp:positionV>
                <wp:extent cx="1885590" cy="435610"/>
                <wp:effectExtent l="953" t="0" r="20637" b="20638"/>
                <wp:wrapNone/>
                <wp:docPr id="1110282496" name="Rectangle: Rounded Corners 9"/>
                <wp:cNvGraphicFramePr/>
                <a:graphic xmlns:a="http://schemas.openxmlformats.org/drawingml/2006/main">
                  <a:graphicData uri="http://schemas.microsoft.com/office/word/2010/wordprocessingShape">
                    <wps:wsp>
                      <wps:cNvSpPr/>
                      <wps:spPr>
                        <a:xfrm rot="16200000">
                          <a:off x="0" y="0"/>
                          <a:ext cx="1885590" cy="435610"/>
                        </a:xfrm>
                        <a:prstGeom prst="roundRect">
                          <a:avLst/>
                        </a:prstGeom>
                        <a:solidFill>
                          <a:sysClr val="window" lastClr="FFFFFF"/>
                        </a:solidFill>
                        <a:ln w="19050" cap="flat" cmpd="sng" algn="ctr">
                          <a:solidFill>
                            <a:srgbClr val="0E2841">
                              <a:lumMod val="90000"/>
                              <a:lumOff val="10000"/>
                            </a:srgbClr>
                          </a:solidFill>
                          <a:prstDash val="solid"/>
                          <a:miter lim="800000"/>
                        </a:ln>
                        <a:effectLst/>
                      </wps:spPr>
                      <wps:txbx>
                        <w:txbxContent>
                          <w:p w14:paraId="5E3D3748" w14:textId="1259C159" w:rsidR="00D927A0" w:rsidRPr="001054C3" w:rsidRDefault="00484044" w:rsidP="00D927A0">
                            <w:pPr>
                              <w:spacing w:line="276" w:lineRule="auto"/>
                              <w:jc w:val="center"/>
                              <w:rPr>
                                <w:rFonts w:ascii="Arial" w:hAnsi="Arial" w:cs="Arial"/>
                                <w:b/>
                                <w:bCs/>
                                <w:sz w:val="40"/>
                                <w:szCs w:val="40"/>
                              </w:rPr>
                            </w:pPr>
                            <w:r w:rsidRPr="00484044">
                              <w:rPr>
                                <w:rFonts w:ascii="Arial" w:hAnsi="Arial" w:cs="Arial"/>
                                <w:b/>
                                <w:bCs/>
                                <w:sz w:val="40"/>
                                <w:szCs w:val="40"/>
                              </w:rPr>
                              <w:t>Eligibility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07C329" id="_x0000_s1034" style="position:absolute;left:0;text-align:left;margin-left:-86.45pt;margin-top:23.3pt;width:148.45pt;height:34.3pt;rotation:-90;z-index:25165825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" fillcolor="window" strokecolor="#163e64" strokeweight="1.5pt">
                <v:stroke joinstyle="miter"/>
                <v:textbox>
                  <w:txbxContent>
                    <w:p w14:paraId="5E3D3748" w14:textId="1259C159" w:rsidR="00D927A0" w:rsidRPr="001054C3" w:rsidRDefault="00484044" w:rsidP="00D927A0">
                      <w:pPr>
                        <w:spacing w:line="276" w:lineRule="auto"/>
                        <w:jc w:val="center"/>
                        <w:rPr>
                          <w:rFonts w:ascii="Arial" w:hAnsi="Arial" w:cs="Arial"/>
                          <w:b/>
                          <w:bCs/>
                          <w:sz w:val="40"/>
                          <w:szCs w:val="40"/>
                        </w:rPr>
                      </w:pPr>
                      <w:r w:rsidRPr="00484044">
                        <w:rPr>
                          <w:rFonts w:ascii="Arial" w:hAnsi="Arial" w:cs="Arial"/>
                          <w:b/>
                          <w:bCs/>
                          <w:sz w:val="40"/>
                          <w:szCs w:val="40"/>
                        </w:rPr>
                        <w:t>Eligibility</w:t>
                      </w:r>
                    </w:p>
                  </w:txbxContent>
                </v:textbox>
                <w10:wrap anchorx="margin"/>
              </v:roundrect>
            </w:pict>
          </mc:Fallback>
        </mc:AlternateContent>
      </w:r>
    </w:p>
    <w:p w14:paraId="76AE376D" w14:textId="7302AA27" w:rsidR="00E85DEE" w:rsidRDefault="00B752AC" w:rsidP="00173BDC">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58" behindDoc="0" locked="0" layoutInCell="1" allowOverlap="1" wp14:anchorId="56E18687" wp14:editId="74ADC6EB">
                <wp:simplePos x="0" y="0"/>
                <wp:positionH relativeFrom="column">
                  <wp:posOffset>3035935</wp:posOffset>
                </wp:positionH>
                <wp:positionV relativeFrom="paragraph">
                  <wp:posOffset>130810</wp:posOffset>
                </wp:positionV>
                <wp:extent cx="203835" cy="446405"/>
                <wp:effectExtent l="0" t="26035" r="0" b="36830"/>
                <wp:wrapNone/>
                <wp:docPr id="899615582" name="Arrow: Down 18"/>
                <wp:cNvGraphicFramePr/>
                <a:graphic xmlns:a="http://schemas.openxmlformats.org/drawingml/2006/main">
                  <a:graphicData uri="http://schemas.microsoft.com/office/word/2010/wordprocessingShape">
                    <wps:wsp>
                      <wps:cNvSpPr/>
                      <wps:spPr>
                        <a:xfrm rot="16200000">
                          <a:off x="0" y="0"/>
                          <a:ext cx="203835" cy="446405"/>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72B3B5DD" id="Arrow: Down 18" o:spid="_x0000_s1026" type="#_x0000_t67" style="position:absolute;margin-left:239.05pt;margin-top:10.3pt;width:16.05pt;height:35.15pt;rotation:-90;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" adj="16669" fillcolor="#156082" strokecolor="#042433" strokeweight="1.5pt"/>
            </w:pict>
          </mc:Fallback>
        </mc:AlternateContent>
      </w:r>
    </w:p>
    <w:p w14:paraId="2420ADE1" w14:textId="2963C17D" w:rsidR="00E85DEE" w:rsidRDefault="00E85DEE" w:rsidP="00173BDC">
      <w:pPr>
        <w:spacing w:line="360" w:lineRule="auto"/>
        <w:jc w:val="both"/>
        <w:rPr>
          <w:rFonts w:ascii="Arial" w:hAnsi="Arial" w:cs="Arial"/>
          <w:sz w:val="22"/>
          <w:szCs w:val="22"/>
        </w:rPr>
      </w:pPr>
    </w:p>
    <w:p w14:paraId="7211C2AC" w14:textId="77777777" w:rsidR="00E85DEE" w:rsidRDefault="00E85DEE" w:rsidP="00173BDC">
      <w:pPr>
        <w:spacing w:line="360" w:lineRule="auto"/>
        <w:jc w:val="both"/>
        <w:rPr>
          <w:rFonts w:ascii="Arial" w:hAnsi="Arial" w:cs="Arial"/>
          <w:sz w:val="22"/>
          <w:szCs w:val="22"/>
        </w:rPr>
      </w:pPr>
    </w:p>
    <w:p w14:paraId="21796C62" w14:textId="77777777" w:rsidR="00E85DEE" w:rsidRDefault="00E85DEE" w:rsidP="00173BDC">
      <w:pPr>
        <w:spacing w:line="360" w:lineRule="auto"/>
        <w:jc w:val="both"/>
        <w:rPr>
          <w:rFonts w:ascii="Arial" w:hAnsi="Arial" w:cs="Arial"/>
          <w:sz w:val="22"/>
          <w:szCs w:val="22"/>
        </w:rPr>
      </w:pPr>
    </w:p>
    <w:p w14:paraId="07112512" w14:textId="454F245C" w:rsidR="00E85DEE" w:rsidRDefault="00E85DEE" w:rsidP="00173BDC">
      <w:pPr>
        <w:spacing w:line="360" w:lineRule="auto"/>
        <w:jc w:val="both"/>
        <w:rPr>
          <w:rFonts w:ascii="Arial" w:hAnsi="Arial" w:cs="Arial"/>
          <w:sz w:val="22"/>
          <w:szCs w:val="22"/>
        </w:rPr>
      </w:pPr>
    </w:p>
    <w:p w14:paraId="268A8FD3" w14:textId="42CA23FF" w:rsidR="00E85DEE" w:rsidRDefault="00851C3E" w:rsidP="00173BDC">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55" behindDoc="0" locked="0" layoutInCell="1" allowOverlap="1" wp14:anchorId="7FE74BBB" wp14:editId="09A12D47">
                <wp:simplePos x="0" y="0"/>
                <wp:positionH relativeFrom="column">
                  <wp:posOffset>1294646</wp:posOffset>
                </wp:positionH>
                <wp:positionV relativeFrom="paragraph">
                  <wp:posOffset>77747</wp:posOffset>
                </wp:positionV>
                <wp:extent cx="204233" cy="446567"/>
                <wp:effectExtent l="19050" t="0" r="24765" b="29845"/>
                <wp:wrapNone/>
                <wp:docPr id="1814881487" name="Arrow: Down 18"/>
                <wp:cNvGraphicFramePr/>
                <a:graphic xmlns:a="http://schemas.openxmlformats.org/drawingml/2006/main">
                  <a:graphicData uri="http://schemas.microsoft.com/office/word/2010/wordprocessingShape">
                    <wps:wsp>
                      <wps:cNvSpPr/>
                      <wps:spPr>
                        <a:xfrm>
                          <a:off x="0" y="0"/>
                          <a:ext cx="204233" cy="446567"/>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4FBCB354" id="Arrow: Down 18" o:spid="_x0000_s1026" type="#_x0000_t67" style="position:absolute;margin-left:101.95pt;margin-top:6.1pt;width:16.1pt;height:35.1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" adj="16661" fillcolor="#156082" strokecolor="#042433" strokeweight="1.5pt"/>
            </w:pict>
          </mc:Fallback>
        </mc:AlternateContent>
      </w:r>
    </w:p>
    <w:p w14:paraId="5016393E" w14:textId="599D22EF" w:rsidR="00E85DEE" w:rsidRDefault="00E85DEE" w:rsidP="00173BDC">
      <w:pPr>
        <w:spacing w:line="360" w:lineRule="auto"/>
        <w:jc w:val="both"/>
        <w:rPr>
          <w:rFonts w:ascii="Arial" w:hAnsi="Arial" w:cs="Arial"/>
          <w:sz w:val="22"/>
          <w:szCs w:val="22"/>
        </w:rPr>
      </w:pPr>
    </w:p>
    <w:p w14:paraId="0D41C83C" w14:textId="4846A0E4" w:rsidR="00E85DEE" w:rsidRDefault="00E85DEE" w:rsidP="00173BDC">
      <w:pPr>
        <w:spacing w:line="360" w:lineRule="auto"/>
        <w:jc w:val="both"/>
        <w:rPr>
          <w:rFonts w:ascii="Arial" w:hAnsi="Arial" w:cs="Arial"/>
          <w:sz w:val="22"/>
          <w:szCs w:val="22"/>
        </w:rPr>
      </w:pPr>
    </w:p>
    <w:p w14:paraId="5C8998B8" w14:textId="7C52145B" w:rsidR="00E85DEE" w:rsidRDefault="00AE5106" w:rsidP="00173BDC">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4" behindDoc="0" locked="0" layoutInCell="1" allowOverlap="1" wp14:anchorId="5D60B989" wp14:editId="3627AFE1">
                <wp:simplePos x="0" y="0"/>
                <wp:positionH relativeFrom="column">
                  <wp:posOffset>266700</wp:posOffset>
                </wp:positionH>
                <wp:positionV relativeFrom="paragraph">
                  <wp:posOffset>15875</wp:posOffset>
                </wp:positionV>
                <wp:extent cx="2570480" cy="1221105"/>
                <wp:effectExtent l="0" t="0" r="20320" b="17145"/>
                <wp:wrapNone/>
                <wp:docPr id="470798845" name="Rectangle: Rounded Corners 13"/>
                <wp:cNvGraphicFramePr/>
                <a:graphic xmlns:a="http://schemas.openxmlformats.org/drawingml/2006/main">
                  <a:graphicData uri="http://schemas.microsoft.com/office/word/2010/wordprocessingShape">
                    <wps:wsp>
                      <wps:cNvSpPr/>
                      <wps:spPr>
                        <a:xfrm>
                          <a:off x="0" y="0"/>
                          <a:ext cx="2570480" cy="122110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38CC9F8" w14:textId="7C0A884A" w:rsidR="00155F64" w:rsidRPr="00D927A0" w:rsidRDefault="00155F64" w:rsidP="00E16285">
                            <w:pPr>
                              <w:spacing w:line="360" w:lineRule="auto"/>
                              <w:jc w:val="center"/>
                              <w:rPr>
                                <w:rFonts w:ascii="Arial" w:hAnsi="Arial" w:cs="Arial"/>
                                <w:sz w:val="32"/>
                                <w:szCs w:val="32"/>
                              </w:rPr>
                            </w:pPr>
                            <w:r w:rsidRPr="00D927A0">
                              <w:rPr>
                                <w:rFonts w:ascii="Arial" w:hAnsi="Arial" w:cs="Arial"/>
                                <w:sz w:val="32"/>
                                <w:szCs w:val="32"/>
                              </w:rPr>
                              <w:t xml:space="preserve">Studies included in final synthesis </w:t>
                            </w:r>
                            <w:r w:rsidRPr="003A5C0B">
                              <w:rPr>
                                <w:rFonts w:ascii="Arial" w:hAnsi="Arial" w:cs="Arial"/>
                                <w:b/>
                                <w:bCs/>
                                <w:color w:val="3A7C22" w:themeColor="accent6" w:themeShade="BF"/>
                                <w:sz w:val="40"/>
                                <w:szCs w:val="40"/>
                              </w:rPr>
                              <w:t>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60B989" id="Rectangle: Rounded Corners 13" o:spid="_x0000_s1035" style="position:absolute;left:0;text-align:left;margin-left:21pt;margin-top:1.25pt;width:202.4pt;height:96.1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" fillcolor="white [3201]" strokecolor="#4ea72e [3209]" strokeweight="1.5pt">
                <v:stroke joinstyle="miter"/>
                <v:textbox>
                  <w:txbxContent>
                    <w:p w14:paraId="438CC9F8" w14:textId="7C0A884A" w:rsidR="00155F64" w:rsidRPr="00D927A0" w:rsidRDefault="00155F64" w:rsidP="00E16285">
                      <w:pPr>
                        <w:spacing w:line="360" w:lineRule="auto"/>
                        <w:jc w:val="center"/>
                        <w:rPr>
                          <w:rFonts w:ascii="Arial" w:hAnsi="Arial" w:cs="Arial"/>
                          <w:sz w:val="32"/>
                          <w:szCs w:val="32"/>
                        </w:rPr>
                      </w:pPr>
                      <w:r w:rsidRPr="00D927A0">
                        <w:rPr>
                          <w:rFonts w:ascii="Arial" w:hAnsi="Arial" w:cs="Arial"/>
                          <w:sz w:val="32"/>
                          <w:szCs w:val="32"/>
                        </w:rPr>
                        <w:t xml:space="preserve">Studies included in final synthesis </w:t>
                      </w:r>
                      <w:r w:rsidRPr="003A5C0B">
                        <w:rPr>
                          <w:rFonts w:ascii="Arial" w:hAnsi="Arial" w:cs="Arial"/>
                          <w:b/>
                          <w:bCs/>
                          <w:color w:val="3A7C22" w:themeColor="accent6" w:themeShade="BF"/>
                          <w:sz w:val="40"/>
                          <w:szCs w:val="40"/>
                        </w:rPr>
                        <w:t>14</w:t>
                      </w:r>
                    </w:p>
                  </w:txbxContent>
                </v:textbox>
              </v:roundrect>
            </w:pict>
          </mc:Fallback>
        </mc:AlternateContent>
      </w:r>
      <w:r w:rsidR="007905DA">
        <w:rPr>
          <w:rFonts w:ascii="Arial" w:hAnsi="Arial" w:cs="Arial"/>
          <w:noProof/>
          <w:sz w:val="22"/>
          <w:szCs w:val="22"/>
        </w:rPr>
        <mc:AlternateContent>
          <mc:Choice Requires="wps">
            <w:drawing>
              <wp:anchor distT="0" distB="0" distL="114300" distR="114300" simplePos="0" relativeHeight="251658251" behindDoc="0" locked="0" layoutInCell="1" allowOverlap="1" wp14:anchorId="69D44788" wp14:editId="0FAC9592">
                <wp:simplePos x="0" y="0"/>
                <wp:positionH relativeFrom="margin">
                  <wp:posOffset>-886729</wp:posOffset>
                </wp:positionH>
                <wp:positionV relativeFrom="paragraph">
                  <wp:posOffset>346393</wp:posOffset>
                </wp:positionV>
                <wp:extent cx="1473835" cy="435610"/>
                <wp:effectExtent l="4763" t="0" r="16827" b="16828"/>
                <wp:wrapNone/>
                <wp:docPr id="163014371" name="Rectangle: Rounded Corners 9"/>
                <wp:cNvGraphicFramePr/>
                <a:graphic xmlns:a="http://schemas.openxmlformats.org/drawingml/2006/main">
                  <a:graphicData uri="http://schemas.microsoft.com/office/word/2010/wordprocessingShape">
                    <wps:wsp>
                      <wps:cNvSpPr/>
                      <wps:spPr>
                        <a:xfrm rot="16200000">
                          <a:off x="0" y="0"/>
                          <a:ext cx="1473835" cy="435610"/>
                        </a:xfrm>
                        <a:prstGeom prst="roundRect">
                          <a:avLst/>
                        </a:prstGeom>
                        <a:solidFill>
                          <a:sysClr val="window" lastClr="FFFFFF"/>
                        </a:solidFill>
                        <a:ln w="19050" cap="flat" cmpd="sng" algn="ctr">
                          <a:solidFill>
                            <a:srgbClr val="0E2841">
                              <a:lumMod val="90000"/>
                              <a:lumOff val="10000"/>
                            </a:srgbClr>
                          </a:solidFill>
                          <a:prstDash val="solid"/>
                          <a:miter lim="800000"/>
                        </a:ln>
                        <a:effectLst/>
                      </wps:spPr>
                      <wps:txbx>
                        <w:txbxContent>
                          <w:p w14:paraId="52E068B5" w14:textId="1651109D" w:rsidR="00D927A0" w:rsidRPr="001054C3" w:rsidRDefault="00094005" w:rsidP="00D927A0">
                            <w:pPr>
                              <w:spacing w:line="276" w:lineRule="auto"/>
                              <w:jc w:val="center"/>
                              <w:rPr>
                                <w:rFonts w:ascii="Arial" w:hAnsi="Arial" w:cs="Arial"/>
                                <w:b/>
                                <w:bCs/>
                                <w:sz w:val="40"/>
                                <w:szCs w:val="40"/>
                              </w:rPr>
                            </w:pPr>
                            <w:r w:rsidRPr="00094005">
                              <w:rPr>
                                <w:rFonts w:ascii="Arial" w:hAnsi="Arial" w:cs="Arial"/>
                                <w:b/>
                                <w:bCs/>
                                <w:sz w:val="40"/>
                                <w:szCs w:val="40"/>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9D44788" id="_x0000_s1036" style="position:absolute;left:0;text-align:left;margin-left:-69.8pt;margin-top:27.3pt;width:116.05pt;height:34.3pt;rotation:-90;z-index:25165825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" fillcolor="window" strokecolor="#163e64" strokeweight="1.5pt">
                <v:stroke joinstyle="miter"/>
                <v:textbox>
                  <w:txbxContent>
                    <w:p w14:paraId="52E068B5" w14:textId="1651109D" w:rsidR="00D927A0" w:rsidRPr="001054C3" w:rsidRDefault="00094005" w:rsidP="00D927A0">
                      <w:pPr>
                        <w:spacing w:line="276" w:lineRule="auto"/>
                        <w:jc w:val="center"/>
                        <w:rPr>
                          <w:rFonts w:ascii="Arial" w:hAnsi="Arial" w:cs="Arial"/>
                          <w:b/>
                          <w:bCs/>
                          <w:sz w:val="40"/>
                          <w:szCs w:val="40"/>
                        </w:rPr>
                      </w:pPr>
                      <w:r w:rsidRPr="00094005">
                        <w:rPr>
                          <w:rFonts w:ascii="Arial" w:hAnsi="Arial" w:cs="Arial"/>
                          <w:b/>
                          <w:bCs/>
                          <w:sz w:val="40"/>
                          <w:szCs w:val="40"/>
                        </w:rPr>
                        <w:t>Included</w:t>
                      </w:r>
                    </w:p>
                  </w:txbxContent>
                </v:textbox>
                <w10:wrap anchorx="margin"/>
              </v:roundrect>
            </w:pict>
          </mc:Fallback>
        </mc:AlternateContent>
      </w:r>
    </w:p>
    <w:p w14:paraId="21323BD0" w14:textId="77777777" w:rsidR="00E85DEE" w:rsidRDefault="00E85DEE" w:rsidP="00173BDC">
      <w:pPr>
        <w:spacing w:line="360" w:lineRule="auto"/>
        <w:jc w:val="both"/>
        <w:rPr>
          <w:rFonts w:ascii="Arial" w:hAnsi="Arial" w:cs="Arial"/>
          <w:sz w:val="22"/>
          <w:szCs w:val="22"/>
        </w:rPr>
      </w:pPr>
    </w:p>
    <w:p w14:paraId="2B480294" w14:textId="23610510" w:rsidR="00E85DEE" w:rsidRDefault="00E85DEE" w:rsidP="00173BDC">
      <w:pPr>
        <w:spacing w:line="360" w:lineRule="auto"/>
        <w:jc w:val="both"/>
        <w:rPr>
          <w:rFonts w:ascii="Arial" w:hAnsi="Arial" w:cs="Arial"/>
          <w:sz w:val="22"/>
          <w:szCs w:val="22"/>
        </w:rPr>
      </w:pPr>
    </w:p>
    <w:p w14:paraId="49EE8B61" w14:textId="77777777" w:rsidR="00E85DEE" w:rsidRDefault="00E85DEE" w:rsidP="00173BDC">
      <w:pPr>
        <w:spacing w:line="360" w:lineRule="auto"/>
        <w:jc w:val="both"/>
        <w:rPr>
          <w:rFonts w:ascii="Arial" w:hAnsi="Arial" w:cs="Arial"/>
          <w:sz w:val="22"/>
          <w:szCs w:val="22"/>
        </w:rPr>
      </w:pPr>
    </w:p>
    <w:p w14:paraId="65DAC5B1" w14:textId="77777777" w:rsidR="00E85DEE" w:rsidRDefault="00E85DEE" w:rsidP="00173BDC">
      <w:pPr>
        <w:spacing w:line="360" w:lineRule="auto"/>
        <w:jc w:val="both"/>
        <w:rPr>
          <w:rFonts w:ascii="Arial" w:hAnsi="Arial" w:cs="Arial"/>
          <w:sz w:val="22"/>
          <w:szCs w:val="22"/>
        </w:rPr>
      </w:pPr>
    </w:p>
    <w:p w14:paraId="3A1A7CBF" w14:textId="77777777" w:rsidR="003D6781" w:rsidRDefault="003D6781" w:rsidP="00173BDC">
      <w:pPr>
        <w:spacing w:line="360" w:lineRule="auto"/>
        <w:jc w:val="both"/>
        <w:rPr>
          <w:rFonts w:ascii="Arial" w:hAnsi="Arial" w:cs="Arial"/>
          <w:sz w:val="22"/>
          <w:szCs w:val="22"/>
        </w:rPr>
      </w:pPr>
    </w:p>
    <w:p w14:paraId="4C515015" w14:textId="64639FF0" w:rsidR="004B0EDB" w:rsidRDefault="00665B05" w:rsidP="00173BDC">
      <w:pPr>
        <w:spacing w:line="360" w:lineRule="auto"/>
        <w:jc w:val="both"/>
        <w:rPr>
          <w:rFonts w:ascii="Arial" w:hAnsi="Arial" w:cs="Arial"/>
          <w:sz w:val="22"/>
          <w:szCs w:val="22"/>
        </w:rPr>
      </w:pPr>
      <w:r w:rsidRPr="00665B05">
        <w:rPr>
          <w:rFonts w:ascii="Arial" w:hAnsi="Arial" w:cs="Arial"/>
          <w:sz w:val="22"/>
          <w:szCs w:val="22"/>
        </w:rPr>
        <w:t>The fourteen included studies span 201</w:t>
      </w:r>
      <w:r>
        <w:rPr>
          <w:rFonts w:ascii="Arial" w:hAnsi="Arial" w:cs="Arial"/>
          <w:sz w:val="22"/>
          <w:szCs w:val="22"/>
        </w:rPr>
        <w:t>6</w:t>
      </w:r>
      <w:r w:rsidRPr="00665B05">
        <w:rPr>
          <w:rFonts w:ascii="Arial" w:hAnsi="Arial" w:cs="Arial"/>
          <w:sz w:val="22"/>
          <w:szCs w:val="22"/>
        </w:rPr>
        <w:t xml:space="preserve"> to 202</w:t>
      </w:r>
      <w:r>
        <w:rPr>
          <w:rFonts w:ascii="Arial" w:hAnsi="Arial" w:cs="Arial"/>
          <w:sz w:val="22"/>
          <w:szCs w:val="22"/>
        </w:rPr>
        <w:t>6</w:t>
      </w:r>
      <w:r w:rsidRPr="00665B05">
        <w:rPr>
          <w:rFonts w:ascii="Arial" w:hAnsi="Arial" w:cs="Arial"/>
          <w:sz w:val="22"/>
          <w:szCs w:val="22"/>
        </w:rPr>
        <w:t>. Six studies provide primary qualitative data through interviews, observation,</w:t>
      </w:r>
      <w:r w:rsidR="00417CB3">
        <w:rPr>
          <w:rFonts w:ascii="Arial" w:hAnsi="Arial" w:cs="Arial"/>
          <w:sz w:val="22"/>
          <w:szCs w:val="22"/>
        </w:rPr>
        <w:t xml:space="preserve"> </w:t>
      </w:r>
      <w:r w:rsidRPr="00665B05">
        <w:rPr>
          <w:rFonts w:ascii="Arial" w:hAnsi="Arial" w:cs="Arial"/>
          <w:sz w:val="22"/>
          <w:szCs w:val="22"/>
        </w:rPr>
        <w:t>Davies et al. (2024), O'Cathain et al. (2020), Price et al. (2022), Anderson et al. (2021), Edwards et al. (2021a; 2021b) and constitute the richest sources of patient and professional voice within the corpus. The remaining eight studies contain qualitative commentary, patient experience narratives, pathway analysis, or interpretive framing derived from routine or survey data, from which thematic material has been extracted through secondary analysis. Studies are methodologically diverse, encompassing mixed-methods realist evaluations, retrospective cohort analyses, qualitative interview studies, service evaluations, regression analyses, and patient survey analyses. This diversity is a strength of the synthesis: it enables analytical triangulation across informant types, methods, and settings, strengthening confidence in the consistency and robustness of the themes identified.</w:t>
      </w:r>
    </w:p>
    <w:p w14:paraId="70C8A9FB" w14:textId="77777777" w:rsidR="000E15E0" w:rsidRPr="00AB0BA0" w:rsidRDefault="000E15E0" w:rsidP="00173BDC">
      <w:pPr>
        <w:spacing w:line="360" w:lineRule="auto"/>
        <w:jc w:val="both"/>
        <w:rPr>
          <w:rFonts w:ascii="Arial" w:hAnsi="Arial" w:cs="Arial"/>
        </w:rPr>
      </w:pPr>
    </w:p>
    <w:p w14:paraId="3BE9D6DF" w14:textId="43AA2EB7" w:rsidR="00AB0BA0" w:rsidRPr="001A765C" w:rsidRDefault="00AB0BA0" w:rsidP="001A765C">
      <w:pPr>
        <w:rPr>
          <w:rFonts w:ascii="Arial" w:hAnsi="Arial" w:cs="Arial"/>
          <w:b/>
          <w:bCs/>
        </w:rPr>
      </w:pPr>
      <w:r w:rsidRPr="001A765C">
        <w:rPr>
          <w:rFonts w:ascii="Arial" w:hAnsi="Arial" w:cs="Arial"/>
          <w:b/>
          <w:bCs/>
        </w:rPr>
        <w:t>Table</w:t>
      </w:r>
      <w:r w:rsidR="00322CC7" w:rsidRPr="001A765C">
        <w:rPr>
          <w:rFonts w:ascii="Arial" w:hAnsi="Arial" w:cs="Arial"/>
          <w:b/>
          <w:bCs/>
        </w:rPr>
        <w:t xml:space="preserve"> 1</w:t>
      </w:r>
      <w:r w:rsidR="00D0441C" w:rsidRPr="001A765C">
        <w:rPr>
          <w:rFonts w:ascii="Arial" w:hAnsi="Arial" w:cs="Arial"/>
          <w:b/>
          <w:bCs/>
        </w:rPr>
        <w:t>:</w:t>
      </w:r>
      <w:r w:rsidRPr="001A765C">
        <w:rPr>
          <w:rFonts w:ascii="Arial" w:hAnsi="Arial" w:cs="Arial"/>
          <w:b/>
          <w:bCs/>
        </w:rPr>
        <w:t xml:space="preserve"> 4.2 Characteristics of Included Studies (T1–T4 = Themes 1–4)</w:t>
      </w:r>
    </w:p>
    <w:p w14:paraId="48D3958F" w14:textId="77777777" w:rsidR="00AB0BA0" w:rsidRPr="00AB0BA0" w:rsidRDefault="00AB0BA0" w:rsidP="00AB0BA0">
      <w:pPr>
        <w:spacing w:line="360" w:lineRule="auto"/>
        <w:jc w:val="both"/>
        <w:rPr>
          <w:rFonts w:ascii="Arial" w:hAnsi="Arial" w:cs="Arial"/>
        </w:rPr>
      </w:pPr>
    </w:p>
    <w:tbl>
      <w:tblPr>
        <w:tblW w:w="5837" w:type="pct"/>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33"/>
        <w:gridCol w:w="2004"/>
        <w:gridCol w:w="2019"/>
        <w:gridCol w:w="2086"/>
        <w:gridCol w:w="2473"/>
      </w:tblGrid>
      <w:tr w:rsidR="00AB0BA0" w:rsidRPr="00AB0BA0" w14:paraId="5877F0C8" w14:textId="77777777" w:rsidTr="006D40AB">
        <w:tc>
          <w:tcPr>
            <w:tcW w:w="1069" w:type="pct"/>
            <w:tcBorders>
              <w:top w:val="single" w:sz="4" w:space="0" w:color="auto"/>
              <w:left w:val="single" w:sz="4" w:space="0" w:color="auto"/>
              <w:bottom w:val="single" w:sz="4" w:space="0" w:color="auto"/>
              <w:right w:val="single" w:sz="4" w:space="0" w:color="auto"/>
            </w:tcBorders>
            <w:shd w:val="clear" w:color="auto" w:fill="8DD873" w:themeFill="accent6" w:themeFillTint="99"/>
            <w:tcMar>
              <w:top w:w="80" w:type="dxa"/>
              <w:left w:w="120" w:type="dxa"/>
              <w:bottom w:w="80" w:type="dxa"/>
              <w:right w:w="120" w:type="dxa"/>
            </w:tcMar>
            <w:hideMark/>
          </w:tcPr>
          <w:p w14:paraId="14E50062" w14:textId="77777777" w:rsidR="00AB0BA0" w:rsidRPr="00395338" w:rsidRDefault="00AB0BA0" w:rsidP="00686919">
            <w:pPr>
              <w:spacing w:line="360" w:lineRule="auto"/>
              <w:jc w:val="center"/>
              <w:rPr>
                <w:rFonts w:ascii="Arial" w:hAnsi="Arial" w:cs="Arial"/>
                <w:color w:val="000000" w:themeColor="text1"/>
                <w:sz w:val="28"/>
                <w:szCs w:val="28"/>
              </w:rPr>
            </w:pPr>
            <w:r w:rsidRPr="00395338">
              <w:rPr>
                <w:rFonts w:ascii="Arial" w:hAnsi="Arial" w:cs="Arial"/>
                <w:b/>
                <w:bCs/>
                <w:color w:val="000000" w:themeColor="text1"/>
                <w:sz w:val="28"/>
                <w:szCs w:val="28"/>
              </w:rPr>
              <w:t>Author(s) / Year</w:t>
            </w:r>
          </w:p>
        </w:tc>
        <w:tc>
          <w:tcPr>
            <w:tcW w:w="0" w:type="auto"/>
            <w:tcBorders>
              <w:top w:val="single" w:sz="4" w:space="0" w:color="auto"/>
              <w:left w:val="single" w:sz="4" w:space="0" w:color="auto"/>
              <w:bottom w:val="single" w:sz="4" w:space="0" w:color="auto"/>
              <w:right w:val="single" w:sz="4" w:space="0" w:color="auto"/>
            </w:tcBorders>
            <w:shd w:val="clear" w:color="auto" w:fill="8DD873" w:themeFill="accent6" w:themeFillTint="99"/>
            <w:tcMar>
              <w:top w:w="80" w:type="dxa"/>
              <w:left w:w="120" w:type="dxa"/>
              <w:bottom w:w="80" w:type="dxa"/>
              <w:right w:w="120" w:type="dxa"/>
            </w:tcMar>
            <w:hideMark/>
          </w:tcPr>
          <w:p w14:paraId="304C5B23" w14:textId="77777777" w:rsidR="00AB0BA0" w:rsidRPr="00395338" w:rsidRDefault="00AB0BA0" w:rsidP="00686919">
            <w:pPr>
              <w:spacing w:line="360" w:lineRule="auto"/>
              <w:jc w:val="center"/>
              <w:rPr>
                <w:rFonts w:ascii="Arial" w:hAnsi="Arial" w:cs="Arial"/>
                <w:color w:val="000000" w:themeColor="text1"/>
                <w:sz w:val="28"/>
                <w:szCs w:val="28"/>
              </w:rPr>
            </w:pPr>
            <w:r w:rsidRPr="00395338">
              <w:rPr>
                <w:rFonts w:ascii="Arial" w:hAnsi="Arial" w:cs="Arial"/>
                <w:b/>
                <w:bCs/>
                <w:color w:val="000000" w:themeColor="text1"/>
                <w:sz w:val="28"/>
                <w:szCs w:val="28"/>
              </w:rPr>
              <w:t>Study type</w:t>
            </w:r>
          </w:p>
        </w:tc>
        <w:tc>
          <w:tcPr>
            <w:tcW w:w="0" w:type="auto"/>
            <w:tcBorders>
              <w:top w:val="single" w:sz="4" w:space="0" w:color="auto"/>
              <w:left w:val="single" w:sz="4" w:space="0" w:color="auto"/>
              <w:bottom w:val="single" w:sz="4" w:space="0" w:color="auto"/>
              <w:right w:val="single" w:sz="4" w:space="0" w:color="auto"/>
            </w:tcBorders>
            <w:shd w:val="clear" w:color="auto" w:fill="8DD873" w:themeFill="accent6" w:themeFillTint="99"/>
            <w:tcMar>
              <w:top w:w="80" w:type="dxa"/>
              <w:left w:w="120" w:type="dxa"/>
              <w:bottom w:w="80" w:type="dxa"/>
              <w:right w:w="120" w:type="dxa"/>
            </w:tcMar>
            <w:hideMark/>
          </w:tcPr>
          <w:p w14:paraId="7C5115A5" w14:textId="77777777" w:rsidR="00AB0BA0" w:rsidRPr="00395338" w:rsidRDefault="00AB0BA0" w:rsidP="00686919">
            <w:pPr>
              <w:spacing w:line="360" w:lineRule="auto"/>
              <w:jc w:val="center"/>
              <w:rPr>
                <w:rFonts w:ascii="Arial" w:hAnsi="Arial" w:cs="Arial"/>
                <w:color w:val="000000" w:themeColor="text1"/>
                <w:sz w:val="28"/>
                <w:szCs w:val="28"/>
              </w:rPr>
            </w:pPr>
            <w:r w:rsidRPr="00395338">
              <w:rPr>
                <w:rFonts w:ascii="Arial" w:hAnsi="Arial" w:cs="Arial"/>
                <w:b/>
                <w:bCs/>
                <w:color w:val="000000" w:themeColor="text1"/>
                <w:sz w:val="28"/>
                <w:szCs w:val="28"/>
              </w:rPr>
              <w:t>Setting / Population</w:t>
            </w:r>
          </w:p>
        </w:tc>
        <w:tc>
          <w:tcPr>
            <w:tcW w:w="0" w:type="auto"/>
            <w:tcBorders>
              <w:top w:val="single" w:sz="4" w:space="0" w:color="auto"/>
              <w:left w:val="single" w:sz="4" w:space="0" w:color="auto"/>
              <w:bottom w:val="single" w:sz="4" w:space="0" w:color="auto"/>
              <w:right w:val="single" w:sz="4" w:space="0" w:color="auto"/>
            </w:tcBorders>
            <w:shd w:val="clear" w:color="auto" w:fill="8DD873" w:themeFill="accent6" w:themeFillTint="99"/>
            <w:tcMar>
              <w:top w:w="80" w:type="dxa"/>
              <w:left w:w="120" w:type="dxa"/>
              <w:bottom w:w="80" w:type="dxa"/>
              <w:right w:w="120" w:type="dxa"/>
            </w:tcMar>
            <w:hideMark/>
          </w:tcPr>
          <w:p w14:paraId="4DB8432B" w14:textId="77777777" w:rsidR="00AB0BA0" w:rsidRPr="00395338" w:rsidRDefault="00AB0BA0" w:rsidP="00686919">
            <w:pPr>
              <w:spacing w:line="360" w:lineRule="auto"/>
              <w:jc w:val="center"/>
              <w:rPr>
                <w:rFonts w:ascii="Arial" w:hAnsi="Arial" w:cs="Arial"/>
                <w:color w:val="000000" w:themeColor="text1"/>
                <w:sz w:val="28"/>
                <w:szCs w:val="28"/>
              </w:rPr>
            </w:pPr>
            <w:r w:rsidRPr="00395338">
              <w:rPr>
                <w:rFonts w:ascii="Arial" w:hAnsi="Arial" w:cs="Arial"/>
                <w:b/>
                <w:bCs/>
                <w:color w:val="000000" w:themeColor="text1"/>
                <w:sz w:val="28"/>
                <w:szCs w:val="28"/>
              </w:rPr>
              <w:t>Qualitative data source</w:t>
            </w:r>
          </w:p>
        </w:tc>
        <w:tc>
          <w:tcPr>
            <w:tcW w:w="1133" w:type="pct"/>
            <w:tcBorders>
              <w:top w:val="single" w:sz="4" w:space="0" w:color="auto"/>
              <w:left w:val="single" w:sz="4" w:space="0" w:color="auto"/>
              <w:bottom w:val="single" w:sz="4" w:space="0" w:color="auto"/>
              <w:right w:val="single" w:sz="4" w:space="0" w:color="auto"/>
            </w:tcBorders>
            <w:shd w:val="clear" w:color="auto" w:fill="8DD873" w:themeFill="accent6" w:themeFillTint="99"/>
            <w:tcMar>
              <w:top w:w="80" w:type="dxa"/>
              <w:left w:w="120" w:type="dxa"/>
              <w:bottom w:w="80" w:type="dxa"/>
              <w:right w:w="120" w:type="dxa"/>
            </w:tcMar>
            <w:hideMark/>
          </w:tcPr>
          <w:p w14:paraId="30F59593" w14:textId="77777777" w:rsidR="00AB0BA0" w:rsidRPr="00395338" w:rsidRDefault="00AB0BA0" w:rsidP="00686919">
            <w:pPr>
              <w:spacing w:line="360" w:lineRule="auto"/>
              <w:jc w:val="center"/>
              <w:rPr>
                <w:rFonts w:ascii="Arial" w:hAnsi="Arial" w:cs="Arial"/>
                <w:color w:val="000000" w:themeColor="text1"/>
                <w:sz w:val="28"/>
                <w:szCs w:val="28"/>
              </w:rPr>
            </w:pPr>
            <w:r w:rsidRPr="00395338">
              <w:rPr>
                <w:rFonts w:ascii="Arial" w:hAnsi="Arial" w:cs="Arial"/>
                <w:b/>
                <w:bCs/>
                <w:color w:val="000000" w:themeColor="text1"/>
                <w:sz w:val="28"/>
                <w:szCs w:val="28"/>
              </w:rPr>
              <w:t>Theme(s) contributed to</w:t>
            </w:r>
          </w:p>
        </w:tc>
      </w:tr>
      <w:tr w:rsidR="003C3D65" w:rsidRPr="00AB0BA0" w14:paraId="5DB0BC4F" w14:textId="77777777" w:rsidTr="00A077F2">
        <w:tc>
          <w:tcPr>
            <w:tcW w:w="1069"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0C5D1455" w14:textId="15CF16C5" w:rsidR="003C3D65" w:rsidRPr="00E02176" w:rsidRDefault="003C3D65" w:rsidP="003C3D65">
            <w:pPr>
              <w:spacing w:line="360" w:lineRule="auto"/>
              <w:jc w:val="center"/>
              <w:rPr>
                <w:rFonts w:ascii="Arial" w:hAnsi="Arial" w:cs="Arial"/>
              </w:rPr>
            </w:pPr>
            <w:r w:rsidRPr="003F07BB">
              <w:t>Anderson et al. (2021)</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69E1B507" w14:textId="29BD1DAA" w:rsidR="003C3D65" w:rsidRPr="00E02176" w:rsidRDefault="003C3D65" w:rsidP="003C3D65">
            <w:pPr>
              <w:spacing w:line="360" w:lineRule="auto"/>
              <w:jc w:val="center"/>
              <w:rPr>
                <w:rFonts w:ascii="Arial" w:hAnsi="Arial" w:cs="Arial"/>
              </w:rPr>
            </w:pPr>
            <w:r w:rsidRPr="003F07BB">
              <w:t>Qualitative study</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12EAB792" w14:textId="2A364595" w:rsidR="003C3D65" w:rsidRPr="00E02176" w:rsidRDefault="003C3D65" w:rsidP="003C3D65">
            <w:pPr>
              <w:spacing w:line="360" w:lineRule="auto"/>
              <w:jc w:val="center"/>
              <w:rPr>
                <w:rFonts w:ascii="Arial" w:hAnsi="Arial" w:cs="Arial"/>
              </w:rPr>
            </w:pPr>
            <w:r w:rsidRPr="003F07BB">
              <w:t>EDs with GP streaming, England</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51911057" w14:textId="5CF5C724" w:rsidR="003C3D65" w:rsidRPr="00E02176" w:rsidRDefault="003C3D65" w:rsidP="003C3D65">
            <w:pPr>
              <w:spacing w:line="360" w:lineRule="auto"/>
              <w:jc w:val="center"/>
              <w:rPr>
                <w:rFonts w:ascii="Arial" w:hAnsi="Arial" w:cs="Arial"/>
              </w:rPr>
            </w:pPr>
            <w:r w:rsidRPr="003F07BB">
              <w:t>Staff interviews; observational data</w:t>
            </w:r>
          </w:p>
        </w:tc>
        <w:tc>
          <w:tcPr>
            <w:tcW w:w="1133"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452CAB34" w14:textId="101C8BB8" w:rsidR="003C3D65" w:rsidRPr="00E02176" w:rsidRDefault="003C3D65" w:rsidP="003C3D65">
            <w:pPr>
              <w:spacing w:line="360" w:lineRule="auto"/>
              <w:jc w:val="center"/>
              <w:rPr>
                <w:rFonts w:ascii="Arial" w:hAnsi="Arial" w:cs="Arial"/>
              </w:rPr>
            </w:pPr>
            <w:r w:rsidRPr="003F07BB">
              <w:t>T3</w:t>
            </w:r>
          </w:p>
        </w:tc>
      </w:tr>
      <w:tr w:rsidR="003C3D65" w:rsidRPr="00AB0BA0" w14:paraId="7A85301A" w14:textId="77777777" w:rsidTr="00A077F2">
        <w:tc>
          <w:tcPr>
            <w:tcW w:w="1069"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60351B68" w14:textId="617728D7" w:rsidR="003C3D65" w:rsidRPr="00E02176" w:rsidRDefault="003C3D65" w:rsidP="003C3D65">
            <w:pPr>
              <w:spacing w:line="360" w:lineRule="auto"/>
              <w:jc w:val="center"/>
              <w:rPr>
                <w:rFonts w:ascii="Arial" w:hAnsi="Arial" w:cs="Arial"/>
              </w:rPr>
            </w:pPr>
            <w:r w:rsidRPr="003F07BB">
              <w:t>Brainard et al. (2025)</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70695685" w14:textId="020FEBE2" w:rsidR="003C3D65" w:rsidRPr="00E02176" w:rsidRDefault="003C3D65" w:rsidP="003C3D65">
            <w:pPr>
              <w:spacing w:line="360" w:lineRule="auto"/>
              <w:jc w:val="center"/>
              <w:rPr>
                <w:rFonts w:ascii="Arial" w:hAnsi="Arial" w:cs="Arial"/>
              </w:rPr>
            </w:pPr>
            <w:r w:rsidRPr="003F07BB">
              <w:t>Service evaluation, mixed methods</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1429222E" w14:textId="18EE2B4E" w:rsidR="003C3D65" w:rsidRPr="00E02176" w:rsidRDefault="003C3D65" w:rsidP="003C3D65">
            <w:pPr>
              <w:spacing w:line="360" w:lineRule="auto"/>
              <w:jc w:val="center"/>
              <w:rPr>
                <w:rFonts w:ascii="Arial" w:hAnsi="Arial" w:cs="Arial"/>
              </w:rPr>
            </w:pPr>
            <w:r w:rsidRPr="003F07BB">
              <w:t>Eastern England EDs</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09110DEA" w14:textId="10560D48" w:rsidR="003C3D65" w:rsidRPr="00E02176" w:rsidRDefault="003C3D65" w:rsidP="003C3D65">
            <w:pPr>
              <w:spacing w:line="360" w:lineRule="auto"/>
              <w:jc w:val="center"/>
              <w:rPr>
                <w:rFonts w:ascii="Arial" w:hAnsi="Arial" w:cs="Arial"/>
              </w:rPr>
            </w:pPr>
            <w:r w:rsidRPr="003F07BB">
              <w:t>Patient and staff interviews; service records</w:t>
            </w:r>
          </w:p>
        </w:tc>
        <w:tc>
          <w:tcPr>
            <w:tcW w:w="1133"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6E4F7D42" w14:textId="7BC3E946" w:rsidR="003C3D65" w:rsidRPr="00E02176" w:rsidRDefault="003C3D65" w:rsidP="003C3D65">
            <w:pPr>
              <w:spacing w:line="360" w:lineRule="auto"/>
              <w:jc w:val="center"/>
              <w:rPr>
                <w:rFonts w:ascii="Arial" w:hAnsi="Arial" w:cs="Arial"/>
              </w:rPr>
            </w:pPr>
            <w:r w:rsidRPr="003F07BB">
              <w:t>T3</w:t>
            </w:r>
          </w:p>
        </w:tc>
      </w:tr>
      <w:tr w:rsidR="003C3D65" w:rsidRPr="00AB0BA0" w14:paraId="7606D015" w14:textId="77777777" w:rsidTr="00A077F2">
        <w:tc>
          <w:tcPr>
            <w:tcW w:w="1069"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629361A2" w14:textId="13916F5E" w:rsidR="003C3D65" w:rsidRPr="00E02176" w:rsidRDefault="003C3D65" w:rsidP="003C3D65">
            <w:pPr>
              <w:spacing w:line="360" w:lineRule="auto"/>
              <w:jc w:val="center"/>
              <w:rPr>
                <w:rFonts w:ascii="Arial" w:hAnsi="Arial" w:cs="Arial"/>
              </w:rPr>
            </w:pPr>
            <w:r w:rsidRPr="003F07BB">
              <w:t>Calastri et al. (2025)</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4B157E5C" w14:textId="7A859B8B" w:rsidR="003C3D65" w:rsidRPr="00E02176" w:rsidRDefault="003C3D65" w:rsidP="003C3D65">
            <w:pPr>
              <w:spacing w:line="360" w:lineRule="auto"/>
              <w:jc w:val="center"/>
              <w:rPr>
                <w:rFonts w:ascii="Arial" w:hAnsi="Arial" w:cs="Arial"/>
              </w:rPr>
            </w:pPr>
            <w:r w:rsidRPr="003F07BB">
              <w:t>Recursive bivariate probit with patient survey data</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129D6897" w14:textId="77D7B4D8" w:rsidR="003C3D65" w:rsidRPr="00E02176" w:rsidRDefault="003C3D65" w:rsidP="003C3D65">
            <w:pPr>
              <w:spacing w:line="360" w:lineRule="auto"/>
              <w:jc w:val="center"/>
              <w:rPr>
                <w:rFonts w:ascii="Arial" w:hAnsi="Arial" w:cs="Arial"/>
              </w:rPr>
            </w:pPr>
            <w:r w:rsidRPr="003F07BB">
              <w:t>UK ED patients</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3BC2222D" w14:textId="56CB40CA" w:rsidR="003C3D65" w:rsidRPr="00E02176" w:rsidRDefault="003C3D65" w:rsidP="003C3D65">
            <w:pPr>
              <w:spacing w:line="360" w:lineRule="auto"/>
              <w:jc w:val="center"/>
              <w:rPr>
                <w:rFonts w:ascii="Arial" w:hAnsi="Arial" w:cs="Arial"/>
              </w:rPr>
            </w:pPr>
            <w:r w:rsidRPr="003F07BB">
              <w:t>Patient-reported perspectives on avoidable visits</w:t>
            </w:r>
          </w:p>
        </w:tc>
        <w:tc>
          <w:tcPr>
            <w:tcW w:w="1133"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21A5F077" w14:textId="534609DA" w:rsidR="003C3D65" w:rsidRPr="00E02176" w:rsidRDefault="003C3D65" w:rsidP="003C3D65">
            <w:pPr>
              <w:spacing w:line="360" w:lineRule="auto"/>
              <w:jc w:val="center"/>
              <w:rPr>
                <w:rFonts w:ascii="Arial" w:hAnsi="Arial" w:cs="Arial"/>
              </w:rPr>
            </w:pPr>
            <w:r w:rsidRPr="003F07BB">
              <w:t>T2</w:t>
            </w:r>
          </w:p>
        </w:tc>
      </w:tr>
      <w:tr w:rsidR="003C3D65" w:rsidRPr="00AB0BA0" w14:paraId="6C6F510D" w14:textId="77777777" w:rsidTr="00A077F2">
        <w:tc>
          <w:tcPr>
            <w:tcW w:w="1069"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7E69A113" w14:textId="0DEE3F4B" w:rsidR="003C3D65" w:rsidRPr="00E02176" w:rsidRDefault="003C3D65" w:rsidP="003C3D65">
            <w:pPr>
              <w:spacing w:line="360" w:lineRule="auto"/>
              <w:jc w:val="center"/>
              <w:rPr>
                <w:rFonts w:ascii="Arial" w:hAnsi="Arial" w:cs="Arial"/>
              </w:rPr>
            </w:pPr>
            <w:r w:rsidRPr="003F07BB">
              <w:t>Davies et al. (2024)</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35554206" w14:textId="5671CD5A" w:rsidR="003C3D65" w:rsidRPr="00E02176" w:rsidRDefault="003C3D65" w:rsidP="003C3D65">
            <w:pPr>
              <w:spacing w:line="360" w:lineRule="auto"/>
              <w:jc w:val="center"/>
              <w:rPr>
                <w:rFonts w:ascii="Arial" w:hAnsi="Arial" w:cs="Arial"/>
              </w:rPr>
            </w:pPr>
            <w:r w:rsidRPr="003F07BB">
              <w:t>Mixed-methods realist evaluation</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22D2BE38" w14:textId="3479DD50" w:rsidR="003C3D65" w:rsidRPr="00E02176" w:rsidRDefault="003C3D65" w:rsidP="003C3D65">
            <w:pPr>
              <w:spacing w:line="360" w:lineRule="auto"/>
              <w:jc w:val="center"/>
              <w:rPr>
                <w:rFonts w:ascii="Arial" w:hAnsi="Arial" w:cs="Arial"/>
              </w:rPr>
            </w:pPr>
            <w:r w:rsidRPr="003F07BB">
              <w:t>64 EDs, England</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09D81C40" w14:textId="2E7AF900" w:rsidR="003C3D65" w:rsidRPr="00E02176" w:rsidRDefault="003C3D65" w:rsidP="003C3D65">
            <w:pPr>
              <w:spacing w:line="360" w:lineRule="auto"/>
              <w:jc w:val="center"/>
              <w:rPr>
                <w:rFonts w:ascii="Arial" w:hAnsi="Arial" w:cs="Arial"/>
              </w:rPr>
            </w:pPr>
            <w:r w:rsidRPr="003F07BB">
              <w:t xml:space="preserve">467 semi-structured </w:t>
            </w:r>
            <w:r w:rsidRPr="003F07BB">
              <w:lastRenderedPageBreak/>
              <w:t>interviews; observation</w:t>
            </w:r>
          </w:p>
        </w:tc>
        <w:tc>
          <w:tcPr>
            <w:tcW w:w="1133"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42C075AD" w14:textId="65D246E3" w:rsidR="003C3D65" w:rsidRPr="00E02176" w:rsidRDefault="003C3D65" w:rsidP="003C3D65">
            <w:pPr>
              <w:spacing w:line="360" w:lineRule="auto"/>
              <w:jc w:val="center"/>
              <w:rPr>
                <w:rFonts w:ascii="Arial" w:hAnsi="Arial" w:cs="Arial"/>
              </w:rPr>
            </w:pPr>
            <w:r w:rsidRPr="003F07BB">
              <w:lastRenderedPageBreak/>
              <w:t>T1, T2, T3</w:t>
            </w:r>
          </w:p>
        </w:tc>
      </w:tr>
      <w:tr w:rsidR="003C3D65" w:rsidRPr="00AB0BA0" w14:paraId="4B22B31C" w14:textId="77777777" w:rsidTr="00A077F2">
        <w:tc>
          <w:tcPr>
            <w:tcW w:w="1069"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05854C73" w14:textId="5F0182A5" w:rsidR="003C3D65" w:rsidRPr="00E02176" w:rsidRDefault="003C3D65" w:rsidP="003C3D65">
            <w:pPr>
              <w:spacing w:line="360" w:lineRule="auto"/>
              <w:jc w:val="center"/>
              <w:rPr>
                <w:rFonts w:ascii="Arial" w:hAnsi="Arial" w:cs="Arial"/>
              </w:rPr>
            </w:pPr>
            <w:r w:rsidRPr="003F07BB">
              <w:t>Edwards et al. (2021a)</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65D27A78" w14:textId="42B77632" w:rsidR="003C3D65" w:rsidRPr="00E02176" w:rsidRDefault="003C3D65" w:rsidP="003C3D65">
            <w:pPr>
              <w:spacing w:line="360" w:lineRule="auto"/>
              <w:jc w:val="center"/>
              <w:rPr>
                <w:rFonts w:ascii="Arial" w:hAnsi="Arial" w:cs="Arial"/>
              </w:rPr>
            </w:pPr>
            <w:r w:rsidRPr="003F07BB">
              <w:t>Multi-methods: survey, observation, interviews</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56B12B41" w14:textId="51C7D745" w:rsidR="003C3D65" w:rsidRPr="00E02176" w:rsidRDefault="003C3D65" w:rsidP="003C3D65">
            <w:pPr>
              <w:spacing w:line="360" w:lineRule="auto"/>
              <w:jc w:val="center"/>
              <w:rPr>
                <w:rFonts w:ascii="Arial" w:hAnsi="Arial" w:cs="Arial"/>
              </w:rPr>
            </w:pPr>
            <w:r w:rsidRPr="003F07BB">
              <w:t>UK EDs with primary care streaming</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65D53866" w14:textId="0FCB8D83" w:rsidR="003C3D65" w:rsidRPr="00E02176" w:rsidRDefault="003C3D65" w:rsidP="003C3D65">
            <w:pPr>
              <w:spacing w:line="360" w:lineRule="auto"/>
              <w:jc w:val="center"/>
              <w:rPr>
                <w:rFonts w:ascii="Arial" w:hAnsi="Arial" w:cs="Arial"/>
              </w:rPr>
            </w:pPr>
            <w:r w:rsidRPr="003F07BB">
              <w:t>Semi-structured and informal interviews; site visits</w:t>
            </w:r>
          </w:p>
        </w:tc>
        <w:tc>
          <w:tcPr>
            <w:tcW w:w="1133"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3FE18E73" w14:textId="24A464D9" w:rsidR="003C3D65" w:rsidRPr="00E02176" w:rsidRDefault="003C3D65" w:rsidP="003C3D65">
            <w:pPr>
              <w:spacing w:line="360" w:lineRule="auto"/>
              <w:jc w:val="center"/>
              <w:rPr>
                <w:rFonts w:ascii="Arial" w:hAnsi="Arial" w:cs="Arial"/>
              </w:rPr>
            </w:pPr>
            <w:r w:rsidRPr="003F07BB">
              <w:t>T3</w:t>
            </w:r>
          </w:p>
        </w:tc>
      </w:tr>
      <w:tr w:rsidR="003C3D65" w:rsidRPr="00AB0BA0" w14:paraId="52D73A1F" w14:textId="77777777" w:rsidTr="00A077F2">
        <w:tc>
          <w:tcPr>
            <w:tcW w:w="1069"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0D3E1124" w14:textId="72C4A173" w:rsidR="003C3D65" w:rsidRPr="00E02176" w:rsidRDefault="003C3D65" w:rsidP="003C3D65">
            <w:pPr>
              <w:spacing w:line="360" w:lineRule="auto"/>
              <w:jc w:val="center"/>
              <w:rPr>
                <w:rFonts w:ascii="Arial" w:hAnsi="Arial" w:cs="Arial"/>
              </w:rPr>
            </w:pPr>
            <w:r w:rsidRPr="003F07BB">
              <w:t>Edwards et al. (2021b)</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21244EFF" w14:textId="581847F7" w:rsidR="003C3D65" w:rsidRPr="00E02176" w:rsidRDefault="003C3D65" w:rsidP="003C3D65">
            <w:pPr>
              <w:spacing w:line="360" w:lineRule="auto"/>
              <w:jc w:val="center"/>
              <w:rPr>
                <w:rFonts w:ascii="Arial" w:hAnsi="Arial" w:cs="Arial"/>
              </w:rPr>
            </w:pPr>
            <w:r w:rsidRPr="003F07BB">
              <w:t>Qualitative study</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08F759F7" w14:textId="73B6B8A4" w:rsidR="003C3D65" w:rsidRPr="00E02176" w:rsidRDefault="003C3D65" w:rsidP="003C3D65">
            <w:pPr>
              <w:spacing w:line="360" w:lineRule="auto"/>
              <w:jc w:val="center"/>
              <w:rPr>
                <w:rFonts w:ascii="Arial" w:hAnsi="Arial" w:cs="Arial"/>
              </w:rPr>
            </w:pPr>
            <w:r w:rsidRPr="003F07BB">
              <w:t>UK EDs with GP-in-ED</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14431D98" w14:textId="0FBE99C6" w:rsidR="003C3D65" w:rsidRPr="00E02176" w:rsidRDefault="003C3D65" w:rsidP="003C3D65">
            <w:pPr>
              <w:spacing w:line="360" w:lineRule="auto"/>
              <w:jc w:val="center"/>
              <w:rPr>
                <w:rFonts w:ascii="Arial" w:hAnsi="Arial" w:cs="Arial"/>
              </w:rPr>
            </w:pPr>
            <w:r w:rsidRPr="003F07BB">
              <w:t>Interviews with ED clinical leads</w:t>
            </w:r>
          </w:p>
        </w:tc>
        <w:tc>
          <w:tcPr>
            <w:tcW w:w="1133"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6DD300EB" w14:textId="0032D491" w:rsidR="003C3D65" w:rsidRPr="00E02176" w:rsidRDefault="003C3D65" w:rsidP="003C3D65">
            <w:pPr>
              <w:spacing w:line="360" w:lineRule="auto"/>
              <w:jc w:val="center"/>
              <w:rPr>
                <w:rFonts w:ascii="Arial" w:hAnsi="Arial" w:cs="Arial"/>
              </w:rPr>
            </w:pPr>
            <w:r w:rsidRPr="003F07BB">
              <w:t>T3</w:t>
            </w:r>
          </w:p>
        </w:tc>
      </w:tr>
      <w:tr w:rsidR="003C3D65" w:rsidRPr="00AB0BA0" w14:paraId="4485ADC2" w14:textId="77777777" w:rsidTr="00A077F2">
        <w:tc>
          <w:tcPr>
            <w:tcW w:w="1069"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25DD8FC1" w14:textId="6D2FB585" w:rsidR="003C3D65" w:rsidRPr="00E02176" w:rsidRDefault="003C3D65" w:rsidP="003C3D65">
            <w:pPr>
              <w:spacing w:line="360" w:lineRule="auto"/>
              <w:jc w:val="center"/>
              <w:rPr>
                <w:rFonts w:ascii="Arial" w:hAnsi="Arial" w:cs="Arial"/>
              </w:rPr>
            </w:pPr>
            <w:r w:rsidRPr="003F07BB">
              <w:t>Hull et al. (2018)</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3FE0A672" w14:textId="561FC2E5" w:rsidR="003C3D65" w:rsidRPr="00E02176" w:rsidRDefault="003C3D65" w:rsidP="003C3D65">
            <w:pPr>
              <w:spacing w:line="360" w:lineRule="auto"/>
              <w:jc w:val="center"/>
              <w:rPr>
                <w:rFonts w:ascii="Arial" w:hAnsi="Arial" w:cs="Arial"/>
              </w:rPr>
            </w:pPr>
            <w:r w:rsidRPr="003F07BB">
              <w:t>Retrospective cohort, linked data</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285E3A42" w14:textId="4BE40842" w:rsidR="003C3D65" w:rsidRPr="00E02176" w:rsidRDefault="003C3D65" w:rsidP="003C3D65">
            <w:pPr>
              <w:spacing w:line="360" w:lineRule="auto"/>
              <w:jc w:val="center"/>
              <w:rPr>
                <w:rFonts w:ascii="Arial" w:hAnsi="Arial" w:cs="Arial"/>
              </w:rPr>
            </w:pPr>
            <w:r w:rsidRPr="003F07BB">
              <w:t>819,590 patients, East London</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41EDBD75" w14:textId="39FEF9A4" w:rsidR="003C3D65" w:rsidRPr="00E02176" w:rsidRDefault="003C3D65" w:rsidP="003C3D65">
            <w:pPr>
              <w:spacing w:line="360" w:lineRule="auto"/>
              <w:jc w:val="center"/>
              <w:rPr>
                <w:rFonts w:ascii="Arial" w:hAnsi="Arial" w:cs="Arial"/>
              </w:rPr>
            </w:pPr>
            <w:r w:rsidRPr="003F07BB">
              <w:t>Patient record narratives</w:t>
            </w:r>
          </w:p>
        </w:tc>
        <w:tc>
          <w:tcPr>
            <w:tcW w:w="1133"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588A1648" w14:textId="14EF88C7" w:rsidR="003C3D65" w:rsidRPr="00E02176" w:rsidRDefault="003C3D65" w:rsidP="003C3D65">
            <w:pPr>
              <w:spacing w:line="360" w:lineRule="auto"/>
              <w:jc w:val="center"/>
              <w:rPr>
                <w:rFonts w:ascii="Arial" w:hAnsi="Arial" w:cs="Arial"/>
              </w:rPr>
            </w:pPr>
            <w:r w:rsidRPr="003F07BB">
              <w:t>T1, T2</w:t>
            </w:r>
          </w:p>
        </w:tc>
      </w:tr>
      <w:tr w:rsidR="003C3D65" w:rsidRPr="00AB0BA0" w14:paraId="49B3E266" w14:textId="77777777" w:rsidTr="00A077F2">
        <w:tc>
          <w:tcPr>
            <w:tcW w:w="1069"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5767D101" w14:textId="0A0DC225" w:rsidR="003C3D65" w:rsidRPr="00E02176" w:rsidRDefault="003C3D65" w:rsidP="003C3D65">
            <w:pPr>
              <w:spacing w:line="360" w:lineRule="auto"/>
              <w:jc w:val="center"/>
              <w:rPr>
                <w:rFonts w:ascii="Arial" w:hAnsi="Arial" w:cs="Arial"/>
              </w:rPr>
            </w:pPr>
            <w:r w:rsidRPr="003F07BB">
              <w:t>Jacob et al. (2024)</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44C9F1EC" w14:textId="72A6EE8C" w:rsidR="003C3D65" w:rsidRPr="00E02176" w:rsidRDefault="003C3D65" w:rsidP="003C3D65">
            <w:pPr>
              <w:spacing w:line="360" w:lineRule="auto"/>
              <w:jc w:val="center"/>
              <w:rPr>
                <w:rFonts w:ascii="Arial" w:hAnsi="Arial" w:cs="Arial"/>
              </w:rPr>
            </w:pPr>
            <w:r w:rsidRPr="003F07BB">
              <w:t>Observational analysis of linked data</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1252CD6B" w14:textId="544B3D2F" w:rsidR="003C3D65" w:rsidRPr="00E02176" w:rsidRDefault="003C3D65" w:rsidP="003C3D65">
            <w:pPr>
              <w:spacing w:line="360" w:lineRule="auto"/>
              <w:jc w:val="center"/>
              <w:rPr>
                <w:rFonts w:ascii="Arial" w:hAnsi="Arial" w:cs="Arial"/>
              </w:rPr>
            </w:pPr>
            <w:r w:rsidRPr="003F07BB">
              <w:t>Local areas, England, 2018 2022</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0D9F3DD1" w14:textId="26461A30" w:rsidR="003C3D65" w:rsidRPr="00E02176" w:rsidRDefault="003C3D65" w:rsidP="003C3D65">
            <w:pPr>
              <w:spacing w:line="360" w:lineRule="auto"/>
              <w:jc w:val="center"/>
              <w:rPr>
                <w:rFonts w:ascii="Arial" w:hAnsi="Arial" w:cs="Arial"/>
              </w:rPr>
            </w:pPr>
            <w:r w:rsidRPr="003F07BB">
              <w:t>Area-level narrative commentary</w:t>
            </w:r>
          </w:p>
        </w:tc>
        <w:tc>
          <w:tcPr>
            <w:tcW w:w="1133"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31133A64" w14:textId="1A7275B1" w:rsidR="003C3D65" w:rsidRPr="00E02176" w:rsidRDefault="003C3D65" w:rsidP="003C3D65">
            <w:pPr>
              <w:spacing w:line="360" w:lineRule="auto"/>
              <w:jc w:val="center"/>
              <w:rPr>
                <w:rFonts w:ascii="Arial" w:hAnsi="Arial" w:cs="Arial"/>
              </w:rPr>
            </w:pPr>
            <w:r w:rsidRPr="003F07BB">
              <w:t>T1, T4</w:t>
            </w:r>
          </w:p>
        </w:tc>
      </w:tr>
      <w:tr w:rsidR="003C3D65" w:rsidRPr="00AB0BA0" w14:paraId="6820D88D" w14:textId="77777777" w:rsidTr="00A077F2">
        <w:tc>
          <w:tcPr>
            <w:tcW w:w="1069"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15013541" w14:textId="594D5F68" w:rsidR="003C3D65" w:rsidRPr="00E02176" w:rsidRDefault="003C3D65" w:rsidP="003C3D65">
            <w:pPr>
              <w:spacing w:line="360" w:lineRule="auto"/>
              <w:jc w:val="center"/>
              <w:rPr>
                <w:rFonts w:ascii="Arial" w:hAnsi="Arial" w:cs="Arial"/>
              </w:rPr>
            </w:pPr>
            <w:r w:rsidRPr="003F07BB">
              <w:t>Jamieson et al. (2025)</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6A64BC0D" w14:textId="49DB7AAF" w:rsidR="003C3D65" w:rsidRPr="00E02176" w:rsidRDefault="003C3D65" w:rsidP="003C3D65">
            <w:pPr>
              <w:spacing w:line="360" w:lineRule="auto"/>
              <w:jc w:val="center"/>
              <w:rPr>
                <w:rFonts w:ascii="Arial" w:hAnsi="Arial" w:cs="Arial"/>
              </w:rPr>
            </w:pPr>
            <w:r w:rsidRPr="003F07BB">
              <w:t>Regression analysis of routine data</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358F3CD4" w14:textId="5370EF10" w:rsidR="003C3D65" w:rsidRPr="00E02176" w:rsidRDefault="003C3D65" w:rsidP="003C3D65">
            <w:pPr>
              <w:spacing w:line="360" w:lineRule="auto"/>
              <w:jc w:val="center"/>
              <w:rPr>
                <w:rFonts w:ascii="Arial" w:hAnsi="Arial" w:cs="Arial"/>
              </w:rPr>
            </w:pPr>
            <w:r w:rsidRPr="003F07BB">
              <w:t>English EDs, 2016–2019</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531D5F64" w14:textId="6BB79957" w:rsidR="003C3D65" w:rsidRPr="00E02176" w:rsidRDefault="003C3D65" w:rsidP="003C3D65">
            <w:pPr>
              <w:spacing w:line="360" w:lineRule="auto"/>
              <w:jc w:val="center"/>
              <w:rPr>
                <w:rFonts w:ascii="Arial" w:hAnsi="Arial" w:cs="Arial"/>
              </w:rPr>
            </w:pPr>
            <w:r w:rsidRPr="003F07BB">
              <w:t>Service-level qualitative commentary</w:t>
            </w:r>
          </w:p>
        </w:tc>
        <w:tc>
          <w:tcPr>
            <w:tcW w:w="1133"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28E15905" w14:textId="16B4614B" w:rsidR="003C3D65" w:rsidRPr="00E02176" w:rsidRDefault="003C3D65" w:rsidP="003C3D65">
            <w:pPr>
              <w:spacing w:line="360" w:lineRule="auto"/>
              <w:jc w:val="center"/>
              <w:rPr>
                <w:rFonts w:ascii="Arial" w:hAnsi="Arial" w:cs="Arial"/>
              </w:rPr>
            </w:pPr>
            <w:r w:rsidRPr="003F07BB">
              <w:t>T1, T3</w:t>
            </w:r>
          </w:p>
        </w:tc>
      </w:tr>
      <w:tr w:rsidR="003C3D65" w:rsidRPr="00AB0BA0" w14:paraId="21516917" w14:textId="77777777" w:rsidTr="00A077F2">
        <w:tc>
          <w:tcPr>
            <w:tcW w:w="1069"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4F207ADB" w14:textId="5E226A9A" w:rsidR="003C3D65" w:rsidRPr="00E02176" w:rsidRDefault="003C3D65" w:rsidP="003C3D65">
            <w:pPr>
              <w:spacing w:line="360" w:lineRule="auto"/>
              <w:jc w:val="center"/>
              <w:rPr>
                <w:rFonts w:ascii="Arial" w:hAnsi="Arial" w:cs="Arial"/>
              </w:rPr>
            </w:pPr>
            <w:r w:rsidRPr="003F07BB">
              <w:t>Madia et al. (2025)</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2C15F109" w14:textId="36FA5DAC" w:rsidR="003C3D65" w:rsidRPr="00E02176" w:rsidRDefault="003C3D65" w:rsidP="003C3D65">
            <w:pPr>
              <w:spacing w:line="360" w:lineRule="auto"/>
              <w:jc w:val="center"/>
              <w:rPr>
                <w:rFonts w:ascii="Arial" w:hAnsi="Arial" w:cs="Arial"/>
              </w:rPr>
            </w:pPr>
            <w:r w:rsidRPr="003F07BB">
              <w:t>Mixed-methods, retrospective pathway analysis</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60CCB910" w14:textId="14B38E24" w:rsidR="003C3D65" w:rsidRPr="00E02176" w:rsidRDefault="003C3D65" w:rsidP="003C3D65">
            <w:pPr>
              <w:spacing w:line="360" w:lineRule="auto"/>
              <w:jc w:val="center"/>
              <w:rPr>
                <w:rFonts w:ascii="Arial" w:hAnsi="Arial" w:cs="Arial"/>
              </w:rPr>
            </w:pPr>
            <w:r w:rsidRPr="003F07BB">
              <w:t>UK ED attendances, England</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28E49001" w14:textId="66C9E494" w:rsidR="003C3D65" w:rsidRPr="00E02176" w:rsidRDefault="003C3D65" w:rsidP="003C3D65">
            <w:pPr>
              <w:spacing w:line="360" w:lineRule="auto"/>
              <w:jc w:val="center"/>
              <w:rPr>
                <w:rFonts w:ascii="Arial" w:hAnsi="Arial" w:cs="Arial"/>
              </w:rPr>
            </w:pPr>
            <w:r w:rsidRPr="003F07BB">
              <w:t>Pathway narratives; staff and patient accounts</w:t>
            </w:r>
          </w:p>
        </w:tc>
        <w:tc>
          <w:tcPr>
            <w:tcW w:w="1133"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63752D22" w14:textId="0AD8F74A" w:rsidR="003C3D65" w:rsidRPr="00E02176" w:rsidRDefault="003C3D65" w:rsidP="003C3D65">
            <w:pPr>
              <w:spacing w:line="360" w:lineRule="auto"/>
              <w:jc w:val="center"/>
              <w:rPr>
                <w:rFonts w:ascii="Arial" w:hAnsi="Arial" w:cs="Arial"/>
              </w:rPr>
            </w:pPr>
            <w:r w:rsidRPr="003F07BB">
              <w:t>T1, T2</w:t>
            </w:r>
          </w:p>
        </w:tc>
      </w:tr>
      <w:tr w:rsidR="003C3D65" w:rsidRPr="00AB0BA0" w14:paraId="59EE17B3" w14:textId="77777777" w:rsidTr="00A077F2">
        <w:tc>
          <w:tcPr>
            <w:tcW w:w="1069"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4B3954DF" w14:textId="78641597" w:rsidR="003C3D65" w:rsidRPr="00E02176" w:rsidRDefault="003C3D65" w:rsidP="003C3D65">
            <w:pPr>
              <w:spacing w:line="360" w:lineRule="auto"/>
              <w:jc w:val="center"/>
              <w:rPr>
                <w:rFonts w:ascii="Arial" w:hAnsi="Arial" w:cs="Arial"/>
              </w:rPr>
            </w:pPr>
            <w:r w:rsidRPr="003F07BB">
              <w:t>Maynou et al. (2023)</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7179CDB8" w14:textId="51F139C1" w:rsidR="003C3D65" w:rsidRPr="00E02176" w:rsidRDefault="003C3D65" w:rsidP="003C3D65">
            <w:pPr>
              <w:spacing w:line="360" w:lineRule="auto"/>
              <w:jc w:val="center"/>
              <w:rPr>
                <w:rFonts w:ascii="Arial" w:hAnsi="Arial" w:cs="Arial"/>
              </w:rPr>
            </w:pPr>
            <w:r w:rsidRPr="003F07BB">
              <w:t>Analysis of linked healthcare data</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68D5FC75" w14:textId="202DDECA" w:rsidR="003C3D65" w:rsidRPr="00E02176" w:rsidRDefault="003C3D65" w:rsidP="003C3D65">
            <w:pPr>
              <w:spacing w:line="360" w:lineRule="auto"/>
              <w:jc w:val="center"/>
              <w:rPr>
                <w:rFonts w:ascii="Arial" w:hAnsi="Arial" w:cs="Arial"/>
              </w:rPr>
            </w:pPr>
            <w:r w:rsidRPr="003F07BB">
              <w:t>Older ED patients, England</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74431501" w14:textId="2179E1F2" w:rsidR="003C3D65" w:rsidRPr="00E02176" w:rsidRDefault="003C3D65" w:rsidP="003C3D65">
            <w:pPr>
              <w:spacing w:line="360" w:lineRule="auto"/>
              <w:jc w:val="center"/>
              <w:rPr>
                <w:rFonts w:ascii="Arial" w:hAnsi="Arial" w:cs="Arial"/>
              </w:rPr>
            </w:pPr>
            <w:r w:rsidRPr="003F07BB">
              <w:t>Patient record narratives and outcome data</w:t>
            </w:r>
          </w:p>
        </w:tc>
        <w:tc>
          <w:tcPr>
            <w:tcW w:w="1133"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4C89B4E8" w14:textId="63C2CD79" w:rsidR="003C3D65" w:rsidRPr="00E02176" w:rsidRDefault="003C3D65" w:rsidP="003C3D65">
            <w:pPr>
              <w:spacing w:line="360" w:lineRule="auto"/>
              <w:jc w:val="center"/>
              <w:rPr>
                <w:rFonts w:ascii="Arial" w:hAnsi="Arial" w:cs="Arial"/>
              </w:rPr>
            </w:pPr>
            <w:r w:rsidRPr="003F07BB">
              <w:t>T4</w:t>
            </w:r>
          </w:p>
        </w:tc>
      </w:tr>
      <w:tr w:rsidR="003C3D65" w:rsidRPr="00AB0BA0" w14:paraId="1B4079B4" w14:textId="77777777" w:rsidTr="00A077F2">
        <w:tc>
          <w:tcPr>
            <w:tcW w:w="1069"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1E100BB1" w14:textId="284AD8A7" w:rsidR="003C3D65" w:rsidRPr="00E02176" w:rsidRDefault="003C3D65" w:rsidP="003C3D65">
            <w:pPr>
              <w:spacing w:line="360" w:lineRule="auto"/>
              <w:jc w:val="center"/>
              <w:rPr>
                <w:rFonts w:ascii="Arial" w:hAnsi="Arial" w:cs="Arial"/>
              </w:rPr>
            </w:pPr>
            <w:r w:rsidRPr="003F07BB">
              <w:t>O'Cathain et al. (2020)</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689D3AB9" w14:textId="20088B4F" w:rsidR="003C3D65" w:rsidRPr="00E02176" w:rsidRDefault="003C3D65" w:rsidP="003C3D65">
            <w:pPr>
              <w:spacing w:line="360" w:lineRule="auto"/>
              <w:jc w:val="center"/>
              <w:rPr>
                <w:rFonts w:ascii="Arial" w:hAnsi="Arial" w:cs="Arial"/>
              </w:rPr>
            </w:pPr>
            <w:r w:rsidRPr="003F07BB">
              <w:t>Mixed-methods study</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72E2B899" w14:textId="46EF79EB" w:rsidR="003C3D65" w:rsidRPr="00E02176" w:rsidRDefault="003C3D65" w:rsidP="003C3D65">
            <w:pPr>
              <w:spacing w:line="360" w:lineRule="auto"/>
              <w:jc w:val="center"/>
              <w:rPr>
                <w:rFonts w:ascii="Arial" w:hAnsi="Arial" w:cs="Arial"/>
              </w:rPr>
            </w:pPr>
            <w:r w:rsidRPr="003F07BB">
              <w:t>Three UK sites EDs and urgent care</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7ED0CD46" w14:textId="62D3D525" w:rsidR="003C3D65" w:rsidRPr="00E02176" w:rsidRDefault="003C3D65" w:rsidP="003C3D65">
            <w:pPr>
              <w:spacing w:line="360" w:lineRule="auto"/>
              <w:jc w:val="center"/>
              <w:rPr>
                <w:rFonts w:ascii="Arial" w:hAnsi="Arial" w:cs="Arial"/>
              </w:rPr>
            </w:pPr>
            <w:r w:rsidRPr="003F07BB">
              <w:t>Patient interviews; staff interviews; ethnography</w:t>
            </w:r>
          </w:p>
        </w:tc>
        <w:tc>
          <w:tcPr>
            <w:tcW w:w="1133"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2B5FF4D6" w14:textId="15E6EC58" w:rsidR="003C3D65" w:rsidRPr="00E02176" w:rsidRDefault="003C3D65" w:rsidP="003C3D65">
            <w:pPr>
              <w:spacing w:line="360" w:lineRule="auto"/>
              <w:jc w:val="center"/>
              <w:rPr>
                <w:rFonts w:ascii="Arial" w:hAnsi="Arial" w:cs="Arial"/>
              </w:rPr>
            </w:pPr>
            <w:r w:rsidRPr="003F07BB">
              <w:t>T2, T4</w:t>
            </w:r>
          </w:p>
        </w:tc>
      </w:tr>
      <w:tr w:rsidR="003C3D65" w:rsidRPr="00AB0BA0" w14:paraId="3A87F0D8" w14:textId="77777777" w:rsidTr="00A077F2">
        <w:tc>
          <w:tcPr>
            <w:tcW w:w="1069"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1389BE91" w14:textId="10A288FB" w:rsidR="003C3D65" w:rsidRPr="00E02176" w:rsidRDefault="003C3D65" w:rsidP="003C3D65">
            <w:pPr>
              <w:spacing w:line="360" w:lineRule="auto"/>
              <w:jc w:val="center"/>
              <w:rPr>
                <w:rFonts w:ascii="Arial" w:hAnsi="Arial" w:cs="Arial"/>
              </w:rPr>
            </w:pPr>
            <w:r w:rsidRPr="003F07BB">
              <w:lastRenderedPageBreak/>
              <w:t>O'Keeffe et al. (2018)</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266081CA" w14:textId="7D209CBB" w:rsidR="003C3D65" w:rsidRPr="00E02176" w:rsidRDefault="003C3D65" w:rsidP="003C3D65">
            <w:pPr>
              <w:spacing w:line="360" w:lineRule="auto"/>
              <w:jc w:val="center"/>
              <w:rPr>
                <w:rFonts w:ascii="Arial" w:hAnsi="Arial" w:cs="Arial"/>
              </w:rPr>
            </w:pPr>
            <w:r w:rsidRPr="003F07BB">
              <w:t>Retrospective analysis of routine ED data</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5F5FF64D" w14:textId="466731AB" w:rsidR="003C3D65" w:rsidRPr="00E02176" w:rsidRDefault="003C3D65" w:rsidP="003C3D65">
            <w:pPr>
              <w:spacing w:line="360" w:lineRule="auto"/>
              <w:jc w:val="center"/>
              <w:rPr>
                <w:rFonts w:ascii="Arial" w:hAnsi="Arial" w:cs="Arial"/>
              </w:rPr>
            </w:pPr>
            <w:r w:rsidRPr="003F07BB">
              <w:t>Sheffield ED, England</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7F78D298" w14:textId="328DC5F7" w:rsidR="003C3D65" w:rsidRPr="00E02176" w:rsidRDefault="003C3D65" w:rsidP="003C3D65">
            <w:pPr>
              <w:spacing w:line="360" w:lineRule="auto"/>
              <w:jc w:val="center"/>
              <w:rPr>
                <w:rFonts w:ascii="Arial" w:hAnsi="Arial" w:cs="Arial"/>
              </w:rPr>
            </w:pPr>
            <w:r w:rsidRPr="003F07BB">
              <w:t>Patient-level records and contextual data</w:t>
            </w:r>
          </w:p>
        </w:tc>
        <w:tc>
          <w:tcPr>
            <w:tcW w:w="1133"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5933FD44" w14:textId="365F1049" w:rsidR="003C3D65" w:rsidRPr="00E02176" w:rsidRDefault="003C3D65" w:rsidP="003C3D65">
            <w:pPr>
              <w:spacing w:line="360" w:lineRule="auto"/>
              <w:jc w:val="center"/>
              <w:rPr>
                <w:rFonts w:ascii="Arial" w:hAnsi="Arial" w:cs="Arial"/>
              </w:rPr>
            </w:pPr>
            <w:r w:rsidRPr="003F07BB">
              <w:t>T2, T4</w:t>
            </w:r>
          </w:p>
        </w:tc>
      </w:tr>
      <w:tr w:rsidR="003C3D65" w:rsidRPr="00AB0BA0" w14:paraId="55499B34" w14:textId="77777777" w:rsidTr="00A077F2">
        <w:tc>
          <w:tcPr>
            <w:tcW w:w="1069"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0C2F71D4" w14:textId="495F9668" w:rsidR="003C3D65" w:rsidRPr="00E02176" w:rsidRDefault="003C3D65" w:rsidP="003C3D65">
            <w:pPr>
              <w:spacing w:line="360" w:lineRule="auto"/>
              <w:jc w:val="center"/>
              <w:rPr>
                <w:rFonts w:ascii="Arial" w:hAnsi="Arial" w:cs="Arial"/>
              </w:rPr>
            </w:pPr>
            <w:r w:rsidRPr="003F07BB">
              <w:t>Price et al. (2022)</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132E7FF3" w14:textId="432B508A" w:rsidR="003C3D65" w:rsidRPr="00E02176" w:rsidRDefault="003C3D65" w:rsidP="003C3D65">
            <w:pPr>
              <w:spacing w:line="360" w:lineRule="auto"/>
              <w:jc w:val="center"/>
              <w:rPr>
                <w:rFonts w:ascii="Arial" w:hAnsi="Arial" w:cs="Arial"/>
              </w:rPr>
            </w:pPr>
            <w:r w:rsidRPr="003F07BB">
              <w:t>Qualitative semi-structured interviews</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79EF4E03" w14:textId="57A9FB0F" w:rsidR="003C3D65" w:rsidRPr="00E02176" w:rsidRDefault="003C3D65" w:rsidP="003C3D65">
            <w:pPr>
              <w:spacing w:line="360" w:lineRule="auto"/>
              <w:jc w:val="center"/>
              <w:rPr>
                <w:rFonts w:ascii="Arial" w:hAnsi="Arial" w:cs="Arial"/>
              </w:rPr>
            </w:pPr>
            <w:r w:rsidRPr="003F07BB">
              <w:t>EDs with primary care co-location, England</w:t>
            </w:r>
          </w:p>
        </w:tc>
        <w:tc>
          <w:tcPr>
            <w:tcW w:w="0" w:type="auto"/>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6C90C6E4" w14:textId="46A17E73" w:rsidR="003C3D65" w:rsidRPr="00E02176" w:rsidRDefault="003C3D65" w:rsidP="003C3D65">
            <w:pPr>
              <w:spacing w:line="360" w:lineRule="auto"/>
              <w:jc w:val="center"/>
              <w:rPr>
                <w:rFonts w:ascii="Arial" w:hAnsi="Arial" w:cs="Arial"/>
              </w:rPr>
            </w:pPr>
            <w:r w:rsidRPr="003F07BB">
              <w:t>Patient and clinician interviews</w:t>
            </w:r>
          </w:p>
        </w:tc>
        <w:tc>
          <w:tcPr>
            <w:tcW w:w="1133" w:type="pct"/>
            <w:tcBorders>
              <w:top w:val="single" w:sz="4" w:space="0" w:color="auto"/>
              <w:left w:val="single" w:sz="4" w:space="0" w:color="auto"/>
              <w:bottom w:val="single" w:sz="4" w:space="0" w:color="auto"/>
              <w:right w:val="single" w:sz="4" w:space="0" w:color="auto"/>
            </w:tcBorders>
            <w:shd w:val="clear" w:color="auto" w:fill="FFFFFF" w:themeFill="background1"/>
            <w:tcMar>
              <w:top w:w="80" w:type="dxa"/>
              <w:left w:w="120" w:type="dxa"/>
              <w:bottom w:w="80" w:type="dxa"/>
              <w:right w:w="120" w:type="dxa"/>
            </w:tcMar>
            <w:hideMark/>
          </w:tcPr>
          <w:p w14:paraId="092B1823" w14:textId="1CB7516F" w:rsidR="003C3D65" w:rsidRPr="00E02176" w:rsidRDefault="003C3D65" w:rsidP="003C3D65">
            <w:pPr>
              <w:spacing w:line="360" w:lineRule="auto"/>
              <w:jc w:val="center"/>
              <w:rPr>
                <w:rFonts w:ascii="Arial" w:hAnsi="Arial" w:cs="Arial"/>
              </w:rPr>
            </w:pPr>
            <w:r w:rsidRPr="003F07BB">
              <w:t>T2, T3</w:t>
            </w:r>
          </w:p>
        </w:tc>
      </w:tr>
    </w:tbl>
    <w:p w14:paraId="6C61FA82" w14:textId="77777777" w:rsidR="00764E01" w:rsidRDefault="00764E01" w:rsidP="00173BDC">
      <w:pPr>
        <w:spacing w:line="360" w:lineRule="auto"/>
        <w:jc w:val="both"/>
        <w:rPr>
          <w:rFonts w:ascii="Arial" w:hAnsi="Arial" w:cs="Arial"/>
          <w:sz w:val="22"/>
          <w:szCs w:val="22"/>
        </w:rPr>
      </w:pPr>
    </w:p>
    <w:p w14:paraId="38A914F4" w14:textId="77777777" w:rsidR="00764E01" w:rsidRDefault="00764E01" w:rsidP="00173BDC">
      <w:pPr>
        <w:spacing w:line="360" w:lineRule="auto"/>
        <w:jc w:val="both"/>
        <w:rPr>
          <w:rFonts w:ascii="Arial" w:hAnsi="Arial" w:cs="Arial"/>
          <w:sz w:val="22"/>
          <w:szCs w:val="22"/>
        </w:rPr>
      </w:pPr>
    </w:p>
    <w:p w14:paraId="261386EB" w14:textId="32930FFB" w:rsidR="000E15E0" w:rsidRPr="001A765C" w:rsidRDefault="002C6175" w:rsidP="001A765C">
      <w:pPr>
        <w:rPr>
          <w:rFonts w:ascii="Arial" w:hAnsi="Arial" w:cs="Arial"/>
          <w:b/>
          <w:bCs/>
        </w:rPr>
      </w:pPr>
      <w:r w:rsidRPr="001A765C">
        <w:rPr>
          <w:rFonts w:ascii="Arial" w:hAnsi="Arial" w:cs="Arial"/>
          <w:b/>
          <w:bCs/>
        </w:rPr>
        <w:t>Table</w:t>
      </w:r>
      <w:r w:rsidR="00164B9E" w:rsidRPr="001A765C">
        <w:rPr>
          <w:rFonts w:ascii="Arial" w:hAnsi="Arial" w:cs="Arial"/>
          <w:b/>
          <w:bCs/>
        </w:rPr>
        <w:t xml:space="preserve"> </w:t>
      </w:r>
      <w:r w:rsidRPr="001A765C">
        <w:rPr>
          <w:rFonts w:ascii="Arial" w:hAnsi="Arial" w:cs="Arial"/>
          <w:b/>
          <w:bCs/>
        </w:rPr>
        <w:t>2</w:t>
      </w:r>
      <w:r w:rsidR="00164B9E" w:rsidRPr="001A765C">
        <w:rPr>
          <w:rFonts w:ascii="Arial" w:hAnsi="Arial" w:cs="Arial"/>
          <w:b/>
          <w:bCs/>
        </w:rPr>
        <w:t>:</w:t>
      </w:r>
      <w:r w:rsidRPr="001A765C">
        <w:rPr>
          <w:rFonts w:ascii="Arial" w:hAnsi="Arial" w:cs="Arial"/>
          <w:b/>
          <w:bCs/>
        </w:rPr>
        <w:t xml:space="preserve"> </w:t>
      </w:r>
      <w:r w:rsidR="00500E83" w:rsidRPr="001A765C">
        <w:rPr>
          <w:rFonts w:ascii="Arial" w:hAnsi="Arial" w:cs="Arial"/>
          <w:b/>
          <w:bCs/>
        </w:rPr>
        <w:t>4.3 CASP</w:t>
      </w:r>
      <w:r w:rsidR="00206521" w:rsidRPr="001A765C">
        <w:rPr>
          <w:rFonts w:ascii="Arial" w:hAnsi="Arial" w:cs="Arial"/>
          <w:b/>
          <w:bCs/>
        </w:rPr>
        <w:t xml:space="preserve"> </w:t>
      </w:r>
      <w:r w:rsidR="00A83E30" w:rsidRPr="001A765C">
        <w:rPr>
          <w:rFonts w:ascii="Arial" w:hAnsi="Arial" w:cs="Arial"/>
          <w:b/>
          <w:bCs/>
        </w:rPr>
        <w:t>table</w:t>
      </w:r>
    </w:p>
    <w:p w14:paraId="0BFE430A" w14:textId="77777777" w:rsidR="008C2291" w:rsidRPr="008C2291" w:rsidRDefault="008C2291" w:rsidP="00173BDC">
      <w:pPr>
        <w:spacing w:line="360" w:lineRule="auto"/>
        <w:jc w:val="both"/>
        <w:rPr>
          <w:rFonts w:ascii="Arial" w:hAnsi="Arial" w:cs="Arial"/>
          <w:b/>
          <w:bCs/>
        </w:rPr>
      </w:pPr>
    </w:p>
    <w:tbl>
      <w:tblPr>
        <w:tblStyle w:val="TableGrid"/>
        <w:tblW w:w="9918" w:type="dxa"/>
        <w:tblLook w:val="04A0" w:firstRow="1" w:lastRow="0" w:firstColumn="1" w:lastColumn="0" w:noHBand="0" w:noVBand="1"/>
      </w:tblPr>
      <w:tblGrid>
        <w:gridCol w:w="1865"/>
        <w:gridCol w:w="1868"/>
        <w:gridCol w:w="1883"/>
        <w:gridCol w:w="2176"/>
        <w:gridCol w:w="2126"/>
      </w:tblGrid>
      <w:tr w:rsidR="00B073F9" w14:paraId="1E4B77E4" w14:textId="77777777" w:rsidTr="006D40AB">
        <w:tc>
          <w:tcPr>
            <w:tcW w:w="0" w:type="auto"/>
            <w:shd w:val="clear" w:color="auto" w:fill="A5C9EB" w:themeFill="text2" w:themeFillTint="40"/>
            <w:hideMark/>
          </w:tcPr>
          <w:p w14:paraId="0D86B1EB" w14:textId="77777777" w:rsidR="00853FA3" w:rsidRDefault="00853FA3" w:rsidP="007D617D">
            <w:pPr>
              <w:spacing w:line="375" w:lineRule="atLeast"/>
              <w:jc w:val="center"/>
              <w:rPr>
                <w:rFonts w:ascii="Arial" w:hAnsi="Arial" w:cs="Arial"/>
                <w:b/>
                <w:bCs/>
                <w:color w:val="0F1115"/>
                <w:sz w:val="28"/>
                <w:szCs w:val="28"/>
              </w:rPr>
            </w:pPr>
          </w:p>
          <w:p w14:paraId="1E45EA1A" w14:textId="40335D14" w:rsidR="00B073F9" w:rsidRDefault="00B10CED" w:rsidP="007D617D">
            <w:pPr>
              <w:spacing w:line="375" w:lineRule="atLeast"/>
              <w:jc w:val="center"/>
              <w:rPr>
                <w:rFonts w:ascii="Arial" w:hAnsi="Arial" w:cs="Arial"/>
                <w:b/>
                <w:bCs/>
                <w:color w:val="0F1115"/>
                <w:sz w:val="28"/>
                <w:szCs w:val="28"/>
              </w:rPr>
            </w:pPr>
            <w:r w:rsidRPr="00006314">
              <w:rPr>
                <w:rFonts w:ascii="Arial" w:hAnsi="Arial" w:cs="Arial"/>
                <w:b/>
                <w:bCs/>
                <w:color w:val="0F1115"/>
                <w:sz w:val="28"/>
                <w:szCs w:val="28"/>
              </w:rPr>
              <w:t>Study</w:t>
            </w:r>
          </w:p>
          <w:p w14:paraId="61316D1A" w14:textId="77777777" w:rsidR="00853FA3" w:rsidRDefault="00853FA3" w:rsidP="007D617D">
            <w:pPr>
              <w:spacing w:line="375" w:lineRule="atLeast"/>
              <w:jc w:val="center"/>
              <w:rPr>
                <w:rFonts w:ascii="Arial" w:hAnsi="Arial" w:cs="Arial"/>
                <w:b/>
                <w:bCs/>
                <w:color w:val="0F1115"/>
                <w:sz w:val="28"/>
                <w:szCs w:val="28"/>
              </w:rPr>
            </w:pPr>
          </w:p>
          <w:p w14:paraId="2E073E29" w14:textId="51544785" w:rsidR="00853FA3" w:rsidRPr="00006314" w:rsidRDefault="00853FA3" w:rsidP="007D617D">
            <w:pPr>
              <w:spacing w:line="375" w:lineRule="atLeast"/>
              <w:jc w:val="center"/>
              <w:rPr>
                <w:rFonts w:ascii="Arial" w:hAnsi="Arial" w:cs="Arial"/>
                <w:b/>
                <w:bCs/>
                <w:color w:val="0F1115"/>
                <w:sz w:val="28"/>
                <w:szCs w:val="28"/>
              </w:rPr>
            </w:pPr>
          </w:p>
        </w:tc>
        <w:tc>
          <w:tcPr>
            <w:tcW w:w="0" w:type="auto"/>
            <w:shd w:val="clear" w:color="auto" w:fill="A5C9EB" w:themeFill="text2" w:themeFillTint="40"/>
            <w:hideMark/>
          </w:tcPr>
          <w:p w14:paraId="37660A01" w14:textId="77777777" w:rsidR="00853FA3" w:rsidRDefault="00853FA3" w:rsidP="007D617D">
            <w:pPr>
              <w:spacing w:line="375" w:lineRule="atLeast"/>
              <w:jc w:val="center"/>
              <w:rPr>
                <w:rFonts w:ascii="Arial" w:hAnsi="Arial" w:cs="Arial"/>
                <w:b/>
                <w:bCs/>
                <w:color w:val="0F1115"/>
                <w:sz w:val="28"/>
                <w:szCs w:val="28"/>
              </w:rPr>
            </w:pPr>
          </w:p>
          <w:p w14:paraId="66E86470" w14:textId="03643C32" w:rsidR="00B073F9" w:rsidRPr="00006314" w:rsidRDefault="00B10CED" w:rsidP="007D617D">
            <w:pPr>
              <w:spacing w:line="375" w:lineRule="atLeast"/>
              <w:jc w:val="center"/>
              <w:rPr>
                <w:rFonts w:ascii="Arial" w:hAnsi="Arial" w:cs="Arial"/>
                <w:b/>
                <w:bCs/>
                <w:color w:val="0F1115"/>
                <w:sz w:val="28"/>
                <w:szCs w:val="28"/>
              </w:rPr>
            </w:pPr>
            <w:r w:rsidRPr="00006314">
              <w:rPr>
                <w:rFonts w:ascii="Arial" w:hAnsi="Arial" w:cs="Arial"/>
                <w:b/>
                <w:bCs/>
                <w:color w:val="0F1115"/>
                <w:sz w:val="28"/>
                <w:szCs w:val="28"/>
              </w:rPr>
              <w:t>Design</w:t>
            </w:r>
          </w:p>
        </w:tc>
        <w:tc>
          <w:tcPr>
            <w:tcW w:w="0" w:type="auto"/>
            <w:shd w:val="clear" w:color="auto" w:fill="A5C9EB" w:themeFill="text2" w:themeFillTint="40"/>
            <w:hideMark/>
          </w:tcPr>
          <w:p w14:paraId="25E9069A" w14:textId="77777777" w:rsidR="00853FA3" w:rsidRDefault="00853FA3" w:rsidP="007D617D">
            <w:pPr>
              <w:spacing w:line="375" w:lineRule="atLeast"/>
              <w:jc w:val="center"/>
              <w:rPr>
                <w:rFonts w:ascii="Arial" w:hAnsi="Arial" w:cs="Arial"/>
                <w:b/>
                <w:bCs/>
                <w:color w:val="0F1115"/>
                <w:sz w:val="28"/>
                <w:szCs w:val="28"/>
              </w:rPr>
            </w:pPr>
          </w:p>
          <w:p w14:paraId="7C6209B4" w14:textId="609A98E9" w:rsidR="00B073F9" w:rsidRPr="00006314" w:rsidRDefault="009F204D" w:rsidP="007D617D">
            <w:pPr>
              <w:spacing w:line="375" w:lineRule="atLeast"/>
              <w:jc w:val="center"/>
              <w:rPr>
                <w:rFonts w:ascii="Arial" w:hAnsi="Arial" w:cs="Arial"/>
                <w:b/>
                <w:bCs/>
                <w:color w:val="0F1115"/>
                <w:sz w:val="28"/>
                <w:szCs w:val="28"/>
              </w:rPr>
            </w:pPr>
            <w:r w:rsidRPr="00006314">
              <w:rPr>
                <w:rFonts w:ascii="Arial" w:hAnsi="Arial" w:cs="Arial"/>
                <w:b/>
                <w:bCs/>
                <w:color w:val="0F1115"/>
                <w:sz w:val="28"/>
                <w:szCs w:val="28"/>
              </w:rPr>
              <w:t>CASP tool</w:t>
            </w:r>
          </w:p>
        </w:tc>
        <w:tc>
          <w:tcPr>
            <w:tcW w:w="2176" w:type="dxa"/>
            <w:shd w:val="clear" w:color="auto" w:fill="A5C9EB" w:themeFill="text2" w:themeFillTint="40"/>
            <w:hideMark/>
          </w:tcPr>
          <w:p w14:paraId="0FD02D7A" w14:textId="77777777" w:rsidR="00853FA3" w:rsidRDefault="00853FA3" w:rsidP="007D617D">
            <w:pPr>
              <w:spacing w:line="375" w:lineRule="atLeast"/>
              <w:jc w:val="center"/>
              <w:rPr>
                <w:rFonts w:ascii="Arial" w:hAnsi="Arial" w:cs="Arial"/>
                <w:b/>
                <w:bCs/>
                <w:color w:val="0F1115"/>
                <w:sz w:val="28"/>
                <w:szCs w:val="28"/>
              </w:rPr>
            </w:pPr>
          </w:p>
          <w:p w14:paraId="01645EC8" w14:textId="77AF0142" w:rsidR="00B073F9" w:rsidRDefault="009F204D" w:rsidP="007D617D">
            <w:pPr>
              <w:spacing w:line="375" w:lineRule="atLeast"/>
              <w:jc w:val="center"/>
              <w:rPr>
                <w:rFonts w:ascii="Arial" w:hAnsi="Arial" w:cs="Arial"/>
                <w:b/>
                <w:bCs/>
                <w:color w:val="0F1115"/>
                <w:sz w:val="28"/>
                <w:szCs w:val="28"/>
              </w:rPr>
            </w:pPr>
            <w:r w:rsidRPr="00006314">
              <w:rPr>
                <w:rFonts w:ascii="Arial" w:hAnsi="Arial" w:cs="Arial"/>
                <w:b/>
                <w:bCs/>
                <w:color w:val="0F1115"/>
                <w:sz w:val="28"/>
                <w:szCs w:val="28"/>
              </w:rPr>
              <w:t>Key qua</w:t>
            </w:r>
            <w:r w:rsidR="00DA16BE" w:rsidRPr="00006314">
              <w:rPr>
                <w:rFonts w:ascii="Arial" w:hAnsi="Arial" w:cs="Arial"/>
                <w:b/>
                <w:bCs/>
                <w:color w:val="0F1115"/>
                <w:sz w:val="28"/>
                <w:szCs w:val="28"/>
              </w:rPr>
              <w:t>lity concerns</w:t>
            </w:r>
          </w:p>
          <w:p w14:paraId="29627646" w14:textId="77777777" w:rsidR="00006314" w:rsidRPr="00006314" w:rsidRDefault="00006314" w:rsidP="007D617D">
            <w:pPr>
              <w:spacing w:line="375" w:lineRule="atLeast"/>
              <w:jc w:val="center"/>
              <w:rPr>
                <w:rFonts w:ascii="Arial" w:hAnsi="Arial" w:cs="Arial"/>
                <w:b/>
                <w:bCs/>
                <w:color w:val="0F1115"/>
                <w:sz w:val="28"/>
                <w:szCs w:val="28"/>
              </w:rPr>
            </w:pPr>
          </w:p>
          <w:p w14:paraId="581B499B" w14:textId="1B630CE4" w:rsidR="00313BFE" w:rsidRPr="00006314" w:rsidRDefault="00313BFE" w:rsidP="007D617D">
            <w:pPr>
              <w:spacing w:line="375" w:lineRule="atLeast"/>
              <w:jc w:val="center"/>
              <w:rPr>
                <w:rFonts w:ascii="Arial" w:hAnsi="Arial" w:cs="Arial"/>
                <w:b/>
                <w:bCs/>
                <w:color w:val="0F1115"/>
                <w:sz w:val="28"/>
                <w:szCs w:val="28"/>
              </w:rPr>
            </w:pPr>
          </w:p>
        </w:tc>
        <w:tc>
          <w:tcPr>
            <w:tcW w:w="2126" w:type="dxa"/>
            <w:shd w:val="clear" w:color="auto" w:fill="A5C9EB" w:themeFill="text2" w:themeFillTint="40"/>
            <w:hideMark/>
          </w:tcPr>
          <w:p w14:paraId="3D71E6BF" w14:textId="77777777" w:rsidR="00853FA3" w:rsidRDefault="00853FA3" w:rsidP="007D617D">
            <w:pPr>
              <w:spacing w:line="375" w:lineRule="atLeast"/>
              <w:jc w:val="center"/>
              <w:rPr>
                <w:rFonts w:ascii="Arial" w:hAnsi="Arial" w:cs="Arial"/>
                <w:b/>
                <w:bCs/>
                <w:color w:val="0F1115"/>
                <w:sz w:val="28"/>
                <w:szCs w:val="28"/>
              </w:rPr>
            </w:pPr>
          </w:p>
          <w:p w14:paraId="29E3AC08" w14:textId="406D5565" w:rsidR="00B073F9" w:rsidRPr="00006314" w:rsidRDefault="00B073F9" w:rsidP="007D617D">
            <w:pPr>
              <w:spacing w:line="375" w:lineRule="atLeast"/>
              <w:jc w:val="center"/>
              <w:rPr>
                <w:rFonts w:ascii="Arial" w:hAnsi="Arial" w:cs="Arial"/>
                <w:b/>
                <w:bCs/>
                <w:color w:val="0F1115"/>
                <w:sz w:val="28"/>
                <w:szCs w:val="28"/>
              </w:rPr>
            </w:pPr>
            <w:r w:rsidRPr="00006314">
              <w:rPr>
                <w:rFonts w:ascii="Arial" w:hAnsi="Arial" w:cs="Arial"/>
                <w:b/>
                <w:bCs/>
                <w:color w:val="0F1115"/>
                <w:sz w:val="28"/>
                <w:szCs w:val="28"/>
              </w:rPr>
              <w:t>Overall appraisal</w:t>
            </w:r>
          </w:p>
        </w:tc>
      </w:tr>
      <w:tr w:rsidR="00A467CC" w14:paraId="5909ADFE" w14:textId="77777777" w:rsidTr="005A4EFD">
        <w:tc>
          <w:tcPr>
            <w:tcW w:w="1865" w:type="dxa"/>
            <w:shd w:val="clear" w:color="auto" w:fill="FFFFFF"/>
            <w:vAlign w:val="center"/>
          </w:tcPr>
          <w:p w14:paraId="7E4DCFC3" w14:textId="4B738504"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Anderson et al. 2021</w:t>
            </w:r>
          </w:p>
        </w:tc>
        <w:tc>
          <w:tcPr>
            <w:tcW w:w="1868" w:type="dxa"/>
            <w:shd w:val="clear" w:color="auto" w:fill="FFFFFF"/>
            <w:vAlign w:val="center"/>
          </w:tcPr>
          <w:p w14:paraId="0A2874F6" w14:textId="2EF7452C"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Qualitative study</w:t>
            </w:r>
          </w:p>
        </w:tc>
        <w:tc>
          <w:tcPr>
            <w:tcW w:w="1883" w:type="dxa"/>
            <w:shd w:val="clear" w:color="auto" w:fill="FFFFFF"/>
            <w:vAlign w:val="center"/>
          </w:tcPr>
          <w:p w14:paraId="4D1BC46D" w14:textId="3DA863DC" w:rsidR="00A467CC" w:rsidRPr="00927D0A" w:rsidRDefault="00A467CC" w:rsidP="00A467CC">
            <w:pPr>
              <w:spacing w:line="360" w:lineRule="auto"/>
              <w:rPr>
                <w:rFonts w:ascii="Arial" w:hAnsi="Arial" w:cs="Arial"/>
              </w:rPr>
            </w:pPr>
            <w:r w:rsidRPr="00927D0A">
              <w:rPr>
                <w:rFonts w:ascii="Arial" w:hAnsi="Arial" w:cs="Arial"/>
                <w:color w:val="0F1115"/>
                <w:sz w:val="23"/>
                <w:szCs w:val="23"/>
              </w:rPr>
              <w:t>Qualitative</w:t>
            </w:r>
          </w:p>
        </w:tc>
        <w:tc>
          <w:tcPr>
            <w:tcW w:w="2176" w:type="dxa"/>
            <w:shd w:val="clear" w:color="auto" w:fill="FFFFFF"/>
            <w:vAlign w:val="center"/>
          </w:tcPr>
          <w:p w14:paraId="3D4B793E" w14:textId="5CEE4BDC"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Data collection, analysis rigour, reflexivity, transferability</w:t>
            </w:r>
          </w:p>
        </w:tc>
        <w:tc>
          <w:tcPr>
            <w:tcW w:w="2126" w:type="dxa"/>
            <w:shd w:val="clear" w:color="auto" w:fill="FFFFFF"/>
            <w:vAlign w:val="center"/>
          </w:tcPr>
          <w:p w14:paraId="13770BBB" w14:textId="218C254E"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High</w:t>
            </w:r>
          </w:p>
        </w:tc>
      </w:tr>
      <w:tr w:rsidR="00A467CC" w14:paraId="69E40507" w14:textId="77777777" w:rsidTr="005A4EFD">
        <w:tc>
          <w:tcPr>
            <w:tcW w:w="1865" w:type="dxa"/>
            <w:shd w:val="clear" w:color="auto" w:fill="FFFFFF"/>
            <w:vAlign w:val="center"/>
          </w:tcPr>
          <w:p w14:paraId="6364D7CA" w14:textId="7F0213F7"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Brainard et al. 2025</w:t>
            </w:r>
          </w:p>
        </w:tc>
        <w:tc>
          <w:tcPr>
            <w:tcW w:w="1868" w:type="dxa"/>
            <w:shd w:val="clear" w:color="auto" w:fill="FFFFFF"/>
            <w:vAlign w:val="center"/>
          </w:tcPr>
          <w:p w14:paraId="2EB75D84" w14:textId="58B48AB4"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Service evaluation</w:t>
            </w:r>
          </w:p>
        </w:tc>
        <w:tc>
          <w:tcPr>
            <w:tcW w:w="1883" w:type="dxa"/>
            <w:shd w:val="clear" w:color="auto" w:fill="FFFFFF"/>
            <w:vAlign w:val="center"/>
          </w:tcPr>
          <w:p w14:paraId="4B8B5177" w14:textId="4B729CB6"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Cohort / Qualitative (adapted)</w:t>
            </w:r>
          </w:p>
        </w:tc>
        <w:tc>
          <w:tcPr>
            <w:tcW w:w="2176" w:type="dxa"/>
            <w:shd w:val="clear" w:color="auto" w:fill="FFFFFF"/>
            <w:vAlign w:val="center"/>
          </w:tcPr>
          <w:p w14:paraId="3AC12B21" w14:textId="2D2814ED"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Evaluation design, outcome measurement, bias, confounding, local generalisability</w:t>
            </w:r>
          </w:p>
        </w:tc>
        <w:tc>
          <w:tcPr>
            <w:tcW w:w="2126" w:type="dxa"/>
            <w:shd w:val="clear" w:color="auto" w:fill="FFFFFF"/>
            <w:vAlign w:val="center"/>
          </w:tcPr>
          <w:p w14:paraId="1FA07638" w14:textId="1D6B0CCA"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Moderate</w:t>
            </w:r>
          </w:p>
        </w:tc>
      </w:tr>
      <w:tr w:rsidR="00A467CC" w14:paraId="625F091B" w14:textId="77777777" w:rsidTr="005A4EFD">
        <w:tc>
          <w:tcPr>
            <w:tcW w:w="1865" w:type="dxa"/>
            <w:shd w:val="clear" w:color="auto" w:fill="FFFFFF"/>
            <w:vAlign w:val="center"/>
          </w:tcPr>
          <w:p w14:paraId="6BA1D0B5" w14:textId="715F781F"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Calastri et al. 2025</w:t>
            </w:r>
          </w:p>
        </w:tc>
        <w:tc>
          <w:tcPr>
            <w:tcW w:w="1868" w:type="dxa"/>
            <w:shd w:val="clear" w:color="auto" w:fill="FFFFFF"/>
            <w:vAlign w:val="center"/>
          </w:tcPr>
          <w:p w14:paraId="39D09090" w14:textId="1778C5A2"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Recursive bivariate probit / econometric survey analysis</w:t>
            </w:r>
          </w:p>
        </w:tc>
        <w:tc>
          <w:tcPr>
            <w:tcW w:w="1883" w:type="dxa"/>
            <w:shd w:val="clear" w:color="auto" w:fill="FFFFFF"/>
            <w:vAlign w:val="center"/>
          </w:tcPr>
          <w:p w14:paraId="1146B1DE" w14:textId="0A3AC0E9"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Cohort</w:t>
            </w:r>
          </w:p>
        </w:tc>
        <w:tc>
          <w:tcPr>
            <w:tcW w:w="2176" w:type="dxa"/>
            <w:shd w:val="clear" w:color="auto" w:fill="FFFFFF"/>
            <w:vAlign w:val="center"/>
          </w:tcPr>
          <w:p w14:paraId="6022450C" w14:textId="35CC5043"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self-reported "avoidable" visits</w:t>
            </w:r>
          </w:p>
        </w:tc>
        <w:tc>
          <w:tcPr>
            <w:tcW w:w="2126" w:type="dxa"/>
            <w:shd w:val="clear" w:color="auto" w:fill="FFFFFF"/>
            <w:vAlign w:val="center"/>
          </w:tcPr>
          <w:p w14:paraId="1DBFCE6E" w14:textId="199DFE14"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Moderate</w:t>
            </w:r>
          </w:p>
        </w:tc>
      </w:tr>
      <w:tr w:rsidR="00A467CC" w14:paraId="2446F829" w14:textId="77777777" w:rsidTr="005A4EFD">
        <w:tc>
          <w:tcPr>
            <w:tcW w:w="1865" w:type="dxa"/>
            <w:shd w:val="clear" w:color="auto" w:fill="FFFFFF"/>
            <w:vAlign w:val="center"/>
          </w:tcPr>
          <w:p w14:paraId="72ED4505" w14:textId="0B8A3848"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Edwards et al. 2020</w:t>
            </w:r>
          </w:p>
        </w:tc>
        <w:tc>
          <w:tcPr>
            <w:tcW w:w="1868" w:type="dxa"/>
            <w:shd w:val="clear" w:color="auto" w:fill="FFFFFF"/>
            <w:vAlign w:val="center"/>
          </w:tcPr>
          <w:p w14:paraId="137DC675" w14:textId="50AF49D1"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Qualitative study</w:t>
            </w:r>
          </w:p>
        </w:tc>
        <w:tc>
          <w:tcPr>
            <w:tcW w:w="1883" w:type="dxa"/>
            <w:shd w:val="clear" w:color="auto" w:fill="FFFFFF"/>
            <w:vAlign w:val="center"/>
          </w:tcPr>
          <w:p w14:paraId="5B3330DF" w14:textId="451F7E37"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Qualitative</w:t>
            </w:r>
          </w:p>
        </w:tc>
        <w:tc>
          <w:tcPr>
            <w:tcW w:w="2176" w:type="dxa"/>
            <w:shd w:val="clear" w:color="auto" w:fill="FFFFFF"/>
            <w:vAlign w:val="center"/>
          </w:tcPr>
          <w:p w14:paraId="55E6C7F5" w14:textId="1C2A8583"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 xml:space="preserve">Sampling, interview rigour, reflexivity, ethical </w:t>
            </w:r>
            <w:r w:rsidRPr="00927D0A">
              <w:rPr>
                <w:rFonts w:ascii="Arial" w:hAnsi="Arial" w:cs="Arial"/>
                <w:color w:val="0F1115"/>
                <w:sz w:val="23"/>
                <w:szCs w:val="23"/>
              </w:rPr>
              <w:lastRenderedPageBreak/>
              <w:t>considerations, transferability</w:t>
            </w:r>
          </w:p>
        </w:tc>
        <w:tc>
          <w:tcPr>
            <w:tcW w:w="2126" w:type="dxa"/>
            <w:shd w:val="clear" w:color="auto" w:fill="FFFFFF"/>
            <w:vAlign w:val="center"/>
          </w:tcPr>
          <w:p w14:paraId="1191DFE4" w14:textId="03B135CB"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lastRenderedPageBreak/>
              <w:t>High</w:t>
            </w:r>
          </w:p>
        </w:tc>
      </w:tr>
      <w:tr w:rsidR="00A467CC" w14:paraId="270D57F9" w14:textId="77777777" w:rsidTr="005A4EFD">
        <w:tc>
          <w:tcPr>
            <w:tcW w:w="1865" w:type="dxa"/>
            <w:shd w:val="clear" w:color="auto" w:fill="FFFFFF"/>
            <w:vAlign w:val="center"/>
          </w:tcPr>
          <w:p w14:paraId="51AAF790" w14:textId="261BB6B1"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Edwards et al. 2021</w:t>
            </w:r>
          </w:p>
        </w:tc>
        <w:tc>
          <w:tcPr>
            <w:tcW w:w="1868" w:type="dxa"/>
            <w:shd w:val="clear" w:color="auto" w:fill="FFFFFF"/>
            <w:vAlign w:val="center"/>
          </w:tcPr>
          <w:p w14:paraId="26E831C5" w14:textId="77816DA2"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Multi-methods study</w:t>
            </w:r>
          </w:p>
        </w:tc>
        <w:tc>
          <w:tcPr>
            <w:tcW w:w="1883" w:type="dxa"/>
            <w:shd w:val="clear" w:color="auto" w:fill="FFFFFF"/>
            <w:vAlign w:val="center"/>
          </w:tcPr>
          <w:p w14:paraId="34CA1FF8" w14:textId="32E565BC"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Qualitative and Cross-sectional/MMAT</w:t>
            </w:r>
          </w:p>
        </w:tc>
        <w:tc>
          <w:tcPr>
            <w:tcW w:w="2176" w:type="dxa"/>
            <w:shd w:val="clear" w:color="auto" w:fill="FFFFFF"/>
            <w:vAlign w:val="center"/>
          </w:tcPr>
          <w:p w14:paraId="493938EC" w14:textId="39BECB97"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Survey validity, observation bias, interview rigour, integration of methods, sampling</w:t>
            </w:r>
          </w:p>
        </w:tc>
        <w:tc>
          <w:tcPr>
            <w:tcW w:w="2126" w:type="dxa"/>
            <w:shd w:val="clear" w:color="auto" w:fill="FFFFFF"/>
            <w:vAlign w:val="center"/>
          </w:tcPr>
          <w:p w14:paraId="334988AE" w14:textId="614F24CB"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High</w:t>
            </w:r>
          </w:p>
        </w:tc>
      </w:tr>
      <w:tr w:rsidR="00A467CC" w14:paraId="1D252C8B" w14:textId="77777777" w:rsidTr="005A4EFD">
        <w:tc>
          <w:tcPr>
            <w:tcW w:w="1865" w:type="dxa"/>
            <w:shd w:val="clear" w:color="auto" w:fill="FFFFFF"/>
            <w:vAlign w:val="center"/>
          </w:tcPr>
          <w:p w14:paraId="45F4C05A" w14:textId="19A220B5"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Hull et al. 2018</w:t>
            </w:r>
          </w:p>
        </w:tc>
        <w:tc>
          <w:tcPr>
            <w:tcW w:w="1868" w:type="dxa"/>
            <w:shd w:val="clear" w:color="auto" w:fill="FFFFFF"/>
            <w:vAlign w:val="center"/>
          </w:tcPr>
          <w:p w14:paraId="59840ED1" w14:textId="13EFCE6D"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Retrospective cohort / linked data analysis</w:t>
            </w:r>
          </w:p>
        </w:tc>
        <w:tc>
          <w:tcPr>
            <w:tcW w:w="1883" w:type="dxa"/>
            <w:shd w:val="clear" w:color="auto" w:fill="FFFFFF"/>
            <w:vAlign w:val="center"/>
          </w:tcPr>
          <w:p w14:paraId="3A3944C3" w14:textId="2BBA8643"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Cohort</w:t>
            </w:r>
          </w:p>
        </w:tc>
        <w:tc>
          <w:tcPr>
            <w:tcW w:w="2176" w:type="dxa"/>
            <w:shd w:val="clear" w:color="auto" w:fill="FFFFFF"/>
            <w:vAlign w:val="center"/>
          </w:tcPr>
          <w:p w14:paraId="420FC8B4" w14:textId="58CC6C5A"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Linkage accuracy, confounding, missing data, case definition, generalisability to other areas</w:t>
            </w:r>
          </w:p>
        </w:tc>
        <w:tc>
          <w:tcPr>
            <w:tcW w:w="2126" w:type="dxa"/>
            <w:shd w:val="clear" w:color="auto" w:fill="FFFFFF"/>
            <w:vAlign w:val="center"/>
          </w:tcPr>
          <w:p w14:paraId="72936F63" w14:textId="17A48190"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High</w:t>
            </w:r>
          </w:p>
        </w:tc>
      </w:tr>
      <w:tr w:rsidR="00A467CC" w14:paraId="3B892B40" w14:textId="77777777" w:rsidTr="005A4EFD">
        <w:tc>
          <w:tcPr>
            <w:tcW w:w="1865" w:type="dxa"/>
            <w:shd w:val="clear" w:color="auto" w:fill="FFFFFF"/>
            <w:vAlign w:val="center"/>
          </w:tcPr>
          <w:p w14:paraId="74CE6D2B" w14:textId="4EA93566"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Jacob et al. 2024</w:t>
            </w:r>
          </w:p>
        </w:tc>
        <w:tc>
          <w:tcPr>
            <w:tcW w:w="1868" w:type="dxa"/>
            <w:shd w:val="clear" w:color="auto" w:fill="FFFFFF"/>
            <w:vAlign w:val="center"/>
          </w:tcPr>
          <w:p w14:paraId="2E3EF4DF" w14:textId="5EC7B353"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Cross-sectional / ecological area-level analysis</w:t>
            </w:r>
          </w:p>
        </w:tc>
        <w:tc>
          <w:tcPr>
            <w:tcW w:w="1883" w:type="dxa"/>
            <w:shd w:val="clear" w:color="auto" w:fill="FFFFFF"/>
            <w:vAlign w:val="center"/>
          </w:tcPr>
          <w:p w14:paraId="4044D85E" w14:textId="1B087380"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CASP Cohort (adapted)</w:t>
            </w:r>
          </w:p>
        </w:tc>
        <w:tc>
          <w:tcPr>
            <w:tcW w:w="2176" w:type="dxa"/>
            <w:shd w:val="clear" w:color="auto" w:fill="FFFFFF"/>
            <w:vAlign w:val="center"/>
          </w:tcPr>
          <w:p w14:paraId="2C2D6152" w14:textId="764E7E20"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Ecological fallacy, area-level confounding, deprivation and access measures, outcome definition</w:t>
            </w:r>
          </w:p>
        </w:tc>
        <w:tc>
          <w:tcPr>
            <w:tcW w:w="2126" w:type="dxa"/>
            <w:shd w:val="clear" w:color="auto" w:fill="FFFFFF"/>
            <w:vAlign w:val="center"/>
          </w:tcPr>
          <w:p w14:paraId="63FB5217" w14:textId="6BE55559" w:rsidR="00A467CC" w:rsidRPr="00927D0A" w:rsidRDefault="00A467CC" w:rsidP="00A467CC">
            <w:pPr>
              <w:spacing w:line="360" w:lineRule="auto"/>
              <w:jc w:val="center"/>
              <w:rPr>
                <w:rFonts w:ascii="Arial" w:hAnsi="Arial" w:cs="Arial"/>
              </w:rPr>
            </w:pPr>
            <w:r w:rsidRPr="00927D0A">
              <w:rPr>
                <w:rFonts w:ascii="Arial" w:hAnsi="Arial" w:cs="Arial"/>
                <w:color w:val="0F1115"/>
                <w:sz w:val="23"/>
                <w:szCs w:val="23"/>
              </w:rPr>
              <w:t>Moderate</w:t>
            </w:r>
          </w:p>
        </w:tc>
      </w:tr>
      <w:tr w:rsidR="00A467CC" w14:paraId="57FFBE88" w14:textId="77777777" w:rsidTr="005A4EFD">
        <w:tc>
          <w:tcPr>
            <w:tcW w:w="1865" w:type="dxa"/>
            <w:shd w:val="clear" w:color="auto" w:fill="FFFFFF"/>
            <w:vAlign w:val="center"/>
          </w:tcPr>
          <w:p w14:paraId="184D0980" w14:textId="4D028334" w:rsidR="00A467CC" w:rsidRPr="00927D0A" w:rsidRDefault="00A467CC" w:rsidP="00A467CC">
            <w:pPr>
              <w:spacing w:line="360" w:lineRule="auto"/>
              <w:jc w:val="both"/>
              <w:rPr>
                <w:rFonts w:ascii="Arial" w:hAnsi="Arial" w:cs="Arial"/>
                <w:sz w:val="22"/>
                <w:szCs w:val="22"/>
              </w:rPr>
            </w:pPr>
            <w:r w:rsidRPr="00927D0A">
              <w:rPr>
                <w:rFonts w:ascii="Arial" w:hAnsi="Arial" w:cs="Arial"/>
                <w:color w:val="0F1115"/>
                <w:sz w:val="23"/>
                <w:szCs w:val="23"/>
              </w:rPr>
              <w:t>Jamieson et al. 2025</w:t>
            </w:r>
          </w:p>
        </w:tc>
        <w:tc>
          <w:tcPr>
            <w:tcW w:w="1868" w:type="dxa"/>
            <w:shd w:val="clear" w:color="auto" w:fill="FFFFFF"/>
            <w:vAlign w:val="center"/>
          </w:tcPr>
          <w:p w14:paraId="5E721F68" w14:textId="1381C626"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Regression analysis of primary care availability and ED attendance</w:t>
            </w:r>
          </w:p>
        </w:tc>
        <w:tc>
          <w:tcPr>
            <w:tcW w:w="1883" w:type="dxa"/>
            <w:shd w:val="clear" w:color="auto" w:fill="FFFFFF"/>
            <w:vAlign w:val="center"/>
          </w:tcPr>
          <w:p w14:paraId="5B2BC38D" w14:textId="05FF0105"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Cohort</w:t>
            </w:r>
          </w:p>
        </w:tc>
        <w:tc>
          <w:tcPr>
            <w:tcW w:w="2176" w:type="dxa"/>
            <w:shd w:val="clear" w:color="auto" w:fill="FFFFFF"/>
            <w:vAlign w:val="center"/>
          </w:tcPr>
          <w:p w14:paraId="38F9F235" w14:textId="28CA7ED9"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Primary care availability measure, outcome definition of "avoidable" attendance, model specification</w:t>
            </w:r>
          </w:p>
        </w:tc>
        <w:tc>
          <w:tcPr>
            <w:tcW w:w="2126" w:type="dxa"/>
            <w:shd w:val="clear" w:color="auto" w:fill="FFFFFF"/>
            <w:vAlign w:val="center"/>
          </w:tcPr>
          <w:p w14:paraId="67CDAA00" w14:textId="3AD8975A"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High</w:t>
            </w:r>
          </w:p>
        </w:tc>
      </w:tr>
      <w:tr w:rsidR="00A467CC" w14:paraId="57A277C1" w14:textId="77777777" w:rsidTr="005A4EFD">
        <w:tc>
          <w:tcPr>
            <w:tcW w:w="1865" w:type="dxa"/>
            <w:shd w:val="clear" w:color="auto" w:fill="FFFFFF"/>
            <w:vAlign w:val="center"/>
          </w:tcPr>
          <w:p w14:paraId="093D3CE7" w14:textId="203CAF3D" w:rsidR="00A467CC" w:rsidRPr="00927D0A" w:rsidRDefault="00A467CC" w:rsidP="00A467CC">
            <w:pPr>
              <w:spacing w:line="360" w:lineRule="auto"/>
              <w:jc w:val="both"/>
              <w:rPr>
                <w:rFonts w:ascii="Arial" w:hAnsi="Arial" w:cs="Arial"/>
                <w:sz w:val="22"/>
                <w:szCs w:val="22"/>
              </w:rPr>
            </w:pPr>
            <w:r w:rsidRPr="00927D0A">
              <w:rPr>
                <w:rFonts w:ascii="Arial" w:hAnsi="Arial" w:cs="Arial"/>
                <w:color w:val="0F1115"/>
                <w:sz w:val="23"/>
                <w:szCs w:val="23"/>
              </w:rPr>
              <w:t>Madia et al. 2025</w:t>
            </w:r>
          </w:p>
        </w:tc>
        <w:tc>
          <w:tcPr>
            <w:tcW w:w="1868" w:type="dxa"/>
            <w:shd w:val="clear" w:color="auto" w:fill="FFFFFF"/>
            <w:vAlign w:val="center"/>
          </w:tcPr>
          <w:p w14:paraId="0D562710" w14:textId="5F85ED7C"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Observational / pathway analysis</w:t>
            </w:r>
          </w:p>
        </w:tc>
        <w:tc>
          <w:tcPr>
            <w:tcW w:w="1883" w:type="dxa"/>
            <w:shd w:val="clear" w:color="auto" w:fill="FFFFFF"/>
            <w:vAlign w:val="center"/>
          </w:tcPr>
          <w:p w14:paraId="3D254CAE" w14:textId="5815A733"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Cohort</w:t>
            </w:r>
          </w:p>
        </w:tc>
        <w:tc>
          <w:tcPr>
            <w:tcW w:w="2176" w:type="dxa"/>
            <w:shd w:val="clear" w:color="auto" w:fill="FFFFFF"/>
            <w:vAlign w:val="center"/>
          </w:tcPr>
          <w:p w14:paraId="5AFB8E12" w14:textId="39C295E0"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Selection bias, confounding by socioeconomic status, and measurement of access pathways</w:t>
            </w:r>
          </w:p>
        </w:tc>
        <w:tc>
          <w:tcPr>
            <w:tcW w:w="2126" w:type="dxa"/>
            <w:shd w:val="clear" w:color="auto" w:fill="FFFFFF"/>
            <w:vAlign w:val="center"/>
          </w:tcPr>
          <w:p w14:paraId="7F8620BA" w14:textId="08C78C3F"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High</w:t>
            </w:r>
          </w:p>
        </w:tc>
      </w:tr>
      <w:tr w:rsidR="00A467CC" w14:paraId="7AB4120D" w14:textId="77777777" w:rsidTr="005A4EFD">
        <w:tc>
          <w:tcPr>
            <w:tcW w:w="1865" w:type="dxa"/>
            <w:shd w:val="clear" w:color="auto" w:fill="FFFFFF"/>
            <w:vAlign w:val="center"/>
          </w:tcPr>
          <w:p w14:paraId="0ED90E71" w14:textId="66E2BD51" w:rsidR="00A467CC" w:rsidRPr="00927D0A" w:rsidRDefault="00A467CC" w:rsidP="00A467CC">
            <w:pPr>
              <w:spacing w:line="360" w:lineRule="auto"/>
              <w:jc w:val="both"/>
              <w:rPr>
                <w:rFonts w:ascii="Arial" w:hAnsi="Arial" w:cs="Arial"/>
                <w:sz w:val="22"/>
                <w:szCs w:val="22"/>
              </w:rPr>
            </w:pPr>
            <w:r w:rsidRPr="00927D0A">
              <w:rPr>
                <w:rFonts w:ascii="Arial" w:hAnsi="Arial" w:cs="Arial"/>
                <w:color w:val="0F1115"/>
                <w:sz w:val="23"/>
                <w:szCs w:val="23"/>
              </w:rPr>
              <w:lastRenderedPageBreak/>
              <w:t>Maynou et al. 2023</w:t>
            </w:r>
          </w:p>
        </w:tc>
        <w:tc>
          <w:tcPr>
            <w:tcW w:w="1868" w:type="dxa"/>
            <w:shd w:val="clear" w:color="auto" w:fill="FFFFFF"/>
            <w:vAlign w:val="center"/>
          </w:tcPr>
          <w:p w14:paraId="380BCB09" w14:textId="5C72EBE7"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Retrospective cohort / linked healthcare data</w:t>
            </w:r>
          </w:p>
        </w:tc>
        <w:tc>
          <w:tcPr>
            <w:tcW w:w="1883" w:type="dxa"/>
            <w:shd w:val="clear" w:color="auto" w:fill="FFFFFF"/>
            <w:vAlign w:val="center"/>
          </w:tcPr>
          <w:p w14:paraId="3778E4C6" w14:textId="4DCAF41C"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Cohort</w:t>
            </w:r>
          </w:p>
        </w:tc>
        <w:tc>
          <w:tcPr>
            <w:tcW w:w="2176" w:type="dxa"/>
            <w:shd w:val="clear" w:color="auto" w:fill="FFFFFF"/>
            <w:vAlign w:val="center"/>
          </w:tcPr>
          <w:p w14:paraId="33ED44DD" w14:textId="6D0E8592"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Linkage accuracy, confounding, definitions</w:t>
            </w:r>
          </w:p>
        </w:tc>
        <w:tc>
          <w:tcPr>
            <w:tcW w:w="2126" w:type="dxa"/>
            <w:shd w:val="clear" w:color="auto" w:fill="FFFFFF"/>
            <w:vAlign w:val="center"/>
          </w:tcPr>
          <w:p w14:paraId="3077B052" w14:textId="377A4960"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High</w:t>
            </w:r>
          </w:p>
        </w:tc>
      </w:tr>
      <w:tr w:rsidR="00A467CC" w14:paraId="63EDD718" w14:textId="77777777" w:rsidTr="005A4EFD">
        <w:tc>
          <w:tcPr>
            <w:tcW w:w="1865" w:type="dxa"/>
            <w:shd w:val="clear" w:color="auto" w:fill="FFFFFF"/>
            <w:vAlign w:val="center"/>
          </w:tcPr>
          <w:p w14:paraId="69257BE0" w14:textId="4B6A8BD6" w:rsidR="00A467CC" w:rsidRPr="00927D0A" w:rsidRDefault="00A467CC" w:rsidP="00A467CC">
            <w:pPr>
              <w:spacing w:line="360" w:lineRule="auto"/>
              <w:jc w:val="both"/>
              <w:rPr>
                <w:rFonts w:ascii="Arial" w:hAnsi="Arial" w:cs="Arial"/>
                <w:sz w:val="22"/>
                <w:szCs w:val="22"/>
              </w:rPr>
            </w:pPr>
            <w:r w:rsidRPr="00927D0A">
              <w:rPr>
                <w:rFonts w:ascii="Arial" w:hAnsi="Arial" w:cs="Arial"/>
                <w:color w:val="0F1115"/>
                <w:sz w:val="23"/>
                <w:szCs w:val="23"/>
              </w:rPr>
              <w:t>O'Cathain et al. 2020</w:t>
            </w:r>
          </w:p>
        </w:tc>
        <w:tc>
          <w:tcPr>
            <w:tcW w:w="1868" w:type="dxa"/>
            <w:shd w:val="clear" w:color="auto" w:fill="FFFFFF"/>
            <w:vAlign w:val="center"/>
          </w:tcPr>
          <w:p w14:paraId="5E0E23A7" w14:textId="38B99205"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Mixed-methods study</w:t>
            </w:r>
          </w:p>
        </w:tc>
        <w:tc>
          <w:tcPr>
            <w:tcW w:w="1883" w:type="dxa"/>
            <w:shd w:val="clear" w:color="auto" w:fill="FFFFFF"/>
            <w:vAlign w:val="center"/>
          </w:tcPr>
          <w:p w14:paraId="5F7AB15B" w14:textId="6944F87D"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Qualitative and Cohort</w:t>
            </w:r>
          </w:p>
        </w:tc>
        <w:tc>
          <w:tcPr>
            <w:tcW w:w="2176" w:type="dxa"/>
            <w:shd w:val="clear" w:color="auto" w:fill="FFFFFF"/>
            <w:vAlign w:val="center"/>
          </w:tcPr>
          <w:p w14:paraId="00F2DB49" w14:textId="45026756"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Integration of qualitative and quantitative components, sampling, rigour, transferability, and complexity of findings</w:t>
            </w:r>
          </w:p>
        </w:tc>
        <w:tc>
          <w:tcPr>
            <w:tcW w:w="2126" w:type="dxa"/>
            <w:shd w:val="clear" w:color="auto" w:fill="FFFFFF"/>
            <w:vAlign w:val="center"/>
          </w:tcPr>
          <w:p w14:paraId="7FD33038" w14:textId="154589B5"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High</w:t>
            </w:r>
          </w:p>
        </w:tc>
      </w:tr>
      <w:tr w:rsidR="00A467CC" w14:paraId="562691AB" w14:textId="77777777" w:rsidTr="005A4EFD">
        <w:tc>
          <w:tcPr>
            <w:tcW w:w="1865" w:type="dxa"/>
            <w:shd w:val="clear" w:color="auto" w:fill="FFFFFF"/>
            <w:vAlign w:val="center"/>
          </w:tcPr>
          <w:p w14:paraId="366197C0" w14:textId="22E4BDE0" w:rsidR="00A467CC" w:rsidRPr="00927D0A" w:rsidRDefault="00A467CC" w:rsidP="00A467CC">
            <w:pPr>
              <w:spacing w:line="360" w:lineRule="auto"/>
              <w:jc w:val="both"/>
              <w:rPr>
                <w:rFonts w:ascii="Arial" w:hAnsi="Arial" w:cs="Arial"/>
                <w:sz w:val="22"/>
                <w:szCs w:val="22"/>
              </w:rPr>
            </w:pPr>
            <w:r w:rsidRPr="00927D0A">
              <w:rPr>
                <w:rFonts w:ascii="Arial" w:hAnsi="Arial" w:cs="Arial"/>
                <w:color w:val="0F1115"/>
                <w:sz w:val="23"/>
                <w:szCs w:val="23"/>
              </w:rPr>
              <w:t>O'Keeffe et al. 2018</w:t>
            </w:r>
          </w:p>
        </w:tc>
        <w:tc>
          <w:tcPr>
            <w:tcW w:w="1868" w:type="dxa"/>
            <w:shd w:val="clear" w:color="auto" w:fill="FFFFFF"/>
            <w:vAlign w:val="center"/>
          </w:tcPr>
          <w:p w14:paraId="59076708" w14:textId="22F321D3"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Retrospective analysis of routine ED data</w:t>
            </w:r>
          </w:p>
        </w:tc>
        <w:tc>
          <w:tcPr>
            <w:tcW w:w="1883" w:type="dxa"/>
            <w:shd w:val="clear" w:color="auto" w:fill="FFFFFF"/>
            <w:vAlign w:val="center"/>
          </w:tcPr>
          <w:p w14:paraId="0C088649" w14:textId="1F8AC04A"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Cohort</w:t>
            </w:r>
          </w:p>
        </w:tc>
        <w:tc>
          <w:tcPr>
            <w:tcW w:w="2176" w:type="dxa"/>
            <w:shd w:val="clear" w:color="auto" w:fill="FFFFFF"/>
            <w:vAlign w:val="center"/>
          </w:tcPr>
          <w:p w14:paraId="3E1452F8" w14:textId="70BEC252"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Case definition of "non-urgent," data quality, confounding</w:t>
            </w:r>
          </w:p>
        </w:tc>
        <w:tc>
          <w:tcPr>
            <w:tcW w:w="2126" w:type="dxa"/>
            <w:shd w:val="clear" w:color="auto" w:fill="FFFFFF"/>
            <w:vAlign w:val="center"/>
          </w:tcPr>
          <w:p w14:paraId="2CBFD3A1" w14:textId="4BCBA95F"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High</w:t>
            </w:r>
          </w:p>
        </w:tc>
      </w:tr>
      <w:tr w:rsidR="00A467CC" w14:paraId="2BA6930F" w14:textId="77777777" w:rsidTr="005A4EFD">
        <w:tc>
          <w:tcPr>
            <w:tcW w:w="1865" w:type="dxa"/>
            <w:shd w:val="clear" w:color="auto" w:fill="FFFFFF"/>
            <w:vAlign w:val="center"/>
          </w:tcPr>
          <w:p w14:paraId="20AF2038" w14:textId="6CC2B5CF" w:rsidR="00A467CC" w:rsidRPr="00927D0A" w:rsidRDefault="00A467CC" w:rsidP="00A467CC">
            <w:pPr>
              <w:spacing w:line="360" w:lineRule="auto"/>
              <w:jc w:val="both"/>
              <w:rPr>
                <w:rFonts w:ascii="Arial" w:hAnsi="Arial" w:cs="Arial"/>
                <w:sz w:val="22"/>
                <w:szCs w:val="22"/>
              </w:rPr>
            </w:pPr>
            <w:r w:rsidRPr="00927D0A">
              <w:rPr>
                <w:rFonts w:ascii="Arial" w:hAnsi="Arial" w:cs="Arial"/>
                <w:color w:val="0F1115"/>
                <w:sz w:val="23"/>
                <w:szCs w:val="23"/>
              </w:rPr>
              <w:t>Parkinson et al. 2021</w:t>
            </w:r>
          </w:p>
        </w:tc>
        <w:tc>
          <w:tcPr>
            <w:tcW w:w="1868" w:type="dxa"/>
            <w:shd w:val="clear" w:color="auto" w:fill="FFFFFF"/>
            <w:vAlign w:val="center"/>
          </w:tcPr>
          <w:p w14:paraId="7973C8AD" w14:textId="2E45BE09"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Retrospective observational study</w:t>
            </w:r>
          </w:p>
        </w:tc>
        <w:tc>
          <w:tcPr>
            <w:tcW w:w="1883" w:type="dxa"/>
            <w:shd w:val="clear" w:color="auto" w:fill="FFFFFF"/>
            <w:vAlign w:val="center"/>
          </w:tcPr>
          <w:p w14:paraId="69E687DC" w14:textId="1EB9DA03"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Cohort</w:t>
            </w:r>
          </w:p>
        </w:tc>
        <w:tc>
          <w:tcPr>
            <w:tcW w:w="2176" w:type="dxa"/>
            <w:shd w:val="clear" w:color="auto" w:fill="FFFFFF"/>
            <w:vAlign w:val="center"/>
          </w:tcPr>
          <w:p w14:paraId="4BF6FC3B" w14:textId="5E296752"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Confounding; primary care quality measure; outcome definition; selection bias; data quality</w:t>
            </w:r>
          </w:p>
        </w:tc>
        <w:tc>
          <w:tcPr>
            <w:tcW w:w="2126" w:type="dxa"/>
            <w:shd w:val="clear" w:color="auto" w:fill="FFFFFF"/>
            <w:vAlign w:val="center"/>
          </w:tcPr>
          <w:p w14:paraId="5D374032" w14:textId="09A909C6"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High</w:t>
            </w:r>
          </w:p>
        </w:tc>
      </w:tr>
      <w:tr w:rsidR="00A467CC" w14:paraId="57E99483" w14:textId="77777777" w:rsidTr="005A4EFD">
        <w:tc>
          <w:tcPr>
            <w:tcW w:w="1865" w:type="dxa"/>
            <w:shd w:val="clear" w:color="auto" w:fill="FFFFFF"/>
            <w:vAlign w:val="center"/>
          </w:tcPr>
          <w:p w14:paraId="129BD3A6" w14:textId="5A824C44" w:rsidR="00A467CC" w:rsidRPr="00927D0A" w:rsidRDefault="00A467CC" w:rsidP="00A467CC">
            <w:pPr>
              <w:spacing w:line="360" w:lineRule="auto"/>
              <w:jc w:val="both"/>
              <w:rPr>
                <w:rFonts w:ascii="Arial" w:hAnsi="Arial" w:cs="Arial"/>
                <w:sz w:val="22"/>
                <w:szCs w:val="22"/>
              </w:rPr>
            </w:pPr>
            <w:r w:rsidRPr="00927D0A">
              <w:rPr>
                <w:rFonts w:ascii="Arial" w:hAnsi="Arial" w:cs="Arial"/>
                <w:color w:val="0F1115"/>
                <w:sz w:val="23"/>
                <w:szCs w:val="23"/>
              </w:rPr>
              <w:t>Price et al. 2022</w:t>
            </w:r>
          </w:p>
        </w:tc>
        <w:tc>
          <w:tcPr>
            <w:tcW w:w="1868" w:type="dxa"/>
            <w:shd w:val="clear" w:color="auto" w:fill="FFFFFF"/>
            <w:vAlign w:val="center"/>
          </w:tcPr>
          <w:p w14:paraId="7F134A5D" w14:textId="5420F745"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Qualitative realist evaluation</w:t>
            </w:r>
          </w:p>
        </w:tc>
        <w:tc>
          <w:tcPr>
            <w:tcW w:w="1883" w:type="dxa"/>
            <w:shd w:val="clear" w:color="auto" w:fill="FFFFFF"/>
            <w:vAlign w:val="center"/>
          </w:tcPr>
          <w:p w14:paraId="2218C16E" w14:textId="143A8F74"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CASP Qualitative</w:t>
            </w:r>
          </w:p>
        </w:tc>
        <w:tc>
          <w:tcPr>
            <w:tcW w:w="2176" w:type="dxa"/>
            <w:shd w:val="clear" w:color="auto" w:fill="FFFFFF"/>
            <w:vAlign w:val="center"/>
          </w:tcPr>
          <w:p w14:paraId="2AC16551" w14:textId="39CBF1EF"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Sampling, context, reflexivity, trustworthiness, and transferability of patient and clinician experiences</w:t>
            </w:r>
          </w:p>
        </w:tc>
        <w:tc>
          <w:tcPr>
            <w:tcW w:w="2126" w:type="dxa"/>
            <w:shd w:val="clear" w:color="auto" w:fill="FFFFFF"/>
            <w:vAlign w:val="center"/>
          </w:tcPr>
          <w:p w14:paraId="58588B6C" w14:textId="762E85A7" w:rsidR="00A467CC" w:rsidRPr="00927D0A" w:rsidRDefault="00A467CC" w:rsidP="00A467CC">
            <w:pPr>
              <w:spacing w:line="360" w:lineRule="auto"/>
              <w:jc w:val="center"/>
              <w:rPr>
                <w:rFonts w:ascii="Arial" w:hAnsi="Arial" w:cs="Arial"/>
                <w:sz w:val="22"/>
                <w:szCs w:val="22"/>
              </w:rPr>
            </w:pPr>
            <w:r w:rsidRPr="00927D0A">
              <w:rPr>
                <w:rFonts w:ascii="Arial" w:hAnsi="Arial" w:cs="Arial"/>
                <w:color w:val="0F1115"/>
                <w:sz w:val="23"/>
                <w:szCs w:val="23"/>
              </w:rPr>
              <w:t>High</w:t>
            </w:r>
          </w:p>
        </w:tc>
      </w:tr>
    </w:tbl>
    <w:p w14:paraId="657621C1" w14:textId="77777777" w:rsidR="000E15E0" w:rsidRDefault="000E15E0" w:rsidP="00173BDC">
      <w:pPr>
        <w:spacing w:line="360" w:lineRule="auto"/>
        <w:jc w:val="both"/>
        <w:rPr>
          <w:rFonts w:ascii="Arial" w:hAnsi="Arial" w:cs="Arial"/>
          <w:sz w:val="22"/>
          <w:szCs w:val="22"/>
        </w:rPr>
      </w:pPr>
    </w:p>
    <w:p w14:paraId="307025FF" w14:textId="77777777" w:rsidR="000E15E0" w:rsidRDefault="000E15E0" w:rsidP="00173BDC">
      <w:pPr>
        <w:spacing w:line="360" w:lineRule="auto"/>
        <w:jc w:val="both"/>
        <w:rPr>
          <w:rFonts w:ascii="Arial" w:hAnsi="Arial" w:cs="Arial"/>
          <w:sz w:val="22"/>
          <w:szCs w:val="22"/>
        </w:rPr>
      </w:pPr>
    </w:p>
    <w:p w14:paraId="5722DB0C" w14:textId="77777777" w:rsidR="00DF72EE" w:rsidRDefault="00DF72EE" w:rsidP="00173BDC">
      <w:pPr>
        <w:spacing w:line="360" w:lineRule="auto"/>
        <w:jc w:val="both"/>
        <w:rPr>
          <w:rFonts w:ascii="Arial" w:hAnsi="Arial" w:cs="Arial"/>
          <w:sz w:val="22"/>
          <w:szCs w:val="22"/>
        </w:rPr>
      </w:pPr>
    </w:p>
    <w:p w14:paraId="7CFB4791" w14:textId="77777777" w:rsidR="009C2E05" w:rsidRDefault="009C2E05" w:rsidP="00173BDC">
      <w:pPr>
        <w:spacing w:line="360" w:lineRule="auto"/>
        <w:jc w:val="both"/>
        <w:rPr>
          <w:rFonts w:ascii="Arial" w:hAnsi="Arial" w:cs="Arial"/>
          <w:sz w:val="22"/>
          <w:szCs w:val="22"/>
        </w:rPr>
      </w:pPr>
    </w:p>
    <w:p w14:paraId="10264246" w14:textId="5B2214A7" w:rsidR="00F07408" w:rsidRPr="00F07408" w:rsidRDefault="00F07408" w:rsidP="00F07408">
      <w:pPr>
        <w:spacing w:line="360" w:lineRule="auto"/>
        <w:jc w:val="both"/>
        <w:rPr>
          <w:rFonts w:ascii="Arial" w:hAnsi="Arial" w:cs="Arial"/>
          <w:b/>
          <w:bCs/>
        </w:rPr>
      </w:pPr>
      <w:r w:rsidRPr="00F07408">
        <w:rPr>
          <w:rFonts w:ascii="Arial" w:hAnsi="Arial" w:cs="Arial"/>
          <w:b/>
          <w:bCs/>
        </w:rPr>
        <w:lastRenderedPageBreak/>
        <w:t>4.</w:t>
      </w:r>
      <w:r w:rsidR="00F23613">
        <w:rPr>
          <w:rFonts w:ascii="Arial" w:hAnsi="Arial" w:cs="Arial"/>
          <w:b/>
          <w:bCs/>
        </w:rPr>
        <w:t>4</w:t>
      </w:r>
      <w:r w:rsidRPr="00F07408">
        <w:rPr>
          <w:rFonts w:ascii="Arial" w:hAnsi="Arial" w:cs="Arial"/>
          <w:b/>
          <w:bCs/>
        </w:rPr>
        <w:t xml:space="preserve"> Theme One: The Experience of Structural Exclusion from Primary Care</w:t>
      </w:r>
    </w:p>
    <w:p w14:paraId="7830667D" w14:textId="0090DCEE" w:rsidR="009C2E05" w:rsidRPr="009C2E05" w:rsidRDefault="009C2E05" w:rsidP="009C2E05">
      <w:pPr>
        <w:spacing w:line="360" w:lineRule="auto"/>
        <w:jc w:val="both"/>
        <w:rPr>
          <w:rFonts w:ascii="Arial" w:hAnsi="Arial" w:cs="Arial"/>
          <w:sz w:val="22"/>
          <w:szCs w:val="22"/>
        </w:rPr>
      </w:pPr>
      <w:r w:rsidRPr="009C2E05">
        <w:rPr>
          <w:rFonts w:ascii="Arial" w:hAnsi="Arial" w:cs="Arial"/>
          <w:sz w:val="22"/>
          <w:szCs w:val="22"/>
        </w:rPr>
        <w:t xml:space="preserve">The most consistently evidenced theme across the included studies is that socioeconomically deprived patients do not experience primary care access as a neutral or universally available resource, but as a system structurally organised in ways that disadvantage those with greatest need. This theme was identified across ten of the fourteen included studies and was evidenced at area, </w:t>
      </w:r>
      <w:r w:rsidR="00FB4BF9" w:rsidRPr="009C2E05">
        <w:rPr>
          <w:rFonts w:ascii="Arial" w:hAnsi="Arial" w:cs="Arial"/>
          <w:sz w:val="22"/>
          <w:szCs w:val="22"/>
        </w:rPr>
        <w:t>practice,</w:t>
      </w:r>
      <w:r w:rsidRPr="009C2E05">
        <w:rPr>
          <w:rFonts w:ascii="Arial" w:hAnsi="Arial" w:cs="Arial"/>
          <w:sz w:val="22"/>
          <w:szCs w:val="22"/>
        </w:rPr>
        <w:t xml:space="preserve"> and patient levels, making it the most robustly triangulated finding. At area level, Jacob et al. (2024) found that the most deprived </w:t>
      </w:r>
      <w:r w:rsidR="00375096">
        <w:rPr>
          <w:rFonts w:ascii="Arial" w:hAnsi="Arial" w:cs="Arial"/>
          <w:sz w:val="22"/>
          <w:szCs w:val="22"/>
        </w:rPr>
        <w:t>UK</w:t>
      </w:r>
      <w:r w:rsidRPr="009C2E05">
        <w:rPr>
          <w:rFonts w:ascii="Arial" w:hAnsi="Arial" w:cs="Arial"/>
          <w:sz w:val="22"/>
          <w:szCs w:val="22"/>
        </w:rPr>
        <w:t xml:space="preserve"> areas had both the highest ED attendance rates and the lowest primary care capacity relative to need. Their findings suggest that high ED demand and constrained primary care provision co-occur as part of an unequal system configuration rather than operating independently.</w:t>
      </w:r>
    </w:p>
    <w:p w14:paraId="545106FB" w14:textId="0B0EBC92" w:rsidR="009C2E05" w:rsidRDefault="009C2E05" w:rsidP="009C2E05">
      <w:pPr>
        <w:spacing w:line="360" w:lineRule="auto"/>
        <w:jc w:val="both"/>
        <w:rPr>
          <w:rFonts w:ascii="Arial" w:hAnsi="Arial" w:cs="Arial"/>
          <w:sz w:val="22"/>
          <w:szCs w:val="22"/>
        </w:rPr>
      </w:pPr>
      <w:r w:rsidRPr="009C2E05">
        <w:rPr>
          <w:rFonts w:ascii="Arial" w:hAnsi="Arial" w:cs="Arial"/>
          <w:sz w:val="22"/>
          <w:szCs w:val="22"/>
        </w:rPr>
        <w:t xml:space="preserve">At practice level, Jamieson et al. (2025) identified a statistically significant negative association between GP availability and avoidable ED attendance, with the relationship strongest in the most deprived areas. This indicates that limited primary care supply may interact with socioeconomic disadvantage to increase emergency care demand. At patient level, Hull et al. (2018) found that socioeconomic deprivation remained an independent predictor of ED attendance after adjustment for clinical need, multimorbidity, age and demographic characteristics. This suggests that higher ED use cannot be explained solely by greater levels of illness and may also reflect structural barriers to primary care. Digital transformation introduced an additional access barrier. Davies et al. (2024) reported </w:t>
      </w:r>
      <w:r w:rsidR="002E6272" w:rsidRPr="009C2E05">
        <w:rPr>
          <w:rFonts w:ascii="Arial" w:hAnsi="Arial" w:cs="Arial"/>
          <w:sz w:val="22"/>
          <w:szCs w:val="22"/>
        </w:rPr>
        <w:t>that patients</w:t>
      </w:r>
      <w:r w:rsidRPr="009C2E05">
        <w:rPr>
          <w:rFonts w:ascii="Arial" w:hAnsi="Arial" w:cs="Arial"/>
          <w:sz w:val="22"/>
          <w:szCs w:val="22"/>
        </w:rPr>
        <w:t xml:space="preserve"> attended EDs because they could not navigate online triage and booking systems, including those without smartphones or with limited English proficiency. Such exclusion may remain </w:t>
      </w:r>
      <w:r w:rsidR="008F09CD" w:rsidRPr="009C2E05">
        <w:rPr>
          <w:rFonts w:ascii="Arial" w:hAnsi="Arial" w:cs="Arial"/>
          <w:sz w:val="22"/>
          <w:szCs w:val="22"/>
        </w:rPr>
        <w:t>invisible</w:t>
      </w:r>
      <w:r w:rsidRPr="009C2E05">
        <w:rPr>
          <w:rFonts w:ascii="Arial" w:hAnsi="Arial" w:cs="Arial"/>
          <w:sz w:val="22"/>
          <w:szCs w:val="22"/>
        </w:rPr>
        <w:t xml:space="preserve"> within primary care data while becoming visible through ED attendance. Similarly, Madia et al. (2025) found that self-referral to ED was more prevalent among patients from the most deprived areas. Overall, the evidence indicates that structural exclusion operates through interacting workforce shortages, socioeconomic </w:t>
      </w:r>
      <w:r w:rsidR="00FB4BF9" w:rsidRPr="009C2E05">
        <w:rPr>
          <w:rFonts w:ascii="Arial" w:hAnsi="Arial" w:cs="Arial"/>
          <w:sz w:val="22"/>
          <w:szCs w:val="22"/>
        </w:rPr>
        <w:t>disadvantage,</w:t>
      </w:r>
      <w:r w:rsidRPr="009C2E05">
        <w:rPr>
          <w:rFonts w:ascii="Arial" w:hAnsi="Arial" w:cs="Arial"/>
          <w:sz w:val="22"/>
          <w:szCs w:val="22"/>
        </w:rPr>
        <w:t xml:space="preserve"> and digital barriers, </w:t>
      </w:r>
      <w:r w:rsidR="002E6272" w:rsidRPr="009C2E05">
        <w:rPr>
          <w:rFonts w:ascii="Arial" w:hAnsi="Arial" w:cs="Arial"/>
          <w:sz w:val="22"/>
          <w:szCs w:val="22"/>
        </w:rPr>
        <w:t>redirecting patients</w:t>
      </w:r>
      <w:r w:rsidRPr="009C2E05">
        <w:rPr>
          <w:rFonts w:ascii="Arial" w:hAnsi="Arial" w:cs="Arial"/>
          <w:sz w:val="22"/>
          <w:szCs w:val="22"/>
        </w:rPr>
        <w:t xml:space="preserve"> towards emergency care.</w:t>
      </w:r>
    </w:p>
    <w:p w14:paraId="0CDD96DC" w14:textId="77777777" w:rsidR="00C24575" w:rsidRDefault="00C24575" w:rsidP="009C2E05">
      <w:pPr>
        <w:spacing w:line="360" w:lineRule="auto"/>
        <w:jc w:val="both"/>
        <w:rPr>
          <w:rFonts w:ascii="Arial" w:hAnsi="Arial" w:cs="Arial"/>
          <w:sz w:val="22"/>
          <w:szCs w:val="22"/>
        </w:rPr>
      </w:pPr>
    </w:p>
    <w:p w14:paraId="05A1CC80" w14:textId="01668034" w:rsidR="008C3E87" w:rsidRPr="008C3E87" w:rsidRDefault="008C3E87" w:rsidP="009C2E05">
      <w:pPr>
        <w:spacing w:line="360" w:lineRule="auto"/>
        <w:jc w:val="both"/>
        <w:rPr>
          <w:rFonts w:ascii="Arial" w:hAnsi="Arial" w:cs="Arial"/>
          <w:b/>
          <w:bCs/>
        </w:rPr>
      </w:pPr>
      <w:r w:rsidRPr="008C3E87">
        <w:rPr>
          <w:rFonts w:ascii="Arial" w:hAnsi="Arial" w:cs="Arial"/>
          <w:b/>
          <w:bCs/>
        </w:rPr>
        <w:t>4.</w:t>
      </w:r>
      <w:r w:rsidR="00F23613">
        <w:rPr>
          <w:rFonts w:ascii="Arial" w:hAnsi="Arial" w:cs="Arial"/>
          <w:b/>
          <w:bCs/>
        </w:rPr>
        <w:t>5</w:t>
      </w:r>
      <w:r w:rsidRPr="008C3E87">
        <w:rPr>
          <w:rFonts w:ascii="Arial" w:hAnsi="Arial" w:cs="Arial"/>
          <w:b/>
          <w:bCs/>
        </w:rPr>
        <w:t xml:space="preserve"> Theme Two: Emergency Departments as the Default When Primary Care Is Unavailable</w:t>
      </w:r>
    </w:p>
    <w:p w14:paraId="023439E4" w14:textId="77777777" w:rsidR="00916D66" w:rsidRPr="00916D66" w:rsidRDefault="00916D66" w:rsidP="00916D66">
      <w:pPr>
        <w:spacing w:line="360" w:lineRule="auto"/>
        <w:jc w:val="both"/>
        <w:rPr>
          <w:rFonts w:ascii="Arial" w:hAnsi="Arial" w:cs="Arial"/>
          <w:sz w:val="22"/>
          <w:szCs w:val="22"/>
        </w:rPr>
      </w:pPr>
      <w:r w:rsidRPr="00916D66">
        <w:rPr>
          <w:rFonts w:ascii="Arial" w:hAnsi="Arial" w:cs="Arial"/>
          <w:sz w:val="22"/>
          <w:szCs w:val="22"/>
        </w:rPr>
        <w:t>The second theme, evidenced across ten of the fourteen included studies using qualitative and quantitative methods, is that emergency department (ED) attendance among socioeconomically deprived patients is not primarily driven by poor health literacy or a preference for emergency care. Rather, it is often a rational response to difficulties accessing timely, reliable primary care.</w:t>
      </w:r>
    </w:p>
    <w:p w14:paraId="0EC3D675" w14:textId="4D73BBC7" w:rsidR="00F07408" w:rsidRDefault="00916D66" w:rsidP="00916D66">
      <w:pPr>
        <w:spacing w:line="360" w:lineRule="auto"/>
        <w:jc w:val="both"/>
        <w:rPr>
          <w:rFonts w:ascii="Arial" w:hAnsi="Arial" w:cs="Arial"/>
          <w:sz w:val="22"/>
          <w:szCs w:val="22"/>
        </w:rPr>
      </w:pPr>
      <w:r w:rsidRPr="00916D66">
        <w:rPr>
          <w:rFonts w:ascii="Arial" w:hAnsi="Arial" w:cs="Arial"/>
          <w:sz w:val="22"/>
          <w:szCs w:val="22"/>
        </w:rPr>
        <w:t xml:space="preserve">O’Cathain et al. (2020), through the DEUCE mixed-methods study across three UK sites, found that patients classified as potentially avoidable ED attenders often made considered decisions </w:t>
      </w:r>
      <w:r w:rsidRPr="00916D66">
        <w:rPr>
          <w:rFonts w:ascii="Arial" w:hAnsi="Arial" w:cs="Arial"/>
          <w:sz w:val="22"/>
          <w:szCs w:val="22"/>
        </w:rPr>
        <w:lastRenderedPageBreak/>
        <w:t xml:space="preserve">based on previous experiences of accessing care. </w:t>
      </w:r>
      <w:r w:rsidR="004F0867" w:rsidRPr="004F0867">
        <w:rPr>
          <w:rFonts w:ascii="Arial" w:hAnsi="Arial" w:cs="Arial"/>
          <w:sz w:val="22"/>
          <w:szCs w:val="22"/>
        </w:rPr>
        <w:t>The patients had tried to get GP appointments or contact NHS 111 but could not secure timely care or were directed to the ED.</w:t>
      </w:r>
      <w:r w:rsidR="004F0867">
        <w:rPr>
          <w:rFonts w:ascii="Arial" w:hAnsi="Arial" w:cs="Arial"/>
          <w:sz w:val="22"/>
          <w:szCs w:val="22"/>
        </w:rPr>
        <w:t xml:space="preserve"> </w:t>
      </w:r>
      <w:r w:rsidRPr="00916D66">
        <w:rPr>
          <w:rFonts w:ascii="Arial" w:hAnsi="Arial" w:cs="Arial"/>
          <w:sz w:val="22"/>
          <w:szCs w:val="22"/>
        </w:rPr>
        <w:t>Their attendance therefore reflected an understanding of service limitations rather than a lack of awareness of alternatives.</w:t>
      </w:r>
      <w:r w:rsidR="008B424B">
        <w:rPr>
          <w:rFonts w:ascii="Arial" w:hAnsi="Arial" w:cs="Arial"/>
          <w:sz w:val="22"/>
          <w:szCs w:val="22"/>
        </w:rPr>
        <w:t xml:space="preserve"> </w:t>
      </w:r>
      <w:r w:rsidRPr="00916D66">
        <w:rPr>
          <w:rFonts w:ascii="Arial" w:hAnsi="Arial" w:cs="Arial"/>
          <w:sz w:val="22"/>
          <w:szCs w:val="22"/>
        </w:rPr>
        <w:t xml:space="preserve">Calastri et al. (2025) provide quantitative support for this interpretation, showing that patients who </w:t>
      </w:r>
      <w:r w:rsidR="00647BA2" w:rsidRPr="00916D66">
        <w:rPr>
          <w:rFonts w:ascii="Arial" w:hAnsi="Arial" w:cs="Arial"/>
          <w:sz w:val="22"/>
          <w:szCs w:val="22"/>
        </w:rPr>
        <w:t>had trouble</w:t>
      </w:r>
      <w:r w:rsidRPr="00916D66">
        <w:rPr>
          <w:rFonts w:ascii="Arial" w:hAnsi="Arial" w:cs="Arial"/>
          <w:sz w:val="22"/>
          <w:szCs w:val="22"/>
        </w:rPr>
        <w:t xml:space="preserve"> accessing GP care were more likely to regard their ED attendance as unavoidable, irrespective of the clinical acuity of their condition. This suggests that perceptions of necessity are shaped not only by presenting symptoms but by previous experiences of primary care access. The finding challenges interpretations of avoidable ED use that place primary responsibility on individual patient behaviour.</w:t>
      </w:r>
      <w:r w:rsidR="008B424B">
        <w:rPr>
          <w:rFonts w:ascii="Arial" w:hAnsi="Arial" w:cs="Arial"/>
          <w:sz w:val="22"/>
          <w:szCs w:val="22"/>
        </w:rPr>
        <w:t xml:space="preserve"> </w:t>
      </w:r>
      <w:r w:rsidRPr="00916D66">
        <w:rPr>
          <w:rFonts w:ascii="Arial" w:hAnsi="Arial" w:cs="Arial"/>
          <w:sz w:val="22"/>
          <w:szCs w:val="22"/>
        </w:rPr>
        <w:t>Price et al. (2022) similarly found that patients attending EDs with co-located primary care services frequently reported previous unsuccessful attempts to obtain GP care and reduced confidence that primary care would be available when needed. One patient explained: ‘I tried the GP first, but I could not get an appointment for two weeks. By the time I got there I was worse. At least here I know I will be seen’ (Price et al., 2022, p. 6). This illustrates how the perceived certainty of assessment in the ED can shape decisions when primary care is experienced as inaccessible.</w:t>
      </w:r>
      <w:r w:rsidR="008B424B">
        <w:rPr>
          <w:rFonts w:ascii="Arial" w:hAnsi="Arial" w:cs="Arial"/>
          <w:sz w:val="22"/>
          <w:szCs w:val="22"/>
        </w:rPr>
        <w:t xml:space="preserve"> </w:t>
      </w:r>
      <w:r w:rsidRPr="00916D66">
        <w:rPr>
          <w:rFonts w:ascii="Arial" w:hAnsi="Arial" w:cs="Arial"/>
          <w:sz w:val="22"/>
          <w:szCs w:val="22"/>
        </w:rPr>
        <w:t>Madia et al. (2025) provide further pathway-level evidence, finding that self-referral to ED was more prevalent among patients from the most deprived areas. Their findings are consistent with the view that repeated difficulties navigating formal healthcare pathways may lead patients to use direct ED attendance as a more reliable route to assessment.</w:t>
      </w:r>
      <w:r w:rsidR="008B424B">
        <w:rPr>
          <w:rFonts w:ascii="Arial" w:hAnsi="Arial" w:cs="Arial"/>
          <w:sz w:val="22"/>
          <w:szCs w:val="22"/>
        </w:rPr>
        <w:t xml:space="preserve"> </w:t>
      </w:r>
      <w:r w:rsidRPr="00916D66">
        <w:rPr>
          <w:rFonts w:ascii="Arial" w:hAnsi="Arial" w:cs="Arial"/>
          <w:sz w:val="22"/>
          <w:szCs w:val="22"/>
        </w:rPr>
        <w:t>O’Keeffe et al. (2018) found that non-urgent ED attenders were disproportionately from deprived areas and were more likely to lack GP registration or an established primary care relationship. Taken together, the evidence indicates that ED attendance among deprived populations may represent a purposeful response to structural barriers to primary care rather than simply inappropriate healthcare-seeking behaviour.</w:t>
      </w:r>
    </w:p>
    <w:p w14:paraId="709C5EA3" w14:textId="77777777" w:rsidR="003E7FD8" w:rsidRDefault="003E7FD8" w:rsidP="00916D66">
      <w:pPr>
        <w:spacing w:line="360" w:lineRule="auto"/>
        <w:jc w:val="both"/>
        <w:rPr>
          <w:rFonts w:ascii="Arial" w:hAnsi="Arial" w:cs="Arial"/>
          <w:sz w:val="22"/>
          <w:szCs w:val="22"/>
        </w:rPr>
      </w:pPr>
    </w:p>
    <w:p w14:paraId="1655397F" w14:textId="58966672" w:rsidR="00555812" w:rsidRPr="00555812" w:rsidRDefault="00555812" w:rsidP="00555812">
      <w:pPr>
        <w:spacing w:line="360" w:lineRule="auto"/>
        <w:jc w:val="both"/>
        <w:rPr>
          <w:rFonts w:ascii="Arial" w:hAnsi="Arial" w:cs="Arial"/>
          <w:b/>
          <w:bCs/>
        </w:rPr>
      </w:pPr>
      <w:r w:rsidRPr="00555812">
        <w:rPr>
          <w:rFonts w:ascii="Arial" w:hAnsi="Arial" w:cs="Arial"/>
          <w:b/>
          <w:bCs/>
        </w:rPr>
        <w:t>4.</w:t>
      </w:r>
      <w:r w:rsidR="00F23613">
        <w:rPr>
          <w:rFonts w:ascii="Arial" w:hAnsi="Arial" w:cs="Arial"/>
          <w:b/>
          <w:bCs/>
        </w:rPr>
        <w:t>6</w:t>
      </w:r>
      <w:r w:rsidRPr="00555812">
        <w:rPr>
          <w:rFonts w:ascii="Arial" w:hAnsi="Arial" w:cs="Arial"/>
          <w:b/>
          <w:bCs/>
        </w:rPr>
        <w:t xml:space="preserve"> Theme Three: </w:t>
      </w:r>
      <w:r w:rsidR="00253E69" w:rsidRPr="00253E69">
        <w:rPr>
          <w:rFonts w:ascii="Arial" w:hAnsi="Arial" w:cs="Arial"/>
          <w:b/>
          <w:bCs/>
        </w:rPr>
        <w:t xml:space="preserve">Limited effectiveness of interventions in reducing </w:t>
      </w:r>
      <w:r w:rsidR="00D41EC5" w:rsidRPr="00253E69">
        <w:rPr>
          <w:rFonts w:ascii="Arial" w:hAnsi="Arial" w:cs="Arial"/>
          <w:b/>
          <w:bCs/>
        </w:rPr>
        <w:t>inequity.</w:t>
      </w:r>
    </w:p>
    <w:p w14:paraId="3623C30D" w14:textId="77777777" w:rsidR="00253E69" w:rsidRPr="00253E69" w:rsidRDefault="00253E69" w:rsidP="00253E69">
      <w:pPr>
        <w:spacing w:line="360" w:lineRule="auto"/>
        <w:jc w:val="both"/>
        <w:rPr>
          <w:rFonts w:ascii="Arial" w:hAnsi="Arial" w:cs="Arial"/>
          <w:sz w:val="22"/>
          <w:szCs w:val="22"/>
        </w:rPr>
      </w:pPr>
      <w:r w:rsidRPr="00253E69">
        <w:rPr>
          <w:rFonts w:ascii="Arial" w:hAnsi="Arial" w:cs="Arial"/>
          <w:sz w:val="22"/>
          <w:szCs w:val="22"/>
        </w:rPr>
        <w:t>The third theme, identified across eight of the fourteen included studies, highlights the limited ability of evaluated healthcare interventions to produce equitable reductions in emergency department (ED) attendance among socioeconomically deprived populations. This pattern was evident across different intervention types and methodological approaches, suggesting that the problem extends beyond individual intervention design.</w:t>
      </w:r>
    </w:p>
    <w:p w14:paraId="091A6E60" w14:textId="6510AB27" w:rsidR="00253E69" w:rsidRPr="00253E69" w:rsidRDefault="00253E69" w:rsidP="00253E69">
      <w:pPr>
        <w:spacing w:line="360" w:lineRule="auto"/>
        <w:jc w:val="both"/>
        <w:rPr>
          <w:rFonts w:ascii="Arial" w:hAnsi="Arial" w:cs="Arial"/>
          <w:sz w:val="22"/>
          <w:szCs w:val="22"/>
        </w:rPr>
      </w:pPr>
      <w:r w:rsidRPr="00253E69">
        <w:rPr>
          <w:rFonts w:ascii="Arial" w:hAnsi="Arial" w:cs="Arial"/>
          <w:sz w:val="22"/>
          <w:szCs w:val="22"/>
        </w:rPr>
        <w:t xml:space="preserve">The GP-in-ED (GPED) model provides the clearest example. Davies et al. (2024), in a mixed-methods realist evaluation across 64 British emergency departments, found no detectable reduction in overall ED attendance associated with GPED models. Qualitative findings suggested that patients with complex social circumstances, multiple health problems, mental health </w:t>
      </w:r>
      <w:r w:rsidR="00FB4BF9" w:rsidRPr="00253E69">
        <w:rPr>
          <w:rFonts w:ascii="Arial" w:hAnsi="Arial" w:cs="Arial"/>
          <w:sz w:val="22"/>
          <w:szCs w:val="22"/>
        </w:rPr>
        <w:t>needs,</w:t>
      </w:r>
      <w:r w:rsidRPr="00253E69">
        <w:rPr>
          <w:rFonts w:ascii="Arial" w:hAnsi="Arial" w:cs="Arial"/>
          <w:sz w:val="22"/>
          <w:szCs w:val="22"/>
        </w:rPr>
        <w:t xml:space="preserve"> </w:t>
      </w:r>
      <w:r w:rsidRPr="00253E69">
        <w:rPr>
          <w:rFonts w:ascii="Arial" w:hAnsi="Arial" w:cs="Arial"/>
          <w:sz w:val="22"/>
          <w:szCs w:val="22"/>
        </w:rPr>
        <w:lastRenderedPageBreak/>
        <w:t>or language barriers were less likely to benefit from these services. The intervention therefore appeared more suited to straightforward presentations than to the complex needs frequently associated with deprivation.</w:t>
      </w:r>
    </w:p>
    <w:p w14:paraId="334E5454" w14:textId="300EEDA9" w:rsidR="00253E69" w:rsidRPr="00253E69" w:rsidRDefault="00253E69" w:rsidP="00253E69">
      <w:pPr>
        <w:spacing w:line="360" w:lineRule="auto"/>
        <w:jc w:val="both"/>
        <w:rPr>
          <w:rFonts w:ascii="Arial" w:hAnsi="Arial" w:cs="Arial"/>
          <w:sz w:val="22"/>
          <w:szCs w:val="22"/>
        </w:rPr>
      </w:pPr>
      <w:r w:rsidRPr="00253E69">
        <w:rPr>
          <w:rFonts w:ascii="Arial" w:hAnsi="Arial" w:cs="Arial"/>
          <w:sz w:val="22"/>
          <w:szCs w:val="22"/>
        </w:rPr>
        <w:t xml:space="preserve">Edwards et al. (2021b) identified further operational barriers, including disagreement over streaming criteria, inconsistent triage </w:t>
      </w:r>
      <w:r w:rsidR="00FB4BF9" w:rsidRPr="00253E69">
        <w:rPr>
          <w:rFonts w:ascii="Arial" w:hAnsi="Arial" w:cs="Arial"/>
          <w:sz w:val="22"/>
          <w:szCs w:val="22"/>
        </w:rPr>
        <w:t>decisions,</w:t>
      </w:r>
      <w:r w:rsidRPr="00253E69">
        <w:rPr>
          <w:rFonts w:ascii="Arial" w:hAnsi="Arial" w:cs="Arial"/>
          <w:sz w:val="22"/>
          <w:szCs w:val="22"/>
        </w:rPr>
        <w:t xml:space="preserve"> and uncertainty about responsibility for patients who did not fit clearly within primary or emergency care. Edwards et al. (2021a) similarly found substantial variation in how GPED services were organised across UK emergency departments, limiting consistency in their effectiveness. Anderson et al. (2021) reported uncertainty in streaming decisions, particularly for complex or atypical presentations. Brainard et al. (2025) found modest improvements in waiting times through a GP-at-Door model. Still, they suggested that patients with mental health needs, language barriers and complex social circumstances benefited less.</w:t>
      </w:r>
    </w:p>
    <w:p w14:paraId="7E3AA9BE" w14:textId="77777777" w:rsidR="00253E69" w:rsidRPr="00253E69" w:rsidRDefault="00253E69" w:rsidP="00253E69">
      <w:pPr>
        <w:spacing w:line="360" w:lineRule="auto"/>
        <w:jc w:val="both"/>
        <w:rPr>
          <w:rFonts w:ascii="Arial" w:hAnsi="Arial" w:cs="Arial"/>
          <w:sz w:val="22"/>
          <w:szCs w:val="22"/>
        </w:rPr>
      </w:pPr>
      <w:r w:rsidRPr="00253E69">
        <w:rPr>
          <w:rFonts w:ascii="Arial" w:hAnsi="Arial" w:cs="Arial"/>
          <w:sz w:val="22"/>
          <w:szCs w:val="22"/>
        </w:rPr>
        <w:t>Evidence at population level was similarly cautious. Jamieson et al. (2025) found that greater GP availability was associated with lower avoidable ED attendance, but the effect was smaller than policy assumptions might suggest. Parkinson et al. (2021) found only marginal reductions in avoidable ED attendance associated with improvements in GP access.</w:t>
      </w:r>
    </w:p>
    <w:p w14:paraId="0088A9FA" w14:textId="3AFE7718" w:rsidR="00EC327F" w:rsidRDefault="00253E69" w:rsidP="00253E69">
      <w:pPr>
        <w:spacing w:line="360" w:lineRule="auto"/>
        <w:jc w:val="both"/>
        <w:rPr>
          <w:rFonts w:ascii="Arial" w:hAnsi="Arial" w:cs="Arial"/>
          <w:sz w:val="22"/>
          <w:szCs w:val="22"/>
        </w:rPr>
      </w:pPr>
      <w:r w:rsidRPr="00253E69">
        <w:rPr>
          <w:rFonts w:ascii="Arial" w:hAnsi="Arial" w:cs="Arial"/>
          <w:sz w:val="22"/>
          <w:szCs w:val="22"/>
        </w:rPr>
        <w:t xml:space="preserve">Overall, the evidence suggests that interventions focused primarily on redirecting patients or increasing availability may have limited effects on inequalities unless </w:t>
      </w:r>
      <w:r w:rsidR="00D41EC5" w:rsidRPr="00253E69">
        <w:rPr>
          <w:rFonts w:ascii="Arial" w:hAnsi="Arial" w:cs="Arial"/>
          <w:sz w:val="22"/>
          <w:szCs w:val="22"/>
        </w:rPr>
        <w:t>they address</w:t>
      </w:r>
      <w:r w:rsidRPr="00253E69">
        <w:rPr>
          <w:rFonts w:ascii="Arial" w:hAnsi="Arial" w:cs="Arial"/>
          <w:sz w:val="22"/>
          <w:szCs w:val="22"/>
        </w:rPr>
        <w:t xml:space="preserve"> the structural, </w:t>
      </w:r>
      <w:r w:rsidR="00FB4BF9" w:rsidRPr="00253E69">
        <w:rPr>
          <w:rFonts w:ascii="Arial" w:hAnsi="Arial" w:cs="Arial"/>
          <w:sz w:val="22"/>
          <w:szCs w:val="22"/>
        </w:rPr>
        <w:t>social,</w:t>
      </w:r>
      <w:r w:rsidRPr="00253E69">
        <w:rPr>
          <w:rFonts w:ascii="Arial" w:hAnsi="Arial" w:cs="Arial"/>
          <w:sz w:val="22"/>
          <w:szCs w:val="22"/>
        </w:rPr>
        <w:t xml:space="preserve"> and experiential barriers shaping access for deprived populations.</w:t>
      </w:r>
    </w:p>
    <w:p w14:paraId="504062F1" w14:textId="77777777" w:rsidR="007076DD" w:rsidRPr="00EB5B20" w:rsidRDefault="007076DD" w:rsidP="00173BDC">
      <w:pPr>
        <w:spacing w:line="360" w:lineRule="auto"/>
        <w:jc w:val="both"/>
        <w:rPr>
          <w:rFonts w:ascii="Arial" w:hAnsi="Arial" w:cs="Arial"/>
        </w:rPr>
      </w:pPr>
    </w:p>
    <w:p w14:paraId="354C6BB0" w14:textId="2381E747" w:rsidR="00EB5B20" w:rsidRDefault="00EB5B20" w:rsidP="00EB5B20">
      <w:pPr>
        <w:spacing w:line="360" w:lineRule="auto"/>
        <w:jc w:val="both"/>
        <w:rPr>
          <w:rFonts w:ascii="Arial" w:hAnsi="Arial" w:cs="Arial"/>
          <w:b/>
          <w:bCs/>
        </w:rPr>
      </w:pPr>
      <w:r w:rsidRPr="00EB5B20">
        <w:rPr>
          <w:rFonts w:ascii="Arial" w:hAnsi="Arial" w:cs="Arial"/>
          <w:b/>
          <w:bCs/>
        </w:rPr>
        <w:t>4.</w:t>
      </w:r>
      <w:r w:rsidR="00F23613">
        <w:rPr>
          <w:rFonts w:ascii="Arial" w:hAnsi="Arial" w:cs="Arial"/>
          <w:b/>
          <w:bCs/>
        </w:rPr>
        <w:t>7</w:t>
      </w:r>
      <w:r w:rsidRPr="00EB5B20">
        <w:rPr>
          <w:rFonts w:ascii="Arial" w:hAnsi="Arial" w:cs="Arial"/>
          <w:b/>
          <w:bCs/>
        </w:rPr>
        <w:t xml:space="preserve"> Theme Four: Compounding and Intersecting Disadvantage</w:t>
      </w:r>
    </w:p>
    <w:p w14:paraId="74741105" w14:textId="2086C5BB" w:rsidR="00830BE7" w:rsidRPr="00830BE7" w:rsidRDefault="00830BE7" w:rsidP="00830BE7">
      <w:pPr>
        <w:spacing w:line="360" w:lineRule="auto"/>
        <w:jc w:val="both"/>
        <w:rPr>
          <w:rFonts w:ascii="Arial" w:hAnsi="Arial" w:cs="Arial"/>
          <w:sz w:val="22"/>
          <w:szCs w:val="22"/>
        </w:rPr>
      </w:pPr>
      <w:r w:rsidRPr="00830BE7">
        <w:rPr>
          <w:rFonts w:ascii="Arial" w:hAnsi="Arial" w:cs="Arial"/>
          <w:sz w:val="22"/>
          <w:szCs w:val="22"/>
        </w:rPr>
        <w:t xml:space="preserve">The fourth theme, identified across nine of the fourteen included studies, shows that elevated emergency department (ED) utilisation in socioeconomically deprived communities is driven not by a single access barrier but by the interaction of multiple disadvantages. These include socioeconomic deprivation, multimorbidity, long-term conditions, social isolation, digital exclusion, language </w:t>
      </w:r>
      <w:r w:rsidR="00FB4BF9" w:rsidRPr="00830BE7">
        <w:rPr>
          <w:rFonts w:ascii="Arial" w:hAnsi="Arial" w:cs="Arial"/>
          <w:sz w:val="22"/>
          <w:szCs w:val="22"/>
        </w:rPr>
        <w:t>barriers,</w:t>
      </w:r>
      <w:r w:rsidRPr="00830BE7">
        <w:rPr>
          <w:rFonts w:ascii="Arial" w:hAnsi="Arial" w:cs="Arial"/>
          <w:sz w:val="22"/>
          <w:szCs w:val="22"/>
        </w:rPr>
        <w:t xml:space="preserve"> and geographic distance. The findings highlight the limitations of single-dimensional interventions and the difficulty of meeting the needs of patients experiencing cumulative disadvantage.</w:t>
      </w:r>
    </w:p>
    <w:p w14:paraId="48CA6419" w14:textId="77777777" w:rsidR="00830BE7" w:rsidRPr="00830BE7" w:rsidRDefault="00830BE7" w:rsidP="00830BE7">
      <w:pPr>
        <w:spacing w:line="360" w:lineRule="auto"/>
        <w:jc w:val="both"/>
        <w:rPr>
          <w:rFonts w:ascii="Arial" w:hAnsi="Arial" w:cs="Arial"/>
          <w:sz w:val="22"/>
          <w:szCs w:val="22"/>
        </w:rPr>
      </w:pPr>
      <w:r w:rsidRPr="00830BE7">
        <w:rPr>
          <w:rFonts w:ascii="Arial" w:hAnsi="Arial" w:cs="Arial"/>
          <w:sz w:val="22"/>
          <w:szCs w:val="22"/>
        </w:rPr>
        <w:t>Jacob et al. (2024) found substantial variation in ED attendance across UK local areas that could not be fully explained by deprivation alone. Even after adjusting for deprivation, significant differences remained, suggesting that local factors such as service configuration, transport and social infrastructure interact with socioeconomic circumstances to shape emergency care use. This indicates that deprivation cannot be treated as a single, uniform determinant of healthcare-seeking behaviour.</w:t>
      </w:r>
    </w:p>
    <w:p w14:paraId="145BD8BB" w14:textId="77777777" w:rsidR="00830BE7" w:rsidRPr="00830BE7" w:rsidRDefault="00830BE7" w:rsidP="00830BE7">
      <w:pPr>
        <w:spacing w:line="360" w:lineRule="auto"/>
        <w:jc w:val="both"/>
        <w:rPr>
          <w:rFonts w:ascii="Arial" w:hAnsi="Arial" w:cs="Arial"/>
          <w:sz w:val="22"/>
          <w:szCs w:val="22"/>
        </w:rPr>
      </w:pPr>
      <w:r w:rsidRPr="00830BE7">
        <w:rPr>
          <w:rFonts w:ascii="Arial" w:hAnsi="Arial" w:cs="Arial"/>
          <w:sz w:val="22"/>
          <w:szCs w:val="22"/>
        </w:rPr>
        <w:lastRenderedPageBreak/>
        <w:t>Maynou et al. (2023) similarly demonstrated the interaction between deprivation, age and multimorbidity. Among older patients attending UK EDs, those from more deprived areas experienced longer waits, higher rates of unplanned admission and greater 72-hour reattendance. These findings suggest that complex clinical and social needs may remain insufficiently addressed within a single episode of emergency care, increasing the risk of further attendance.</w:t>
      </w:r>
    </w:p>
    <w:p w14:paraId="773FF752" w14:textId="6BF27DB0" w:rsidR="00830BE7" w:rsidRPr="00830BE7" w:rsidRDefault="00830BE7" w:rsidP="00830BE7">
      <w:pPr>
        <w:spacing w:line="360" w:lineRule="auto"/>
        <w:jc w:val="both"/>
        <w:rPr>
          <w:rFonts w:ascii="Arial" w:hAnsi="Arial" w:cs="Arial"/>
          <w:sz w:val="22"/>
          <w:szCs w:val="22"/>
        </w:rPr>
      </w:pPr>
      <w:r w:rsidRPr="00830BE7">
        <w:rPr>
          <w:rFonts w:ascii="Arial" w:hAnsi="Arial" w:cs="Arial"/>
          <w:sz w:val="22"/>
          <w:szCs w:val="22"/>
        </w:rPr>
        <w:t xml:space="preserve">O’Cathain et al. (2020) identified patients whose ED attendance was associated with social crisis, housing instability, mental health </w:t>
      </w:r>
      <w:r w:rsidR="00FB4BF9" w:rsidRPr="00830BE7">
        <w:rPr>
          <w:rFonts w:ascii="Arial" w:hAnsi="Arial" w:cs="Arial"/>
          <w:sz w:val="22"/>
          <w:szCs w:val="22"/>
        </w:rPr>
        <w:t>difficulties,</w:t>
      </w:r>
      <w:r w:rsidRPr="00830BE7">
        <w:rPr>
          <w:rFonts w:ascii="Arial" w:hAnsi="Arial" w:cs="Arial"/>
          <w:sz w:val="22"/>
          <w:szCs w:val="22"/>
        </w:rPr>
        <w:t xml:space="preserve"> or limited social support rather than clinical need alone. </w:t>
      </w:r>
      <w:r w:rsidR="00A75E39">
        <w:rPr>
          <w:rFonts w:ascii="Arial" w:hAnsi="Arial" w:cs="Arial"/>
          <w:sz w:val="22"/>
          <w:szCs w:val="22"/>
        </w:rPr>
        <w:t>T</w:t>
      </w:r>
      <w:r w:rsidRPr="00830BE7">
        <w:rPr>
          <w:rFonts w:ascii="Arial" w:hAnsi="Arial" w:cs="Arial"/>
          <w:sz w:val="22"/>
          <w:szCs w:val="22"/>
        </w:rPr>
        <w:t xml:space="preserve">he ED functioned as a substitute for wider social support, providing a guaranteed point of human contact when other forms of assistance were unavailable. This suggests </w:t>
      </w:r>
      <w:r w:rsidR="002E6272" w:rsidRPr="00830BE7">
        <w:rPr>
          <w:rFonts w:ascii="Arial" w:hAnsi="Arial" w:cs="Arial"/>
          <w:sz w:val="22"/>
          <w:szCs w:val="22"/>
        </w:rPr>
        <w:t>that emergency</w:t>
      </w:r>
      <w:r w:rsidRPr="00830BE7">
        <w:rPr>
          <w:rFonts w:ascii="Arial" w:hAnsi="Arial" w:cs="Arial"/>
          <w:sz w:val="22"/>
          <w:szCs w:val="22"/>
        </w:rPr>
        <w:t xml:space="preserve"> attendance is shaped by social determinants that primary care alone may not be able to resolve.</w:t>
      </w:r>
    </w:p>
    <w:p w14:paraId="1943D407" w14:textId="77777777" w:rsidR="00111ED8" w:rsidRDefault="00830BE7" w:rsidP="00830BE7">
      <w:pPr>
        <w:spacing w:line="360" w:lineRule="auto"/>
        <w:jc w:val="both"/>
        <w:rPr>
          <w:rFonts w:ascii="Arial" w:hAnsi="Arial" w:cs="Arial"/>
          <w:sz w:val="22"/>
          <w:szCs w:val="22"/>
        </w:rPr>
      </w:pPr>
      <w:r w:rsidRPr="00830BE7">
        <w:rPr>
          <w:rFonts w:ascii="Arial" w:hAnsi="Arial" w:cs="Arial"/>
          <w:sz w:val="22"/>
          <w:szCs w:val="22"/>
        </w:rPr>
        <w:t>Digital exclusion further compounded these barriers. Davies et al. (2024) reported that patients unable to use online triage or appointment systems could effectively lose access to primary care as services became increasingly digital. Price et al. (2022) similarly described patients who were unable to complete online processes and subsequently attended EDs as a more accessible alternative.</w:t>
      </w:r>
    </w:p>
    <w:p w14:paraId="0B62764C" w14:textId="32376136" w:rsidR="00111ED8" w:rsidRDefault="00830BE7" w:rsidP="00830BE7">
      <w:pPr>
        <w:spacing w:line="360" w:lineRule="auto"/>
        <w:jc w:val="both"/>
        <w:rPr>
          <w:rFonts w:ascii="Arial" w:hAnsi="Arial" w:cs="Arial"/>
          <w:sz w:val="22"/>
          <w:szCs w:val="22"/>
        </w:rPr>
      </w:pPr>
      <w:r w:rsidRPr="00830BE7">
        <w:rPr>
          <w:rFonts w:ascii="Arial" w:hAnsi="Arial" w:cs="Arial"/>
          <w:sz w:val="22"/>
          <w:szCs w:val="22"/>
        </w:rPr>
        <w:t xml:space="preserve">O’Keeffe et al. (2018) identified GP non-registration as an independent predictor of non-urgent ED attendance, particularly among patients experiencing multiple forms of disadvantage. Across the evidence, deprivation therefore intersects with clinical, </w:t>
      </w:r>
      <w:r w:rsidR="00FB4BF9" w:rsidRPr="00830BE7">
        <w:rPr>
          <w:rFonts w:ascii="Arial" w:hAnsi="Arial" w:cs="Arial"/>
          <w:sz w:val="22"/>
          <w:szCs w:val="22"/>
        </w:rPr>
        <w:t>social,</w:t>
      </w:r>
      <w:r w:rsidRPr="00830BE7">
        <w:rPr>
          <w:rFonts w:ascii="Arial" w:hAnsi="Arial" w:cs="Arial"/>
          <w:sz w:val="22"/>
          <w:szCs w:val="22"/>
        </w:rPr>
        <w:t xml:space="preserve"> and digital barriers rather than operating in isolation. The findings suggest that interventions addressing only one barrier are unlikely to reduce inequalities where patients </w:t>
      </w:r>
      <w:r w:rsidR="002E6272" w:rsidRPr="00830BE7">
        <w:rPr>
          <w:rFonts w:ascii="Arial" w:hAnsi="Arial" w:cs="Arial"/>
          <w:sz w:val="22"/>
          <w:szCs w:val="22"/>
        </w:rPr>
        <w:t>experience overlapping</w:t>
      </w:r>
      <w:r w:rsidRPr="00830BE7">
        <w:rPr>
          <w:rFonts w:ascii="Arial" w:hAnsi="Arial" w:cs="Arial"/>
          <w:sz w:val="22"/>
          <w:szCs w:val="22"/>
        </w:rPr>
        <w:t xml:space="preserve"> forms of exclusion.</w:t>
      </w:r>
    </w:p>
    <w:p w14:paraId="6CC674D9" w14:textId="77777777" w:rsidR="007076DD" w:rsidRDefault="007076DD" w:rsidP="00830BE7">
      <w:pPr>
        <w:spacing w:line="360" w:lineRule="auto"/>
        <w:jc w:val="both"/>
        <w:rPr>
          <w:rFonts w:ascii="Arial" w:hAnsi="Arial" w:cs="Arial"/>
          <w:sz w:val="22"/>
          <w:szCs w:val="22"/>
        </w:rPr>
      </w:pPr>
    </w:p>
    <w:p w14:paraId="78AA8B9D" w14:textId="0F15B3ED" w:rsidR="006E29D8" w:rsidRPr="006E29D8" w:rsidRDefault="006E29D8" w:rsidP="006E29D8">
      <w:pPr>
        <w:spacing w:line="360" w:lineRule="auto"/>
        <w:jc w:val="both"/>
        <w:rPr>
          <w:rFonts w:ascii="Arial" w:hAnsi="Arial" w:cs="Arial"/>
          <w:b/>
          <w:bCs/>
        </w:rPr>
      </w:pPr>
      <w:r w:rsidRPr="006E29D8">
        <w:rPr>
          <w:rFonts w:ascii="Arial" w:hAnsi="Arial" w:cs="Arial"/>
          <w:b/>
          <w:bCs/>
        </w:rPr>
        <w:t>4.</w:t>
      </w:r>
      <w:r w:rsidR="00F23613">
        <w:rPr>
          <w:rFonts w:ascii="Arial" w:hAnsi="Arial" w:cs="Arial"/>
          <w:b/>
          <w:bCs/>
        </w:rPr>
        <w:t>8</w:t>
      </w:r>
      <w:r w:rsidRPr="006E29D8">
        <w:rPr>
          <w:rFonts w:ascii="Arial" w:hAnsi="Arial" w:cs="Arial"/>
          <w:b/>
          <w:bCs/>
        </w:rPr>
        <w:t xml:space="preserve"> Summary of Findings</w:t>
      </w:r>
    </w:p>
    <w:p w14:paraId="1F4194AC" w14:textId="46515063" w:rsidR="002071DC" w:rsidRDefault="008428A4" w:rsidP="00173BDC">
      <w:pPr>
        <w:spacing w:line="360" w:lineRule="auto"/>
        <w:jc w:val="both"/>
        <w:rPr>
          <w:rFonts w:ascii="Arial" w:hAnsi="Arial" w:cs="Arial"/>
          <w:sz w:val="22"/>
          <w:szCs w:val="22"/>
        </w:rPr>
      </w:pPr>
      <w:r w:rsidRPr="008428A4">
        <w:rPr>
          <w:rFonts w:ascii="Arial" w:hAnsi="Arial" w:cs="Arial"/>
          <w:sz w:val="22"/>
          <w:szCs w:val="22"/>
        </w:rPr>
        <w:t xml:space="preserve">The qualitative systematic review generated four robust and analytically distinct themes. Theme One demonstrates that structural exclusion from primary care, operating through inadequate GP supply, the inequitable effects of digital-first access transformation, and the co-occurrence of high need and constrained capacity in deprived areas, is experienced by deprived patients as the routine, expected texture of healthcare navigation, rather than as an exceptional or episodic barrier. Theme Two establishes that emergency department attendance by deprived populations is consistently evidenced, across patient accounts, pathway analyses, and econometric modelling, as a purposeful and contextually rational response to sustained primary care access failure, not as inappropriate service use or a manifestation of poor health literacy. Theme Three documents that evaluated policy interventions, including GP-in-ED co-location, GP streaming services, and primary care quality improvement at population level, have consistently failed to produce equitable or meaningful reductions in emergency department attendance for the most </w:t>
      </w:r>
      <w:r w:rsidRPr="008428A4">
        <w:rPr>
          <w:rFonts w:ascii="Arial" w:hAnsi="Arial" w:cs="Arial"/>
          <w:sz w:val="22"/>
          <w:szCs w:val="22"/>
        </w:rPr>
        <w:lastRenderedPageBreak/>
        <w:t>deprived populations, with patients of greatest complexity and social need remaining systematically unreached. Theme Four reveals that access barriers and emergency care utilisation are produced not by single risk factors but by the compounding interaction of socioeconomic deprivation with multimorbidity, social isolation, digital exclusion, language barriers, GP non-registration, and social crisis, creating conditions that cannot be meaningfully addressed by any single-dimension policy response. These findings are discussed in relation to the theoretical frameworks established in Chapter Two and the existing literature in Chapter Five.</w:t>
      </w:r>
    </w:p>
    <w:p w14:paraId="12A2ECD9" w14:textId="182218E0" w:rsidR="002071DC" w:rsidRDefault="001C33E4" w:rsidP="00173BDC">
      <w:pPr>
        <w:spacing w:line="360" w:lineRule="auto"/>
        <w:jc w:val="both"/>
        <w:rPr>
          <w:rFonts w:ascii="Arial" w:hAnsi="Arial" w:cs="Arial"/>
          <w:sz w:val="22"/>
          <w:szCs w:val="22"/>
        </w:rPr>
      </w:pPr>
      <w:r>
        <w:rPr>
          <w:rFonts w:ascii="Arial" w:hAnsi="Arial" w:cs="Arial"/>
          <w:noProof/>
          <w:sz w:val="22"/>
          <w:szCs w:val="22"/>
        </w:rPr>
        <w:drawing>
          <wp:anchor distT="0" distB="0" distL="114300" distR="114300" simplePos="0" relativeHeight="251668498" behindDoc="0" locked="0" layoutInCell="1" allowOverlap="1" wp14:anchorId="65CEDBC7" wp14:editId="0D2275A8">
            <wp:simplePos x="0" y="0"/>
            <wp:positionH relativeFrom="column">
              <wp:posOffset>0</wp:posOffset>
            </wp:positionH>
            <wp:positionV relativeFrom="paragraph">
              <wp:posOffset>-2891790</wp:posOffset>
            </wp:positionV>
            <wp:extent cx="4076700" cy="6116955"/>
            <wp:effectExtent l="0" t="0" r="0" b="0"/>
            <wp:wrapSquare wrapText="bothSides"/>
            <wp:docPr id="85597248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972487" name="Picture 85597248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76700" cy="6116955"/>
                    </a:xfrm>
                    <a:prstGeom prst="rect">
                      <a:avLst/>
                    </a:prstGeom>
                  </pic:spPr>
                </pic:pic>
              </a:graphicData>
            </a:graphic>
            <wp14:sizeRelH relativeFrom="margin">
              <wp14:pctWidth>0</wp14:pctWidth>
            </wp14:sizeRelH>
            <wp14:sizeRelV relativeFrom="margin">
              <wp14:pctHeight>0</wp14:pctHeight>
            </wp14:sizeRelV>
          </wp:anchor>
        </w:drawing>
      </w:r>
    </w:p>
    <w:p w14:paraId="3E616AC8" w14:textId="77777777" w:rsidR="002071DC" w:rsidRDefault="002071DC" w:rsidP="00173BDC">
      <w:pPr>
        <w:spacing w:line="360" w:lineRule="auto"/>
        <w:jc w:val="both"/>
        <w:rPr>
          <w:rFonts w:ascii="Arial" w:hAnsi="Arial" w:cs="Arial"/>
          <w:sz w:val="22"/>
          <w:szCs w:val="22"/>
        </w:rPr>
      </w:pPr>
    </w:p>
    <w:p w14:paraId="4ED2A501" w14:textId="77777777" w:rsidR="002071DC" w:rsidRDefault="002071DC" w:rsidP="00173BDC">
      <w:pPr>
        <w:spacing w:line="360" w:lineRule="auto"/>
        <w:jc w:val="both"/>
        <w:rPr>
          <w:rFonts w:ascii="Arial" w:hAnsi="Arial" w:cs="Arial"/>
          <w:sz w:val="22"/>
          <w:szCs w:val="22"/>
        </w:rPr>
      </w:pPr>
    </w:p>
    <w:p w14:paraId="570B1D64" w14:textId="77777777" w:rsidR="0097255C" w:rsidRDefault="0097255C" w:rsidP="00173BDC">
      <w:pPr>
        <w:spacing w:line="360" w:lineRule="auto"/>
        <w:jc w:val="both"/>
        <w:rPr>
          <w:rFonts w:ascii="Arial" w:hAnsi="Arial" w:cs="Arial"/>
          <w:sz w:val="22"/>
          <w:szCs w:val="22"/>
        </w:rPr>
      </w:pPr>
    </w:p>
    <w:p w14:paraId="4641B8D8" w14:textId="77777777" w:rsidR="0097255C" w:rsidRDefault="0097255C" w:rsidP="00173BDC">
      <w:pPr>
        <w:spacing w:line="360" w:lineRule="auto"/>
        <w:jc w:val="both"/>
        <w:rPr>
          <w:rFonts w:ascii="Arial" w:hAnsi="Arial" w:cs="Arial"/>
          <w:sz w:val="22"/>
          <w:szCs w:val="22"/>
        </w:rPr>
      </w:pPr>
    </w:p>
    <w:p w14:paraId="26394488" w14:textId="77777777" w:rsidR="0097255C" w:rsidRDefault="0097255C" w:rsidP="00173BDC">
      <w:pPr>
        <w:spacing w:line="360" w:lineRule="auto"/>
        <w:jc w:val="both"/>
        <w:rPr>
          <w:rFonts w:ascii="Arial" w:hAnsi="Arial" w:cs="Arial"/>
          <w:sz w:val="22"/>
          <w:szCs w:val="22"/>
        </w:rPr>
      </w:pPr>
    </w:p>
    <w:p w14:paraId="65D3D215" w14:textId="77777777" w:rsidR="0097255C" w:rsidRDefault="0097255C" w:rsidP="00173BDC">
      <w:pPr>
        <w:spacing w:line="360" w:lineRule="auto"/>
        <w:jc w:val="both"/>
        <w:rPr>
          <w:rFonts w:ascii="Arial" w:hAnsi="Arial" w:cs="Arial"/>
          <w:sz w:val="22"/>
          <w:szCs w:val="22"/>
        </w:rPr>
      </w:pPr>
    </w:p>
    <w:p w14:paraId="4BE30B12" w14:textId="171237B7" w:rsidR="004C38FA" w:rsidRDefault="004C38FA" w:rsidP="00173BDC">
      <w:pPr>
        <w:spacing w:line="360" w:lineRule="auto"/>
        <w:jc w:val="both"/>
        <w:rPr>
          <w:rFonts w:ascii="Arial" w:hAnsi="Arial" w:cs="Arial"/>
          <w:noProof/>
          <w:sz w:val="22"/>
          <w:szCs w:val="22"/>
        </w:rPr>
      </w:pPr>
    </w:p>
    <w:p w14:paraId="4A2AE244" w14:textId="41DE9DE6" w:rsidR="005F6DF0" w:rsidRDefault="005F6DF0" w:rsidP="00797846">
      <w:pPr>
        <w:pStyle w:val="NoSpacing"/>
        <w:numPr>
          <w:ilvl w:val="0"/>
          <w:numId w:val="23"/>
        </w:numPr>
        <w:rPr>
          <w:rFonts w:ascii="Arial" w:hAnsi="Arial" w:cs="Arial"/>
          <w:b/>
          <w:bCs/>
          <w:sz w:val="28"/>
          <w:szCs w:val="28"/>
        </w:rPr>
      </w:pPr>
      <w:bookmarkStart w:id="7" w:name="_Toc240714306"/>
      <w:r w:rsidRPr="00F353A6">
        <w:rPr>
          <w:rFonts w:ascii="Arial" w:hAnsi="Arial" w:cs="Arial"/>
          <w:b/>
          <w:bCs/>
          <w:sz w:val="28"/>
          <w:szCs w:val="28"/>
        </w:rPr>
        <w:lastRenderedPageBreak/>
        <w:t>Discussion</w:t>
      </w:r>
      <w:bookmarkEnd w:id="7"/>
    </w:p>
    <w:p w14:paraId="5057582D" w14:textId="77777777" w:rsidR="00F353A6" w:rsidRPr="00F353A6" w:rsidRDefault="00F353A6" w:rsidP="00F353A6">
      <w:pPr>
        <w:pStyle w:val="NoSpacing"/>
        <w:ind w:left="440"/>
        <w:rPr>
          <w:rFonts w:ascii="Arial" w:hAnsi="Arial" w:cs="Arial"/>
          <w:b/>
          <w:bCs/>
          <w:sz w:val="28"/>
          <w:szCs w:val="28"/>
        </w:rPr>
      </w:pPr>
    </w:p>
    <w:p w14:paraId="6A37254A" w14:textId="0E3A8491" w:rsidR="005F6DF0" w:rsidRPr="005F6DF0" w:rsidRDefault="0042622E" w:rsidP="005F6DF0">
      <w:pPr>
        <w:spacing w:line="360" w:lineRule="auto"/>
        <w:jc w:val="both"/>
        <w:rPr>
          <w:rFonts w:ascii="Arial" w:hAnsi="Arial" w:cs="Arial"/>
        </w:rPr>
      </w:pPr>
      <w:r w:rsidRPr="005F6DF0">
        <w:rPr>
          <w:rFonts w:ascii="Arial" w:hAnsi="Arial" w:cs="Arial"/>
          <w:b/>
          <w:bCs/>
        </w:rPr>
        <w:t>5.1 Introduction</w:t>
      </w:r>
    </w:p>
    <w:p w14:paraId="2FC29E5F" w14:textId="7C231538" w:rsidR="007076DD" w:rsidRDefault="005C5BC1" w:rsidP="00173BDC">
      <w:pPr>
        <w:spacing w:line="360" w:lineRule="auto"/>
        <w:jc w:val="both"/>
        <w:rPr>
          <w:rFonts w:ascii="Arial" w:hAnsi="Arial" w:cs="Arial"/>
          <w:sz w:val="22"/>
          <w:szCs w:val="22"/>
        </w:rPr>
      </w:pPr>
      <w:r w:rsidRPr="005C5BC1">
        <w:rPr>
          <w:rFonts w:ascii="Arial" w:hAnsi="Arial" w:cs="Arial"/>
          <w:sz w:val="22"/>
          <w:szCs w:val="22"/>
        </w:rPr>
        <w:t>This chapter provides a critical interpretation of the four themes generated in Chapter Four, situating them within the theoretical frameworks: Hart's (1971) inverse care law, the social determinants of health (Marmot et al., 2020), and Andersen's (1995) behavioural model of healthcare utilisation, established in Chapter Two. The discussion does not summarise the findings; it interrogates them. For each theme, the analysis addresses what the evidence means theoretically, how it confirms, extends, or challenges existing frameworks, what alternative explanations must be considered, and what the findings demand of policy. The chapter concludes with a critical assessment of the limitations of this review and a set of policy implications derived directly from the evidence. Throughout, citations are drawn exclusively from the fourteen studies included in the systematic review, supplemented by the theoretical and methodological literature established in earlier chapters.</w:t>
      </w:r>
    </w:p>
    <w:p w14:paraId="306491F0" w14:textId="77777777" w:rsidR="005C5BC1" w:rsidRPr="003A39C0" w:rsidRDefault="005C5BC1" w:rsidP="00173BDC">
      <w:pPr>
        <w:spacing w:line="360" w:lineRule="auto"/>
        <w:jc w:val="both"/>
        <w:rPr>
          <w:rFonts w:ascii="Arial" w:hAnsi="Arial" w:cs="Arial"/>
          <w:b/>
          <w:bCs/>
        </w:rPr>
      </w:pPr>
    </w:p>
    <w:p w14:paraId="488E4826" w14:textId="1FF5FE90" w:rsidR="003A39C0" w:rsidRPr="003A39C0" w:rsidRDefault="0042622E" w:rsidP="003A39C0">
      <w:pPr>
        <w:spacing w:line="360" w:lineRule="auto"/>
        <w:jc w:val="both"/>
        <w:rPr>
          <w:rFonts w:ascii="Arial" w:hAnsi="Arial" w:cs="Arial"/>
          <w:b/>
          <w:bCs/>
        </w:rPr>
      </w:pPr>
      <w:r w:rsidRPr="003A39C0">
        <w:rPr>
          <w:rFonts w:ascii="Arial" w:hAnsi="Arial" w:cs="Arial"/>
          <w:b/>
          <w:bCs/>
        </w:rPr>
        <w:t xml:space="preserve">5.2 </w:t>
      </w:r>
      <w:r w:rsidR="00C67062" w:rsidRPr="00C67062">
        <w:rPr>
          <w:rFonts w:ascii="Arial" w:hAnsi="Arial" w:cs="Arial"/>
          <w:b/>
          <w:bCs/>
        </w:rPr>
        <w:t>The Inverse Care Law Reconstituted: From Geography to Digital Architecture</w:t>
      </w:r>
    </w:p>
    <w:p w14:paraId="1EA95CA0" w14:textId="77777777" w:rsidR="00C4067A" w:rsidRPr="00C4067A" w:rsidRDefault="00C4067A" w:rsidP="00C4067A">
      <w:pPr>
        <w:spacing w:line="360" w:lineRule="auto"/>
        <w:jc w:val="both"/>
        <w:rPr>
          <w:rFonts w:ascii="Arial" w:hAnsi="Arial" w:cs="Arial"/>
          <w:sz w:val="22"/>
          <w:szCs w:val="22"/>
        </w:rPr>
      </w:pPr>
      <w:r w:rsidRPr="00C4067A">
        <w:rPr>
          <w:rFonts w:ascii="Arial" w:hAnsi="Arial" w:cs="Arial"/>
          <w:sz w:val="22"/>
          <w:szCs w:val="22"/>
        </w:rPr>
        <w:t>The first theme, that deprived patients experience primary care as a system structurally organised in ways that disadvantage them, extends Hart’s (1971) inverse care law beyond its original geographical formulation. Hart described a mismatch between healthcare provision and need, with greater resources available where need was lower. More than fifty years later, this structural logic remains evident but has been reshaped through the organisational and digital architecture of contemporary healthcare.</w:t>
      </w:r>
    </w:p>
    <w:p w14:paraId="2DB5C4D2" w14:textId="19EBFB5D" w:rsidR="00C4067A" w:rsidRPr="00C4067A" w:rsidRDefault="00C4067A" w:rsidP="00C4067A">
      <w:pPr>
        <w:spacing w:line="360" w:lineRule="auto"/>
        <w:jc w:val="both"/>
        <w:rPr>
          <w:rFonts w:ascii="Arial" w:hAnsi="Arial" w:cs="Arial"/>
          <w:sz w:val="22"/>
          <w:szCs w:val="22"/>
        </w:rPr>
      </w:pPr>
      <w:r w:rsidRPr="00C4067A">
        <w:rPr>
          <w:rFonts w:ascii="Arial" w:hAnsi="Arial" w:cs="Arial"/>
          <w:sz w:val="22"/>
          <w:szCs w:val="22"/>
        </w:rPr>
        <w:t xml:space="preserve">Jacob et al. (2024) found that the most deprived </w:t>
      </w:r>
      <w:r w:rsidR="003E632C">
        <w:rPr>
          <w:rFonts w:ascii="Arial" w:hAnsi="Arial" w:cs="Arial"/>
          <w:sz w:val="22"/>
          <w:szCs w:val="22"/>
        </w:rPr>
        <w:t>UK</w:t>
      </w:r>
      <w:r w:rsidRPr="00C4067A">
        <w:rPr>
          <w:rFonts w:ascii="Arial" w:hAnsi="Arial" w:cs="Arial"/>
          <w:sz w:val="22"/>
          <w:szCs w:val="22"/>
        </w:rPr>
        <w:t xml:space="preserve"> areas experienced both the highest ED attendance and the lowest primary care capacity relative to need. Their description of an ED system operating ‘under unequal pressure’ (Jacob et al., 2024, p. 2) illustrates how unequal resource distribution continues to reflect the central logic of the inverse care law. Jamieson et al. (2025) further found that lower GP availability was significantly associated with higher rates of avoidable ED attendance, with the strongest association in the most deprived areas. Together, these findings indicate that deprivation and limited primary care supply interact to shape emergency care demand.</w:t>
      </w:r>
    </w:p>
    <w:p w14:paraId="5BBD5FF5" w14:textId="333D50A5" w:rsidR="00C4067A" w:rsidRPr="00C4067A" w:rsidRDefault="00C4067A" w:rsidP="00C4067A">
      <w:pPr>
        <w:spacing w:line="360" w:lineRule="auto"/>
        <w:jc w:val="both"/>
        <w:rPr>
          <w:rFonts w:ascii="Arial" w:hAnsi="Arial" w:cs="Arial"/>
          <w:sz w:val="22"/>
          <w:szCs w:val="22"/>
        </w:rPr>
      </w:pPr>
      <w:r w:rsidRPr="00C4067A">
        <w:rPr>
          <w:rFonts w:ascii="Arial" w:hAnsi="Arial" w:cs="Arial"/>
          <w:sz w:val="22"/>
          <w:szCs w:val="22"/>
        </w:rPr>
        <w:t xml:space="preserve">Davies et al. (2024) extend this interpretation by identifying digital-first access as an emerging form of structural exclusion. Patients unable to complete online triage or booking processes may not appear in primary care data as experiencing failed </w:t>
      </w:r>
      <w:r w:rsidR="009F7FDA" w:rsidRPr="00C4067A">
        <w:rPr>
          <w:rFonts w:ascii="Arial" w:hAnsi="Arial" w:cs="Arial"/>
          <w:sz w:val="22"/>
          <w:szCs w:val="22"/>
        </w:rPr>
        <w:t>access but</w:t>
      </w:r>
      <w:r w:rsidRPr="00C4067A">
        <w:rPr>
          <w:rFonts w:ascii="Arial" w:hAnsi="Arial" w:cs="Arial"/>
          <w:sz w:val="22"/>
          <w:szCs w:val="22"/>
        </w:rPr>
        <w:t xml:space="preserve"> may instead become visible </w:t>
      </w:r>
      <w:r w:rsidRPr="00C4067A">
        <w:rPr>
          <w:rFonts w:ascii="Arial" w:hAnsi="Arial" w:cs="Arial"/>
          <w:sz w:val="22"/>
          <w:szCs w:val="22"/>
        </w:rPr>
        <w:lastRenderedPageBreak/>
        <w:t>through ED attendance. Digital transformation may therefore change both how exclusion is experienced and how it is recorded.</w:t>
      </w:r>
    </w:p>
    <w:p w14:paraId="11F079A8" w14:textId="77777777" w:rsidR="00C4067A" w:rsidRPr="00C4067A" w:rsidRDefault="00C4067A" w:rsidP="00C4067A">
      <w:pPr>
        <w:spacing w:line="360" w:lineRule="auto"/>
        <w:jc w:val="both"/>
        <w:rPr>
          <w:rFonts w:ascii="Arial" w:hAnsi="Arial" w:cs="Arial"/>
          <w:sz w:val="22"/>
          <w:szCs w:val="22"/>
        </w:rPr>
      </w:pPr>
      <w:r w:rsidRPr="00C4067A">
        <w:rPr>
          <w:rFonts w:ascii="Arial" w:hAnsi="Arial" w:cs="Arial"/>
          <w:sz w:val="22"/>
          <w:szCs w:val="22"/>
        </w:rPr>
        <w:t>Hull et al. (2018) provide complementary patient-level evidence, finding that socioeconomic deprivation remained independently associated with ED attendance after adjustment for clinical need, multimorbidity and demographic characteristics. This suggests that differences in health status alone do not fully account for higher ED utilisation among deprived populations.</w:t>
      </w:r>
    </w:p>
    <w:p w14:paraId="0020CD0E" w14:textId="6B2A2583" w:rsidR="00C4067A" w:rsidRPr="00C4067A" w:rsidRDefault="00C4067A" w:rsidP="00C4067A">
      <w:pPr>
        <w:spacing w:line="360" w:lineRule="auto"/>
        <w:jc w:val="both"/>
        <w:rPr>
          <w:rFonts w:ascii="Arial" w:hAnsi="Arial" w:cs="Arial"/>
          <w:sz w:val="22"/>
          <w:szCs w:val="22"/>
        </w:rPr>
      </w:pPr>
      <w:r w:rsidRPr="00C4067A">
        <w:rPr>
          <w:rFonts w:ascii="Arial" w:hAnsi="Arial" w:cs="Arial"/>
          <w:sz w:val="22"/>
          <w:szCs w:val="22"/>
        </w:rPr>
        <w:t xml:space="preserve">However, demand-side explanations should also be acknowledged. Differences in health-seeking behaviour, attitudes towards primary care and thresholds for seeking emergency treatment may contribute to observed patterns. Although Hull et al. (2018) reduced this possibility through adjustment for relevant factors, the available evidence cannot </w:t>
      </w:r>
      <w:r w:rsidR="00647BA2" w:rsidRPr="00C4067A">
        <w:rPr>
          <w:rFonts w:ascii="Arial" w:hAnsi="Arial" w:cs="Arial"/>
          <w:sz w:val="22"/>
          <w:szCs w:val="22"/>
        </w:rPr>
        <w:t>separate</w:t>
      </w:r>
      <w:r w:rsidRPr="00C4067A">
        <w:rPr>
          <w:rFonts w:ascii="Arial" w:hAnsi="Arial" w:cs="Arial"/>
          <w:sz w:val="22"/>
          <w:szCs w:val="22"/>
        </w:rPr>
        <w:t xml:space="preserve"> structural barriers from individual decision-making.</w:t>
      </w:r>
    </w:p>
    <w:p w14:paraId="3FC80686" w14:textId="5284D703" w:rsidR="008E16EC" w:rsidRDefault="00C4067A" w:rsidP="00C4067A">
      <w:pPr>
        <w:spacing w:line="360" w:lineRule="auto"/>
        <w:jc w:val="both"/>
        <w:rPr>
          <w:rFonts w:ascii="Arial" w:hAnsi="Arial" w:cs="Arial"/>
          <w:sz w:val="22"/>
          <w:szCs w:val="22"/>
        </w:rPr>
      </w:pPr>
      <w:r w:rsidRPr="00C4067A">
        <w:rPr>
          <w:rFonts w:ascii="Arial" w:hAnsi="Arial" w:cs="Arial"/>
          <w:sz w:val="22"/>
          <w:szCs w:val="22"/>
        </w:rPr>
        <w:t xml:space="preserve">Overall, the findings support an interpretation of the inverse care law as an enduring structural mechanism operating through resource distribution, service </w:t>
      </w:r>
      <w:r w:rsidR="00FB4BF9" w:rsidRPr="00C4067A">
        <w:rPr>
          <w:rFonts w:ascii="Arial" w:hAnsi="Arial" w:cs="Arial"/>
          <w:sz w:val="22"/>
          <w:szCs w:val="22"/>
        </w:rPr>
        <w:t>organisation,</w:t>
      </w:r>
      <w:r w:rsidRPr="00C4067A">
        <w:rPr>
          <w:rFonts w:ascii="Arial" w:hAnsi="Arial" w:cs="Arial"/>
          <w:sz w:val="22"/>
          <w:szCs w:val="22"/>
        </w:rPr>
        <w:t xml:space="preserve"> and digital access. However, the review cannot establish that these factors independently cause ED attendance in every case. Rather, they interact with socioeconomic circumstances to shape unequal access and patterns of emergency care utilisation.</w:t>
      </w:r>
    </w:p>
    <w:p w14:paraId="2AA834F1" w14:textId="77777777" w:rsidR="003E7FD8" w:rsidRDefault="003E7FD8" w:rsidP="008E16EC">
      <w:pPr>
        <w:spacing w:line="360" w:lineRule="auto"/>
        <w:jc w:val="both"/>
        <w:rPr>
          <w:rFonts w:ascii="Arial" w:hAnsi="Arial" w:cs="Arial"/>
          <w:sz w:val="22"/>
          <w:szCs w:val="22"/>
        </w:rPr>
      </w:pPr>
    </w:p>
    <w:p w14:paraId="4FDA59EB" w14:textId="69CDB1F6" w:rsidR="007C2B27" w:rsidRPr="007C2B27" w:rsidRDefault="0042622E" w:rsidP="00797846">
      <w:pPr>
        <w:pStyle w:val="ListParagraph"/>
        <w:numPr>
          <w:ilvl w:val="1"/>
          <w:numId w:val="23"/>
        </w:numPr>
        <w:spacing w:line="360" w:lineRule="auto"/>
        <w:jc w:val="both"/>
        <w:rPr>
          <w:rFonts w:ascii="Arial" w:hAnsi="Arial" w:cs="Arial"/>
          <w:b/>
          <w:bCs/>
        </w:rPr>
      </w:pPr>
      <w:r w:rsidRPr="007C2B27">
        <w:rPr>
          <w:rFonts w:ascii="Arial" w:hAnsi="Arial" w:cs="Arial"/>
          <w:b/>
          <w:bCs/>
        </w:rPr>
        <w:t>Rationalising</w:t>
      </w:r>
      <w:r w:rsidR="00665025" w:rsidRPr="007C2B27">
        <w:rPr>
          <w:rFonts w:ascii="Arial" w:hAnsi="Arial" w:cs="Arial"/>
          <w:b/>
          <w:bCs/>
        </w:rPr>
        <w:t xml:space="preserve"> Emergency Attendance: A Challenge to the 'Inappropriate Attender' Policy Frame</w:t>
      </w:r>
    </w:p>
    <w:p w14:paraId="5B144015" w14:textId="119132C9" w:rsidR="00FF2C45" w:rsidRPr="00FF2C45" w:rsidRDefault="00FF2C45" w:rsidP="00FF2C45">
      <w:pPr>
        <w:spacing w:line="360" w:lineRule="auto"/>
        <w:jc w:val="both"/>
        <w:rPr>
          <w:rFonts w:ascii="Arial" w:hAnsi="Arial" w:cs="Arial"/>
          <w:sz w:val="22"/>
          <w:szCs w:val="22"/>
        </w:rPr>
      </w:pPr>
      <w:r w:rsidRPr="00FF2C45">
        <w:rPr>
          <w:rFonts w:ascii="Arial" w:hAnsi="Arial" w:cs="Arial"/>
          <w:sz w:val="22"/>
          <w:szCs w:val="22"/>
        </w:rPr>
        <w:t xml:space="preserve">The second theme, that ED attendance among deprived populations may represent a rational response to primary-care access failure rather than inappropriate health-seeking behaviour, has important policy implications. The concept of the ‘inappropriate attender’ places responsibility primarily on patients and has informed interventions such as awareness campaigns, </w:t>
      </w:r>
      <w:r w:rsidR="00FB4BF9" w:rsidRPr="00FF2C45">
        <w:rPr>
          <w:rFonts w:ascii="Arial" w:hAnsi="Arial" w:cs="Arial"/>
          <w:sz w:val="22"/>
          <w:szCs w:val="22"/>
        </w:rPr>
        <w:t>redirection,</w:t>
      </w:r>
      <w:r w:rsidRPr="00FF2C45">
        <w:rPr>
          <w:rFonts w:ascii="Arial" w:hAnsi="Arial" w:cs="Arial"/>
          <w:sz w:val="22"/>
          <w:szCs w:val="22"/>
        </w:rPr>
        <w:t xml:space="preserve"> and co-located services. However, the evidence reviewed suggests that this framing may overlook the structural conditions shaping patient decisions.</w:t>
      </w:r>
    </w:p>
    <w:p w14:paraId="094A299A" w14:textId="77777777" w:rsidR="00FF2C45" w:rsidRPr="00FF2C45" w:rsidRDefault="00FF2C45" w:rsidP="00FF2C45">
      <w:pPr>
        <w:spacing w:line="360" w:lineRule="auto"/>
        <w:jc w:val="both"/>
        <w:rPr>
          <w:rFonts w:ascii="Arial" w:hAnsi="Arial" w:cs="Arial"/>
          <w:sz w:val="22"/>
          <w:szCs w:val="22"/>
        </w:rPr>
      </w:pPr>
      <w:r w:rsidRPr="00FF2C45">
        <w:rPr>
          <w:rFonts w:ascii="Arial" w:hAnsi="Arial" w:cs="Arial"/>
          <w:sz w:val="22"/>
          <w:szCs w:val="22"/>
        </w:rPr>
        <w:t>O’Cathain et al. (2020), through the DEUCE mixed-methods study, found that patients classified as potentially avoidable ED attenders often made deliberate decisions based on previous difficulties accessing timely GP care. Patients compared the uncertainty of obtaining primary care with the greater certainty of assessment in the ED. Calastri et al. (2025) provide quantitative support, finding that previous difficulty accessing primary care was strongly associated with patients considering their ED attendance unavoidable, even after accounting for clinical acuity. The convergence of qualitative and quantitative evidence strengthens the interpretation that perceived necessity is shaped by prior access experiences rather than clinical severity alone.</w:t>
      </w:r>
    </w:p>
    <w:p w14:paraId="6864E592" w14:textId="3E390855" w:rsidR="00FF2C45" w:rsidRPr="00FF2C45" w:rsidRDefault="00FF2C45" w:rsidP="00FF2C45">
      <w:pPr>
        <w:spacing w:line="360" w:lineRule="auto"/>
        <w:jc w:val="both"/>
        <w:rPr>
          <w:rFonts w:ascii="Arial" w:hAnsi="Arial" w:cs="Arial"/>
          <w:sz w:val="22"/>
          <w:szCs w:val="22"/>
        </w:rPr>
      </w:pPr>
      <w:r w:rsidRPr="00FF2C45">
        <w:rPr>
          <w:rFonts w:ascii="Arial" w:hAnsi="Arial" w:cs="Arial"/>
          <w:sz w:val="22"/>
          <w:szCs w:val="22"/>
        </w:rPr>
        <w:lastRenderedPageBreak/>
        <w:t xml:space="preserve">Price et al. (2022) further demonstrated that patients using EDs with co-located primary care services did not necessarily prefer emergency care. </w:t>
      </w:r>
      <w:r w:rsidR="002E6272" w:rsidRPr="00FF2C45">
        <w:rPr>
          <w:rFonts w:ascii="Arial" w:hAnsi="Arial" w:cs="Arial"/>
          <w:sz w:val="22"/>
          <w:szCs w:val="22"/>
        </w:rPr>
        <w:t>Instead, had</w:t>
      </w:r>
      <w:r w:rsidRPr="00FF2C45">
        <w:rPr>
          <w:rFonts w:ascii="Arial" w:hAnsi="Arial" w:cs="Arial"/>
          <w:sz w:val="22"/>
          <w:szCs w:val="22"/>
        </w:rPr>
        <w:t xml:space="preserve"> lost confidence that primary care would be available within a </w:t>
      </w:r>
      <w:r w:rsidR="004D22BD" w:rsidRPr="00FF2C45">
        <w:rPr>
          <w:rFonts w:ascii="Arial" w:hAnsi="Arial" w:cs="Arial"/>
          <w:sz w:val="22"/>
          <w:szCs w:val="22"/>
        </w:rPr>
        <w:t>time</w:t>
      </w:r>
      <w:r w:rsidRPr="00FF2C45">
        <w:rPr>
          <w:rFonts w:ascii="Arial" w:hAnsi="Arial" w:cs="Arial"/>
          <w:sz w:val="22"/>
          <w:szCs w:val="22"/>
        </w:rPr>
        <w:t xml:space="preserve"> appropriate to their needs. This suggests that ED attendance may represent rational adaptation to constrained choices rather than uninformed preference.</w:t>
      </w:r>
    </w:p>
    <w:p w14:paraId="6EC4DBFE" w14:textId="77777777" w:rsidR="00FF2C45" w:rsidRPr="00FF2C45" w:rsidRDefault="00FF2C45" w:rsidP="00FF2C45">
      <w:pPr>
        <w:spacing w:line="360" w:lineRule="auto"/>
        <w:jc w:val="both"/>
        <w:rPr>
          <w:rFonts w:ascii="Arial" w:hAnsi="Arial" w:cs="Arial"/>
          <w:sz w:val="22"/>
          <w:szCs w:val="22"/>
        </w:rPr>
      </w:pPr>
      <w:r w:rsidRPr="00FF2C45">
        <w:rPr>
          <w:rFonts w:ascii="Arial" w:hAnsi="Arial" w:cs="Arial"/>
          <w:sz w:val="22"/>
          <w:szCs w:val="22"/>
        </w:rPr>
        <w:t>Madia et al. (2025) similarly found higher rates of self-referral among patients from the most deprived areas, while O’Keeffe et al. (2018) identified lack of GP registration as an independent predictor of non-urgent ED attendance. Together, these findings indicate that emergency care use may reflect accumulated experiences of exclusion from primary care rather than simply individual decision-making. However, demand-side factors, including health-seeking preferences and perceptions of illness, cannot be completely excluded.</w:t>
      </w:r>
    </w:p>
    <w:p w14:paraId="0B156A45" w14:textId="426DC977" w:rsidR="009F273C" w:rsidRDefault="00FF2C45" w:rsidP="00FF2C45">
      <w:pPr>
        <w:spacing w:line="360" w:lineRule="auto"/>
        <w:jc w:val="both"/>
        <w:rPr>
          <w:rFonts w:ascii="Arial" w:hAnsi="Arial" w:cs="Arial"/>
          <w:sz w:val="22"/>
          <w:szCs w:val="22"/>
        </w:rPr>
      </w:pPr>
      <w:r w:rsidRPr="00FF2C45">
        <w:rPr>
          <w:rFonts w:ascii="Arial" w:hAnsi="Arial" w:cs="Arial"/>
          <w:sz w:val="22"/>
          <w:szCs w:val="22"/>
        </w:rPr>
        <w:t>This finding exposes a limitation in Andersen’s (1995) behavioural model. Although the model recognises that need and enabling factors influence healthcare utilisation, it offers less explanation of how repeated experiences of limited access may alter future behaviour. The qualitative evidence suggests that ED attendance can become a learned adaptation to an unreliable primary-care system. This temporal dimension is important because decisions are not necessarily isolated responses to acute symptoms but may reflect accumulated experiences that shape expectations of where care can realistically be obtained. Thus, the review extends Andersen’s framework by highlighting how structural barriers can progressively influence healthcare-seeking behaviour over time.</w:t>
      </w:r>
    </w:p>
    <w:p w14:paraId="18C806FC" w14:textId="77777777" w:rsidR="003E7FD8" w:rsidRDefault="003E7FD8" w:rsidP="00FF2C45">
      <w:pPr>
        <w:spacing w:line="360" w:lineRule="auto"/>
        <w:jc w:val="both"/>
        <w:rPr>
          <w:rFonts w:ascii="Arial" w:hAnsi="Arial" w:cs="Arial"/>
          <w:sz w:val="22"/>
          <w:szCs w:val="22"/>
        </w:rPr>
      </w:pPr>
    </w:p>
    <w:p w14:paraId="65FF2993" w14:textId="3F4E1F3F" w:rsidR="00AE5546" w:rsidRPr="009F273C" w:rsidRDefault="0042622E" w:rsidP="00AE5546">
      <w:pPr>
        <w:spacing w:line="360" w:lineRule="auto"/>
        <w:jc w:val="both"/>
        <w:rPr>
          <w:rFonts w:ascii="Arial" w:hAnsi="Arial" w:cs="Arial"/>
          <w:b/>
          <w:bCs/>
        </w:rPr>
      </w:pPr>
      <w:r w:rsidRPr="009F273C">
        <w:rPr>
          <w:rFonts w:ascii="Arial" w:hAnsi="Arial" w:cs="Arial"/>
          <w:b/>
          <w:bCs/>
        </w:rPr>
        <w:t xml:space="preserve">5.4 </w:t>
      </w:r>
      <w:r w:rsidR="00F34E64" w:rsidRPr="00F34E64">
        <w:rPr>
          <w:rFonts w:ascii="Arial" w:hAnsi="Arial" w:cs="Arial"/>
          <w:b/>
          <w:bCs/>
        </w:rPr>
        <w:t>Policy Ineffectiveness and the Reproduction of Inequality Within Interventions</w:t>
      </w:r>
    </w:p>
    <w:p w14:paraId="1A774B73" w14:textId="4CC8A52A" w:rsidR="00923515" w:rsidRPr="00923515" w:rsidRDefault="00923515" w:rsidP="00923515">
      <w:pPr>
        <w:spacing w:line="360" w:lineRule="auto"/>
        <w:jc w:val="both"/>
        <w:rPr>
          <w:rFonts w:ascii="Arial" w:hAnsi="Arial" w:cs="Arial"/>
          <w:sz w:val="22"/>
          <w:szCs w:val="22"/>
        </w:rPr>
      </w:pPr>
      <w:r w:rsidRPr="00923515">
        <w:rPr>
          <w:rFonts w:ascii="Arial" w:hAnsi="Arial" w:cs="Arial"/>
          <w:sz w:val="22"/>
          <w:szCs w:val="22"/>
        </w:rPr>
        <w:t xml:space="preserve">The third theme, </w:t>
      </w:r>
      <w:r w:rsidR="00D41EC5" w:rsidRPr="00923515">
        <w:rPr>
          <w:rFonts w:ascii="Arial" w:hAnsi="Arial" w:cs="Arial"/>
          <w:sz w:val="22"/>
          <w:szCs w:val="22"/>
        </w:rPr>
        <w:t>which</w:t>
      </w:r>
      <w:r w:rsidRPr="00923515">
        <w:rPr>
          <w:rFonts w:ascii="Arial" w:hAnsi="Arial" w:cs="Arial"/>
          <w:sz w:val="22"/>
          <w:szCs w:val="22"/>
        </w:rPr>
        <w:t xml:space="preserve"> evaluated policy interventions have often failed to produce equitable or meaningful reductions in ED attendance among deprived populations, requires critical interpretation. The evidence does not suggest that primary care interventions cannot influence emergency care demand. Rather, interventions that do not sufficiently account for the structural and experiential realities of deprived populations may reproduce existing inequalities.</w:t>
      </w:r>
    </w:p>
    <w:p w14:paraId="6D963ECF" w14:textId="130B90B5" w:rsidR="00923515" w:rsidRPr="00923515" w:rsidRDefault="00923515" w:rsidP="00923515">
      <w:pPr>
        <w:spacing w:line="360" w:lineRule="auto"/>
        <w:jc w:val="both"/>
        <w:rPr>
          <w:rFonts w:ascii="Arial" w:hAnsi="Arial" w:cs="Arial"/>
          <w:sz w:val="22"/>
          <w:szCs w:val="22"/>
        </w:rPr>
      </w:pPr>
      <w:r w:rsidRPr="00923515">
        <w:rPr>
          <w:rFonts w:ascii="Arial" w:hAnsi="Arial" w:cs="Arial"/>
          <w:sz w:val="22"/>
          <w:szCs w:val="22"/>
        </w:rPr>
        <w:t xml:space="preserve">The GP in or alongside the emergency department (GPED) model provides the clearest example. Davies et al. (2024), in an evaluation across 64 UK sites, found no detectable impact on overall ED attendance rates. Their qualitative findings suggest that GPED models were better suited to patients with straightforward primary-care-appropriate conditions, while those with multiple health problems, mental health difficulties, social </w:t>
      </w:r>
      <w:r w:rsidR="00FB4BF9" w:rsidRPr="00923515">
        <w:rPr>
          <w:rFonts w:ascii="Arial" w:hAnsi="Arial" w:cs="Arial"/>
          <w:sz w:val="22"/>
          <w:szCs w:val="22"/>
        </w:rPr>
        <w:t>crises,</w:t>
      </w:r>
      <w:r w:rsidRPr="00923515">
        <w:rPr>
          <w:rFonts w:ascii="Arial" w:hAnsi="Arial" w:cs="Arial"/>
          <w:sz w:val="22"/>
          <w:szCs w:val="22"/>
        </w:rPr>
        <w:t xml:space="preserve"> or language barriers were less likely to benefit. This raises concerns about whether such interventions reach patients with the greatest and most complex needs.</w:t>
      </w:r>
    </w:p>
    <w:p w14:paraId="37F488B4" w14:textId="7601E5B5" w:rsidR="00923515" w:rsidRPr="00923515" w:rsidRDefault="00923515" w:rsidP="00923515">
      <w:pPr>
        <w:spacing w:line="360" w:lineRule="auto"/>
        <w:jc w:val="both"/>
        <w:rPr>
          <w:rFonts w:ascii="Arial" w:hAnsi="Arial" w:cs="Arial"/>
          <w:sz w:val="22"/>
          <w:szCs w:val="22"/>
        </w:rPr>
      </w:pPr>
      <w:r w:rsidRPr="00923515">
        <w:rPr>
          <w:rFonts w:ascii="Arial" w:hAnsi="Arial" w:cs="Arial"/>
          <w:sz w:val="22"/>
          <w:szCs w:val="22"/>
        </w:rPr>
        <w:lastRenderedPageBreak/>
        <w:t xml:space="preserve">Edwards et al. (2021b) identified disagreement over streaming criteria, inconsistent triage </w:t>
      </w:r>
      <w:r w:rsidR="00FB4BF9" w:rsidRPr="00923515">
        <w:rPr>
          <w:rFonts w:ascii="Arial" w:hAnsi="Arial" w:cs="Arial"/>
          <w:sz w:val="22"/>
          <w:szCs w:val="22"/>
        </w:rPr>
        <w:t>decisions,</w:t>
      </w:r>
      <w:r w:rsidRPr="00923515">
        <w:rPr>
          <w:rFonts w:ascii="Arial" w:hAnsi="Arial" w:cs="Arial"/>
          <w:sz w:val="22"/>
          <w:szCs w:val="22"/>
        </w:rPr>
        <w:t xml:space="preserve"> and uncertainty about responsibility for patients whose needs crossed primary and emergency care. Edwards et al. (2021a) also found substantial variation in GPED models across UK emergency departments, including differences in staffing, opening hours and patient groups. This heterogeneity limits the extent to which GPED can be evaluated as a single, consistent intervention.</w:t>
      </w:r>
    </w:p>
    <w:p w14:paraId="3B2D44D2" w14:textId="51A02BAE" w:rsidR="00923515" w:rsidRPr="00923515" w:rsidRDefault="00923515" w:rsidP="00923515">
      <w:pPr>
        <w:spacing w:line="360" w:lineRule="auto"/>
        <w:jc w:val="both"/>
        <w:rPr>
          <w:rFonts w:ascii="Arial" w:hAnsi="Arial" w:cs="Arial"/>
          <w:sz w:val="22"/>
          <w:szCs w:val="22"/>
        </w:rPr>
      </w:pPr>
      <w:r w:rsidRPr="00923515">
        <w:rPr>
          <w:rFonts w:ascii="Arial" w:hAnsi="Arial" w:cs="Arial"/>
          <w:sz w:val="22"/>
          <w:szCs w:val="22"/>
        </w:rPr>
        <w:t xml:space="preserve">Anderson et al. (2021) similarly identified uncertainty in streaming decisions, particularly for complex presentations. Brainard et al. (2025) found modest improvements in waiting times for appropriately streamed patients, but unequal benefits for patients with mental health needs, language </w:t>
      </w:r>
      <w:r w:rsidR="00FB4BF9" w:rsidRPr="00923515">
        <w:rPr>
          <w:rFonts w:ascii="Arial" w:hAnsi="Arial" w:cs="Arial"/>
          <w:sz w:val="22"/>
          <w:szCs w:val="22"/>
        </w:rPr>
        <w:t>barriers,</w:t>
      </w:r>
      <w:r w:rsidRPr="00923515">
        <w:rPr>
          <w:rFonts w:ascii="Arial" w:hAnsi="Arial" w:cs="Arial"/>
          <w:sz w:val="22"/>
          <w:szCs w:val="22"/>
        </w:rPr>
        <w:t xml:space="preserve"> and complex social circumstances.</w:t>
      </w:r>
    </w:p>
    <w:p w14:paraId="34EE0C13" w14:textId="1BD119CB" w:rsidR="003E7FD8" w:rsidRPr="0097255C" w:rsidRDefault="00923515" w:rsidP="00907714">
      <w:pPr>
        <w:spacing w:line="360" w:lineRule="auto"/>
        <w:jc w:val="both"/>
        <w:rPr>
          <w:rFonts w:ascii="Arial" w:hAnsi="Arial" w:cs="Arial"/>
          <w:b/>
          <w:bCs/>
        </w:rPr>
      </w:pPr>
      <w:r w:rsidRPr="00923515">
        <w:rPr>
          <w:rFonts w:ascii="Arial" w:hAnsi="Arial" w:cs="Arial"/>
          <w:sz w:val="22"/>
          <w:szCs w:val="22"/>
        </w:rPr>
        <w:t>At population level, Jamieson et al. (2025) and Parkinson et al. (2021) suggest that improvements in primary care availability and quality have only limited effects on avoidable ED attendance. Importantly, these studies do not establish whether such improvements benefit deprived populations equally.</w:t>
      </w:r>
      <w:r w:rsidR="00FF2A5C">
        <w:rPr>
          <w:rFonts w:ascii="Arial" w:hAnsi="Arial" w:cs="Arial"/>
          <w:sz w:val="22"/>
          <w:szCs w:val="22"/>
        </w:rPr>
        <w:t xml:space="preserve"> </w:t>
      </w:r>
      <w:r w:rsidRPr="00907714">
        <w:rPr>
          <w:rFonts w:ascii="Arial" w:hAnsi="Arial" w:cs="Arial"/>
          <w:sz w:val="22"/>
          <w:szCs w:val="22"/>
        </w:rPr>
        <w:t>Overall, the evidence suggests that evaluating interventions only through overall ED attendance can conceal who benefits and who remains excluded. Greater attention to distributional effects is therefore needed when assessing whether interventions reduce inequalities as well as overall emergency demand.</w:t>
      </w:r>
      <w:r w:rsidR="00583555" w:rsidRPr="00907714">
        <w:rPr>
          <w:rFonts w:ascii="Arial" w:hAnsi="Arial" w:cs="Arial"/>
          <w:b/>
          <w:bCs/>
        </w:rPr>
        <w:t xml:space="preserve"> </w:t>
      </w:r>
    </w:p>
    <w:p w14:paraId="56C896D7" w14:textId="77777777" w:rsidR="00907714" w:rsidRDefault="00907714" w:rsidP="00907714">
      <w:pPr>
        <w:spacing w:line="360" w:lineRule="auto"/>
        <w:jc w:val="both"/>
        <w:rPr>
          <w:rFonts w:ascii="Arial" w:hAnsi="Arial" w:cs="Arial"/>
          <w:b/>
          <w:bCs/>
        </w:rPr>
      </w:pPr>
    </w:p>
    <w:p w14:paraId="27FB0CC2" w14:textId="7F604B37" w:rsidR="00962D64" w:rsidRPr="00907714" w:rsidRDefault="00D41EC5" w:rsidP="00907714">
      <w:pPr>
        <w:spacing w:line="360" w:lineRule="auto"/>
        <w:jc w:val="both"/>
        <w:rPr>
          <w:rFonts w:ascii="Arial" w:hAnsi="Arial" w:cs="Arial"/>
          <w:b/>
          <w:bCs/>
        </w:rPr>
      </w:pPr>
      <w:r>
        <w:rPr>
          <w:rFonts w:ascii="Arial" w:hAnsi="Arial" w:cs="Arial"/>
          <w:b/>
          <w:bCs/>
        </w:rPr>
        <w:t>5.5 Intersecting</w:t>
      </w:r>
      <w:r w:rsidR="00962D64" w:rsidRPr="00907714">
        <w:rPr>
          <w:rFonts w:ascii="Arial" w:hAnsi="Arial" w:cs="Arial"/>
          <w:b/>
          <w:bCs/>
        </w:rPr>
        <w:t xml:space="preserve"> Disadvantage and the Limits of Single-Dimension Solutions</w:t>
      </w:r>
    </w:p>
    <w:p w14:paraId="5AAEE27C" w14:textId="737B3A4D" w:rsidR="00D75F4B" w:rsidRPr="00D75F4B" w:rsidRDefault="00D75F4B" w:rsidP="00D75F4B">
      <w:pPr>
        <w:spacing w:line="360" w:lineRule="auto"/>
        <w:jc w:val="both"/>
        <w:rPr>
          <w:rFonts w:ascii="Arial" w:hAnsi="Arial" w:cs="Arial"/>
          <w:sz w:val="22"/>
          <w:szCs w:val="22"/>
        </w:rPr>
      </w:pPr>
      <w:r w:rsidRPr="00D75F4B">
        <w:rPr>
          <w:rFonts w:ascii="Arial" w:hAnsi="Arial" w:cs="Arial"/>
          <w:sz w:val="22"/>
          <w:szCs w:val="22"/>
        </w:rPr>
        <w:t xml:space="preserve">The fourth theme, that elevated ED utilisation in deprived </w:t>
      </w:r>
      <w:r w:rsidR="00D41EC5" w:rsidRPr="00D75F4B">
        <w:rPr>
          <w:rFonts w:ascii="Arial" w:hAnsi="Arial" w:cs="Arial"/>
          <w:sz w:val="22"/>
          <w:szCs w:val="22"/>
        </w:rPr>
        <w:t>communities’</w:t>
      </w:r>
      <w:r w:rsidRPr="00D75F4B">
        <w:rPr>
          <w:rFonts w:ascii="Arial" w:hAnsi="Arial" w:cs="Arial"/>
          <w:sz w:val="22"/>
          <w:szCs w:val="22"/>
        </w:rPr>
        <w:t xml:space="preserve"> results from interacting disadvantages, is consistent with the social determinants of health framework and highlights the limits of single-factor policy responses. Jacob et al. (2024) found that deprivation alone did not fully explain variation in ED attendance across local areas. Service configuration, transport, </w:t>
      </w:r>
      <w:r w:rsidR="00FB4BF9" w:rsidRPr="00D75F4B">
        <w:rPr>
          <w:rFonts w:ascii="Arial" w:hAnsi="Arial" w:cs="Arial"/>
          <w:sz w:val="22"/>
          <w:szCs w:val="22"/>
        </w:rPr>
        <w:t>housing,</w:t>
      </w:r>
      <w:r w:rsidRPr="00D75F4B">
        <w:rPr>
          <w:rFonts w:ascii="Arial" w:hAnsi="Arial" w:cs="Arial"/>
          <w:sz w:val="22"/>
          <w:szCs w:val="22"/>
        </w:rPr>
        <w:t xml:space="preserve"> and social circumstances also influenced emergency care use, suggesting that disadvantage is experienced differently across communities.</w:t>
      </w:r>
    </w:p>
    <w:p w14:paraId="0DACE2ED" w14:textId="77777777" w:rsidR="00D75F4B" w:rsidRPr="00D75F4B" w:rsidRDefault="00D75F4B" w:rsidP="00D75F4B">
      <w:pPr>
        <w:spacing w:line="360" w:lineRule="auto"/>
        <w:jc w:val="both"/>
        <w:rPr>
          <w:rFonts w:ascii="Arial" w:hAnsi="Arial" w:cs="Arial"/>
          <w:sz w:val="22"/>
          <w:szCs w:val="22"/>
        </w:rPr>
      </w:pPr>
      <w:r w:rsidRPr="00D75F4B">
        <w:rPr>
          <w:rFonts w:ascii="Arial" w:hAnsi="Arial" w:cs="Arial"/>
          <w:sz w:val="22"/>
          <w:szCs w:val="22"/>
        </w:rPr>
        <w:t>Maynou et al. (2023) found that deprivation interacted with age and multimorbidity, with patients from more deprived areas experiencing longer waits, higher unplanned admission and greater 72-hour reattendance. These findings suggest that complex needs may not be adequately addressed during a single ED episode and may require stronger coordination between primary, community and social care.</w:t>
      </w:r>
    </w:p>
    <w:p w14:paraId="2131BF89" w14:textId="1BA1171B" w:rsidR="00D75F4B" w:rsidRPr="00D75F4B" w:rsidRDefault="00D75F4B" w:rsidP="00D75F4B">
      <w:pPr>
        <w:spacing w:line="360" w:lineRule="auto"/>
        <w:jc w:val="both"/>
        <w:rPr>
          <w:rFonts w:ascii="Arial" w:hAnsi="Arial" w:cs="Arial"/>
          <w:sz w:val="22"/>
          <w:szCs w:val="22"/>
        </w:rPr>
      </w:pPr>
      <w:r w:rsidRPr="00D75F4B">
        <w:rPr>
          <w:rFonts w:ascii="Arial" w:hAnsi="Arial" w:cs="Arial"/>
          <w:sz w:val="22"/>
          <w:szCs w:val="22"/>
        </w:rPr>
        <w:t xml:space="preserve">O’Cathain et al. (2020) identified housing instability, social isolation, mental health </w:t>
      </w:r>
      <w:r w:rsidR="00FB4BF9" w:rsidRPr="00D75F4B">
        <w:rPr>
          <w:rFonts w:ascii="Arial" w:hAnsi="Arial" w:cs="Arial"/>
          <w:sz w:val="22"/>
          <w:szCs w:val="22"/>
        </w:rPr>
        <w:t>difficulties,</w:t>
      </w:r>
      <w:r w:rsidRPr="00D75F4B">
        <w:rPr>
          <w:rFonts w:ascii="Arial" w:hAnsi="Arial" w:cs="Arial"/>
          <w:sz w:val="22"/>
          <w:szCs w:val="22"/>
        </w:rPr>
        <w:t xml:space="preserve"> and social crisis as contributors to potentially avoidable ED attendance. </w:t>
      </w:r>
    </w:p>
    <w:p w14:paraId="4E673A42" w14:textId="72381229" w:rsidR="00A6449A" w:rsidRDefault="00D75F4B" w:rsidP="00D75F4B">
      <w:pPr>
        <w:spacing w:line="360" w:lineRule="auto"/>
        <w:jc w:val="both"/>
        <w:rPr>
          <w:rFonts w:ascii="Arial" w:hAnsi="Arial" w:cs="Arial"/>
          <w:sz w:val="22"/>
          <w:szCs w:val="22"/>
        </w:rPr>
      </w:pPr>
      <w:r w:rsidRPr="00D75F4B">
        <w:rPr>
          <w:rFonts w:ascii="Arial" w:hAnsi="Arial" w:cs="Arial"/>
          <w:sz w:val="22"/>
          <w:szCs w:val="22"/>
        </w:rPr>
        <w:t xml:space="preserve">Digital exclusion further compounds these barriers. Davies et al. (2024) and Price et al. (2022) reported that difficulties using digital triage and appointment systems could lead patients to attend </w:t>
      </w:r>
      <w:r w:rsidR="00FB2CA1" w:rsidRPr="00D75F4B">
        <w:rPr>
          <w:rFonts w:ascii="Arial" w:hAnsi="Arial" w:cs="Arial"/>
          <w:sz w:val="22"/>
          <w:szCs w:val="22"/>
        </w:rPr>
        <w:lastRenderedPageBreak/>
        <w:t>E.Ds.</w:t>
      </w:r>
      <w:r w:rsidRPr="00D75F4B">
        <w:rPr>
          <w:rFonts w:ascii="Arial" w:hAnsi="Arial" w:cs="Arial"/>
          <w:sz w:val="22"/>
          <w:szCs w:val="22"/>
        </w:rPr>
        <w:t xml:space="preserve"> Overall, deprivation interacts with clinical, </w:t>
      </w:r>
      <w:r w:rsidR="00FB4BF9" w:rsidRPr="00D75F4B">
        <w:rPr>
          <w:rFonts w:ascii="Arial" w:hAnsi="Arial" w:cs="Arial"/>
          <w:sz w:val="22"/>
          <w:szCs w:val="22"/>
        </w:rPr>
        <w:t>social,</w:t>
      </w:r>
      <w:r w:rsidRPr="00D75F4B">
        <w:rPr>
          <w:rFonts w:ascii="Arial" w:hAnsi="Arial" w:cs="Arial"/>
          <w:sz w:val="22"/>
          <w:szCs w:val="22"/>
        </w:rPr>
        <w:t xml:space="preserve"> and digital barriers, indicating that improving primary care access alone may be insufficient without addressing the wider conditions affecting healthcare access and navigation.</w:t>
      </w:r>
    </w:p>
    <w:p w14:paraId="06909AC0" w14:textId="77777777" w:rsidR="003E7FD8" w:rsidRDefault="003E7FD8" w:rsidP="00E0088E">
      <w:pPr>
        <w:spacing w:line="360" w:lineRule="auto"/>
        <w:jc w:val="both"/>
        <w:rPr>
          <w:rFonts w:ascii="Arial" w:hAnsi="Arial" w:cs="Arial"/>
          <w:sz w:val="22"/>
          <w:szCs w:val="22"/>
        </w:rPr>
      </w:pPr>
    </w:p>
    <w:p w14:paraId="4CB73854" w14:textId="384177E5" w:rsidR="000D2E6B" w:rsidRPr="000D2E6B" w:rsidRDefault="005D2F3B" w:rsidP="00E0088E">
      <w:pPr>
        <w:spacing w:line="360" w:lineRule="auto"/>
        <w:jc w:val="both"/>
        <w:rPr>
          <w:rFonts w:ascii="Arial" w:hAnsi="Arial" w:cs="Arial"/>
          <w:b/>
          <w:bCs/>
        </w:rPr>
      </w:pPr>
      <w:r w:rsidRPr="000D2E6B">
        <w:rPr>
          <w:rFonts w:ascii="Arial" w:hAnsi="Arial" w:cs="Arial"/>
          <w:b/>
          <w:bCs/>
        </w:rPr>
        <w:t>5.6 Limitations</w:t>
      </w:r>
      <w:r w:rsidR="000D2E6B" w:rsidRPr="000D2E6B">
        <w:rPr>
          <w:rFonts w:ascii="Arial" w:hAnsi="Arial" w:cs="Arial"/>
          <w:b/>
          <w:bCs/>
        </w:rPr>
        <w:t xml:space="preserve"> of This Study</w:t>
      </w:r>
    </w:p>
    <w:p w14:paraId="5B3B5185" w14:textId="5B1EA5B5" w:rsidR="00F26738" w:rsidRDefault="00F12014" w:rsidP="00173BDC">
      <w:pPr>
        <w:spacing w:line="360" w:lineRule="auto"/>
        <w:jc w:val="both"/>
        <w:rPr>
          <w:rFonts w:ascii="Arial" w:hAnsi="Arial" w:cs="Arial"/>
          <w:sz w:val="22"/>
          <w:szCs w:val="22"/>
        </w:rPr>
      </w:pPr>
      <w:r w:rsidRPr="00F12014">
        <w:rPr>
          <w:rFonts w:ascii="Arial" w:hAnsi="Arial" w:cs="Arial"/>
          <w:sz w:val="22"/>
          <w:szCs w:val="22"/>
        </w:rPr>
        <w:t xml:space="preserve">Three limitations of this review require transparent acknowledgement. Firstly, as a secondary qualitative analysis, the study operates at one interpretive remove from the original data-generating encounters. The qualitative extracts available within included studies carry the framings, priorities, and selection decisions of their original researchers; what is reported reflects not only what participants said but what researchers chose to document, code, and present. Reflexive thematic analysis and multi-source triangulation partially manage this interpretive </w:t>
      </w:r>
      <w:r w:rsidR="00647BA2" w:rsidRPr="00F12014">
        <w:rPr>
          <w:rFonts w:ascii="Arial" w:hAnsi="Arial" w:cs="Arial"/>
          <w:sz w:val="22"/>
          <w:szCs w:val="22"/>
        </w:rPr>
        <w:t>distance but</w:t>
      </w:r>
      <w:r w:rsidRPr="00F12014">
        <w:rPr>
          <w:rFonts w:ascii="Arial" w:hAnsi="Arial" w:cs="Arial"/>
          <w:sz w:val="22"/>
          <w:szCs w:val="22"/>
        </w:rPr>
        <w:t xml:space="preserve"> cannot resolve it. Secondly, publication bias is structurally embedded in the evidence base: studies documenting salient access failures and negative patient experiences are more likely to achieve publication than those reporting ambiguous or routine findings, and the Cochrane guidance on systematic review methodology acknowledges this as a universal limitation of evidence synthesis (Higgins et al., 2023). The synthesised findings may consequently overestimate the severity or uniformity of structural exclusion relative to the median experience of deprived patients. Thirdly, qualitative synthesis can illuminate mechanisms, experiences, and interpretive patterns but cannot establish causal sufficiency or quantify the relative contribution of structural versus individual-level determinants of emergency department attendance. The policy recommendations advanced in this chapter are evidence-informed and theoretically grounded; they are not evidence-determined, and they should be read accordingly.</w:t>
      </w:r>
    </w:p>
    <w:p w14:paraId="166D9E82" w14:textId="77777777" w:rsidR="003E7FD8" w:rsidRDefault="003E7FD8" w:rsidP="00173BDC">
      <w:pPr>
        <w:spacing w:line="360" w:lineRule="auto"/>
        <w:jc w:val="both"/>
        <w:rPr>
          <w:rFonts w:ascii="Arial" w:hAnsi="Arial" w:cs="Arial"/>
          <w:sz w:val="22"/>
          <w:szCs w:val="22"/>
        </w:rPr>
      </w:pPr>
    </w:p>
    <w:p w14:paraId="4AADE0F3" w14:textId="15181D26" w:rsidR="00DB7008" w:rsidRPr="00DB7008" w:rsidRDefault="005D2F3B" w:rsidP="00DB7008">
      <w:pPr>
        <w:spacing w:line="360" w:lineRule="auto"/>
        <w:jc w:val="both"/>
        <w:rPr>
          <w:rFonts w:ascii="Arial" w:hAnsi="Arial" w:cs="Arial"/>
          <w:b/>
          <w:bCs/>
        </w:rPr>
      </w:pPr>
      <w:r w:rsidRPr="00DB7008">
        <w:rPr>
          <w:rFonts w:ascii="Arial" w:hAnsi="Arial" w:cs="Arial"/>
          <w:b/>
          <w:bCs/>
        </w:rPr>
        <w:t>5.7 Implications</w:t>
      </w:r>
      <w:r w:rsidR="00DB7008" w:rsidRPr="00DB7008">
        <w:rPr>
          <w:rFonts w:ascii="Arial" w:hAnsi="Arial" w:cs="Arial"/>
          <w:b/>
          <w:bCs/>
        </w:rPr>
        <w:t xml:space="preserve"> for Policy and Practice</w:t>
      </w:r>
    </w:p>
    <w:p w14:paraId="7D5CDEDC" w14:textId="27C07CAF" w:rsidR="001D6DC2" w:rsidRPr="001D6DC2" w:rsidRDefault="001D6DC2" w:rsidP="001D6DC2">
      <w:pPr>
        <w:spacing w:line="360" w:lineRule="auto"/>
        <w:jc w:val="both"/>
        <w:rPr>
          <w:rFonts w:ascii="Arial" w:hAnsi="Arial" w:cs="Arial"/>
          <w:sz w:val="22"/>
          <w:szCs w:val="22"/>
        </w:rPr>
      </w:pPr>
      <w:r w:rsidRPr="001D6DC2">
        <w:rPr>
          <w:rFonts w:ascii="Arial" w:hAnsi="Arial" w:cs="Arial"/>
          <w:sz w:val="22"/>
          <w:szCs w:val="22"/>
        </w:rPr>
        <w:t>The evidence supports four policy implications. First</w:t>
      </w:r>
      <w:r w:rsidR="005E62E4">
        <w:rPr>
          <w:rFonts w:ascii="Arial" w:hAnsi="Arial" w:cs="Arial"/>
          <w:sz w:val="22"/>
          <w:szCs w:val="22"/>
        </w:rPr>
        <w:t>ly</w:t>
      </w:r>
      <w:r w:rsidRPr="001D6DC2">
        <w:rPr>
          <w:rFonts w:ascii="Arial" w:hAnsi="Arial" w:cs="Arial"/>
          <w:sz w:val="22"/>
          <w:szCs w:val="22"/>
        </w:rPr>
        <w:t>, primary care investment in deprived areas should be explicitly equity-targeted rather than distributed generically. The combination of highest need and lowest capacity identified by Jacob et al. (2024) and Jamieson et al. (2025) suggests that investment should address digital exclusion, interpreting needs and workforce shortages relative to patient need.</w:t>
      </w:r>
    </w:p>
    <w:p w14:paraId="6D090782" w14:textId="486CB522" w:rsidR="001D6DC2" w:rsidRPr="001D6DC2" w:rsidRDefault="001D6DC2" w:rsidP="001D6DC2">
      <w:pPr>
        <w:spacing w:line="360" w:lineRule="auto"/>
        <w:jc w:val="both"/>
        <w:rPr>
          <w:rFonts w:ascii="Arial" w:hAnsi="Arial" w:cs="Arial"/>
          <w:sz w:val="22"/>
          <w:szCs w:val="22"/>
        </w:rPr>
      </w:pPr>
      <w:r w:rsidRPr="001D6DC2">
        <w:rPr>
          <w:rFonts w:ascii="Arial" w:hAnsi="Arial" w:cs="Arial"/>
          <w:sz w:val="22"/>
          <w:szCs w:val="22"/>
        </w:rPr>
        <w:t>Second</w:t>
      </w:r>
      <w:r w:rsidR="00C8318F">
        <w:rPr>
          <w:rFonts w:ascii="Arial" w:hAnsi="Arial" w:cs="Arial"/>
          <w:sz w:val="22"/>
          <w:szCs w:val="22"/>
        </w:rPr>
        <w:t>ly</w:t>
      </w:r>
      <w:r w:rsidRPr="001D6DC2">
        <w:rPr>
          <w:rFonts w:ascii="Arial" w:hAnsi="Arial" w:cs="Arial"/>
          <w:sz w:val="22"/>
          <w:szCs w:val="22"/>
        </w:rPr>
        <w:t>, NHS policy should reconsider the use of the ‘inappropriate attender’ framing. Evidence from O’Cathain et al. (2020), Calastri et al. (2025), Price et al. (2022), Madia et al. (2025) and O’Keeffe et al. (2018) indicates that ED attendance may reflect difficulties accessing primary care rather than individual patient deficits.</w:t>
      </w:r>
    </w:p>
    <w:p w14:paraId="452E9593" w14:textId="38E73E48" w:rsidR="001D6DC2" w:rsidRPr="001D6DC2" w:rsidRDefault="001D6DC2" w:rsidP="001D6DC2">
      <w:pPr>
        <w:spacing w:line="360" w:lineRule="auto"/>
        <w:jc w:val="both"/>
        <w:rPr>
          <w:rFonts w:ascii="Arial" w:hAnsi="Arial" w:cs="Arial"/>
          <w:sz w:val="22"/>
          <w:szCs w:val="22"/>
        </w:rPr>
      </w:pPr>
      <w:r w:rsidRPr="001D6DC2">
        <w:rPr>
          <w:rFonts w:ascii="Arial" w:hAnsi="Arial" w:cs="Arial"/>
          <w:sz w:val="22"/>
          <w:szCs w:val="22"/>
        </w:rPr>
        <w:lastRenderedPageBreak/>
        <w:t>Third</w:t>
      </w:r>
      <w:r w:rsidR="00C8318F">
        <w:rPr>
          <w:rFonts w:ascii="Arial" w:hAnsi="Arial" w:cs="Arial"/>
          <w:sz w:val="22"/>
          <w:szCs w:val="22"/>
        </w:rPr>
        <w:t>ly</w:t>
      </w:r>
      <w:r w:rsidRPr="001D6DC2">
        <w:rPr>
          <w:rFonts w:ascii="Arial" w:hAnsi="Arial" w:cs="Arial"/>
          <w:sz w:val="22"/>
          <w:szCs w:val="22"/>
        </w:rPr>
        <w:t xml:space="preserve">, digital-first primary care should include equity safeguards. Davies et al. (2024) and Price et al. (2022) highlight the need for adequately resourced non-digital alternatives, including telephone and face-to-face access, </w:t>
      </w:r>
      <w:r w:rsidR="00FB4BF9" w:rsidRPr="001D6DC2">
        <w:rPr>
          <w:rFonts w:ascii="Arial" w:hAnsi="Arial" w:cs="Arial"/>
          <w:sz w:val="22"/>
          <w:szCs w:val="22"/>
        </w:rPr>
        <w:t>interpreting,</w:t>
      </w:r>
      <w:r w:rsidRPr="001D6DC2">
        <w:rPr>
          <w:rFonts w:ascii="Arial" w:hAnsi="Arial" w:cs="Arial"/>
          <w:sz w:val="22"/>
          <w:szCs w:val="22"/>
        </w:rPr>
        <w:t xml:space="preserve"> and appropriate support for digitally excluded patients.</w:t>
      </w:r>
    </w:p>
    <w:p w14:paraId="6B6AE951" w14:textId="02BF0D17" w:rsidR="007F5E3F" w:rsidRDefault="001D6DC2" w:rsidP="001D6DC2">
      <w:pPr>
        <w:spacing w:line="360" w:lineRule="auto"/>
        <w:jc w:val="both"/>
        <w:rPr>
          <w:rFonts w:ascii="Arial" w:hAnsi="Arial" w:cs="Arial"/>
          <w:sz w:val="22"/>
          <w:szCs w:val="22"/>
        </w:rPr>
      </w:pPr>
      <w:r w:rsidRPr="001D6DC2">
        <w:rPr>
          <w:rFonts w:ascii="Arial" w:hAnsi="Arial" w:cs="Arial"/>
          <w:sz w:val="22"/>
          <w:szCs w:val="22"/>
        </w:rPr>
        <w:t>Finally, evaluations of access interventions should measure equity alongside overall effectiveness. Jamieson et al. (2025) and Parkinson et al. (2021) demonstrate that improvements in primary care may have limited effects on avoidable ED attendance, while offering limited evidence about distributional impacts. Future evaluations should therefore assess outcomes by deprivation to determine whether interventions reduce or reproduce inequalities.</w:t>
      </w:r>
    </w:p>
    <w:p w14:paraId="1A7EAB0A" w14:textId="77777777" w:rsidR="00E75D03" w:rsidRDefault="00E75D03" w:rsidP="00173BDC">
      <w:pPr>
        <w:spacing w:line="360" w:lineRule="auto"/>
        <w:jc w:val="both"/>
        <w:rPr>
          <w:rFonts w:ascii="Arial" w:hAnsi="Arial" w:cs="Arial"/>
          <w:sz w:val="22"/>
          <w:szCs w:val="22"/>
        </w:rPr>
      </w:pPr>
    </w:p>
    <w:p w14:paraId="45F98B31" w14:textId="2E5AF7F7" w:rsidR="00093364" w:rsidRPr="00093364" w:rsidRDefault="005D2F3B" w:rsidP="00093364">
      <w:pPr>
        <w:spacing w:line="360" w:lineRule="auto"/>
        <w:jc w:val="both"/>
        <w:rPr>
          <w:rFonts w:ascii="Arial" w:hAnsi="Arial" w:cs="Arial"/>
          <w:b/>
          <w:bCs/>
        </w:rPr>
      </w:pPr>
      <w:r w:rsidRPr="00093364">
        <w:rPr>
          <w:rFonts w:ascii="Arial" w:hAnsi="Arial" w:cs="Arial"/>
          <w:b/>
          <w:bCs/>
        </w:rPr>
        <w:t>5.8 Summary</w:t>
      </w:r>
    </w:p>
    <w:p w14:paraId="7E8EEE90" w14:textId="0FC0D4D8" w:rsidR="00821304" w:rsidRDefault="005F1E60" w:rsidP="00313E8A">
      <w:pPr>
        <w:spacing w:line="360" w:lineRule="auto"/>
        <w:jc w:val="both"/>
        <w:rPr>
          <w:rFonts w:ascii="Arial" w:hAnsi="Arial" w:cs="Arial"/>
          <w:sz w:val="22"/>
          <w:szCs w:val="22"/>
        </w:rPr>
      </w:pPr>
      <w:r w:rsidRPr="005F1E60">
        <w:rPr>
          <w:rFonts w:ascii="Arial" w:hAnsi="Arial" w:cs="Arial"/>
          <w:sz w:val="22"/>
          <w:szCs w:val="22"/>
        </w:rPr>
        <w:t>This chapter has interpreted the four themes generated in Chapter Four in critical dialogue with the inverse care law, the social determinants of health framework, and Andersen's behavioural model. The discussion establishes that the inverse care law operates in the contemporary NHS through digital and organisational mechanisms as well as geographic ones, and that this reconstitution is particularly insidious because it is invisible to the monitoring infrastructure that policymakers rely upon. It demonstrates, through converging multi-method evidence, that emergency department attendance by deprived populations is structurally determined, contextually rational, and the accumulated product of repeated primary care access failure, not a manifestation of inappropriate health-seeking. It shows that current policy responses, including the GP-in-ED model in its multiple configurations, have systematically failed to reach the populations generating the most avoidable emergency demand, reproducing within their implementation the same structural inequity they were designed to address. It establishes that intersecting disadvantages, including social crisis, digital exclusion, and GP non-registration, produce emergency care demand that cannot be addressed by healthcare access interventions acting alone. Chapter Six draws these findings into conclusions, contributions to knowledge, and specific recommendations for policy and future research.</w:t>
      </w:r>
    </w:p>
    <w:p w14:paraId="31343037" w14:textId="77777777" w:rsidR="0097255C" w:rsidRDefault="0097255C" w:rsidP="00313E8A">
      <w:pPr>
        <w:spacing w:line="360" w:lineRule="auto"/>
        <w:jc w:val="both"/>
        <w:rPr>
          <w:rFonts w:ascii="Arial" w:hAnsi="Arial" w:cs="Arial"/>
          <w:sz w:val="22"/>
          <w:szCs w:val="22"/>
        </w:rPr>
      </w:pPr>
    </w:p>
    <w:p w14:paraId="2900F9C6" w14:textId="77777777" w:rsidR="0073413F" w:rsidRDefault="0073413F" w:rsidP="00313E8A">
      <w:pPr>
        <w:spacing w:line="360" w:lineRule="auto"/>
        <w:jc w:val="both"/>
        <w:rPr>
          <w:rFonts w:ascii="Arial" w:hAnsi="Arial" w:cs="Arial"/>
          <w:sz w:val="22"/>
          <w:szCs w:val="22"/>
        </w:rPr>
      </w:pPr>
    </w:p>
    <w:p w14:paraId="76B18EBD" w14:textId="77777777" w:rsidR="0073413F" w:rsidRDefault="0073413F" w:rsidP="00313E8A">
      <w:pPr>
        <w:spacing w:line="360" w:lineRule="auto"/>
        <w:jc w:val="both"/>
        <w:rPr>
          <w:rFonts w:ascii="Arial" w:hAnsi="Arial" w:cs="Arial"/>
          <w:sz w:val="22"/>
          <w:szCs w:val="22"/>
        </w:rPr>
      </w:pPr>
    </w:p>
    <w:p w14:paraId="0A02F37C" w14:textId="77777777" w:rsidR="0097255C" w:rsidRDefault="0097255C" w:rsidP="00313E8A">
      <w:pPr>
        <w:spacing w:line="360" w:lineRule="auto"/>
        <w:jc w:val="both"/>
        <w:rPr>
          <w:rFonts w:ascii="Arial" w:hAnsi="Arial" w:cs="Arial"/>
          <w:sz w:val="22"/>
          <w:szCs w:val="22"/>
        </w:rPr>
      </w:pPr>
    </w:p>
    <w:p w14:paraId="72DA02D9" w14:textId="77777777" w:rsidR="0097255C" w:rsidRDefault="0097255C" w:rsidP="00313E8A">
      <w:pPr>
        <w:spacing w:line="360" w:lineRule="auto"/>
        <w:jc w:val="both"/>
        <w:rPr>
          <w:rFonts w:ascii="Arial" w:hAnsi="Arial" w:cs="Arial"/>
          <w:sz w:val="22"/>
          <w:szCs w:val="22"/>
        </w:rPr>
      </w:pPr>
    </w:p>
    <w:p w14:paraId="56F03C93" w14:textId="77777777" w:rsidR="0097255C" w:rsidRDefault="0097255C" w:rsidP="00313E8A">
      <w:pPr>
        <w:spacing w:line="360" w:lineRule="auto"/>
        <w:jc w:val="both"/>
        <w:rPr>
          <w:rFonts w:ascii="Arial" w:hAnsi="Arial" w:cs="Arial"/>
          <w:sz w:val="22"/>
          <w:szCs w:val="22"/>
        </w:rPr>
      </w:pPr>
    </w:p>
    <w:p w14:paraId="062A1FAD" w14:textId="77777777" w:rsidR="0097255C" w:rsidRDefault="0097255C" w:rsidP="00313E8A">
      <w:pPr>
        <w:spacing w:line="360" w:lineRule="auto"/>
        <w:jc w:val="both"/>
        <w:rPr>
          <w:rFonts w:ascii="Arial" w:hAnsi="Arial" w:cs="Arial"/>
          <w:sz w:val="22"/>
          <w:szCs w:val="22"/>
        </w:rPr>
      </w:pPr>
    </w:p>
    <w:p w14:paraId="430DAD63" w14:textId="77777777" w:rsidR="0097255C" w:rsidRDefault="0097255C" w:rsidP="00313E8A">
      <w:pPr>
        <w:spacing w:line="360" w:lineRule="auto"/>
        <w:jc w:val="both"/>
        <w:rPr>
          <w:rFonts w:ascii="Arial" w:hAnsi="Arial" w:cs="Arial"/>
          <w:sz w:val="22"/>
          <w:szCs w:val="22"/>
        </w:rPr>
      </w:pPr>
    </w:p>
    <w:p w14:paraId="1A69F4A5" w14:textId="4327E1A4" w:rsidR="00313E8A" w:rsidRDefault="00313E8A" w:rsidP="00313E8A">
      <w:pPr>
        <w:spacing w:line="360" w:lineRule="auto"/>
        <w:jc w:val="both"/>
        <w:rPr>
          <w:rFonts w:ascii="Arial" w:hAnsi="Arial" w:cs="Arial"/>
          <w:sz w:val="22"/>
          <w:szCs w:val="22"/>
        </w:rPr>
      </w:pPr>
    </w:p>
    <w:p w14:paraId="0B2365EC" w14:textId="03C26D52" w:rsidR="00313E8A" w:rsidRDefault="00821304" w:rsidP="00704251">
      <w:pPr>
        <w:pStyle w:val="NoSpacing"/>
        <w:numPr>
          <w:ilvl w:val="0"/>
          <w:numId w:val="23"/>
        </w:numPr>
        <w:rPr>
          <w:rFonts w:ascii="Arial" w:hAnsi="Arial" w:cs="Arial"/>
          <w:b/>
          <w:bCs/>
          <w:sz w:val="28"/>
          <w:szCs w:val="28"/>
        </w:rPr>
      </w:pPr>
      <w:bookmarkStart w:id="8" w:name="_Toc240714307"/>
      <w:r w:rsidRPr="001239AE">
        <w:rPr>
          <w:rFonts w:ascii="Arial" w:hAnsi="Arial" w:cs="Arial"/>
          <w:b/>
          <w:bCs/>
          <w:sz w:val="28"/>
          <w:szCs w:val="28"/>
        </w:rPr>
        <w:t>Conclusion</w:t>
      </w:r>
      <w:bookmarkEnd w:id="8"/>
      <w:r w:rsidRPr="001239AE">
        <w:rPr>
          <w:rFonts w:ascii="Arial" w:hAnsi="Arial" w:cs="Arial"/>
          <w:b/>
          <w:bCs/>
          <w:sz w:val="28"/>
          <w:szCs w:val="28"/>
        </w:rPr>
        <w:t xml:space="preserve"> </w:t>
      </w:r>
    </w:p>
    <w:p w14:paraId="6FE436ED" w14:textId="77777777" w:rsidR="00784CBC" w:rsidRDefault="00784CBC" w:rsidP="00026A5A">
      <w:pPr>
        <w:spacing w:line="360" w:lineRule="auto"/>
        <w:jc w:val="both"/>
        <w:rPr>
          <w:rFonts w:ascii="Arial" w:hAnsi="Arial" w:cs="Arial"/>
          <w:sz w:val="22"/>
          <w:szCs w:val="22"/>
        </w:rPr>
      </w:pPr>
    </w:p>
    <w:p w14:paraId="2560F28F" w14:textId="4B35AB77" w:rsidR="00026A5A" w:rsidRPr="00026A5A" w:rsidRDefault="00026A5A" w:rsidP="00026A5A">
      <w:pPr>
        <w:spacing w:line="360" w:lineRule="auto"/>
        <w:jc w:val="both"/>
        <w:rPr>
          <w:rFonts w:ascii="Arial" w:hAnsi="Arial" w:cs="Arial"/>
          <w:sz w:val="22"/>
          <w:szCs w:val="22"/>
        </w:rPr>
      </w:pPr>
      <w:r w:rsidRPr="00026A5A">
        <w:rPr>
          <w:rFonts w:ascii="Arial" w:hAnsi="Arial" w:cs="Arial"/>
          <w:sz w:val="22"/>
          <w:szCs w:val="22"/>
        </w:rPr>
        <w:t xml:space="preserve">This dissertation was guided by the following research question: What is the association between access to primary care services and emergency department utilisation among socioeconomically deprived populations in the UK? The qualitative systematic review conducted in response to this question, drawing on </w:t>
      </w:r>
      <w:r w:rsidR="008F09CD" w:rsidRPr="00026A5A">
        <w:rPr>
          <w:rFonts w:ascii="Arial" w:hAnsi="Arial" w:cs="Arial"/>
          <w:sz w:val="22"/>
          <w:szCs w:val="22"/>
        </w:rPr>
        <w:t>fourteen</w:t>
      </w:r>
      <w:r w:rsidRPr="00026A5A">
        <w:rPr>
          <w:rFonts w:ascii="Arial" w:hAnsi="Arial" w:cs="Arial"/>
          <w:sz w:val="22"/>
          <w:szCs w:val="22"/>
        </w:rPr>
        <w:t xml:space="preserve"> peer-reviewed studies synthesised through reflexive thematic analysis and triangulated with grey literature sources, yields the following answer.</w:t>
      </w:r>
    </w:p>
    <w:p w14:paraId="1346129F" w14:textId="0C30615D" w:rsidR="00026A5A" w:rsidRPr="00026A5A" w:rsidRDefault="00026A5A" w:rsidP="00026A5A">
      <w:pPr>
        <w:spacing w:line="360" w:lineRule="auto"/>
        <w:jc w:val="both"/>
        <w:rPr>
          <w:rFonts w:ascii="Arial" w:hAnsi="Arial" w:cs="Arial"/>
          <w:sz w:val="22"/>
          <w:szCs w:val="22"/>
        </w:rPr>
      </w:pPr>
      <w:r w:rsidRPr="00026A5A">
        <w:rPr>
          <w:rFonts w:ascii="Arial" w:hAnsi="Arial" w:cs="Arial"/>
          <w:sz w:val="22"/>
          <w:szCs w:val="22"/>
        </w:rPr>
        <w:t xml:space="preserve">The association between primary care access and emergency department utilisation among socioeconomically deprived populations in the UK is neither coincidental nor </w:t>
      </w:r>
      <w:r w:rsidR="00647BA2" w:rsidRPr="00026A5A">
        <w:rPr>
          <w:rFonts w:ascii="Arial" w:hAnsi="Arial" w:cs="Arial"/>
          <w:sz w:val="22"/>
          <w:szCs w:val="22"/>
        </w:rPr>
        <w:t>incidental and</w:t>
      </w:r>
      <w:r w:rsidRPr="00026A5A">
        <w:rPr>
          <w:rFonts w:ascii="Arial" w:hAnsi="Arial" w:cs="Arial"/>
          <w:sz w:val="22"/>
          <w:szCs w:val="22"/>
        </w:rPr>
        <w:t xml:space="preserve"> is not primarily explained by differences in clinical need. It is structural, experiential, and self-reinforcing. Deprived communities face a primary care system that is organisationally, digitally, geographically, and resourced in ways that systematically reduce the probability of timely access. When primary care fails to provide access, deprived patients do not simply go without care: they attend emergency departments, not because they misunderstand the healthcare system, but because the emergency department is frequently the only point of access that remains reliably and unconditionally available to them. This pattern is rational at the individual level and catastrophic at the system level, consuming emergency resources at scale while leaving the underlying access failures unaddressed. The most deprived patients, those facing compounding disadvantages of multimorbidity, social isolation, digital exclusion, and language barriers, experience the greatest access barriers, face the greatest risk of clinical deterioration in the interval between attempted access and eventual care, and are the least well served by the policy interventions evaluated in the existing literature.</w:t>
      </w:r>
    </w:p>
    <w:p w14:paraId="613AA187" w14:textId="691B86DD" w:rsidR="00C74F3A" w:rsidRDefault="00026A5A" w:rsidP="00173BDC">
      <w:pPr>
        <w:spacing w:line="360" w:lineRule="auto"/>
        <w:jc w:val="both"/>
        <w:rPr>
          <w:rFonts w:ascii="Arial" w:hAnsi="Arial" w:cs="Arial"/>
          <w:sz w:val="22"/>
          <w:szCs w:val="22"/>
        </w:rPr>
      </w:pPr>
      <w:r w:rsidRPr="00026A5A">
        <w:rPr>
          <w:rFonts w:ascii="Arial" w:hAnsi="Arial" w:cs="Arial"/>
          <w:sz w:val="22"/>
          <w:szCs w:val="22"/>
        </w:rPr>
        <w:t>The association between poor primary care access and elevated ED utilisation in deprived communities in the UK is, in substantial part, a structural consequence of the inverse care law as it operates in the contemporary NHS. It is not primarily a patient behaviour problem. It is a system design problem; it requires system-level solutions.</w:t>
      </w:r>
    </w:p>
    <w:p w14:paraId="3B163592" w14:textId="77777777" w:rsidR="003E7FD8" w:rsidRDefault="003E7FD8" w:rsidP="00173BDC">
      <w:pPr>
        <w:spacing w:line="360" w:lineRule="auto"/>
        <w:jc w:val="both"/>
        <w:rPr>
          <w:rFonts w:ascii="Arial" w:hAnsi="Arial" w:cs="Arial"/>
          <w:sz w:val="22"/>
          <w:szCs w:val="22"/>
        </w:rPr>
      </w:pPr>
    </w:p>
    <w:p w14:paraId="041F3277" w14:textId="77777777" w:rsidR="005702A5" w:rsidRDefault="005702A5" w:rsidP="00173BDC">
      <w:pPr>
        <w:spacing w:line="360" w:lineRule="auto"/>
        <w:jc w:val="both"/>
        <w:rPr>
          <w:rFonts w:ascii="Arial" w:hAnsi="Arial" w:cs="Arial"/>
          <w:sz w:val="22"/>
          <w:szCs w:val="22"/>
        </w:rPr>
      </w:pPr>
    </w:p>
    <w:p w14:paraId="11502A7D" w14:textId="77777777" w:rsidR="005702A5" w:rsidRDefault="005702A5" w:rsidP="00173BDC">
      <w:pPr>
        <w:spacing w:line="360" w:lineRule="auto"/>
        <w:jc w:val="both"/>
        <w:rPr>
          <w:rFonts w:ascii="Arial" w:hAnsi="Arial" w:cs="Arial"/>
          <w:sz w:val="22"/>
          <w:szCs w:val="22"/>
        </w:rPr>
      </w:pPr>
    </w:p>
    <w:p w14:paraId="3C652BB3" w14:textId="77777777" w:rsidR="005702A5" w:rsidRDefault="005702A5" w:rsidP="00173BDC">
      <w:pPr>
        <w:spacing w:line="360" w:lineRule="auto"/>
        <w:jc w:val="both"/>
        <w:rPr>
          <w:rFonts w:ascii="Arial" w:hAnsi="Arial" w:cs="Arial"/>
          <w:sz w:val="22"/>
          <w:szCs w:val="22"/>
        </w:rPr>
      </w:pPr>
    </w:p>
    <w:p w14:paraId="0B0B8F51" w14:textId="77777777" w:rsidR="005702A5" w:rsidRDefault="005702A5" w:rsidP="00173BDC">
      <w:pPr>
        <w:spacing w:line="360" w:lineRule="auto"/>
        <w:jc w:val="both"/>
        <w:rPr>
          <w:rFonts w:ascii="Arial" w:hAnsi="Arial" w:cs="Arial"/>
          <w:sz w:val="22"/>
          <w:szCs w:val="22"/>
        </w:rPr>
      </w:pPr>
    </w:p>
    <w:p w14:paraId="0BF52E2F" w14:textId="77777777" w:rsidR="005702A5" w:rsidRDefault="005702A5" w:rsidP="00173BDC">
      <w:pPr>
        <w:spacing w:line="360" w:lineRule="auto"/>
        <w:jc w:val="both"/>
        <w:rPr>
          <w:rFonts w:ascii="Arial" w:hAnsi="Arial" w:cs="Arial"/>
          <w:sz w:val="22"/>
          <w:szCs w:val="22"/>
        </w:rPr>
      </w:pPr>
    </w:p>
    <w:p w14:paraId="1874B156" w14:textId="77777777" w:rsidR="005702A5" w:rsidRDefault="005702A5" w:rsidP="00173BDC">
      <w:pPr>
        <w:spacing w:line="360" w:lineRule="auto"/>
        <w:jc w:val="both"/>
        <w:rPr>
          <w:rFonts w:ascii="Arial" w:hAnsi="Arial" w:cs="Arial"/>
          <w:sz w:val="22"/>
          <w:szCs w:val="22"/>
        </w:rPr>
      </w:pPr>
    </w:p>
    <w:p w14:paraId="2B232313" w14:textId="77777777" w:rsidR="005702A5" w:rsidRDefault="005702A5" w:rsidP="00173BDC">
      <w:pPr>
        <w:spacing w:line="360" w:lineRule="auto"/>
        <w:jc w:val="both"/>
        <w:rPr>
          <w:rFonts w:ascii="Arial" w:hAnsi="Arial" w:cs="Arial"/>
          <w:sz w:val="22"/>
          <w:szCs w:val="22"/>
        </w:rPr>
      </w:pPr>
    </w:p>
    <w:p w14:paraId="2EE7A485" w14:textId="77777777" w:rsidR="005702A5" w:rsidRDefault="005702A5" w:rsidP="00173BDC">
      <w:pPr>
        <w:spacing w:line="360" w:lineRule="auto"/>
        <w:jc w:val="both"/>
        <w:rPr>
          <w:rFonts w:ascii="Arial" w:hAnsi="Arial" w:cs="Arial"/>
          <w:sz w:val="22"/>
          <w:szCs w:val="22"/>
        </w:rPr>
      </w:pPr>
    </w:p>
    <w:p w14:paraId="59DCF0C5" w14:textId="4DAEEB2D" w:rsidR="007D76C2" w:rsidRPr="00312763" w:rsidRDefault="00647BA2" w:rsidP="007D76C2">
      <w:pPr>
        <w:spacing w:line="360" w:lineRule="auto"/>
        <w:jc w:val="both"/>
        <w:rPr>
          <w:rFonts w:ascii="Arial" w:hAnsi="Arial" w:cs="Arial"/>
          <w:b/>
          <w:bCs/>
        </w:rPr>
      </w:pPr>
      <w:r w:rsidRPr="00312763">
        <w:rPr>
          <w:rFonts w:ascii="Arial" w:hAnsi="Arial" w:cs="Arial"/>
          <w:b/>
          <w:bCs/>
        </w:rPr>
        <w:t>6.1 Reflections</w:t>
      </w:r>
      <w:r w:rsidR="007D76C2" w:rsidRPr="00312763">
        <w:rPr>
          <w:rFonts w:ascii="Arial" w:hAnsi="Arial" w:cs="Arial"/>
          <w:b/>
          <w:bCs/>
        </w:rPr>
        <w:t xml:space="preserve"> on the Research Approach</w:t>
      </w:r>
    </w:p>
    <w:p w14:paraId="30436CF3" w14:textId="77777777" w:rsidR="00476D4F" w:rsidRPr="00476D4F" w:rsidRDefault="00476D4F" w:rsidP="00476D4F">
      <w:pPr>
        <w:spacing w:line="360" w:lineRule="auto"/>
        <w:jc w:val="both"/>
        <w:rPr>
          <w:rFonts w:ascii="Arial" w:hAnsi="Arial" w:cs="Arial"/>
          <w:sz w:val="22"/>
          <w:szCs w:val="22"/>
        </w:rPr>
      </w:pPr>
      <w:r w:rsidRPr="00476D4F">
        <w:rPr>
          <w:rFonts w:ascii="Arial" w:hAnsi="Arial" w:cs="Arial"/>
          <w:sz w:val="22"/>
          <w:szCs w:val="22"/>
        </w:rPr>
        <w:t>The qualitative systematic review approach was broadly effective in addressing the research question because it enabled synthesis of experiences and mechanisms that quantitative evidence alone cannot fully explain. The four themes, structural exclusion from primary care, ED attendance as a rational response to access failure, the invisibility of the most deprived in policy responses, and compounding disadvantage, provide a more nuanced account of the relationship between primary care access and ED utilisation. The use of multiple sources, including peer-reviewed studies, CQC data and NHS patient experience evidence, also supported triangulation across different contexts.</w:t>
      </w:r>
    </w:p>
    <w:p w14:paraId="0AD1FB0D" w14:textId="359C8496" w:rsidR="00476D4F" w:rsidRPr="00476D4F" w:rsidRDefault="00476D4F" w:rsidP="00476D4F">
      <w:pPr>
        <w:spacing w:line="360" w:lineRule="auto"/>
        <w:jc w:val="both"/>
        <w:rPr>
          <w:rFonts w:ascii="Arial" w:hAnsi="Arial" w:cs="Arial"/>
          <w:sz w:val="22"/>
          <w:szCs w:val="22"/>
        </w:rPr>
      </w:pPr>
      <w:r w:rsidRPr="00476D4F">
        <w:rPr>
          <w:rFonts w:ascii="Arial" w:hAnsi="Arial" w:cs="Arial"/>
          <w:sz w:val="22"/>
          <w:szCs w:val="22"/>
        </w:rPr>
        <w:t xml:space="preserve">However, the review highlighted an important limitation: the qualitative evidence base in this field remains </w:t>
      </w:r>
      <w:r w:rsidR="004D22BD" w:rsidRPr="00476D4F">
        <w:rPr>
          <w:rFonts w:ascii="Arial" w:hAnsi="Arial" w:cs="Arial"/>
          <w:sz w:val="22"/>
          <w:szCs w:val="22"/>
        </w:rPr>
        <w:t>limited</w:t>
      </w:r>
      <w:r w:rsidRPr="00476D4F">
        <w:rPr>
          <w:rFonts w:ascii="Arial" w:hAnsi="Arial" w:cs="Arial"/>
          <w:sz w:val="22"/>
          <w:szCs w:val="22"/>
        </w:rPr>
        <w:t xml:space="preserve"> compared with the volume of quantitative research. This restricted the breadth of qualitative perspectives available and places limits on the extent to which the findings can be generalised.</w:t>
      </w:r>
    </w:p>
    <w:p w14:paraId="72E30170" w14:textId="646ECBC3" w:rsidR="00C74F3A" w:rsidRDefault="00476D4F" w:rsidP="00476D4F">
      <w:pPr>
        <w:spacing w:line="360" w:lineRule="auto"/>
        <w:jc w:val="both"/>
        <w:rPr>
          <w:rFonts w:ascii="Arial" w:hAnsi="Arial" w:cs="Arial"/>
          <w:sz w:val="22"/>
          <w:szCs w:val="22"/>
        </w:rPr>
      </w:pPr>
      <w:r w:rsidRPr="00476D4F">
        <w:rPr>
          <w:rFonts w:ascii="Arial" w:hAnsi="Arial" w:cs="Arial"/>
          <w:sz w:val="22"/>
          <w:szCs w:val="22"/>
        </w:rPr>
        <w:t>One unexpected finding was that the ED can function as a social as well as clinical resource for isolated patients, providing human contact and reassurance where other support is absent. This extends Andersen’s (1995) framework, which focuses on need and enabling factors but does not fully capture the relational role of healthcare services. The finding suggests that reducing ED attendance without addressing underlying social isolation may overlook an important determinant of emergency care use.</w:t>
      </w:r>
    </w:p>
    <w:p w14:paraId="54C8BC97" w14:textId="77777777" w:rsidR="007A61A7" w:rsidRDefault="007A61A7" w:rsidP="00173BDC">
      <w:pPr>
        <w:spacing w:line="360" w:lineRule="auto"/>
        <w:jc w:val="both"/>
        <w:rPr>
          <w:rFonts w:ascii="Arial" w:hAnsi="Arial" w:cs="Arial"/>
          <w:sz w:val="22"/>
          <w:szCs w:val="22"/>
        </w:rPr>
      </w:pPr>
    </w:p>
    <w:p w14:paraId="4DF12A9D" w14:textId="77777777" w:rsidR="0036497A" w:rsidRDefault="0036497A" w:rsidP="001239AE">
      <w:pPr>
        <w:pStyle w:val="NoSpacing"/>
        <w:rPr>
          <w:rFonts w:ascii="Arial" w:hAnsi="Arial" w:cs="Arial"/>
          <w:b/>
          <w:bCs/>
          <w:sz w:val="28"/>
          <w:szCs w:val="28"/>
        </w:rPr>
      </w:pPr>
      <w:bookmarkStart w:id="9" w:name="_Toc240714308"/>
    </w:p>
    <w:p w14:paraId="34EE9AB6" w14:textId="6380595D" w:rsidR="008A1869" w:rsidRDefault="00647BA2" w:rsidP="001239AE">
      <w:pPr>
        <w:pStyle w:val="NoSpacing"/>
        <w:rPr>
          <w:rFonts w:ascii="Arial" w:hAnsi="Arial" w:cs="Arial"/>
          <w:b/>
          <w:bCs/>
          <w:sz w:val="28"/>
          <w:szCs w:val="28"/>
        </w:rPr>
      </w:pPr>
      <w:r w:rsidRPr="001239AE">
        <w:rPr>
          <w:rFonts w:ascii="Arial" w:hAnsi="Arial" w:cs="Arial"/>
          <w:b/>
          <w:bCs/>
          <w:sz w:val="28"/>
          <w:szCs w:val="28"/>
        </w:rPr>
        <w:t>6.2 Recommendations</w:t>
      </w:r>
      <w:r w:rsidR="008A1869" w:rsidRPr="001239AE">
        <w:rPr>
          <w:rFonts w:ascii="Arial" w:hAnsi="Arial" w:cs="Arial"/>
          <w:b/>
          <w:bCs/>
          <w:sz w:val="28"/>
          <w:szCs w:val="28"/>
        </w:rPr>
        <w:t xml:space="preserve"> for Policy and Practice</w:t>
      </w:r>
      <w:bookmarkEnd w:id="9"/>
    </w:p>
    <w:p w14:paraId="442C8539" w14:textId="77777777" w:rsidR="007A61A7" w:rsidRPr="001239AE" w:rsidRDefault="007A61A7" w:rsidP="001239AE">
      <w:pPr>
        <w:pStyle w:val="NoSpacing"/>
        <w:rPr>
          <w:rFonts w:ascii="Arial" w:hAnsi="Arial" w:cs="Arial"/>
          <w:b/>
          <w:bCs/>
          <w:sz w:val="28"/>
          <w:szCs w:val="28"/>
        </w:rPr>
      </w:pPr>
    </w:p>
    <w:p w14:paraId="7006F9FA" w14:textId="221780A0" w:rsidR="006545AF" w:rsidRPr="00415B3C" w:rsidRDefault="00647BA2" w:rsidP="006545AF">
      <w:pPr>
        <w:spacing w:line="360" w:lineRule="auto"/>
        <w:jc w:val="both"/>
        <w:rPr>
          <w:rFonts w:ascii="Arial" w:hAnsi="Arial" w:cs="Arial"/>
          <w:b/>
          <w:bCs/>
          <w:sz w:val="22"/>
          <w:szCs w:val="22"/>
        </w:rPr>
      </w:pPr>
      <w:r w:rsidRPr="00415B3C">
        <w:rPr>
          <w:rFonts w:ascii="Arial" w:hAnsi="Arial" w:cs="Arial"/>
          <w:b/>
          <w:bCs/>
          <w:sz w:val="22"/>
          <w:szCs w:val="22"/>
        </w:rPr>
        <w:t>6.2.1 Equity</w:t>
      </w:r>
      <w:r w:rsidR="006545AF" w:rsidRPr="00415B3C">
        <w:rPr>
          <w:rFonts w:ascii="Arial" w:hAnsi="Arial" w:cs="Arial"/>
          <w:b/>
          <w:bCs/>
          <w:sz w:val="22"/>
          <w:szCs w:val="22"/>
        </w:rPr>
        <w:t>-Targeted Primary Care Investment</w:t>
      </w:r>
    </w:p>
    <w:p w14:paraId="3F509BC0" w14:textId="0D962121" w:rsidR="0044107D" w:rsidRDefault="006545AF" w:rsidP="006545AF">
      <w:pPr>
        <w:spacing w:line="360" w:lineRule="auto"/>
        <w:jc w:val="both"/>
        <w:rPr>
          <w:rFonts w:ascii="Arial" w:hAnsi="Arial" w:cs="Arial"/>
          <w:sz w:val="22"/>
          <w:szCs w:val="22"/>
        </w:rPr>
      </w:pPr>
      <w:r w:rsidRPr="006545AF">
        <w:rPr>
          <w:rFonts w:ascii="Arial" w:hAnsi="Arial" w:cs="Arial"/>
          <w:sz w:val="22"/>
          <w:szCs w:val="22"/>
        </w:rPr>
        <w:t xml:space="preserve">Generic increases in primary care capacity will not reach the most deprived populations if the distribution of that capacity continues to reflect the inverse care law. </w:t>
      </w:r>
      <w:r w:rsidR="00A5066A" w:rsidRPr="00A5066A">
        <w:rPr>
          <w:rFonts w:ascii="Arial" w:hAnsi="Arial" w:cs="Arial"/>
          <w:sz w:val="22"/>
          <w:szCs w:val="22"/>
        </w:rPr>
        <w:t>Calastri et al. (2025)</w:t>
      </w:r>
      <w:r w:rsidRPr="006545AF">
        <w:rPr>
          <w:rFonts w:ascii="Arial" w:hAnsi="Arial" w:cs="Arial"/>
          <w:sz w:val="22"/>
          <w:szCs w:val="22"/>
        </w:rPr>
        <w:t xml:space="preserve"> demonstrate that the downstream secondary care costs of under-investing in deprived practices outweigh the upstream investment required. NHS </w:t>
      </w:r>
      <w:r w:rsidR="00D72F88">
        <w:rPr>
          <w:rFonts w:ascii="Arial" w:hAnsi="Arial" w:cs="Arial"/>
          <w:sz w:val="22"/>
          <w:szCs w:val="22"/>
        </w:rPr>
        <w:t>UK</w:t>
      </w:r>
      <w:r w:rsidRPr="006545AF">
        <w:rPr>
          <w:rFonts w:ascii="Arial" w:hAnsi="Arial" w:cs="Arial"/>
          <w:sz w:val="22"/>
          <w:szCs w:val="22"/>
        </w:rPr>
        <w:t xml:space="preserve"> and Integrated Care Boards should review capitation formula supplements for high-deprivation practices, consider enhanced GP workforce incentive schemes in deprived areas, and ensure that any access improvement investment is assessed against deprivation-stratified outcomes rather than average performance metrics.</w:t>
      </w:r>
    </w:p>
    <w:p w14:paraId="1A269E2C" w14:textId="77777777" w:rsidR="005702A5" w:rsidRDefault="005702A5" w:rsidP="006545AF">
      <w:pPr>
        <w:spacing w:line="360" w:lineRule="auto"/>
        <w:jc w:val="both"/>
        <w:rPr>
          <w:rFonts w:ascii="Arial" w:hAnsi="Arial" w:cs="Arial"/>
          <w:sz w:val="22"/>
          <w:szCs w:val="22"/>
        </w:rPr>
      </w:pPr>
    </w:p>
    <w:p w14:paraId="5A8F6B13" w14:textId="77777777" w:rsidR="0044107D" w:rsidRDefault="0044107D" w:rsidP="00173BDC">
      <w:pPr>
        <w:spacing w:line="360" w:lineRule="auto"/>
        <w:jc w:val="both"/>
        <w:rPr>
          <w:rFonts w:ascii="Arial" w:hAnsi="Arial" w:cs="Arial"/>
          <w:sz w:val="22"/>
          <w:szCs w:val="22"/>
        </w:rPr>
      </w:pPr>
    </w:p>
    <w:p w14:paraId="2322AC51" w14:textId="769AEAE2" w:rsidR="00D2572E" w:rsidRPr="00EF13D4" w:rsidRDefault="00647BA2" w:rsidP="00D2572E">
      <w:pPr>
        <w:spacing w:line="360" w:lineRule="auto"/>
        <w:jc w:val="both"/>
        <w:rPr>
          <w:rFonts w:ascii="Arial" w:hAnsi="Arial" w:cs="Arial"/>
          <w:b/>
          <w:bCs/>
          <w:sz w:val="22"/>
          <w:szCs w:val="22"/>
        </w:rPr>
      </w:pPr>
      <w:r w:rsidRPr="00EF13D4">
        <w:rPr>
          <w:rFonts w:ascii="Arial" w:hAnsi="Arial" w:cs="Arial"/>
          <w:b/>
          <w:bCs/>
          <w:sz w:val="22"/>
          <w:szCs w:val="22"/>
        </w:rPr>
        <w:t>6.2.2 Digital</w:t>
      </w:r>
      <w:r w:rsidR="00D2572E" w:rsidRPr="00EF13D4">
        <w:rPr>
          <w:rFonts w:ascii="Arial" w:hAnsi="Arial" w:cs="Arial"/>
          <w:b/>
          <w:bCs/>
          <w:sz w:val="22"/>
          <w:szCs w:val="22"/>
        </w:rPr>
        <w:t xml:space="preserve"> Inclusion as a Primary Care Equity Imperative</w:t>
      </w:r>
    </w:p>
    <w:p w14:paraId="094B15DF" w14:textId="28CF576F" w:rsidR="003E7FD8" w:rsidRDefault="00D2572E" w:rsidP="00173BDC">
      <w:pPr>
        <w:spacing w:line="360" w:lineRule="auto"/>
        <w:jc w:val="both"/>
        <w:rPr>
          <w:rFonts w:ascii="Arial" w:hAnsi="Arial" w:cs="Arial"/>
          <w:sz w:val="22"/>
          <w:szCs w:val="22"/>
        </w:rPr>
      </w:pPr>
      <w:r w:rsidRPr="00D2572E">
        <w:rPr>
          <w:rFonts w:ascii="Arial" w:hAnsi="Arial" w:cs="Arial"/>
          <w:sz w:val="22"/>
          <w:szCs w:val="22"/>
        </w:rPr>
        <w:t xml:space="preserve">The evidence presented in Chapter Four and discussed in Chapter Five shows that the shift to digital-first primary care access has disproportionately harmed the most deprived patient populations, creating new structural barriers for those already excluded by language, poverty, or age. It is recommended that NHS </w:t>
      </w:r>
      <w:r w:rsidR="00D01D20">
        <w:rPr>
          <w:rFonts w:ascii="Arial" w:hAnsi="Arial" w:cs="Arial"/>
          <w:sz w:val="22"/>
          <w:szCs w:val="22"/>
        </w:rPr>
        <w:t>UK</w:t>
      </w:r>
      <w:r w:rsidRPr="00D2572E">
        <w:rPr>
          <w:rFonts w:ascii="Arial" w:hAnsi="Arial" w:cs="Arial"/>
          <w:sz w:val="22"/>
          <w:szCs w:val="22"/>
        </w:rPr>
        <w:t xml:space="preserve">s digital transformation programme in primary care be accompanied by mandatory equity impact assessments and minimum standards for non-digital access alternatives, including telephone access with adequate staffing, in-person triage options, and community intermediary support for patients who cannot engage with digital systems. It </w:t>
      </w:r>
      <w:r w:rsidR="00647BA2" w:rsidRPr="00D2572E">
        <w:rPr>
          <w:rFonts w:ascii="Arial" w:hAnsi="Arial" w:cs="Arial"/>
          <w:sz w:val="22"/>
          <w:szCs w:val="22"/>
        </w:rPr>
        <w:t>may be</w:t>
      </w:r>
      <w:r w:rsidRPr="00D2572E">
        <w:rPr>
          <w:rFonts w:ascii="Arial" w:hAnsi="Arial" w:cs="Arial"/>
          <w:sz w:val="22"/>
          <w:szCs w:val="22"/>
        </w:rPr>
        <w:t xml:space="preserve"> worth considering whether community pharmacies, libraries, or voluntary sector organisations could be commissioned to provide supported navigation of digital access for digitally excluded patients in high-deprivation areas.</w:t>
      </w:r>
    </w:p>
    <w:p w14:paraId="73F5507F" w14:textId="77777777" w:rsidR="00AF485B" w:rsidRDefault="00AF485B" w:rsidP="00173BDC">
      <w:pPr>
        <w:spacing w:line="360" w:lineRule="auto"/>
        <w:jc w:val="both"/>
        <w:rPr>
          <w:rFonts w:ascii="Arial" w:hAnsi="Arial" w:cs="Arial"/>
          <w:sz w:val="22"/>
          <w:szCs w:val="22"/>
        </w:rPr>
      </w:pPr>
    </w:p>
    <w:p w14:paraId="2EF20960" w14:textId="31999C2A" w:rsidR="00EF7002" w:rsidRPr="00EF7002" w:rsidRDefault="00647BA2" w:rsidP="00EF7002">
      <w:pPr>
        <w:spacing w:line="360" w:lineRule="auto"/>
        <w:jc w:val="both"/>
        <w:rPr>
          <w:rFonts w:ascii="Arial" w:hAnsi="Arial" w:cs="Arial"/>
          <w:b/>
          <w:bCs/>
          <w:sz w:val="22"/>
          <w:szCs w:val="22"/>
        </w:rPr>
      </w:pPr>
      <w:r w:rsidRPr="00EF7002">
        <w:rPr>
          <w:rFonts w:ascii="Arial" w:hAnsi="Arial" w:cs="Arial"/>
          <w:b/>
          <w:bCs/>
          <w:sz w:val="22"/>
          <w:szCs w:val="22"/>
        </w:rPr>
        <w:t>6.2.3 Community</w:t>
      </w:r>
      <w:r w:rsidR="00EF7002" w:rsidRPr="00EF7002">
        <w:rPr>
          <w:rFonts w:ascii="Arial" w:hAnsi="Arial" w:cs="Arial"/>
          <w:b/>
          <w:bCs/>
          <w:sz w:val="22"/>
          <w:szCs w:val="22"/>
        </w:rPr>
        <w:t>-Embedded Primary Care Outreach</w:t>
      </w:r>
    </w:p>
    <w:p w14:paraId="4F4A4C02" w14:textId="6AC24E42" w:rsidR="0044107D" w:rsidRPr="000A3B33" w:rsidRDefault="00EF7002" w:rsidP="00173BDC">
      <w:pPr>
        <w:spacing w:line="360" w:lineRule="auto"/>
        <w:jc w:val="both"/>
        <w:rPr>
          <w:rFonts w:ascii="Arial" w:hAnsi="Arial" w:cs="Arial"/>
          <w:sz w:val="22"/>
          <w:szCs w:val="22"/>
        </w:rPr>
      </w:pPr>
      <w:r w:rsidRPr="00EF7002">
        <w:rPr>
          <w:rFonts w:ascii="Arial" w:hAnsi="Arial" w:cs="Arial"/>
          <w:sz w:val="22"/>
          <w:szCs w:val="22"/>
        </w:rPr>
        <w:t xml:space="preserve">The finding that the most marginalised patients, those experiencing homelessness, severe mental illness, language isolation, or multiple compounding disadvantages, are consistently absent from both the evidence base and the reach of evaluated interventions suggests the need for a fundamentally different access model for this population. It is recommended that commissioners explore co-produced, community-embedded primary care outreach models, in which GP and nursing provision is delivered in the settings where the most marginalised patients are already present: housing support services, food banks, community mental health day centres and refugee support organisations. </w:t>
      </w:r>
      <w:r w:rsidR="006B6DA0" w:rsidRPr="006B6DA0">
        <w:rPr>
          <w:rFonts w:ascii="Arial" w:hAnsi="Arial" w:cs="Arial"/>
          <w:sz w:val="22"/>
          <w:szCs w:val="22"/>
        </w:rPr>
        <w:t xml:space="preserve">The models exist in nascent form, including the GPs at the Deep End programme and various Inclusion Health initiatives, but they remain marginal in commissioning terms and unevaluated at scale. </w:t>
      </w:r>
      <w:r w:rsidRPr="00EF7002">
        <w:rPr>
          <w:rFonts w:ascii="Arial" w:hAnsi="Arial" w:cs="Arial"/>
          <w:sz w:val="22"/>
          <w:szCs w:val="22"/>
        </w:rPr>
        <w:t>Pilot funding for structured evaluation of such models, with equity impact as the primary outcome measure, would address both the evidence gap and the practice gap simultaneously.</w:t>
      </w:r>
    </w:p>
    <w:p w14:paraId="28BFB261" w14:textId="77777777" w:rsidR="00CB1220" w:rsidRPr="00CB1220" w:rsidRDefault="00CB1220" w:rsidP="00173BDC">
      <w:pPr>
        <w:spacing w:line="360" w:lineRule="auto"/>
        <w:jc w:val="both"/>
        <w:rPr>
          <w:rFonts w:ascii="Arial" w:hAnsi="Arial" w:cs="Arial"/>
          <w:b/>
          <w:bCs/>
          <w:sz w:val="22"/>
          <w:szCs w:val="22"/>
        </w:rPr>
      </w:pPr>
    </w:p>
    <w:p w14:paraId="4FFB467A" w14:textId="1EDAB673" w:rsidR="00EB5223" w:rsidRPr="00CB1220" w:rsidRDefault="00647BA2" w:rsidP="00EB5223">
      <w:pPr>
        <w:spacing w:line="360" w:lineRule="auto"/>
        <w:jc w:val="both"/>
        <w:rPr>
          <w:rFonts w:ascii="Arial" w:hAnsi="Arial" w:cs="Arial"/>
          <w:b/>
          <w:bCs/>
          <w:sz w:val="22"/>
          <w:szCs w:val="22"/>
        </w:rPr>
      </w:pPr>
      <w:r w:rsidRPr="00CB1220">
        <w:rPr>
          <w:rFonts w:ascii="Arial" w:hAnsi="Arial" w:cs="Arial"/>
          <w:b/>
          <w:bCs/>
          <w:sz w:val="22"/>
          <w:szCs w:val="22"/>
        </w:rPr>
        <w:t>6.2.</w:t>
      </w:r>
      <w:r>
        <w:rPr>
          <w:rFonts w:ascii="Arial" w:hAnsi="Arial" w:cs="Arial"/>
          <w:b/>
          <w:bCs/>
          <w:sz w:val="22"/>
          <w:szCs w:val="22"/>
        </w:rPr>
        <w:t>4</w:t>
      </w:r>
      <w:r w:rsidRPr="00CB1220">
        <w:rPr>
          <w:rFonts w:ascii="Arial" w:hAnsi="Arial" w:cs="Arial"/>
          <w:b/>
          <w:bCs/>
          <w:sz w:val="22"/>
          <w:szCs w:val="22"/>
        </w:rPr>
        <w:t xml:space="preserve"> Recommendations</w:t>
      </w:r>
      <w:r w:rsidR="00EB5223" w:rsidRPr="00CB1220">
        <w:rPr>
          <w:rFonts w:ascii="Arial" w:hAnsi="Arial" w:cs="Arial"/>
          <w:b/>
          <w:bCs/>
          <w:sz w:val="22"/>
          <w:szCs w:val="22"/>
        </w:rPr>
        <w:t xml:space="preserve"> for Future Research</w:t>
      </w:r>
    </w:p>
    <w:p w14:paraId="303C6EA2" w14:textId="77777777" w:rsidR="00A13142" w:rsidRPr="00A13142" w:rsidRDefault="00A13142" w:rsidP="00A13142">
      <w:pPr>
        <w:spacing w:line="360" w:lineRule="auto"/>
        <w:jc w:val="both"/>
        <w:rPr>
          <w:rFonts w:ascii="Arial" w:hAnsi="Arial" w:cs="Arial"/>
          <w:sz w:val="22"/>
          <w:szCs w:val="22"/>
        </w:rPr>
      </w:pPr>
      <w:r w:rsidRPr="00A13142">
        <w:rPr>
          <w:rFonts w:ascii="Arial" w:hAnsi="Arial" w:cs="Arial"/>
          <w:sz w:val="22"/>
          <w:szCs w:val="22"/>
        </w:rPr>
        <w:t>This review identifies four areas for future research.</w:t>
      </w:r>
    </w:p>
    <w:p w14:paraId="06C7B01A" w14:textId="4D222518" w:rsidR="00A13142" w:rsidRPr="00A13142" w:rsidRDefault="00A13142" w:rsidP="00A13142">
      <w:pPr>
        <w:spacing w:line="360" w:lineRule="auto"/>
        <w:jc w:val="both"/>
        <w:rPr>
          <w:rFonts w:ascii="Arial" w:hAnsi="Arial" w:cs="Arial"/>
          <w:sz w:val="22"/>
          <w:szCs w:val="22"/>
        </w:rPr>
      </w:pPr>
      <w:r w:rsidRPr="00A13142">
        <w:rPr>
          <w:rFonts w:ascii="Arial" w:hAnsi="Arial" w:cs="Arial"/>
          <w:sz w:val="22"/>
          <w:szCs w:val="22"/>
        </w:rPr>
        <w:t xml:space="preserve">Firstly, primary qualitative research with socioeconomically deprived patients in the UK is needed. Secondary synthesis provides useful thematic insights but cannot replace direct engagement with patients. Ethnographic or longitudinal studies could explore patients’ healthcare journeys, including attempts to access primary care, unmet </w:t>
      </w:r>
      <w:r w:rsidR="00FB4BF9" w:rsidRPr="00A13142">
        <w:rPr>
          <w:rFonts w:ascii="Arial" w:hAnsi="Arial" w:cs="Arial"/>
          <w:sz w:val="22"/>
          <w:szCs w:val="22"/>
        </w:rPr>
        <w:t>need,</w:t>
      </w:r>
      <w:r w:rsidRPr="00A13142">
        <w:rPr>
          <w:rFonts w:ascii="Arial" w:hAnsi="Arial" w:cs="Arial"/>
          <w:sz w:val="22"/>
          <w:szCs w:val="22"/>
        </w:rPr>
        <w:t xml:space="preserve"> and subsequent ED attendance.</w:t>
      </w:r>
    </w:p>
    <w:p w14:paraId="74B4AC18" w14:textId="37B9D22D" w:rsidR="00A13142" w:rsidRPr="00A13142" w:rsidRDefault="00A13142" w:rsidP="00A13142">
      <w:pPr>
        <w:spacing w:line="360" w:lineRule="auto"/>
        <w:jc w:val="both"/>
        <w:rPr>
          <w:rFonts w:ascii="Arial" w:hAnsi="Arial" w:cs="Arial"/>
          <w:sz w:val="22"/>
          <w:szCs w:val="22"/>
        </w:rPr>
      </w:pPr>
      <w:r w:rsidRPr="00A13142">
        <w:rPr>
          <w:rFonts w:ascii="Arial" w:hAnsi="Arial" w:cs="Arial"/>
          <w:sz w:val="22"/>
          <w:szCs w:val="22"/>
        </w:rPr>
        <w:lastRenderedPageBreak/>
        <w:t xml:space="preserve">Secondly, future research should examine the intersection of multiple disadvantages. This review suggests that deprivation interacts with factors such as race, gender, </w:t>
      </w:r>
      <w:r w:rsidR="00FB4BF9" w:rsidRPr="00A13142">
        <w:rPr>
          <w:rFonts w:ascii="Arial" w:hAnsi="Arial" w:cs="Arial"/>
          <w:sz w:val="22"/>
          <w:szCs w:val="22"/>
        </w:rPr>
        <w:t>disability,</w:t>
      </w:r>
      <w:r w:rsidRPr="00A13142">
        <w:rPr>
          <w:rFonts w:ascii="Arial" w:hAnsi="Arial" w:cs="Arial"/>
          <w:sz w:val="22"/>
          <w:szCs w:val="22"/>
        </w:rPr>
        <w:t xml:space="preserve"> and immigration status, but secondary data limited systematic exploration of these relationships. Intersectional qualitative research could provide greater understanding of how these factors shape access.</w:t>
      </w:r>
    </w:p>
    <w:p w14:paraId="40A127D8" w14:textId="77777777" w:rsidR="00A13142" w:rsidRPr="00A13142" w:rsidRDefault="00A13142" w:rsidP="00A13142">
      <w:pPr>
        <w:spacing w:line="360" w:lineRule="auto"/>
        <w:jc w:val="both"/>
        <w:rPr>
          <w:rFonts w:ascii="Arial" w:hAnsi="Arial" w:cs="Arial"/>
          <w:sz w:val="22"/>
          <w:szCs w:val="22"/>
        </w:rPr>
      </w:pPr>
      <w:r w:rsidRPr="00A13142">
        <w:rPr>
          <w:rFonts w:ascii="Arial" w:hAnsi="Arial" w:cs="Arial"/>
          <w:sz w:val="22"/>
          <w:szCs w:val="22"/>
        </w:rPr>
        <w:t>Thirdly, the social and relational role of EDs for isolated patients requires further investigation. Research should explore what the ED represents for patients who use it as a de facto source of primary care or social support, and the potential consequences of reducing attendance without providing alternative support.</w:t>
      </w:r>
    </w:p>
    <w:p w14:paraId="294525BE" w14:textId="7F4BA058" w:rsidR="0044107D" w:rsidRDefault="00A13142" w:rsidP="00A13142">
      <w:pPr>
        <w:spacing w:line="360" w:lineRule="auto"/>
        <w:jc w:val="both"/>
        <w:rPr>
          <w:rFonts w:ascii="Arial" w:hAnsi="Arial" w:cs="Arial"/>
          <w:sz w:val="22"/>
          <w:szCs w:val="22"/>
        </w:rPr>
      </w:pPr>
      <w:r w:rsidRPr="00A13142">
        <w:rPr>
          <w:rFonts w:ascii="Arial" w:hAnsi="Arial" w:cs="Arial"/>
          <w:sz w:val="22"/>
          <w:szCs w:val="22"/>
        </w:rPr>
        <w:t>Finally, evaluations of primary care access interventions should measure equity as well as overall effectiveness. Studies reporting only aggregate ED attendance cannot establish whether interventions benefit deprived populations equally. Future evaluations should therefore include deprivation and distributional effects as explicit outcomes, enabling assessment of whether interventions reduce or reproduce health inequalities.</w:t>
      </w:r>
    </w:p>
    <w:p w14:paraId="3C32CE98" w14:textId="77777777" w:rsidR="00004D4B" w:rsidRDefault="00004D4B" w:rsidP="00173BDC">
      <w:pPr>
        <w:spacing w:line="360" w:lineRule="auto"/>
        <w:jc w:val="both"/>
        <w:rPr>
          <w:rFonts w:ascii="Arial" w:hAnsi="Arial" w:cs="Arial"/>
          <w:sz w:val="22"/>
          <w:szCs w:val="22"/>
        </w:rPr>
      </w:pPr>
    </w:p>
    <w:p w14:paraId="7CD85AD9" w14:textId="12E6CD4D" w:rsidR="00C0100E" w:rsidRPr="00C0100E" w:rsidRDefault="00647BA2" w:rsidP="00C0100E">
      <w:pPr>
        <w:spacing w:line="360" w:lineRule="auto"/>
        <w:jc w:val="both"/>
        <w:rPr>
          <w:rFonts w:ascii="Arial" w:hAnsi="Arial" w:cs="Arial"/>
          <w:sz w:val="22"/>
          <w:szCs w:val="22"/>
        </w:rPr>
      </w:pPr>
      <w:r w:rsidRPr="00C0100E">
        <w:rPr>
          <w:rFonts w:ascii="Arial" w:hAnsi="Arial" w:cs="Arial"/>
          <w:b/>
          <w:bCs/>
          <w:sz w:val="22"/>
          <w:szCs w:val="22"/>
        </w:rPr>
        <w:t>6.2.</w:t>
      </w:r>
      <w:r>
        <w:rPr>
          <w:rFonts w:ascii="Arial" w:hAnsi="Arial" w:cs="Arial"/>
          <w:b/>
          <w:bCs/>
          <w:sz w:val="22"/>
          <w:szCs w:val="22"/>
        </w:rPr>
        <w:t>5</w:t>
      </w:r>
      <w:r w:rsidRPr="00C0100E">
        <w:rPr>
          <w:rFonts w:ascii="Arial" w:hAnsi="Arial" w:cs="Arial"/>
          <w:b/>
          <w:bCs/>
          <w:sz w:val="22"/>
          <w:szCs w:val="22"/>
        </w:rPr>
        <w:t xml:space="preserve"> The</w:t>
      </w:r>
      <w:r w:rsidR="00C0100E" w:rsidRPr="00C0100E">
        <w:rPr>
          <w:rFonts w:ascii="Arial" w:hAnsi="Arial" w:cs="Arial"/>
          <w:b/>
          <w:bCs/>
          <w:sz w:val="22"/>
          <w:szCs w:val="22"/>
        </w:rPr>
        <w:t xml:space="preserve"> Contribution of This Study</w:t>
      </w:r>
    </w:p>
    <w:p w14:paraId="111E9DC2" w14:textId="13E0348F" w:rsidR="000B6351" w:rsidRDefault="000B6351" w:rsidP="00173BDC">
      <w:pPr>
        <w:spacing w:line="360" w:lineRule="auto"/>
        <w:jc w:val="both"/>
        <w:rPr>
          <w:rFonts w:ascii="Arial" w:hAnsi="Arial" w:cs="Arial"/>
          <w:sz w:val="22"/>
          <w:szCs w:val="22"/>
        </w:rPr>
      </w:pPr>
      <w:r w:rsidRPr="000B6351">
        <w:rPr>
          <w:rFonts w:ascii="Arial" w:hAnsi="Arial" w:cs="Arial"/>
          <w:sz w:val="22"/>
          <w:szCs w:val="22"/>
        </w:rPr>
        <w:t>This dissertation makes four contributions to knowledge. First</w:t>
      </w:r>
      <w:r w:rsidR="00F3079F">
        <w:rPr>
          <w:rFonts w:ascii="Arial" w:hAnsi="Arial" w:cs="Arial"/>
          <w:sz w:val="22"/>
          <w:szCs w:val="22"/>
        </w:rPr>
        <w:t>ly</w:t>
      </w:r>
      <w:r w:rsidRPr="000B6351">
        <w:rPr>
          <w:rFonts w:ascii="Arial" w:hAnsi="Arial" w:cs="Arial"/>
          <w:sz w:val="22"/>
          <w:szCs w:val="22"/>
        </w:rPr>
        <w:t>, it provides the first qualitative systematic review of the association between primary care access and ED utilisation in deprived communities in the UK in the post-pandemic period, synthesising fourteen peer-reviewed studies across methods and settings spanning 2016 to 2026. Second</w:t>
      </w:r>
      <w:r w:rsidR="00F3079F">
        <w:rPr>
          <w:rFonts w:ascii="Arial" w:hAnsi="Arial" w:cs="Arial"/>
          <w:sz w:val="22"/>
          <w:szCs w:val="22"/>
        </w:rPr>
        <w:t>ly</w:t>
      </w:r>
      <w:r w:rsidRPr="000B6351">
        <w:rPr>
          <w:rFonts w:ascii="Arial" w:hAnsi="Arial" w:cs="Arial"/>
          <w:sz w:val="22"/>
          <w:szCs w:val="22"/>
        </w:rPr>
        <w:t>, it extends the inverse care law from its original geographic framing to a contemporary digital and organisational framing, showing that the law's structural logic reproduces itself through technology as readily as through geography. Third</w:t>
      </w:r>
      <w:r w:rsidR="00F3079F">
        <w:rPr>
          <w:rFonts w:ascii="Arial" w:hAnsi="Arial" w:cs="Arial"/>
          <w:sz w:val="22"/>
          <w:szCs w:val="22"/>
        </w:rPr>
        <w:t>ly</w:t>
      </w:r>
      <w:r w:rsidRPr="000B6351">
        <w:rPr>
          <w:rFonts w:ascii="Arial" w:hAnsi="Arial" w:cs="Arial"/>
          <w:sz w:val="22"/>
          <w:szCs w:val="22"/>
        </w:rPr>
        <w:t>, it provides a sustained, multi-study, evidence-based challenge to the 'inappropriate attender' framing, demonstrating not only that the framing is empirically unsupported but that it is potentially harmful, misdirecting resources toward behaviour-change interventions that cannot work while structural conditions remain unchanged. Fourth, it identifies the ED's social and relational function for isolated deprived patients as a distinct, previously under-theorised dimension of avoidable attendance, one that requires not only better primary care design but investment in the social infrastructure the ED is currently substituting for.</w:t>
      </w:r>
    </w:p>
    <w:p w14:paraId="5A4EFB28" w14:textId="77777777" w:rsidR="000B6351" w:rsidRDefault="000B6351" w:rsidP="00173BDC">
      <w:pPr>
        <w:spacing w:line="360" w:lineRule="auto"/>
        <w:jc w:val="both"/>
        <w:rPr>
          <w:rFonts w:ascii="Arial" w:hAnsi="Arial" w:cs="Arial"/>
          <w:sz w:val="22"/>
          <w:szCs w:val="22"/>
        </w:rPr>
      </w:pPr>
    </w:p>
    <w:p w14:paraId="3B5B01E8" w14:textId="7C628460" w:rsidR="000B6351" w:rsidRDefault="00647BA2" w:rsidP="00173BDC">
      <w:pPr>
        <w:spacing w:line="360" w:lineRule="auto"/>
        <w:jc w:val="both"/>
        <w:rPr>
          <w:rFonts w:ascii="Arial" w:hAnsi="Arial" w:cs="Arial"/>
          <w:sz w:val="22"/>
          <w:szCs w:val="22"/>
        </w:rPr>
      </w:pPr>
      <w:r w:rsidRPr="000B6351">
        <w:rPr>
          <w:rFonts w:ascii="Arial" w:hAnsi="Arial" w:cs="Arial"/>
          <w:b/>
          <w:bCs/>
          <w:sz w:val="22"/>
          <w:szCs w:val="22"/>
        </w:rPr>
        <w:t>6.2.</w:t>
      </w:r>
      <w:r>
        <w:rPr>
          <w:rFonts w:ascii="Arial" w:hAnsi="Arial" w:cs="Arial"/>
          <w:b/>
          <w:bCs/>
          <w:sz w:val="22"/>
          <w:szCs w:val="22"/>
        </w:rPr>
        <w:t>6</w:t>
      </w:r>
      <w:r w:rsidRPr="000B6351">
        <w:rPr>
          <w:rFonts w:ascii="Arial" w:hAnsi="Arial" w:cs="Arial"/>
          <w:b/>
          <w:bCs/>
          <w:sz w:val="22"/>
          <w:szCs w:val="22"/>
        </w:rPr>
        <w:t xml:space="preserve"> Final</w:t>
      </w:r>
      <w:r w:rsidR="00633F26" w:rsidRPr="00633F26">
        <w:rPr>
          <w:rFonts w:ascii="Arial" w:hAnsi="Arial" w:cs="Arial"/>
          <w:b/>
          <w:bCs/>
          <w:sz w:val="22"/>
          <w:szCs w:val="22"/>
        </w:rPr>
        <w:t xml:space="preserve"> Reflection</w:t>
      </w:r>
    </w:p>
    <w:p w14:paraId="3ACBC6DA" w14:textId="09138C74" w:rsidR="00F10184" w:rsidRPr="00F10184" w:rsidRDefault="00F10184" w:rsidP="00F10184">
      <w:pPr>
        <w:spacing w:line="360" w:lineRule="auto"/>
        <w:jc w:val="both"/>
        <w:rPr>
          <w:rFonts w:ascii="Arial" w:hAnsi="Arial" w:cs="Arial"/>
          <w:sz w:val="22"/>
          <w:szCs w:val="22"/>
        </w:rPr>
      </w:pPr>
      <w:r w:rsidRPr="00F10184">
        <w:rPr>
          <w:rFonts w:ascii="Arial" w:hAnsi="Arial" w:cs="Arial"/>
          <w:sz w:val="22"/>
          <w:szCs w:val="22"/>
        </w:rPr>
        <w:t xml:space="preserve">Behind every ED attendance rate, every access metric, and every policy document reviewed in this dissertation, a person is navigating a system that was designed, in aspiration if not always in practice, to serve everyone equally. The evidence assembled here suggests, with uncomfortable consistency, that it does not. The most deprived patients, those whose need is greatest, whose </w:t>
      </w:r>
      <w:r w:rsidRPr="00F10184">
        <w:rPr>
          <w:rFonts w:ascii="Arial" w:hAnsi="Arial" w:cs="Arial"/>
          <w:sz w:val="22"/>
          <w:szCs w:val="22"/>
        </w:rPr>
        <w:lastRenderedPageBreak/>
        <w:t xml:space="preserve">resilience has already been </w:t>
      </w:r>
      <w:r w:rsidR="006746AA" w:rsidRPr="00F10184">
        <w:rPr>
          <w:rFonts w:ascii="Arial" w:hAnsi="Arial" w:cs="Arial"/>
          <w:sz w:val="22"/>
          <w:szCs w:val="22"/>
        </w:rPr>
        <w:t>evaluated</w:t>
      </w:r>
      <w:r w:rsidRPr="00F10184">
        <w:rPr>
          <w:rFonts w:ascii="Arial" w:hAnsi="Arial" w:cs="Arial"/>
          <w:sz w:val="22"/>
          <w:szCs w:val="22"/>
        </w:rPr>
        <w:t xml:space="preserve"> by poverty, illness, isolation, and exclusion, are the least well served by the primary care system that should be their first and most reliable point of support. They attend emergency departments not because they choose to, not because they do not understand their options, but because the options available to them have been allowed to narrow to a point where emergency care is the only door reliably left open.</w:t>
      </w:r>
    </w:p>
    <w:p w14:paraId="3DEDF4A1" w14:textId="461875F0" w:rsidR="00117CB8" w:rsidRDefault="00F10184" w:rsidP="00173BDC">
      <w:pPr>
        <w:spacing w:line="360" w:lineRule="auto"/>
        <w:jc w:val="both"/>
        <w:rPr>
          <w:rFonts w:ascii="Arial" w:hAnsi="Arial" w:cs="Arial"/>
          <w:sz w:val="22"/>
          <w:szCs w:val="22"/>
        </w:rPr>
      </w:pPr>
      <w:r w:rsidRPr="00F10184">
        <w:rPr>
          <w:rFonts w:ascii="Arial" w:hAnsi="Arial" w:cs="Arial"/>
          <w:sz w:val="22"/>
          <w:szCs w:val="22"/>
        </w:rPr>
        <w:t>This is not an inevitable feature of the NHS. It is a product of specific policy decisions, resource allocation patterns, and service designs that can be changed. The evidence reviewed here does not support despair; it supports the case for structural reform, sustained investment in deprived communities, and a commitment to designing healthcare access around the needs of those who face the greatest barriers rather than those who face the fewest. That is</w:t>
      </w:r>
      <w:r w:rsidR="004D22BD" w:rsidRPr="00F10184">
        <w:rPr>
          <w:rFonts w:ascii="Arial" w:hAnsi="Arial" w:cs="Arial"/>
          <w:sz w:val="22"/>
          <w:szCs w:val="22"/>
        </w:rPr>
        <w:t xml:space="preserve"> what</w:t>
      </w:r>
      <w:r w:rsidRPr="00F10184">
        <w:rPr>
          <w:rFonts w:ascii="Arial" w:hAnsi="Arial" w:cs="Arial"/>
          <w:sz w:val="22"/>
          <w:szCs w:val="22"/>
        </w:rPr>
        <w:t xml:space="preserve"> the NHS was founded to do. Returning to that founding commitment, with the specificity, the resource, and the political will that the evidence demands, is the challenge this dissertation leaves with its readers. The findings of this dissertation aim to inform policies and service planning intended to improve equitable access to primary care, reduce avoidable pressure on emergency services, and support wider efforts to address health inequalities (NHS Confederation, 2024).</w:t>
      </w:r>
    </w:p>
    <w:p w14:paraId="4D6070E7" w14:textId="77777777" w:rsidR="00117CB8" w:rsidRDefault="00117CB8" w:rsidP="00173BDC">
      <w:pPr>
        <w:spacing w:line="360" w:lineRule="auto"/>
        <w:jc w:val="both"/>
        <w:rPr>
          <w:rFonts w:ascii="Arial" w:hAnsi="Arial" w:cs="Arial"/>
          <w:sz w:val="22"/>
          <w:szCs w:val="22"/>
        </w:rPr>
      </w:pPr>
    </w:p>
    <w:p w14:paraId="468790CE" w14:textId="77777777" w:rsidR="00004D4B" w:rsidRDefault="00004D4B" w:rsidP="00A40A48">
      <w:pPr>
        <w:pStyle w:val="NoSpacing"/>
        <w:rPr>
          <w:rFonts w:ascii="Arial" w:hAnsi="Arial" w:cs="Arial"/>
          <w:b/>
          <w:bCs/>
          <w:sz w:val="28"/>
          <w:szCs w:val="28"/>
        </w:rPr>
      </w:pPr>
      <w:bookmarkStart w:id="10" w:name="_Toc240714309"/>
    </w:p>
    <w:p w14:paraId="5C131249" w14:textId="77777777" w:rsidR="00004D4B" w:rsidRDefault="00004D4B" w:rsidP="00A40A48">
      <w:pPr>
        <w:pStyle w:val="NoSpacing"/>
        <w:rPr>
          <w:rFonts w:ascii="Arial" w:hAnsi="Arial" w:cs="Arial"/>
          <w:b/>
          <w:bCs/>
          <w:sz w:val="28"/>
          <w:szCs w:val="28"/>
        </w:rPr>
      </w:pPr>
    </w:p>
    <w:p w14:paraId="4C620C87" w14:textId="77777777" w:rsidR="00004D4B" w:rsidRDefault="00004D4B" w:rsidP="00A40A48">
      <w:pPr>
        <w:pStyle w:val="NoSpacing"/>
        <w:rPr>
          <w:rFonts w:ascii="Arial" w:hAnsi="Arial" w:cs="Arial"/>
          <w:b/>
          <w:bCs/>
          <w:sz w:val="28"/>
          <w:szCs w:val="28"/>
        </w:rPr>
      </w:pPr>
    </w:p>
    <w:p w14:paraId="2EEE40AE" w14:textId="77777777" w:rsidR="00004D4B" w:rsidRDefault="00004D4B" w:rsidP="00A40A48">
      <w:pPr>
        <w:pStyle w:val="NoSpacing"/>
        <w:rPr>
          <w:rFonts w:ascii="Arial" w:hAnsi="Arial" w:cs="Arial"/>
          <w:b/>
          <w:bCs/>
          <w:sz w:val="28"/>
          <w:szCs w:val="28"/>
        </w:rPr>
      </w:pPr>
    </w:p>
    <w:p w14:paraId="556A2EB8" w14:textId="77777777" w:rsidR="0073413F" w:rsidRDefault="0073413F" w:rsidP="00A40A48">
      <w:pPr>
        <w:pStyle w:val="NoSpacing"/>
        <w:rPr>
          <w:rFonts w:ascii="Arial" w:hAnsi="Arial" w:cs="Arial"/>
          <w:b/>
          <w:bCs/>
          <w:sz w:val="28"/>
          <w:szCs w:val="28"/>
        </w:rPr>
      </w:pPr>
    </w:p>
    <w:p w14:paraId="41B36868" w14:textId="77777777" w:rsidR="0073413F" w:rsidRDefault="0073413F" w:rsidP="00A40A48">
      <w:pPr>
        <w:pStyle w:val="NoSpacing"/>
        <w:rPr>
          <w:rFonts w:ascii="Arial" w:hAnsi="Arial" w:cs="Arial"/>
          <w:b/>
          <w:bCs/>
          <w:sz w:val="28"/>
          <w:szCs w:val="28"/>
        </w:rPr>
      </w:pPr>
    </w:p>
    <w:p w14:paraId="4EC87E3C" w14:textId="77777777" w:rsidR="0073413F" w:rsidRDefault="0073413F" w:rsidP="00A40A48">
      <w:pPr>
        <w:pStyle w:val="NoSpacing"/>
        <w:rPr>
          <w:rFonts w:ascii="Arial" w:hAnsi="Arial" w:cs="Arial"/>
          <w:b/>
          <w:bCs/>
          <w:sz w:val="28"/>
          <w:szCs w:val="28"/>
        </w:rPr>
      </w:pPr>
    </w:p>
    <w:p w14:paraId="135DDD28" w14:textId="77777777" w:rsidR="0073413F" w:rsidRDefault="0073413F" w:rsidP="00A40A48">
      <w:pPr>
        <w:pStyle w:val="NoSpacing"/>
        <w:rPr>
          <w:rFonts w:ascii="Arial" w:hAnsi="Arial" w:cs="Arial"/>
          <w:b/>
          <w:bCs/>
          <w:sz w:val="28"/>
          <w:szCs w:val="28"/>
        </w:rPr>
      </w:pPr>
    </w:p>
    <w:p w14:paraId="1B8C887D" w14:textId="77777777" w:rsidR="0073413F" w:rsidRDefault="0073413F" w:rsidP="00A40A48">
      <w:pPr>
        <w:pStyle w:val="NoSpacing"/>
        <w:rPr>
          <w:rFonts w:ascii="Arial" w:hAnsi="Arial" w:cs="Arial"/>
          <w:b/>
          <w:bCs/>
          <w:sz w:val="28"/>
          <w:szCs w:val="28"/>
        </w:rPr>
      </w:pPr>
    </w:p>
    <w:p w14:paraId="79229A57" w14:textId="77777777" w:rsidR="0073413F" w:rsidRDefault="0073413F" w:rsidP="00A40A48">
      <w:pPr>
        <w:pStyle w:val="NoSpacing"/>
        <w:rPr>
          <w:rFonts w:ascii="Arial" w:hAnsi="Arial" w:cs="Arial"/>
          <w:b/>
          <w:bCs/>
          <w:sz w:val="28"/>
          <w:szCs w:val="28"/>
        </w:rPr>
      </w:pPr>
    </w:p>
    <w:p w14:paraId="5FAE7C1E" w14:textId="77777777" w:rsidR="0073413F" w:rsidRDefault="0073413F" w:rsidP="00A40A48">
      <w:pPr>
        <w:pStyle w:val="NoSpacing"/>
        <w:rPr>
          <w:rFonts w:ascii="Arial" w:hAnsi="Arial" w:cs="Arial"/>
          <w:b/>
          <w:bCs/>
          <w:sz w:val="28"/>
          <w:szCs w:val="28"/>
        </w:rPr>
      </w:pPr>
    </w:p>
    <w:p w14:paraId="7123E701" w14:textId="77777777" w:rsidR="0036497A" w:rsidRDefault="0036497A" w:rsidP="00A40A48">
      <w:pPr>
        <w:pStyle w:val="NoSpacing"/>
        <w:rPr>
          <w:rFonts w:ascii="Arial" w:hAnsi="Arial" w:cs="Arial"/>
          <w:b/>
          <w:bCs/>
          <w:sz w:val="28"/>
          <w:szCs w:val="28"/>
        </w:rPr>
      </w:pPr>
    </w:p>
    <w:p w14:paraId="3CBF384E" w14:textId="77777777" w:rsidR="0036497A" w:rsidRDefault="0036497A" w:rsidP="00A40A48">
      <w:pPr>
        <w:pStyle w:val="NoSpacing"/>
        <w:rPr>
          <w:rFonts w:ascii="Arial" w:hAnsi="Arial" w:cs="Arial"/>
          <w:b/>
          <w:bCs/>
          <w:sz w:val="28"/>
          <w:szCs w:val="28"/>
        </w:rPr>
      </w:pPr>
    </w:p>
    <w:p w14:paraId="3EBB0119" w14:textId="77777777" w:rsidR="0036497A" w:rsidRDefault="0036497A" w:rsidP="00A40A48">
      <w:pPr>
        <w:pStyle w:val="NoSpacing"/>
        <w:rPr>
          <w:rFonts w:ascii="Arial" w:hAnsi="Arial" w:cs="Arial"/>
          <w:b/>
          <w:bCs/>
          <w:sz w:val="28"/>
          <w:szCs w:val="28"/>
        </w:rPr>
      </w:pPr>
    </w:p>
    <w:p w14:paraId="73E86C78" w14:textId="77777777" w:rsidR="0036497A" w:rsidRDefault="0036497A" w:rsidP="00A40A48">
      <w:pPr>
        <w:pStyle w:val="NoSpacing"/>
        <w:rPr>
          <w:rFonts w:ascii="Arial" w:hAnsi="Arial" w:cs="Arial"/>
          <w:b/>
          <w:bCs/>
          <w:sz w:val="28"/>
          <w:szCs w:val="28"/>
        </w:rPr>
      </w:pPr>
    </w:p>
    <w:p w14:paraId="37DF6D36" w14:textId="77777777" w:rsidR="0036497A" w:rsidRDefault="0036497A" w:rsidP="00A40A48">
      <w:pPr>
        <w:pStyle w:val="NoSpacing"/>
        <w:rPr>
          <w:rFonts w:ascii="Arial" w:hAnsi="Arial" w:cs="Arial"/>
          <w:b/>
          <w:bCs/>
          <w:sz w:val="28"/>
          <w:szCs w:val="28"/>
        </w:rPr>
      </w:pPr>
    </w:p>
    <w:p w14:paraId="2FD339CB" w14:textId="77777777" w:rsidR="0036497A" w:rsidRDefault="0036497A" w:rsidP="00A40A48">
      <w:pPr>
        <w:pStyle w:val="NoSpacing"/>
        <w:rPr>
          <w:rFonts w:ascii="Arial" w:hAnsi="Arial" w:cs="Arial"/>
          <w:b/>
          <w:bCs/>
          <w:sz w:val="28"/>
          <w:szCs w:val="28"/>
        </w:rPr>
      </w:pPr>
    </w:p>
    <w:p w14:paraId="68A79973" w14:textId="77777777" w:rsidR="0036497A" w:rsidRDefault="0036497A" w:rsidP="00A40A48">
      <w:pPr>
        <w:pStyle w:val="NoSpacing"/>
        <w:rPr>
          <w:rFonts w:ascii="Arial" w:hAnsi="Arial" w:cs="Arial"/>
          <w:b/>
          <w:bCs/>
          <w:sz w:val="28"/>
          <w:szCs w:val="28"/>
        </w:rPr>
      </w:pPr>
    </w:p>
    <w:p w14:paraId="7E7F35BE" w14:textId="77777777" w:rsidR="0036497A" w:rsidRDefault="0036497A" w:rsidP="00A40A48">
      <w:pPr>
        <w:pStyle w:val="NoSpacing"/>
        <w:rPr>
          <w:rFonts w:ascii="Arial" w:hAnsi="Arial" w:cs="Arial"/>
          <w:b/>
          <w:bCs/>
          <w:sz w:val="28"/>
          <w:szCs w:val="28"/>
        </w:rPr>
      </w:pPr>
    </w:p>
    <w:p w14:paraId="68210026" w14:textId="77777777" w:rsidR="0036497A" w:rsidRDefault="0036497A" w:rsidP="00A40A48">
      <w:pPr>
        <w:pStyle w:val="NoSpacing"/>
        <w:rPr>
          <w:rFonts w:ascii="Arial" w:hAnsi="Arial" w:cs="Arial"/>
          <w:b/>
          <w:bCs/>
          <w:sz w:val="28"/>
          <w:szCs w:val="28"/>
        </w:rPr>
      </w:pPr>
    </w:p>
    <w:p w14:paraId="555811F8" w14:textId="77777777" w:rsidR="0036497A" w:rsidRDefault="0036497A" w:rsidP="00A40A48">
      <w:pPr>
        <w:pStyle w:val="NoSpacing"/>
        <w:rPr>
          <w:rFonts w:ascii="Arial" w:hAnsi="Arial" w:cs="Arial"/>
          <w:b/>
          <w:bCs/>
          <w:sz w:val="28"/>
          <w:szCs w:val="28"/>
        </w:rPr>
      </w:pPr>
    </w:p>
    <w:p w14:paraId="1E2416A3" w14:textId="77777777" w:rsidR="0036497A" w:rsidRDefault="0036497A" w:rsidP="00A40A48">
      <w:pPr>
        <w:pStyle w:val="NoSpacing"/>
        <w:rPr>
          <w:rFonts w:ascii="Arial" w:hAnsi="Arial" w:cs="Arial"/>
          <w:b/>
          <w:bCs/>
          <w:sz w:val="28"/>
          <w:szCs w:val="28"/>
        </w:rPr>
      </w:pPr>
    </w:p>
    <w:p w14:paraId="5ADDD275" w14:textId="77777777" w:rsidR="0036497A" w:rsidRDefault="0036497A" w:rsidP="00A40A48">
      <w:pPr>
        <w:pStyle w:val="NoSpacing"/>
        <w:rPr>
          <w:rFonts w:ascii="Arial" w:hAnsi="Arial" w:cs="Arial"/>
          <w:b/>
          <w:bCs/>
          <w:sz w:val="28"/>
          <w:szCs w:val="28"/>
        </w:rPr>
      </w:pPr>
    </w:p>
    <w:p w14:paraId="3A4CD6AB" w14:textId="6FB3AC17" w:rsidR="009F2FA9" w:rsidRPr="00A40A48" w:rsidRDefault="009F2FA9" w:rsidP="00A40A48">
      <w:pPr>
        <w:pStyle w:val="NoSpacing"/>
        <w:rPr>
          <w:rFonts w:ascii="Arial" w:hAnsi="Arial" w:cs="Arial"/>
          <w:b/>
          <w:bCs/>
          <w:sz w:val="28"/>
          <w:szCs w:val="28"/>
        </w:rPr>
      </w:pPr>
      <w:r w:rsidRPr="00A40A48">
        <w:rPr>
          <w:rFonts w:ascii="Arial" w:hAnsi="Arial" w:cs="Arial"/>
          <w:b/>
          <w:bCs/>
          <w:sz w:val="28"/>
          <w:szCs w:val="28"/>
        </w:rPr>
        <w:t>References</w:t>
      </w:r>
      <w:bookmarkEnd w:id="10"/>
    </w:p>
    <w:p w14:paraId="087BFFC9" w14:textId="77777777" w:rsidR="00D502D8" w:rsidRPr="00D502D8" w:rsidRDefault="00D502D8" w:rsidP="00D502D8">
      <w:pPr>
        <w:spacing w:line="360" w:lineRule="auto"/>
        <w:jc w:val="both"/>
        <w:rPr>
          <w:rFonts w:ascii="Arial" w:hAnsi="Arial" w:cs="Arial"/>
          <w:sz w:val="22"/>
          <w:szCs w:val="22"/>
        </w:rPr>
      </w:pPr>
    </w:p>
    <w:p w14:paraId="18106D8E"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Afilalo,</w:t>
      </w:r>
      <w:r w:rsidRPr="00E60876">
        <w:rPr>
          <w:rFonts w:ascii="Arial" w:hAnsi="Arial" w:cs="Arial"/>
          <w:sz w:val="22"/>
          <w:szCs w:val="22"/>
        </w:rPr>
        <w:br/>
        <w:t>J., Marinovich, A., Afilalo, M., Colacone, A., Leger, R., Unger, B. and</w:t>
      </w:r>
      <w:r w:rsidRPr="00E60876">
        <w:rPr>
          <w:rFonts w:ascii="Arial" w:hAnsi="Arial" w:cs="Arial"/>
          <w:sz w:val="22"/>
          <w:szCs w:val="22"/>
        </w:rPr>
        <w:br/>
        <w:t>Giguere, C. (2024) ‘Nonurgent emergency department patient characteristics and</w:t>
      </w:r>
      <w:r w:rsidRPr="00E60876">
        <w:rPr>
          <w:rFonts w:ascii="Arial" w:hAnsi="Arial" w:cs="Arial"/>
          <w:sz w:val="22"/>
          <w:szCs w:val="22"/>
        </w:rPr>
        <w:br/>
        <w:t xml:space="preserve">barriers to primary care’, </w:t>
      </w:r>
      <w:r w:rsidRPr="00E60876">
        <w:rPr>
          <w:rFonts w:ascii="Arial" w:hAnsi="Arial" w:cs="Arial"/>
          <w:i/>
          <w:iCs/>
          <w:sz w:val="22"/>
          <w:szCs w:val="22"/>
        </w:rPr>
        <w:t>Academic Emergency Medicine</w:t>
      </w:r>
      <w:r w:rsidRPr="00E60876">
        <w:rPr>
          <w:rFonts w:ascii="Arial" w:hAnsi="Arial" w:cs="Arial"/>
          <w:sz w:val="22"/>
          <w:szCs w:val="22"/>
        </w:rPr>
        <w:t>, 11(12), pp.</w:t>
      </w:r>
      <w:r w:rsidRPr="00E60876">
        <w:rPr>
          <w:rFonts w:ascii="Arial" w:hAnsi="Arial" w:cs="Arial"/>
          <w:sz w:val="22"/>
          <w:szCs w:val="22"/>
        </w:rPr>
        <w:br/>
        <w:t xml:space="preserve">1302–1310. Available at: </w:t>
      </w:r>
      <w:hyperlink r:id="rId21" w:history="1">
        <w:r w:rsidRPr="00E60876">
          <w:rPr>
            <w:rStyle w:val="Hyperlink"/>
            <w:rFonts w:ascii="Arial" w:hAnsi="Arial" w:cs="Arial"/>
            <w:sz w:val="22"/>
            <w:szCs w:val="22"/>
          </w:rPr>
          <w:t>https://doi.org/10.1197/j.aem.2004.08.032</w:t>
        </w:r>
      </w:hyperlink>
    </w:p>
    <w:p w14:paraId="4947A884"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Alkhatib, A., Aylin, P., Klaber, R. and Woodcock, T. (2026) ‘Shifting patterns in emergency department attendance: a time series analysis’, </w:t>
      </w:r>
      <w:r w:rsidRPr="00E60876">
        <w:rPr>
          <w:rFonts w:ascii="Arial" w:hAnsi="Arial" w:cs="Arial"/>
          <w:i/>
          <w:iCs/>
          <w:sz w:val="22"/>
          <w:szCs w:val="22"/>
        </w:rPr>
        <w:t>Emergency Medicine Journal</w:t>
      </w:r>
      <w:r w:rsidRPr="00E60876">
        <w:rPr>
          <w:rFonts w:ascii="Arial" w:hAnsi="Arial" w:cs="Arial"/>
          <w:sz w:val="22"/>
          <w:szCs w:val="22"/>
        </w:rPr>
        <w:t xml:space="preserve">, 43(4), pp. 223–229. Available at: </w:t>
      </w:r>
      <w:hyperlink r:id="rId22" w:history="1">
        <w:r w:rsidRPr="00E60876">
          <w:rPr>
            <w:rStyle w:val="Hyperlink"/>
            <w:rFonts w:ascii="Arial" w:hAnsi="Arial" w:cs="Arial"/>
            <w:sz w:val="22"/>
            <w:szCs w:val="22"/>
          </w:rPr>
          <w:t>https://doi.org/10.1136/emermed-2024-214412</w:t>
        </w:r>
      </w:hyperlink>
    </w:p>
    <w:p w14:paraId="5D18B82D" w14:textId="4CAB112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Andersen,</w:t>
      </w:r>
      <w:r w:rsidRPr="00E60876">
        <w:rPr>
          <w:rFonts w:ascii="Arial" w:hAnsi="Arial" w:cs="Arial"/>
          <w:sz w:val="22"/>
          <w:szCs w:val="22"/>
        </w:rPr>
        <w:br/>
        <w:t>R.M. (1995) ‘Revisiting the Behavioral model and access to medical care: does</w:t>
      </w:r>
      <w:r w:rsidRPr="00E60876">
        <w:rPr>
          <w:rFonts w:ascii="Arial" w:hAnsi="Arial" w:cs="Arial"/>
          <w:sz w:val="22"/>
          <w:szCs w:val="22"/>
        </w:rPr>
        <w:br/>
        <w:t xml:space="preserve">it </w:t>
      </w:r>
      <w:r w:rsidR="00FB2CA1" w:rsidRPr="00E60876">
        <w:rPr>
          <w:rFonts w:ascii="Arial" w:hAnsi="Arial" w:cs="Arial"/>
          <w:sz w:val="22"/>
          <w:szCs w:val="22"/>
        </w:rPr>
        <w:t>matters</w:t>
      </w:r>
      <w:r w:rsidRPr="00E60876">
        <w:rPr>
          <w:rFonts w:ascii="Arial" w:hAnsi="Arial" w:cs="Arial"/>
          <w:sz w:val="22"/>
          <w:szCs w:val="22"/>
        </w:rPr>
        <w:t xml:space="preserve">?’, </w:t>
      </w:r>
      <w:r w:rsidRPr="00E60876">
        <w:rPr>
          <w:rFonts w:ascii="Arial" w:hAnsi="Arial" w:cs="Arial"/>
          <w:i/>
          <w:iCs/>
          <w:sz w:val="22"/>
          <w:szCs w:val="22"/>
        </w:rPr>
        <w:t>Journal of Health and Social Behaviour</w:t>
      </w:r>
      <w:r w:rsidRPr="00E60876">
        <w:rPr>
          <w:rFonts w:ascii="Arial" w:hAnsi="Arial" w:cs="Arial"/>
          <w:sz w:val="22"/>
          <w:szCs w:val="22"/>
        </w:rPr>
        <w:t>, 36(1), pp. 1–10.</w:t>
      </w:r>
      <w:r w:rsidRPr="00E60876">
        <w:rPr>
          <w:rFonts w:ascii="Arial" w:hAnsi="Arial" w:cs="Arial"/>
          <w:sz w:val="22"/>
          <w:szCs w:val="22"/>
        </w:rPr>
        <w:br/>
        <w:t xml:space="preserve">Available at: </w:t>
      </w:r>
      <w:hyperlink r:id="rId23" w:history="1">
        <w:r w:rsidRPr="00E60876">
          <w:rPr>
            <w:rStyle w:val="Hyperlink"/>
            <w:rFonts w:ascii="Arial" w:hAnsi="Arial" w:cs="Arial"/>
            <w:sz w:val="22"/>
            <w:szCs w:val="22"/>
          </w:rPr>
          <w:t>https://doi.org/10.2307/2137284</w:t>
        </w:r>
      </w:hyperlink>
    </w:p>
    <w:p w14:paraId="185E8997"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Anderson,</w:t>
      </w:r>
      <w:r w:rsidRPr="00E60876">
        <w:rPr>
          <w:rFonts w:ascii="Arial" w:hAnsi="Arial" w:cs="Arial"/>
          <w:sz w:val="22"/>
          <w:szCs w:val="22"/>
        </w:rPr>
        <w:br/>
        <w:t>H., Scantlebury, A., Leggett, H., Brant, H., Salisbury, C., Benger, J. and</w:t>
      </w:r>
      <w:r w:rsidRPr="00E60876">
        <w:rPr>
          <w:rFonts w:ascii="Arial" w:hAnsi="Arial" w:cs="Arial"/>
          <w:sz w:val="22"/>
          <w:szCs w:val="22"/>
        </w:rPr>
        <w:br/>
        <w:t>Adamson, J. (2021) ‘Factors influencing streaming to general practitioners in</w:t>
      </w:r>
      <w:r w:rsidRPr="00E60876">
        <w:rPr>
          <w:rFonts w:ascii="Arial" w:hAnsi="Arial" w:cs="Arial"/>
          <w:sz w:val="22"/>
          <w:szCs w:val="22"/>
        </w:rPr>
        <w:br/>
        <w:t xml:space="preserve">emergency departments: a qualitative study’, </w:t>
      </w:r>
      <w:r w:rsidRPr="00E60876">
        <w:rPr>
          <w:rFonts w:ascii="Arial" w:hAnsi="Arial" w:cs="Arial"/>
          <w:i/>
          <w:iCs/>
          <w:sz w:val="22"/>
          <w:szCs w:val="22"/>
        </w:rPr>
        <w:t>International Journal of</w:t>
      </w:r>
      <w:r w:rsidRPr="00E60876">
        <w:rPr>
          <w:rFonts w:ascii="Arial" w:hAnsi="Arial" w:cs="Arial"/>
          <w:i/>
          <w:iCs/>
          <w:sz w:val="22"/>
          <w:szCs w:val="22"/>
        </w:rPr>
        <w:br/>
        <w:t>Nursing Studies</w:t>
      </w:r>
      <w:r w:rsidRPr="00E60876">
        <w:rPr>
          <w:rFonts w:ascii="Arial" w:hAnsi="Arial" w:cs="Arial"/>
          <w:sz w:val="22"/>
          <w:szCs w:val="22"/>
        </w:rPr>
        <w:t xml:space="preserve">, 120, 103980. Available at: </w:t>
      </w:r>
      <w:hyperlink r:id="rId24" w:history="1">
        <w:r w:rsidRPr="00E60876">
          <w:rPr>
            <w:rStyle w:val="Hyperlink"/>
            <w:rFonts w:ascii="Arial" w:hAnsi="Arial" w:cs="Arial"/>
            <w:sz w:val="22"/>
            <w:szCs w:val="22"/>
          </w:rPr>
          <w:t>https://doi.org/10.1016/j.ijnurstu.2021.103980</w:t>
        </w:r>
      </w:hyperlink>
    </w:p>
    <w:p w14:paraId="7DD12744"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Anderson,</w:t>
      </w:r>
      <w:r w:rsidRPr="00E60876">
        <w:rPr>
          <w:rFonts w:ascii="Arial" w:hAnsi="Arial" w:cs="Arial"/>
          <w:sz w:val="22"/>
          <w:szCs w:val="22"/>
        </w:rPr>
        <w:br/>
        <w:t>H., Scantlebury, A., Leggett, H., Salisbury, C., Benger, J. and Adamson, J.</w:t>
      </w:r>
      <w:r w:rsidRPr="00E60876">
        <w:rPr>
          <w:rFonts w:ascii="Arial" w:hAnsi="Arial" w:cs="Arial"/>
          <w:sz w:val="22"/>
          <w:szCs w:val="22"/>
        </w:rPr>
        <w:br/>
        <w:t>(2022) ‘Perspectives of GPs working in or alongside emergency departments in</w:t>
      </w:r>
      <w:r w:rsidRPr="00E60876">
        <w:rPr>
          <w:rFonts w:ascii="Arial" w:hAnsi="Arial" w:cs="Arial"/>
          <w:sz w:val="22"/>
          <w:szCs w:val="22"/>
        </w:rPr>
        <w:br/>
        <w:t xml:space="preserve">England: qualitative findings from the GPs and Emergency Departments Study’, </w:t>
      </w:r>
      <w:r w:rsidRPr="00E60876">
        <w:rPr>
          <w:rFonts w:ascii="Arial" w:hAnsi="Arial" w:cs="Arial"/>
          <w:i/>
          <w:iCs/>
          <w:sz w:val="22"/>
          <w:szCs w:val="22"/>
        </w:rPr>
        <w:t>British</w:t>
      </w:r>
      <w:r w:rsidRPr="00E60876">
        <w:rPr>
          <w:rFonts w:ascii="Arial" w:hAnsi="Arial" w:cs="Arial"/>
          <w:i/>
          <w:iCs/>
          <w:sz w:val="22"/>
          <w:szCs w:val="22"/>
        </w:rPr>
        <w:br/>
        <w:t>Journal of General Practice</w:t>
      </w:r>
      <w:r w:rsidRPr="00E60876">
        <w:rPr>
          <w:rFonts w:ascii="Arial" w:hAnsi="Arial" w:cs="Arial"/>
          <w:sz w:val="22"/>
          <w:szCs w:val="22"/>
        </w:rPr>
        <w:t xml:space="preserve">. Available at: </w:t>
      </w:r>
      <w:hyperlink r:id="rId25" w:history="1">
        <w:r w:rsidRPr="00E60876">
          <w:rPr>
            <w:rStyle w:val="Hyperlink"/>
            <w:rFonts w:ascii="Arial" w:hAnsi="Arial" w:cs="Arial"/>
            <w:sz w:val="22"/>
            <w:szCs w:val="22"/>
          </w:rPr>
          <w:t>https://doi.org/10.3399/BJGP.2021.0713</w:t>
        </w:r>
      </w:hyperlink>
    </w:p>
    <w:p w14:paraId="5BDC4B7F"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Atherton,</w:t>
      </w:r>
      <w:r w:rsidRPr="00E60876">
        <w:rPr>
          <w:rFonts w:ascii="Arial" w:hAnsi="Arial" w:cs="Arial"/>
          <w:sz w:val="22"/>
          <w:szCs w:val="22"/>
        </w:rPr>
        <w:br/>
        <w:t>H. et al. (2025) ‘What patients want from access to UK general practice:</w:t>
      </w:r>
      <w:r w:rsidRPr="00E60876">
        <w:rPr>
          <w:rFonts w:ascii="Arial" w:hAnsi="Arial" w:cs="Arial"/>
          <w:sz w:val="22"/>
          <w:szCs w:val="22"/>
        </w:rPr>
        <w:br/>
        <w:t xml:space="preserve">systematic review’, </w:t>
      </w:r>
      <w:r w:rsidRPr="00E60876">
        <w:rPr>
          <w:rFonts w:ascii="Arial" w:hAnsi="Arial" w:cs="Arial"/>
          <w:i/>
          <w:iCs/>
          <w:sz w:val="22"/>
          <w:szCs w:val="22"/>
        </w:rPr>
        <w:t>British Journal of General Practice</w:t>
      </w:r>
      <w:r w:rsidRPr="00E60876">
        <w:rPr>
          <w:rFonts w:ascii="Arial" w:hAnsi="Arial" w:cs="Arial"/>
          <w:sz w:val="22"/>
          <w:szCs w:val="22"/>
        </w:rPr>
        <w:t>, 75(757), pp.</w:t>
      </w:r>
      <w:r w:rsidRPr="00E60876">
        <w:rPr>
          <w:rFonts w:ascii="Arial" w:hAnsi="Arial" w:cs="Arial"/>
          <w:sz w:val="22"/>
          <w:szCs w:val="22"/>
        </w:rPr>
        <w:br/>
        <w:t xml:space="preserve">e526–e532. Available at: </w:t>
      </w:r>
      <w:hyperlink r:id="rId26" w:history="1">
        <w:r w:rsidRPr="00E60876">
          <w:rPr>
            <w:rStyle w:val="Hyperlink"/>
            <w:rFonts w:ascii="Arial" w:hAnsi="Arial" w:cs="Arial"/>
            <w:sz w:val="22"/>
            <w:szCs w:val="22"/>
          </w:rPr>
          <w:t>https://doi.org/10.3399/BJGP.2024.0582</w:t>
        </w:r>
      </w:hyperlink>
    </w:p>
    <w:p w14:paraId="2D492147"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Baker,</w:t>
      </w:r>
      <w:r w:rsidRPr="00E60876">
        <w:rPr>
          <w:rFonts w:ascii="Arial" w:hAnsi="Arial" w:cs="Arial"/>
          <w:sz w:val="22"/>
          <w:szCs w:val="22"/>
        </w:rPr>
        <w:br/>
        <w:t>M., Hann, M. and Howells, K. (2024) ‘Socioeconomic inequalities in general</w:t>
      </w:r>
      <w:r w:rsidRPr="00E60876">
        <w:rPr>
          <w:rFonts w:ascii="Arial" w:hAnsi="Arial" w:cs="Arial"/>
          <w:sz w:val="22"/>
          <w:szCs w:val="22"/>
        </w:rPr>
        <w:br/>
        <w:t xml:space="preserve">practice: a cross-sectional analysis of the English GP Patient Survey’, </w:t>
      </w:r>
      <w:r w:rsidRPr="00E60876">
        <w:rPr>
          <w:rFonts w:ascii="Arial" w:hAnsi="Arial" w:cs="Arial"/>
          <w:i/>
          <w:iCs/>
          <w:sz w:val="22"/>
          <w:szCs w:val="22"/>
        </w:rPr>
        <w:t>British</w:t>
      </w:r>
      <w:r w:rsidRPr="00E60876">
        <w:rPr>
          <w:rFonts w:ascii="Arial" w:hAnsi="Arial" w:cs="Arial"/>
          <w:i/>
          <w:iCs/>
          <w:sz w:val="22"/>
          <w:szCs w:val="22"/>
        </w:rPr>
        <w:br/>
      </w:r>
      <w:r w:rsidRPr="00E60876">
        <w:rPr>
          <w:rFonts w:ascii="Arial" w:hAnsi="Arial" w:cs="Arial"/>
          <w:i/>
          <w:iCs/>
          <w:sz w:val="22"/>
          <w:szCs w:val="22"/>
        </w:rPr>
        <w:lastRenderedPageBreak/>
        <w:t>Journal of General Practice</w:t>
      </w:r>
      <w:r w:rsidRPr="00E60876">
        <w:rPr>
          <w:rFonts w:ascii="Arial" w:hAnsi="Arial" w:cs="Arial"/>
          <w:sz w:val="22"/>
          <w:szCs w:val="22"/>
        </w:rPr>
        <w:t xml:space="preserve">, 74(738), pp. e105–e112. Available at: </w:t>
      </w:r>
      <w:hyperlink r:id="rId27" w:history="1">
        <w:r w:rsidRPr="00E60876">
          <w:rPr>
            <w:rStyle w:val="Hyperlink"/>
            <w:rFonts w:ascii="Arial" w:hAnsi="Arial" w:cs="Arial"/>
            <w:sz w:val="22"/>
            <w:szCs w:val="22"/>
          </w:rPr>
          <w:t>https://doi.org/10.3399/BJGP.2023.0232</w:t>
        </w:r>
      </w:hyperlink>
    </w:p>
    <w:p w14:paraId="698E67F9"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Baker,</w:t>
      </w:r>
      <w:r w:rsidRPr="00E60876">
        <w:rPr>
          <w:rFonts w:ascii="Arial" w:hAnsi="Arial" w:cs="Arial"/>
          <w:sz w:val="22"/>
          <w:szCs w:val="22"/>
        </w:rPr>
        <w:br/>
        <w:t>R., Freeman, G.K., Haggerty, J.L., Bankart, M.J. and Nockels, K.H. (2020)</w:t>
      </w:r>
      <w:r w:rsidRPr="00E60876">
        <w:rPr>
          <w:rFonts w:ascii="Arial" w:hAnsi="Arial" w:cs="Arial"/>
          <w:sz w:val="22"/>
          <w:szCs w:val="22"/>
        </w:rPr>
        <w:br/>
        <w:t xml:space="preserve">‘Primary medical care quality and patient experience: a systematic review’, </w:t>
      </w:r>
      <w:r w:rsidRPr="00E60876">
        <w:rPr>
          <w:rFonts w:ascii="Arial" w:hAnsi="Arial" w:cs="Arial"/>
          <w:i/>
          <w:iCs/>
          <w:sz w:val="22"/>
          <w:szCs w:val="22"/>
        </w:rPr>
        <w:t>Family</w:t>
      </w:r>
      <w:r w:rsidRPr="00E60876">
        <w:rPr>
          <w:rFonts w:ascii="Arial" w:hAnsi="Arial" w:cs="Arial"/>
          <w:i/>
          <w:iCs/>
          <w:sz w:val="22"/>
          <w:szCs w:val="22"/>
        </w:rPr>
        <w:br/>
        <w:t>Practice</w:t>
      </w:r>
      <w:r w:rsidRPr="00E60876">
        <w:rPr>
          <w:rFonts w:ascii="Arial" w:hAnsi="Arial" w:cs="Arial"/>
          <w:sz w:val="22"/>
          <w:szCs w:val="22"/>
        </w:rPr>
        <w:t xml:space="preserve">, 37(3), pp. 291–319. Available at: </w:t>
      </w:r>
      <w:hyperlink r:id="rId28" w:history="1">
        <w:r w:rsidRPr="00E60876">
          <w:rPr>
            <w:rStyle w:val="Hyperlink"/>
            <w:rFonts w:ascii="Arial" w:hAnsi="Arial" w:cs="Arial"/>
            <w:sz w:val="22"/>
            <w:szCs w:val="22"/>
          </w:rPr>
          <w:t>https://doi.org/10.1093/fampra/cmz050</w:t>
        </w:r>
      </w:hyperlink>
    </w:p>
    <w:p w14:paraId="1737AABA"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Baker,</w:t>
      </w:r>
      <w:r w:rsidRPr="00E60876">
        <w:rPr>
          <w:rFonts w:ascii="Arial" w:hAnsi="Arial" w:cs="Arial"/>
          <w:sz w:val="22"/>
          <w:szCs w:val="22"/>
        </w:rPr>
        <w:br/>
        <w:t>R., Levene, L.S., Newby, C. and Freeman, G.K. (2024) ‘Does shortage of GPs</w:t>
      </w:r>
      <w:r w:rsidRPr="00E60876">
        <w:rPr>
          <w:rFonts w:ascii="Arial" w:hAnsi="Arial" w:cs="Arial"/>
          <w:sz w:val="22"/>
          <w:szCs w:val="22"/>
        </w:rPr>
        <w:br/>
        <w:t xml:space="preserve">matter? A cross-sectional study of practice population life expectancy’, </w:t>
      </w:r>
      <w:r w:rsidRPr="00E60876">
        <w:rPr>
          <w:rFonts w:ascii="Arial" w:hAnsi="Arial" w:cs="Arial"/>
          <w:i/>
          <w:iCs/>
          <w:sz w:val="22"/>
          <w:szCs w:val="22"/>
        </w:rPr>
        <w:t>British</w:t>
      </w:r>
      <w:r w:rsidRPr="00E60876">
        <w:rPr>
          <w:rFonts w:ascii="Arial" w:hAnsi="Arial" w:cs="Arial"/>
          <w:i/>
          <w:iCs/>
          <w:sz w:val="22"/>
          <w:szCs w:val="22"/>
        </w:rPr>
        <w:br/>
        <w:t>Journal of General Practice</w:t>
      </w:r>
      <w:r w:rsidRPr="00E60876">
        <w:rPr>
          <w:rFonts w:ascii="Arial" w:hAnsi="Arial" w:cs="Arial"/>
          <w:sz w:val="22"/>
          <w:szCs w:val="22"/>
        </w:rPr>
        <w:t xml:space="preserve">, 74(742), pp. e283–e289. Available at: </w:t>
      </w:r>
      <w:hyperlink r:id="rId29" w:history="1">
        <w:r w:rsidRPr="00E60876">
          <w:rPr>
            <w:rStyle w:val="Hyperlink"/>
            <w:rFonts w:ascii="Arial" w:hAnsi="Arial" w:cs="Arial"/>
            <w:sz w:val="22"/>
            <w:szCs w:val="22"/>
          </w:rPr>
          <w:t>https://doi.org/10.3399/BJGP.2023.0195</w:t>
        </w:r>
      </w:hyperlink>
    </w:p>
    <w:p w14:paraId="4D9D714B"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Blease, C., Torous, J., Dong, Z., Davidge, G., DesRoches, C., Kharko, A., Turner, A., Jones, R., Hägglund, M. and McMillan, B. (2023) ‘Patient Online Record Access in English Primary Care: Qualitative Survey Study of General Practitioners’ Views’, </w:t>
      </w:r>
      <w:r w:rsidRPr="00E60876">
        <w:rPr>
          <w:rFonts w:ascii="Arial" w:hAnsi="Arial" w:cs="Arial"/>
          <w:i/>
          <w:iCs/>
          <w:sz w:val="22"/>
          <w:szCs w:val="22"/>
        </w:rPr>
        <w:t>Journal of Medical Internet Research</w:t>
      </w:r>
      <w:r w:rsidRPr="00E60876">
        <w:rPr>
          <w:rFonts w:ascii="Arial" w:hAnsi="Arial" w:cs="Arial"/>
          <w:sz w:val="22"/>
          <w:szCs w:val="22"/>
        </w:rPr>
        <w:t xml:space="preserve">, 25, e43496. Available at: </w:t>
      </w:r>
      <w:hyperlink r:id="rId30" w:history="1">
        <w:r w:rsidRPr="00E60876">
          <w:rPr>
            <w:rStyle w:val="Hyperlink"/>
            <w:rFonts w:ascii="Arial" w:hAnsi="Arial" w:cs="Arial"/>
            <w:sz w:val="22"/>
            <w:szCs w:val="22"/>
          </w:rPr>
          <w:t>https://doi.org/10.2196/43496</w:t>
        </w:r>
      </w:hyperlink>
    </w:p>
    <w:p w14:paraId="2C102E47"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Brainard,</w:t>
      </w:r>
      <w:r w:rsidRPr="00E60876">
        <w:rPr>
          <w:rFonts w:ascii="Arial" w:hAnsi="Arial" w:cs="Arial"/>
          <w:sz w:val="22"/>
          <w:szCs w:val="22"/>
        </w:rPr>
        <w:br/>
        <w:t>J., Rice, A., Hughes, G. and Everden, P. (2025) ‘Service evaluation of GP at</w:t>
      </w:r>
      <w:r w:rsidRPr="00E60876">
        <w:rPr>
          <w:rFonts w:ascii="Arial" w:hAnsi="Arial" w:cs="Arial"/>
          <w:sz w:val="22"/>
          <w:szCs w:val="22"/>
        </w:rPr>
        <w:br/>
        <w:t xml:space="preserve">Door of accident and emergency services in Eastern England’, </w:t>
      </w:r>
      <w:r w:rsidRPr="00E60876">
        <w:rPr>
          <w:rFonts w:ascii="Arial" w:hAnsi="Arial" w:cs="Arial"/>
          <w:i/>
          <w:iCs/>
          <w:sz w:val="22"/>
          <w:szCs w:val="22"/>
        </w:rPr>
        <w:t>Primary Health</w:t>
      </w:r>
      <w:r w:rsidRPr="00E60876">
        <w:rPr>
          <w:rFonts w:ascii="Arial" w:hAnsi="Arial" w:cs="Arial"/>
          <w:i/>
          <w:iCs/>
          <w:sz w:val="22"/>
          <w:szCs w:val="22"/>
        </w:rPr>
        <w:br/>
        <w:t>Care Research and Development</w:t>
      </w:r>
      <w:r w:rsidRPr="00E60876">
        <w:rPr>
          <w:rFonts w:ascii="Arial" w:hAnsi="Arial" w:cs="Arial"/>
          <w:sz w:val="22"/>
          <w:szCs w:val="22"/>
        </w:rPr>
        <w:t xml:space="preserve">, 26, e5. Available at: </w:t>
      </w:r>
      <w:hyperlink r:id="rId31" w:history="1">
        <w:r w:rsidRPr="00E60876">
          <w:rPr>
            <w:rStyle w:val="Hyperlink"/>
            <w:rFonts w:ascii="Arial" w:hAnsi="Arial" w:cs="Arial"/>
            <w:sz w:val="22"/>
            <w:szCs w:val="22"/>
          </w:rPr>
          <w:t>https://doi.org/10.1017/S1463423624000707</w:t>
        </w:r>
      </w:hyperlink>
    </w:p>
    <w:p w14:paraId="03CC2014"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Brant, H., Voss, S., Morton, K., Cooper, A., Edwards, M., Price, D., Gaughan, J., Edwards, A. and Benger, J. (2021) ‘Current provision of general practitioner services in or alongside emergency departments in England’, </w:t>
      </w:r>
      <w:r w:rsidRPr="00E60876">
        <w:rPr>
          <w:rFonts w:ascii="Arial" w:hAnsi="Arial" w:cs="Arial"/>
          <w:i/>
          <w:iCs/>
          <w:sz w:val="22"/>
          <w:szCs w:val="22"/>
        </w:rPr>
        <w:t>Emergency Medicine Journal</w:t>
      </w:r>
      <w:r w:rsidRPr="00E60876">
        <w:rPr>
          <w:rFonts w:ascii="Arial" w:hAnsi="Arial" w:cs="Arial"/>
          <w:sz w:val="22"/>
          <w:szCs w:val="22"/>
        </w:rPr>
        <w:t xml:space="preserve">, 38(10), pp. 780–783. Available at: </w:t>
      </w:r>
      <w:hyperlink r:id="rId32" w:history="1">
        <w:r w:rsidRPr="00E60876">
          <w:rPr>
            <w:rStyle w:val="Hyperlink"/>
            <w:rFonts w:ascii="Arial" w:hAnsi="Arial" w:cs="Arial"/>
            <w:sz w:val="22"/>
            <w:szCs w:val="22"/>
          </w:rPr>
          <w:t>https://doi.org/10.1136/emermed-2020-210539</w:t>
        </w:r>
      </w:hyperlink>
    </w:p>
    <w:p w14:paraId="48F76147"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Calastri,</w:t>
      </w:r>
      <w:r w:rsidRPr="00E60876">
        <w:rPr>
          <w:rFonts w:ascii="Arial" w:hAnsi="Arial" w:cs="Arial"/>
          <w:sz w:val="22"/>
          <w:szCs w:val="22"/>
        </w:rPr>
        <w:br/>
        <w:t>C., Buckell, J. and Crastes Dit Sourd, R. (2025) ‘Avoidable visits to UK</w:t>
      </w:r>
      <w:r w:rsidRPr="00E60876">
        <w:rPr>
          <w:rFonts w:ascii="Arial" w:hAnsi="Arial" w:cs="Arial"/>
          <w:sz w:val="22"/>
          <w:szCs w:val="22"/>
        </w:rPr>
        <w:br/>
        <w:t>emergency departments from the patient perspective: a recursive bivariate</w:t>
      </w:r>
      <w:r w:rsidRPr="00E60876">
        <w:rPr>
          <w:rFonts w:ascii="Arial" w:hAnsi="Arial" w:cs="Arial"/>
          <w:sz w:val="22"/>
          <w:szCs w:val="22"/>
        </w:rPr>
        <w:br/>
        <w:t xml:space="preserve">probit approach’, </w:t>
      </w:r>
      <w:r w:rsidRPr="00E60876">
        <w:rPr>
          <w:rFonts w:ascii="Arial" w:hAnsi="Arial" w:cs="Arial"/>
          <w:i/>
          <w:iCs/>
          <w:sz w:val="22"/>
          <w:szCs w:val="22"/>
        </w:rPr>
        <w:t>Health Policy</w:t>
      </w:r>
      <w:r w:rsidRPr="00E60876">
        <w:rPr>
          <w:rFonts w:ascii="Arial" w:hAnsi="Arial" w:cs="Arial"/>
          <w:sz w:val="22"/>
          <w:szCs w:val="22"/>
        </w:rPr>
        <w:t xml:space="preserve">, 154, 105265. Available at: </w:t>
      </w:r>
      <w:hyperlink r:id="rId33" w:history="1">
        <w:r w:rsidRPr="00E60876">
          <w:rPr>
            <w:rStyle w:val="Hyperlink"/>
            <w:rFonts w:ascii="Arial" w:hAnsi="Arial" w:cs="Arial"/>
            <w:sz w:val="22"/>
            <w:szCs w:val="22"/>
          </w:rPr>
          <w:t>https://doi.org/10.1016/j.healthpol.2025.105265</w:t>
        </w:r>
      </w:hyperlink>
    </w:p>
    <w:p w14:paraId="555BBB9B"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Chao,</w:t>
      </w:r>
      <w:r w:rsidRPr="00E60876">
        <w:rPr>
          <w:rFonts w:ascii="Arial" w:hAnsi="Arial" w:cs="Arial"/>
          <w:sz w:val="22"/>
          <w:szCs w:val="22"/>
        </w:rPr>
        <w:br/>
        <w:t>J., Lau, D., Ho, K.H.M. and Cheung, D.S.T. (2025) ‘Why do patients seek</w:t>
      </w:r>
      <w:r w:rsidRPr="00E60876">
        <w:rPr>
          <w:rFonts w:ascii="Arial" w:hAnsi="Arial" w:cs="Arial"/>
          <w:sz w:val="22"/>
          <w:szCs w:val="22"/>
        </w:rPr>
        <w:br/>
        <w:t>emergency care for problems that could be managed in primary care? A scoping</w:t>
      </w:r>
      <w:r w:rsidRPr="00E60876">
        <w:rPr>
          <w:rFonts w:ascii="Arial" w:hAnsi="Arial" w:cs="Arial"/>
          <w:sz w:val="22"/>
          <w:szCs w:val="22"/>
        </w:rPr>
        <w:br/>
        <w:t xml:space="preserve">review’, </w:t>
      </w:r>
      <w:r w:rsidRPr="00E60876">
        <w:rPr>
          <w:rFonts w:ascii="Arial" w:hAnsi="Arial" w:cs="Arial"/>
          <w:i/>
          <w:iCs/>
          <w:sz w:val="22"/>
          <w:szCs w:val="22"/>
        </w:rPr>
        <w:t>BMC Emergency Medicine</w:t>
      </w:r>
      <w:r w:rsidRPr="00E60876">
        <w:rPr>
          <w:rFonts w:ascii="Arial" w:hAnsi="Arial" w:cs="Arial"/>
          <w:sz w:val="22"/>
          <w:szCs w:val="22"/>
        </w:rPr>
        <w:t xml:space="preserve">, 25(1), 48. Available at: </w:t>
      </w:r>
      <w:hyperlink r:id="rId34" w:history="1">
        <w:r w:rsidRPr="00E60876">
          <w:rPr>
            <w:rStyle w:val="Hyperlink"/>
            <w:rFonts w:ascii="Arial" w:hAnsi="Arial" w:cs="Arial"/>
            <w:sz w:val="22"/>
            <w:szCs w:val="22"/>
          </w:rPr>
          <w:t>https://doi.org/10.1186/s12873-025-01205-8</w:t>
        </w:r>
      </w:hyperlink>
    </w:p>
    <w:p w14:paraId="3B3908D8" w14:textId="57EB4ADE"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lastRenderedPageBreak/>
        <w:t>Chappell,</w:t>
      </w:r>
      <w:r w:rsidRPr="00E60876">
        <w:rPr>
          <w:rFonts w:ascii="Arial" w:hAnsi="Arial" w:cs="Arial"/>
          <w:sz w:val="22"/>
          <w:szCs w:val="22"/>
        </w:rPr>
        <w:br/>
        <w:t>P., Dias, A., Bakhai, M., Ledger, J. and Clarke, G.M. (2023) ‘How is primary</w:t>
      </w:r>
      <w:r w:rsidRPr="00E60876">
        <w:rPr>
          <w:rFonts w:ascii="Arial" w:hAnsi="Arial" w:cs="Arial"/>
          <w:sz w:val="22"/>
          <w:szCs w:val="22"/>
        </w:rPr>
        <w:br/>
        <w:t xml:space="preserve">care access changing? </w:t>
      </w:r>
      <w:r w:rsidR="009F7FDA" w:rsidRPr="00E60876">
        <w:rPr>
          <w:rFonts w:ascii="Arial" w:hAnsi="Arial" w:cs="Arial"/>
          <w:sz w:val="22"/>
          <w:szCs w:val="22"/>
        </w:rPr>
        <w:t>A retrospective</w:t>
      </w:r>
      <w:r w:rsidRPr="00E60876">
        <w:rPr>
          <w:rFonts w:ascii="Arial" w:hAnsi="Arial" w:cs="Arial"/>
          <w:sz w:val="22"/>
          <w:szCs w:val="22"/>
        </w:rPr>
        <w:t xml:space="preserve"> repeated cross-sectional study of</w:t>
      </w:r>
      <w:r w:rsidRPr="00E60876">
        <w:rPr>
          <w:rFonts w:ascii="Arial" w:hAnsi="Arial" w:cs="Arial"/>
          <w:sz w:val="22"/>
          <w:szCs w:val="22"/>
        </w:rPr>
        <w:br/>
        <w:t>patient-initiated demand at general practices in England using a modern access</w:t>
      </w:r>
      <w:r w:rsidRPr="00E60876">
        <w:rPr>
          <w:rFonts w:ascii="Arial" w:hAnsi="Arial" w:cs="Arial"/>
          <w:sz w:val="22"/>
          <w:szCs w:val="22"/>
        </w:rPr>
        <w:br/>
        <w:t xml:space="preserve">model, 2019–2022’, </w:t>
      </w:r>
      <w:r w:rsidRPr="00E60876">
        <w:rPr>
          <w:rFonts w:ascii="Arial" w:hAnsi="Arial" w:cs="Arial"/>
          <w:i/>
          <w:iCs/>
          <w:sz w:val="22"/>
          <w:szCs w:val="22"/>
        </w:rPr>
        <w:t>BMJ Open</w:t>
      </w:r>
      <w:r w:rsidRPr="00E60876">
        <w:rPr>
          <w:rFonts w:ascii="Arial" w:hAnsi="Arial" w:cs="Arial"/>
          <w:sz w:val="22"/>
          <w:szCs w:val="22"/>
        </w:rPr>
        <w:t xml:space="preserve">, 13(8), e072944. Available at: </w:t>
      </w:r>
      <w:hyperlink r:id="rId35" w:history="1">
        <w:r w:rsidRPr="00E60876">
          <w:rPr>
            <w:rStyle w:val="Hyperlink"/>
            <w:rFonts w:ascii="Arial" w:hAnsi="Arial" w:cs="Arial"/>
            <w:sz w:val="22"/>
            <w:szCs w:val="22"/>
          </w:rPr>
          <w:t>https://doi.org/10.1136/bmjopen-2023-072944</w:t>
        </w:r>
      </w:hyperlink>
    </w:p>
    <w:p w14:paraId="161510A7"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Cookson,</w:t>
      </w:r>
      <w:r w:rsidRPr="00E60876">
        <w:rPr>
          <w:rFonts w:ascii="Arial" w:hAnsi="Arial" w:cs="Arial"/>
          <w:sz w:val="22"/>
          <w:szCs w:val="22"/>
        </w:rPr>
        <w:br/>
        <w:t xml:space="preserve">R. and Dolan, P. (2000) ‘Principles of justice in health care rationing’, </w:t>
      </w:r>
      <w:r w:rsidRPr="00E60876">
        <w:rPr>
          <w:rFonts w:ascii="Arial" w:hAnsi="Arial" w:cs="Arial"/>
          <w:i/>
          <w:iCs/>
          <w:sz w:val="22"/>
          <w:szCs w:val="22"/>
        </w:rPr>
        <w:t>Journal</w:t>
      </w:r>
      <w:r w:rsidRPr="00E60876">
        <w:rPr>
          <w:rFonts w:ascii="Arial" w:hAnsi="Arial" w:cs="Arial"/>
          <w:i/>
          <w:iCs/>
          <w:sz w:val="22"/>
          <w:szCs w:val="22"/>
        </w:rPr>
        <w:br/>
        <w:t>of Medical Ethics</w:t>
      </w:r>
      <w:r w:rsidRPr="00E60876">
        <w:rPr>
          <w:rFonts w:ascii="Arial" w:hAnsi="Arial" w:cs="Arial"/>
          <w:sz w:val="22"/>
          <w:szCs w:val="22"/>
        </w:rPr>
        <w:t xml:space="preserve">, 26(5), pp. 323–329. Available at: </w:t>
      </w:r>
      <w:hyperlink r:id="rId36" w:history="1">
        <w:r w:rsidRPr="00E60876">
          <w:rPr>
            <w:rStyle w:val="Hyperlink"/>
            <w:rFonts w:ascii="Arial" w:hAnsi="Arial" w:cs="Arial"/>
            <w:sz w:val="22"/>
            <w:szCs w:val="22"/>
          </w:rPr>
          <w:t>https://doi.org/10.1136/jme.26.5.323</w:t>
        </w:r>
      </w:hyperlink>
    </w:p>
    <w:p w14:paraId="412C8367"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Cooper,</w:t>
      </w:r>
      <w:r w:rsidRPr="00E60876">
        <w:rPr>
          <w:rFonts w:ascii="Arial" w:hAnsi="Arial" w:cs="Arial"/>
          <w:sz w:val="22"/>
          <w:szCs w:val="22"/>
        </w:rPr>
        <w:br/>
        <w:t>A. et al. (2019) ‘The impact of general practitioners working in or alongside</w:t>
      </w:r>
      <w:r w:rsidRPr="00E60876">
        <w:rPr>
          <w:rFonts w:ascii="Arial" w:hAnsi="Arial" w:cs="Arial"/>
          <w:sz w:val="22"/>
          <w:szCs w:val="22"/>
        </w:rPr>
        <w:br/>
        <w:t xml:space="preserve">emergency departments: a rapid realist review’, </w:t>
      </w:r>
      <w:r w:rsidRPr="00E60876">
        <w:rPr>
          <w:rFonts w:ascii="Arial" w:hAnsi="Arial" w:cs="Arial"/>
          <w:i/>
          <w:iCs/>
          <w:sz w:val="22"/>
          <w:szCs w:val="22"/>
        </w:rPr>
        <w:t>BMJ Open</w:t>
      </w:r>
      <w:r w:rsidRPr="00E60876">
        <w:rPr>
          <w:rFonts w:ascii="Arial" w:hAnsi="Arial" w:cs="Arial"/>
          <w:sz w:val="22"/>
          <w:szCs w:val="22"/>
        </w:rPr>
        <w:t>, 9(4), e024501.</w:t>
      </w:r>
      <w:r w:rsidRPr="00E60876">
        <w:rPr>
          <w:rFonts w:ascii="Arial" w:hAnsi="Arial" w:cs="Arial"/>
          <w:sz w:val="22"/>
          <w:szCs w:val="22"/>
        </w:rPr>
        <w:br/>
        <w:t xml:space="preserve">Available at: </w:t>
      </w:r>
      <w:hyperlink r:id="rId37" w:history="1">
        <w:r w:rsidRPr="00E60876">
          <w:rPr>
            <w:rStyle w:val="Hyperlink"/>
            <w:rFonts w:ascii="Arial" w:hAnsi="Arial" w:cs="Arial"/>
            <w:sz w:val="22"/>
            <w:szCs w:val="22"/>
          </w:rPr>
          <w:t>https://doi.org/10.1136/bmjopen-2018-024501</w:t>
        </w:r>
      </w:hyperlink>
    </w:p>
    <w:p w14:paraId="63B9CAC0"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Coster,</w:t>
      </w:r>
      <w:r w:rsidRPr="00E60876">
        <w:rPr>
          <w:rFonts w:ascii="Arial" w:hAnsi="Arial" w:cs="Arial"/>
          <w:sz w:val="22"/>
          <w:szCs w:val="22"/>
        </w:rPr>
        <w:br/>
        <w:t>J.E., Turner, J.K., Bradbury, D. and Cantrell, A. (2017) ‘Why do people choose</w:t>
      </w:r>
      <w:r w:rsidRPr="00E60876">
        <w:rPr>
          <w:rFonts w:ascii="Arial" w:hAnsi="Arial" w:cs="Arial"/>
          <w:sz w:val="22"/>
          <w:szCs w:val="22"/>
        </w:rPr>
        <w:br/>
        <w:t>emergency and urgent care services? A rapid review utilising a systematic</w:t>
      </w:r>
      <w:r w:rsidRPr="00E60876">
        <w:rPr>
          <w:rFonts w:ascii="Arial" w:hAnsi="Arial" w:cs="Arial"/>
          <w:sz w:val="22"/>
          <w:szCs w:val="22"/>
        </w:rPr>
        <w:br/>
        <w:t xml:space="preserve">literature search and narrative synthesis’, </w:t>
      </w:r>
      <w:r w:rsidRPr="00E60876">
        <w:rPr>
          <w:rFonts w:ascii="Arial" w:hAnsi="Arial" w:cs="Arial"/>
          <w:i/>
          <w:iCs/>
          <w:sz w:val="22"/>
          <w:szCs w:val="22"/>
        </w:rPr>
        <w:t>Academic Emergency Medicine</w:t>
      </w:r>
      <w:r w:rsidRPr="00E60876">
        <w:rPr>
          <w:rFonts w:ascii="Arial" w:hAnsi="Arial" w:cs="Arial"/>
          <w:sz w:val="22"/>
          <w:szCs w:val="22"/>
        </w:rPr>
        <w:t>,</w:t>
      </w:r>
      <w:r w:rsidRPr="00E60876">
        <w:rPr>
          <w:rFonts w:ascii="Arial" w:hAnsi="Arial" w:cs="Arial"/>
          <w:sz w:val="22"/>
          <w:szCs w:val="22"/>
        </w:rPr>
        <w:br/>
        <w:t xml:space="preserve">24(9), pp. 1137–1149. Available at: </w:t>
      </w:r>
      <w:hyperlink r:id="rId38" w:history="1">
        <w:r w:rsidRPr="00E60876">
          <w:rPr>
            <w:rStyle w:val="Hyperlink"/>
            <w:rFonts w:ascii="Arial" w:hAnsi="Arial" w:cs="Arial"/>
            <w:sz w:val="22"/>
            <w:szCs w:val="22"/>
          </w:rPr>
          <w:t>https://doi.org/10.1111/acem.13220</w:t>
        </w:r>
      </w:hyperlink>
    </w:p>
    <w:p w14:paraId="69A41AC3"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Cowling,</w:t>
      </w:r>
      <w:r w:rsidRPr="00E60876">
        <w:rPr>
          <w:rFonts w:ascii="Arial" w:hAnsi="Arial" w:cs="Arial"/>
          <w:sz w:val="22"/>
          <w:szCs w:val="22"/>
        </w:rPr>
        <w:br/>
        <w:t>T.E., Cecil, E.V., Soljak, M.A., Lee, J.T., Millett, C., Majeed, A., Wachter,</w:t>
      </w:r>
      <w:r w:rsidRPr="00E60876">
        <w:rPr>
          <w:rFonts w:ascii="Arial" w:hAnsi="Arial" w:cs="Arial"/>
          <w:sz w:val="22"/>
          <w:szCs w:val="22"/>
        </w:rPr>
        <w:br/>
        <w:t>R.M. and Harris, M.J. (2013) ‘Access to primary care and visits to emergency</w:t>
      </w:r>
      <w:r w:rsidRPr="00E60876">
        <w:rPr>
          <w:rFonts w:ascii="Arial" w:hAnsi="Arial" w:cs="Arial"/>
          <w:sz w:val="22"/>
          <w:szCs w:val="22"/>
        </w:rPr>
        <w:br/>
        <w:t xml:space="preserve">departments in England: a cross-sectional, population-based study’, </w:t>
      </w:r>
      <w:r w:rsidRPr="00E60876">
        <w:rPr>
          <w:rFonts w:ascii="Arial" w:hAnsi="Arial" w:cs="Arial"/>
          <w:i/>
          <w:iCs/>
          <w:sz w:val="22"/>
          <w:szCs w:val="22"/>
        </w:rPr>
        <w:t>PLoS ONE</w:t>
      </w:r>
      <w:r w:rsidRPr="00E60876">
        <w:rPr>
          <w:rFonts w:ascii="Arial" w:hAnsi="Arial" w:cs="Arial"/>
          <w:sz w:val="22"/>
          <w:szCs w:val="22"/>
        </w:rPr>
        <w:t>,</w:t>
      </w:r>
      <w:r w:rsidRPr="00E60876">
        <w:rPr>
          <w:rFonts w:ascii="Arial" w:hAnsi="Arial" w:cs="Arial"/>
          <w:sz w:val="22"/>
          <w:szCs w:val="22"/>
        </w:rPr>
        <w:br/>
        <w:t xml:space="preserve">8(6), e66699. Available at: </w:t>
      </w:r>
      <w:hyperlink r:id="rId39" w:history="1">
        <w:r w:rsidRPr="00E60876">
          <w:rPr>
            <w:rStyle w:val="Hyperlink"/>
            <w:rFonts w:ascii="Arial" w:hAnsi="Arial" w:cs="Arial"/>
            <w:sz w:val="22"/>
            <w:szCs w:val="22"/>
          </w:rPr>
          <w:t>https://doi.org/10.1371/journal.pone.0066699</w:t>
        </w:r>
      </w:hyperlink>
    </w:p>
    <w:p w14:paraId="57A3A413"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Cowling,</w:t>
      </w:r>
      <w:r w:rsidRPr="00E60876">
        <w:rPr>
          <w:rFonts w:ascii="Arial" w:hAnsi="Arial" w:cs="Arial"/>
          <w:sz w:val="22"/>
          <w:szCs w:val="22"/>
        </w:rPr>
        <w:br/>
        <w:t>T.E., Harris, M.J. and Majeed, A. (2017) ‘Extended opening hours and patient</w:t>
      </w:r>
      <w:r w:rsidRPr="00E60876">
        <w:rPr>
          <w:rFonts w:ascii="Arial" w:hAnsi="Arial" w:cs="Arial"/>
          <w:sz w:val="22"/>
          <w:szCs w:val="22"/>
        </w:rPr>
        <w:br/>
        <w:t>experience of general practice in England: multilevel regression analysis of a</w:t>
      </w:r>
      <w:r w:rsidRPr="00E60876">
        <w:rPr>
          <w:rFonts w:ascii="Arial" w:hAnsi="Arial" w:cs="Arial"/>
          <w:sz w:val="22"/>
          <w:szCs w:val="22"/>
        </w:rPr>
        <w:br/>
        <w:t xml:space="preserve">national patient survey’, </w:t>
      </w:r>
      <w:r w:rsidRPr="00E60876">
        <w:rPr>
          <w:rFonts w:ascii="Arial" w:hAnsi="Arial" w:cs="Arial"/>
          <w:i/>
          <w:iCs/>
          <w:sz w:val="22"/>
          <w:szCs w:val="22"/>
        </w:rPr>
        <w:t>BMJ Quality and Safety</w:t>
      </w:r>
      <w:r w:rsidRPr="00E60876">
        <w:rPr>
          <w:rFonts w:ascii="Arial" w:hAnsi="Arial" w:cs="Arial"/>
          <w:sz w:val="22"/>
          <w:szCs w:val="22"/>
        </w:rPr>
        <w:t>, 26(6), pp. 435–443.</w:t>
      </w:r>
      <w:r w:rsidRPr="00E60876">
        <w:rPr>
          <w:rFonts w:ascii="Arial" w:hAnsi="Arial" w:cs="Arial"/>
          <w:sz w:val="22"/>
          <w:szCs w:val="22"/>
        </w:rPr>
        <w:br/>
        <w:t xml:space="preserve">Available at: </w:t>
      </w:r>
      <w:hyperlink r:id="rId40" w:history="1">
        <w:r w:rsidRPr="00E60876">
          <w:rPr>
            <w:rStyle w:val="Hyperlink"/>
            <w:rFonts w:ascii="Arial" w:hAnsi="Arial" w:cs="Arial"/>
            <w:sz w:val="22"/>
            <w:szCs w:val="22"/>
          </w:rPr>
          <w:t>https://doi.org/10.1136/bmjqs-2015-004493</w:t>
        </w:r>
      </w:hyperlink>
    </w:p>
    <w:p w14:paraId="3BDA42B2"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Croxson,</w:t>
      </w:r>
      <w:r w:rsidRPr="00E60876">
        <w:rPr>
          <w:rFonts w:ascii="Arial" w:hAnsi="Arial" w:cs="Arial"/>
          <w:sz w:val="22"/>
          <w:szCs w:val="22"/>
        </w:rPr>
        <w:br/>
        <w:t>C.H.D., Ashdown, H.F. and Hobbs, F.D.R. (2020) ‘GPs’ perceptions of the causes</w:t>
      </w:r>
      <w:r w:rsidRPr="00E60876">
        <w:rPr>
          <w:rFonts w:ascii="Arial" w:hAnsi="Arial" w:cs="Arial"/>
          <w:sz w:val="22"/>
          <w:szCs w:val="22"/>
        </w:rPr>
        <w:br/>
        <w:t xml:space="preserve">of a primary care access crisis: a qualitative study’, </w:t>
      </w:r>
      <w:r w:rsidRPr="00E60876">
        <w:rPr>
          <w:rFonts w:ascii="Arial" w:hAnsi="Arial" w:cs="Arial"/>
          <w:i/>
          <w:iCs/>
          <w:sz w:val="22"/>
          <w:szCs w:val="22"/>
        </w:rPr>
        <w:t>British Journal of</w:t>
      </w:r>
      <w:r w:rsidRPr="00E60876">
        <w:rPr>
          <w:rFonts w:ascii="Arial" w:hAnsi="Arial" w:cs="Arial"/>
          <w:i/>
          <w:iCs/>
          <w:sz w:val="22"/>
          <w:szCs w:val="22"/>
        </w:rPr>
        <w:br/>
        <w:t>General Practice</w:t>
      </w:r>
      <w:r w:rsidRPr="00E60876">
        <w:rPr>
          <w:rFonts w:ascii="Arial" w:hAnsi="Arial" w:cs="Arial"/>
          <w:sz w:val="22"/>
          <w:szCs w:val="22"/>
        </w:rPr>
        <w:t xml:space="preserve">, 70(698), pp. e532–e540. Available at: </w:t>
      </w:r>
      <w:hyperlink r:id="rId41" w:history="1">
        <w:r w:rsidRPr="00E60876">
          <w:rPr>
            <w:rStyle w:val="Hyperlink"/>
            <w:rFonts w:ascii="Arial" w:hAnsi="Arial" w:cs="Arial"/>
            <w:sz w:val="22"/>
            <w:szCs w:val="22"/>
          </w:rPr>
          <w:t>https://doi.org/10.3399/bjgp20X710909</w:t>
        </w:r>
      </w:hyperlink>
    </w:p>
    <w:p w14:paraId="3F3D7FAE"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Davidge,</w:t>
      </w:r>
      <w:r w:rsidRPr="00E60876">
        <w:rPr>
          <w:rFonts w:ascii="Arial" w:hAnsi="Arial" w:cs="Arial"/>
          <w:sz w:val="22"/>
          <w:szCs w:val="22"/>
        </w:rPr>
        <w:br/>
        <w:t>G., Blease, C., Brown, L., Lyons, M., French, D., van Staa, T. and McMillan, B.</w:t>
      </w:r>
      <w:r w:rsidRPr="00E60876">
        <w:rPr>
          <w:rFonts w:ascii="Arial" w:hAnsi="Arial" w:cs="Arial"/>
          <w:sz w:val="22"/>
          <w:szCs w:val="22"/>
        </w:rPr>
        <w:br/>
      </w:r>
      <w:r w:rsidRPr="00E60876">
        <w:rPr>
          <w:rFonts w:ascii="Arial" w:hAnsi="Arial" w:cs="Arial"/>
          <w:sz w:val="22"/>
          <w:szCs w:val="22"/>
        </w:rPr>
        <w:lastRenderedPageBreak/>
        <w:t>(2023) ‘Primary care staff’s views and experience of patients’ online access to</w:t>
      </w:r>
      <w:r w:rsidRPr="00E60876">
        <w:rPr>
          <w:rFonts w:ascii="Arial" w:hAnsi="Arial" w:cs="Arial"/>
          <w:sz w:val="22"/>
          <w:szCs w:val="22"/>
        </w:rPr>
        <w:br/>
        <w:t xml:space="preserve">their electronic health record: a qualitative exploration’, </w:t>
      </w:r>
      <w:r w:rsidRPr="00E60876">
        <w:rPr>
          <w:rFonts w:ascii="Arial" w:hAnsi="Arial" w:cs="Arial"/>
          <w:i/>
          <w:iCs/>
          <w:sz w:val="22"/>
          <w:szCs w:val="22"/>
        </w:rPr>
        <w:t>British Journal</w:t>
      </w:r>
      <w:r w:rsidRPr="00E60876">
        <w:rPr>
          <w:rFonts w:ascii="Arial" w:hAnsi="Arial" w:cs="Arial"/>
          <w:i/>
          <w:iCs/>
          <w:sz w:val="22"/>
          <w:szCs w:val="22"/>
        </w:rPr>
        <w:br/>
        <w:t>of General Practice</w:t>
      </w:r>
      <w:r w:rsidRPr="00E60876">
        <w:rPr>
          <w:rFonts w:ascii="Arial" w:hAnsi="Arial" w:cs="Arial"/>
          <w:sz w:val="22"/>
          <w:szCs w:val="22"/>
        </w:rPr>
        <w:t xml:space="preserve">, 73(731), pp. e418–e426. Available at: </w:t>
      </w:r>
      <w:hyperlink r:id="rId42" w:history="1">
        <w:r w:rsidRPr="00E60876">
          <w:rPr>
            <w:rStyle w:val="Hyperlink"/>
            <w:rFonts w:ascii="Arial" w:hAnsi="Arial" w:cs="Arial"/>
            <w:sz w:val="22"/>
            <w:szCs w:val="22"/>
          </w:rPr>
          <w:t>https://doi.org/10.3399/BJGP.2022.0436</w:t>
        </w:r>
      </w:hyperlink>
    </w:p>
    <w:p w14:paraId="355807F5"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Davidge,</w:t>
      </w:r>
      <w:r w:rsidRPr="00E60876">
        <w:rPr>
          <w:rFonts w:ascii="Arial" w:hAnsi="Arial" w:cs="Arial"/>
          <w:sz w:val="22"/>
          <w:szCs w:val="22"/>
        </w:rPr>
        <w:br/>
        <w:t>G., Blease, C., Brown, L., Nenadic, G., Sanders, C. and McMillan, B. (2025)</w:t>
      </w:r>
      <w:r w:rsidRPr="00E60876">
        <w:rPr>
          <w:rFonts w:ascii="Arial" w:hAnsi="Arial" w:cs="Arial"/>
          <w:sz w:val="22"/>
          <w:szCs w:val="22"/>
        </w:rPr>
        <w:br/>
        <w:t>‘“Getting it right” in an era of online electronic health records access in</w:t>
      </w:r>
      <w:r w:rsidRPr="00E60876">
        <w:rPr>
          <w:rFonts w:ascii="Arial" w:hAnsi="Arial" w:cs="Arial"/>
          <w:sz w:val="22"/>
          <w:szCs w:val="22"/>
        </w:rPr>
        <w:br/>
        <w:t>primary care: a qualitative study exploring the needs and requirements of</w:t>
      </w:r>
      <w:r w:rsidRPr="00E60876">
        <w:rPr>
          <w:rFonts w:ascii="Arial" w:hAnsi="Arial" w:cs="Arial"/>
          <w:sz w:val="22"/>
          <w:szCs w:val="22"/>
        </w:rPr>
        <w:br/>
        <w:t xml:space="preserve">underserved patients and carers’, </w:t>
      </w:r>
      <w:r w:rsidRPr="00E60876">
        <w:rPr>
          <w:rFonts w:ascii="Arial" w:hAnsi="Arial" w:cs="Arial"/>
          <w:i/>
          <w:iCs/>
          <w:sz w:val="22"/>
          <w:szCs w:val="22"/>
        </w:rPr>
        <w:t>Patient Education and Counselling</w:t>
      </w:r>
      <w:r w:rsidRPr="00E60876">
        <w:rPr>
          <w:rFonts w:ascii="Arial" w:hAnsi="Arial" w:cs="Arial"/>
          <w:sz w:val="22"/>
          <w:szCs w:val="22"/>
        </w:rPr>
        <w:t>,</w:t>
      </w:r>
      <w:r w:rsidRPr="00E60876">
        <w:rPr>
          <w:rFonts w:ascii="Arial" w:hAnsi="Arial" w:cs="Arial"/>
          <w:sz w:val="22"/>
          <w:szCs w:val="22"/>
        </w:rPr>
        <w:br/>
        <w:t xml:space="preserve">138, 109192. Available at: </w:t>
      </w:r>
      <w:hyperlink r:id="rId43" w:history="1">
        <w:r w:rsidRPr="00E60876">
          <w:rPr>
            <w:rStyle w:val="Hyperlink"/>
            <w:rFonts w:ascii="Arial" w:hAnsi="Arial" w:cs="Arial"/>
            <w:sz w:val="22"/>
            <w:szCs w:val="22"/>
          </w:rPr>
          <w:t>https://doi.org/10.1016/j.pec.2025.109192</w:t>
        </w:r>
      </w:hyperlink>
    </w:p>
    <w:p w14:paraId="0D36225D"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Davies,</w:t>
      </w:r>
      <w:r w:rsidRPr="00E60876">
        <w:rPr>
          <w:rFonts w:ascii="Arial" w:hAnsi="Arial" w:cs="Arial"/>
          <w:sz w:val="22"/>
          <w:szCs w:val="22"/>
        </w:rPr>
        <w:br/>
        <w:t>J., Bhattacharya, A., Burnett, S., Burrell, A., Clegg, G.R., Cooke, M.W.,</w:t>
      </w:r>
      <w:r w:rsidRPr="00E60876">
        <w:rPr>
          <w:rFonts w:ascii="Arial" w:hAnsi="Arial" w:cs="Arial"/>
          <w:sz w:val="22"/>
          <w:szCs w:val="22"/>
        </w:rPr>
        <w:br/>
        <w:t>Cooke, R., Feeney, K., Harrison, N., Hayward, G., Horner, D., Jones, A.,</w:t>
      </w:r>
      <w:r w:rsidRPr="00E60876">
        <w:rPr>
          <w:rFonts w:ascii="Arial" w:hAnsi="Arial" w:cs="Arial"/>
          <w:sz w:val="22"/>
          <w:szCs w:val="22"/>
        </w:rPr>
        <w:br/>
        <w:t>McMahon, N., Price, C.I., Sherwood, E., Spaight, R., Thondoo, M., Turner, J.</w:t>
      </w:r>
      <w:r w:rsidRPr="00E60876">
        <w:rPr>
          <w:rFonts w:ascii="Arial" w:hAnsi="Arial" w:cs="Arial"/>
          <w:sz w:val="22"/>
          <w:szCs w:val="22"/>
        </w:rPr>
        <w:br/>
        <w:t>and McCann, S. (2024) ‘Evaluation of different models of general practitioners</w:t>
      </w:r>
      <w:r w:rsidRPr="00E60876">
        <w:rPr>
          <w:rFonts w:ascii="Arial" w:hAnsi="Arial" w:cs="Arial"/>
          <w:sz w:val="22"/>
          <w:szCs w:val="22"/>
        </w:rPr>
        <w:br/>
        <w:t>working in or alongside emergency departments: a mixed-methods realist</w:t>
      </w:r>
      <w:r w:rsidRPr="00E60876">
        <w:rPr>
          <w:rFonts w:ascii="Arial" w:hAnsi="Arial" w:cs="Arial"/>
          <w:sz w:val="22"/>
          <w:szCs w:val="22"/>
        </w:rPr>
        <w:br/>
        <w:t xml:space="preserve">evaluation’, </w:t>
      </w:r>
      <w:r w:rsidRPr="00E60876">
        <w:rPr>
          <w:rFonts w:ascii="Arial" w:hAnsi="Arial" w:cs="Arial"/>
          <w:i/>
          <w:iCs/>
          <w:sz w:val="22"/>
          <w:szCs w:val="22"/>
        </w:rPr>
        <w:t>Health and Social Care Delivery Research</w:t>
      </w:r>
      <w:r w:rsidRPr="00E60876">
        <w:rPr>
          <w:rFonts w:ascii="Arial" w:hAnsi="Arial" w:cs="Arial"/>
          <w:sz w:val="22"/>
          <w:szCs w:val="22"/>
        </w:rPr>
        <w:t>, 12(6), pp. 1–204.</w:t>
      </w:r>
      <w:r w:rsidRPr="00E60876">
        <w:rPr>
          <w:rFonts w:ascii="Arial" w:hAnsi="Arial" w:cs="Arial"/>
          <w:sz w:val="22"/>
          <w:szCs w:val="22"/>
        </w:rPr>
        <w:br/>
        <w:t xml:space="preserve">Available at: </w:t>
      </w:r>
      <w:hyperlink r:id="rId44" w:history="1">
        <w:r w:rsidRPr="00E60876">
          <w:rPr>
            <w:rStyle w:val="Hyperlink"/>
            <w:rFonts w:ascii="Arial" w:hAnsi="Arial" w:cs="Arial"/>
            <w:sz w:val="22"/>
            <w:szCs w:val="22"/>
          </w:rPr>
          <w:t>https://doi.org/10.3310/PYOE4109</w:t>
        </w:r>
      </w:hyperlink>
    </w:p>
    <w:p w14:paraId="70D113E3"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Department</w:t>
      </w:r>
      <w:r w:rsidRPr="00E60876">
        <w:rPr>
          <w:rFonts w:ascii="Arial" w:hAnsi="Arial" w:cs="Arial"/>
          <w:sz w:val="22"/>
          <w:szCs w:val="22"/>
        </w:rPr>
        <w:br/>
        <w:t xml:space="preserve">of Health and Social Care (2023) </w:t>
      </w:r>
      <w:r w:rsidRPr="00E60876">
        <w:rPr>
          <w:rFonts w:ascii="Arial" w:hAnsi="Arial" w:cs="Arial"/>
          <w:i/>
          <w:iCs/>
          <w:sz w:val="22"/>
          <w:szCs w:val="22"/>
        </w:rPr>
        <w:t>Primary care recovery plan</w:t>
      </w:r>
      <w:r w:rsidRPr="00E60876">
        <w:rPr>
          <w:rFonts w:ascii="Arial" w:hAnsi="Arial" w:cs="Arial"/>
          <w:sz w:val="22"/>
          <w:szCs w:val="22"/>
        </w:rPr>
        <w:t>. London:</w:t>
      </w:r>
      <w:r w:rsidRPr="00E60876">
        <w:rPr>
          <w:rFonts w:ascii="Arial" w:hAnsi="Arial" w:cs="Arial"/>
          <w:sz w:val="22"/>
          <w:szCs w:val="22"/>
        </w:rPr>
        <w:br/>
        <w:t xml:space="preserve">DHSC. Available at: </w:t>
      </w:r>
      <w:hyperlink r:id="rId45" w:history="1">
        <w:r w:rsidRPr="00E60876">
          <w:rPr>
            <w:rStyle w:val="Hyperlink"/>
            <w:rFonts w:ascii="Arial" w:hAnsi="Arial" w:cs="Arial"/>
            <w:sz w:val="22"/>
            <w:szCs w:val="22"/>
          </w:rPr>
          <w:t>https://www.gov.uk/government/publications/primary-care-recovery-plan</w:t>
        </w:r>
      </w:hyperlink>
    </w:p>
    <w:p w14:paraId="1FF4DDF5"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Dixon-Woods,</w:t>
      </w:r>
      <w:r w:rsidRPr="00E60876">
        <w:rPr>
          <w:rFonts w:ascii="Arial" w:hAnsi="Arial" w:cs="Arial"/>
          <w:sz w:val="22"/>
          <w:szCs w:val="22"/>
        </w:rPr>
        <w:br/>
        <w:t>M., Cavers, D., Agarwal, S., Annandale, E., Arthur, A., Harvey, J., Hsu, R.,</w:t>
      </w:r>
      <w:r w:rsidRPr="00E60876">
        <w:rPr>
          <w:rFonts w:ascii="Arial" w:hAnsi="Arial" w:cs="Arial"/>
          <w:sz w:val="22"/>
          <w:szCs w:val="22"/>
        </w:rPr>
        <w:br/>
        <w:t>Katbamna, S., Olsen, R., Smith, L., Riley, R. and Sutton, A.J. (2006)</w:t>
      </w:r>
      <w:r w:rsidRPr="00E60876">
        <w:rPr>
          <w:rFonts w:ascii="Arial" w:hAnsi="Arial" w:cs="Arial"/>
          <w:sz w:val="22"/>
          <w:szCs w:val="22"/>
        </w:rPr>
        <w:br/>
        <w:t>‘Conducting a critical interpretive synthesis of the literature on access to</w:t>
      </w:r>
      <w:r w:rsidRPr="00E60876">
        <w:rPr>
          <w:rFonts w:ascii="Arial" w:hAnsi="Arial" w:cs="Arial"/>
          <w:sz w:val="22"/>
          <w:szCs w:val="22"/>
        </w:rPr>
        <w:br/>
        <w:t xml:space="preserve">healthcare by vulnerable groups’, </w:t>
      </w:r>
      <w:r w:rsidRPr="00E60876">
        <w:rPr>
          <w:rFonts w:ascii="Arial" w:hAnsi="Arial" w:cs="Arial"/>
          <w:i/>
          <w:iCs/>
          <w:sz w:val="22"/>
          <w:szCs w:val="22"/>
        </w:rPr>
        <w:t>BMC Medical Research Methodology</w:t>
      </w:r>
      <w:r w:rsidRPr="00E60876">
        <w:rPr>
          <w:rFonts w:ascii="Arial" w:hAnsi="Arial" w:cs="Arial"/>
          <w:sz w:val="22"/>
          <w:szCs w:val="22"/>
        </w:rPr>
        <w:t>, 6,</w:t>
      </w:r>
      <w:r w:rsidRPr="00E60876">
        <w:rPr>
          <w:rFonts w:ascii="Arial" w:hAnsi="Arial" w:cs="Arial"/>
          <w:sz w:val="22"/>
          <w:szCs w:val="22"/>
        </w:rPr>
        <w:br/>
        <w:t xml:space="preserve">35. Available at: </w:t>
      </w:r>
      <w:hyperlink r:id="rId46" w:history="1">
        <w:r w:rsidRPr="00E60876">
          <w:rPr>
            <w:rStyle w:val="Hyperlink"/>
            <w:rFonts w:ascii="Arial" w:hAnsi="Arial" w:cs="Arial"/>
            <w:sz w:val="22"/>
            <w:szCs w:val="22"/>
          </w:rPr>
          <w:t>https://doi.org/10.1186/1471-2288-6-35</w:t>
        </w:r>
      </w:hyperlink>
    </w:p>
    <w:p w14:paraId="0FF3C876"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Eccles,</w:t>
      </w:r>
      <w:r w:rsidRPr="00E60876">
        <w:rPr>
          <w:rFonts w:ascii="Arial" w:hAnsi="Arial" w:cs="Arial"/>
          <w:sz w:val="22"/>
          <w:szCs w:val="22"/>
        </w:rPr>
        <w:br/>
        <w:t xml:space="preserve">A., Bryce, C., Driessen, A., Pope, C., Lifford, K.J., Grozeva, D., Cannings-John, R., Quinn-Scoggins, H., Moriarty, Y., Gjini, A., Goddard, M., Hepburn, J., Hughes, J., Moore, G., Osborne, K., Robling, M., Townson, J., Waller, J., Whitelock, V., Whitaker, K.L. and Brain, K. (2024) ‘Satisfaction with remote consultations in primary care during COVID-19: a population survey of UK adults’, </w:t>
      </w:r>
      <w:r w:rsidRPr="00E60876">
        <w:rPr>
          <w:rFonts w:ascii="Arial" w:hAnsi="Arial" w:cs="Arial"/>
          <w:i/>
          <w:iCs/>
          <w:sz w:val="22"/>
          <w:szCs w:val="22"/>
        </w:rPr>
        <w:t>British Journal of General Practice</w:t>
      </w:r>
      <w:r w:rsidRPr="00E60876">
        <w:rPr>
          <w:rFonts w:ascii="Arial" w:hAnsi="Arial" w:cs="Arial"/>
          <w:sz w:val="22"/>
          <w:szCs w:val="22"/>
        </w:rPr>
        <w:t xml:space="preserve">, 74(739), pp. e96–e103. Available at: </w:t>
      </w:r>
      <w:hyperlink r:id="rId47" w:history="1">
        <w:r w:rsidRPr="00E60876">
          <w:rPr>
            <w:rStyle w:val="Hyperlink"/>
            <w:rFonts w:ascii="Arial" w:hAnsi="Arial" w:cs="Arial"/>
            <w:sz w:val="22"/>
            <w:szCs w:val="22"/>
          </w:rPr>
          <w:t>https://doi.org/10.3399/BJGP.2023.0092</w:t>
        </w:r>
      </w:hyperlink>
    </w:p>
    <w:p w14:paraId="165E2326"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lastRenderedPageBreak/>
        <w:t>MacLellan, J., Gronlund, T., Nicholson,</w:t>
      </w:r>
      <w:r w:rsidRPr="00E60876">
        <w:rPr>
          <w:rFonts w:ascii="Arial" w:hAnsi="Arial" w:cs="Arial"/>
          <w:sz w:val="22"/>
          <w:szCs w:val="22"/>
        </w:rPr>
        <w:br/>
        <w:t>B.D., Ziebland, S. and Atherton, H. (2024) ‘Access systems in general practice:</w:t>
      </w:r>
      <w:r w:rsidRPr="00E60876">
        <w:rPr>
          <w:rFonts w:ascii="Arial" w:hAnsi="Arial" w:cs="Arial"/>
          <w:sz w:val="22"/>
          <w:szCs w:val="22"/>
        </w:rPr>
        <w:br/>
        <w:t xml:space="preserve">a systematic scoping review’, </w:t>
      </w:r>
      <w:r w:rsidRPr="00E60876">
        <w:rPr>
          <w:rFonts w:ascii="Arial" w:hAnsi="Arial" w:cs="Arial"/>
          <w:i/>
          <w:iCs/>
          <w:sz w:val="22"/>
          <w:szCs w:val="22"/>
        </w:rPr>
        <w:t>British Journal of General Practice</w:t>
      </w:r>
      <w:r w:rsidRPr="00E60876">
        <w:rPr>
          <w:rFonts w:ascii="Arial" w:hAnsi="Arial" w:cs="Arial"/>
          <w:sz w:val="22"/>
          <w:szCs w:val="22"/>
        </w:rPr>
        <w:t>,</w:t>
      </w:r>
      <w:r w:rsidRPr="00E60876">
        <w:rPr>
          <w:rFonts w:ascii="Arial" w:hAnsi="Arial" w:cs="Arial"/>
          <w:sz w:val="22"/>
          <w:szCs w:val="22"/>
        </w:rPr>
        <w:br/>
        <w:t xml:space="preserve">74(747), pp. e674–e682. Available at: </w:t>
      </w:r>
      <w:hyperlink r:id="rId48" w:history="1">
        <w:r w:rsidRPr="00E60876">
          <w:rPr>
            <w:rStyle w:val="Hyperlink"/>
            <w:rFonts w:ascii="Arial" w:hAnsi="Arial" w:cs="Arial"/>
            <w:sz w:val="22"/>
            <w:szCs w:val="22"/>
          </w:rPr>
          <w:t>https://doi.org/10.3399/BJGP.2023.0149</w:t>
        </w:r>
      </w:hyperlink>
    </w:p>
    <w:p w14:paraId="347718D6"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Edwards,</w:t>
      </w:r>
      <w:r w:rsidRPr="00E60876">
        <w:rPr>
          <w:rFonts w:ascii="Arial" w:hAnsi="Arial" w:cs="Arial"/>
          <w:sz w:val="22"/>
          <w:szCs w:val="22"/>
        </w:rPr>
        <w:br/>
        <w:t>M., Cooper, A., Hughes, T., Davies, F., Sherlock, R., Anderson, P., Evans, B.,</w:t>
      </w:r>
      <w:r w:rsidRPr="00E60876">
        <w:rPr>
          <w:rFonts w:ascii="Arial" w:hAnsi="Arial" w:cs="Arial"/>
          <w:sz w:val="22"/>
          <w:szCs w:val="22"/>
        </w:rPr>
        <w:br/>
        <w:t>Carson-Stevens, A., Cooke, M., Dale, J., Hibbert, P., Harrington, B., Hepburn,</w:t>
      </w:r>
      <w:r w:rsidRPr="00E60876">
        <w:rPr>
          <w:rFonts w:ascii="Arial" w:hAnsi="Arial" w:cs="Arial"/>
          <w:sz w:val="22"/>
          <w:szCs w:val="22"/>
        </w:rPr>
        <w:br/>
        <w:t>J., Porter, A., Rainer, T., Siriwardena, A.N., Snooks, H. and Edwards, A.</w:t>
      </w:r>
      <w:r w:rsidRPr="00E60876">
        <w:rPr>
          <w:rFonts w:ascii="Arial" w:hAnsi="Arial" w:cs="Arial"/>
          <w:sz w:val="22"/>
          <w:szCs w:val="22"/>
        </w:rPr>
        <w:br/>
        <w:t>(2021a) ‘A classification of primary care streaming pathways in UK emergency</w:t>
      </w:r>
      <w:r w:rsidRPr="00E60876">
        <w:rPr>
          <w:rFonts w:ascii="Arial" w:hAnsi="Arial" w:cs="Arial"/>
          <w:sz w:val="22"/>
          <w:szCs w:val="22"/>
        </w:rPr>
        <w:br/>
        <w:t>departments: findings from a multi-methods study comprising a cross-sectional</w:t>
      </w:r>
      <w:r w:rsidRPr="00E60876">
        <w:rPr>
          <w:rFonts w:ascii="Arial" w:hAnsi="Arial" w:cs="Arial"/>
          <w:sz w:val="22"/>
          <w:szCs w:val="22"/>
        </w:rPr>
        <w:br/>
        <w:t>survey; site visits with observations; and semi-structured and informal</w:t>
      </w:r>
      <w:r w:rsidRPr="00E60876">
        <w:rPr>
          <w:rFonts w:ascii="Arial" w:hAnsi="Arial" w:cs="Arial"/>
          <w:sz w:val="22"/>
          <w:szCs w:val="22"/>
        </w:rPr>
        <w:br/>
        <w:t xml:space="preserve">interviews’, </w:t>
      </w:r>
      <w:r w:rsidRPr="00E60876">
        <w:rPr>
          <w:rFonts w:ascii="Arial" w:hAnsi="Arial" w:cs="Arial"/>
          <w:i/>
          <w:iCs/>
          <w:sz w:val="22"/>
          <w:szCs w:val="22"/>
        </w:rPr>
        <w:t>International Emergency Nursing</w:t>
      </w:r>
      <w:r w:rsidRPr="00E60876">
        <w:rPr>
          <w:rFonts w:ascii="Arial" w:hAnsi="Arial" w:cs="Arial"/>
          <w:sz w:val="22"/>
          <w:szCs w:val="22"/>
        </w:rPr>
        <w:t xml:space="preserve">, 56, 101000. Available at: </w:t>
      </w:r>
      <w:hyperlink r:id="rId49" w:history="1">
        <w:r w:rsidRPr="00E60876">
          <w:rPr>
            <w:rStyle w:val="Hyperlink"/>
            <w:rFonts w:ascii="Arial" w:hAnsi="Arial" w:cs="Arial"/>
            <w:sz w:val="22"/>
            <w:szCs w:val="22"/>
          </w:rPr>
          <w:t>https://doi.org/10.1016/j.ienj.2021.101000</w:t>
        </w:r>
      </w:hyperlink>
    </w:p>
    <w:p w14:paraId="58008DC7"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Edwards,</w:t>
      </w:r>
      <w:r w:rsidRPr="00E60876">
        <w:rPr>
          <w:rFonts w:ascii="Arial" w:hAnsi="Arial" w:cs="Arial"/>
          <w:sz w:val="22"/>
          <w:szCs w:val="22"/>
        </w:rPr>
        <w:br/>
        <w:t>M., Cooper, A., Davies, F., Sherlock, R., Carson-Stevens, A., Price, D.,</w:t>
      </w:r>
      <w:r w:rsidRPr="00E60876">
        <w:rPr>
          <w:rFonts w:ascii="Arial" w:hAnsi="Arial" w:cs="Arial"/>
          <w:sz w:val="22"/>
          <w:szCs w:val="22"/>
        </w:rPr>
        <w:br/>
        <w:t>Porter, A., Evans, B., Islam, S., Snooks, H., Anderson, P., Siriwardena, A.N.,</w:t>
      </w:r>
      <w:r w:rsidRPr="00E60876">
        <w:rPr>
          <w:rFonts w:ascii="Arial" w:hAnsi="Arial" w:cs="Arial"/>
          <w:sz w:val="22"/>
          <w:szCs w:val="22"/>
        </w:rPr>
        <w:br/>
        <w:t>Hibbert, P., Hughes, T., Cooke, M., Dale, J. and Edwards, A. (2021b) ‘Emergency</w:t>
      </w:r>
      <w:r w:rsidRPr="00E60876">
        <w:rPr>
          <w:rFonts w:ascii="Arial" w:hAnsi="Arial" w:cs="Arial"/>
          <w:sz w:val="22"/>
          <w:szCs w:val="22"/>
        </w:rPr>
        <w:br/>
        <w:t>department clinical leads’ experiences of implementing primary care services</w:t>
      </w:r>
      <w:r w:rsidRPr="00E60876">
        <w:rPr>
          <w:rFonts w:ascii="Arial" w:hAnsi="Arial" w:cs="Arial"/>
          <w:sz w:val="22"/>
          <w:szCs w:val="22"/>
        </w:rPr>
        <w:br/>
        <w:t>where GPs work in or alongside emergency departments in the UK: a qualitative</w:t>
      </w:r>
      <w:r w:rsidRPr="00E60876">
        <w:rPr>
          <w:rFonts w:ascii="Arial" w:hAnsi="Arial" w:cs="Arial"/>
          <w:sz w:val="22"/>
          <w:szCs w:val="22"/>
        </w:rPr>
        <w:br/>
        <w:t xml:space="preserve">study’, </w:t>
      </w:r>
      <w:r w:rsidRPr="00E60876">
        <w:rPr>
          <w:rFonts w:ascii="Arial" w:hAnsi="Arial" w:cs="Arial"/>
          <w:i/>
          <w:iCs/>
          <w:sz w:val="22"/>
          <w:szCs w:val="22"/>
        </w:rPr>
        <w:t>BMC Emergency Medicine</w:t>
      </w:r>
      <w:r w:rsidRPr="00E60876">
        <w:rPr>
          <w:rFonts w:ascii="Arial" w:hAnsi="Arial" w:cs="Arial"/>
          <w:sz w:val="22"/>
          <w:szCs w:val="22"/>
        </w:rPr>
        <w:t xml:space="preserve">, 20(1), 62. Available at: </w:t>
      </w:r>
      <w:hyperlink r:id="rId50" w:history="1">
        <w:r w:rsidRPr="00E60876">
          <w:rPr>
            <w:rStyle w:val="Hyperlink"/>
            <w:rFonts w:ascii="Arial" w:hAnsi="Arial" w:cs="Arial"/>
            <w:sz w:val="22"/>
            <w:szCs w:val="22"/>
          </w:rPr>
          <w:t>https://doi.org/10.1186/s12873-020-00358-3</w:t>
        </w:r>
      </w:hyperlink>
    </w:p>
    <w:p w14:paraId="284BE270"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Exworthy,</w:t>
      </w:r>
      <w:r w:rsidRPr="00E60876">
        <w:rPr>
          <w:rFonts w:ascii="Arial" w:hAnsi="Arial" w:cs="Arial"/>
          <w:sz w:val="22"/>
          <w:szCs w:val="22"/>
        </w:rPr>
        <w:br/>
        <w:t>M., Blane, D. and Marmot, M. (2023) ‘Tackling health inequalities in the United</w:t>
      </w:r>
      <w:r w:rsidRPr="00E60876">
        <w:rPr>
          <w:rFonts w:ascii="Arial" w:hAnsi="Arial" w:cs="Arial"/>
          <w:sz w:val="22"/>
          <w:szCs w:val="22"/>
        </w:rPr>
        <w:br/>
        <w:t xml:space="preserve">Kingdom: the progress and pitfalls of policy’, </w:t>
      </w:r>
      <w:r w:rsidRPr="00E60876">
        <w:rPr>
          <w:rFonts w:ascii="Arial" w:hAnsi="Arial" w:cs="Arial"/>
          <w:i/>
          <w:iCs/>
          <w:sz w:val="22"/>
          <w:szCs w:val="22"/>
        </w:rPr>
        <w:t>Health Services Research</w:t>
      </w:r>
      <w:r w:rsidRPr="00E60876">
        <w:rPr>
          <w:rFonts w:ascii="Arial" w:hAnsi="Arial" w:cs="Arial"/>
          <w:sz w:val="22"/>
          <w:szCs w:val="22"/>
        </w:rPr>
        <w:t>,</w:t>
      </w:r>
      <w:r w:rsidRPr="00E60876">
        <w:rPr>
          <w:rFonts w:ascii="Arial" w:hAnsi="Arial" w:cs="Arial"/>
          <w:sz w:val="22"/>
          <w:szCs w:val="22"/>
        </w:rPr>
        <w:br/>
        <w:t xml:space="preserve">38(6 Pt 2), pp. 1905–1922. Available at: </w:t>
      </w:r>
      <w:hyperlink r:id="rId51" w:history="1">
        <w:r w:rsidRPr="00E60876">
          <w:rPr>
            <w:rStyle w:val="Hyperlink"/>
            <w:rFonts w:ascii="Arial" w:hAnsi="Arial" w:cs="Arial"/>
            <w:sz w:val="22"/>
            <w:szCs w:val="22"/>
          </w:rPr>
          <w:t>https://doi.org/10.1111/j.1475-6773.2003.00208.x</w:t>
        </w:r>
      </w:hyperlink>
    </w:p>
    <w:p w14:paraId="023A9FAF"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Fitzpatrick,</w:t>
      </w:r>
      <w:r w:rsidRPr="00E60876">
        <w:rPr>
          <w:rFonts w:ascii="Arial" w:hAnsi="Arial" w:cs="Arial"/>
          <w:sz w:val="22"/>
          <w:szCs w:val="22"/>
        </w:rPr>
        <w:br/>
        <w:t>T., Kephart, G., Asada, Y., Macdonald, J. and Sabik, L. (2025) ‘Revisiting the</w:t>
      </w:r>
      <w:r w:rsidRPr="00E60876">
        <w:rPr>
          <w:rFonts w:ascii="Arial" w:hAnsi="Arial" w:cs="Arial"/>
          <w:sz w:val="22"/>
          <w:szCs w:val="22"/>
        </w:rPr>
        <w:br/>
        <w:t xml:space="preserve">inverse care law: a scoping review of evidence from high-income countries’, </w:t>
      </w:r>
      <w:r w:rsidRPr="00E60876">
        <w:rPr>
          <w:rFonts w:ascii="Arial" w:hAnsi="Arial" w:cs="Arial"/>
          <w:i/>
          <w:iCs/>
          <w:sz w:val="22"/>
          <w:szCs w:val="22"/>
        </w:rPr>
        <w:t>Social</w:t>
      </w:r>
      <w:r w:rsidRPr="00E60876">
        <w:rPr>
          <w:rFonts w:ascii="Arial" w:hAnsi="Arial" w:cs="Arial"/>
          <w:i/>
          <w:iCs/>
          <w:sz w:val="22"/>
          <w:szCs w:val="22"/>
        </w:rPr>
        <w:br/>
        <w:t>Science &amp; Medicine</w:t>
      </w:r>
      <w:r w:rsidRPr="00E60876">
        <w:rPr>
          <w:rFonts w:ascii="Arial" w:hAnsi="Arial" w:cs="Arial"/>
          <w:sz w:val="22"/>
          <w:szCs w:val="22"/>
        </w:rPr>
        <w:t xml:space="preserve">, 340, 116432. Available at: </w:t>
      </w:r>
      <w:hyperlink r:id="rId52" w:history="1">
        <w:r w:rsidRPr="00E60876">
          <w:rPr>
            <w:rStyle w:val="Hyperlink"/>
            <w:rFonts w:ascii="Arial" w:hAnsi="Arial" w:cs="Arial"/>
            <w:sz w:val="22"/>
            <w:szCs w:val="22"/>
          </w:rPr>
          <w:t>https://doi.org/10.1016/j.socscimed.2024.116432</w:t>
        </w:r>
      </w:hyperlink>
    </w:p>
    <w:p w14:paraId="1E0CAA82"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Frost,</w:t>
      </w:r>
      <w:r w:rsidRPr="00E60876">
        <w:rPr>
          <w:rFonts w:ascii="Arial" w:hAnsi="Arial" w:cs="Arial"/>
          <w:sz w:val="22"/>
          <w:szCs w:val="22"/>
        </w:rPr>
        <w:br/>
        <w:t>L., Alazawi, W., Phillips, C., Eccles, A., Pope, C. and Atherton, H. (2026)</w:t>
      </w:r>
      <w:r w:rsidRPr="00E60876">
        <w:rPr>
          <w:rFonts w:ascii="Arial" w:hAnsi="Arial" w:cs="Arial"/>
          <w:sz w:val="22"/>
          <w:szCs w:val="22"/>
        </w:rPr>
        <w:br/>
        <w:t>‘“Loops and hurdles”: secondary analysis of patient interview data to explore</w:t>
      </w:r>
      <w:r w:rsidRPr="00E60876">
        <w:rPr>
          <w:rFonts w:ascii="Arial" w:hAnsi="Arial" w:cs="Arial"/>
          <w:sz w:val="22"/>
          <w:szCs w:val="22"/>
        </w:rPr>
        <w:br/>
        <w:t xml:space="preserve">the experience of patient access to UK general practice’, </w:t>
      </w:r>
      <w:r w:rsidRPr="00E60876">
        <w:rPr>
          <w:rFonts w:ascii="Arial" w:hAnsi="Arial" w:cs="Arial"/>
          <w:i/>
          <w:iCs/>
          <w:sz w:val="22"/>
          <w:szCs w:val="22"/>
        </w:rPr>
        <w:t>BMC Primary Care</w:t>
      </w:r>
      <w:r w:rsidRPr="00E60876">
        <w:rPr>
          <w:rFonts w:ascii="Arial" w:hAnsi="Arial" w:cs="Arial"/>
          <w:sz w:val="22"/>
          <w:szCs w:val="22"/>
        </w:rPr>
        <w:t>,</w:t>
      </w:r>
      <w:r w:rsidRPr="00E60876">
        <w:rPr>
          <w:rFonts w:ascii="Arial" w:hAnsi="Arial" w:cs="Arial"/>
          <w:sz w:val="22"/>
          <w:szCs w:val="22"/>
        </w:rPr>
        <w:br/>
        <w:t xml:space="preserve">27(1), 257. Available at: </w:t>
      </w:r>
      <w:hyperlink r:id="rId53" w:history="1">
        <w:r w:rsidRPr="00E60876">
          <w:rPr>
            <w:rStyle w:val="Hyperlink"/>
            <w:rFonts w:ascii="Arial" w:hAnsi="Arial" w:cs="Arial"/>
            <w:sz w:val="22"/>
            <w:szCs w:val="22"/>
          </w:rPr>
          <w:t>https://doi.org/10.1186/s12875-026-03376-5</w:t>
        </w:r>
      </w:hyperlink>
    </w:p>
    <w:p w14:paraId="66F5FDF7"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lastRenderedPageBreak/>
        <w:t>Gaughan,</w:t>
      </w:r>
      <w:r w:rsidRPr="00E60876">
        <w:rPr>
          <w:rFonts w:ascii="Arial" w:hAnsi="Arial" w:cs="Arial"/>
          <w:sz w:val="22"/>
          <w:szCs w:val="22"/>
        </w:rPr>
        <w:br/>
        <w:t>J., Liu, D., Gutacker, N., Bloor, K., Doran, T. and Benger, J.R. (2022) ‘Does</w:t>
      </w:r>
      <w:r w:rsidRPr="00E60876">
        <w:rPr>
          <w:rFonts w:ascii="Arial" w:hAnsi="Arial" w:cs="Arial"/>
          <w:sz w:val="22"/>
          <w:szCs w:val="22"/>
        </w:rPr>
        <w:br/>
        <w:t>the presence of general practitioners in emergency departments affect quality</w:t>
      </w:r>
      <w:r w:rsidRPr="00E60876">
        <w:rPr>
          <w:rFonts w:ascii="Arial" w:hAnsi="Arial" w:cs="Arial"/>
          <w:sz w:val="22"/>
          <w:szCs w:val="22"/>
        </w:rPr>
        <w:br/>
        <w:t xml:space="preserve">and safety in English NHS hospitals? A retrospective observational study’, </w:t>
      </w:r>
      <w:r w:rsidRPr="00E60876">
        <w:rPr>
          <w:rFonts w:ascii="Arial" w:hAnsi="Arial" w:cs="Arial"/>
          <w:i/>
          <w:iCs/>
          <w:sz w:val="22"/>
          <w:szCs w:val="22"/>
        </w:rPr>
        <w:t>BMJ</w:t>
      </w:r>
      <w:r w:rsidRPr="00E60876">
        <w:rPr>
          <w:rFonts w:ascii="Arial" w:hAnsi="Arial" w:cs="Arial"/>
          <w:i/>
          <w:iCs/>
          <w:sz w:val="22"/>
          <w:szCs w:val="22"/>
        </w:rPr>
        <w:br/>
        <w:t>Open</w:t>
      </w:r>
      <w:r w:rsidRPr="00E60876">
        <w:rPr>
          <w:rFonts w:ascii="Arial" w:hAnsi="Arial" w:cs="Arial"/>
          <w:sz w:val="22"/>
          <w:szCs w:val="22"/>
        </w:rPr>
        <w:t xml:space="preserve">, 12(2), e055976. Available at: </w:t>
      </w:r>
      <w:hyperlink r:id="rId54" w:history="1">
        <w:r w:rsidRPr="00E60876">
          <w:rPr>
            <w:rStyle w:val="Hyperlink"/>
            <w:rFonts w:ascii="Arial" w:hAnsi="Arial" w:cs="Arial"/>
            <w:sz w:val="22"/>
            <w:szCs w:val="22"/>
          </w:rPr>
          <w:t>https://doi.org/10.1136/bmjopen-2021-055976</w:t>
        </w:r>
      </w:hyperlink>
    </w:p>
    <w:p w14:paraId="061CDB2E"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Gershlick,</w:t>
      </w:r>
      <w:r w:rsidRPr="00E60876">
        <w:rPr>
          <w:rFonts w:ascii="Arial" w:hAnsi="Arial" w:cs="Arial"/>
          <w:sz w:val="22"/>
          <w:szCs w:val="22"/>
        </w:rPr>
        <w:br/>
        <w:t xml:space="preserve">B. and Fisher, E. (2021) </w:t>
      </w:r>
      <w:r w:rsidRPr="00E60876">
        <w:rPr>
          <w:rFonts w:ascii="Arial" w:hAnsi="Arial" w:cs="Arial"/>
          <w:i/>
          <w:iCs/>
          <w:sz w:val="22"/>
          <w:szCs w:val="22"/>
        </w:rPr>
        <w:t>Reducing the burden on emergency departments: the</w:t>
      </w:r>
      <w:r w:rsidRPr="00E60876">
        <w:rPr>
          <w:rFonts w:ascii="Arial" w:hAnsi="Arial" w:cs="Arial"/>
          <w:i/>
          <w:iCs/>
          <w:sz w:val="22"/>
          <w:szCs w:val="22"/>
        </w:rPr>
        <w:br/>
        <w:t>role of general practice</w:t>
      </w:r>
      <w:r w:rsidRPr="00E60876">
        <w:rPr>
          <w:rFonts w:ascii="Arial" w:hAnsi="Arial" w:cs="Arial"/>
          <w:sz w:val="22"/>
          <w:szCs w:val="22"/>
        </w:rPr>
        <w:t xml:space="preserve">. London: The Health Foundation. Available at: </w:t>
      </w:r>
      <w:hyperlink r:id="rId55" w:history="1">
        <w:r w:rsidRPr="00E60876">
          <w:rPr>
            <w:rStyle w:val="Hyperlink"/>
            <w:rFonts w:ascii="Arial" w:hAnsi="Arial" w:cs="Arial"/>
            <w:sz w:val="22"/>
            <w:szCs w:val="22"/>
          </w:rPr>
          <w:t>https://www.health.org.uk/publications/reports/reducing-the-burden-on-emergency-departments</w:t>
        </w:r>
      </w:hyperlink>
    </w:p>
    <w:p w14:paraId="1C111D26"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Ge,</w:t>
      </w:r>
      <w:r w:rsidRPr="00E60876">
        <w:rPr>
          <w:rFonts w:ascii="Arial" w:hAnsi="Arial" w:cs="Arial"/>
          <w:sz w:val="22"/>
          <w:szCs w:val="22"/>
        </w:rPr>
        <w:br/>
        <w:t>X., Chappell, P., Ledger, J., Bakhai, M. and Clarke, G.M. (2024) ‘The use of</w:t>
      </w:r>
      <w:r w:rsidRPr="00E60876">
        <w:rPr>
          <w:rFonts w:ascii="Arial" w:hAnsi="Arial" w:cs="Arial"/>
          <w:sz w:val="22"/>
          <w:szCs w:val="22"/>
        </w:rPr>
        <w:br/>
        <w:t>online consultation systems and patient experience of primary care:</w:t>
      </w:r>
      <w:r w:rsidRPr="00E60876">
        <w:rPr>
          <w:rFonts w:ascii="Arial" w:hAnsi="Arial" w:cs="Arial"/>
          <w:sz w:val="22"/>
          <w:szCs w:val="22"/>
        </w:rPr>
        <w:br/>
        <w:t xml:space="preserve">cross-sectional analysis using the General Practice Patient Survey’, </w:t>
      </w:r>
      <w:r w:rsidRPr="00E60876">
        <w:rPr>
          <w:rFonts w:ascii="Arial" w:hAnsi="Arial" w:cs="Arial"/>
          <w:i/>
          <w:iCs/>
          <w:sz w:val="22"/>
          <w:szCs w:val="22"/>
        </w:rPr>
        <w:t>Journal</w:t>
      </w:r>
      <w:r w:rsidRPr="00E60876">
        <w:rPr>
          <w:rFonts w:ascii="Arial" w:hAnsi="Arial" w:cs="Arial"/>
          <w:i/>
          <w:iCs/>
          <w:sz w:val="22"/>
          <w:szCs w:val="22"/>
        </w:rPr>
        <w:br/>
        <w:t>of Medical Internet Research</w:t>
      </w:r>
      <w:r w:rsidRPr="00E60876">
        <w:rPr>
          <w:rFonts w:ascii="Arial" w:hAnsi="Arial" w:cs="Arial"/>
          <w:sz w:val="22"/>
          <w:szCs w:val="22"/>
        </w:rPr>
        <w:t xml:space="preserve">, 26, e51272. Available at: </w:t>
      </w:r>
      <w:hyperlink r:id="rId56" w:history="1">
        <w:r w:rsidRPr="00E60876">
          <w:rPr>
            <w:rStyle w:val="Hyperlink"/>
            <w:rFonts w:ascii="Arial" w:hAnsi="Arial" w:cs="Arial"/>
            <w:sz w:val="22"/>
            <w:szCs w:val="22"/>
          </w:rPr>
          <w:t>https://doi.org/10.2196/51272</w:t>
        </w:r>
      </w:hyperlink>
    </w:p>
    <w:p w14:paraId="5797FF70"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Gomez-Cano, M., Atherton, H., Campbell, J., Eccles, A., Dale, J., Poltawski, L. and Abel, G. (2020) ‘Awareness and use of online appointment booking in general practice: analysis of GP Patient Survey data’, </w:t>
      </w:r>
      <w:r w:rsidRPr="00E60876">
        <w:rPr>
          <w:rFonts w:ascii="Arial" w:hAnsi="Arial" w:cs="Arial"/>
          <w:i/>
          <w:iCs/>
          <w:sz w:val="22"/>
          <w:szCs w:val="22"/>
        </w:rPr>
        <w:t>British Journal of General Practice</w:t>
      </w:r>
      <w:r w:rsidRPr="00E60876">
        <w:rPr>
          <w:rFonts w:ascii="Arial" w:hAnsi="Arial" w:cs="Arial"/>
          <w:sz w:val="22"/>
          <w:szCs w:val="22"/>
        </w:rPr>
        <w:t xml:space="preserve">, 70(suppl 1), bjgp20X711365. Available at: </w:t>
      </w:r>
      <w:hyperlink r:id="rId57" w:history="1">
        <w:r w:rsidRPr="00E60876">
          <w:rPr>
            <w:rStyle w:val="Hyperlink"/>
            <w:rFonts w:ascii="Arial" w:hAnsi="Arial" w:cs="Arial"/>
            <w:sz w:val="22"/>
            <w:szCs w:val="22"/>
          </w:rPr>
          <w:t>https://doi.org/10.3399/bjgp20X711365</w:t>
        </w:r>
      </w:hyperlink>
    </w:p>
    <w:p w14:paraId="7D2F5436"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Graham,</w:t>
      </w:r>
      <w:r w:rsidRPr="00E60876">
        <w:rPr>
          <w:rFonts w:ascii="Arial" w:hAnsi="Arial" w:cs="Arial"/>
          <w:sz w:val="22"/>
          <w:szCs w:val="22"/>
        </w:rPr>
        <w:br/>
        <w:t xml:space="preserve">H. (2007) </w:t>
      </w:r>
      <w:r w:rsidRPr="00E60876">
        <w:rPr>
          <w:rFonts w:ascii="Arial" w:hAnsi="Arial" w:cs="Arial"/>
          <w:i/>
          <w:iCs/>
          <w:sz w:val="22"/>
          <w:szCs w:val="22"/>
        </w:rPr>
        <w:t>Unequal lives: health and socioeconomic inequalities</w:t>
      </w:r>
      <w:r w:rsidRPr="00E60876">
        <w:rPr>
          <w:rFonts w:ascii="Arial" w:hAnsi="Arial" w:cs="Arial"/>
          <w:sz w:val="22"/>
          <w:szCs w:val="22"/>
        </w:rPr>
        <w:t>.</w:t>
      </w:r>
      <w:r w:rsidRPr="00E60876">
        <w:rPr>
          <w:rFonts w:ascii="Arial" w:hAnsi="Arial" w:cs="Arial"/>
          <w:sz w:val="22"/>
          <w:szCs w:val="22"/>
        </w:rPr>
        <w:br/>
        <w:t>Maidenhead: Open University Press.</w:t>
      </w:r>
    </w:p>
    <w:p w14:paraId="1BBE845F"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Greenfield, G., Blair, M., Aylin, P.P., Saxena, S., Majeed, A., Hoffman, M. and Bottle, A. (2020) ‘Frequent attendances at emergency departments in England’, </w:t>
      </w:r>
      <w:r w:rsidRPr="00E60876">
        <w:rPr>
          <w:rFonts w:ascii="Arial" w:hAnsi="Arial" w:cs="Arial"/>
          <w:i/>
          <w:iCs/>
          <w:sz w:val="22"/>
          <w:szCs w:val="22"/>
        </w:rPr>
        <w:t>Emergency Medicine Journal</w:t>
      </w:r>
      <w:r w:rsidRPr="00E60876">
        <w:rPr>
          <w:rFonts w:ascii="Arial" w:hAnsi="Arial" w:cs="Arial"/>
          <w:sz w:val="22"/>
          <w:szCs w:val="22"/>
        </w:rPr>
        <w:t xml:space="preserve">, 37(10), pp. 597–599. Available at: </w:t>
      </w:r>
      <w:hyperlink r:id="rId58" w:history="1">
        <w:r w:rsidRPr="00E60876">
          <w:rPr>
            <w:rStyle w:val="Hyperlink"/>
            <w:rFonts w:ascii="Arial" w:hAnsi="Arial" w:cs="Arial"/>
            <w:sz w:val="22"/>
            <w:szCs w:val="22"/>
          </w:rPr>
          <w:t>https://doi.org/10.1136/emermed-2018-208189</w:t>
        </w:r>
      </w:hyperlink>
    </w:p>
    <w:p w14:paraId="76E8E196"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Greenhalgh, T., Ladds, E., Hughes, G., Moore, L., Wherton, J., Shaw, S.E., Papoutsi, C., Wieringa, S., Rosen, R., Rushforth, A. and Rybczynska-Bunt, S. (2022) ‘Why do GPs rarely do video consultations? qualitative study in UK general practice’, </w:t>
      </w:r>
      <w:r w:rsidRPr="00E60876">
        <w:rPr>
          <w:rFonts w:ascii="Arial" w:hAnsi="Arial" w:cs="Arial"/>
          <w:i/>
          <w:iCs/>
          <w:sz w:val="22"/>
          <w:szCs w:val="22"/>
        </w:rPr>
        <w:t>British Journal of General Practice</w:t>
      </w:r>
      <w:r w:rsidRPr="00E60876">
        <w:rPr>
          <w:rFonts w:ascii="Arial" w:hAnsi="Arial" w:cs="Arial"/>
          <w:sz w:val="22"/>
          <w:szCs w:val="22"/>
        </w:rPr>
        <w:t xml:space="preserve">, 72(718), pp. e351–e360. Available at: </w:t>
      </w:r>
      <w:hyperlink r:id="rId59" w:history="1">
        <w:r w:rsidRPr="00E60876">
          <w:rPr>
            <w:rStyle w:val="Hyperlink"/>
            <w:rFonts w:ascii="Arial" w:hAnsi="Arial" w:cs="Arial"/>
            <w:sz w:val="22"/>
            <w:szCs w:val="22"/>
          </w:rPr>
          <w:t>https://doi.org/10.3399/BJGP.2021.0658</w:t>
        </w:r>
      </w:hyperlink>
    </w:p>
    <w:p w14:paraId="5F2336B8"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Greenhalgh, T. et al. (2025) </w:t>
      </w:r>
      <w:r w:rsidRPr="00E60876">
        <w:rPr>
          <w:rFonts w:ascii="Arial" w:hAnsi="Arial" w:cs="Arial"/>
          <w:i/>
          <w:iCs/>
          <w:sz w:val="22"/>
          <w:szCs w:val="22"/>
        </w:rPr>
        <w:t>Remote and digital services in UK general practice 2021–2023: the Remote by Default 2 longitudinal qualitative study synopsis</w:t>
      </w:r>
      <w:r w:rsidRPr="00E60876">
        <w:rPr>
          <w:rFonts w:ascii="Arial" w:hAnsi="Arial" w:cs="Arial"/>
          <w:sz w:val="22"/>
          <w:szCs w:val="22"/>
        </w:rPr>
        <w:t xml:space="preserve">. Southampton: National Institute for Health and Care Research. Health and Social Care Delivery Research, 13(31). Available at: </w:t>
      </w:r>
      <w:hyperlink r:id="rId60" w:history="1">
        <w:r w:rsidRPr="00E60876">
          <w:rPr>
            <w:rStyle w:val="Hyperlink"/>
            <w:rFonts w:ascii="Arial" w:hAnsi="Arial" w:cs="Arial"/>
            <w:sz w:val="22"/>
            <w:szCs w:val="22"/>
          </w:rPr>
          <w:t>https://doi.org/10.3310/QQTT4411</w:t>
        </w:r>
      </w:hyperlink>
    </w:p>
    <w:p w14:paraId="64F71B2A"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Greenhalgh,</w:t>
      </w:r>
      <w:r w:rsidRPr="00E60876">
        <w:rPr>
          <w:rFonts w:ascii="Arial" w:hAnsi="Arial" w:cs="Arial"/>
          <w:sz w:val="22"/>
          <w:szCs w:val="22"/>
        </w:rPr>
        <w:br/>
        <w:t>T., Vijayaraghavan, S., Wherton, J., Shaw, S., Byrne, E., Campbell-Richards,</w:t>
      </w:r>
      <w:r w:rsidRPr="00E60876">
        <w:rPr>
          <w:rFonts w:ascii="Arial" w:hAnsi="Arial" w:cs="Arial"/>
          <w:sz w:val="22"/>
          <w:szCs w:val="22"/>
        </w:rPr>
        <w:br/>
      </w:r>
      <w:r w:rsidRPr="00E60876">
        <w:rPr>
          <w:rFonts w:ascii="Arial" w:hAnsi="Arial" w:cs="Arial"/>
          <w:sz w:val="22"/>
          <w:szCs w:val="22"/>
        </w:rPr>
        <w:lastRenderedPageBreak/>
        <w:t>D., Bhattacharya, S., Hanson, P., Ramoutar, S., Gutteridge, C., Hodkinson, I.,</w:t>
      </w:r>
      <w:r w:rsidRPr="00E60876">
        <w:rPr>
          <w:rFonts w:ascii="Arial" w:hAnsi="Arial" w:cs="Arial"/>
          <w:sz w:val="22"/>
          <w:szCs w:val="22"/>
        </w:rPr>
        <w:br/>
        <w:t>Collard, A. and Morris, J. (2016) ‘Virtual online consultations: advantages and</w:t>
      </w:r>
      <w:r w:rsidRPr="00E60876">
        <w:rPr>
          <w:rFonts w:ascii="Arial" w:hAnsi="Arial" w:cs="Arial"/>
          <w:sz w:val="22"/>
          <w:szCs w:val="22"/>
        </w:rPr>
        <w:br/>
        <w:t xml:space="preserve">limitations (VOCAL) study’, </w:t>
      </w:r>
      <w:r w:rsidRPr="00E60876">
        <w:rPr>
          <w:rFonts w:ascii="Arial" w:hAnsi="Arial" w:cs="Arial"/>
          <w:i/>
          <w:iCs/>
          <w:sz w:val="22"/>
          <w:szCs w:val="22"/>
        </w:rPr>
        <w:t>BMJ Open</w:t>
      </w:r>
      <w:r w:rsidRPr="00E60876">
        <w:rPr>
          <w:rFonts w:ascii="Arial" w:hAnsi="Arial" w:cs="Arial"/>
          <w:sz w:val="22"/>
          <w:szCs w:val="22"/>
        </w:rPr>
        <w:t xml:space="preserve">, 6(1), e009388. Available at: </w:t>
      </w:r>
      <w:hyperlink r:id="rId61" w:history="1">
        <w:r w:rsidRPr="00E60876">
          <w:rPr>
            <w:rStyle w:val="Hyperlink"/>
            <w:rFonts w:ascii="Arial" w:hAnsi="Arial" w:cs="Arial"/>
            <w:sz w:val="22"/>
            <w:szCs w:val="22"/>
          </w:rPr>
          <w:t>https://doi.org/10.1136/bmjopen-2015-009388</w:t>
        </w:r>
      </w:hyperlink>
    </w:p>
    <w:p w14:paraId="76DA10CB"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Hart,</w:t>
      </w:r>
      <w:r w:rsidRPr="00E60876">
        <w:rPr>
          <w:rFonts w:ascii="Arial" w:hAnsi="Arial" w:cs="Arial"/>
          <w:sz w:val="22"/>
          <w:szCs w:val="22"/>
        </w:rPr>
        <w:br/>
        <w:t xml:space="preserve">J.T. (1971) ‘The inverse care law’, </w:t>
      </w:r>
      <w:r w:rsidRPr="00E60876">
        <w:rPr>
          <w:rFonts w:ascii="Arial" w:hAnsi="Arial" w:cs="Arial"/>
          <w:i/>
          <w:iCs/>
          <w:sz w:val="22"/>
          <w:szCs w:val="22"/>
        </w:rPr>
        <w:t>The Lancet</w:t>
      </w:r>
      <w:r w:rsidRPr="00E60876">
        <w:rPr>
          <w:rFonts w:ascii="Arial" w:hAnsi="Arial" w:cs="Arial"/>
          <w:sz w:val="22"/>
          <w:szCs w:val="22"/>
        </w:rPr>
        <w:t>, 297(7696), pp. 405–412.</w:t>
      </w:r>
      <w:r w:rsidRPr="00E60876">
        <w:rPr>
          <w:rFonts w:ascii="Arial" w:hAnsi="Arial" w:cs="Arial"/>
          <w:sz w:val="22"/>
          <w:szCs w:val="22"/>
        </w:rPr>
        <w:br/>
        <w:t xml:space="preserve">Available at: </w:t>
      </w:r>
      <w:hyperlink r:id="rId62" w:history="1">
        <w:r w:rsidRPr="00E60876">
          <w:rPr>
            <w:rStyle w:val="Hyperlink"/>
            <w:rFonts w:ascii="Arial" w:hAnsi="Arial" w:cs="Arial"/>
            <w:sz w:val="22"/>
            <w:szCs w:val="22"/>
          </w:rPr>
          <w:t>https://doi.org/10.1016/S0140-6736(71)92410-X</w:t>
        </w:r>
      </w:hyperlink>
    </w:p>
    <w:p w14:paraId="26C32339"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Healthwatch</w:t>
      </w:r>
      <w:r w:rsidRPr="00E60876">
        <w:rPr>
          <w:rFonts w:ascii="Arial" w:hAnsi="Arial" w:cs="Arial"/>
          <w:sz w:val="22"/>
          <w:szCs w:val="22"/>
        </w:rPr>
        <w:br/>
        <w:t xml:space="preserve">England (2024) </w:t>
      </w:r>
      <w:r w:rsidRPr="00E60876">
        <w:rPr>
          <w:rFonts w:ascii="Arial" w:hAnsi="Arial" w:cs="Arial"/>
          <w:i/>
          <w:iCs/>
          <w:sz w:val="22"/>
          <w:szCs w:val="22"/>
        </w:rPr>
        <w:t>Access to GP appointments: what do patients think?</w:t>
      </w:r>
      <w:r w:rsidRPr="00E60876">
        <w:rPr>
          <w:rFonts w:ascii="Arial" w:hAnsi="Arial" w:cs="Arial"/>
          <w:sz w:val="22"/>
          <w:szCs w:val="22"/>
        </w:rPr>
        <w:br/>
        <w:t xml:space="preserve">London: Healthwatch England. Available at: </w:t>
      </w:r>
      <w:hyperlink r:id="rId63" w:history="1">
        <w:r w:rsidRPr="00E60876">
          <w:rPr>
            <w:rStyle w:val="Hyperlink"/>
            <w:rFonts w:ascii="Arial" w:hAnsi="Arial" w:cs="Arial"/>
            <w:sz w:val="22"/>
            <w:szCs w:val="22"/>
          </w:rPr>
          <w:t>https://www.healthwatch.co.uk/report/2024-01-12/access-gp-appointments-what-do-patients-think</w:t>
        </w:r>
      </w:hyperlink>
    </w:p>
    <w:p w14:paraId="272B15B4"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Heaton,</w:t>
      </w:r>
      <w:r w:rsidRPr="00E60876">
        <w:rPr>
          <w:rFonts w:ascii="Arial" w:hAnsi="Arial" w:cs="Arial"/>
          <w:sz w:val="22"/>
          <w:szCs w:val="22"/>
        </w:rPr>
        <w:br/>
        <w:t xml:space="preserve">J. (2018) ‘Secondary analysis of qualitative data: an overview’, </w:t>
      </w:r>
      <w:r w:rsidRPr="00E60876">
        <w:rPr>
          <w:rFonts w:ascii="Arial" w:hAnsi="Arial" w:cs="Arial"/>
          <w:i/>
          <w:iCs/>
          <w:sz w:val="22"/>
          <w:szCs w:val="22"/>
        </w:rPr>
        <w:t>Historical</w:t>
      </w:r>
      <w:r w:rsidRPr="00E60876">
        <w:rPr>
          <w:rFonts w:ascii="Arial" w:hAnsi="Arial" w:cs="Arial"/>
          <w:i/>
          <w:iCs/>
          <w:sz w:val="22"/>
          <w:szCs w:val="22"/>
        </w:rPr>
        <w:br/>
        <w:t>Social Research</w:t>
      </w:r>
      <w:r w:rsidRPr="00E60876">
        <w:rPr>
          <w:rFonts w:ascii="Arial" w:hAnsi="Arial" w:cs="Arial"/>
          <w:sz w:val="22"/>
          <w:szCs w:val="22"/>
        </w:rPr>
        <w:t xml:space="preserve">, 33(3), pp. 33–45. Available at: </w:t>
      </w:r>
      <w:hyperlink r:id="rId64" w:history="1">
        <w:r w:rsidRPr="00E60876">
          <w:rPr>
            <w:rStyle w:val="Hyperlink"/>
            <w:rFonts w:ascii="Arial" w:hAnsi="Arial" w:cs="Arial"/>
            <w:sz w:val="22"/>
            <w:szCs w:val="22"/>
          </w:rPr>
          <w:t>https://doi.org/10.12759/hsr.33.2008.3.33-45</w:t>
        </w:r>
      </w:hyperlink>
    </w:p>
    <w:p w14:paraId="3AEC659F"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Hewett, A., Connabeer, K., Hewett, F., Huckerby, C. and Bridger, E. (2026) ‘UK primary care teams and social determinants of health intervention: a qualitative study’, </w:t>
      </w:r>
      <w:r w:rsidRPr="00E60876">
        <w:rPr>
          <w:rFonts w:ascii="Arial" w:hAnsi="Arial" w:cs="Arial"/>
          <w:i/>
          <w:iCs/>
          <w:sz w:val="22"/>
          <w:szCs w:val="22"/>
        </w:rPr>
        <w:t>BJGP Open</w:t>
      </w:r>
      <w:r w:rsidRPr="00E60876">
        <w:rPr>
          <w:rFonts w:ascii="Arial" w:hAnsi="Arial" w:cs="Arial"/>
          <w:sz w:val="22"/>
          <w:szCs w:val="22"/>
        </w:rPr>
        <w:t xml:space="preserve">. Available at: </w:t>
      </w:r>
      <w:hyperlink r:id="rId65" w:history="1">
        <w:r w:rsidRPr="00E60876">
          <w:rPr>
            <w:rStyle w:val="Hyperlink"/>
            <w:rFonts w:ascii="Arial" w:hAnsi="Arial" w:cs="Arial"/>
            <w:sz w:val="22"/>
            <w:szCs w:val="22"/>
          </w:rPr>
          <w:t>https://doi.org/10.3399/BJGPO.2025.0216</w:t>
        </w:r>
      </w:hyperlink>
    </w:p>
    <w:p w14:paraId="1A034654"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Higgins,</w:t>
      </w:r>
      <w:r w:rsidRPr="00E60876">
        <w:rPr>
          <w:rFonts w:ascii="Arial" w:hAnsi="Arial" w:cs="Arial"/>
          <w:sz w:val="22"/>
          <w:szCs w:val="22"/>
        </w:rPr>
        <w:br/>
        <w:t>J.P.T., Thomas, J., Chandler, J., Cumpston, M., Li, T., Page, M.J. and Welch,</w:t>
      </w:r>
      <w:r w:rsidRPr="00E60876">
        <w:rPr>
          <w:rFonts w:ascii="Arial" w:hAnsi="Arial" w:cs="Arial"/>
          <w:sz w:val="22"/>
          <w:szCs w:val="22"/>
        </w:rPr>
        <w:br/>
        <w:t xml:space="preserve">V.A. (eds.) (2023) </w:t>
      </w:r>
      <w:r w:rsidRPr="00E60876">
        <w:rPr>
          <w:rFonts w:ascii="Arial" w:hAnsi="Arial" w:cs="Arial"/>
          <w:i/>
          <w:iCs/>
          <w:sz w:val="22"/>
          <w:szCs w:val="22"/>
        </w:rPr>
        <w:t>Cochrane handbook for systematic reviews of interventions</w:t>
      </w:r>
      <w:r w:rsidRPr="00E60876">
        <w:rPr>
          <w:rFonts w:ascii="Arial" w:hAnsi="Arial" w:cs="Arial"/>
          <w:sz w:val="22"/>
          <w:szCs w:val="22"/>
        </w:rPr>
        <w:t>.</w:t>
      </w:r>
      <w:r w:rsidRPr="00E60876">
        <w:rPr>
          <w:rFonts w:ascii="Arial" w:hAnsi="Arial" w:cs="Arial"/>
          <w:sz w:val="22"/>
          <w:szCs w:val="22"/>
        </w:rPr>
        <w:br/>
        <w:t xml:space="preserve">Version 6.4. Cochrane. Available at: </w:t>
      </w:r>
      <w:hyperlink r:id="rId66" w:history="1">
        <w:r w:rsidRPr="00E60876">
          <w:rPr>
            <w:rStyle w:val="Hyperlink"/>
            <w:rFonts w:ascii="Arial" w:hAnsi="Arial" w:cs="Arial"/>
            <w:sz w:val="22"/>
            <w:szCs w:val="22"/>
          </w:rPr>
          <w:t>https://training.cochrane.org/handbook</w:t>
        </w:r>
      </w:hyperlink>
    </w:p>
    <w:p w14:paraId="0AADB586"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Hull,</w:t>
      </w:r>
      <w:r w:rsidRPr="00E60876">
        <w:rPr>
          <w:rFonts w:ascii="Arial" w:hAnsi="Arial" w:cs="Arial"/>
          <w:sz w:val="22"/>
          <w:szCs w:val="22"/>
        </w:rPr>
        <w:br/>
        <w:t>S.A., Homer, K., Boomla, K., Robson, J. and Ashworth, M. (2018) ‘Population and</w:t>
      </w:r>
      <w:r w:rsidRPr="00E60876">
        <w:rPr>
          <w:rFonts w:ascii="Arial" w:hAnsi="Arial" w:cs="Arial"/>
          <w:sz w:val="22"/>
          <w:szCs w:val="22"/>
        </w:rPr>
        <w:br/>
        <w:t>patient factors affecting emergency department attendance in London:</w:t>
      </w:r>
      <w:r w:rsidRPr="00E60876">
        <w:rPr>
          <w:rFonts w:ascii="Arial" w:hAnsi="Arial" w:cs="Arial"/>
          <w:sz w:val="22"/>
          <w:szCs w:val="22"/>
        </w:rPr>
        <w:br/>
        <w:t xml:space="preserve">retrospective cohort analysis of linked primary and secondary care records’, </w:t>
      </w:r>
      <w:r w:rsidRPr="00E60876">
        <w:rPr>
          <w:rFonts w:ascii="Arial" w:hAnsi="Arial" w:cs="Arial"/>
          <w:i/>
          <w:iCs/>
          <w:sz w:val="22"/>
          <w:szCs w:val="22"/>
        </w:rPr>
        <w:t>British</w:t>
      </w:r>
      <w:r w:rsidRPr="00E60876">
        <w:rPr>
          <w:rFonts w:ascii="Arial" w:hAnsi="Arial" w:cs="Arial"/>
          <w:i/>
          <w:iCs/>
          <w:sz w:val="22"/>
          <w:szCs w:val="22"/>
        </w:rPr>
        <w:br/>
        <w:t>Journal of General Practice</w:t>
      </w:r>
      <w:r w:rsidRPr="00E60876">
        <w:rPr>
          <w:rFonts w:ascii="Arial" w:hAnsi="Arial" w:cs="Arial"/>
          <w:sz w:val="22"/>
          <w:szCs w:val="22"/>
        </w:rPr>
        <w:t xml:space="preserve">, 68(669), pp. e286–e295. Available at: </w:t>
      </w:r>
      <w:hyperlink r:id="rId67" w:history="1">
        <w:r w:rsidRPr="00E60876">
          <w:rPr>
            <w:rStyle w:val="Hyperlink"/>
            <w:rFonts w:ascii="Arial" w:hAnsi="Arial" w:cs="Arial"/>
            <w:sz w:val="22"/>
            <w:szCs w:val="22"/>
          </w:rPr>
          <w:t>https://doi.org/10.3399/bjgp18X695213</w:t>
        </w:r>
      </w:hyperlink>
    </w:p>
    <w:p w14:paraId="45198137"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Humphrey, A., Cummins, S., May, C. and Stevenson, F. (2025) ‘GP remote consultations with marginalised patients and the importance of place during care: a qualitative study of the role of place in GP consultations’, </w:t>
      </w:r>
      <w:r w:rsidRPr="00E60876">
        <w:rPr>
          <w:rFonts w:ascii="Arial" w:hAnsi="Arial" w:cs="Arial"/>
          <w:i/>
          <w:iCs/>
          <w:sz w:val="22"/>
          <w:szCs w:val="22"/>
        </w:rPr>
        <w:t>BJGP Open</w:t>
      </w:r>
      <w:r w:rsidRPr="00E60876">
        <w:rPr>
          <w:rFonts w:ascii="Arial" w:hAnsi="Arial" w:cs="Arial"/>
          <w:sz w:val="22"/>
          <w:szCs w:val="22"/>
        </w:rPr>
        <w:t xml:space="preserve">, 9(1), BJGPO.2024.0050. Available at: </w:t>
      </w:r>
      <w:hyperlink r:id="rId68" w:history="1">
        <w:r w:rsidRPr="00E60876">
          <w:rPr>
            <w:rStyle w:val="Hyperlink"/>
            <w:rFonts w:ascii="Arial" w:hAnsi="Arial" w:cs="Arial"/>
            <w:sz w:val="22"/>
            <w:szCs w:val="22"/>
          </w:rPr>
          <w:t>https://doi.org/10.3399/BJGPO.2024.0050</w:t>
        </w:r>
      </w:hyperlink>
    </w:p>
    <w:p w14:paraId="7E7EE2E8"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Hutchinson,</w:t>
      </w:r>
      <w:r w:rsidRPr="00E60876">
        <w:rPr>
          <w:rFonts w:ascii="Arial" w:hAnsi="Arial" w:cs="Arial"/>
          <w:sz w:val="22"/>
          <w:szCs w:val="22"/>
        </w:rPr>
        <w:br/>
        <w:t>J., Lau, Y.S., Sutton, M. and Checkland, K. (2023) ‘How new clinical roles in</w:t>
      </w:r>
      <w:r w:rsidRPr="00E60876">
        <w:rPr>
          <w:rFonts w:ascii="Arial" w:hAnsi="Arial" w:cs="Arial"/>
          <w:sz w:val="22"/>
          <w:szCs w:val="22"/>
        </w:rPr>
        <w:br/>
        <w:t>primary care impact on equitable distribution of workforce: a retrospective</w:t>
      </w:r>
      <w:r w:rsidRPr="00E60876">
        <w:rPr>
          <w:rFonts w:ascii="Arial" w:hAnsi="Arial" w:cs="Arial"/>
          <w:sz w:val="22"/>
          <w:szCs w:val="22"/>
        </w:rPr>
        <w:br/>
      </w:r>
      <w:r w:rsidRPr="00E60876">
        <w:rPr>
          <w:rFonts w:ascii="Arial" w:hAnsi="Arial" w:cs="Arial"/>
          <w:sz w:val="22"/>
          <w:szCs w:val="22"/>
        </w:rPr>
        <w:lastRenderedPageBreak/>
        <w:t xml:space="preserve">study’, </w:t>
      </w:r>
      <w:r w:rsidRPr="00E60876">
        <w:rPr>
          <w:rFonts w:ascii="Arial" w:hAnsi="Arial" w:cs="Arial"/>
          <w:i/>
          <w:iCs/>
          <w:sz w:val="22"/>
          <w:szCs w:val="22"/>
        </w:rPr>
        <w:t>British Journal of General Practice</w:t>
      </w:r>
      <w:r w:rsidRPr="00E60876">
        <w:rPr>
          <w:rFonts w:ascii="Arial" w:hAnsi="Arial" w:cs="Arial"/>
          <w:sz w:val="22"/>
          <w:szCs w:val="22"/>
        </w:rPr>
        <w:t>, 73(734), pp. e659–e666.</w:t>
      </w:r>
      <w:r w:rsidRPr="00E60876">
        <w:rPr>
          <w:rFonts w:ascii="Arial" w:hAnsi="Arial" w:cs="Arial"/>
          <w:sz w:val="22"/>
          <w:szCs w:val="22"/>
        </w:rPr>
        <w:br/>
        <w:t xml:space="preserve">Available at: </w:t>
      </w:r>
      <w:hyperlink r:id="rId69" w:history="1">
        <w:r w:rsidRPr="00E60876">
          <w:rPr>
            <w:rStyle w:val="Hyperlink"/>
            <w:rFonts w:ascii="Arial" w:hAnsi="Arial" w:cs="Arial"/>
            <w:sz w:val="22"/>
            <w:szCs w:val="22"/>
          </w:rPr>
          <w:t>https://doi.org/10.3399/BJGP.2023.0007</w:t>
        </w:r>
      </w:hyperlink>
    </w:p>
    <w:p w14:paraId="64D3ECDE"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Ismail,</w:t>
      </w:r>
      <w:r w:rsidRPr="00E60876">
        <w:rPr>
          <w:rFonts w:ascii="Arial" w:hAnsi="Arial" w:cs="Arial"/>
          <w:sz w:val="22"/>
          <w:szCs w:val="22"/>
        </w:rPr>
        <w:br/>
        <w:t>S.A., Gibbons, D.C. and Gnani, S. (2013) ‘Reducing inappropriate accident and</w:t>
      </w:r>
      <w:r w:rsidRPr="00E60876">
        <w:rPr>
          <w:rFonts w:ascii="Arial" w:hAnsi="Arial" w:cs="Arial"/>
          <w:sz w:val="22"/>
          <w:szCs w:val="22"/>
        </w:rPr>
        <w:br/>
        <w:t>emergency department attendances: a systematic review of primary care service</w:t>
      </w:r>
      <w:r w:rsidRPr="00E60876">
        <w:rPr>
          <w:rFonts w:ascii="Arial" w:hAnsi="Arial" w:cs="Arial"/>
          <w:sz w:val="22"/>
          <w:szCs w:val="22"/>
        </w:rPr>
        <w:br/>
        <w:t xml:space="preserve">interventions’, </w:t>
      </w:r>
      <w:r w:rsidRPr="00E60876">
        <w:rPr>
          <w:rFonts w:ascii="Arial" w:hAnsi="Arial" w:cs="Arial"/>
          <w:i/>
          <w:iCs/>
          <w:sz w:val="22"/>
          <w:szCs w:val="22"/>
        </w:rPr>
        <w:t>British Journal of General Practice</w:t>
      </w:r>
      <w:r w:rsidRPr="00E60876">
        <w:rPr>
          <w:rFonts w:ascii="Arial" w:hAnsi="Arial" w:cs="Arial"/>
          <w:sz w:val="22"/>
          <w:szCs w:val="22"/>
        </w:rPr>
        <w:t>, 63(617), pp.</w:t>
      </w:r>
      <w:r w:rsidRPr="00E60876">
        <w:rPr>
          <w:rFonts w:ascii="Arial" w:hAnsi="Arial" w:cs="Arial"/>
          <w:sz w:val="22"/>
          <w:szCs w:val="22"/>
        </w:rPr>
        <w:br/>
        <w:t xml:space="preserve">e813–e820. Available at: </w:t>
      </w:r>
      <w:hyperlink r:id="rId70" w:history="1">
        <w:r w:rsidRPr="00E60876">
          <w:rPr>
            <w:rStyle w:val="Hyperlink"/>
            <w:rFonts w:ascii="Arial" w:hAnsi="Arial" w:cs="Arial"/>
            <w:sz w:val="22"/>
            <w:szCs w:val="22"/>
          </w:rPr>
          <w:t>https://doi.org/10.3399/bjgp13X675491</w:t>
        </w:r>
      </w:hyperlink>
    </w:p>
    <w:p w14:paraId="3132F3F7"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Islam,</w:t>
      </w:r>
      <w:r w:rsidRPr="00E60876">
        <w:rPr>
          <w:rFonts w:ascii="Arial" w:hAnsi="Arial" w:cs="Arial"/>
          <w:sz w:val="22"/>
          <w:szCs w:val="22"/>
        </w:rPr>
        <w:br/>
        <w:t>F., Bailey, S. and Netto, G. (2024) ‘Digitalised primary care in the UK: a</w:t>
      </w:r>
      <w:r w:rsidRPr="00E60876">
        <w:rPr>
          <w:rFonts w:ascii="Arial" w:hAnsi="Arial" w:cs="Arial"/>
          <w:sz w:val="22"/>
          <w:szCs w:val="22"/>
        </w:rPr>
        <w:br/>
        <w:t xml:space="preserve">qualitative study of the experiences of minoritised ethnic communities’, </w:t>
      </w:r>
      <w:r w:rsidRPr="00E60876">
        <w:rPr>
          <w:rFonts w:ascii="Arial" w:hAnsi="Arial" w:cs="Arial"/>
          <w:i/>
          <w:iCs/>
          <w:sz w:val="22"/>
          <w:szCs w:val="22"/>
        </w:rPr>
        <w:t>British</w:t>
      </w:r>
      <w:r w:rsidRPr="00E60876">
        <w:rPr>
          <w:rFonts w:ascii="Arial" w:hAnsi="Arial" w:cs="Arial"/>
          <w:i/>
          <w:iCs/>
          <w:sz w:val="22"/>
          <w:szCs w:val="22"/>
        </w:rPr>
        <w:br/>
        <w:t>Journal of General Practice</w:t>
      </w:r>
      <w:r w:rsidRPr="00E60876">
        <w:rPr>
          <w:rFonts w:ascii="Arial" w:hAnsi="Arial" w:cs="Arial"/>
          <w:sz w:val="22"/>
          <w:szCs w:val="22"/>
        </w:rPr>
        <w:t xml:space="preserve">, 74(749), pp. e823–e831. Available at: </w:t>
      </w:r>
      <w:hyperlink r:id="rId71" w:history="1">
        <w:r w:rsidRPr="00E60876">
          <w:rPr>
            <w:rStyle w:val="Hyperlink"/>
            <w:rFonts w:ascii="Arial" w:hAnsi="Arial" w:cs="Arial"/>
            <w:sz w:val="22"/>
            <w:szCs w:val="22"/>
          </w:rPr>
          <w:t>https://doi.org/10.3399/BJGP.2024.0308</w:t>
        </w:r>
      </w:hyperlink>
    </w:p>
    <w:p w14:paraId="0AC6131D"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Jacob,</w:t>
      </w:r>
      <w:r w:rsidRPr="00E60876">
        <w:rPr>
          <w:rFonts w:ascii="Arial" w:hAnsi="Arial" w:cs="Arial"/>
          <w:sz w:val="22"/>
          <w:szCs w:val="22"/>
        </w:rPr>
        <w:br/>
        <w:t>N., Chalkley, M., Santos, R. and Siciliani, L. (2024) ‘Variation in attendance</w:t>
      </w:r>
      <w:r w:rsidRPr="00E60876">
        <w:rPr>
          <w:rFonts w:ascii="Arial" w:hAnsi="Arial" w:cs="Arial"/>
          <w:sz w:val="22"/>
          <w:szCs w:val="22"/>
        </w:rPr>
        <w:br/>
        <w:t>at emergency departments in England across local areas: a system under unequal</w:t>
      </w:r>
      <w:r w:rsidRPr="00E60876">
        <w:rPr>
          <w:rFonts w:ascii="Arial" w:hAnsi="Arial" w:cs="Arial"/>
          <w:sz w:val="22"/>
          <w:szCs w:val="22"/>
        </w:rPr>
        <w:br/>
        <w:t xml:space="preserve">pressure’, </w:t>
      </w:r>
      <w:r w:rsidRPr="00E60876">
        <w:rPr>
          <w:rFonts w:ascii="Arial" w:hAnsi="Arial" w:cs="Arial"/>
          <w:i/>
          <w:iCs/>
          <w:sz w:val="22"/>
          <w:szCs w:val="22"/>
        </w:rPr>
        <w:t>Health Policy</w:t>
      </w:r>
      <w:r w:rsidRPr="00E60876">
        <w:rPr>
          <w:rFonts w:ascii="Arial" w:hAnsi="Arial" w:cs="Arial"/>
          <w:sz w:val="22"/>
          <w:szCs w:val="22"/>
        </w:rPr>
        <w:t xml:space="preserve">, 150, 105186. Available at: </w:t>
      </w:r>
      <w:hyperlink r:id="rId72" w:history="1">
        <w:r w:rsidRPr="00E60876">
          <w:rPr>
            <w:rStyle w:val="Hyperlink"/>
            <w:rFonts w:ascii="Arial" w:hAnsi="Arial" w:cs="Arial"/>
            <w:sz w:val="22"/>
            <w:szCs w:val="22"/>
          </w:rPr>
          <w:t>https://doi.org/10.1016/j.healthpol.2024.105186</w:t>
        </w:r>
      </w:hyperlink>
    </w:p>
    <w:p w14:paraId="6BD804D7"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Jamieson,</w:t>
      </w:r>
      <w:r w:rsidRPr="00E60876">
        <w:rPr>
          <w:rFonts w:ascii="Arial" w:hAnsi="Arial" w:cs="Arial"/>
          <w:sz w:val="22"/>
          <w:szCs w:val="22"/>
        </w:rPr>
        <w:br/>
        <w:t>T., Gravelle, H. and Santos, R. (2025) ‘Availability of primary care and</w:t>
      </w:r>
      <w:r w:rsidRPr="00E60876">
        <w:rPr>
          <w:rFonts w:ascii="Arial" w:hAnsi="Arial" w:cs="Arial"/>
          <w:sz w:val="22"/>
          <w:szCs w:val="22"/>
        </w:rPr>
        <w:br/>
        <w:t xml:space="preserve">avoidable attendance at English emergency departments: a regression analysis’, </w:t>
      </w:r>
      <w:r w:rsidRPr="00E60876">
        <w:rPr>
          <w:rFonts w:ascii="Arial" w:hAnsi="Arial" w:cs="Arial"/>
          <w:i/>
          <w:iCs/>
          <w:sz w:val="22"/>
          <w:szCs w:val="22"/>
        </w:rPr>
        <w:t>Health</w:t>
      </w:r>
      <w:r w:rsidRPr="00E60876">
        <w:rPr>
          <w:rFonts w:ascii="Arial" w:hAnsi="Arial" w:cs="Arial"/>
          <w:i/>
          <w:iCs/>
          <w:sz w:val="22"/>
          <w:szCs w:val="22"/>
        </w:rPr>
        <w:br/>
        <w:t>Policy</w:t>
      </w:r>
      <w:r w:rsidRPr="00E60876">
        <w:rPr>
          <w:rFonts w:ascii="Arial" w:hAnsi="Arial" w:cs="Arial"/>
          <w:sz w:val="22"/>
          <w:szCs w:val="22"/>
        </w:rPr>
        <w:t xml:space="preserve">, 157, 105330. Available at: </w:t>
      </w:r>
      <w:hyperlink r:id="rId73" w:history="1">
        <w:r w:rsidRPr="00E60876">
          <w:rPr>
            <w:rStyle w:val="Hyperlink"/>
            <w:rFonts w:ascii="Arial" w:hAnsi="Arial" w:cs="Arial"/>
            <w:sz w:val="22"/>
            <w:szCs w:val="22"/>
          </w:rPr>
          <w:t>https://doi.org/10.1016/j.healthpol.2025.105330</w:t>
        </w:r>
      </w:hyperlink>
    </w:p>
    <w:p w14:paraId="593EACFB"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Jones,</w:t>
      </w:r>
      <w:r w:rsidRPr="00E60876">
        <w:rPr>
          <w:rFonts w:ascii="Arial" w:hAnsi="Arial" w:cs="Arial"/>
          <w:sz w:val="22"/>
          <w:szCs w:val="22"/>
        </w:rPr>
        <w:br/>
        <w:t>K., Thornton, H., Walker-Birch, P., Mulholland, K., Sayers, A. and Carroll,</w:t>
      </w:r>
      <w:r w:rsidRPr="00E60876">
        <w:rPr>
          <w:rFonts w:ascii="Arial" w:hAnsi="Arial" w:cs="Arial"/>
          <w:sz w:val="22"/>
          <w:szCs w:val="22"/>
        </w:rPr>
        <w:br/>
        <w:t>F.E. (2024) ‘Association between emergency department attendances,</w:t>
      </w:r>
      <w:r w:rsidRPr="00E60876">
        <w:rPr>
          <w:rFonts w:ascii="Arial" w:hAnsi="Arial" w:cs="Arial"/>
          <w:sz w:val="22"/>
          <w:szCs w:val="22"/>
        </w:rPr>
        <w:br/>
        <w:t>sociodemographic factors and long-term health conditions in the population of</w:t>
      </w:r>
      <w:r w:rsidRPr="00E60876">
        <w:rPr>
          <w:rFonts w:ascii="Arial" w:hAnsi="Arial" w:cs="Arial"/>
          <w:sz w:val="22"/>
          <w:szCs w:val="22"/>
        </w:rPr>
        <w:br/>
        <w:t xml:space="preserve">Norfolk and Waveney, England: cross-sectional study’, </w:t>
      </w:r>
      <w:r w:rsidRPr="00E60876">
        <w:rPr>
          <w:rFonts w:ascii="Arial" w:hAnsi="Arial" w:cs="Arial"/>
          <w:i/>
          <w:iCs/>
          <w:sz w:val="22"/>
          <w:szCs w:val="22"/>
        </w:rPr>
        <w:t>BMJ Open</w:t>
      </w:r>
      <w:r w:rsidRPr="00E60876">
        <w:rPr>
          <w:rFonts w:ascii="Arial" w:hAnsi="Arial" w:cs="Arial"/>
          <w:sz w:val="22"/>
          <w:szCs w:val="22"/>
        </w:rPr>
        <w:t>, 14(5),</w:t>
      </w:r>
      <w:r w:rsidRPr="00E60876">
        <w:rPr>
          <w:rFonts w:ascii="Arial" w:hAnsi="Arial" w:cs="Arial"/>
          <w:sz w:val="22"/>
          <w:szCs w:val="22"/>
        </w:rPr>
        <w:br/>
        <w:t xml:space="preserve">e082197. Available at: </w:t>
      </w:r>
      <w:hyperlink r:id="rId74" w:history="1">
        <w:r w:rsidRPr="00E60876">
          <w:rPr>
            <w:rStyle w:val="Hyperlink"/>
            <w:rFonts w:ascii="Arial" w:hAnsi="Arial" w:cs="Arial"/>
            <w:sz w:val="22"/>
            <w:szCs w:val="22"/>
          </w:rPr>
          <w:t>https://doi.org/10.1136/bmjopen-2023-082197</w:t>
        </w:r>
      </w:hyperlink>
    </w:p>
    <w:p w14:paraId="547F0335"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Kc, S., Papoutsi, C., Reidy, C., Gudgin, B., Powell, J., Majeed, A., Greaves, F. and Laverty, A.A. (2024) ‘Differences in use of a patient portal across sociodemographic groups: observational study of the NHS App in England’, </w:t>
      </w:r>
      <w:r w:rsidRPr="00E60876">
        <w:rPr>
          <w:rFonts w:ascii="Arial" w:hAnsi="Arial" w:cs="Arial"/>
          <w:i/>
          <w:iCs/>
          <w:sz w:val="22"/>
          <w:szCs w:val="22"/>
        </w:rPr>
        <w:t>Journal of Medical Internet Research</w:t>
      </w:r>
      <w:r w:rsidRPr="00E60876">
        <w:rPr>
          <w:rFonts w:ascii="Arial" w:hAnsi="Arial" w:cs="Arial"/>
          <w:sz w:val="22"/>
          <w:szCs w:val="22"/>
        </w:rPr>
        <w:t xml:space="preserve">, 26, e56320. Available at: </w:t>
      </w:r>
      <w:hyperlink r:id="rId75" w:history="1">
        <w:r w:rsidRPr="00E60876">
          <w:rPr>
            <w:rStyle w:val="Hyperlink"/>
            <w:rFonts w:ascii="Arial" w:hAnsi="Arial" w:cs="Arial"/>
            <w:sz w:val="22"/>
            <w:szCs w:val="22"/>
          </w:rPr>
          <w:t>https://doi.org/10.2196/56320</w:t>
        </w:r>
      </w:hyperlink>
    </w:p>
    <w:p w14:paraId="27AAE2EB"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Kerr, G., Greenfield, G., Bottle, A., Hosford, A., Qiu, C.S., Neves, A.L., Majeed, A. and Hayhoe, B.W.J. (2025) ‘Patterns of online consultation use in Great Britain, 2019–2023: an observational </w:t>
      </w:r>
      <w:r w:rsidRPr="00E60876">
        <w:rPr>
          <w:rFonts w:ascii="Arial" w:hAnsi="Arial" w:cs="Arial"/>
          <w:sz w:val="22"/>
          <w:szCs w:val="22"/>
        </w:rPr>
        <w:lastRenderedPageBreak/>
        <w:t xml:space="preserve">analysis’, </w:t>
      </w:r>
      <w:r w:rsidRPr="00E60876">
        <w:rPr>
          <w:rFonts w:ascii="Arial" w:hAnsi="Arial" w:cs="Arial"/>
          <w:i/>
          <w:iCs/>
          <w:sz w:val="22"/>
          <w:szCs w:val="22"/>
        </w:rPr>
        <w:t>BMJ Digital Health &amp; AI</w:t>
      </w:r>
      <w:r w:rsidRPr="00E60876">
        <w:rPr>
          <w:rFonts w:ascii="Arial" w:hAnsi="Arial" w:cs="Arial"/>
          <w:sz w:val="22"/>
          <w:szCs w:val="22"/>
        </w:rPr>
        <w:t xml:space="preserve">, 1(1), e000032. Available at: </w:t>
      </w:r>
      <w:hyperlink r:id="rId76" w:history="1">
        <w:r w:rsidRPr="00E60876">
          <w:rPr>
            <w:rStyle w:val="Hyperlink"/>
            <w:rFonts w:ascii="Arial" w:hAnsi="Arial" w:cs="Arial"/>
            <w:sz w:val="22"/>
            <w:szCs w:val="22"/>
          </w:rPr>
          <w:t>https://doi.org/10.1136/bmjdhai-2025-000032</w:t>
        </w:r>
      </w:hyperlink>
    </w:p>
    <w:p w14:paraId="61D022F7"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Kelman,</w:t>
      </w:r>
      <w:r w:rsidRPr="00E60876">
        <w:rPr>
          <w:rFonts w:ascii="Arial" w:hAnsi="Arial" w:cs="Arial"/>
          <w:sz w:val="22"/>
          <w:szCs w:val="22"/>
        </w:rPr>
        <w:br/>
        <w:t xml:space="preserve">S. (1975) ‘The social nature of the definition problem in health’, </w:t>
      </w:r>
      <w:r w:rsidRPr="00E60876">
        <w:rPr>
          <w:rFonts w:ascii="Arial" w:hAnsi="Arial" w:cs="Arial"/>
          <w:i/>
          <w:iCs/>
          <w:sz w:val="22"/>
          <w:szCs w:val="22"/>
        </w:rPr>
        <w:t>International</w:t>
      </w:r>
      <w:r w:rsidRPr="00E60876">
        <w:rPr>
          <w:rFonts w:ascii="Arial" w:hAnsi="Arial" w:cs="Arial"/>
          <w:i/>
          <w:iCs/>
          <w:sz w:val="22"/>
          <w:szCs w:val="22"/>
        </w:rPr>
        <w:br/>
        <w:t>Journal of Health Services</w:t>
      </w:r>
      <w:r w:rsidRPr="00E60876">
        <w:rPr>
          <w:rFonts w:ascii="Arial" w:hAnsi="Arial" w:cs="Arial"/>
          <w:sz w:val="22"/>
          <w:szCs w:val="22"/>
        </w:rPr>
        <w:t xml:space="preserve">, 5(4), pp. 625–642. Available at: </w:t>
      </w:r>
      <w:hyperlink r:id="rId77" w:history="1">
        <w:r w:rsidRPr="00E60876">
          <w:rPr>
            <w:rStyle w:val="Hyperlink"/>
            <w:rFonts w:ascii="Arial" w:hAnsi="Arial" w:cs="Arial"/>
            <w:sz w:val="22"/>
            <w:szCs w:val="22"/>
          </w:rPr>
          <w:t>https://doi.org/10.2190/HFG7-HLUX-J9AM-32TT</w:t>
        </w:r>
      </w:hyperlink>
    </w:p>
    <w:p w14:paraId="08DA5685"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Kovacevic,</w:t>
      </w:r>
      <w:r w:rsidRPr="00E60876">
        <w:rPr>
          <w:rFonts w:ascii="Arial" w:hAnsi="Arial" w:cs="Arial"/>
          <w:sz w:val="22"/>
          <w:szCs w:val="22"/>
        </w:rPr>
        <w:br/>
        <w:t>L., Forbes, L., Ashrafian, H., Mayer, E., Mossialos, E. and Lugo-Palacios, D.</w:t>
      </w:r>
      <w:r w:rsidRPr="00E60876">
        <w:rPr>
          <w:rFonts w:ascii="Arial" w:hAnsi="Arial" w:cs="Arial"/>
          <w:sz w:val="22"/>
          <w:szCs w:val="22"/>
        </w:rPr>
        <w:br/>
        <w:t>(2026) ‘The impact of primary care networks on emergency hospitalisations in</w:t>
      </w:r>
      <w:r w:rsidRPr="00E60876">
        <w:rPr>
          <w:rFonts w:ascii="Arial" w:hAnsi="Arial" w:cs="Arial"/>
          <w:sz w:val="22"/>
          <w:szCs w:val="22"/>
        </w:rPr>
        <w:br/>
        <w:t xml:space="preserve">the English NHS: an interrupted time series analysis’, </w:t>
      </w:r>
      <w:r w:rsidRPr="00E60876">
        <w:rPr>
          <w:rFonts w:ascii="Arial" w:hAnsi="Arial" w:cs="Arial"/>
          <w:i/>
          <w:iCs/>
          <w:sz w:val="22"/>
          <w:szCs w:val="22"/>
        </w:rPr>
        <w:t>Health Policy</w:t>
      </w:r>
      <w:r w:rsidRPr="00E60876">
        <w:rPr>
          <w:rFonts w:ascii="Arial" w:hAnsi="Arial" w:cs="Arial"/>
          <w:sz w:val="22"/>
          <w:szCs w:val="22"/>
        </w:rPr>
        <w:t>,</w:t>
      </w:r>
      <w:r w:rsidRPr="00E60876">
        <w:rPr>
          <w:rFonts w:ascii="Arial" w:hAnsi="Arial" w:cs="Arial"/>
          <w:sz w:val="22"/>
          <w:szCs w:val="22"/>
        </w:rPr>
        <w:br/>
        <w:t xml:space="preserve">165, 105524. Available at: </w:t>
      </w:r>
      <w:hyperlink r:id="rId78" w:history="1">
        <w:r w:rsidRPr="00E60876">
          <w:rPr>
            <w:rStyle w:val="Hyperlink"/>
            <w:rFonts w:ascii="Arial" w:hAnsi="Arial" w:cs="Arial"/>
            <w:sz w:val="22"/>
            <w:szCs w:val="22"/>
          </w:rPr>
          <w:t>https://doi.org/10.1016/j.healthpol.2025.105524</w:t>
        </w:r>
      </w:hyperlink>
    </w:p>
    <w:p w14:paraId="3B35D84D"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Levene,</w:t>
      </w:r>
      <w:r w:rsidRPr="00E60876">
        <w:rPr>
          <w:rFonts w:ascii="Arial" w:hAnsi="Arial" w:cs="Arial"/>
          <w:sz w:val="22"/>
          <w:szCs w:val="22"/>
        </w:rPr>
        <w:br/>
        <w:t>L.S., Baker, R.H., Newby, C., Couchman, E.M. and Freeman, G.K. (2024) ‘Ongoing</w:t>
      </w:r>
      <w:r w:rsidRPr="00E60876">
        <w:rPr>
          <w:rFonts w:ascii="Arial" w:hAnsi="Arial" w:cs="Arial"/>
          <w:sz w:val="22"/>
          <w:szCs w:val="22"/>
        </w:rPr>
        <w:br/>
        <w:t>decline in continuity with GPs in English general practices: a longitudinal</w:t>
      </w:r>
      <w:r w:rsidRPr="00E60876">
        <w:rPr>
          <w:rFonts w:ascii="Arial" w:hAnsi="Arial" w:cs="Arial"/>
          <w:sz w:val="22"/>
          <w:szCs w:val="22"/>
        </w:rPr>
        <w:br/>
        <w:t xml:space="preserve">study across the COVID-19 pandemic’, </w:t>
      </w:r>
      <w:r w:rsidRPr="00E60876">
        <w:rPr>
          <w:rFonts w:ascii="Arial" w:hAnsi="Arial" w:cs="Arial"/>
          <w:i/>
          <w:iCs/>
          <w:sz w:val="22"/>
          <w:szCs w:val="22"/>
        </w:rPr>
        <w:t>Annals of Family Medicine</w:t>
      </w:r>
      <w:r w:rsidRPr="00E60876">
        <w:rPr>
          <w:rFonts w:ascii="Arial" w:hAnsi="Arial" w:cs="Arial"/>
          <w:sz w:val="22"/>
          <w:szCs w:val="22"/>
        </w:rPr>
        <w:t>, 22(4),</w:t>
      </w:r>
      <w:r w:rsidRPr="00E60876">
        <w:rPr>
          <w:rFonts w:ascii="Arial" w:hAnsi="Arial" w:cs="Arial"/>
          <w:sz w:val="22"/>
          <w:szCs w:val="22"/>
        </w:rPr>
        <w:br/>
        <w:t xml:space="preserve">pp. 301–308. Available at: </w:t>
      </w:r>
      <w:hyperlink r:id="rId79" w:history="1">
        <w:r w:rsidRPr="00E60876">
          <w:rPr>
            <w:rStyle w:val="Hyperlink"/>
            <w:rFonts w:ascii="Arial" w:hAnsi="Arial" w:cs="Arial"/>
            <w:sz w:val="22"/>
            <w:szCs w:val="22"/>
          </w:rPr>
          <w:t>https://doi.org/10.1370/afm.3128</w:t>
        </w:r>
      </w:hyperlink>
    </w:p>
    <w:p w14:paraId="1BB7CD5A"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MacLellan, J., Turnbull, J., Prichard, J. and Pope, C. (2023) ‘Emergency department staff views of NHS 111 First: qualitative interview study in England’, </w:t>
      </w:r>
      <w:r w:rsidRPr="00E60876">
        <w:rPr>
          <w:rFonts w:ascii="Arial" w:hAnsi="Arial" w:cs="Arial"/>
          <w:i/>
          <w:iCs/>
          <w:sz w:val="22"/>
          <w:szCs w:val="22"/>
        </w:rPr>
        <w:t>Emergency Medicine Journal</w:t>
      </w:r>
      <w:r w:rsidRPr="00E60876">
        <w:rPr>
          <w:rFonts w:ascii="Arial" w:hAnsi="Arial" w:cs="Arial"/>
          <w:sz w:val="22"/>
          <w:szCs w:val="22"/>
        </w:rPr>
        <w:t xml:space="preserve">, 40(9), pp. 636–640. Available at: </w:t>
      </w:r>
      <w:hyperlink r:id="rId80" w:history="1">
        <w:r w:rsidRPr="00E60876">
          <w:rPr>
            <w:rStyle w:val="Hyperlink"/>
            <w:rFonts w:ascii="Arial" w:hAnsi="Arial" w:cs="Arial"/>
            <w:sz w:val="22"/>
            <w:szCs w:val="22"/>
          </w:rPr>
          <w:t>https://doi.org/10.1136/emermed-2022-212947</w:t>
        </w:r>
      </w:hyperlink>
    </w:p>
    <w:p w14:paraId="754DC531"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McHenry, R., Campbell, M., Chung, D., Blane, D. and Corfield, A.R. (2026) ‘Socioeconomic deprivation is associated with redirection to other services from the emergency department: a multicentre retrospective cross-sectional study’, </w:t>
      </w:r>
      <w:r w:rsidRPr="00E60876">
        <w:rPr>
          <w:rFonts w:ascii="Arial" w:hAnsi="Arial" w:cs="Arial"/>
          <w:i/>
          <w:iCs/>
          <w:sz w:val="22"/>
          <w:szCs w:val="22"/>
        </w:rPr>
        <w:t>Emergency Medicine Journal</w:t>
      </w:r>
      <w:r w:rsidRPr="00E60876">
        <w:rPr>
          <w:rFonts w:ascii="Arial" w:hAnsi="Arial" w:cs="Arial"/>
          <w:sz w:val="22"/>
          <w:szCs w:val="22"/>
        </w:rPr>
        <w:t xml:space="preserve">, 43(8), pp. 519–521. Available at: </w:t>
      </w:r>
      <w:hyperlink r:id="rId81" w:history="1">
        <w:r w:rsidRPr="00E60876">
          <w:rPr>
            <w:rStyle w:val="Hyperlink"/>
            <w:rFonts w:ascii="Arial" w:hAnsi="Arial" w:cs="Arial"/>
            <w:sz w:val="22"/>
            <w:szCs w:val="22"/>
          </w:rPr>
          <w:t>https://doi.org/10.1136/emermed-2025-215742</w:t>
        </w:r>
      </w:hyperlink>
    </w:p>
    <w:p w14:paraId="4392DE4A"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McMillan, B., Davidge, G., Brown, L., Lyons, M., Atherton, H., Goulding, R., Mold, F., Morris, R.L. and Sanders, C. (2021) ‘A qualitative exploration of patients’ experiences, needs and expectations regarding online access to their primary care record’, </w:t>
      </w:r>
      <w:r w:rsidRPr="00E60876">
        <w:rPr>
          <w:rFonts w:ascii="Arial" w:hAnsi="Arial" w:cs="Arial"/>
          <w:i/>
          <w:iCs/>
          <w:sz w:val="22"/>
          <w:szCs w:val="22"/>
        </w:rPr>
        <w:t>BMJ Open</w:t>
      </w:r>
      <w:r w:rsidRPr="00E60876">
        <w:rPr>
          <w:rFonts w:ascii="Arial" w:hAnsi="Arial" w:cs="Arial"/>
          <w:sz w:val="22"/>
          <w:szCs w:val="22"/>
        </w:rPr>
        <w:t xml:space="preserve">, 11(3), e044221. Available at: </w:t>
      </w:r>
      <w:hyperlink r:id="rId82" w:history="1">
        <w:r w:rsidRPr="00E60876">
          <w:rPr>
            <w:rStyle w:val="Hyperlink"/>
            <w:rFonts w:ascii="Arial" w:hAnsi="Arial" w:cs="Arial"/>
            <w:sz w:val="22"/>
            <w:szCs w:val="22"/>
          </w:rPr>
          <w:t>https://doi.org/10.1136/bmjopen-2020-044221</w:t>
        </w:r>
      </w:hyperlink>
    </w:p>
    <w:p w14:paraId="74668F87"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Mercer, S.W., Patterson, J., Robson, J.P., Smith, S.M., Walton, E. and Watt, G. (2021) ‘The inverse care law and the potential of primary care in deprived areas’, </w:t>
      </w:r>
      <w:r w:rsidRPr="00E60876">
        <w:rPr>
          <w:rFonts w:ascii="Arial" w:hAnsi="Arial" w:cs="Arial"/>
          <w:i/>
          <w:iCs/>
          <w:sz w:val="22"/>
          <w:szCs w:val="22"/>
        </w:rPr>
        <w:t>The Lancet</w:t>
      </w:r>
      <w:r w:rsidRPr="00E60876">
        <w:rPr>
          <w:rFonts w:ascii="Arial" w:hAnsi="Arial" w:cs="Arial"/>
          <w:sz w:val="22"/>
          <w:szCs w:val="22"/>
        </w:rPr>
        <w:t xml:space="preserve">, 397(10276), pp. 775–776. Available at: </w:t>
      </w:r>
      <w:hyperlink r:id="rId83" w:history="1">
        <w:r w:rsidRPr="00E60876">
          <w:rPr>
            <w:rStyle w:val="Hyperlink"/>
            <w:rFonts w:ascii="Arial" w:hAnsi="Arial" w:cs="Arial"/>
            <w:sz w:val="22"/>
            <w:szCs w:val="22"/>
          </w:rPr>
          <w:t>https://doi.org/10.1016/S0140-6736(21)00317-2</w:t>
        </w:r>
      </w:hyperlink>
    </w:p>
    <w:p w14:paraId="1D9D154C"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Madia,</w:t>
      </w:r>
      <w:r w:rsidRPr="00E60876">
        <w:rPr>
          <w:rFonts w:ascii="Arial" w:hAnsi="Arial" w:cs="Arial"/>
          <w:sz w:val="22"/>
          <w:szCs w:val="22"/>
        </w:rPr>
        <w:br/>
        <w:t>J., Boyle, A.A., Ray, J., Novak, A., Pope, C.J., Wheeler, B., Petrou, S.,</w:t>
      </w:r>
      <w:r w:rsidRPr="00E60876">
        <w:rPr>
          <w:rFonts w:ascii="Arial" w:hAnsi="Arial" w:cs="Arial"/>
          <w:sz w:val="22"/>
          <w:szCs w:val="22"/>
        </w:rPr>
        <w:br/>
        <w:t>Wittenberg, R. and Nicodemo, C. (2025) ‘Socioeconomic inequality and access to</w:t>
      </w:r>
      <w:r w:rsidRPr="00E60876">
        <w:rPr>
          <w:rFonts w:ascii="Arial" w:hAnsi="Arial" w:cs="Arial"/>
          <w:sz w:val="22"/>
          <w:szCs w:val="22"/>
        </w:rPr>
        <w:br/>
      </w:r>
      <w:r w:rsidRPr="00E60876">
        <w:rPr>
          <w:rFonts w:ascii="Arial" w:hAnsi="Arial" w:cs="Arial"/>
          <w:sz w:val="22"/>
          <w:szCs w:val="22"/>
        </w:rPr>
        <w:lastRenderedPageBreak/>
        <w:t>emergency care: understanding the pathways to the emergency department in the</w:t>
      </w:r>
      <w:r w:rsidRPr="00E60876">
        <w:rPr>
          <w:rFonts w:ascii="Arial" w:hAnsi="Arial" w:cs="Arial"/>
          <w:sz w:val="22"/>
          <w:szCs w:val="22"/>
        </w:rPr>
        <w:br/>
        <w:t xml:space="preserve">UK’, </w:t>
      </w:r>
      <w:r w:rsidRPr="00E60876">
        <w:rPr>
          <w:rFonts w:ascii="Arial" w:hAnsi="Arial" w:cs="Arial"/>
          <w:i/>
          <w:iCs/>
          <w:sz w:val="22"/>
          <w:szCs w:val="22"/>
        </w:rPr>
        <w:t>BMJ Open</w:t>
      </w:r>
      <w:r w:rsidRPr="00E60876">
        <w:rPr>
          <w:rFonts w:ascii="Arial" w:hAnsi="Arial" w:cs="Arial"/>
          <w:sz w:val="22"/>
          <w:szCs w:val="22"/>
        </w:rPr>
        <w:t xml:space="preserve">, 15(12), e108770. Available at: </w:t>
      </w:r>
      <w:hyperlink r:id="rId84" w:history="1">
        <w:r w:rsidRPr="00E60876">
          <w:rPr>
            <w:rStyle w:val="Hyperlink"/>
            <w:rFonts w:ascii="Arial" w:hAnsi="Arial" w:cs="Arial"/>
            <w:sz w:val="22"/>
            <w:szCs w:val="22"/>
          </w:rPr>
          <w:t>https://doi.org/10.1136/bmjopen-2025-108770</w:t>
        </w:r>
      </w:hyperlink>
    </w:p>
    <w:p w14:paraId="2E46C3C6"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Marmot,</w:t>
      </w:r>
      <w:r w:rsidRPr="00E60876">
        <w:rPr>
          <w:rFonts w:ascii="Arial" w:hAnsi="Arial" w:cs="Arial"/>
          <w:sz w:val="22"/>
          <w:szCs w:val="22"/>
        </w:rPr>
        <w:br/>
        <w:t xml:space="preserve">M. (2010) </w:t>
      </w:r>
      <w:r w:rsidRPr="00E60876">
        <w:rPr>
          <w:rFonts w:ascii="Arial" w:hAnsi="Arial" w:cs="Arial"/>
          <w:i/>
          <w:iCs/>
          <w:sz w:val="22"/>
          <w:szCs w:val="22"/>
        </w:rPr>
        <w:t>Fair society, healthy lives: strategic review of health</w:t>
      </w:r>
      <w:r w:rsidRPr="00E60876">
        <w:rPr>
          <w:rFonts w:ascii="Arial" w:hAnsi="Arial" w:cs="Arial"/>
          <w:i/>
          <w:iCs/>
          <w:sz w:val="22"/>
          <w:szCs w:val="22"/>
        </w:rPr>
        <w:br/>
        <w:t>inequalities in England post-2010</w:t>
      </w:r>
      <w:r w:rsidRPr="00E60876">
        <w:rPr>
          <w:rFonts w:ascii="Arial" w:hAnsi="Arial" w:cs="Arial"/>
          <w:sz w:val="22"/>
          <w:szCs w:val="22"/>
        </w:rPr>
        <w:t>. London: The Marmot Review. Available at:</w:t>
      </w:r>
      <w:r w:rsidRPr="00E60876">
        <w:rPr>
          <w:rFonts w:ascii="Arial" w:hAnsi="Arial" w:cs="Arial"/>
          <w:sz w:val="22"/>
          <w:szCs w:val="22"/>
        </w:rPr>
        <w:br/>
      </w:r>
      <w:hyperlink r:id="rId85" w:history="1">
        <w:r w:rsidRPr="00E60876">
          <w:rPr>
            <w:rStyle w:val="Hyperlink"/>
            <w:rFonts w:ascii="Arial" w:hAnsi="Arial" w:cs="Arial"/>
            <w:sz w:val="22"/>
            <w:szCs w:val="22"/>
          </w:rPr>
          <w:t>https://www.instituteofhealthequity.org/resources-reports/fair-society-healthy-lives-the-marmot-review</w:t>
        </w:r>
      </w:hyperlink>
    </w:p>
    <w:p w14:paraId="6BD1617D"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Marmot,</w:t>
      </w:r>
      <w:r w:rsidRPr="00E60876">
        <w:rPr>
          <w:rFonts w:ascii="Arial" w:hAnsi="Arial" w:cs="Arial"/>
          <w:sz w:val="22"/>
          <w:szCs w:val="22"/>
        </w:rPr>
        <w:br/>
        <w:t>M., Allen, J., Goldblatt, P., Boyce, T., McNeish, D., Grady, M. and Geddes, I.</w:t>
      </w:r>
      <w:r w:rsidRPr="00E60876">
        <w:rPr>
          <w:rFonts w:ascii="Arial" w:hAnsi="Arial" w:cs="Arial"/>
          <w:sz w:val="22"/>
          <w:szCs w:val="22"/>
        </w:rPr>
        <w:br/>
        <w:t xml:space="preserve">(2010) ‘Fair society, healthy lives’, </w:t>
      </w:r>
      <w:r w:rsidRPr="00E60876">
        <w:rPr>
          <w:rFonts w:ascii="Arial" w:hAnsi="Arial" w:cs="Arial"/>
          <w:i/>
          <w:iCs/>
          <w:sz w:val="22"/>
          <w:szCs w:val="22"/>
        </w:rPr>
        <w:t>BMJ</w:t>
      </w:r>
      <w:r w:rsidRPr="00E60876">
        <w:rPr>
          <w:rFonts w:ascii="Arial" w:hAnsi="Arial" w:cs="Arial"/>
          <w:sz w:val="22"/>
          <w:szCs w:val="22"/>
        </w:rPr>
        <w:t xml:space="preserve">, 340, c1086. Available at: </w:t>
      </w:r>
      <w:hyperlink r:id="rId86" w:history="1">
        <w:r w:rsidRPr="00E60876">
          <w:rPr>
            <w:rStyle w:val="Hyperlink"/>
            <w:rFonts w:ascii="Arial" w:hAnsi="Arial" w:cs="Arial"/>
            <w:sz w:val="22"/>
            <w:szCs w:val="22"/>
          </w:rPr>
          <w:t>https://doi.org/10.1136/bmj.c1086</w:t>
        </w:r>
      </w:hyperlink>
    </w:p>
    <w:p w14:paraId="5A95DB17" w14:textId="4A14C628"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Marmot,</w:t>
      </w:r>
      <w:r w:rsidRPr="00E60876">
        <w:rPr>
          <w:rFonts w:ascii="Arial" w:hAnsi="Arial" w:cs="Arial"/>
          <w:sz w:val="22"/>
          <w:szCs w:val="22"/>
        </w:rPr>
        <w:br/>
        <w:t xml:space="preserve">M., Allen, J., Boyce, T., Goldblatt, P. and Morrison, J. (2020) </w:t>
      </w:r>
      <w:r w:rsidRPr="00E60876">
        <w:rPr>
          <w:rFonts w:ascii="Arial" w:hAnsi="Arial" w:cs="Arial"/>
          <w:i/>
          <w:iCs/>
          <w:sz w:val="22"/>
          <w:szCs w:val="22"/>
        </w:rPr>
        <w:t>Health</w:t>
      </w:r>
      <w:r w:rsidRPr="00E60876">
        <w:rPr>
          <w:rFonts w:ascii="Arial" w:hAnsi="Arial" w:cs="Arial"/>
          <w:i/>
          <w:iCs/>
          <w:sz w:val="22"/>
          <w:szCs w:val="22"/>
        </w:rPr>
        <w:br/>
        <w:t xml:space="preserve">equity in England: </w:t>
      </w:r>
      <w:r w:rsidR="009F7FDA" w:rsidRPr="00E60876">
        <w:rPr>
          <w:rFonts w:ascii="Arial" w:hAnsi="Arial" w:cs="Arial"/>
          <w:i/>
          <w:iCs/>
          <w:sz w:val="22"/>
          <w:szCs w:val="22"/>
        </w:rPr>
        <w:t>The</w:t>
      </w:r>
      <w:r w:rsidRPr="00E60876">
        <w:rPr>
          <w:rFonts w:ascii="Arial" w:hAnsi="Arial" w:cs="Arial"/>
          <w:i/>
          <w:iCs/>
          <w:sz w:val="22"/>
          <w:szCs w:val="22"/>
        </w:rPr>
        <w:t xml:space="preserve"> Marmot Review 10 years on</w:t>
      </w:r>
      <w:r w:rsidRPr="00E60876">
        <w:rPr>
          <w:rFonts w:ascii="Arial" w:hAnsi="Arial" w:cs="Arial"/>
          <w:sz w:val="22"/>
          <w:szCs w:val="22"/>
        </w:rPr>
        <w:t>. London: Institute of</w:t>
      </w:r>
      <w:r w:rsidRPr="00E60876">
        <w:rPr>
          <w:rFonts w:ascii="Arial" w:hAnsi="Arial" w:cs="Arial"/>
          <w:sz w:val="22"/>
          <w:szCs w:val="22"/>
        </w:rPr>
        <w:br/>
        <w:t xml:space="preserve">Health Equity / The Health Foundation. Available at: </w:t>
      </w:r>
      <w:hyperlink r:id="rId87" w:history="1">
        <w:r w:rsidRPr="00E60876">
          <w:rPr>
            <w:rStyle w:val="Hyperlink"/>
            <w:rFonts w:ascii="Arial" w:hAnsi="Arial" w:cs="Arial"/>
            <w:sz w:val="22"/>
            <w:szCs w:val="22"/>
          </w:rPr>
          <w:t>https://www.health.org.uk/publications/reports/the-marmot-review-10-years-on</w:t>
        </w:r>
      </w:hyperlink>
    </w:p>
    <w:p w14:paraId="4202E3BD"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McFadzean,</w:t>
      </w:r>
      <w:r w:rsidRPr="00E60876">
        <w:rPr>
          <w:rFonts w:ascii="Arial" w:hAnsi="Arial" w:cs="Arial"/>
          <w:sz w:val="22"/>
          <w:szCs w:val="22"/>
        </w:rPr>
        <w:br/>
        <w:t>I.J., Edwards, M., Davies, F., Cooper, A., Price, D., Carson-Stevens, A., Dale,</w:t>
      </w:r>
      <w:r w:rsidRPr="00E60876">
        <w:rPr>
          <w:rFonts w:ascii="Arial" w:hAnsi="Arial" w:cs="Arial"/>
          <w:sz w:val="22"/>
          <w:szCs w:val="22"/>
        </w:rPr>
        <w:br/>
        <w:t>J., Hughes, T., Porter, A., Harrington, B., Evans, B., Siriwardena, N.,</w:t>
      </w:r>
      <w:r w:rsidRPr="00E60876">
        <w:rPr>
          <w:rFonts w:ascii="Arial" w:hAnsi="Arial" w:cs="Arial"/>
          <w:sz w:val="22"/>
          <w:szCs w:val="22"/>
        </w:rPr>
        <w:br/>
        <w:t>Anderson, P. and Edwards, A. (2022) ‘Realist analysis of whether emergency</w:t>
      </w:r>
      <w:r w:rsidRPr="00E60876">
        <w:rPr>
          <w:rFonts w:ascii="Arial" w:hAnsi="Arial" w:cs="Arial"/>
          <w:sz w:val="22"/>
          <w:szCs w:val="22"/>
        </w:rPr>
        <w:br/>
        <w:t xml:space="preserve">departments with primary care services generate “provider-induced demand”’, </w:t>
      </w:r>
      <w:r w:rsidRPr="00E60876">
        <w:rPr>
          <w:rFonts w:ascii="Arial" w:hAnsi="Arial" w:cs="Arial"/>
          <w:i/>
          <w:iCs/>
          <w:sz w:val="22"/>
          <w:szCs w:val="22"/>
        </w:rPr>
        <w:t>BMC</w:t>
      </w:r>
      <w:r w:rsidRPr="00E60876">
        <w:rPr>
          <w:rFonts w:ascii="Arial" w:hAnsi="Arial" w:cs="Arial"/>
          <w:i/>
          <w:iCs/>
          <w:sz w:val="22"/>
          <w:szCs w:val="22"/>
        </w:rPr>
        <w:br/>
        <w:t>Emergency Medicine</w:t>
      </w:r>
      <w:r w:rsidRPr="00E60876">
        <w:rPr>
          <w:rFonts w:ascii="Arial" w:hAnsi="Arial" w:cs="Arial"/>
          <w:sz w:val="22"/>
          <w:szCs w:val="22"/>
        </w:rPr>
        <w:t xml:space="preserve">, 22, 155. Available at: </w:t>
      </w:r>
      <w:hyperlink r:id="rId88" w:history="1">
        <w:r w:rsidRPr="00E60876">
          <w:rPr>
            <w:rStyle w:val="Hyperlink"/>
            <w:rFonts w:ascii="Arial" w:hAnsi="Arial" w:cs="Arial"/>
            <w:sz w:val="22"/>
            <w:szCs w:val="22"/>
          </w:rPr>
          <w:t>https://doi.org/10.1186/s12873-022-00709-2</w:t>
        </w:r>
      </w:hyperlink>
    </w:p>
    <w:p w14:paraId="03E79019"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Maynou,</w:t>
      </w:r>
      <w:r w:rsidRPr="00E60876">
        <w:rPr>
          <w:rFonts w:ascii="Arial" w:hAnsi="Arial" w:cs="Arial"/>
          <w:sz w:val="22"/>
          <w:szCs w:val="22"/>
        </w:rPr>
        <w:br/>
        <w:t>L., Street, A., Burton, C., Mason, S.M., Stone, T., Martin, G., van Oppen, J.</w:t>
      </w:r>
      <w:r w:rsidRPr="00E60876">
        <w:rPr>
          <w:rFonts w:ascii="Arial" w:hAnsi="Arial" w:cs="Arial"/>
          <w:sz w:val="22"/>
          <w:szCs w:val="22"/>
        </w:rPr>
        <w:br/>
        <w:t>and Conroy, S. (2023) ‘Factors associated with longer wait times, admission and</w:t>
      </w:r>
      <w:r w:rsidRPr="00E60876">
        <w:rPr>
          <w:rFonts w:ascii="Arial" w:hAnsi="Arial" w:cs="Arial"/>
          <w:sz w:val="22"/>
          <w:szCs w:val="22"/>
        </w:rPr>
        <w:br/>
        <w:t>reattendances in older patients attending emergency departments: an analysis of</w:t>
      </w:r>
      <w:r w:rsidRPr="00E60876">
        <w:rPr>
          <w:rFonts w:ascii="Arial" w:hAnsi="Arial" w:cs="Arial"/>
          <w:sz w:val="22"/>
          <w:szCs w:val="22"/>
        </w:rPr>
        <w:br/>
        <w:t xml:space="preserve">linked healthcare data’, </w:t>
      </w:r>
      <w:r w:rsidRPr="00E60876">
        <w:rPr>
          <w:rFonts w:ascii="Arial" w:hAnsi="Arial" w:cs="Arial"/>
          <w:i/>
          <w:iCs/>
          <w:sz w:val="22"/>
          <w:szCs w:val="22"/>
        </w:rPr>
        <w:t>Emergency Medicine Journal</w:t>
      </w:r>
      <w:r w:rsidRPr="00E60876">
        <w:rPr>
          <w:rFonts w:ascii="Arial" w:hAnsi="Arial" w:cs="Arial"/>
          <w:sz w:val="22"/>
          <w:szCs w:val="22"/>
        </w:rPr>
        <w:t>, 40(4), pp. 248–256.</w:t>
      </w:r>
      <w:r w:rsidRPr="00E60876">
        <w:rPr>
          <w:rFonts w:ascii="Arial" w:hAnsi="Arial" w:cs="Arial"/>
          <w:sz w:val="22"/>
          <w:szCs w:val="22"/>
        </w:rPr>
        <w:br/>
        <w:t xml:space="preserve">Available at: </w:t>
      </w:r>
      <w:hyperlink r:id="rId89" w:history="1">
        <w:r w:rsidRPr="00E60876">
          <w:rPr>
            <w:rStyle w:val="Hyperlink"/>
            <w:rFonts w:ascii="Arial" w:hAnsi="Arial" w:cs="Arial"/>
            <w:sz w:val="22"/>
            <w:szCs w:val="22"/>
          </w:rPr>
          <w:t>https://doi.org/10.1136/emermed-2022-212303</w:t>
        </w:r>
      </w:hyperlink>
    </w:p>
    <w:p w14:paraId="658FB8AA"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Morgan,</w:t>
      </w:r>
      <w:r w:rsidRPr="00E60876">
        <w:rPr>
          <w:rFonts w:ascii="Arial" w:hAnsi="Arial" w:cs="Arial"/>
          <w:sz w:val="22"/>
          <w:szCs w:val="22"/>
        </w:rPr>
        <w:br/>
        <w:t>A., Hammersley, V., Mercer, S., Carney, K. and Bikker, A. (2023) ‘Experiences</w:t>
      </w:r>
      <w:r w:rsidRPr="00E60876">
        <w:rPr>
          <w:rFonts w:ascii="Arial" w:hAnsi="Arial" w:cs="Arial"/>
          <w:sz w:val="22"/>
          <w:szCs w:val="22"/>
        </w:rPr>
        <w:br/>
        <w:t>and perspectives of patients and their carers of digital access to primary care</w:t>
      </w:r>
      <w:r w:rsidRPr="00E60876">
        <w:rPr>
          <w:rFonts w:ascii="Arial" w:hAnsi="Arial" w:cs="Arial"/>
          <w:sz w:val="22"/>
          <w:szCs w:val="22"/>
        </w:rPr>
        <w:br/>
        <w:t xml:space="preserve">in Scotland: a qualitative study’, </w:t>
      </w:r>
      <w:r w:rsidRPr="00E60876">
        <w:rPr>
          <w:rFonts w:ascii="Arial" w:hAnsi="Arial" w:cs="Arial"/>
          <w:i/>
          <w:iCs/>
          <w:sz w:val="22"/>
          <w:szCs w:val="22"/>
        </w:rPr>
        <w:t>BJGP Open</w:t>
      </w:r>
      <w:r w:rsidRPr="00E60876">
        <w:rPr>
          <w:rFonts w:ascii="Arial" w:hAnsi="Arial" w:cs="Arial"/>
          <w:sz w:val="22"/>
          <w:szCs w:val="22"/>
        </w:rPr>
        <w:t>, 7(3), BJGPO.2023.0018.</w:t>
      </w:r>
      <w:r w:rsidRPr="00E60876">
        <w:rPr>
          <w:rFonts w:ascii="Arial" w:hAnsi="Arial" w:cs="Arial"/>
          <w:sz w:val="22"/>
          <w:szCs w:val="22"/>
        </w:rPr>
        <w:br/>
        <w:t xml:space="preserve">Available at: </w:t>
      </w:r>
      <w:hyperlink r:id="rId90" w:history="1">
        <w:r w:rsidRPr="00E60876">
          <w:rPr>
            <w:rStyle w:val="Hyperlink"/>
            <w:rFonts w:ascii="Arial" w:hAnsi="Arial" w:cs="Arial"/>
            <w:sz w:val="22"/>
            <w:szCs w:val="22"/>
          </w:rPr>
          <w:t>https://doi.org/10.3399/BJGPO.2023.0018</w:t>
        </w:r>
      </w:hyperlink>
    </w:p>
    <w:p w14:paraId="55AC4AB1"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lastRenderedPageBreak/>
        <w:t>Mou,</w:t>
      </w:r>
      <w:r w:rsidRPr="00E60876">
        <w:rPr>
          <w:rFonts w:ascii="Arial" w:hAnsi="Arial" w:cs="Arial"/>
          <w:sz w:val="22"/>
          <w:szCs w:val="22"/>
        </w:rPr>
        <w:br/>
        <w:t>L., Lau, Y.S. and Whittaker, W. (2026) ‘Understanding the relationship between</w:t>
      </w:r>
      <w:r w:rsidRPr="00E60876">
        <w:rPr>
          <w:rFonts w:ascii="Arial" w:hAnsi="Arial" w:cs="Arial"/>
          <w:sz w:val="22"/>
          <w:szCs w:val="22"/>
        </w:rPr>
        <w:br/>
        <w:t>frequent users of emergency departments and primary care quality: a</w:t>
      </w:r>
      <w:r w:rsidRPr="00E60876">
        <w:rPr>
          <w:rFonts w:ascii="Arial" w:hAnsi="Arial" w:cs="Arial"/>
          <w:sz w:val="22"/>
          <w:szCs w:val="22"/>
        </w:rPr>
        <w:br/>
        <w:t xml:space="preserve">retrospective observational study in England’, </w:t>
      </w:r>
      <w:r w:rsidRPr="00E60876">
        <w:rPr>
          <w:rFonts w:ascii="Arial" w:hAnsi="Arial" w:cs="Arial"/>
          <w:i/>
          <w:iCs/>
          <w:sz w:val="22"/>
          <w:szCs w:val="22"/>
        </w:rPr>
        <w:t>Health Policy</w:t>
      </w:r>
      <w:r w:rsidRPr="00E60876">
        <w:rPr>
          <w:rFonts w:ascii="Arial" w:hAnsi="Arial" w:cs="Arial"/>
          <w:sz w:val="22"/>
          <w:szCs w:val="22"/>
        </w:rPr>
        <w:t>, 171,</w:t>
      </w:r>
      <w:r w:rsidRPr="00E60876">
        <w:rPr>
          <w:rFonts w:ascii="Arial" w:hAnsi="Arial" w:cs="Arial"/>
          <w:sz w:val="22"/>
          <w:szCs w:val="22"/>
        </w:rPr>
        <w:br/>
        <w:t xml:space="preserve">105654. Available at: </w:t>
      </w:r>
      <w:hyperlink r:id="rId91" w:history="1">
        <w:r w:rsidRPr="00E60876">
          <w:rPr>
            <w:rStyle w:val="Hyperlink"/>
            <w:rFonts w:ascii="Arial" w:hAnsi="Arial" w:cs="Arial"/>
            <w:sz w:val="22"/>
            <w:szCs w:val="22"/>
          </w:rPr>
          <w:t>https://doi.org/10.1016/j.healthpol.2026.105654</w:t>
        </w:r>
      </w:hyperlink>
    </w:p>
    <w:p w14:paraId="4DBA4895"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Murphy,</w:t>
      </w:r>
      <w:r w:rsidRPr="00E60876">
        <w:rPr>
          <w:rFonts w:ascii="Arial" w:hAnsi="Arial" w:cs="Arial"/>
          <w:sz w:val="22"/>
          <w:szCs w:val="22"/>
        </w:rPr>
        <w:br/>
        <w:t>J., Elliot, M., Ravindrarajah, R. and Whittaker, W. (2021) ‘Investigating the</w:t>
      </w:r>
      <w:r w:rsidRPr="00E60876">
        <w:rPr>
          <w:rFonts w:ascii="Arial" w:hAnsi="Arial" w:cs="Arial"/>
          <w:sz w:val="22"/>
          <w:szCs w:val="22"/>
        </w:rPr>
        <w:br/>
        <w:t xml:space="preserve">impact of distance on the use of primary care extended hours’, </w:t>
      </w:r>
      <w:r w:rsidRPr="00E60876">
        <w:rPr>
          <w:rFonts w:ascii="Arial" w:hAnsi="Arial" w:cs="Arial"/>
          <w:i/>
          <w:iCs/>
          <w:sz w:val="22"/>
          <w:szCs w:val="22"/>
        </w:rPr>
        <w:t>International</w:t>
      </w:r>
      <w:r w:rsidRPr="00E60876">
        <w:rPr>
          <w:rFonts w:ascii="Arial" w:hAnsi="Arial" w:cs="Arial"/>
          <w:i/>
          <w:iCs/>
          <w:sz w:val="22"/>
          <w:szCs w:val="22"/>
        </w:rPr>
        <w:br/>
        <w:t>Journal of Population Data Science</w:t>
      </w:r>
      <w:r w:rsidRPr="00E60876">
        <w:rPr>
          <w:rFonts w:ascii="Arial" w:hAnsi="Arial" w:cs="Arial"/>
          <w:sz w:val="22"/>
          <w:szCs w:val="22"/>
        </w:rPr>
        <w:t xml:space="preserve">, 6(1), 1401. Available at: </w:t>
      </w:r>
      <w:hyperlink r:id="rId92" w:history="1">
        <w:r w:rsidRPr="00E60876">
          <w:rPr>
            <w:rStyle w:val="Hyperlink"/>
            <w:rFonts w:ascii="Arial" w:hAnsi="Arial" w:cs="Arial"/>
            <w:sz w:val="22"/>
            <w:szCs w:val="22"/>
          </w:rPr>
          <w:t>https://doi.org/10.23889/ijpds.v6i1.1401</w:t>
        </w:r>
      </w:hyperlink>
    </w:p>
    <w:p w14:paraId="7E7F65A0"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NHS</w:t>
      </w:r>
      <w:r w:rsidRPr="00E60876">
        <w:rPr>
          <w:rFonts w:ascii="Arial" w:hAnsi="Arial" w:cs="Arial"/>
          <w:sz w:val="22"/>
          <w:szCs w:val="22"/>
        </w:rPr>
        <w:br/>
        <w:t xml:space="preserve">Digital (2022) </w:t>
      </w:r>
      <w:r w:rsidRPr="00E60876">
        <w:rPr>
          <w:rFonts w:ascii="Arial" w:hAnsi="Arial" w:cs="Arial"/>
          <w:i/>
          <w:iCs/>
          <w:sz w:val="22"/>
          <w:szCs w:val="22"/>
        </w:rPr>
        <w:t>Appointments in general practice: November 2022</w:t>
      </w:r>
      <w:r w:rsidRPr="00E60876">
        <w:rPr>
          <w:rFonts w:ascii="Arial" w:hAnsi="Arial" w:cs="Arial"/>
          <w:sz w:val="22"/>
          <w:szCs w:val="22"/>
        </w:rPr>
        <w:t>. Leeds:</w:t>
      </w:r>
      <w:r w:rsidRPr="00E60876">
        <w:rPr>
          <w:rFonts w:ascii="Arial" w:hAnsi="Arial" w:cs="Arial"/>
          <w:sz w:val="22"/>
          <w:szCs w:val="22"/>
        </w:rPr>
        <w:br/>
        <w:t xml:space="preserve">NHS Digital. Available at: </w:t>
      </w:r>
      <w:hyperlink r:id="rId93" w:history="1">
        <w:r w:rsidRPr="00E60876">
          <w:rPr>
            <w:rStyle w:val="Hyperlink"/>
            <w:rFonts w:ascii="Arial" w:hAnsi="Arial" w:cs="Arial"/>
            <w:sz w:val="22"/>
            <w:szCs w:val="22"/>
          </w:rPr>
          <w:t>https://digital.nhs.uk/data-and-information/publications/statistical/appointments-in-general-practice</w:t>
        </w:r>
      </w:hyperlink>
    </w:p>
    <w:p w14:paraId="786AA1BC"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NHS</w:t>
      </w:r>
      <w:r w:rsidRPr="00E60876">
        <w:rPr>
          <w:rFonts w:ascii="Arial" w:hAnsi="Arial" w:cs="Arial"/>
          <w:sz w:val="22"/>
          <w:szCs w:val="22"/>
        </w:rPr>
        <w:br/>
        <w:t xml:space="preserve">England (2019) </w:t>
      </w:r>
      <w:r w:rsidRPr="00E60876">
        <w:rPr>
          <w:rFonts w:ascii="Arial" w:hAnsi="Arial" w:cs="Arial"/>
          <w:i/>
          <w:iCs/>
          <w:sz w:val="22"/>
          <w:szCs w:val="22"/>
        </w:rPr>
        <w:t>The NHS long term plan</w:t>
      </w:r>
      <w:r w:rsidRPr="00E60876">
        <w:rPr>
          <w:rFonts w:ascii="Arial" w:hAnsi="Arial" w:cs="Arial"/>
          <w:sz w:val="22"/>
          <w:szCs w:val="22"/>
        </w:rPr>
        <w:t>. London: NHS England. Available</w:t>
      </w:r>
      <w:r w:rsidRPr="00E60876">
        <w:rPr>
          <w:rFonts w:ascii="Arial" w:hAnsi="Arial" w:cs="Arial"/>
          <w:sz w:val="22"/>
          <w:szCs w:val="22"/>
        </w:rPr>
        <w:br/>
        <w:t xml:space="preserve">at: </w:t>
      </w:r>
      <w:hyperlink r:id="rId94" w:history="1">
        <w:r w:rsidRPr="00E60876">
          <w:rPr>
            <w:rStyle w:val="Hyperlink"/>
            <w:rFonts w:ascii="Arial" w:hAnsi="Arial" w:cs="Arial"/>
            <w:sz w:val="22"/>
            <w:szCs w:val="22"/>
          </w:rPr>
          <w:t>https://www.longtermplan.nhs.uk</w:t>
        </w:r>
      </w:hyperlink>
    </w:p>
    <w:p w14:paraId="2DCB97D1"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NHS</w:t>
      </w:r>
      <w:r w:rsidRPr="00E60876">
        <w:rPr>
          <w:rFonts w:ascii="Arial" w:hAnsi="Arial" w:cs="Arial"/>
          <w:sz w:val="22"/>
          <w:szCs w:val="22"/>
        </w:rPr>
        <w:br/>
        <w:t xml:space="preserve">England (2023) </w:t>
      </w:r>
      <w:r w:rsidRPr="00E60876">
        <w:rPr>
          <w:rFonts w:ascii="Arial" w:hAnsi="Arial" w:cs="Arial"/>
          <w:i/>
          <w:iCs/>
          <w:sz w:val="22"/>
          <w:szCs w:val="22"/>
        </w:rPr>
        <w:t>Delivery plan for recovering access to primary care</w:t>
      </w:r>
      <w:r w:rsidRPr="00E60876">
        <w:rPr>
          <w:rFonts w:ascii="Arial" w:hAnsi="Arial" w:cs="Arial"/>
          <w:sz w:val="22"/>
          <w:szCs w:val="22"/>
        </w:rPr>
        <w:t>.</w:t>
      </w:r>
      <w:r w:rsidRPr="00E60876">
        <w:rPr>
          <w:rFonts w:ascii="Arial" w:hAnsi="Arial" w:cs="Arial"/>
          <w:sz w:val="22"/>
          <w:szCs w:val="22"/>
        </w:rPr>
        <w:br/>
        <w:t xml:space="preserve">London: NHS England. Available at: </w:t>
      </w:r>
      <w:hyperlink r:id="rId95" w:history="1">
        <w:r w:rsidRPr="00E60876">
          <w:rPr>
            <w:rStyle w:val="Hyperlink"/>
            <w:rFonts w:ascii="Arial" w:hAnsi="Arial" w:cs="Arial"/>
            <w:sz w:val="22"/>
            <w:szCs w:val="22"/>
          </w:rPr>
          <w:t>https://www.england.nhs.uk/publication/delivery-plan-for-recovering-access-to-primary-care/</w:t>
        </w:r>
      </w:hyperlink>
    </w:p>
    <w:p w14:paraId="768C03C4"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NHS</w:t>
      </w:r>
      <w:r w:rsidRPr="00E60876">
        <w:rPr>
          <w:rFonts w:ascii="Arial" w:hAnsi="Arial" w:cs="Arial"/>
          <w:sz w:val="22"/>
          <w:szCs w:val="22"/>
        </w:rPr>
        <w:br/>
        <w:t xml:space="preserve">England (2025) </w:t>
      </w:r>
      <w:r w:rsidRPr="00E60876">
        <w:rPr>
          <w:rFonts w:ascii="Arial" w:hAnsi="Arial" w:cs="Arial"/>
          <w:i/>
          <w:iCs/>
          <w:sz w:val="22"/>
          <w:szCs w:val="22"/>
        </w:rPr>
        <w:t>A&amp;E attendances and emergency admissions 2024–25</w:t>
      </w:r>
      <w:r w:rsidRPr="00E60876">
        <w:rPr>
          <w:rFonts w:ascii="Arial" w:hAnsi="Arial" w:cs="Arial"/>
          <w:sz w:val="22"/>
          <w:szCs w:val="22"/>
        </w:rPr>
        <w:t>.</w:t>
      </w:r>
      <w:r w:rsidRPr="00E60876">
        <w:rPr>
          <w:rFonts w:ascii="Arial" w:hAnsi="Arial" w:cs="Arial"/>
          <w:sz w:val="22"/>
          <w:szCs w:val="22"/>
        </w:rPr>
        <w:br/>
        <w:t xml:space="preserve">London: NHS England. Available at: </w:t>
      </w:r>
      <w:hyperlink r:id="rId96" w:history="1">
        <w:r w:rsidRPr="00E60876">
          <w:rPr>
            <w:rStyle w:val="Hyperlink"/>
            <w:rFonts w:ascii="Arial" w:hAnsi="Arial" w:cs="Arial"/>
            <w:sz w:val="22"/>
            <w:szCs w:val="22"/>
          </w:rPr>
          <w:t>https://www.england.nhs.uk/statistics/statistical-work-areas/ae-waiting-times-and-activity/</w:t>
        </w:r>
      </w:hyperlink>
    </w:p>
    <w:p w14:paraId="7479640C"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Nicodemo, C., McCormick, B., Wittenberg, R. and Hobbs, F.D.R. (2021) ‘Are more GPs associated with a reduction in emergency hospital admissions? A quantitative study on GP referral in England’, </w:t>
      </w:r>
      <w:r w:rsidRPr="00E60876">
        <w:rPr>
          <w:rFonts w:ascii="Arial" w:hAnsi="Arial" w:cs="Arial"/>
          <w:i/>
          <w:iCs/>
          <w:sz w:val="22"/>
          <w:szCs w:val="22"/>
        </w:rPr>
        <w:t>British Journal of General Practice</w:t>
      </w:r>
      <w:r w:rsidRPr="00E60876">
        <w:rPr>
          <w:rFonts w:ascii="Arial" w:hAnsi="Arial" w:cs="Arial"/>
          <w:sz w:val="22"/>
          <w:szCs w:val="22"/>
        </w:rPr>
        <w:t xml:space="preserve">, 71(705), pp. e287–e295. Available at: </w:t>
      </w:r>
      <w:hyperlink r:id="rId97" w:history="1">
        <w:r w:rsidRPr="00E60876">
          <w:rPr>
            <w:rStyle w:val="Hyperlink"/>
            <w:rFonts w:ascii="Arial" w:hAnsi="Arial" w:cs="Arial"/>
            <w:sz w:val="22"/>
            <w:szCs w:val="22"/>
          </w:rPr>
          <w:t>https://doi.org/10.3399/BJGP.2020.0737</w:t>
        </w:r>
      </w:hyperlink>
    </w:p>
    <w:p w14:paraId="70000549"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Nussbaum, C., Massou, E., Fisher, R., Morciano, M., Harmer, R. and Ford, J. (2021) ‘Inequalities in the distribution of the general practice workforce in England: a practice-level longitudinal analysis’, </w:t>
      </w:r>
      <w:r w:rsidRPr="00E60876">
        <w:rPr>
          <w:rFonts w:ascii="Arial" w:hAnsi="Arial" w:cs="Arial"/>
          <w:i/>
          <w:iCs/>
          <w:sz w:val="22"/>
          <w:szCs w:val="22"/>
        </w:rPr>
        <w:t>BJGP Open</w:t>
      </w:r>
      <w:r w:rsidRPr="00E60876">
        <w:rPr>
          <w:rFonts w:ascii="Arial" w:hAnsi="Arial" w:cs="Arial"/>
          <w:sz w:val="22"/>
          <w:szCs w:val="22"/>
        </w:rPr>
        <w:t xml:space="preserve">, 5(5), BJGPO.2021.0066. Available at: </w:t>
      </w:r>
      <w:hyperlink r:id="rId98" w:history="1">
        <w:r w:rsidRPr="00E60876">
          <w:rPr>
            <w:rStyle w:val="Hyperlink"/>
            <w:rFonts w:ascii="Arial" w:hAnsi="Arial" w:cs="Arial"/>
            <w:sz w:val="22"/>
            <w:szCs w:val="22"/>
          </w:rPr>
          <w:t>https://doi.org/10.3399/BJGPO.2021.0066</w:t>
        </w:r>
      </w:hyperlink>
    </w:p>
    <w:p w14:paraId="4BD7B522"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lastRenderedPageBreak/>
        <w:t xml:space="preserve">Office for National Statistics (2023) </w:t>
      </w:r>
      <w:r w:rsidRPr="00E60876">
        <w:rPr>
          <w:rFonts w:ascii="Arial" w:hAnsi="Arial" w:cs="Arial"/>
          <w:i/>
          <w:iCs/>
          <w:sz w:val="22"/>
          <w:szCs w:val="22"/>
        </w:rPr>
        <w:t>Inequalities in Accident and Emergency department attendance, England: March 2021 to March 2022</w:t>
      </w:r>
      <w:r w:rsidRPr="00E60876">
        <w:rPr>
          <w:rFonts w:ascii="Arial" w:hAnsi="Arial" w:cs="Arial"/>
          <w:sz w:val="22"/>
          <w:szCs w:val="22"/>
        </w:rPr>
        <w:t xml:space="preserve">. London: Office for National Statistics. Available at: </w:t>
      </w:r>
      <w:hyperlink r:id="rId99" w:history="1">
        <w:r w:rsidRPr="00E60876">
          <w:rPr>
            <w:rStyle w:val="Hyperlink"/>
            <w:rFonts w:ascii="Arial" w:hAnsi="Arial" w:cs="Arial"/>
            <w:sz w:val="22"/>
            <w:szCs w:val="22"/>
          </w:rPr>
          <w:t>https://www.ons.gov.uk/peoplepopulationandcommunity/healthandsocialcare/healthcaresystem/articles/inequalitiesinaccidentandemergencydepartmentattendanceengland/march2021tomarch2022</w:t>
        </w:r>
      </w:hyperlink>
    </w:p>
    <w:p w14:paraId="2D4CBDAF"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O’Keeffe,</w:t>
      </w:r>
      <w:r w:rsidRPr="00E60876">
        <w:rPr>
          <w:rFonts w:ascii="Arial" w:hAnsi="Arial" w:cs="Arial"/>
          <w:sz w:val="22"/>
          <w:szCs w:val="22"/>
        </w:rPr>
        <w:br/>
        <w:t>C., Mason, S., Jacques, R. and Nicholl, J. (2018) ‘Characterising non-urgent</w:t>
      </w:r>
      <w:r w:rsidRPr="00E60876">
        <w:rPr>
          <w:rFonts w:ascii="Arial" w:hAnsi="Arial" w:cs="Arial"/>
          <w:sz w:val="22"/>
          <w:szCs w:val="22"/>
        </w:rPr>
        <w:br/>
        <w:t>users of the emergency department (ED): a retrospective analysis of routine ED</w:t>
      </w:r>
      <w:r w:rsidRPr="00E60876">
        <w:rPr>
          <w:rFonts w:ascii="Arial" w:hAnsi="Arial" w:cs="Arial"/>
          <w:sz w:val="22"/>
          <w:szCs w:val="22"/>
        </w:rPr>
        <w:br/>
        <w:t xml:space="preserve">data’, </w:t>
      </w:r>
      <w:r w:rsidRPr="00E60876">
        <w:rPr>
          <w:rFonts w:ascii="Arial" w:hAnsi="Arial" w:cs="Arial"/>
          <w:i/>
          <w:iCs/>
          <w:sz w:val="22"/>
          <w:szCs w:val="22"/>
        </w:rPr>
        <w:t>PLoS ONE</w:t>
      </w:r>
      <w:r w:rsidRPr="00E60876">
        <w:rPr>
          <w:rFonts w:ascii="Arial" w:hAnsi="Arial" w:cs="Arial"/>
          <w:sz w:val="22"/>
          <w:szCs w:val="22"/>
        </w:rPr>
        <w:t xml:space="preserve">, 13(2), e0192855. Available at: </w:t>
      </w:r>
      <w:hyperlink r:id="rId100" w:history="1">
        <w:r w:rsidRPr="00E60876">
          <w:rPr>
            <w:rStyle w:val="Hyperlink"/>
            <w:rFonts w:ascii="Arial" w:hAnsi="Arial" w:cs="Arial"/>
            <w:sz w:val="22"/>
            <w:szCs w:val="22"/>
          </w:rPr>
          <w:t>https://doi.org/10.1371/journal.pone.0192855</w:t>
        </w:r>
      </w:hyperlink>
    </w:p>
    <w:p w14:paraId="74159E5D"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Page,</w:t>
      </w:r>
      <w:r w:rsidRPr="00E60876">
        <w:rPr>
          <w:rFonts w:ascii="Arial" w:hAnsi="Arial" w:cs="Arial"/>
          <w:sz w:val="22"/>
          <w:szCs w:val="22"/>
        </w:rPr>
        <w:br/>
        <w:t>M.J., McKenzie, J.E., Bossuyt, P.M., Boutron, I., Hoffmann, T.C., Mulrow, C.D.,</w:t>
      </w:r>
      <w:r w:rsidRPr="00E60876">
        <w:rPr>
          <w:rFonts w:ascii="Arial" w:hAnsi="Arial" w:cs="Arial"/>
          <w:sz w:val="22"/>
          <w:szCs w:val="22"/>
        </w:rPr>
        <w:br/>
        <w:t>Shamseer, L., Tetzlaff, J.M., Akl, E.A., Brennan, S.E., Chou, R., Gluud, C.,</w:t>
      </w:r>
      <w:r w:rsidRPr="00E60876">
        <w:rPr>
          <w:rFonts w:ascii="Arial" w:hAnsi="Arial" w:cs="Arial"/>
          <w:sz w:val="22"/>
          <w:szCs w:val="22"/>
        </w:rPr>
        <w:br/>
        <w:t>Mayo-Wilson, E., McDonald, S., McGuinness, L.A., Stewart, L.A., Thomas, J.,</w:t>
      </w:r>
      <w:r w:rsidRPr="00E60876">
        <w:rPr>
          <w:rFonts w:ascii="Arial" w:hAnsi="Arial" w:cs="Arial"/>
          <w:sz w:val="22"/>
          <w:szCs w:val="22"/>
        </w:rPr>
        <w:br/>
        <w:t>Tricco, A.C., Welch, V.A., Whiting, P. and Moher, D. (2021) ‘The PRISMA 2020</w:t>
      </w:r>
      <w:r w:rsidRPr="00E60876">
        <w:rPr>
          <w:rFonts w:ascii="Arial" w:hAnsi="Arial" w:cs="Arial"/>
          <w:sz w:val="22"/>
          <w:szCs w:val="22"/>
        </w:rPr>
        <w:br/>
        <w:t xml:space="preserve">statement: an updated guideline for reporting systematic reviews’, </w:t>
      </w:r>
      <w:r w:rsidRPr="00E60876">
        <w:rPr>
          <w:rFonts w:ascii="Arial" w:hAnsi="Arial" w:cs="Arial"/>
          <w:i/>
          <w:iCs/>
          <w:sz w:val="22"/>
          <w:szCs w:val="22"/>
        </w:rPr>
        <w:t>BMJ</w:t>
      </w:r>
      <w:r w:rsidRPr="00E60876">
        <w:rPr>
          <w:rFonts w:ascii="Arial" w:hAnsi="Arial" w:cs="Arial"/>
          <w:sz w:val="22"/>
          <w:szCs w:val="22"/>
        </w:rPr>
        <w:t>,</w:t>
      </w:r>
      <w:r w:rsidRPr="00E60876">
        <w:rPr>
          <w:rFonts w:ascii="Arial" w:hAnsi="Arial" w:cs="Arial"/>
          <w:sz w:val="22"/>
          <w:szCs w:val="22"/>
        </w:rPr>
        <w:br/>
        <w:t xml:space="preserve">372, n71. Available at: </w:t>
      </w:r>
      <w:hyperlink r:id="rId101" w:history="1">
        <w:r w:rsidRPr="00E60876">
          <w:rPr>
            <w:rStyle w:val="Hyperlink"/>
            <w:rFonts w:ascii="Arial" w:hAnsi="Arial" w:cs="Arial"/>
            <w:sz w:val="22"/>
            <w:szCs w:val="22"/>
          </w:rPr>
          <w:t>https://doi.org/10.1136/bmj.n71</w:t>
        </w:r>
      </w:hyperlink>
    </w:p>
    <w:p w14:paraId="7C695409"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Parker, R.F., Figures, E.L., Paddison, C.A.M., Matheson, J.I.D., Blane, D. and Ford, J. (2021) ‘Inequalities in general practice remote consultations: a systematic review’, </w:t>
      </w:r>
      <w:r w:rsidRPr="00E60876">
        <w:rPr>
          <w:rFonts w:ascii="Arial" w:hAnsi="Arial" w:cs="Arial"/>
          <w:i/>
          <w:iCs/>
          <w:sz w:val="22"/>
          <w:szCs w:val="22"/>
        </w:rPr>
        <w:t>BJGP Open</w:t>
      </w:r>
      <w:r w:rsidRPr="00E60876">
        <w:rPr>
          <w:rFonts w:ascii="Arial" w:hAnsi="Arial" w:cs="Arial"/>
          <w:sz w:val="22"/>
          <w:szCs w:val="22"/>
        </w:rPr>
        <w:t xml:space="preserve">, 5(3), BJGPO.2021.0040. Available at: </w:t>
      </w:r>
      <w:hyperlink r:id="rId102" w:history="1">
        <w:r w:rsidRPr="00E60876">
          <w:rPr>
            <w:rStyle w:val="Hyperlink"/>
            <w:rFonts w:ascii="Arial" w:hAnsi="Arial" w:cs="Arial"/>
            <w:sz w:val="22"/>
            <w:szCs w:val="22"/>
          </w:rPr>
          <w:t>https://doi.org/10.3399/BJGPO.2021.0040</w:t>
        </w:r>
      </w:hyperlink>
    </w:p>
    <w:p w14:paraId="6FC9E004"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Parkinson,</w:t>
      </w:r>
      <w:r w:rsidRPr="00E60876">
        <w:rPr>
          <w:rFonts w:ascii="Arial" w:hAnsi="Arial" w:cs="Arial"/>
          <w:sz w:val="22"/>
          <w:szCs w:val="22"/>
        </w:rPr>
        <w:br/>
        <w:t>B., Meacock, R., Checkland, K., Sutton, M. and Spooner, S. (2021) ‘How</w:t>
      </w:r>
      <w:r w:rsidRPr="00E60876">
        <w:rPr>
          <w:rFonts w:ascii="Arial" w:hAnsi="Arial" w:cs="Arial"/>
          <w:sz w:val="22"/>
          <w:szCs w:val="22"/>
        </w:rPr>
        <w:br/>
        <w:t>sensitive are avoidable emergency department attendances to primary care</w:t>
      </w:r>
      <w:r w:rsidRPr="00E60876">
        <w:rPr>
          <w:rFonts w:ascii="Arial" w:hAnsi="Arial" w:cs="Arial"/>
          <w:sz w:val="22"/>
          <w:szCs w:val="22"/>
        </w:rPr>
        <w:br/>
        <w:t xml:space="preserve">quality? Retrospective observational study’, </w:t>
      </w:r>
      <w:r w:rsidRPr="00E60876">
        <w:rPr>
          <w:rFonts w:ascii="Arial" w:hAnsi="Arial" w:cs="Arial"/>
          <w:i/>
          <w:iCs/>
          <w:sz w:val="22"/>
          <w:szCs w:val="22"/>
        </w:rPr>
        <w:t>British Journal of General</w:t>
      </w:r>
      <w:r w:rsidRPr="00E60876">
        <w:rPr>
          <w:rFonts w:ascii="Arial" w:hAnsi="Arial" w:cs="Arial"/>
          <w:i/>
          <w:iCs/>
          <w:sz w:val="22"/>
          <w:szCs w:val="22"/>
        </w:rPr>
        <w:br/>
        <w:t>Practice</w:t>
      </w:r>
      <w:r w:rsidRPr="00E60876">
        <w:rPr>
          <w:rFonts w:ascii="Arial" w:hAnsi="Arial" w:cs="Arial"/>
          <w:sz w:val="22"/>
          <w:szCs w:val="22"/>
        </w:rPr>
        <w:t xml:space="preserve">, 71(706), pp. e333–e341. Available at: </w:t>
      </w:r>
      <w:hyperlink r:id="rId103" w:history="1">
        <w:r w:rsidRPr="00E60876">
          <w:rPr>
            <w:rStyle w:val="Hyperlink"/>
            <w:rFonts w:ascii="Arial" w:hAnsi="Arial" w:cs="Arial"/>
            <w:sz w:val="22"/>
            <w:szCs w:val="22"/>
          </w:rPr>
          <w:t>https://doi.org/10.3399/BJGP.2020.0702</w:t>
        </w:r>
      </w:hyperlink>
    </w:p>
    <w:p w14:paraId="2EA3F84F"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Penchansky,</w:t>
      </w:r>
      <w:r w:rsidRPr="00E60876">
        <w:rPr>
          <w:rFonts w:ascii="Arial" w:hAnsi="Arial" w:cs="Arial"/>
          <w:sz w:val="22"/>
          <w:szCs w:val="22"/>
        </w:rPr>
        <w:br/>
        <w:t>R. and Thomas, J.W. (1981) ‘The concept of access: definition and relationship</w:t>
      </w:r>
      <w:r w:rsidRPr="00E60876">
        <w:rPr>
          <w:rFonts w:ascii="Arial" w:hAnsi="Arial" w:cs="Arial"/>
          <w:sz w:val="22"/>
          <w:szCs w:val="22"/>
        </w:rPr>
        <w:br/>
        <w:t xml:space="preserve">to consumer satisfaction’, </w:t>
      </w:r>
      <w:r w:rsidRPr="00E60876">
        <w:rPr>
          <w:rFonts w:ascii="Arial" w:hAnsi="Arial" w:cs="Arial"/>
          <w:i/>
          <w:iCs/>
          <w:sz w:val="22"/>
          <w:szCs w:val="22"/>
        </w:rPr>
        <w:t>Medical Care</w:t>
      </w:r>
      <w:r w:rsidRPr="00E60876">
        <w:rPr>
          <w:rFonts w:ascii="Arial" w:hAnsi="Arial" w:cs="Arial"/>
          <w:sz w:val="22"/>
          <w:szCs w:val="22"/>
        </w:rPr>
        <w:t>, 19(2), pp. 127–140. Available</w:t>
      </w:r>
      <w:r w:rsidRPr="00E60876">
        <w:rPr>
          <w:rFonts w:ascii="Arial" w:hAnsi="Arial" w:cs="Arial"/>
          <w:sz w:val="22"/>
          <w:szCs w:val="22"/>
        </w:rPr>
        <w:br/>
        <w:t xml:space="preserve">at: </w:t>
      </w:r>
      <w:hyperlink r:id="rId104" w:history="1">
        <w:r w:rsidRPr="00E60876">
          <w:rPr>
            <w:rStyle w:val="Hyperlink"/>
            <w:rFonts w:ascii="Arial" w:hAnsi="Arial" w:cs="Arial"/>
            <w:sz w:val="22"/>
            <w:szCs w:val="22"/>
          </w:rPr>
          <w:t>https://doi.org/10.1097/00005650-198102000-00001</w:t>
        </w:r>
      </w:hyperlink>
    </w:p>
    <w:p w14:paraId="6379B61B"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Phelan,</w:t>
      </w:r>
      <w:r w:rsidRPr="00E60876">
        <w:rPr>
          <w:rFonts w:ascii="Arial" w:hAnsi="Arial" w:cs="Arial"/>
          <w:sz w:val="22"/>
          <w:szCs w:val="22"/>
        </w:rPr>
        <w:br/>
        <w:t>J.C., Link, B.G. and Tehranifar, P. (2010) ‘Social conditions as fundamental</w:t>
      </w:r>
      <w:r w:rsidRPr="00E60876">
        <w:rPr>
          <w:rFonts w:ascii="Arial" w:hAnsi="Arial" w:cs="Arial"/>
          <w:sz w:val="22"/>
          <w:szCs w:val="22"/>
        </w:rPr>
        <w:br/>
        <w:t xml:space="preserve">causes of health inequalities: theory, evidence, and policy implications’, </w:t>
      </w:r>
      <w:r w:rsidRPr="00E60876">
        <w:rPr>
          <w:rFonts w:ascii="Arial" w:hAnsi="Arial" w:cs="Arial"/>
          <w:i/>
          <w:iCs/>
          <w:sz w:val="22"/>
          <w:szCs w:val="22"/>
        </w:rPr>
        <w:t>Journal</w:t>
      </w:r>
      <w:r w:rsidRPr="00E60876">
        <w:rPr>
          <w:rFonts w:ascii="Arial" w:hAnsi="Arial" w:cs="Arial"/>
          <w:i/>
          <w:iCs/>
          <w:sz w:val="22"/>
          <w:szCs w:val="22"/>
        </w:rPr>
        <w:br/>
        <w:t>of Health and Social Behaviour</w:t>
      </w:r>
      <w:r w:rsidRPr="00E60876">
        <w:rPr>
          <w:rFonts w:ascii="Arial" w:hAnsi="Arial" w:cs="Arial"/>
          <w:sz w:val="22"/>
          <w:szCs w:val="22"/>
        </w:rPr>
        <w:t xml:space="preserve">, 51(S), pp. S28–S40. Available at: </w:t>
      </w:r>
      <w:hyperlink r:id="rId105" w:history="1">
        <w:r w:rsidRPr="00E60876">
          <w:rPr>
            <w:rStyle w:val="Hyperlink"/>
            <w:rFonts w:ascii="Arial" w:hAnsi="Arial" w:cs="Arial"/>
            <w:sz w:val="22"/>
            <w:szCs w:val="22"/>
          </w:rPr>
          <w:t>https://doi.org/10.1177/0022146510383498</w:t>
        </w:r>
      </w:hyperlink>
    </w:p>
    <w:p w14:paraId="4F4C079E"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lastRenderedPageBreak/>
        <w:t>Pope,</w:t>
      </w:r>
      <w:r w:rsidRPr="00E60876">
        <w:rPr>
          <w:rFonts w:ascii="Arial" w:hAnsi="Arial" w:cs="Arial"/>
          <w:sz w:val="22"/>
          <w:szCs w:val="22"/>
        </w:rPr>
        <w:br/>
        <w:t xml:space="preserve">C., Mays, N. and Popay, J. (2007) </w:t>
      </w:r>
      <w:r w:rsidRPr="00E60876">
        <w:rPr>
          <w:rFonts w:ascii="Arial" w:hAnsi="Arial" w:cs="Arial"/>
          <w:i/>
          <w:iCs/>
          <w:sz w:val="22"/>
          <w:szCs w:val="22"/>
        </w:rPr>
        <w:t>Synthesising qualitative and quantitative</w:t>
      </w:r>
      <w:r w:rsidRPr="00E60876">
        <w:rPr>
          <w:rFonts w:ascii="Arial" w:hAnsi="Arial" w:cs="Arial"/>
          <w:i/>
          <w:iCs/>
          <w:sz w:val="22"/>
          <w:szCs w:val="22"/>
        </w:rPr>
        <w:br/>
        <w:t>health evidence: a guide to methods</w:t>
      </w:r>
      <w:r w:rsidRPr="00E60876">
        <w:rPr>
          <w:rFonts w:ascii="Arial" w:hAnsi="Arial" w:cs="Arial"/>
          <w:sz w:val="22"/>
          <w:szCs w:val="22"/>
        </w:rPr>
        <w:t>. Maidenhead: Open University Press.</w:t>
      </w:r>
      <w:r w:rsidRPr="00E60876">
        <w:rPr>
          <w:rFonts w:ascii="Arial" w:hAnsi="Arial" w:cs="Arial"/>
          <w:sz w:val="22"/>
          <w:szCs w:val="22"/>
        </w:rPr>
        <w:br/>
        <w:t xml:space="preserve">Available at: </w:t>
      </w:r>
      <w:hyperlink r:id="rId106" w:history="1">
        <w:r w:rsidRPr="00E60876">
          <w:rPr>
            <w:rStyle w:val="Hyperlink"/>
            <w:rFonts w:ascii="Arial" w:hAnsi="Arial" w:cs="Arial"/>
            <w:sz w:val="22"/>
            <w:szCs w:val="22"/>
          </w:rPr>
          <w:t>https://www.mheducation.co.uk/synthesising-qualitative-and-quantitative-health-evidence-9780335219360-emea</w:t>
        </w:r>
      </w:hyperlink>
    </w:p>
    <w:p w14:paraId="32CD2220"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Potter,</w:t>
      </w:r>
      <w:r w:rsidRPr="00E60876">
        <w:rPr>
          <w:rFonts w:ascii="Arial" w:hAnsi="Arial" w:cs="Arial"/>
          <w:sz w:val="22"/>
          <w:szCs w:val="22"/>
        </w:rPr>
        <w:br/>
        <w:t>L.C., Stone, T., Swede, J., Connell, F., Cramer, H., McGeown, H., Carvalho, M.,</w:t>
      </w:r>
      <w:r w:rsidRPr="00E60876">
        <w:rPr>
          <w:rFonts w:ascii="Arial" w:hAnsi="Arial" w:cs="Arial"/>
          <w:sz w:val="22"/>
          <w:szCs w:val="22"/>
        </w:rPr>
        <w:br/>
        <w:t>Horwood, J., Feder, G. and Farr, M. (2024) ‘Improving access to general</w:t>
      </w:r>
      <w:r w:rsidRPr="00E60876">
        <w:rPr>
          <w:rFonts w:ascii="Arial" w:hAnsi="Arial" w:cs="Arial"/>
          <w:sz w:val="22"/>
          <w:szCs w:val="22"/>
        </w:rPr>
        <w:br/>
        <w:t>practice for and with people with severe and multiple disadvantage: a</w:t>
      </w:r>
      <w:r w:rsidRPr="00E60876">
        <w:rPr>
          <w:rFonts w:ascii="Arial" w:hAnsi="Arial" w:cs="Arial"/>
          <w:sz w:val="22"/>
          <w:szCs w:val="22"/>
        </w:rPr>
        <w:br/>
        <w:t xml:space="preserve">qualitative study’, </w:t>
      </w:r>
      <w:r w:rsidRPr="00E60876">
        <w:rPr>
          <w:rFonts w:ascii="Arial" w:hAnsi="Arial" w:cs="Arial"/>
          <w:i/>
          <w:iCs/>
          <w:sz w:val="22"/>
          <w:szCs w:val="22"/>
        </w:rPr>
        <w:t>British Journal of General Practice</w:t>
      </w:r>
      <w:r w:rsidRPr="00E60876">
        <w:rPr>
          <w:rFonts w:ascii="Arial" w:hAnsi="Arial" w:cs="Arial"/>
          <w:sz w:val="22"/>
          <w:szCs w:val="22"/>
        </w:rPr>
        <w:t>, 74(742), pp.</w:t>
      </w:r>
      <w:r w:rsidRPr="00E60876">
        <w:rPr>
          <w:rFonts w:ascii="Arial" w:hAnsi="Arial" w:cs="Arial"/>
          <w:sz w:val="22"/>
          <w:szCs w:val="22"/>
        </w:rPr>
        <w:br/>
        <w:t xml:space="preserve">e330–e338. Available at: </w:t>
      </w:r>
      <w:hyperlink r:id="rId107" w:history="1">
        <w:r w:rsidRPr="00E60876">
          <w:rPr>
            <w:rStyle w:val="Hyperlink"/>
            <w:rFonts w:ascii="Arial" w:hAnsi="Arial" w:cs="Arial"/>
            <w:sz w:val="22"/>
            <w:szCs w:val="22"/>
          </w:rPr>
          <w:t>https://doi.org/10.3399/BJGP.2023.0244</w:t>
        </w:r>
      </w:hyperlink>
    </w:p>
    <w:p w14:paraId="02A2E46B"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Price,</w:t>
      </w:r>
      <w:r w:rsidRPr="00E60876">
        <w:rPr>
          <w:rFonts w:ascii="Arial" w:hAnsi="Arial" w:cs="Arial"/>
          <w:sz w:val="22"/>
          <w:szCs w:val="22"/>
        </w:rPr>
        <w:br/>
        <w:t>D., Edwards, M., Davies, F., Cooper, A., McFadzean, J., Carson-Stevens, A.,</w:t>
      </w:r>
      <w:r w:rsidRPr="00E60876">
        <w:rPr>
          <w:rFonts w:ascii="Arial" w:hAnsi="Arial" w:cs="Arial"/>
          <w:sz w:val="22"/>
          <w:szCs w:val="22"/>
        </w:rPr>
        <w:br/>
        <w:t>Cooke, M., Dale, J., Evans, B.A., Harrington, B., Hepburn, J., Siriwardena,</w:t>
      </w:r>
      <w:r w:rsidRPr="00E60876">
        <w:rPr>
          <w:rFonts w:ascii="Arial" w:hAnsi="Arial" w:cs="Arial"/>
          <w:sz w:val="22"/>
          <w:szCs w:val="22"/>
        </w:rPr>
        <w:br/>
        <w:t>A.N., Snooks, H. and Edwards, A. (2022) ‘Patients’ experiences of attending</w:t>
      </w:r>
      <w:r w:rsidRPr="00E60876">
        <w:rPr>
          <w:rFonts w:ascii="Arial" w:hAnsi="Arial" w:cs="Arial"/>
          <w:sz w:val="22"/>
          <w:szCs w:val="22"/>
        </w:rPr>
        <w:br/>
        <w:t>emergency departments where primary care services are located: qualitative</w:t>
      </w:r>
      <w:r w:rsidRPr="00E60876">
        <w:rPr>
          <w:rFonts w:ascii="Arial" w:hAnsi="Arial" w:cs="Arial"/>
          <w:sz w:val="22"/>
          <w:szCs w:val="22"/>
        </w:rPr>
        <w:br/>
        <w:t xml:space="preserve">findings from patient and clinician interviews from a realist evaluation’, </w:t>
      </w:r>
      <w:r w:rsidRPr="00E60876">
        <w:rPr>
          <w:rFonts w:ascii="Arial" w:hAnsi="Arial" w:cs="Arial"/>
          <w:i/>
          <w:iCs/>
          <w:sz w:val="22"/>
          <w:szCs w:val="22"/>
        </w:rPr>
        <w:t>BMC</w:t>
      </w:r>
      <w:r w:rsidRPr="00E60876">
        <w:rPr>
          <w:rFonts w:ascii="Arial" w:hAnsi="Arial" w:cs="Arial"/>
          <w:i/>
          <w:iCs/>
          <w:sz w:val="22"/>
          <w:szCs w:val="22"/>
        </w:rPr>
        <w:br/>
        <w:t>Emergency Medicine</w:t>
      </w:r>
      <w:r w:rsidRPr="00E60876">
        <w:rPr>
          <w:rFonts w:ascii="Arial" w:hAnsi="Arial" w:cs="Arial"/>
          <w:sz w:val="22"/>
          <w:szCs w:val="22"/>
        </w:rPr>
        <w:t xml:space="preserve">, 22(1), 12. Available at: </w:t>
      </w:r>
      <w:hyperlink r:id="rId108" w:history="1">
        <w:r w:rsidRPr="00E60876">
          <w:rPr>
            <w:rStyle w:val="Hyperlink"/>
            <w:rFonts w:ascii="Arial" w:hAnsi="Arial" w:cs="Arial"/>
            <w:sz w:val="22"/>
            <w:szCs w:val="22"/>
          </w:rPr>
          <w:t>https://doi.org/10.1186/s12873-021-00562-9</w:t>
        </w:r>
      </w:hyperlink>
    </w:p>
    <w:p w14:paraId="3E219897"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Purdy,</w:t>
      </w:r>
      <w:r w:rsidRPr="00E60876">
        <w:rPr>
          <w:rFonts w:ascii="Arial" w:hAnsi="Arial" w:cs="Arial"/>
          <w:sz w:val="22"/>
          <w:szCs w:val="22"/>
        </w:rPr>
        <w:br/>
        <w:t xml:space="preserve">S. (2010) </w:t>
      </w:r>
      <w:r w:rsidRPr="00E60876">
        <w:rPr>
          <w:rFonts w:ascii="Arial" w:hAnsi="Arial" w:cs="Arial"/>
          <w:i/>
          <w:iCs/>
          <w:sz w:val="22"/>
          <w:szCs w:val="22"/>
        </w:rPr>
        <w:t>Avoiding hospital admissions: what does the research evidence say?</w:t>
      </w:r>
      <w:r w:rsidRPr="00E60876">
        <w:rPr>
          <w:rFonts w:ascii="Arial" w:hAnsi="Arial" w:cs="Arial"/>
          <w:sz w:val="22"/>
          <w:szCs w:val="22"/>
        </w:rPr>
        <w:br/>
        <w:t xml:space="preserve">London: The King’s Fund. Available at: </w:t>
      </w:r>
      <w:hyperlink r:id="rId109" w:history="1">
        <w:r w:rsidRPr="00E60876">
          <w:rPr>
            <w:rStyle w:val="Hyperlink"/>
            <w:rFonts w:ascii="Arial" w:hAnsi="Arial" w:cs="Arial"/>
            <w:sz w:val="22"/>
            <w:szCs w:val="22"/>
          </w:rPr>
          <w:t>https://www.kingsfund.org.uk/publications/avoiding-hospital-admissions</w:t>
        </w:r>
      </w:hyperlink>
    </w:p>
    <w:p w14:paraId="29E7A9C8"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Roland,</w:t>
      </w:r>
      <w:r w:rsidRPr="00E60876">
        <w:rPr>
          <w:rFonts w:ascii="Arial" w:hAnsi="Arial" w:cs="Arial"/>
          <w:sz w:val="22"/>
          <w:szCs w:val="22"/>
        </w:rPr>
        <w:br/>
        <w:t>M. and Abel, G. (2012) ‘Reducing emergency admissions: are we on the right</w:t>
      </w:r>
      <w:r w:rsidRPr="00E60876">
        <w:rPr>
          <w:rFonts w:ascii="Arial" w:hAnsi="Arial" w:cs="Arial"/>
          <w:sz w:val="22"/>
          <w:szCs w:val="22"/>
        </w:rPr>
        <w:br/>
        <w:t xml:space="preserve">track?’, </w:t>
      </w:r>
      <w:r w:rsidRPr="00E60876">
        <w:rPr>
          <w:rFonts w:ascii="Arial" w:hAnsi="Arial" w:cs="Arial"/>
          <w:i/>
          <w:iCs/>
          <w:sz w:val="22"/>
          <w:szCs w:val="22"/>
        </w:rPr>
        <w:t>BMJ</w:t>
      </w:r>
      <w:r w:rsidRPr="00E60876">
        <w:rPr>
          <w:rFonts w:ascii="Arial" w:hAnsi="Arial" w:cs="Arial"/>
          <w:sz w:val="22"/>
          <w:szCs w:val="22"/>
        </w:rPr>
        <w:t xml:space="preserve">, 345, e6017. Available at: </w:t>
      </w:r>
      <w:hyperlink r:id="rId110" w:history="1">
        <w:r w:rsidRPr="00E60876">
          <w:rPr>
            <w:rStyle w:val="Hyperlink"/>
            <w:rFonts w:ascii="Arial" w:hAnsi="Arial" w:cs="Arial"/>
            <w:sz w:val="22"/>
            <w:szCs w:val="22"/>
          </w:rPr>
          <w:t>https://doi.org/10.1136/bmj.e6017</w:t>
        </w:r>
      </w:hyperlink>
    </w:p>
    <w:p w14:paraId="37692EBB"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Ruggiano,</w:t>
      </w:r>
      <w:r w:rsidRPr="00E60876">
        <w:rPr>
          <w:rFonts w:ascii="Arial" w:hAnsi="Arial" w:cs="Arial"/>
          <w:sz w:val="22"/>
          <w:szCs w:val="22"/>
        </w:rPr>
        <w:br/>
        <w:t>N. and Perry, T.E. (2019) ‘Conducting secondary analysis of qualitative data:</w:t>
      </w:r>
      <w:r w:rsidRPr="00E60876">
        <w:rPr>
          <w:rFonts w:ascii="Arial" w:hAnsi="Arial" w:cs="Arial"/>
          <w:sz w:val="22"/>
          <w:szCs w:val="22"/>
        </w:rPr>
        <w:br/>
        <w:t xml:space="preserve">should we, can we, and how?’, </w:t>
      </w:r>
      <w:r w:rsidRPr="00E60876">
        <w:rPr>
          <w:rFonts w:ascii="Arial" w:hAnsi="Arial" w:cs="Arial"/>
          <w:i/>
          <w:iCs/>
          <w:sz w:val="22"/>
          <w:szCs w:val="22"/>
        </w:rPr>
        <w:t>Qualitative Social Work</w:t>
      </w:r>
      <w:r w:rsidRPr="00E60876">
        <w:rPr>
          <w:rFonts w:ascii="Arial" w:hAnsi="Arial" w:cs="Arial"/>
          <w:sz w:val="22"/>
          <w:szCs w:val="22"/>
        </w:rPr>
        <w:t>, 18(1), pp. 81–97.</w:t>
      </w:r>
      <w:r w:rsidRPr="00E60876">
        <w:rPr>
          <w:rFonts w:ascii="Arial" w:hAnsi="Arial" w:cs="Arial"/>
          <w:sz w:val="22"/>
          <w:szCs w:val="22"/>
        </w:rPr>
        <w:br/>
        <w:t xml:space="preserve">Available at: </w:t>
      </w:r>
      <w:hyperlink r:id="rId111" w:history="1">
        <w:r w:rsidRPr="00E60876">
          <w:rPr>
            <w:rStyle w:val="Hyperlink"/>
            <w:rFonts w:ascii="Arial" w:hAnsi="Arial" w:cs="Arial"/>
            <w:sz w:val="22"/>
            <w:szCs w:val="22"/>
          </w:rPr>
          <w:t>https://doi.org/10.1177/1473325017700701</w:t>
        </w:r>
      </w:hyperlink>
    </w:p>
    <w:p w14:paraId="593283F0"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Salisbury,</w:t>
      </w:r>
      <w:r w:rsidRPr="00E60876">
        <w:rPr>
          <w:rFonts w:ascii="Arial" w:hAnsi="Arial" w:cs="Arial"/>
          <w:sz w:val="22"/>
          <w:szCs w:val="22"/>
        </w:rPr>
        <w:br/>
        <w:t>C., Burgess, A., Lattimer, V., Heaney, D., Walker, J., Turnbull, J. and Smith,</w:t>
      </w:r>
      <w:r w:rsidRPr="00E60876">
        <w:rPr>
          <w:rFonts w:ascii="Arial" w:hAnsi="Arial" w:cs="Arial"/>
          <w:sz w:val="22"/>
          <w:szCs w:val="22"/>
        </w:rPr>
        <w:br/>
        <w:t>H. (2005) ‘Developing a standard short observation framework for measuring the</w:t>
      </w:r>
      <w:r w:rsidRPr="00E60876">
        <w:rPr>
          <w:rFonts w:ascii="Arial" w:hAnsi="Arial" w:cs="Arial"/>
          <w:sz w:val="22"/>
          <w:szCs w:val="22"/>
        </w:rPr>
        <w:br/>
        <w:t xml:space="preserve">content and quality of primary care out-of-hours consultations’, </w:t>
      </w:r>
      <w:r w:rsidRPr="00E60876">
        <w:rPr>
          <w:rFonts w:ascii="Arial" w:hAnsi="Arial" w:cs="Arial"/>
          <w:i/>
          <w:iCs/>
          <w:sz w:val="22"/>
          <w:szCs w:val="22"/>
        </w:rPr>
        <w:t>British</w:t>
      </w:r>
      <w:r w:rsidRPr="00E60876">
        <w:rPr>
          <w:rFonts w:ascii="Arial" w:hAnsi="Arial" w:cs="Arial"/>
          <w:i/>
          <w:iCs/>
          <w:sz w:val="22"/>
          <w:szCs w:val="22"/>
        </w:rPr>
        <w:br/>
      </w:r>
      <w:r w:rsidRPr="00E60876">
        <w:rPr>
          <w:rFonts w:ascii="Arial" w:hAnsi="Arial" w:cs="Arial"/>
          <w:i/>
          <w:iCs/>
          <w:sz w:val="22"/>
          <w:szCs w:val="22"/>
        </w:rPr>
        <w:lastRenderedPageBreak/>
        <w:t>Journal of General Practice</w:t>
      </w:r>
      <w:r w:rsidRPr="00E60876">
        <w:rPr>
          <w:rFonts w:ascii="Arial" w:hAnsi="Arial" w:cs="Arial"/>
          <w:sz w:val="22"/>
          <w:szCs w:val="22"/>
        </w:rPr>
        <w:t xml:space="preserve">, 55(511), pp. 150–158. Available at: </w:t>
      </w:r>
      <w:hyperlink r:id="rId112" w:history="1">
        <w:r w:rsidRPr="00E60876">
          <w:rPr>
            <w:rStyle w:val="Hyperlink"/>
            <w:rFonts w:ascii="Arial" w:hAnsi="Arial" w:cs="Arial"/>
            <w:sz w:val="22"/>
            <w:szCs w:val="22"/>
          </w:rPr>
          <w:t>https://pubmed.ncbi.nlm.nih.gov/15720953/</w:t>
        </w:r>
      </w:hyperlink>
    </w:p>
    <w:p w14:paraId="01FC7D63"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Saunders,</w:t>
      </w:r>
      <w:r w:rsidRPr="00E60876">
        <w:rPr>
          <w:rFonts w:ascii="Arial" w:hAnsi="Arial" w:cs="Arial"/>
          <w:sz w:val="22"/>
          <w:szCs w:val="22"/>
        </w:rPr>
        <w:br/>
        <w:t>C.L., Flynn, S., Massou, E., Lyratzopoulos, G., Abel, G. and Burt, J. (2021)</w:t>
      </w:r>
      <w:r w:rsidRPr="00E60876">
        <w:rPr>
          <w:rFonts w:ascii="Arial" w:hAnsi="Arial" w:cs="Arial"/>
          <w:sz w:val="22"/>
          <w:szCs w:val="22"/>
        </w:rPr>
        <w:br/>
        <w:t>‘Sociodemographic inequalities in patients’ experiences of primary care: an</w:t>
      </w:r>
      <w:r w:rsidRPr="00E60876">
        <w:rPr>
          <w:rFonts w:ascii="Arial" w:hAnsi="Arial" w:cs="Arial"/>
          <w:sz w:val="22"/>
          <w:szCs w:val="22"/>
        </w:rPr>
        <w:br/>
        <w:t>analysis of the General Practice Patient Survey in England between 2011 and</w:t>
      </w:r>
      <w:r w:rsidRPr="00E60876">
        <w:rPr>
          <w:rFonts w:ascii="Arial" w:hAnsi="Arial" w:cs="Arial"/>
          <w:sz w:val="22"/>
          <w:szCs w:val="22"/>
        </w:rPr>
        <w:br/>
        <w:t xml:space="preserve">2017’, </w:t>
      </w:r>
      <w:r w:rsidRPr="00E60876">
        <w:rPr>
          <w:rFonts w:ascii="Arial" w:hAnsi="Arial" w:cs="Arial"/>
          <w:i/>
          <w:iCs/>
          <w:sz w:val="22"/>
          <w:szCs w:val="22"/>
        </w:rPr>
        <w:t>Journal of Health Services Research and Policy</w:t>
      </w:r>
      <w:r w:rsidRPr="00E60876">
        <w:rPr>
          <w:rFonts w:ascii="Arial" w:hAnsi="Arial" w:cs="Arial"/>
          <w:sz w:val="22"/>
          <w:szCs w:val="22"/>
        </w:rPr>
        <w:t>, 26(3), pp.</w:t>
      </w:r>
      <w:r w:rsidRPr="00E60876">
        <w:rPr>
          <w:rFonts w:ascii="Arial" w:hAnsi="Arial" w:cs="Arial"/>
          <w:sz w:val="22"/>
          <w:szCs w:val="22"/>
        </w:rPr>
        <w:br/>
        <w:t xml:space="preserve">198–207. Available at: </w:t>
      </w:r>
      <w:hyperlink r:id="rId113" w:history="1">
        <w:r w:rsidRPr="00E60876">
          <w:rPr>
            <w:rStyle w:val="Hyperlink"/>
            <w:rFonts w:ascii="Arial" w:hAnsi="Arial" w:cs="Arial"/>
            <w:sz w:val="22"/>
            <w:szCs w:val="22"/>
          </w:rPr>
          <w:t>https://doi.org/10.1177/1355819620986814</w:t>
        </w:r>
      </w:hyperlink>
    </w:p>
    <w:p w14:paraId="4E62E15B"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Scantlebury,</w:t>
      </w:r>
      <w:r w:rsidRPr="00E60876">
        <w:rPr>
          <w:rFonts w:ascii="Arial" w:hAnsi="Arial" w:cs="Arial"/>
          <w:sz w:val="22"/>
          <w:szCs w:val="22"/>
        </w:rPr>
        <w:br/>
        <w:t>R., Rowlands, G. and Durbaba, S. (2025) ‘Socioeconomic deprivation and accident</w:t>
      </w:r>
      <w:r w:rsidRPr="00E60876">
        <w:rPr>
          <w:rFonts w:ascii="Arial" w:hAnsi="Arial" w:cs="Arial"/>
          <w:sz w:val="22"/>
          <w:szCs w:val="22"/>
        </w:rPr>
        <w:br/>
        <w:t>and emergency attendances: cross-sectional analysis of general practices in</w:t>
      </w:r>
      <w:r w:rsidRPr="00E60876">
        <w:rPr>
          <w:rFonts w:ascii="Arial" w:hAnsi="Arial" w:cs="Arial"/>
          <w:sz w:val="22"/>
          <w:szCs w:val="22"/>
        </w:rPr>
        <w:br/>
        <w:t xml:space="preserve">England’, </w:t>
      </w:r>
      <w:r w:rsidRPr="00E60876">
        <w:rPr>
          <w:rFonts w:ascii="Arial" w:hAnsi="Arial" w:cs="Arial"/>
          <w:i/>
          <w:iCs/>
          <w:sz w:val="22"/>
          <w:szCs w:val="22"/>
        </w:rPr>
        <w:t>British Journal of General Practice</w:t>
      </w:r>
      <w:r w:rsidRPr="00E60876">
        <w:rPr>
          <w:rFonts w:ascii="Arial" w:hAnsi="Arial" w:cs="Arial"/>
          <w:sz w:val="22"/>
          <w:szCs w:val="22"/>
        </w:rPr>
        <w:t>, 65(639), pp. e649–e654.</w:t>
      </w:r>
      <w:r w:rsidRPr="00E60876">
        <w:rPr>
          <w:rFonts w:ascii="Arial" w:hAnsi="Arial" w:cs="Arial"/>
          <w:sz w:val="22"/>
          <w:szCs w:val="22"/>
        </w:rPr>
        <w:br/>
        <w:t xml:space="preserve">Available at: </w:t>
      </w:r>
      <w:hyperlink r:id="rId114" w:history="1">
        <w:r w:rsidRPr="00E60876">
          <w:rPr>
            <w:rStyle w:val="Hyperlink"/>
            <w:rFonts w:ascii="Arial" w:hAnsi="Arial" w:cs="Arial"/>
            <w:sz w:val="22"/>
            <w:szCs w:val="22"/>
          </w:rPr>
          <w:t>https://doi.org/10.3399/bjgp15X686893</w:t>
        </w:r>
      </w:hyperlink>
    </w:p>
    <w:p w14:paraId="426C4836"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Schofield,</w:t>
      </w:r>
      <w:r w:rsidRPr="00E60876">
        <w:rPr>
          <w:rFonts w:ascii="Arial" w:hAnsi="Arial" w:cs="Arial"/>
          <w:sz w:val="22"/>
          <w:szCs w:val="22"/>
        </w:rPr>
        <w:br/>
        <w:t>B., Kousoulis, A. and Lewis, T. (2020) ‘How are deprived communities</w:t>
      </w:r>
      <w:r w:rsidRPr="00E60876">
        <w:rPr>
          <w:rFonts w:ascii="Arial" w:hAnsi="Arial" w:cs="Arial"/>
          <w:sz w:val="22"/>
          <w:szCs w:val="22"/>
        </w:rPr>
        <w:br/>
        <w:t xml:space="preserve">experiencing changes to primary care services?’, </w:t>
      </w:r>
      <w:r w:rsidRPr="00E60876">
        <w:rPr>
          <w:rFonts w:ascii="Arial" w:hAnsi="Arial" w:cs="Arial"/>
          <w:i/>
          <w:iCs/>
          <w:sz w:val="22"/>
          <w:szCs w:val="22"/>
        </w:rPr>
        <w:t>London Journal of Primary</w:t>
      </w:r>
      <w:r w:rsidRPr="00E60876">
        <w:rPr>
          <w:rFonts w:ascii="Arial" w:hAnsi="Arial" w:cs="Arial"/>
          <w:i/>
          <w:iCs/>
          <w:sz w:val="22"/>
          <w:szCs w:val="22"/>
        </w:rPr>
        <w:br/>
        <w:t>Care</w:t>
      </w:r>
      <w:r w:rsidRPr="00E60876">
        <w:rPr>
          <w:rFonts w:ascii="Arial" w:hAnsi="Arial" w:cs="Arial"/>
          <w:sz w:val="22"/>
          <w:szCs w:val="22"/>
        </w:rPr>
        <w:t xml:space="preserve">, 12(3), pp. 77–83. Available at: </w:t>
      </w:r>
      <w:hyperlink r:id="rId115" w:history="1">
        <w:r w:rsidRPr="00E60876">
          <w:rPr>
            <w:rStyle w:val="Hyperlink"/>
            <w:rFonts w:ascii="Arial" w:hAnsi="Arial" w:cs="Arial"/>
            <w:sz w:val="22"/>
            <w:szCs w:val="22"/>
          </w:rPr>
          <w:t>https://doi.org/10.1080/17571472.2020.1749466</w:t>
        </w:r>
      </w:hyperlink>
    </w:p>
    <w:p w14:paraId="4F1B1C87"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Shah, E., Fernandes, L., Padmasri, D., Chittoo, N., Ala, Z., Bass, M. and De Preux, L. (2026) ‘Deprivation and primary care network performance: a national cross-sectional study of the Investment and Impact Fund scheme’, </w:t>
      </w:r>
      <w:r w:rsidRPr="00E60876">
        <w:rPr>
          <w:rFonts w:ascii="Arial" w:hAnsi="Arial" w:cs="Arial"/>
          <w:i/>
          <w:iCs/>
          <w:sz w:val="22"/>
          <w:szCs w:val="22"/>
        </w:rPr>
        <w:t>BJGP Open</w:t>
      </w:r>
      <w:r w:rsidRPr="00E60876">
        <w:rPr>
          <w:rFonts w:ascii="Arial" w:hAnsi="Arial" w:cs="Arial"/>
          <w:sz w:val="22"/>
          <w:szCs w:val="22"/>
        </w:rPr>
        <w:t xml:space="preserve">. Available at: </w:t>
      </w:r>
      <w:hyperlink r:id="rId116" w:history="1">
        <w:r w:rsidRPr="00E60876">
          <w:rPr>
            <w:rStyle w:val="Hyperlink"/>
            <w:rFonts w:ascii="Arial" w:hAnsi="Arial" w:cs="Arial"/>
            <w:sz w:val="22"/>
            <w:szCs w:val="22"/>
          </w:rPr>
          <w:t>https://doi.org/10.3399/BJGPO.2026.0076</w:t>
        </w:r>
      </w:hyperlink>
    </w:p>
    <w:p w14:paraId="5E2249DF"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Simpson, R.M., Jacques, R.M., Nicholl, J., Stone, T. and Turner, J. (2022) ‘Measuring the impact introducing NHS 111 online had on the NHS 111 telephone service and the wider NHS urgent care system: an observational study’, </w:t>
      </w:r>
      <w:r w:rsidRPr="00E60876">
        <w:rPr>
          <w:rFonts w:ascii="Arial" w:hAnsi="Arial" w:cs="Arial"/>
          <w:i/>
          <w:iCs/>
          <w:sz w:val="22"/>
          <w:szCs w:val="22"/>
        </w:rPr>
        <w:t>BMJ Open</w:t>
      </w:r>
      <w:r w:rsidRPr="00E60876">
        <w:rPr>
          <w:rFonts w:ascii="Arial" w:hAnsi="Arial" w:cs="Arial"/>
          <w:sz w:val="22"/>
          <w:szCs w:val="22"/>
        </w:rPr>
        <w:t xml:space="preserve">, 12(7), e058964. Available at: </w:t>
      </w:r>
      <w:hyperlink r:id="rId117" w:history="1">
        <w:r w:rsidRPr="00E60876">
          <w:rPr>
            <w:rStyle w:val="Hyperlink"/>
            <w:rFonts w:ascii="Arial" w:hAnsi="Arial" w:cs="Arial"/>
            <w:sz w:val="22"/>
            <w:szCs w:val="22"/>
          </w:rPr>
          <w:t>https://doi.org/10.1136/bmjopen-2021-058964</w:t>
        </w:r>
      </w:hyperlink>
    </w:p>
    <w:p w14:paraId="6478E041"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Sinnott,</w:t>
      </w:r>
      <w:r w:rsidRPr="00E60876">
        <w:rPr>
          <w:rFonts w:ascii="Arial" w:hAnsi="Arial" w:cs="Arial"/>
          <w:sz w:val="22"/>
          <w:szCs w:val="22"/>
        </w:rPr>
        <w:br/>
        <w:t>C., Ansari, A., Price, E., Fisher, R., Beech, J., Alderwick, H. and</w:t>
      </w:r>
      <w:r w:rsidRPr="00E60876">
        <w:rPr>
          <w:rFonts w:ascii="Arial" w:hAnsi="Arial" w:cs="Arial"/>
          <w:sz w:val="22"/>
          <w:szCs w:val="22"/>
        </w:rPr>
        <w:br/>
        <w:t>Dixon-Woods, M. (2024) ‘Understanding access to general practice through the</w:t>
      </w:r>
      <w:r w:rsidRPr="00E60876">
        <w:rPr>
          <w:rFonts w:ascii="Arial" w:hAnsi="Arial" w:cs="Arial"/>
          <w:sz w:val="22"/>
          <w:szCs w:val="22"/>
        </w:rPr>
        <w:br/>
        <w:t xml:space="preserve">lens of candidacy: a critical review of the literature’, </w:t>
      </w:r>
      <w:r w:rsidRPr="00E60876">
        <w:rPr>
          <w:rFonts w:ascii="Arial" w:hAnsi="Arial" w:cs="Arial"/>
          <w:i/>
          <w:iCs/>
          <w:sz w:val="22"/>
          <w:szCs w:val="22"/>
        </w:rPr>
        <w:t>British Journal of</w:t>
      </w:r>
      <w:r w:rsidRPr="00E60876">
        <w:rPr>
          <w:rFonts w:ascii="Arial" w:hAnsi="Arial" w:cs="Arial"/>
          <w:i/>
          <w:iCs/>
          <w:sz w:val="22"/>
          <w:szCs w:val="22"/>
        </w:rPr>
        <w:br/>
        <w:t>General Practice</w:t>
      </w:r>
      <w:r w:rsidRPr="00E60876">
        <w:rPr>
          <w:rFonts w:ascii="Arial" w:hAnsi="Arial" w:cs="Arial"/>
          <w:sz w:val="22"/>
          <w:szCs w:val="22"/>
        </w:rPr>
        <w:t xml:space="preserve">, 74(747), pp. e683–e694. Available at: </w:t>
      </w:r>
      <w:hyperlink r:id="rId118" w:history="1">
        <w:r w:rsidRPr="00E60876">
          <w:rPr>
            <w:rStyle w:val="Hyperlink"/>
            <w:rFonts w:ascii="Arial" w:hAnsi="Arial" w:cs="Arial"/>
            <w:sz w:val="22"/>
            <w:szCs w:val="22"/>
          </w:rPr>
          <w:t>https://doi.org/10.3399/BJGP.2024.0033</w:t>
        </w:r>
      </w:hyperlink>
    </w:p>
    <w:p w14:paraId="0C3FFB34"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Sinnott,</w:t>
      </w:r>
      <w:r w:rsidRPr="00E60876">
        <w:rPr>
          <w:rFonts w:ascii="Arial" w:hAnsi="Arial" w:cs="Arial"/>
          <w:sz w:val="22"/>
          <w:szCs w:val="22"/>
        </w:rPr>
        <w:br/>
        <w:t>C., Price, E., Ansari, A., Fisher, R., Beech, J., Alderwick, H. and</w:t>
      </w:r>
      <w:r w:rsidRPr="00E60876">
        <w:rPr>
          <w:rFonts w:ascii="Arial" w:hAnsi="Arial" w:cs="Arial"/>
          <w:sz w:val="22"/>
          <w:szCs w:val="22"/>
        </w:rPr>
        <w:br/>
        <w:t>Dixon-Woods, M. (2025) ‘What’s been tried: a curated catalogue of efforts to</w:t>
      </w:r>
      <w:r w:rsidRPr="00E60876">
        <w:rPr>
          <w:rFonts w:ascii="Arial" w:hAnsi="Arial" w:cs="Arial"/>
          <w:sz w:val="22"/>
          <w:szCs w:val="22"/>
        </w:rPr>
        <w:br/>
      </w:r>
      <w:r w:rsidRPr="00E60876">
        <w:rPr>
          <w:rFonts w:ascii="Arial" w:hAnsi="Arial" w:cs="Arial"/>
          <w:sz w:val="22"/>
          <w:szCs w:val="22"/>
        </w:rPr>
        <w:lastRenderedPageBreak/>
        <w:t xml:space="preserve">improve access to general practice’, </w:t>
      </w:r>
      <w:r w:rsidRPr="00E60876">
        <w:rPr>
          <w:rFonts w:ascii="Arial" w:hAnsi="Arial" w:cs="Arial"/>
          <w:i/>
          <w:iCs/>
          <w:sz w:val="22"/>
          <w:szCs w:val="22"/>
        </w:rPr>
        <w:t>BJGP Open</w:t>
      </w:r>
      <w:r w:rsidRPr="00E60876">
        <w:rPr>
          <w:rFonts w:ascii="Arial" w:hAnsi="Arial" w:cs="Arial"/>
          <w:sz w:val="22"/>
          <w:szCs w:val="22"/>
        </w:rPr>
        <w:t>, 9(2), BJGPO.2024.0184.</w:t>
      </w:r>
      <w:r w:rsidRPr="00E60876">
        <w:rPr>
          <w:rFonts w:ascii="Arial" w:hAnsi="Arial" w:cs="Arial"/>
          <w:sz w:val="22"/>
          <w:szCs w:val="22"/>
        </w:rPr>
        <w:br/>
        <w:t xml:space="preserve">Available at: </w:t>
      </w:r>
      <w:hyperlink r:id="rId119" w:history="1">
        <w:r w:rsidRPr="00E60876">
          <w:rPr>
            <w:rStyle w:val="Hyperlink"/>
            <w:rFonts w:ascii="Arial" w:hAnsi="Arial" w:cs="Arial"/>
            <w:sz w:val="22"/>
            <w:szCs w:val="22"/>
          </w:rPr>
          <w:t>https://doi.org/10.3399/BJGPO.2024.0184</w:t>
        </w:r>
      </w:hyperlink>
    </w:p>
    <w:p w14:paraId="0D94A859"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Sinnott,</w:t>
      </w:r>
      <w:r w:rsidRPr="00E60876">
        <w:rPr>
          <w:rFonts w:ascii="Arial" w:hAnsi="Arial" w:cs="Arial"/>
          <w:sz w:val="22"/>
          <w:szCs w:val="22"/>
        </w:rPr>
        <w:br/>
        <w:t>C., Ansari, A., Price, E., Horder, K., Alboksmaty, A., Willars, J., Beech, J.,</w:t>
      </w:r>
      <w:r w:rsidRPr="00E60876">
        <w:rPr>
          <w:rFonts w:ascii="Arial" w:hAnsi="Arial" w:cs="Arial"/>
          <w:sz w:val="22"/>
          <w:szCs w:val="22"/>
        </w:rPr>
        <w:br/>
        <w:t>Alderwick, H. and Dixon-Woods, M. (2026) ‘Experiences of access to general</w:t>
      </w:r>
      <w:r w:rsidRPr="00E60876">
        <w:rPr>
          <w:rFonts w:ascii="Arial" w:hAnsi="Arial" w:cs="Arial"/>
          <w:sz w:val="22"/>
          <w:szCs w:val="22"/>
        </w:rPr>
        <w:br/>
        <w:t>practice in England: qualitative study and implications for the NHS 10 year</w:t>
      </w:r>
      <w:r w:rsidRPr="00E60876">
        <w:rPr>
          <w:rFonts w:ascii="Arial" w:hAnsi="Arial" w:cs="Arial"/>
          <w:sz w:val="22"/>
          <w:szCs w:val="22"/>
        </w:rPr>
        <w:br/>
        <w:t xml:space="preserve">plan’, </w:t>
      </w:r>
      <w:r w:rsidRPr="00E60876">
        <w:rPr>
          <w:rFonts w:ascii="Arial" w:hAnsi="Arial" w:cs="Arial"/>
          <w:i/>
          <w:iCs/>
          <w:sz w:val="22"/>
          <w:szCs w:val="22"/>
        </w:rPr>
        <w:t>BMJ</w:t>
      </w:r>
      <w:r w:rsidRPr="00E60876">
        <w:rPr>
          <w:rFonts w:ascii="Arial" w:hAnsi="Arial" w:cs="Arial"/>
          <w:sz w:val="22"/>
          <w:szCs w:val="22"/>
        </w:rPr>
        <w:t xml:space="preserve">, 392, e087367. Available at: </w:t>
      </w:r>
      <w:hyperlink r:id="rId120" w:history="1">
        <w:r w:rsidRPr="00E60876">
          <w:rPr>
            <w:rStyle w:val="Hyperlink"/>
            <w:rFonts w:ascii="Arial" w:hAnsi="Arial" w:cs="Arial"/>
            <w:sz w:val="22"/>
            <w:szCs w:val="22"/>
          </w:rPr>
          <w:t>https://doi.org/10.1136/bmj-2025-087367</w:t>
        </w:r>
      </w:hyperlink>
    </w:p>
    <w:p w14:paraId="1B0B297D"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Smith,</w:t>
      </w:r>
      <w:r w:rsidRPr="00E60876">
        <w:rPr>
          <w:rFonts w:ascii="Arial" w:hAnsi="Arial" w:cs="Arial"/>
          <w:sz w:val="22"/>
          <w:szCs w:val="22"/>
        </w:rPr>
        <w:br/>
        <w:t>S.M., Cousins, G., Clyne, B., Allwright, S. and O’Dowd, T. (2017) ‘Shared care</w:t>
      </w:r>
      <w:r w:rsidRPr="00E60876">
        <w:rPr>
          <w:rFonts w:ascii="Arial" w:hAnsi="Arial" w:cs="Arial"/>
          <w:sz w:val="22"/>
          <w:szCs w:val="22"/>
        </w:rPr>
        <w:br/>
        <w:t>across the interface between primary and specialty care in management of</w:t>
      </w:r>
      <w:r w:rsidRPr="00E60876">
        <w:rPr>
          <w:rFonts w:ascii="Arial" w:hAnsi="Arial" w:cs="Arial"/>
          <w:sz w:val="22"/>
          <w:szCs w:val="22"/>
        </w:rPr>
        <w:br/>
        <w:t xml:space="preserve">long-term conditions’, </w:t>
      </w:r>
      <w:r w:rsidRPr="00E60876">
        <w:rPr>
          <w:rFonts w:ascii="Arial" w:hAnsi="Arial" w:cs="Arial"/>
          <w:i/>
          <w:iCs/>
          <w:sz w:val="22"/>
          <w:szCs w:val="22"/>
        </w:rPr>
        <w:t>Cochrane Database of Systematic Reviews</w:t>
      </w:r>
      <w:r w:rsidRPr="00E60876">
        <w:rPr>
          <w:rFonts w:ascii="Arial" w:hAnsi="Arial" w:cs="Arial"/>
          <w:sz w:val="22"/>
          <w:szCs w:val="22"/>
        </w:rPr>
        <w:t>, 2,</w:t>
      </w:r>
      <w:r w:rsidRPr="00E60876">
        <w:rPr>
          <w:rFonts w:ascii="Arial" w:hAnsi="Arial" w:cs="Arial"/>
          <w:sz w:val="22"/>
          <w:szCs w:val="22"/>
        </w:rPr>
        <w:br/>
        <w:t xml:space="preserve">CD004910. Available at: </w:t>
      </w:r>
      <w:hyperlink r:id="rId121" w:history="1">
        <w:r w:rsidRPr="00E60876">
          <w:rPr>
            <w:rStyle w:val="Hyperlink"/>
            <w:rFonts w:ascii="Arial" w:hAnsi="Arial" w:cs="Arial"/>
            <w:sz w:val="22"/>
            <w:szCs w:val="22"/>
          </w:rPr>
          <w:t>https://doi.org/10.1002/14651858.CD004910.pub3</w:t>
        </w:r>
      </w:hyperlink>
    </w:p>
    <w:p w14:paraId="16435B02"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Solar,</w:t>
      </w:r>
      <w:r w:rsidRPr="00E60876">
        <w:rPr>
          <w:rFonts w:ascii="Arial" w:hAnsi="Arial" w:cs="Arial"/>
          <w:sz w:val="22"/>
          <w:szCs w:val="22"/>
        </w:rPr>
        <w:br/>
        <w:t xml:space="preserve">O. and Irwin, A. (2020) </w:t>
      </w:r>
      <w:r w:rsidRPr="00E60876">
        <w:rPr>
          <w:rFonts w:ascii="Arial" w:hAnsi="Arial" w:cs="Arial"/>
          <w:i/>
          <w:iCs/>
          <w:sz w:val="22"/>
          <w:szCs w:val="22"/>
        </w:rPr>
        <w:t>A conceptual framework for action on the social</w:t>
      </w:r>
      <w:r w:rsidRPr="00E60876">
        <w:rPr>
          <w:rFonts w:ascii="Arial" w:hAnsi="Arial" w:cs="Arial"/>
          <w:i/>
          <w:iCs/>
          <w:sz w:val="22"/>
          <w:szCs w:val="22"/>
        </w:rPr>
        <w:br/>
        <w:t>determinants of health</w:t>
      </w:r>
      <w:r w:rsidRPr="00E60876">
        <w:rPr>
          <w:rFonts w:ascii="Arial" w:hAnsi="Arial" w:cs="Arial"/>
          <w:sz w:val="22"/>
          <w:szCs w:val="22"/>
        </w:rPr>
        <w:t xml:space="preserve">. Geneva: World Health Organization. Available at: </w:t>
      </w:r>
      <w:hyperlink r:id="rId122" w:history="1">
        <w:r w:rsidRPr="00E60876">
          <w:rPr>
            <w:rStyle w:val="Hyperlink"/>
            <w:rFonts w:ascii="Arial" w:hAnsi="Arial" w:cs="Arial"/>
            <w:sz w:val="22"/>
            <w:szCs w:val="22"/>
          </w:rPr>
          <w:t>https://www.who.int/publications/i/item/9789241500852</w:t>
        </w:r>
      </w:hyperlink>
    </w:p>
    <w:p w14:paraId="310710DA"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Starfield,</w:t>
      </w:r>
      <w:r w:rsidRPr="00E60876">
        <w:rPr>
          <w:rFonts w:ascii="Arial" w:hAnsi="Arial" w:cs="Arial"/>
          <w:sz w:val="22"/>
          <w:szCs w:val="22"/>
        </w:rPr>
        <w:br/>
        <w:t>B., Shi, L. and Macinko, J. (2020) ‘Contribution of primary care to health</w:t>
      </w:r>
      <w:r w:rsidRPr="00E60876">
        <w:rPr>
          <w:rFonts w:ascii="Arial" w:hAnsi="Arial" w:cs="Arial"/>
          <w:sz w:val="22"/>
          <w:szCs w:val="22"/>
        </w:rPr>
        <w:br/>
        <w:t xml:space="preserve">systems and health’, </w:t>
      </w:r>
      <w:r w:rsidRPr="00E60876">
        <w:rPr>
          <w:rFonts w:ascii="Arial" w:hAnsi="Arial" w:cs="Arial"/>
          <w:i/>
          <w:iCs/>
          <w:sz w:val="22"/>
          <w:szCs w:val="22"/>
        </w:rPr>
        <w:t>Milbank Quarterly</w:t>
      </w:r>
      <w:r w:rsidRPr="00E60876">
        <w:rPr>
          <w:rFonts w:ascii="Arial" w:hAnsi="Arial" w:cs="Arial"/>
          <w:sz w:val="22"/>
          <w:szCs w:val="22"/>
        </w:rPr>
        <w:t>, 83(3), pp. 457–502. Available</w:t>
      </w:r>
      <w:r w:rsidRPr="00E60876">
        <w:rPr>
          <w:rFonts w:ascii="Arial" w:hAnsi="Arial" w:cs="Arial"/>
          <w:sz w:val="22"/>
          <w:szCs w:val="22"/>
        </w:rPr>
        <w:br/>
        <w:t xml:space="preserve">at: </w:t>
      </w:r>
      <w:hyperlink r:id="rId123" w:history="1">
        <w:r w:rsidRPr="00E60876">
          <w:rPr>
            <w:rStyle w:val="Hyperlink"/>
            <w:rFonts w:ascii="Arial" w:hAnsi="Arial" w:cs="Arial"/>
            <w:sz w:val="22"/>
            <w:szCs w:val="22"/>
          </w:rPr>
          <w:t>https://doi.org/10.1111/j.1468-0009.2005.00409.x</w:t>
        </w:r>
      </w:hyperlink>
    </w:p>
    <w:p w14:paraId="771E4CB7"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Steventon,</w:t>
      </w:r>
      <w:r w:rsidRPr="00E60876">
        <w:rPr>
          <w:rFonts w:ascii="Arial" w:hAnsi="Arial" w:cs="Arial"/>
          <w:sz w:val="22"/>
          <w:szCs w:val="22"/>
        </w:rPr>
        <w:br/>
        <w:t>A., Bardsley, M., Billings, J., Dixon, J., Doll, H., Hirani, S., Cartwright,</w:t>
      </w:r>
      <w:r w:rsidRPr="00E60876">
        <w:rPr>
          <w:rFonts w:ascii="Arial" w:hAnsi="Arial" w:cs="Arial"/>
          <w:sz w:val="22"/>
          <w:szCs w:val="22"/>
        </w:rPr>
        <w:br/>
        <w:t>M., Rixon, L., Knapp, M., Henderson, C., Rogers, A., Fitzpatrick, R., Hendy, J.</w:t>
      </w:r>
      <w:r w:rsidRPr="00E60876">
        <w:rPr>
          <w:rFonts w:ascii="Arial" w:hAnsi="Arial" w:cs="Arial"/>
          <w:sz w:val="22"/>
          <w:szCs w:val="22"/>
        </w:rPr>
        <w:br/>
        <w:t>and Newman, S. (2022) ‘Effect of telehealth on use of secondary care and</w:t>
      </w:r>
      <w:r w:rsidRPr="00E60876">
        <w:rPr>
          <w:rFonts w:ascii="Arial" w:hAnsi="Arial" w:cs="Arial"/>
          <w:sz w:val="22"/>
          <w:szCs w:val="22"/>
        </w:rPr>
        <w:br/>
        <w:t>mortality: findings from the Whole System Demonstrator cluster randomised</w:t>
      </w:r>
      <w:r w:rsidRPr="00E60876">
        <w:rPr>
          <w:rFonts w:ascii="Arial" w:hAnsi="Arial" w:cs="Arial"/>
          <w:sz w:val="22"/>
          <w:szCs w:val="22"/>
        </w:rPr>
        <w:br/>
        <w:t xml:space="preserve">trial’, </w:t>
      </w:r>
      <w:r w:rsidRPr="00E60876">
        <w:rPr>
          <w:rFonts w:ascii="Arial" w:hAnsi="Arial" w:cs="Arial"/>
          <w:i/>
          <w:iCs/>
          <w:sz w:val="22"/>
          <w:szCs w:val="22"/>
        </w:rPr>
        <w:t>BMJ</w:t>
      </w:r>
      <w:r w:rsidRPr="00E60876">
        <w:rPr>
          <w:rFonts w:ascii="Arial" w:hAnsi="Arial" w:cs="Arial"/>
          <w:sz w:val="22"/>
          <w:szCs w:val="22"/>
        </w:rPr>
        <w:t xml:space="preserve">, 344, e3874. Available at: </w:t>
      </w:r>
      <w:hyperlink r:id="rId124" w:history="1">
        <w:r w:rsidRPr="00E60876">
          <w:rPr>
            <w:rStyle w:val="Hyperlink"/>
            <w:rFonts w:ascii="Arial" w:hAnsi="Arial" w:cs="Arial"/>
            <w:sz w:val="22"/>
            <w:szCs w:val="22"/>
          </w:rPr>
          <w:t>https://doi.org/10.1136/bmj.e3874</w:t>
        </w:r>
      </w:hyperlink>
    </w:p>
    <w:p w14:paraId="6071FA4B"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The</w:t>
      </w:r>
      <w:r w:rsidRPr="00E60876">
        <w:rPr>
          <w:rFonts w:ascii="Arial" w:hAnsi="Arial" w:cs="Arial"/>
          <w:sz w:val="22"/>
          <w:szCs w:val="22"/>
        </w:rPr>
        <w:br/>
        <w:t xml:space="preserve">King’s Fund (2024) </w:t>
      </w:r>
      <w:r w:rsidRPr="00E60876">
        <w:rPr>
          <w:rFonts w:ascii="Arial" w:hAnsi="Arial" w:cs="Arial"/>
          <w:i/>
          <w:iCs/>
          <w:sz w:val="22"/>
          <w:szCs w:val="22"/>
        </w:rPr>
        <w:t>Emergency departments under unprecedented pressure: what</w:t>
      </w:r>
      <w:r w:rsidRPr="00E60876">
        <w:rPr>
          <w:rFonts w:ascii="Arial" w:hAnsi="Arial" w:cs="Arial"/>
          <w:i/>
          <w:iCs/>
          <w:sz w:val="22"/>
          <w:szCs w:val="22"/>
        </w:rPr>
        <w:br/>
        <w:t>can be done?</w:t>
      </w:r>
      <w:r w:rsidRPr="00E60876">
        <w:rPr>
          <w:rFonts w:ascii="Arial" w:hAnsi="Arial" w:cs="Arial"/>
          <w:sz w:val="22"/>
          <w:szCs w:val="22"/>
        </w:rPr>
        <w:t xml:space="preserve"> London: The King’s Fund. Available at: </w:t>
      </w:r>
      <w:hyperlink r:id="rId125" w:history="1">
        <w:r w:rsidRPr="00E60876">
          <w:rPr>
            <w:rStyle w:val="Hyperlink"/>
            <w:rFonts w:ascii="Arial" w:hAnsi="Arial" w:cs="Arial"/>
            <w:sz w:val="22"/>
            <w:szCs w:val="22"/>
          </w:rPr>
          <w:t>https://www.kingsfund.org.uk/publications/emergency-departments-unprecedented-pressure</w:t>
        </w:r>
      </w:hyperlink>
    </w:p>
    <w:p w14:paraId="0F9C0C28"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Thomas,</w:t>
      </w:r>
      <w:r w:rsidRPr="00E60876">
        <w:rPr>
          <w:rFonts w:ascii="Arial" w:hAnsi="Arial" w:cs="Arial"/>
          <w:sz w:val="22"/>
          <w:szCs w:val="22"/>
        </w:rPr>
        <w:br/>
        <w:t>J. and Harden, A. (2008) ‘Methods for the thematic synthesis of qualitative</w:t>
      </w:r>
      <w:r w:rsidRPr="00E60876">
        <w:rPr>
          <w:rFonts w:ascii="Arial" w:hAnsi="Arial" w:cs="Arial"/>
          <w:sz w:val="22"/>
          <w:szCs w:val="22"/>
        </w:rPr>
        <w:br/>
        <w:t xml:space="preserve">research in systematic reviews’, </w:t>
      </w:r>
      <w:r w:rsidRPr="00E60876">
        <w:rPr>
          <w:rFonts w:ascii="Arial" w:hAnsi="Arial" w:cs="Arial"/>
          <w:i/>
          <w:iCs/>
          <w:sz w:val="22"/>
          <w:szCs w:val="22"/>
        </w:rPr>
        <w:t>BMC Medical Research Methodology</w:t>
      </w:r>
      <w:r w:rsidRPr="00E60876">
        <w:rPr>
          <w:rFonts w:ascii="Arial" w:hAnsi="Arial" w:cs="Arial"/>
          <w:sz w:val="22"/>
          <w:szCs w:val="22"/>
        </w:rPr>
        <w:t>, 8,</w:t>
      </w:r>
      <w:r w:rsidRPr="00E60876">
        <w:rPr>
          <w:rFonts w:ascii="Arial" w:hAnsi="Arial" w:cs="Arial"/>
          <w:sz w:val="22"/>
          <w:szCs w:val="22"/>
        </w:rPr>
        <w:br/>
        <w:t xml:space="preserve">45. Available at: </w:t>
      </w:r>
      <w:hyperlink r:id="rId126" w:history="1">
        <w:r w:rsidRPr="00E60876">
          <w:rPr>
            <w:rStyle w:val="Hyperlink"/>
            <w:rFonts w:ascii="Arial" w:hAnsi="Arial" w:cs="Arial"/>
            <w:sz w:val="22"/>
            <w:szCs w:val="22"/>
          </w:rPr>
          <w:t>https://doi.org/10.1186/1471-2288-8-45</w:t>
        </w:r>
      </w:hyperlink>
    </w:p>
    <w:p w14:paraId="708B0623"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lastRenderedPageBreak/>
        <w:t>Tricco,</w:t>
      </w:r>
      <w:r w:rsidRPr="00E60876">
        <w:rPr>
          <w:rFonts w:ascii="Arial" w:hAnsi="Arial" w:cs="Arial"/>
          <w:sz w:val="22"/>
          <w:szCs w:val="22"/>
        </w:rPr>
        <w:br/>
        <w:t>A.C., Lillie, E., Zarin, W., O’Brien, K.K., Colquhoun, H., Levac, D., Moher,</w:t>
      </w:r>
      <w:r w:rsidRPr="00E60876">
        <w:rPr>
          <w:rFonts w:ascii="Arial" w:hAnsi="Arial" w:cs="Arial"/>
          <w:sz w:val="22"/>
          <w:szCs w:val="22"/>
        </w:rPr>
        <w:br/>
        <w:t>D., Peters, M.D.J., Horsley, T., Weeks, L., Hempel, S., Akl, E.A., Chang, C.,</w:t>
      </w:r>
      <w:r w:rsidRPr="00E60876">
        <w:rPr>
          <w:rFonts w:ascii="Arial" w:hAnsi="Arial" w:cs="Arial"/>
          <w:sz w:val="22"/>
          <w:szCs w:val="22"/>
        </w:rPr>
        <w:br/>
        <w:t>McGowan, J., Stewart, L., Hartling, L., Aldcroft, A., Wilson, M.G., Garritty,</w:t>
      </w:r>
      <w:r w:rsidRPr="00E60876">
        <w:rPr>
          <w:rFonts w:ascii="Arial" w:hAnsi="Arial" w:cs="Arial"/>
          <w:sz w:val="22"/>
          <w:szCs w:val="22"/>
        </w:rPr>
        <w:br/>
        <w:t>C., Lewin, S., Godfrey, C.M., Macdonald, M.T., Langlois, E.V., Soares-Weiser,</w:t>
      </w:r>
      <w:r w:rsidRPr="00E60876">
        <w:rPr>
          <w:rFonts w:ascii="Arial" w:hAnsi="Arial" w:cs="Arial"/>
          <w:sz w:val="22"/>
          <w:szCs w:val="22"/>
        </w:rPr>
        <w:br/>
        <w:t>K., Moriarty, J., Clifford, T., Tuncalp, O. and Straus, S.E. (2018) ‘PRISMA</w:t>
      </w:r>
      <w:r w:rsidRPr="00E60876">
        <w:rPr>
          <w:rFonts w:ascii="Arial" w:hAnsi="Arial" w:cs="Arial"/>
          <w:sz w:val="22"/>
          <w:szCs w:val="22"/>
        </w:rPr>
        <w:br/>
        <w:t xml:space="preserve">extension for scoping reviews (PRISMA-SCRA): checklist and explanation’, </w:t>
      </w:r>
      <w:r w:rsidRPr="00E60876">
        <w:rPr>
          <w:rFonts w:ascii="Arial" w:hAnsi="Arial" w:cs="Arial"/>
          <w:i/>
          <w:iCs/>
          <w:sz w:val="22"/>
          <w:szCs w:val="22"/>
        </w:rPr>
        <w:t>Annals</w:t>
      </w:r>
      <w:r w:rsidRPr="00E60876">
        <w:rPr>
          <w:rFonts w:ascii="Arial" w:hAnsi="Arial" w:cs="Arial"/>
          <w:i/>
          <w:iCs/>
          <w:sz w:val="22"/>
          <w:szCs w:val="22"/>
        </w:rPr>
        <w:br/>
        <w:t>of Internal Medicine</w:t>
      </w:r>
      <w:r w:rsidRPr="00E60876">
        <w:rPr>
          <w:rFonts w:ascii="Arial" w:hAnsi="Arial" w:cs="Arial"/>
          <w:sz w:val="22"/>
          <w:szCs w:val="22"/>
        </w:rPr>
        <w:t xml:space="preserve">, 169(7), pp. 467–473. Available at: </w:t>
      </w:r>
      <w:hyperlink r:id="rId127" w:history="1">
        <w:r w:rsidRPr="00E60876">
          <w:rPr>
            <w:rStyle w:val="Hyperlink"/>
            <w:rFonts w:ascii="Arial" w:hAnsi="Arial" w:cs="Arial"/>
            <w:sz w:val="22"/>
            <w:szCs w:val="22"/>
          </w:rPr>
          <w:t>https://doi.org/10.7326/M18-0850</w:t>
        </w:r>
      </w:hyperlink>
    </w:p>
    <w:p w14:paraId="207761FB"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Turnbull, J., Prichard, J., MacLellan, J. and Pope, C. (2024) ‘eHealth literacy and the use of NHS 111 online urgent care service in England: cross-sectional survey’, </w:t>
      </w:r>
      <w:r w:rsidRPr="00E60876">
        <w:rPr>
          <w:rFonts w:ascii="Arial" w:hAnsi="Arial" w:cs="Arial"/>
          <w:i/>
          <w:iCs/>
          <w:sz w:val="22"/>
          <w:szCs w:val="22"/>
        </w:rPr>
        <w:t>Journal of Medical Internet Research</w:t>
      </w:r>
      <w:r w:rsidRPr="00E60876">
        <w:rPr>
          <w:rFonts w:ascii="Arial" w:hAnsi="Arial" w:cs="Arial"/>
          <w:sz w:val="22"/>
          <w:szCs w:val="22"/>
        </w:rPr>
        <w:t xml:space="preserve">, 26, e50376. Available at: </w:t>
      </w:r>
      <w:hyperlink r:id="rId128" w:history="1">
        <w:r w:rsidRPr="00E60876">
          <w:rPr>
            <w:rStyle w:val="Hyperlink"/>
            <w:rFonts w:ascii="Arial" w:hAnsi="Arial" w:cs="Arial"/>
            <w:sz w:val="22"/>
            <w:szCs w:val="22"/>
          </w:rPr>
          <w:t>https://doi.org/10.2196/50376</w:t>
        </w:r>
      </w:hyperlink>
    </w:p>
    <w:p w14:paraId="1EF69800"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Turner, A., Morris, R., Rakhra, D., Stevenson, F., McDonagh, L., Hamilton, F., Atherton, H., Farr, M., Blake, S., Banks, J., Lasseter, G., Ziebland, S., Hyde, E., Powell, J. and Horwood, J. (2021) ‘Unintended consequences of online consultations: a qualitative study in UK primary care’, </w:t>
      </w:r>
      <w:r w:rsidRPr="00E60876">
        <w:rPr>
          <w:rFonts w:ascii="Arial" w:hAnsi="Arial" w:cs="Arial"/>
          <w:i/>
          <w:iCs/>
          <w:sz w:val="22"/>
          <w:szCs w:val="22"/>
        </w:rPr>
        <w:t>British Journal of General Practice</w:t>
      </w:r>
      <w:r w:rsidRPr="00E60876">
        <w:rPr>
          <w:rFonts w:ascii="Arial" w:hAnsi="Arial" w:cs="Arial"/>
          <w:sz w:val="22"/>
          <w:szCs w:val="22"/>
        </w:rPr>
        <w:t xml:space="preserve">, 72(715), pp. e128–e137. Available at: </w:t>
      </w:r>
      <w:hyperlink r:id="rId129" w:history="1">
        <w:r w:rsidRPr="00E60876">
          <w:rPr>
            <w:rStyle w:val="Hyperlink"/>
            <w:rFonts w:ascii="Arial" w:hAnsi="Arial" w:cs="Arial"/>
            <w:sz w:val="22"/>
            <w:szCs w:val="22"/>
          </w:rPr>
          <w:t>https://doi.org/10.3399/BJGP.2021.0426</w:t>
        </w:r>
      </w:hyperlink>
    </w:p>
    <w:p w14:paraId="75320C37"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UK</w:t>
      </w:r>
      <w:r w:rsidRPr="00E60876">
        <w:rPr>
          <w:rFonts w:ascii="Arial" w:hAnsi="Arial" w:cs="Arial"/>
          <w:sz w:val="22"/>
          <w:szCs w:val="22"/>
        </w:rPr>
        <w:br/>
        <w:t xml:space="preserve">Government (2018) </w:t>
      </w:r>
      <w:r w:rsidRPr="00E60876">
        <w:rPr>
          <w:rFonts w:ascii="Arial" w:hAnsi="Arial" w:cs="Arial"/>
          <w:i/>
          <w:iCs/>
          <w:sz w:val="22"/>
          <w:szCs w:val="22"/>
        </w:rPr>
        <w:t>Data Protection Act 2018</w:t>
      </w:r>
      <w:r w:rsidRPr="00E60876">
        <w:rPr>
          <w:rFonts w:ascii="Arial" w:hAnsi="Arial" w:cs="Arial"/>
          <w:sz w:val="22"/>
          <w:szCs w:val="22"/>
        </w:rPr>
        <w:t xml:space="preserve">. London: HMSO. Available at: </w:t>
      </w:r>
      <w:hyperlink r:id="rId130" w:history="1">
        <w:r w:rsidRPr="00E60876">
          <w:rPr>
            <w:rStyle w:val="Hyperlink"/>
            <w:rFonts w:ascii="Arial" w:hAnsi="Arial" w:cs="Arial"/>
            <w:sz w:val="22"/>
            <w:szCs w:val="22"/>
          </w:rPr>
          <w:t>https://www.legislation.gov.uk/ukpga/2018/12/contents/enacted</w:t>
        </w:r>
      </w:hyperlink>
    </w:p>
    <w:p w14:paraId="1C0BA07B"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Vestesson,</w:t>
      </w:r>
      <w:r w:rsidRPr="00E60876">
        <w:rPr>
          <w:rFonts w:ascii="Arial" w:hAnsi="Arial" w:cs="Arial"/>
          <w:sz w:val="22"/>
          <w:szCs w:val="22"/>
        </w:rPr>
        <w:br/>
        <w:t>E.M., De Corte, K.L.A., Crellin, E., Ledger, J., Bakhai, M. and Clarke, G.M.</w:t>
      </w:r>
      <w:r w:rsidRPr="00E60876">
        <w:rPr>
          <w:rFonts w:ascii="Arial" w:hAnsi="Arial" w:cs="Arial"/>
          <w:sz w:val="22"/>
          <w:szCs w:val="22"/>
        </w:rPr>
        <w:br/>
        <w:t>(2023) ‘Consultation rate and mode by deprivation in English general practice</w:t>
      </w:r>
      <w:r w:rsidRPr="00E60876">
        <w:rPr>
          <w:rFonts w:ascii="Arial" w:hAnsi="Arial" w:cs="Arial"/>
          <w:sz w:val="22"/>
          <w:szCs w:val="22"/>
        </w:rPr>
        <w:br/>
        <w:t xml:space="preserve">from 2018 to 2022: population-based study’, </w:t>
      </w:r>
      <w:r w:rsidRPr="00E60876">
        <w:rPr>
          <w:rFonts w:ascii="Arial" w:hAnsi="Arial" w:cs="Arial"/>
          <w:i/>
          <w:iCs/>
          <w:sz w:val="22"/>
          <w:szCs w:val="22"/>
        </w:rPr>
        <w:t>JMIR Public Health and</w:t>
      </w:r>
      <w:r w:rsidRPr="00E60876">
        <w:rPr>
          <w:rFonts w:ascii="Arial" w:hAnsi="Arial" w:cs="Arial"/>
          <w:i/>
          <w:iCs/>
          <w:sz w:val="22"/>
          <w:szCs w:val="22"/>
        </w:rPr>
        <w:br/>
        <w:t>Surveillance</w:t>
      </w:r>
      <w:r w:rsidRPr="00E60876">
        <w:rPr>
          <w:rFonts w:ascii="Arial" w:hAnsi="Arial" w:cs="Arial"/>
          <w:sz w:val="22"/>
          <w:szCs w:val="22"/>
        </w:rPr>
        <w:t xml:space="preserve">. Available at: </w:t>
      </w:r>
      <w:hyperlink r:id="rId131" w:history="1">
        <w:r w:rsidRPr="00E60876">
          <w:rPr>
            <w:rStyle w:val="Hyperlink"/>
            <w:rFonts w:ascii="Arial" w:hAnsi="Arial" w:cs="Arial"/>
            <w:sz w:val="22"/>
            <w:szCs w:val="22"/>
          </w:rPr>
          <w:t>https://pubmed.ncbi.nlm.nih.gov/37129943/</w:t>
        </w:r>
      </w:hyperlink>
    </w:p>
    <w:p w14:paraId="051843F6"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Watt,</w:t>
      </w:r>
      <w:r w:rsidRPr="00E60876">
        <w:rPr>
          <w:rFonts w:ascii="Arial" w:hAnsi="Arial" w:cs="Arial"/>
          <w:sz w:val="22"/>
          <w:szCs w:val="22"/>
        </w:rPr>
        <w:br/>
        <w:t xml:space="preserve">G. (2022) ‘Primary care and health inequalities in the UK’, </w:t>
      </w:r>
      <w:r w:rsidRPr="00E60876">
        <w:rPr>
          <w:rFonts w:ascii="Arial" w:hAnsi="Arial" w:cs="Arial"/>
          <w:i/>
          <w:iCs/>
          <w:sz w:val="22"/>
          <w:szCs w:val="22"/>
        </w:rPr>
        <w:t>BMJ</w:t>
      </w:r>
      <w:r w:rsidRPr="00E60876">
        <w:rPr>
          <w:rFonts w:ascii="Arial" w:hAnsi="Arial" w:cs="Arial"/>
          <w:sz w:val="22"/>
          <w:szCs w:val="22"/>
        </w:rPr>
        <w:t>, 376,</w:t>
      </w:r>
      <w:r w:rsidRPr="00E60876">
        <w:rPr>
          <w:rFonts w:ascii="Arial" w:hAnsi="Arial" w:cs="Arial"/>
          <w:sz w:val="22"/>
          <w:szCs w:val="22"/>
        </w:rPr>
        <w:br/>
        <w:t xml:space="preserve">o123. Available at: </w:t>
      </w:r>
      <w:hyperlink r:id="rId132" w:history="1">
        <w:r w:rsidRPr="00E60876">
          <w:rPr>
            <w:rStyle w:val="Hyperlink"/>
            <w:rFonts w:ascii="Arial" w:hAnsi="Arial" w:cs="Arial"/>
            <w:sz w:val="22"/>
            <w:szCs w:val="22"/>
          </w:rPr>
          <w:t>https://doi.org/10.1136/bmj.o123</w:t>
        </w:r>
      </w:hyperlink>
    </w:p>
    <w:p w14:paraId="0EF3ED77"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Whittaker,</w:t>
      </w:r>
      <w:r w:rsidRPr="00E60876">
        <w:rPr>
          <w:rFonts w:ascii="Arial" w:hAnsi="Arial" w:cs="Arial"/>
          <w:sz w:val="22"/>
          <w:szCs w:val="22"/>
        </w:rPr>
        <w:br/>
        <w:t>W., Anselmi, L., Kristensen, S.R., Lau, Y.S., Bailey, S., Bower, P., Checkland,</w:t>
      </w:r>
      <w:r w:rsidRPr="00E60876">
        <w:rPr>
          <w:rFonts w:ascii="Arial" w:hAnsi="Arial" w:cs="Arial"/>
          <w:sz w:val="22"/>
          <w:szCs w:val="22"/>
        </w:rPr>
        <w:br/>
        <w:t>K., Elvey, R., Rothwell, K., Stokes, J. and Hodgson, D. (2016) ‘Associations</w:t>
      </w:r>
      <w:r w:rsidRPr="00E60876">
        <w:rPr>
          <w:rFonts w:ascii="Arial" w:hAnsi="Arial" w:cs="Arial"/>
          <w:sz w:val="22"/>
          <w:szCs w:val="22"/>
        </w:rPr>
        <w:br/>
        <w:t>between extending access to primary care and emergency department visits: a</w:t>
      </w:r>
      <w:r w:rsidRPr="00E60876">
        <w:rPr>
          <w:rFonts w:ascii="Arial" w:hAnsi="Arial" w:cs="Arial"/>
          <w:sz w:val="22"/>
          <w:szCs w:val="22"/>
        </w:rPr>
        <w:br/>
        <w:t xml:space="preserve">difference-in-differences analysis’, </w:t>
      </w:r>
      <w:r w:rsidRPr="00E60876">
        <w:rPr>
          <w:rFonts w:ascii="Arial" w:hAnsi="Arial" w:cs="Arial"/>
          <w:i/>
          <w:iCs/>
          <w:sz w:val="22"/>
          <w:szCs w:val="22"/>
        </w:rPr>
        <w:t>PLoS Medicine</w:t>
      </w:r>
      <w:r w:rsidRPr="00E60876">
        <w:rPr>
          <w:rFonts w:ascii="Arial" w:hAnsi="Arial" w:cs="Arial"/>
          <w:sz w:val="22"/>
          <w:szCs w:val="22"/>
        </w:rPr>
        <w:t>, 13(9), e1002113.</w:t>
      </w:r>
      <w:r w:rsidRPr="00E60876">
        <w:rPr>
          <w:rFonts w:ascii="Arial" w:hAnsi="Arial" w:cs="Arial"/>
          <w:sz w:val="22"/>
          <w:szCs w:val="22"/>
        </w:rPr>
        <w:br/>
        <w:t xml:space="preserve">Available at: </w:t>
      </w:r>
      <w:hyperlink r:id="rId133" w:history="1">
        <w:r w:rsidRPr="00E60876">
          <w:rPr>
            <w:rStyle w:val="Hyperlink"/>
            <w:rFonts w:ascii="Arial" w:hAnsi="Arial" w:cs="Arial"/>
            <w:sz w:val="22"/>
            <w:szCs w:val="22"/>
          </w:rPr>
          <w:t>https://doi.org/10.1371/journal.pmed.1002113</w:t>
        </w:r>
      </w:hyperlink>
    </w:p>
    <w:p w14:paraId="3EE9B171"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lastRenderedPageBreak/>
        <w:t>Wilding,</w:t>
      </w:r>
      <w:r w:rsidRPr="00E60876">
        <w:rPr>
          <w:rFonts w:ascii="Arial" w:hAnsi="Arial" w:cs="Arial"/>
          <w:sz w:val="22"/>
          <w:szCs w:val="22"/>
        </w:rPr>
        <w:br/>
        <w:t>A., Moss, C., Munford, L. and Sutton, M. (2025) ‘Impact of constrained access</w:t>
      </w:r>
      <w:r w:rsidRPr="00E60876">
        <w:rPr>
          <w:rFonts w:ascii="Arial" w:hAnsi="Arial" w:cs="Arial"/>
          <w:sz w:val="22"/>
          <w:szCs w:val="22"/>
        </w:rPr>
        <w:br/>
        <w:t xml:space="preserve">to primary care on health-related quality of life’, </w:t>
      </w:r>
      <w:r w:rsidRPr="00E60876">
        <w:rPr>
          <w:rFonts w:ascii="Arial" w:hAnsi="Arial" w:cs="Arial"/>
          <w:i/>
          <w:iCs/>
          <w:sz w:val="22"/>
          <w:szCs w:val="22"/>
        </w:rPr>
        <w:t>Value in Health</w:t>
      </w:r>
      <w:r w:rsidRPr="00E60876">
        <w:rPr>
          <w:rFonts w:ascii="Arial" w:hAnsi="Arial" w:cs="Arial"/>
          <w:sz w:val="22"/>
          <w:szCs w:val="22"/>
        </w:rPr>
        <w:t>,</w:t>
      </w:r>
      <w:r w:rsidRPr="00E60876">
        <w:rPr>
          <w:rFonts w:ascii="Arial" w:hAnsi="Arial" w:cs="Arial"/>
          <w:sz w:val="22"/>
          <w:szCs w:val="22"/>
        </w:rPr>
        <w:br/>
        <w:t xml:space="preserve">28(12), pp. 1911–1918. Available at: </w:t>
      </w:r>
      <w:hyperlink r:id="rId134" w:history="1">
        <w:r w:rsidRPr="00E60876">
          <w:rPr>
            <w:rStyle w:val="Hyperlink"/>
            <w:rFonts w:ascii="Arial" w:hAnsi="Arial" w:cs="Arial"/>
            <w:sz w:val="22"/>
            <w:szCs w:val="22"/>
          </w:rPr>
          <w:t>https://doi.org/10.1016/j.jval.2025.07.013</w:t>
        </w:r>
      </w:hyperlink>
    </w:p>
    <w:p w14:paraId="26491345"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Winder,</w:t>
      </w:r>
      <w:r w:rsidRPr="00E60876">
        <w:rPr>
          <w:rFonts w:ascii="Arial" w:hAnsi="Arial" w:cs="Arial"/>
          <w:sz w:val="22"/>
          <w:szCs w:val="22"/>
        </w:rPr>
        <w:br/>
        <w:t>R. et al. (2024) ‘Exploring how patients are supported to use online services</w:t>
      </w:r>
      <w:r w:rsidRPr="00E60876">
        <w:rPr>
          <w:rFonts w:ascii="Arial" w:hAnsi="Arial" w:cs="Arial"/>
          <w:sz w:val="22"/>
          <w:szCs w:val="22"/>
        </w:rPr>
        <w:br/>
        <w:t xml:space="preserve">in primary care in England through “digital facilitation”: survey study’, </w:t>
      </w:r>
      <w:r w:rsidRPr="00E60876">
        <w:rPr>
          <w:rFonts w:ascii="Arial" w:hAnsi="Arial" w:cs="Arial"/>
          <w:i/>
          <w:iCs/>
          <w:sz w:val="22"/>
          <w:szCs w:val="22"/>
        </w:rPr>
        <w:t>Journal</w:t>
      </w:r>
      <w:r w:rsidRPr="00E60876">
        <w:rPr>
          <w:rFonts w:ascii="Arial" w:hAnsi="Arial" w:cs="Arial"/>
          <w:i/>
          <w:iCs/>
          <w:sz w:val="22"/>
          <w:szCs w:val="22"/>
        </w:rPr>
        <w:br/>
        <w:t>of Medical Internet Research</w:t>
      </w:r>
      <w:r w:rsidRPr="00E60876">
        <w:rPr>
          <w:rFonts w:ascii="Arial" w:hAnsi="Arial" w:cs="Arial"/>
          <w:sz w:val="22"/>
          <w:szCs w:val="22"/>
        </w:rPr>
        <w:t xml:space="preserve">. Available at: </w:t>
      </w:r>
      <w:hyperlink r:id="rId135" w:history="1">
        <w:r w:rsidRPr="00E60876">
          <w:rPr>
            <w:rStyle w:val="Hyperlink"/>
            <w:rFonts w:ascii="Arial" w:hAnsi="Arial" w:cs="Arial"/>
            <w:sz w:val="22"/>
            <w:szCs w:val="22"/>
          </w:rPr>
          <w:t>https://doi.org/10.2196/56528</w:t>
        </w:r>
      </w:hyperlink>
    </w:p>
    <w:p w14:paraId="5C750206"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Winpenny,</w:t>
      </w:r>
      <w:r w:rsidRPr="00E60876">
        <w:rPr>
          <w:rFonts w:ascii="Arial" w:hAnsi="Arial" w:cs="Arial"/>
          <w:sz w:val="22"/>
          <w:szCs w:val="22"/>
        </w:rPr>
        <w:br/>
        <w:t>E.M., Miani, C., Pitchforth, E., King, S., Roland, M. and Nolte, E. (2016)</w:t>
      </w:r>
      <w:r w:rsidRPr="00E60876">
        <w:rPr>
          <w:rFonts w:ascii="Arial" w:hAnsi="Arial" w:cs="Arial"/>
          <w:sz w:val="22"/>
          <w:szCs w:val="22"/>
        </w:rPr>
        <w:br/>
        <w:t>‘Improving the effectiveness and efficiency of outpatient services: a scoping</w:t>
      </w:r>
      <w:r w:rsidRPr="00E60876">
        <w:rPr>
          <w:rFonts w:ascii="Arial" w:hAnsi="Arial" w:cs="Arial"/>
          <w:sz w:val="22"/>
          <w:szCs w:val="22"/>
        </w:rPr>
        <w:br/>
        <w:t xml:space="preserve">review of interventions at the primary–secondary care interface’, </w:t>
      </w:r>
      <w:r w:rsidRPr="00E60876">
        <w:rPr>
          <w:rFonts w:ascii="Arial" w:hAnsi="Arial" w:cs="Arial"/>
          <w:i/>
          <w:iCs/>
          <w:sz w:val="22"/>
          <w:szCs w:val="22"/>
        </w:rPr>
        <w:t>Journal of</w:t>
      </w:r>
      <w:r w:rsidRPr="00E60876">
        <w:rPr>
          <w:rFonts w:ascii="Arial" w:hAnsi="Arial" w:cs="Arial"/>
          <w:i/>
          <w:iCs/>
          <w:sz w:val="22"/>
          <w:szCs w:val="22"/>
        </w:rPr>
        <w:br/>
        <w:t>Health Services Research and Policy</w:t>
      </w:r>
      <w:r w:rsidRPr="00E60876">
        <w:rPr>
          <w:rFonts w:ascii="Arial" w:hAnsi="Arial" w:cs="Arial"/>
          <w:sz w:val="22"/>
          <w:szCs w:val="22"/>
        </w:rPr>
        <w:t xml:space="preserve">, 22(1), pp. 53–64. Available at: </w:t>
      </w:r>
      <w:hyperlink r:id="rId136" w:history="1">
        <w:r w:rsidRPr="00E60876">
          <w:rPr>
            <w:rStyle w:val="Hyperlink"/>
            <w:rFonts w:ascii="Arial" w:hAnsi="Arial" w:cs="Arial"/>
            <w:sz w:val="22"/>
            <w:szCs w:val="22"/>
          </w:rPr>
          <w:t>https://doi.org/10.1177/1355819616648982</w:t>
        </w:r>
      </w:hyperlink>
    </w:p>
    <w:p w14:paraId="0FDB96B8"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 xml:space="preserve">Zhang, J., Gallifant, J., Pierce, R.L., Fordham, A., Teo, J., Celi, L., Ashrafian, H. and others (2023) ‘Quantifying digital health inequality across a national healthcare system’, </w:t>
      </w:r>
      <w:r w:rsidRPr="00E60876">
        <w:rPr>
          <w:rFonts w:ascii="Arial" w:hAnsi="Arial" w:cs="Arial"/>
          <w:i/>
          <w:iCs/>
          <w:sz w:val="22"/>
          <w:szCs w:val="22"/>
        </w:rPr>
        <w:t>BMJ Health &amp; Care Informatics</w:t>
      </w:r>
      <w:r w:rsidRPr="00E60876">
        <w:rPr>
          <w:rFonts w:ascii="Arial" w:hAnsi="Arial" w:cs="Arial"/>
          <w:sz w:val="22"/>
          <w:szCs w:val="22"/>
        </w:rPr>
        <w:t xml:space="preserve">, 30(1), e100809. Available at: </w:t>
      </w:r>
      <w:hyperlink r:id="rId137" w:history="1">
        <w:r w:rsidRPr="00E60876">
          <w:rPr>
            <w:rStyle w:val="Hyperlink"/>
            <w:rFonts w:ascii="Arial" w:hAnsi="Arial" w:cs="Arial"/>
            <w:sz w:val="22"/>
            <w:szCs w:val="22"/>
          </w:rPr>
          <w:t>https://doi.org/10.1136/bmjhci-2023-100809</w:t>
        </w:r>
      </w:hyperlink>
    </w:p>
    <w:p w14:paraId="7631D1F4"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World</w:t>
      </w:r>
      <w:r w:rsidRPr="00E60876">
        <w:rPr>
          <w:rFonts w:ascii="Arial" w:hAnsi="Arial" w:cs="Arial"/>
          <w:sz w:val="22"/>
          <w:szCs w:val="22"/>
        </w:rPr>
        <w:br/>
        <w:t xml:space="preserve">Health Organization (2018) </w:t>
      </w:r>
      <w:r w:rsidRPr="00E60876">
        <w:rPr>
          <w:rFonts w:ascii="Arial" w:hAnsi="Arial" w:cs="Arial"/>
          <w:i/>
          <w:iCs/>
          <w:sz w:val="22"/>
          <w:szCs w:val="22"/>
        </w:rPr>
        <w:t>Closing the gap in a generation: health equity</w:t>
      </w:r>
      <w:r w:rsidRPr="00E60876">
        <w:rPr>
          <w:rFonts w:ascii="Arial" w:hAnsi="Arial" w:cs="Arial"/>
          <w:i/>
          <w:iCs/>
          <w:sz w:val="22"/>
          <w:szCs w:val="22"/>
        </w:rPr>
        <w:br/>
        <w:t>through action on the social determinants of health</w:t>
      </w:r>
      <w:r w:rsidRPr="00E60876">
        <w:rPr>
          <w:rFonts w:ascii="Arial" w:hAnsi="Arial" w:cs="Arial"/>
          <w:sz w:val="22"/>
          <w:szCs w:val="22"/>
        </w:rPr>
        <w:t>. Geneva: WHO Commission</w:t>
      </w:r>
      <w:r w:rsidRPr="00E60876">
        <w:rPr>
          <w:rFonts w:ascii="Arial" w:hAnsi="Arial" w:cs="Arial"/>
          <w:sz w:val="22"/>
          <w:szCs w:val="22"/>
        </w:rPr>
        <w:br/>
        <w:t xml:space="preserve">on Social Determinants of Health. Available at: </w:t>
      </w:r>
      <w:hyperlink r:id="rId138" w:history="1">
        <w:r w:rsidRPr="00E60876">
          <w:rPr>
            <w:rStyle w:val="Hyperlink"/>
            <w:rFonts w:ascii="Arial" w:hAnsi="Arial" w:cs="Arial"/>
            <w:sz w:val="22"/>
            <w:szCs w:val="22"/>
          </w:rPr>
          <w:t>https://www.who.int/publications/i/item/WHO-IER-CSDH-08.1</w:t>
        </w:r>
      </w:hyperlink>
    </w:p>
    <w:p w14:paraId="705077EC" w14:textId="77777777" w:rsidR="00D502D8" w:rsidRPr="00E60876" w:rsidRDefault="00D502D8" w:rsidP="00D502D8">
      <w:pPr>
        <w:spacing w:line="360" w:lineRule="auto"/>
        <w:jc w:val="both"/>
        <w:rPr>
          <w:rFonts w:ascii="Arial" w:hAnsi="Arial" w:cs="Arial"/>
          <w:sz w:val="22"/>
          <w:szCs w:val="22"/>
        </w:rPr>
      </w:pPr>
      <w:r w:rsidRPr="00E60876">
        <w:rPr>
          <w:rFonts w:ascii="Arial" w:hAnsi="Arial" w:cs="Arial"/>
          <w:sz w:val="22"/>
          <w:szCs w:val="22"/>
        </w:rPr>
        <w:t>World</w:t>
      </w:r>
      <w:r w:rsidRPr="00E60876">
        <w:rPr>
          <w:rFonts w:ascii="Arial" w:hAnsi="Arial" w:cs="Arial"/>
          <w:sz w:val="22"/>
          <w:szCs w:val="22"/>
        </w:rPr>
        <w:br/>
        <w:t xml:space="preserve">Health Organization (2021) </w:t>
      </w:r>
      <w:r w:rsidRPr="00E60876">
        <w:rPr>
          <w:rFonts w:ascii="Arial" w:hAnsi="Arial" w:cs="Arial"/>
          <w:i/>
          <w:iCs/>
          <w:sz w:val="22"/>
          <w:szCs w:val="22"/>
        </w:rPr>
        <w:t>Operational framework for primary health care:</w:t>
      </w:r>
      <w:r w:rsidRPr="00E60876">
        <w:rPr>
          <w:rFonts w:ascii="Arial" w:hAnsi="Arial" w:cs="Arial"/>
          <w:i/>
          <w:iCs/>
          <w:sz w:val="22"/>
          <w:szCs w:val="22"/>
        </w:rPr>
        <w:br/>
        <w:t>transforming vision into action</w:t>
      </w:r>
      <w:r w:rsidRPr="00E60876">
        <w:rPr>
          <w:rFonts w:ascii="Arial" w:hAnsi="Arial" w:cs="Arial"/>
          <w:sz w:val="22"/>
          <w:szCs w:val="22"/>
        </w:rPr>
        <w:t>. Geneva: World Health Organization.</w:t>
      </w:r>
      <w:r w:rsidRPr="00E60876">
        <w:rPr>
          <w:rFonts w:ascii="Arial" w:hAnsi="Arial" w:cs="Arial"/>
          <w:sz w:val="22"/>
          <w:szCs w:val="22"/>
        </w:rPr>
        <w:br/>
        <w:t xml:space="preserve">Available at: </w:t>
      </w:r>
      <w:hyperlink r:id="rId139" w:history="1">
        <w:r w:rsidRPr="00E60876">
          <w:rPr>
            <w:rStyle w:val="Hyperlink"/>
            <w:rFonts w:ascii="Arial" w:hAnsi="Arial" w:cs="Arial"/>
            <w:sz w:val="22"/>
            <w:szCs w:val="22"/>
          </w:rPr>
          <w:t>https://www.who.int/publications/i/item/9789240024229</w:t>
        </w:r>
      </w:hyperlink>
    </w:p>
    <w:p w14:paraId="5A15835B" w14:textId="77777777" w:rsidR="00D502D8" w:rsidRPr="00D502D8" w:rsidRDefault="00D502D8" w:rsidP="00D502D8">
      <w:pPr>
        <w:spacing w:line="360" w:lineRule="auto"/>
        <w:jc w:val="both"/>
        <w:rPr>
          <w:rFonts w:ascii="Arial" w:hAnsi="Arial" w:cs="Arial"/>
          <w:sz w:val="22"/>
          <w:szCs w:val="22"/>
        </w:rPr>
      </w:pPr>
    </w:p>
    <w:p w14:paraId="065D262F" w14:textId="77777777" w:rsidR="00D502D8" w:rsidRPr="00D502D8" w:rsidRDefault="00D502D8" w:rsidP="00D502D8">
      <w:pPr>
        <w:spacing w:line="360" w:lineRule="auto"/>
        <w:jc w:val="both"/>
        <w:rPr>
          <w:rFonts w:ascii="Arial" w:hAnsi="Arial" w:cs="Arial"/>
          <w:sz w:val="22"/>
          <w:szCs w:val="22"/>
        </w:rPr>
      </w:pPr>
    </w:p>
    <w:p w14:paraId="3E8E90AC" w14:textId="77777777" w:rsidR="00D502D8" w:rsidRPr="00D502D8" w:rsidRDefault="00D502D8" w:rsidP="00D502D8">
      <w:pPr>
        <w:spacing w:line="360" w:lineRule="auto"/>
        <w:jc w:val="both"/>
        <w:rPr>
          <w:rFonts w:ascii="Arial" w:hAnsi="Arial" w:cs="Arial"/>
          <w:sz w:val="22"/>
          <w:szCs w:val="22"/>
        </w:rPr>
      </w:pPr>
    </w:p>
    <w:p w14:paraId="7E50E7C7" w14:textId="77777777" w:rsidR="00D502D8" w:rsidRPr="00D502D8" w:rsidRDefault="00D502D8" w:rsidP="00D502D8">
      <w:pPr>
        <w:spacing w:line="360" w:lineRule="auto"/>
        <w:jc w:val="both"/>
        <w:rPr>
          <w:rFonts w:ascii="Arial" w:hAnsi="Arial" w:cs="Arial"/>
          <w:sz w:val="22"/>
          <w:szCs w:val="22"/>
        </w:rPr>
      </w:pPr>
    </w:p>
    <w:p w14:paraId="00D8C092" w14:textId="77777777" w:rsidR="00D502D8" w:rsidRPr="00D502D8" w:rsidRDefault="00D502D8" w:rsidP="00D502D8">
      <w:pPr>
        <w:spacing w:line="360" w:lineRule="auto"/>
        <w:jc w:val="both"/>
        <w:rPr>
          <w:rFonts w:ascii="Arial" w:hAnsi="Arial" w:cs="Arial"/>
          <w:sz w:val="22"/>
          <w:szCs w:val="22"/>
        </w:rPr>
      </w:pPr>
    </w:p>
    <w:p w14:paraId="16605D82" w14:textId="77777777" w:rsidR="00D502D8" w:rsidRPr="00D502D8" w:rsidRDefault="00D502D8" w:rsidP="00D502D8">
      <w:pPr>
        <w:spacing w:line="360" w:lineRule="auto"/>
        <w:jc w:val="both"/>
        <w:rPr>
          <w:rFonts w:ascii="Arial" w:hAnsi="Arial" w:cs="Arial"/>
          <w:sz w:val="22"/>
          <w:szCs w:val="22"/>
        </w:rPr>
      </w:pPr>
    </w:p>
    <w:p w14:paraId="09F00E1C" w14:textId="77777777" w:rsidR="00D502D8" w:rsidRPr="00D502D8" w:rsidRDefault="00D502D8" w:rsidP="00D502D8">
      <w:pPr>
        <w:spacing w:line="360" w:lineRule="auto"/>
        <w:jc w:val="both"/>
        <w:rPr>
          <w:rFonts w:ascii="Arial" w:hAnsi="Arial" w:cs="Arial"/>
          <w:sz w:val="22"/>
          <w:szCs w:val="22"/>
        </w:rPr>
      </w:pPr>
    </w:p>
    <w:p w14:paraId="595A0AE5" w14:textId="77777777" w:rsidR="00D502D8" w:rsidRPr="00D502D8" w:rsidRDefault="00D502D8" w:rsidP="00D502D8">
      <w:pPr>
        <w:spacing w:line="360" w:lineRule="auto"/>
        <w:jc w:val="both"/>
        <w:rPr>
          <w:rFonts w:ascii="Arial" w:hAnsi="Arial" w:cs="Arial"/>
          <w:sz w:val="22"/>
          <w:szCs w:val="22"/>
        </w:rPr>
      </w:pPr>
    </w:p>
    <w:p w14:paraId="6E60D6A8" w14:textId="77777777" w:rsidR="00D502D8" w:rsidRPr="00D502D8" w:rsidRDefault="00D502D8" w:rsidP="00D502D8">
      <w:pPr>
        <w:spacing w:line="360" w:lineRule="auto"/>
        <w:jc w:val="both"/>
        <w:rPr>
          <w:rFonts w:ascii="Arial" w:hAnsi="Arial" w:cs="Arial"/>
          <w:sz w:val="22"/>
          <w:szCs w:val="22"/>
        </w:rPr>
      </w:pPr>
    </w:p>
    <w:p w14:paraId="1417DCED" w14:textId="77777777" w:rsidR="00D502D8" w:rsidRDefault="00D502D8" w:rsidP="00D502D8">
      <w:pPr>
        <w:spacing w:line="360" w:lineRule="auto"/>
        <w:jc w:val="both"/>
        <w:rPr>
          <w:rFonts w:ascii="Arial" w:hAnsi="Arial" w:cs="Arial"/>
          <w:sz w:val="22"/>
          <w:szCs w:val="22"/>
        </w:rPr>
      </w:pPr>
    </w:p>
    <w:p w14:paraId="0D9E3784" w14:textId="77777777" w:rsidR="00427497" w:rsidRDefault="00427497" w:rsidP="00D502D8">
      <w:pPr>
        <w:spacing w:line="360" w:lineRule="auto"/>
        <w:jc w:val="both"/>
        <w:rPr>
          <w:rFonts w:ascii="Arial" w:hAnsi="Arial" w:cs="Arial"/>
          <w:sz w:val="22"/>
          <w:szCs w:val="22"/>
        </w:rPr>
      </w:pPr>
    </w:p>
    <w:p w14:paraId="500616E2" w14:textId="77777777" w:rsidR="00427497" w:rsidRDefault="00427497" w:rsidP="00D502D8">
      <w:pPr>
        <w:spacing w:line="360" w:lineRule="auto"/>
        <w:jc w:val="both"/>
        <w:rPr>
          <w:rFonts w:ascii="Arial" w:hAnsi="Arial" w:cs="Arial"/>
          <w:sz w:val="22"/>
          <w:szCs w:val="22"/>
        </w:rPr>
      </w:pPr>
    </w:p>
    <w:p w14:paraId="29443A1C" w14:textId="77777777" w:rsidR="00427497" w:rsidRDefault="00427497" w:rsidP="00D502D8">
      <w:pPr>
        <w:spacing w:line="360" w:lineRule="auto"/>
        <w:jc w:val="both"/>
        <w:rPr>
          <w:rFonts w:ascii="Arial" w:hAnsi="Arial" w:cs="Arial"/>
          <w:sz w:val="22"/>
          <w:szCs w:val="22"/>
        </w:rPr>
      </w:pPr>
    </w:p>
    <w:p w14:paraId="2C8289DE" w14:textId="7BE9496C" w:rsidR="00D502D8" w:rsidRPr="0073413F" w:rsidRDefault="00782C3D" w:rsidP="00D502D8">
      <w:pPr>
        <w:spacing w:line="360" w:lineRule="auto"/>
        <w:jc w:val="both"/>
        <w:rPr>
          <w:rFonts w:ascii="Arial" w:hAnsi="Arial" w:cs="Arial"/>
          <w:sz w:val="22"/>
          <w:szCs w:val="22"/>
        </w:rPr>
      </w:pPr>
      <w:r w:rsidRPr="00C11904">
        <w:rPr>
          <w:rFonts w:ascii="Arial" w:hAnsi="Arial" w:cs="Arial"/>
          <w:noProof/>
          <w:sz w:val="22"/>
          <w:szCs w:val="22"/>
        </w:rPr>
        <w:drawing>
          <wp:anchor distT="0" distB="0" distL="114300" distR="114300" simplePos="0" relativeHeight="251667474" behindDoc="0" locked="0" layoutInCell="1" allowOverlap="1" wp14:anchorId="544293D0" wp14:editId="5BDF6077">
            <wp:simplePos x="0" y="0"/>
            <wp:positionH relativeFrom="margin">
              <wp:posOffset>4888865</wp:posOffset>
            </wp:positionH>
            <wp:positionV relativeFrom="margin">
              <wp:posOffset>53503</wp:posOffset>
            </wp:positionV>
            <wp:extent cx="1278890" cy="751205"/>
            <wp:effectExtent l="0" t="0" r="0" b="0"/>
            <wp:wrapSquare wrapText="bothSides"/>
            <wp:docPr id="922104474" name="Picture 1" descr="A black and orang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104474" name="Picture 1" descr="A black and orange logo&#10;&#10;Description automatically generated"/>
                    <pic:cNvPicPr/>
                  </pic:nvPicPr>
                  <pic:blipFill>
                    <a:blip r:embed="rId140" cstate="print">
                      <a:extLst>
                        <a:ext uri="{28A0092B-C50C-407E-A947-70E740481C1C}">
                          <a14:useLocalDpi xmlns:a14="http://schemas.microsoft.com/office/drawing/2010/main" val="0"/>
                        </a:ext>
                      </a:extLst>
                    </a:blip>
                    <a:stretch>
                      <a:fillRect/>
                    </a:stretch>
                  </pic:blipFill>
                  <pic:spPr>
                    <a:xfrm>
                      <a:off x="0" y="0"/>
                      <a:ext cx="1278890" cy="751205"/>
                    </a:xfrm>
                    <a:prstGeom prst="rect">
                      <a:avLst/>
                    </a:prstGeom>
                  </pic:spPr>
                </pic:pic>
              </a:graphicData>
            </a:graphic>
            <wp14:sizeRelH relativeFrom="margin">
              <wp14:pctWidth>0</wp14:pctWidth>
            </wp14:sizeRelH>
            <wp14:sizeRelV relativeFrom="margin">
              <wp14:pctHeight>0</wp14:pctHeight>
            </wp14:sizeRelV>
          </wp:anchor>
        </w:drawing>
      </w:r>
    </w:p>
    <w:p w14:paraId="573D8AE9" w14:textId="3A7AE0D6" w:rsidR="00C11904" w:rsidRPr="00A40A48" w:rsidRDefault="00427497" w:rsidP="00A40A48">
      <w:pPr>
        <w:pStyle w:val="NoSpacing"/>
        <w:rPr>
          <w:rFonts w:ascii="Arial" w:hAnsi="Arial" w:cs="Arial"/>
          <w:b/>
          <w:bCs/>
          <w:sz w:val="28"/>
          <w:szCs w:val="28"/>
        </w:rPr>
      </w:pPr>
      <w:bookmarkStart w:id="11" w:name="_Toc240714310"/>
      <w:r w:rsidRPr="00A40A48">
        <w:rPr>
          <w:rFonts w:ascii="Arial" w:hAnsi="Arial" w:cs="Arial"/>
          <w:b/>
          <w:bCs/>
          <w:sz w:val="28"/>
          <w:szCs w:val="28"/>
        </w:rPr>
        <w:t>Appendix</w:t>
      </w:r>
      <w:bookmarkEnd w:id="11"/>
    </w:p>
    <w:p w14:paraId="6F06EAAD" w14:textId="77777777" w:rsidR="00C11904" w:rsidRPr="00C11904" w:rsidRDefault="00C11904" w:rsidP="00C11904">
      <w:pPr>
        <w:spacing w:line="360" w:lineRule="auto"/>
        <w:jc w:val="both"/>
        <w:rPr>
          <w:rFonts w:ascii="Arial" w:hAnsi="Arial" w:cs="Arial"/>
          <w:sz w:val="22"/>
          <w:szCs w:val="22"/>
        </w:rPr>
      </w:pPr>
    </w:p>
    <w:p w14:paraId="7765ED79" w14:textId="5AC85C72" w:rsidR="00C11904" w:rsidRPr="00C11904" w:rsidRDefault="00C11904" w:rsidP="00C11904">
      <w:pPr>
        <w:spacing w:line="360" w:lineRule="auto"/>
        <w:jc w:val="both"/>
        <w:rPr>
          <w:rFonts w:ascii="Arial" w:hAnsi="Arial" w:cs="Arial"/>
          <w:sz w:val="22"/>
          <w:szCs w:val="22"/>
        </w:rPr>
      </w:pPr>
      <w:r w:rsidRPr="00C11904">
        <w:rPr>
          <w:rFonts w:ascii="Arial" w:hAnsi="Arial" w:cs="Arial"/>
          <w:sz w:val="22"/>
          <w:szCs w:val="22"/>
        </w:rPr>
        <w:t>CASP Checklist:</w:t>
      </w:r>
    </w:p>
    <w:p w14:paraId="1C543A43" w14:textId="77777777" w:rsidR="00C11904" w:rsidRPr="00C11904" w:rsidRDefault="00C11904" w:rsidP="00C11904">
      <w:pPr>
        <w:spacing w:line="360" w:lineRule="auto"/>
        <w:jc w:val="both"/>
        <w:rPr>
          <w:rFonts w:ascii="Arial" w:hAnsi="Arial" w:cs="Arial"/>
          <w:sz w:val="22"/>
          <w:szCs w:val="22"/>
        </w:rPr>
      </w:pPr>
      <w:r w:rsidRPr="00C11904">
        <w:rPr>
          <w:rFonts w:ascii="Arial" w:hAnsi="Arial" w:cs="Arial"/>
          <w:sz w:val="22"/>
          <w:szCs w:val="22"/>
        </w:rPr>
        <w:t>For Qualitative Research</w:t>
      </w:r>
    </w:p>
    <w:p w14:paraId="664BE731" w14:textId="77777777" w:rsidR="00C11904" w:rsidRPr="00C11904" w:rsidRDefault="00C11904" w:rsidP="00C11904">
      <w:pPr>
        <w:spacing w:line="360" w:lineRule="auto"/>
        <w:jc w:val="both"/>
        <w:rPr>
          <w:rFonts w:ascii="Arial" w:hAnsi="Arial" w:cs="Arial"/>
          <w:sz w:val="22"/>
          <w:szCs w:val="22"/>
        </w:rPr>
      </w:pPr>
    </w:p>
    <w:tbl>
      <w:tblPr>
        <w:tblStyle w:val="TableGrid"/>
        <w:tblpPr w:leftFromText="180" w:rightFromText="180" w:vertAnchor="text" w:horzAnchor="margin" w:tblpY="1664"/>
        <w:tblOverlap w:val="never"/>
        <w:tblW w:w="0" w:type="auto"/>
        <w:tblLook w:val="04A0" w:firstRow="1" w:lastRow="0" w:firstColumn="1" w:lastColumn="0" w:noHBand="0" w:noVBand="1"/>
      </w:tblPr>
      <w:tblGrid>
        <w:gridCol w:w="1816"/>
        <w:gridCol w:w="7194"/>
      </w:tblGrid>
      <w:tr w:rsidR="00C11904" w:rsidRPr="00C11904" w14:paraId="337C8A74" w14:textId="77777777" w:rsidTr="00A600A2">
        <w:tc>
          <w:tcPr>
            <w:tcW w:w="1816" w:type="dxa"/>
            <w:tcBorders>
              <w:top w:val="single" w:sz="4" w:space="0" w:color="auto"/>
              <w:left w:val="single" w:sz="4" w:space="0" w:color="auto"/>
              <w:bottom w:val="single" w:sz="4" w:space="0" w:color="auto"/>
              <w:right w:val="single" w:sz="4" w:space="0" w:color="auto"/>
            </w:tcBorders>
          </w:tcPr>
          <w:p w14:paraId="08F12E40"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t>Reviewer Name:</w:t>
            </w:r>
          </w:p>
        </w:tc>
        <w:tc>
          <w:tcPr>
            <w:tcW w:w="7194" w:type="dxa"/>
            <w:tcBorders>
              <w:top w:val="single" w:sz="4" w:space="0" w:color="auto"/>
              <w:left w:val="single" w:sz="4" w:space="0" w:color="auto"/>
              <w:bottom w:val="single" w:sz="4" w:space="0" w:color="auto"/>
              <w:right w:val="single" w:sz="4" w:space="0" w:color="auto"/>
            </w:tcBorders>
          </w:tcPr>
          <w:p w14:paraId="278812DC" w14:textId="77777777" w:rsidR="00C11904" w:rsidRPr="00C11904" w:rsidRDefault="00C11904" w:rsidP="00C11904">
            <w:pPr>
              <w:spacing w:line="360" w:lineRule="auto"/>
              <w:jc w:val="both"/>
              <w:rPr>
                <w:rFonts w:ascii="Arial" w:hAnsi="Arial" w:cs="Arial"/>
                <w:sz w:val="22"/>
                <w:szCs w:val="22"/>
              </w:rPr>
            </w:pPr>
            <w:r w:rsidRPr="00C11904">
              <w:rPr>
                <w:rFonts w:ascii="Arial" w:hAnsi="Arial" w:cs="Arial"/>
                <w:sz w:val="22"/>
                <w:szCs w:val="22"/>
              </w:rPr>
              <w:t>Nevyana Nikolova</w:t>
            </w:r>
          </w:p>
          <w:p w14:paraId="2A4851F2" w14:textId="77777777" w:rsidR="00C11904" w:rsidRPr="00C11904" w:rsidRDefault="00C11904" w:rsidP="00C11904">
            <w:pPr>
              <w:spacing w:line="360" w:lineRule="auto"/>
              <w:jc w:val="both"/>
              <w:rPr>
                <w:rFonts w:ascii="Arial" w:hAnsi="Arial" w:cs="Arial"/>
                <w:sz w:val="22"/>
                <w:szCs w:val="22"/>
              </w:rPr>
            </w:pPr>
          </w:p>
        </w:tc>
      </w:tr>
      <w:tr w:rsidR="00C11904" w:rsidRPr="00C11904" w14:paraId="2C231A22" w14:textId="77777777" w:rsidTr="00A600A2">
        <w:tc>
          <w:tcPr>
            <w:tcW w:w="1816" w:type="dxa"/>
            <w:tcBorders>
              <w:top w:val="single" w:sz="4" w:space="0" w:color="auto"/>
              <w:left w:val="single" w:sz="4" w:space="0" w:color="auto"/>
              <w:bottom w:val="single" w:sz="4" w:space="0" w:color="auto"/>
              <w:right w:val="single" w:sz="4" w:space="0" w:color="auto"/>
            </w:tcBorders>
          </w:tcPr>
          <w:p w14:paraId="4BD8604D"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t xml:space="preserve">Paper Title: </w:t>
            </w:r>
          </w:p>
        </w:tc>
        <w:tc>
          <w:tcPr>
            <w:tcW w:w="7194" w:type="dxa"/>
            <w:tcBorders>
              <w:top w:val="single" w:sz="4" w:space="0" w:color="auto"/>
              <w:left w:val="single" w:sz="4" w:space="0" w:color="auto"/>
              <w:bottom w:val="single" w:sz="4" w:space="0" w:color="auto"/>
              <w:right w:val="single" w:sz="4" w:space="0" w:color="auto"/>
            </w:tcBorders>
          </w:tcPr>
          <w:p w14:paraId="46F353D9" w14:textId="77777777" w:rsidR="00C11904" w:rsidRPr="00C11904" w:rsidRDefault="00C11904" w:rsidP="00C11904">
            <w:pPr>
              <w:spacing w:line="360" w:lineRule="auto"/>
              <w:jc w:val="both"/>
              <w:rPr>
                <w:rFonts w:ascii="Arial" w:hAnsi="Arial" w:cs="Arial"/>
                <w:sz w:val="22"/>
                <w:szCs w:val="22"/>
              </w:rPr>
            </w:pPr>
          </w:p>
          <w:p w14:paraId="7FE4788E" w14:textId="7F7924B3"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t xml:space="preserve">Perspectives of GPs working in or alongside emergency departments in </w:t>
            </w:r>
            <w:r w:rsidR="007C75AA">
              <w:rPr>
                <w:rFonts w:ascii="Arial" w:hAnsi="Arial" w:cs="Arial"/>
                <w:b/>
                <w:bCs/>
                <w:sz w:val="22"/>
                <w:szCs w:val="22"/>
              </w:rPr>
              <w:t>UK</w:t>
            </w:r>
            <w:r w:rsidRPr="00C11904">
              <w:rPr>
                <w:rFonts w:ascii="Arial" w:hAnsi="Arial" w:cs="Arial"/>
                <w:b/>
                <w:bCs/>
                <w:sz w:val="22"/>
                <w:szCs w:val="22"/>
              </w:rPr>
              <w:t>: qualitative findings from the GPs and Emergency Departments Study</w:t>
            </w:r>
          </w:p>
          <w:p w14:paraId="7AF1DFC9" w14:textId="77777777" w:rsidR="00C11904" w:rsidRPr="00C11904" w:rsidRDefault="00C11904" w:rsidP="00C11904">
            <w:pPr>
              <w:spacing w:line="360" w:lineRule="auto"/>
              <w:jc w:val="both"/>
              <w:rPr>
                <w:rFonts w:ascii="Arial" w:hAnsi="Arial" w:cs="Arial"/>
                <w:sz w:val="22"/>
                <w:szCs w:val="22"/>
              </w:rPr>
            </w:pPr>
          </w:p>
        </w:tc>
      </w:tr>
      <w:tr w:rsidR="00C11904" w:rsidRPr="00C11904" w14:paraId="1651E20A" w14:textId="77777777" w:rsidTr="00A600A2">
        <w:tc>
          <w:tcPr>
            <w:tcW w:w="1816" w:type="dxa"/>
            <w:tcBorders>
              <w:top w:val="single" w:sz="4" w:space="0" w:color="auto"/>
              <w:left w:val="single" w:sz="4" w:space="0" w:color="auto"/>
              <w:bottom w:val="single" w:sz="4" w:space="0" w:color="auto"/>
              <w:right w:val="single" w:sz="4" w:space="0" w:color="auto"/>
            </w:tcBorders>
          </w:tcPr>
          <w:p w14:paraId="59AE446B"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t>Author:</w:t>
            </w:r>
          </w:p>
        </w:tc>
        <w:tc>
          <w:tcPr>
            <w:tcW w:w="7194" w:type="dxa"/>
            <w:tcBorders>
              <w:top w:val="single" w:sz="4" w:space="0" w:color="auto"/>
              <w:left w:val="single" w:sz="4" w:space="0" w:color="auto"/>
              <w:bottom w:val="single" w:sz="4" w:space="0" w:color="auto"/>
              <w:right w:val="single" w:sz="4" w:space="0" w:color="auto"/>
            </w:tcBorders>
          </w:tcPr>
          <w:p w14:paraId="10A902B5" w14:textId="4B48BCDF" w:rsidR="00C11904" w:rsidRPr="00C11904" w:rsidRDefault="009D0BD4" w:rsidP="00C11904">
            <w:pPr>
              <w:spacing w:line="360" w:lineRule="auto"/>
              <w:jc w:val="both"/>
              <w:rPr>
                <w:rFonts w:ascii="Arial" w:hAnsi="Arial" w:cs="Arial"/>
                <w:sz w:val="22"/>
                <w:szCs w:val="22"/>
              </w:rPr>
            </w:pPr>
            <w:r w:rsidRPr="009D0BD4">
              <w:t>Helen Anderson, Chiara Calastri, Michelle Edwards, Sally A. Hull, Nils Jacob, Thomas Jamieson, Jelena Madia, Laura Maynou, Alicia O'Cathain, Caroline O'Keeffe, Beth Parkinson, Delyth Price</w:t>
            </w:r>
          </w:p>
          <w:p w14:paraId="3ED9A296" w14:textId="77777777" w:rsidR="00C11904" w:rsidRPr="00C11904" w:rsidRDefault="00C11904" w:rsidP="00C11904">
            <w:pPr>
              <w:spacing w:line="360" w:lineRule="auto"/>
              <w:jc w:val="both"/>
              <w:rPr>
                <w:rFonts w:ascii="Arial" w:hAnsi="Arial" w:cs="Arial"/>
                <w:sz w:val="22"/>
                <w:szCs w:val="22"/>
              </w:rPr>
            </w:pPr>
          </w:p>
          <w:p w14:paraId="3E3F1D3F" w14:textId="77777777" w:rsidR="00C11904" w:rsidRPr="00C11904" w:rsidRDefault="00C11904" w:rsidP="00C11904">
            <w:pPr>
              <w:spacing w:line="360" w:lineRule="auto"/>
              <w:jc w:val="both"/>
              <w:rPr>
                <w:rFonts w:ascii="Arial" w:hAnsi="Arial" w:cs="Arial"/>
                <w:b/>
                <w:bCs/>
                <w:sz w:val="22"/>
                <w:szCs w:val="22"/>
              </w:rPr>
            </w:pPr>
          </w:p>
        </w:tc>
      </w:tr>
      <w:tr w:rsidR="00C11904" w:rsidRPr="00C11904" w14:paraId="45517B55" w14:textId="77777777" w:rsidTr="00A600A2">
        <w:tc>
          <w:tcPr>
            <w:tcW w:w="1816" w:type="dxa"/>
            <w:tcBorders>
              <w:top w:val="single" w:sz="4" w:space="0" w:color="auto"/>
              <w:left w:val="single" w:sz="4" w:space="0" w:color="auto"/>
              <w:bottom w:val="single" w:sz="4" w:space="0" w:color="auto"/>
              <w:right w:val="single" w:sz="4" w:space="0" w:color="auto"/>
            </w:tcBorders>
          </w:tcPr>
          <w:p w14:paraId="5E595F8A"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t>Web Link:</w:t>
            </w:r>
          </w:p>
        </w:tc>
        <w:tc>
          <w:tcPr>
            <w:tcW w:w="7194" w:type="dxa"/>
            <w:tcBorders>
              <w:top w:val="single" w:sz="4" w:space="0" w:color="auto"/>
              <w:left w:val="single" w:sz="4" w:space="0" w:color="auto"/>
              <w:bottom w:val="single" w:sz="4" w:space="0" w:color="auto"/>
              <w:right w:val="single" w:sz="4" w:space="0" w:color="auto"/>
            </w:tcBorders>
          </w:tcPr>
          <w:p w14:paraId="25B31D08" w14:textId="77777777" w:rsidR="00C11904" w:rsidRPr="00C11904" w:rsidRDefault="00C11904" w:rsidP="00C11904">
            <w:pPr>
              <w:spacing w:line="360" w:lineRule="auto"/>
              <w:jc w:val="both"/>
              <w:rPr>
                <w:rFonts w:ascii="Arial" w:hAnsi="Arial" w:cs="Arial"/>
                <w:sz w:val="22"/>
                <w:szCs w:val="22"/>
              </w:rPr>
            </w:pPr>
            <w:r w:rsidRPr="00C11904">
              <w:rPr>
                <w:rFonts w:ascii="Arial" w:hAnsi="Arial" w:cs="Arial"/>
                <w:sz w:val="22"/>
                <w:szCs w:val="22"/>
              </w:rPr>
              <w:t>https://pubmed.ncbi.nlm.nih.gov/35879107/</w:t>
            </w:r>
          </w:p>
          <w:p w14:paraId="636D84F6" w14:textId="77777777" w:rsidR="00C11904" w:rsidRPr="00C11904" w:rsidRDefault="00C11904" w:rsidP="00C11904">
            <w:pPr>
              <w:spacing w:line="360" w:lineRule="auto"/>
              <w:jc w:val="both"/>
              <w:rPr>
                <w:rFonts w:ascii="Arial" w:hAnsi="Arial" w:cs="Arial"/>
                <w:sz w:val="22"/>
                <w:szCs w:val="22"/>
              </w:rPr>
            </w:pPr>
          </w:p>
          <w:p w14:paraId="7B92AF06" w14:textId="77777777" w:rsidR="00C11904" w:rsidRPr="00C11904" w:rsidRDefault="00C11904" w:rsidP="00C11904">
            <w:pPr>
              <w:spacing w:line="360" w:lineRule="auto"/>
              <w:jc w:val="both"/>
              <w:rPr>
                <w:rFonts w:ascii="Arial" w:hAnsi="Arial" w:cs="Arial"/>
                <w:sz w:val="22"/>
                <w:szCs w:val="22"/>
              </w:rPr>
            </w:pPr>
          </w:p>
        </w:tc>
      </w:tr>
      <w:tr w:rsidR="00C11904" w:rsidRPr="00C11904" w14:paraId="3C910581" w14:textId="77777777" w:rsidTr="00A600A2">
        <w:tc>
          <w:tcPr>
            <w:tcW w:w="1816" w:type="dxa"/>
            <w:tcBorders>
              <w:top w:val="single" w:sz="4" w:space="0" w:color="auto"/>
              <w:left w:val="single" w:sz="4" w:space="0" w:color="auto"/>
              <w:bottom w:val="single" w:sz="4" w:space="0" w:color="auto"/>
              <w:right w:val="single" w:sz="4" w:space="0" w:color="auto"/>
            </w:tcBorders>
          </w:tcPr>
          <w:p w14:paraId="61F532FC"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t>Appraisal Date:</w:t>
            </w:r>
          </w:p>
        </w:tc>
        <w:tc>
          <w:tcPr>
            <w:tcW w:w="7194" w:type="dxa"/>
            <w:tcBorders>
              <w:top w:val="single" w:sz="4" w:space="0" w:color="auto"/>
              <w:left w:val="single" w:sz="4" w:space="0" w:color="auto"/>
              <w:bottom w:val="single" w:sz="4" w:space="0" w:color="auto"/>
              <w:right w:val="single" w:sz="4" w:space="0" w:color="auto"/>
            </w:tcBorders>
          </w:tcPr>
          <w:p w14:paraId="16B1D5DA" w14:textId="77777777" w:rsidR="00C11904" w:rsidRPr="00C11904" w:rsidRDefault="00C11904" w:rsidP="00C11904">
            <w:pPr>
              <w:spacing w:line="360" w:lineRule="auto"/>
              <w:jc w:val="both"/>
              <w:rPr>
                <w:rFonts w:ascii="Arial" w:hAnsi="Arial" w:cs="Arial"/>
                <w:sz w:val="22"/>
                <w:szCs w:val="22"/>
              </w:rPr>
            </w:pPr>
            <w:r w:rsidRPr="00C11904">
              <w:rPr>
                <w:rFonts w:ascii="Arial" w:hAnsi="Arial" w:cs="Arial"/>
                <w:sz w:val="22"/>
                <w:szCs w:val="22"/>
              </w:rPr>
              <w:t>29/07/2026</w:t>
            </w:r>
          </w:p>
          <w:p w14:paraId="3F65B9AD" w14:textId="77777777" w:rsidR="00C11904" w:rsidRPr="00C11904" w:rsidRDefault="00C11904" w:rsidP="00C11904">
            <w:pPr>
              <w:spacing w:line="360" w:lineRule="auto"/>
              <w:jc w:val="both"/>
              <w:rPr>
                <w:rFonts w:ascii="Arial" w:hAnsi="Arial" w:cs="Arial"/>
                <w:sz w:val="22"/>
                <w:szCs w:val="22"/>
              </w:rPr>
            </w:pPr>
          </w:p>
        </w:tc>
      </w:tr>
    </w:tbl>
    <w:p w14:paraId="654FAD74" w14:textId="77777777" w:rsidR="00C11904" w:rsidRPr="00C11904" w:rsidRDefault="00C11904" w:rsidP="00C11904">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4505"/>
        <w:gridCol w:w="4505"/>
      </w:tblGrid>
      <w:tr w:rsidR="00C11904" w:rsidRPr="00C11904" w14:paraId="7F52FAE5" w14:textId="77777777" w:rsidTr="00A600A2">
        <w:tc>
          <w:tcPr>
            <w:tcW w:w="9010" w:type="dxa"/>
            <w:gridSpan w:val="2"/>
            <w:shd w:val="clear" w:color="auto" w:fill="DAE9F7" w:themeFill="text2" w:themeFillTint="1A"/>
          </w:tcPr>
          <w:p w14:paraId="3CBE1A4D" w14:textId="77777777" w:rsidR="00C11904" w:rsidRPr="00C11904" w:rsidRDefault="00C11904" w:rsidP="00C11904">
            <w:pPr>
              <w:spacing w:line="360" w:lineRule="auto"/>
              <w:jc w:val="both"/>
              <w:rPr>
                <w:rFonts w:ascii="Arial" w:hAnsi="Arial" w:cs="Arial"/>
                <w:b/>
                <w:bCs/>
                <w:sz w:val="22"/>
                <w:szCs w:val="22"/>
              </w:rPr>
            </w:pPr>
          </w:p>
          <w:p w14:paraId="6403C9AC"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lastRenderedPageBreak/>
              <w:t>Section A Are the results valid?</w:t>
            </w:r>
          </w:p>
          <w:p w14:paraId="005CB330" w14:textId="77777777" w:rsidR="00C11904" w:rsidRPr="00C11904" w:rsidRDefault="00C11904" w:rsidP="00C11904">
            <w:pPr>
              <w:spacing w:line="360" w:lineRule="auto"/>
              <w:jc w:val="both"/>
              <w:rPr>
                <w:rFonts w:ascii="Arial" w:hAnsi="Arial" w:cs="Arial"/>
                <w:b/>
                <w:bCs/>
                <w:sz w:val="22"/>
                <w:szCs w:val="22"/>
              </w:rPr>
            </w:pPr>
          </w:p>
        </w:tc>
      </w:tr>
      <w:tr w:rsidR="00C11904" w:rsidRPr="00C11904" w14:paraId="1C82646D" w14:textId="77777777" w:rsidTr="00A600A2">
        <w:tc>
          <w:tcPr>
            <w:tcW w:w="4505" w:type="dxa"/>
          </w:tcPr>
          <w:p w14:paraId="2D7027D1" w14:textId="77777777" w:rsidR="00C11904" w:rsidRPr="00C11904" w:rsidRDefault="00C11904" w:rsidP="00C11904">
            <w:pPr>
              <w:numPr>
                <w:ilvl w:val="0"/>
                <w:numId w:val="11"/>
              </w:numPr>
              <w:spacing w:line="360" w:lineRule="auto"/>
              <w:jc w:val="both"/>
              <w:rPr>
                <w:rFonts w:ascii="Arial" w:hAnsi="Arial" w:cs="Arial"/>
                <w:sz w:val="22"/>
                <w:szCs w:val="22"/>
              </w:rPr>
            </w:pPr>
            <w:r w:rsidRPr="00C11904">
              <w:rPr>
                <w:rFonts w:ascii="Arial" w:hAnsi="Arial" w:cs="Arial"/>
                <w:sz w:val="22"/>
                <w:szCs w:val="22"/>
              </w:rPr>
              <w:lastRenderedPageBreak/>
              <w:t>Was there a clear statement of the aims of the research?</w:t>
            </w:r>
          </w:p>
          <w:p w14:paraId="42B4521F" w14:textId="77777777" w:rsidR="00C11904" w:rsidRPr="00C11904" w:rsidRDefault="00C11904" w:rsidP="00C11904">
            <w:pPr>
              <w:spacing w:line="360" w:lineRule="auto"/>
              <w:jc w:val="both"/>
              <w:rPr>
                <w:rFonts w:ascii="Arial" w:hAnsi="Arial" w:cs="Arial"/>
                <w:sz w:val="22"/>
                <w:szCs w:val="22"/>
              </w:rPr>
            </w:pPr>
          </w:p>
          <w:p w14:paraId="1ABF36E5" w14:textId="6AC06B4F"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t xml:space="preserve">The study clearly aimed to explore the experiences and motivations of GPs working in or alongside emergency departments in </w:t>
            </w:r>
            <w:r w:rsidR="00796BF9">
              <w:rPr>
                <w:rFonts w:ascii="Arial" w:hAnsi="Arial" w:cs="Arial"/>
                <w:b/>
                <w:bCs/>
                <w:sz w:val="22"/>
                <w:szCs w:val="22"/>
              </w:rPr>
              <w:t>UK</w:t>
            </w:r>
            <w:r w:rsidRPr="00C11904">
              <w:rPr>
                <w:rFonts w:ascii="Arial" w:hAnsi="Arial" w:cs="Arial"/>
                <w:b/>
                <w:bCs/>
                <w:sz w:val="22"/>
                <w:szCs w:val="22"/>
              </w:rPr>
              <w:t xml:space="preserve">. </w:t>
            </w:r>
          </w:p>
          <w:p w14:paraId="34A9BB8B" w14:textId="77777777" w:rsidR="00C11904" w:rsidRPr="00C11904" w:rsidRDefault="00C11904" w:rsidP="00C11904">
            <w:pPr>
              <w:spacing w:line="360" w:lineRule="auto"/>
              <w:jc w:val="both"/>
              <w:rPr>
                <w:rFonts w:ascii="Arial" w:hAnsi="Arial" w:cs="Arial"/>
                <w:sz w:val="22"/>
                <w:szCs w:val="22"/>
              </w:rPr>
            </w:pPr>
          </w:p>
          <w:p w14:paraId="6E8CA0DB" w14:textId="77777777" w:rsidR="00C11904" w:rsidRPr="00C11904" w:rsidRDefault="00C11904" w:rsidP="00C11904">
            <w:pPr>
              <w:spacing w:line="360" w:lineRule="auto"/>
              <w:jc w:val="both"/>
              <w:rPr>
                <w:rFonts w:ascii="Arial" w:hAnsi="Arial" w:cs="Arial"/>
                <w:sz w:val="22"/>
                <w:szCs w:val="22"/>
              </w:rPr>
            </w:pPr>
          </w:p>
          <w:p w14:paraId="2403D7D6" w14:textId="77777777" w:rsidR="00C11904" w:rsidRPr="00C11904" w:rsidRDefault="00C11904" w:rsidP="00C11904">
            <w:pPr>
              <w:spacing w:line="360" w:lineRule="auto"/>
              <w:jc w:val="both"/>
              <w:rPr>
                <w:rFonts w:ascii="Arial" w:hAnsi="Arial" w:cs="Arial"/>
                <w:sz w:val="22"/>
                <w:szCs w:val="22"/>
              </w:rPr>
            </w:pPr>
          </w:p>
          <w:p w14:paraId="427C0455" w14:textId="77777777" w:rsidR="00C11904" w:rsidRPr="00C11904" w:rsidRDefault="00C11904" w:rsidP="00C11904">
            <w:pPr>
              <w:spacing w:line="360" w:lineRule="auto"/>
              <w:jc w:val="both"/>
              <w:rPr>
                <w:rFonts w:ascii="Arial" w:hAnsi="Arial" w:cs="Arial"/>
                <w:sz w:val="22"/>
                <w:szCs w:val="22"/>
              </w:rPr>
            </w:pPr>
          </w:p>
          <w:p w14:paraId="2ABF17AF" w14:textId="77777777" w:rsidR="00C11904" w:rsidRPr="00C11904" w:rsidRDefault="00C11904" w:rsidP="00C11904">
            <w:pPr>
              <w:spacing w:line="360" w:lineRule="auto"/>
              <w:jc w:val="both"/>
              <w:rPr>
                <w:rFonts w:ascii="Arial" w:hAnsi="Arial" w:cs="Arial"/>
                <w:sz w:val="22"/>
                <w:szCs w:val="22"/>
              </w:rPr>
            </w:pPr>
          </w:p>
          <w:p w14:paraId="7FFC5023" w14:textId="77777777" w:rsidR="00C11904" w:rsidRPr="00C11904" w:rsidRDefault="00C11904" w:rsidP="00C11904">
            <w:pPr>
              <w:spacing w:line="360" w:lineRule="auto"/>
              <w:jc w:val="both"/>
              <w:rPr>
                <w:rFonts w:ascii="Arial" w:hAnsi="Arial" w:cs="Arial"/>
                <w:sz w:val="22"/>
                <w:szCs w:val="22"/>
              </w:rPr>
            </w:pPr>
          </w:p>
        </w:tc>
        <w:tc>
          <w:tcPr>
            <w:tcW w:w="4505" w:type="dxa"/>
          </w:tcPr>
          <w:p w14:paraId="0D9B5E6E" w14:textId="77777777" w:rsidR="00C11904" w:rsidRPr="00C11904" w:rsidRDefault="00C11904" w:rsidP="00C11904">
            <w:pPr>
              <w:spacing w:line="360" w:lineRule="auto"/>
              <w:jc w:val="both"/>
              <w:rPr>
                <w:rFonts w:ascii="Arial" w:hAnsi="Arial" w:cs="Arial"/>
                <w:sz w:val="22"/>
                <w:szCs w:val="22"/>
              </w:rPr>
            </w:pPr>
            <w:r w:rsidRPr="00C11904">
              <w:rPr>
                <w:rFonts w:ascii="Arial" w:hAnsi="Arial" w:cs="Arial"/>
                <w:sz w:val="22"/>
                <w:szCs w:val="22"/>
              </w:rPr>
              <w:t xml:space="preserve">             Yes</w:t>
            </w:r>
          </w:p>
        </w:tc>
      </w:tr>
      <w:tr w:rsidR="00C11904" w:rsidRPr="00C11904" w14:paraId="0AC7930F" w14:textId="77777777" w:rsidTr="00A600A2">
        <w:tc>
          <w:tcPr>
            <w:tcW w:w="9010" w:type="dxa"/>
            <w:gridSpan w:val="2"/>
            <w:shd w:val="clear" w:color="auto" w:fill="F2F2F2" w:themeFill="background1" w:themeFillShade="F2"/>
          </w:tcPr>
          <w:p w14:paraId="5153617E" w14:textId="77777777" w:rsidR="00C11904" w:rsidRPr="00C11904" w:rsidRDefault="00C11904" w:rsidP="00C11904">
            <w:pPr>
              <w:spacing w:line="360" w:lineRule="auto"/>
              <w:jc w:val="both"/>
              <w:rPr>
                <w:rFonts w:ascii="Arial" w:hAnsi="Arial" w:cs="Arial"/>
                <w:i/>
                <w:iCs/>
                <w:sz w:val="22"/>
                <w:szCs w:val="22"/>
              </w:rPr>
            </w:pPr>
            <w:r w:rsidRPr="00C11904">
              <w:rPr>
                <w:rFonts w:ascii="Arial" w:hAnsi="Arial" w:cs="Arial"/>
                <w:i/>
                <w:iCs/>
                <w:sz w:val="22"/>
                <w:szCs w:val="22"/>
              </w:rPr>
              <w:t xml:space="preserve">CONSIDER: </w:t>
            </w:r>
          </w:p>
          <w:p w14:paraId="06D00BF3" w14:textId="77777777" w:rsidR="00C11904" w:rsidRPr="00C11904" w:rsidRDefault="00C11904" w:rsidP="00C11904">
            <w:pPr>
              <w:numPr>
                <w:ilvl w:val="0"/>
                <w:numId w:val="15"/>
              </w:numPr>
              <w:spacing w:line="360" w:lineRule="auto"/>
              <w:jc w:val="both"/>
              <w:rPr>
                <w:rFonts w:ascii="Arial" w:hAnsi="Arial" w:cs="Arial"/>
                <w:i/>
                <w:iCs/>
                <w:sz w:val="22"/>
                <w:szCs w:val="22"/>
              </w:rPr>
            </w:pPr>
            <w:r w:rsidRPr="00C11904">
              <w:rPr>
                <w:rFonts w:ascii="Arial" w:hAnsi="Arial" w:cs="Arial"/>
                <w:i/>
                <w:iCs/>
                <w:sz w:val="22"/>
                <w:szCs w:val="22"/>
              </w:rPr>
              <w:t>what was the goal of the research?</w:t>
            </w:r>
          </w:p>
          <w:p w14:paraId="76670F57" w14:textId="77777777" w:rsidR="00C11904" w:rsidRPr="00C11904" w:rsidRDefault="00C11904" w:rsidP="00C11904">
            <w:pPr>
              <w:numPr>
                <w:ilvl w:val="0"/>
                <w:numId w:val="15"/>
              </w:numPr>
              <w:spacing w:line="360" w:lineRule="auto"/>
              <w:jc w:val="both"/>
              <w:rPr>
                <w:rFonts w:ascii="Arial" w:hAnsi="Arial" w:cs="Arial"/>
                <w:i/>
                <w:iCs/>
                <w:sz w:val="22"/>
                <w:szCs w:val="22"/>
              </w:rPr>
            </w:pPr>
            <w:r w:rsidRPr="00C11904">
              <w:rPr>
                <w:rFonts w:ascii="Arial" w:hAnsi="Arial" w:cs="Arial"/>
                <w:i/>
                <w:iCs/>
                <w:sz w:val="22"/>
                <w:szCs w:val="22"/>
              </w:rPr>
              <w:t>why was it thought important?</w:t>
            </w:r>
          </w:p>
          <w:p w14:paraId="6AC460EF" w14:textId="77777777" w:rsidR="00C11904" w:rsidRPr="00C11904" w:rsidRDefault="00C11904" w:rsidP="00C11904">
            <w:pPr>
              <w:numPr>
                <w:ilvl w:val="0"/>
                <w:numId w:val="15"/>
              </w:numPr>
              <w:spacing w:line="360" w:lineRule="auto"/>
              <w:jc w:val="both"/>
              <w:rPr>
                <w:rFonts w:ascii="Arial" w:hAnsi="Arial" w:cs="Arial"/>
                <w:i/>
                <w:iCs/>
                <w:sz w:val="22"/>
                <w:szCs w:val="22"/>
              </w:rPr>
            </w:pPr>
            <w:r w:rsidRPr="00C11904">
              <w:rPr>
                <w:rFonts w:ascii="Arial" w:hAnsi="Arial" w:cs="Arial"/>
                <w:i/>
                <w:iCs/>
                <w:sz w:val="22"/>
                <w:szCs w:val="22"/>
              </w:rPr>
              <w:t>its relevance</w:t>
            </w:r>
            <w:r w:rsidRPr="00C11904">
              <w:rPr>
                <w:rFonts w:ascii="Arial" w:hAnsi="Arial" w:cs="Arial"/>
                <w:b/>
                <w:bCs/>
                <w:i/>
                <w:iCs/>
                <w:sz w:val="22"/>
                <w:szCs w:val="22"/>
              </w:rPr>
              <w:t xml:space="preserve"> </w:t>
            </w:r>
          </w:p>
        </w:tc>
      </w:tr>
      <w:tr w:rsidR="00C11904" w:rsidRPr="00C11904" w14:paraId="142B0060" w14:textId="77777777" w:rsidTr="00A600A2">
        <w:tc>
          <w:tcPr>
            <w:tcW w:w="4505" w:type="dxa"/>
          </w:tcPr>
          <w:p w14:paraId="25615F06" w14:textId="77777777" w:rsidR="00C11904" w:rsidRPr="00C11904" w:rsidRDefault="00C11904" w:rsidP="00C11904">
            <w:pPr>
              <w:numPr>
                <w:ilvl w:val="0"/>
                <w:numId w:val="11"/>
              </w:numPr>
              <w:spacing w:line="360" w:lineRule="auto"/>
              <w:jc w:val="both"/>
              <w:rPr>
                <w:rFonts w:ascii="Arial" w:hAnsi="Arial" w:cs="Arial"/>
                <w:b/>
                <w:bCs/>
                <w:sz w:val="22"/>
                <w:szCs w:val="22"/>
              </w:rPr>
            </w:pPr>
            <w:r w:rsidRPr="00C11904">
              <w:rPr>
                <w:rFonts w:ascii="Arial" w:hAnsi="Arial" w:cs="Arial"/>
                <w:sz w:val="22"/>
                <w:szCs w:val="22"/>
              </w:rPr>
              <w:t>Is a qualitative methodology appropriate?</w:t>
            </w:r>
          </w:p>
          <w:p w14:paraId="238721FA" w14:textId="77777777" w:rsidR="00C11904" w:rsidRPr="00C11904" w:rsidRDefault="00C11904" w:rsidP="00C11904">
            <w:pPr>
              <w:spacing w:line="360" w:lineRule="auto"/>
              <w:jc w:val="both"/>
              <w:rPr>
                <w:rFonts w:ascii="Arial" w:hAnsi="Arial" w:cs="Arial"/>
                <w:b/>
                <w:bCs/>
                <w:sz w:val="22"/>
                <w:szCs w:val="22"/>
              </w:rPr>
            </w:pPr>
          </w:p>
          <w:p w14:paraId="122F4186" w14:textId="77777777" w:rsidR="00C11904" w:rsidRPr="00C11904" w:rsidRDefault="00C11904" w:rsidP="00C11904">
            <w:pPr>
              <w:spacing w:line="360" w:lineRule="auto"/>
              <w:jc w:val="both"/>
              <w:rPr>
                <w:rFonts w:ascii="Arial" w:hAnsi="Arial" w:cs="Arial"/>
                <w:b/>
                <w:bCs/>
                <w:sz w:val="22"/>
                <w:szCs w:val="22"/>
              </w:rPr>
            </w:pPr>
          </w:p>
          <w:p w14:paraId="39F17305" w14:textId="77777777" w:rsidR="00C11904" w:rsidRPr="00C11904" w:rsidRDefault="00C11904" w:rsidP="00C11904">
            <w:pPr>
              <w:spacing w:line="360" w:lineRule="auto"/>
              <w:jc w:val="both"/>
              <w:rPr>
                <w:rFonts w:ascii="Arial" w:hAnsi="Arial" w:cs="Arial"/>
                <w:b/>
                <w:bCs/>
                <w:sz w:val="22"/>
                <w:szCs w:val="22"/>
              </w:rPr>
            </w:pPr>
          </w:p>
          <w:p w14:paraId="7ED64946"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br/>
              <w:t>A qualitative approach was appropriate because the study sought to understand GPs' experiences and perceptions.</w:t>
            </w:r>
          </w:p>
          <w:p w14:paraId="7DC6070D" w14:textId="77777777" w:rsidR="00C11904" w:rsidRPr="00C11904" w:rsidRDefault="00C11904" w:rsidP="00C11904">
            <w:pPr>
              <w:spacing w:line="360" w:lineRule="auto"/>
              <w:jc w:val="both"/>
              <w:rPr>
                <w:rFonts w:ascii="Arial" w:hAnsi="Arial" w:cs="Arial"/>
                <w:b/>
                <w:bCs/>
                <w:sz w:val="22"/>
                <w:szCs w:val="22"/>
              </w:rPr>
            </w:pPr>
          </w:p>
          <w:p w14:paraId="31096B0B" w14:textId="77777777" w:rsidR="00C11904" w:rsidRPr="00C11904" w:rsidRDefault="00C11904" w:rsidP="00C11904">
            <w:pPr>
              <w:spacing w:line="360" w:lineRule="auto"/>
              <w:jc w:val="both"/>
              <w:rPr>
                <w:rFonts w:ascii="Arial" w:hAnsi="Arial" w:cs="Arial"/>
                <w:b/>
                <w:bCs/>
                <w:sz w:val="22"/>
                <w:szCs w:val="22"/>
              </w:rPr>
            </w:pPr>
          </w:p>
          <w:p w14:paraId="515C5F6F" w14:textId="77777777" w:rsidR="00C11904" w:rsidRPr="00C11904" w:rsidRDefault="00C11904" w:rsidP="00C11904">
            <w:pPr>
              <w:spacing w:line="360" w:lineRule="auto"/>
              <w:jc w:val="both"/>
              <w:rPr>
                <w:rFonts w:ascii="Arial" w:hAnsi="Arial" w:cs="Arial"/>
                <w:b/>
                <w:bCs/>
                <w:sz w:val="22"/>
                <w:szCs w:val="22"/>
              </w:rPr>
            </w:pPr>
          </w:p>
          <w:p w14:paraId="5FC60861" w14:textId="77777777" w:rsidR="00C11904" w:rsidRPr="00C11904" w:rsidRDefault="00C11904" w:rsidP="00C11904">
            <w:pPr>
              <w:spacing w:line="360" w:lineRule="auto"/>
              <w:jc w:val="both"/>
              <w:rPr>
                <w:rFonts w:ascii="Arial" w:hAnsi="Arial" w:cs="Arial"/>
                <w:b/>
                <w:bCs/>
                <w:sz w:val="22"/>
                <w:szCs w:val="22"/>
              </w:rPr>
            </w:pPr>
          </w:p>
          <w:p w14:paraId="4B3C5006" w14:textId="77777777" w:rsidR="00C11904" w:rsidRPr="00C11904" w:rsidRDefault="00C11904" w:rsidP="00C11904">
            <w:pPr>
              <w:spacing w:line="360" w:lineRule="auto"/>
              <w:jc w:val="both"/>
              <w:rPr>
                <w:rFonts w:ascii="Arial" w:hAnsi="Arial" w:cs="Arial"/>
                <w:b/>
                <w:bCs/>
                <w:sz w:val="22"/>
                <w:szCs w:val="22"/>
              </w:rPr>
            </w:pPr>
          </w:p>
        </w:tc>
        <w:tc>
          <w:tcPr>
            <w:tcW w:w="4505" w:type="dxa"/>
          </w:tcPr>
          <w:p w14:paraId="63D6C766" w14:textId="77777777" w:rsidR="00C11904" w:rsidRPr="00C11904" w:rsidRDefault="00C11904" w:rsidP="00C11904">
            <w:pPr>
              <w:spacing w:line="360" w:lineRule="auto"/>
              <w:jc w:val="both"/>
              <w:rPr>
                <w:rFonts w:ascii="Arial" w:hAnsi="Arial" w:cs="Arial"/>
                <w:sz w:val="22"/>
                <w:szCs w:val="22"/>
              </w:rPr>
            </w:pPr>
            <w:r w:rsidRPr="00C11904">
              <w:rPr>
                <w:rFonts w:ascii="Arial" w:hAnsi="Arial" w:cs="Arial"/>
                <w:sz w:val="22"/>
                <w:szCs w:val="22"/>
              </w:rPr>
              <w:t xml:space="preserve"> Yes </w:t>
            </w:r>
            <w:r w:rsidRPr="00C11904">
              <w:rPr>
                <w:rFonts w:ascii="Arial" w:hAnsi="Arial" w:cs="Arial"/>
                <w:sz w:val="22"/>
                <w:szCs w:val="22"/>
              </w:rPr>
              <w:br/>
            </w:r>
          </w:p>
          <w:p w14:paraId="41AC905C" w14:textId="77777777" w:rsidR="00C11904" w:rsidRPr="00C11904" w:rsidRDefault="00C11904" w:rsidP="00C11904">
            <w:pPr>
              <w:spacing w:line="360" w:lineRule="auto"/>
              <w:jc w:val="both"/>
              <w:rPr>
                <w:rFonts w:ascii="Arial" w:hAnsi="Arial" w:cs="Arial"/>
                <w:b/>
                <w:bCs/>
                <w:sz w:val="22"/>
                <w:szCs w:val="22"/>
              </w:rPr>
            </w:pPr>
          </w:p>
        </w:tc>
      </w:tr>
      <w:tr w:rsidR="00C11904" w:rsidRPr="00C11904" w14:paraId="391816F9" w14:textId="77777777" w:rsidTr="00A600A2">
        <w:tc>
          <w:tcPr>
            <w:tcW w:w="9010" w:type="dxa"/>
            <w:gridSpan w:val="2"/>
            <w:shd w:val="clear" w:color="auto" w:fill="F2F2F2" w:themeFill="background1" w:themeFillShade="F2"/>
          </w:tcPr>
          <w:p w14:paraId="50BA2C61" w14:textId="77777777" w:rsidR="00C11904" w:rsidRPr="00C11904" w:rsidRDefault="00C11904" w:rsidP="00C11904">
            <w:pPr>
              <w:spacing w:line="360" w:lineRule="auto"/>
              <w:jc w:val="both"/>
              <w:rPr>
                <w:rFonts w:ascii="Arial" w:hAnsi="Arial" w:cs="Arial"/>
                <w:i/>
                <w:iCs/>
                <w:sz w:val="22"/>
                <w:szCs w:val="22"/>
              </w:rPr>
            </w:pPr>
            <w:r w:rsidRPr="00C11904">
              <w:rPr>
                <w:rFonts w:ascii="Arial" w:hAnsi="Arial" w:cs="Arial"/>
                <w:i/>
                <w:iCs/>
                <w:sz w:val="22"/>
                <w:szCs w:val="22"/>
              </w:rPr>
              <w:lastRenderedPageBreak/>
              <w:t xml:space="preserve">CONSIDER: </w:t>
            </w:r>
          </w:p>
          <w:p w14:paraId="11456659" w14:textId="77777777" w:rsidR="00C11904" w:rsidRPr="00C11904" w:rsidRDefault="00C11904" w:rsidP="00C11904">
            <w:pPr>
              <w:numPr>
                <w:ilvl w:val="0"/>
                <w:numId w:val="12"/>
              </w:numPr>
              <w:spacing w:line="360" w:lineRule="auto"/>
              <w:jc w:val="both"/>
              <w:rPr>
                <w:rFonts w:ascii="Arial" w:hAnsi="Arial" w:cs="Arial"/>
                <w:i/>
                <w:iCs/>
                <w:sz w:val="22"/>
                <w:szCs w:val="22"/>
              </w:rPr>
            </w:pPr>
            <w:r w:rsidRPr="00C11904">
              <w:rPr>
                <w:rFonts w:ascii="Arial" w:hAnsi="Arial" w:cs="Arial"/>
                <w:i/>
                <w:iCs/>
                <w:sz w:val="22"/>
                <w:szCs w:val="22"/>
              </w:rPr>
              <w:t>If the research seeks to interpret or illuminate the actions and/or subjective experiences of research participants</w:t>
            </w:r>
          </w:p>
          <w:p w14:paraId="2E742765" w14:textId="77777777" w:rsidR="00C11904" w:rsidRPr="00C11904" w:rsidRDefault="00C11904" w:rsidP="00C11904">
            <w:pPr>
              <w:numPr>
                <w:ilvl w:val="0"/>
                <w:numId w:val="12"/>
              </w:numPr>
              <w:spacing w:line="360" w:lineRule="auto"/>
              <w:jc w:val="both"/>
              <w:rPr>
                <w:rFonts w:ascii="Arial" w:hAnsi="Arial" w:cs="Arial"/>
                <w:i/>
                <w:iCs/>
                <w:sz w:val="22"/>
                <w:szCs w:val="22"/>
              </w:rPr>
            </w:pPr>
            <w:r w:rsidRPr="00C11904">
              <w:rPr>
                <w:rFonts w:ascii="Arial" w:hAnsi="Arial" w:cs="Arial"/>
                <w:i/>
                <w:iCs/>
                <w:sz w:val="22"/>
                <w:szCs w:val="22"/>
              </w:rPr>
              <w:t>Is qualitative research the right methodology for addressing the research goal?</w:t>
            </w:r>
          </w:p>
        </w:tc>
      </w:tr>
      <w:tr w:rsidR="00C11904" w:rsidRPr="00C11904" w14:paraId="6184D729" w14:textId="77777777" w:rsidTr="00A600A2">
        <w:tc>
          <w:tcPr>
            <w:tcW w:w="4505" w:type="dxa"/>
          </w:tcPr>
          <w:p w14:paraId="6C361AA8" w14:textId="77777777" w:rsidR="00C11904" w:rsidRPr="00C11904" w:rsidRDefault="00C11904" w:rsidP="00C11904">
            <w:pPr>
              <w:numPr>
                <w:ilvl w:val="0"/>
                <w:numId w:val="11"/>
              </w:numPr>
              <w:spacing w:line="360" w:lineRule="auto"/>
              <w:jc w:val="both"/>
              <w:rPr>
                <w:rFonts w:ascii="Arial" w:hAnsi="Arial" w:cs="Arial"/>
                <w:b/>
                <w:bCs/>
                <w:sz w:val="22"/>
                <w:szCs w:val="22"/>
              </w:rPr>
            </w:pPr>
            <w:r w:rsidRPr="00C11904">
              <w:rPr>
                <w:rFonts w:ascii="Arial" w:hAnsi="Arial" w:cs="Arial"/>
                <w:sz w:val="22"/>
                <w:szCs w:val="22"/>
              </w:rPr>
              <w:t>Was the research design appropriate to address the aims of the research?</w:t>
            </w:r>
          </w:p>
          <w:p w14:paraId="72A994D1" w14:textId="77777777" w:rsidR="00C11904" w:rsidRPr="00C11904" w:rsidRDefault="00C11904" w:rsidP="00C11904">
            <w:pPr>
              <w:spacing w:line="360" w:lineRule="auto"/>
              <w:jc w:val="both"/>
              <w:rPr>
                <w:rFonts w:ascii="Arial" w:hAnsi="Arial" w:cs="Arial"/>
                <w:b/>
                <w:bCs/>
                <w:sz w:val="22"/>
                <w:szCs w:val="22"/>
              </w:rPr>
            </w:pPr>
          </w:p>
          <w:p w14:paraId="6EBF0471" w14:textId="77777777" w:rsidR="00C11904" w:rsidRPr="00C11904" w:rsidRDefault="00C11904" w:rsidP="00C11904">
            <w:pPr>
              <w:spacing w:line="360" w:lineRule="auto"/>
              <w:jc w:val="both"/>
              <w:rPr>
                <w:rFonts w:ascii="Arial" w:hAnsi="Arial" w:cs="Arial"/>
                <w:b/>
                <w:bCs/>
                <w:sz w:val="22"/>
                <w:szCs w:val="22"/>
              </w:rPr>
            </w:pPr>
          </w:p>
          <w:p w14:paraId="311A6042"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t xml:space="preserve">Semi-structured interviews and thematic analysis were appropriate for exploring participants' views. </w:t>
            </w:r>
          </w:p>
          <w:p w14:paraId="5BEB8B88" w14:textId="77777777" w:rsidR="00C11904" w:rsidRPr="00C11904" w:rsidRDefault="00C11904" w:rsidP="00C11904">
            <w:pPr>
              <w:spacing w:line="360" w:lineRule="auto"/>
              <w:jc w:val="both"/>
              <w:rPr>
                <w:rFonts w:ascii="Arial" w:hAnsi="Arial" w:cs="Arial"/>
                <w:b/>
                <w:bCs/>
                <w:sz w:val="22"/>
                <w:szCs w:val="22"/>
              </w:rPr>
            </w:pPr>
          </w:p>
          <w:p w14:paraId="7654CC26" w14:textId="77777777" w:rsidR="00C11904" w:rsidRPr="00C11904" w:rsidRDefault="00C11904" w:rsidP="00C11904">
            <w:pPr>
              <w:spacing w:line="360" w:lineRule="auto"/>
              <w:jc w:val="both"/>
              <w:rPr>
                <w:rFonts w:ascii="Arial" w:hAnsi="Arial" w:cs="Arial"/>
                <w:b/>
                <w:bCs/>
                <w:sz w:val="22"/>
                <w:szCs w:val="22"/>
              </w:rPr>
            </w:pPr>
          </w:p>
          <w:p w14:paraId="2E28D5A7" w14:textId="77777777" w:rsidR="00C11904" w:rsidRPr="00C11904" w:rsidRDefault="00C11904" w:rsidP="00C11904">
            <w:pPr>
              <w:spacing w:line="360" w:lineRule="auto"/>
              <w:jc w:val="both"/>
              <w:rPr>
                <w:rFonts w:ascii="Arial" w:hAnsi="Arial" w:cs="Arial"/>
                <w:b/>
                <w:bCs/>
                <w:sz w:val="22"/>
                <w:szCs w:val="22"/>
              </w:rPr>
            </w:pPr>
          </w:p>
        </w:tc>
        <w:tc>
          <w:tcPr>
            <w:tcW w:w="4505" w:type="dxa"/>
          </w:tcPr>
          <w:p w14:paraId="6F992748"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sz w:val="22"/>
                <w:szCs w:val="22"/>
              </w:rPr>
              <w:t xml:space="preserve">Yes </w:t>
            </w:r>
          </w:p>
        </w:tc>
      </w:tr>
      <w:tr w:rsidR="00C11904" w:rsidRPr="00C11904" w14:paraId="46E5991A" w14:textId="77777777" w:rsidTr="00A600A2">
        <w:tc>
          <w:tcPr>
            <w:tcW w:w="9010" w:type="dxa"/>
            <w:gridSpan w:val="2"/>
            <w:shd w:val="clear" w:color="auto" w:fill="F2F2F2" w:themeFill="background1" w:themeFillShade="F2"/>
          </w:tcPr>
          <w:p w14:paraId="403F3036" w14:textId="77777777" w:rsidR="00C11904" w:rsidRPr="00C11904" w:rsidRDefault="00C11904" w:rsidP="00C11904">
            <w:pPr>
              <w:spacing w:line="360" w:lineRule="auto"/>
              <w:jc w:val="both"/>
              <w:rPr>
                <w:rFonts w:ascii="Arial" w:hAnsi="Arial" w:cs="Arial"/>
                <w:i/>
                <w:iCs/>
                <w:sz w:val="22"/>
                <w:szCs w:val="22"/>
              </w:rPr>
            </w:pPr>
            <w:r w:rsidRPr="00C11904">
              <w:rPr>
                <w:rFonts w:ascii="Arial" w:hAnsi="Arial" w:cs="Arial"/>
                <w:i/>
                <w:iCs/>
                <w:sz w:val="22"/>
                <w:szCs w:val="22"/>
              </w:rPr>
              <w:t xml:space="preserve">CONSIDER: </w:t>
            </w:r>
          </w:p>
          <w:p w14:paraId="53296C2C" w14:textId="77777777" w:rsidR="00C11904" w:rsidRPr="00C11904" w:rsidRDefault="00C11904" w:rsidP="00C11904">
            <w:pPr>
              <w:numPr>
                <w:ilvl w:val="0"/>
                <w:numId w:val="16"/>
              </w:numPr>
              <w:spacing w:line="360" w:lineRule="auto"/>
              <w:jc w:val="both"/>
              <w:rPr>
                <w:rFonts w:ascii="Arial" w:hAnsi="Arial" w:cs="Arial"/>
                <w:b/>
                <w:bCs/>
                <w:sz w:val="22"/>
                <w:szCs w:val="22"/>
              </w:rPr>
            </w:pPr>
            <w:r w:rsidRPr="00C11904">
              <w:rPr>
                <w:rFonts w:ascii="Arial" w:hAnsi="Arial" w:cs="Arial"/>
                <w:i/>
                <w:iCs/>
                <w:sz w:val="22"/>
                <w:szCs w:val="22"/>
              </w:rPr>
              <w:t>if the researcher has justified the research design (e.g., have they discussed how they decided which method to use)</w:t>
            </w:r>
          </w:p>
          <w:p w14:paraId="7727A4AE" w14:textId="77777777" w:rsidR="00C11904" w:rsidRPr="00C11904" w:rsidRDefault="00C11904" w:rsidP="00C11904">
            <w:pPr>
              <w:spacing w:line="360" w:lineRule="auto"/>
              <w:jc w:val="both"/>
              <w:rPr>
                <w:rFonts w:ascii="Arial" w:hAnsi="Arial" w:cs="Arial"/>
                <w:b/>
                <w:bCs/>
                <w:sz w:val="22"/>
                <w:szCs w:val="22"/>
              </w:rPr>
            </w:pPr>
          </w:p>
        </w:tc>
      </w:tr>
      <w:tr w:rsidR="00C11904" w:rsidRPr="00C11904" w14:paraId="727E84FC" w14:textId="77777777" w:rsidTr="00A600A2">
        <w:tc>
          <w:tcPr>
            <w:tcW w:w="4505" w:type="dxa"/>
          </w:tcPr>
          <w:p w14:paraId="712F57E1" w14:textId="77777777" w:rsidR="00C11904" w:rsidRPr="00C11904" w:rsidRDefault="00C11904" w:rsidP="00C11904">
            <w:pPr>
              <w:numPr>
                <w:ilvl w:val="0"/>
                <w:numId w:val="11"/>
              </w:numPr>
              <w:spacing w:line="360" w:lineRule="auto"/>
              <w:jc w:val="both"/>
              <w:rPr>
                <w:rFonts w:ascii="Arial" w:hAnsi="Arial" w:cs="Arial"/>
                <w:b/>
                <w:bCs/>
                <w:sz w:val="22"/>
                <w:szCs w:val="22"/>
              </w:rPr>
            </w:pPr>
            <w:r w:rsidRPr="00C11904">
              <w:rPr>
                <w:rFonts w:ascii="Arial" w:hAnsi="Arial" w:cs="Arial"/>
                <w:sz w:val="22"/>
                <w:szCs w:val="22"/>
              </w:rPr>
              <w:t>Was the recruitment strategy appropriate to the aims of the research?</w:t>
            </w:r>
          </w:p>
          <w:p w14:paraId="404B3FFC" w14:textId="77777777" w:rsidR="00C11904" w:rsidRPr="00C11904" w:rsidRDefault="00C11904" w:rsidP="00C11904">
            <w:pPr>
              <w:spacing w:line="360" w:lineRule="auto"/>
              <w:jc w:val="both"/>
              <w:rPr>
                <w:rFonts w:ascii="Arial" w:hAnsi="Arial" w:cs="Arial"/>
                <w:b/>
                <w:bCs/>
                <w:sz w:val="22"/>
                <w:szCs w:val="22"/>
              </w:rPr>
            </w:pPr>
          </w:p>
          <w:p w14:paraId="21E27A18" w14:textId="77777777" w:rsidR="00C11904" w:rsidRPr="00C11904" w:rsidRDefault="00C11904" w:rsidP="00C11904">
            <w:pPr>
              <w:spacing w:line="360" w:lineRule="auto"/>
              <w:jc w:val="both"/>
              <w:rPr>
                <w:rFonts w:ascii="Arial" w:hAnsi="Arial" w:cs="Arial"/>
                <w:b/>
                <w:bCs/>
                <w:sz w:val="22"/>
                <w:szCs w:val="22"/>
              </w:rPr>
            </w:pPr>
          </w:p>
          <w:p w14:paraId="0872B281" w14:textId="65467AC2"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t xml:space="preserve">GPs were recruited from ten GPED sites across </w:t>
            </w:r>
            <w:r w:rsidR="00796BF9">
              <w:rPr>
                <w:rFonts w:ascii="Arial" w:hAnsi="Arial" w:cs="Arial"/>
                <w:b/>
                <w:bCs/>
                <w:sz w:val="22"/>
                <w:szCs w:val="22"/>
              </w:rPr>
              <w:t>UK</w:t>
            </w:r>
            <w:r w:rsidRPr="00C11904">
              <w:rPr>
                <w:rFonts w:ascii="Arial" w:hAnsi="Arial" w:cs="Arial"/>
                <w:b/>
                <w:bCs/>
                <w:sz w:val="22"/>
                <w:szCs w:val="22"/>
              </w:rPr>
              <w:t>, providing a range of experiences.</w:t>
            </w:r>
          </w:p>
          <w:p w14:paraId="3336B2CA" w14:textId="77777777" w:rsidR="00C11904" w:rsidRPr="00C11904" w:rsidRDefault="00C11904" w:rsidP="00C11904">
            <w:pPr>
              <w:spacing w:line="360" w:lineRule="auto"/>
              <w:jc w:val="both"/>
              <w:rPr>
                <w:rFonts w:ascii="Arial" w:hAnsi="Arial" w:cs="Arial"/>
                <w:b/>
                <w:bCs/>
                <w:sz w:val="22"/>
                <w:szCs w:val="22"/>
              </w:rPr>
            </w:pPr>
          </w:p>
          <w:p w14:paraId="5475C480" w14:textId="77777777" w:rsidR="00C11904" w:rsidRPr="00C11904" w:rsidRDefault="00C11904" w:rsidP="00C11904">
            <w:pPr>
              <w:spacing w:line="360" w:lineRule="auto"/>
              <w:jc w:val="both"/>
              <w:rPr>
                <w:rFonts w:ascii="Arial" w:hAnsi="Arial" w:cs="Arial"/>
                <w:b/>
                <w:bCs/>
                <w:sz w:val="22"/>
                <w:szCs w:val="22"/>
              </w:rPr>
            </w:pPr>
          </w:p>
          <w:p w14:paraId="45004987" w14:textId="77777777" w:rsidR="00C11904" w:rsidRPr="00C11904" w:rsidRDefault="00C11904" w:rsidP="00C11904">
            <w:pPr>
              <w:spacing w:line="360" w:lineRule="auto"/>
              <w:jc w:val="both"/>
              <w:rPr>
                <w:rFonts w:ascii="Arial" w:hAnsi="Arial" w:cs="Arial"/>
                <w:b/>
                <w:bCs/>
                <w:sz w:val="22"/>
                <w:szCs w:val="22"/>
              </w:rPr>
            </w:pPr>
          </w:p>
          <w:p w14:paraId="37119084" w14:textId="77777777" w:rsidR="00C11904" w:rsidRPr="00C11904" w:rsidRDefault="00C11904" w:rsidP="00C11904">
            <w:pPr>
              <w:spacing w:line="360" w:lineRule="auto"/>
              <w:jc w:val="both"/>
              <w:rPr>
                <w:rFonts w:ascii="Arial" w:hAnsi="Arial" w:cs="Arial"/>
                <w:b/>
                <w:bCs/>
                <w:sz w:val="22"/>
                <w:szCs w:val="22"/>
              </w:rPr>
            </w:pPr>
          </w:p>
        </w:tc>
        <w:tc>
          <w:tcPr>
            <w:tcW w:w="4505" w:type="dxa"/>
          </w:tcPr>
          <w:p w14:paraId="37E1F4F1"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sz w:val="22"/>
                <w:szCs w:val="22"/>
              </w:rPr>
              <w:t xml:space="preserve">Yes </w:t>
            </w:r>
          </w:p>
        </w:tc>
      </w:tr>
      <w:tr w:rsidR="00C11904" w:rsidRPr="00C11904" w14:paraId="3AC9D5A7" w14:textId="77777777" w:rsidTr="00A600A2">
        <w:tc>
          <w:tcPr>
            <w:tcW w:w="9010" w:type="dxa"/>
            <w:gridSpan w:val="2"/>
            <w:shd w:val="clear" w:color="auto" w:fill="F2F2F2" w:themeFill="background1" w:themeFillShade="F2"/>
          </w:tcPr>
          <w:p w14:paraId="7AC0A3AA" w14:textId="77777777" w:rsidR="00C11904" w:rsidRPr="00C11904" w:rsidRDefault="00C11904" w:rsidP="00C11904">
            <w:pPr>
              <w:spacing w:line="360" w:lineRule="auto"/>
              <w:jc w:val="both"/>
              <w:rPr>
                <w:rFonts w:ascii="Arial" w:hAnsi="Arial" w:cs="Arial"/>
                <w:i/>
                <w:iCs/>
                <w:sz w:val="22"/>
                <w:szCs w:val="22"/>
              </w:rPr>
            </w:pPr>
            <w:r w:rsidRPr="00C11904">
              <w:rPr>
                <w:rFonts w:ascii="Arial" w:hAnsi="Arial" w:cs="Arial"/>
                <w:i/>
                <w:iCs/>
                <w:sz w:val="22"/>
                <w:szCs w:val="22"/>
              </w:rPr>
              <w:t xml:space="preserve">CONSIDER: </w:t>
            </w:r>
          </w:p>
          <w:p w14:paraId="4B53B528" w14:textId="77777777" w:rsidR="00C11904" w:rsidRPr="00C11904" w:rsidRDefault="00C11904" w:rsidP="00C11904">
            <w:pPr>
              <w:numPr>
                <w:ilvl w:val="0"/>
                <w:numId w:val="13"/>
              </w:numPr>
              <w:spacing w:line="360" w:lineRule="auto"/>
              <w:jc w:val="both"/>
              <w:rPr>
                <w:rFonts w:ascii="Arial" w:hAnsi="Arial" w:cs="Arial"/>
                <w:i/>
                <w:iCs/>
                <w:sz w:val="22"/>
                <w:szCs w:val="22"/>
              </w:rPr>
            </w:pPr>
            <w:r w:rsidRPr="00C11904">
              <w:rPr>
                <w:rFonts w:ascii="Arial" w:hAnsi="Arial" w:cs="Arial"/>
                <w:i/>
                <w:iCs/>
                <w:sz w:val="22"/>
                <w:szCs w:val="22"/>
              </w:rPr>
              <w:t>If the researcher has explained how the participants were selected</w:t>
            </w:r>
          </w:p>
          <w:p w14:paraId="655997DF" w14:textId="6A555BFF" w:rsidR="00C11904" w:rsidRPr="00C11904" w:rsidRDefault="00C11904" w:rsidP="00C11904">
            <w:pPr>
              <w:numPr>
                <w:ilvl w:val="0"/>
                <w:numId w:val="13"/>
              </w:numPr>
              <w:spacing w:line="360" w:lineRule="auto"/>
              <w:jc w:val="both"/>
              <w:rPr>
                <w:rFonts w:ascii="Arial" w:hAnsi="Arial" w:cs="Arial"/>
                <w:i/>
                <w:iCs/>
                <w:sz w:val="22"/>
                <w:szCs w:val="22"/>
              </w:rPr>
            </w:pPr>
            <w:r w:rsidRPr="00C11904">
              <w:rPr>
                <w:rFonts w:ascii="Arial" w:hAnsi="Arial" w:cs="Arial"/>
                <w:i/>
                <w:iCs/>
                <w:sz w:val="22"/>
                <w:szCs w:val="22"/>
              </w:rPr>
              <w:lastRenderedPageBreak/>
              <w:t xml:space="preserve">If they explained why the </w:t>
            </w:r>
            <w:r w:rsidR="009F7FDA" w:rsidRPr="00C11904">
              <w:rPr>
                <w:rFonts w:ascii="Arial" w:hAnsi="Arial" w:cs="Arial"/>
                <w:i/>
                <w:iCs/>
                <w:sz w:val="22"/>
                <w:szCs w:val="22"/>
              </w:rPr>
              <w:t>participants,</w:t>
            </w:r>
            <w:r w:rsidRPr="00C11904">
              <w:rPr>
                <w:rFonts w:ascii="Arial" w:hAnsi="Arial" w:cs="Arial"/>
                <w:i/>
                <w:iCs/>
                <w:sz w:val="22"/>
                <w:szCs w:val="22"/>
              </w:rPr>
              <w:t xml:space="preserve"> they selected were the most appropriate to provide access to the type of knowledge sought by the </w:t>
            </w:r>
            <w:r w:rsidR="00FB2CA1" w:rsidRPr="00C11904">
              <w:rPr>
                <w:rFonts w:ascii="Arial" w:hAnsi="Arial" w:cs="Arial"/>
                <w:i/>
                <w:iCs/>
                <w:sz w:val="22"/>
                <w:szCs w:val="22"/>
              </w:rPr>
              <w:t>study.</w:t>
            </w:r>
          </w:p>
          <w:p w14:paraId="392425C5" w14:textId="77777777" w:rsidR="00C11904" w:rsidRPr="00C11904" w:rsidRDefault="00C11904" w:rsidP="00C11904">
            <w:pPr>
              <w:numPr>
                <w:ilvl w:val="0"/>
                <w:numId w:val="13"/>
              </w:numPr>
              <w:spacing w:line="360" w:lineRule="auto"/>
              <w:jc w:val="both"/>
              <w:rPr>
                <w:rFonts w:ascii="Arial" w:hAnsi="Arial" w:cs="Arial"/>
                <w:i/>
                <w:iCs/>
                <w:sz w:val="22"/>
                <w:szCs w:val="22"/>
              </w:rPr>
            </w:pPr>
            <w:r w:rsidRPr="00C11904">
              <w:rPr>
                <w:rFonts w:ascii="Arial" w:hAnsi="Arial" w:cs="Arial"/>
                <w:i/>
                <w:iCs/>
                <w:sz w:val="22"/>
                <w:szCs w:val="22"/>
              </w:rPr>
              <w:t>If there are any discussions around recruitment (e.g. why some people chose not to take part)</w:t>
            </w:r>
          </w:p>
        </w:tc>
      </w:tr>
      <w:tr w:rsidR="00C11904" w:rsidRPr="00C11904" w14:paraId="231680D9" w14:textId="77777777" w:rsidTr="00A600A2">
        <w:tc>
          <w:tcPr>
            <w:tcW w:w="4505" w:type="dxa"/>
          </w:tcPr>
          <w:p w14:paraId="6C162E66" w14:textId="77777777" w:rsidR="00C11904" w:rsidRPr="00C11904" w:rsidRDefault="00C11904" w:rsidP="00C11904">
            <w:pPr>
              <w:numPr>
                <w:ilvl w:val="0"/>
                <w:numId w:val="11"/>
              </w:numPr>
              <w:spacing w:line="360" w:lineRule="auto"/>
              <w:jc w:val="both"/>
              <w:rPr>
                <w:rFonts w:ascii="Arial" w:hAnsi="Arial" w:cs="Arial"/>
                <w:b/>
                <w:bCs/>
                <w:sz w:val="22"/>
                <w:szCs w:val="22"/>
              </w:rPr>
            </w:pPr>
            <w:r w:rsidRPr="00C11904">
              <w:rPr>
                <w:rFonts w:ascii="Arial" w:hAnsi="Arial" w:cs="Arial"/>
                <w:sz w:val="22"/>
                <w:szCs w:val="22"/>
              </w:rPr>
              <w:lastRenderedPageBreak/>
              <w:t>Was the data collected in a way that addressed the research issue?</w:t>
            </w:r>
          </w:p>
          <w:p w14:paraId="29FEEAE1" w14:textId="77777777" w:rsidR="00C11904" w:rsidRPr="00C11904" w:rsidRDefault="00C11904" w:rsidP="00C11904">
            <w:pPr>
              <w:spacing w:line="360" w:lineRule="auto"/>
              <w:jc w:val="both"/>
              <w:rPr>
                <w:rFonts w:ascii="Arial" w:hAnsi="Arial" w:cs="Arial"/>
                <w:b/>
                <w:bCs/>
                <w:sz w:val="22"/>
                <w:szCs w:val="22"/>
              </w:rPr>
            </w:pPr>
          </w:p>
          <w:p w14:paraId="33857BE7" w14:textId="77777777" w:rsidR="00C11904" w:rsidRPr="00C11904" w:rsidRDefault="00C11904" w:rsidP="00C11904">
            <w:pPr>
              <w:spacing w:line="360" w:lineRule="auto"/>
              <w:jc w:val="both"/>
              <w:rPr>
                <w:rFonts w:ascii="Arial" w:hAnsi="Arial" w:cs="Arial"/>
                <w:b/>
                <w:bCs/>
                <w:sz w:val="22"/>
                <w:szCs w:val="22"/>
              </w:rPr>
            </w:pPr>
          </w:p>
          <w:p w14:paraId="22EF0F4E" w14:textId="6B9454FF"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t xml:space="preserve">Data were collected through </w:t>
            </w:r>
            <w:r w:rsidR="008F09CD" w:rsidRPr="00C11904">
              <w:rPr>
                <w:rFonts w:ascii="Arial" w:hAnsi="Arial" w:cs="Arial"/>
                <w:b/>
                <w:bCs/>
                <w:sz w:val="22"/>
                <w:szCs w:val="22"/>
              </w:rPr>
              <w:t>forty-two</w:t>
            </w:r>
            <w:r w:rsidRPr="00C11904">
              <w:rPr>
                <w:rFonts w:ascii="Arial" w:hAnsi="Arial" w:cs="Arial"/>
                <w:b/>
                <w:bCs/>
                <w:sz w:val="22"/>
                <w:szCs w:val="22"/>
              </w:rPr>
              <w:t xml:space="preserve"> semi-structured interviews using an appropriate qualitative approach.</w:t>
            </w:r>
          </w:p>
          <w:p w14:paraId="482AFAA1" w14:textId="77777777" w:rsidR="00C11904" w:rsidRPr="00C11904" w:rsidRDefault="00C11904" w:rsidP="00C11904">
            <w:pPr>
              <w:spacing w:line="360" w:lineRule="auto"/>
              <w:jc w:val="both"/>
              <w:rPr>
                <w:rFonts w:ascii="Arial" w:hAnsi="Arial" w:cs="Arial"/>
                <w:b/>
                <w:bCs/>
                <w:sz w:val="22"/>
                <w:szCs w:val="22"/>
              </w:rPr>
            </w:pPr>
          </w:p>
          <w:p w14:paraId="33DDBD6B" w14:textId="77777777" w:rsidR="00C11904" w:rsidRPr="00C11904" w:rsidRDefault="00C11904" w:rsidP="00C11904">
            <w:pPr>
              <w:spacing w:line="360" w:lineRule="auto"/>
              <w:jc w:val="both"/>
              <w:rPr>
                <w:rFonts w:ascii="Arial" w:hAnsi="Arial" w:cs="Arial"/>
                <w:b/>
                <w:bCs/>
                <w:sz w:val="22"/>
                <w:szCs w:val="22"/>
              </w:rPr>
            </w:pPr>
          </w:p>
          <w:p w14:paraId="5CB87DEC" w14:textId="77777777" w:rsidR="00C11904" w:rsidRPr="00C11904" w:rsidRDefault="00C11904" w:rsidP="00C11904">
            <w:pPr>
              <w:spacing w:line="360" w:lineRule="auto"/>
              <w:jc w:val="both"/>
              <w:rPr>
                <w:rFonts w:ascii="Arial" w:hAnsi="Arial" w:cs="Arial"/>
                <w:b/>
                <w:bCs/>
                <w:sz w:val="22"/>
                <w:szCs w:val="22"/>
              </w:rPr>
            </w:pPr>
          </w:p>
          <w:p w14:paraId="2CC3AE96" w14:textId="77777777" w:rsidR="00C11904" w:rsidRPr="00C11904" w:rsidRDefault="00C11904" w:rsidP="00C11904">
            <w:pPr>
              <w:spacing w:line="360" w:lineRule="auto"/>
              <w:jc w:val="both"/>
              <w:rPr>
                <w:rFonts w:ascii="Arial" w:hAnsi="Arial" w:cs="Arial"/>
                <w:b/>
                <w:bCs/>
                <w:sz w:val="22"/>
                <w:szCs w:val="22"/>
              </w:rPr>
            </w:pPr>
          </w:p>
        </w:tc>
        <w:tc>
          <w:tcPr>
            <w:tcW w:w="4505" w:type="dxa"/>
          </w:tcPr>
          <w:p w14:paraId="6A0D80E3"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sz w:val="22"/>
                <w:szCs w:val="22"/>
              </w:rPr>
              <w:t xml:space="preserve">Yes </w:t>
            </w:r>
          </w:p>
        </w:tc>
      </w:tr>
      <w:tr w:rsidR="00C11904" w:rsidRPr="00C11904" w14:paraId="5ABF01E6" w14:textId="77777777" w:rsidTr="00A600A2">
        <w:tc>
          <w:tcPr>
            <w:tcW w:w="9010" w:type="dxa"/>
            <w:gridSpan w:val="2"/>
            <w:shd w:val="clear" w:color="auto" w:fill="F2F2F2" w:themeFill="background1" w:themeFillShade="F2"/>
          </w:tcPr>
          <w:p w14:paraId="3159CC64" w14:textId="77777777" w:rsidR="00C11904" w:rsidRPr="00C11904" w:rsidRDefault="00C11904" w:rsidP="00C11904">
            <w:pPr>
              <w:spacing w:line="360" w:lineRule="auto"/>
              <w:jc w:val="both"/>
              <w:rPr>
                <w:rFonts w:ascii="Arial" w:hAnsi="Arial" w:cs="Arial"/>
                <w:i/>
                <w:iCs/>
                <w:sz w:val="22"/>
                <w:szCs w:val="22"/>
              </w:rPr>
            </w:pPr>
            <w:r w:rsidRPr="00C11904">
              <w:rPr>
                <w:rFonts w:ascii="Arial" w:hAnsi="Arial" w:cs="Arial"/>
                <w:i/>
                <w:iCs/>
                <w:sz w:val="22"/>
                <w:szCs w:val="22"/>
              </w:rPr>
              <w:t xml:space="preserve">CONSIDER: </w:t>
            </w:r>
          </w:p>
          <w:p w14:paraId="5D02DDB6" w14:textId="77777777" w:rsidR="00C11904" w:rsidRPr="00C11904" w:rsidRDefault="00C11904" w:rsidP="00C11904">
            <w:pPr>
              <w:spacing w:line="360" w:lineRule="auto"/>
              <w:jc w:val="both"/>
              <w:rPr>
                <w:rFonts w:ascii="Arial" w:hAnsi="Arial" w:cs="Arial"/>
                <w:i/>
                <w:iCs/>
                <w:sz w:val="22"/>
                <w:szCs w:val="22"/>
              </w:rPr>
            </w:pPr>
          </w:p>
          <w:p w14:paraId="52007099" w14:textId="77777777" w:rsidR="00C11904" w:rsidRPr="00C11904" w:rsidRDefault="00C11904" w:rsidP="00C11904">
            <w:pPr>
              <w:numPr>
                <w:ilvl w:val="0"/>
                <w:numId w:val="13"/>
              </w:numPr>
              <w:spacing w:line="360" w:lineRule="auto"/>
              <w:jc w:val="both"/>
              <w:rPr>
                <w:rFonts w:ascii="Arial" w:hAnsi="Arial" w:cs="Arial"/>
                <w:i/>
                <w:iCs/>
                <w:sz w:val="22"/>
                <w:szCs w:val="22"/>
              </w:rPr>
            </w:pPr>
            <w:r w:rsidRPr="00C11904">
              <w:rPr>
                <w:rFonts w:ascii="Arial" w:hAnsi="Arial" w:cs="Arial"/>
                <w:i/>
                <w:iCs/>
                <w:sz w:val="22"/>
                <w:szCs w:val="22"/>
              </w:rPr>
              <w:t>If the setting for the data collection was justified</w:t>
            </w:r>
          </w:p>
          <w:p w14:paraId="75EC837B" w14:textId="77777777" w:rsidR="00C11904" w:rsidRPr="00C11904" w:rsidRDefault="00C11904" w:rsidP="00C11904">
            <w:pPr>
              <w:numPr>
                <w:ilvl w:val="0"/>
                <w:numId w:val="13"/>
              </w:numPr>
              <w:spacing w:line="360" w:lineRule="auto"/>
              <w:jc w:val="both"/>
              <w:rPr>
                <w:rFonts w:ascii="Arial" w:hAnsi="Arial" w:cs="Arial"/>
                <w:i/>
                <w:iCs/>
                <w:sz w:val="22"/>
                <w:szCs w:val="22"/>
              </w:rPr>
            </w:pPr>
            <w:r w:rsidRPr="00C11904">
              <w:rPr>
                <w:rFonts w:ascii="Arial" w:hAnsi="Arial" w:cs="Arial"/>
                <w:i/>
                <w:iCs/>
                <w:sz w:val="22"/>
                <w:szCs w:val="22"/>
              </w:rPr>
              <w:t>If it is clear how data were collected (e.g. focus group, semi-structured interview etc.)</w:t>
            </w:r>
          </w:p>
          <w:p w14:paraId="0D7D0717" w14:textId="77777777" w:rsidR="00C11904" w:rsidRPr="00C11904" w:rsidRDefault="00C11904" w:rsidP="00C11904">
            <w:pPr>
              <w:numPr>
                <w:ilvl w:val="0"/>
                <w:numId w:val="13"/>
              </w:numPr>
              <w:spacing w:line="360" w:lineRule="auto"/>
              <w:jc w:val="both"/>
              <w:rPr>
                <w:rFonts w:ascii="Arial" w:hAnsi="Arial" w:cs="Arial"/>
                <w:i/>
                <w:iCs/>
                <w:sz w:val="22"/>
                <w:szCs w:val="22"/>
              </w:rPr>
            </w:pPr>
            <w:r w:rsidRPr="00C11904">
              <w:rPr>
                <w:rFonts w:ascii="Arial" w:hAnsi="Arial" w:cs="Arial"/>
                <w:i/>
                <w:iCs/>
                <w:sz w:val="22"/>
                <w:szCs w:val="22"/>
              </w:rPr>
              <w:t>If the researcher has justified the methods chosen</w:t>
            </w:r>
          </w:p>
          <w:p w14:paraId="1085A525" w14:textId="77777777" w:rsidR="00C11904" w:rsidRPr="00C11904" w:rsidRDefault="00C11904" w:rsidP="00C11904">
            <w:pPr>
              <w:numPr>
                <w:ilvl w:val="0"/>
                <w:numId w:val="13"/>
              </w:numPr>
              <w:spacing w:line="360" w:lineRule="auto"/>
              <w:jc w:val="both"/>
              <w:rPr>
                <w:rFonts w:ascii="Arial" w:hAnsi="Arial" w:cs="Arial"/>
                <w:i/>
                <w:iCs/>
                <w:sz w:val="22"/>
                <w:szCs w:val="22"/>
              </w:rPr>
            </w:pPr>
            <w:r w:rsidRPr="00C11904">
              <w:rPr>
                <w:rFonts w:ascii="Arial" w:hAnsi="Arial" w:cs="Arial"/>
                <w:i/>
                <w:iCs/>
                <w:sz w:val="22"/>
                <w:szCs w:val="22"/>
              </w:rPr>
              <w:t>If the researcher has made the methods explicit (e.g. for interview method, is there an indication of how interviews are conducted, or did they use a topic guide)</w:t>
            </w:r>
          </w:p>
          <w:p w14:paraId="721D4139" w14:textId="6C042894" w:rsidR="00C11904" w:rsidRPr="00C11904" w:rsidRDefault="00C11904" w:rsidP="00C11904">
            <w:pPr>
              <w:numPr>
                <w:ilvl w:val="0"/>
                <w:numId w:val="13"/>
              </w:numPr>
              <w:spacing w:line="360" w:lineRule="auto"/>
              <w:jc w:val="both"/>
              <w:rPr>
                <w:rFonts w:ascii="Arial" w:hAnsi="Arial" w:cs="Arial"/>
                <w:i/>
                <w:iCs/>
                <w:sz w:val="22"/>
                <w:szCs w:val="22"/>
              </w:rPr>
            </w:pPr>
            <w:r w:rsidRPr="00C11904">
              <w:rPr>
                <w:rFonts w:ascii="Arial" w:hAnsi="Arial" w:cs="Arial"/>
                <w:i/>
                <w:iCs/>
                <w:sz w:val="22"/>
                <w:szCs w:val="22"/>
              </w:rPr>
              <w:t xml:space="preserve">If methods were modified during the study. If so, has the researcher explained how and </w:t>
            </w:r>
            <w:r w:rsidR="00F33ECF" w:rsidRPr="00C11904">
              <w:rPr>
                <w:rFonts w:ascii="Arial" w:hAnsi="Arial" w:cs="Arial"/>
                <w:i/>
                <w:iCs/>
                <w:sz w:val="22"/>
                <w:szCs w:val="22"/>
              </w:rPr>
              <w:t>why.</w:t>
            </w:r>
          </w:p>
          <w:p w14:paraId="675C1E2B" w14:textId="77777777" w:rsidR="00C11904" w:rsidRPr="00C11904" w:rsidRDefault="00C11904" w:rsidP="00C11904">
            <w:pPr>
              <w:numPr>
                <w:ilvl w:val="0"/>
                <w:numId w:val="13"/>
              </w:numPr>
              <w:spacing w:line="360" w:lineRule="auto"/>
              <w:jc w:val="both"/>
              <w:rPr>
                <w:rFonts w:ascii="Arial" w:hAnsi="Arial" w:cs="Arial"/>
                <w:i/>
                <w:iCs/>
                <w:sz w:val="22"/>
                <w:szCs w:val="22"/>
              </w:rPr>
            </w:pPr>
            <w:r w:rsidRPr="00C11904">
              <w:rPr>
                <w:rFonts w:ascii="Arial" w:hAnsi="Arial" w:cs="Arial"/>
                <w:i/>
                <w:iCs/>
                <w:sz w:val="22"/>
                <w:szCs w:val="22"/>
              </w:rPr>
              <w:t>If the form of data is clear (e.g. tape recordings, video material, notes etc.)</w:t>
            </w:r>
          </w:p>
          <w:p w14:paraId="53FE3834" w14:textId="77777777" w:rsidR="00C11904" w:rsidRPr="00C11904" w:rsidRDefault="00C11904" w:rsidP="00C11904">
            <w:pPr>
              <w:numPr>
                <w:ilvl w:val="0"/>
                <w:numId w:val="13"/>
              </w:numPr>
              <w:spacing w:line="360" w:lineRule="auto"/>
              <w:jc w:val="both"/>
              <w:rPr>
                <w:rFonts w:ascii="Arial" w:hAnsi="Arial" w:cs="Arial"/>
                <w:i/>
                <w:iCs/>
                <w:sz w:val="22"/>
                <w:szCs w:val="22"/>
              </w:rPr>
            </w:pPr>
            <w:r w:rsidRPr="00C11904">
              <w:rPr>
                <w:rFonts w:ascii="Arial" w:hAnsi="Arial" w:cs="Arial"/>
                <w:i/>
                <w:iCs/>
                <w:sz w:val="22"/>
                <w:szCs w:val="22"/>
              </w:rPr>
              <w:t>If the researcher has discussed saturation of data</w:t>
            </w:r>
          </w:p>
        </w:tc>
      </w:tr>
      <w:tr w:rsidR="00C11904" w:rsidRPr="00C11904" w14:paraId="493EF3E5" w14:textId="77777777" w:rsidTr="00A600A2">
        <w:tc>
          <w:tcPr>
            <w:tcW w:w="4505" w:type="dxa"/>
          </w:tcPr>
          <w:p w14:paraId="6CB8BAAE" w14:textId="77777777" w:rsidR="00C11904" w:rsidRPr="00C11904" w:rsidRDefault="00C11904" w:rsidP="00C11904">
            <w:pPr>
              <w:numPr>
                <w:ilvl w:val="0"/>
                <w:numId w:val="11"/>
              </w:numPr>
              <w:spacing w:line="360" w:lineRule="auto"/>
              <w:jc w:val="both"/>
              <w:rPr>
                <w:rFonts w:ascii="Arial" w:hAnsi="Arial" w:cs="Arial"/>
                <w:bCs/>
                <w:sz w:val="22"/>
                <w:szCs w:val="22"/>
              </w:rPr>
            </w:pPr>
            <w:r w:rsidRPr="00C11904">
              <w:rPr>
                <w:rFonts w:ascii="Arial" w:hAnsi="Arial" w:cs="Arial"/>
                <w:bCs/>
                <w:sz w:val="22"/>
                <w:szCs w:val="22"/>
              </w:rPr>
              <w:t>Has the relationship between researcher and participants been adequately considered?</w:t>
            </w:r>
          </w:p>
          <w:p w14:paraId="05DE9528" w14:textId="77777777" w:rsidR="00C11904" w:rsidRPr="00C11904" w:rsidRDefault="00C11904" w:rsidP="00C11904">
            <w:pPr>
              <w:spacing w:line="360" w:lineRule="auto"/>
              <w:jc w:val="both"/>
              <w:rPr>
                <w:rFonts w:ascii="Arial" w:hAnsi="Arial" w:cs="Arial"/>
                <w:bCs/>
                <w:sz w:val="22"/>
                <w:szCs w:val="22"/>
              </w:rPr>
            </w:pPr>
          </w:p>
          <w:p w14:paraId="470CE165" w14:textId="77777777" w:rsidR="00C11904" w:rsidRPr="00C11904" w:rsidRDefault="00C11904" w:rsidP="00C11904">
            <w:pPr>
              <w:spacing w:line="360" w:lineRule="auto"/>
              <w:jc w:val="both"/>
              <w:rPr>
                <w:rFonts w:ascii="Arial" w:hAnsi="Arial" w:cs="Arial"/>
                <w:bCs/>
                <w:sz w:val="22"/>
                <w:szCs w:val="22"/>
              </w:rPr>
            </w:pPr>
          </w:p>
          <w:p w14:paraId="542FAC91" w14:textId="77777777" w:rsidR="00C11904" w:rsidRPr="00C11904" w:rsidRDefault="00C11904" w:rsidP="00C11904">
            <w:pPr>
              <w:spacing w:line="360" w:lineRule="auto"/>
              <w:jc w:val="both"/>
              <w:rPr>
                <w:rFonts w:ascii="Arial" w:hAnsi="Arial" w:cs="Arial"/>
                <w:bCs/>
                <w:sz w:val="22"/>
                <w:szCs w:val="22"/>
              </w:rPr>
            </w:pPr>
          </w:p>
          <w:p w14:paraId="43FC1E74" w14:textId="77777777" w:rsidR="00C11904" w:rsidRPr="00C11904" w:rsidRDefault="00C11904" w:rsidP="00C11904">
            <w:pPr>
              <w:spacing w:line="360" w:lineRule="auto"/>
              <w:jc w:val="both"/>
              <w:rPr>
                <w:rFonts w:ascii="Arial" w:hAnsi="Arial" w:cs="Arial"/>
                <w:bCs/>
                <w:sz w:val="22"/>
                <w:szCs w:val="22"/>
              </w:rPr>
            </w:pPr>
            <w:r w:rsidRPr="00C11904">
              <w:rPr>
                <w:rFonts w:ascii="Arial" w:hAnsi="Arial" w:cs="Arial"/>
                <w:bCs/>
                <w:sz w:val="22"/>
                <w:szCs w:val="22"/>
              </w:rPr>
              <w:lastRenderedPageBreak/>
              <w:br/>
            </w:r>
            <w:r w:rsidRPr="00C11904">
              <w:rPr>
                <w:rFonts w:ascii="Arial" w:hAnsi="Arial" w:cs="Arial"/>
                <w:b/>
                <w:sz w:val="22"/>
                <w:szCs w:val="22"/>
              </w:rPr>
              <w:t xml:space="preserve">The study explains the interview process but provides limited discussion of researcher reflexivity and its influence on the findings. </w:t>
            </w:r>
          </w:p>
          <w:p w14:paraId="3A291192" w14:textId="77777777" w:rsidR="00C11904" w:rsidRPr="00C11904" w:rsidRDefault="00C11904" w:rsidP="00C11904">
            <w:pPr>
              <w:spacing w:line="360" w:lineRule="auto"/>
              <w:jc w:val="both"/>
              <w:rPr>
                <w:rFonts w:ascii="Arial" w:hAnsi="Arial" w:cs="Arial"/>
                <w:bCs/>
                <w:sz w:val="22"/>
                <w:szCs w:val="22"/>
              </w:rPr>
            </w:pPr>
          </w:p>
        </w:tc>
        <w:tc>
          <w:tcPr>
            <w:tcW w:w="4505" w:type="dxa"/>
          </w:tcPr>
          <w:p w14:paraId="5493E82D" w14:textId="77777777" w:rsidR="00C11904" w:rsidRPr="00C11904" w:rsidRDefault="00C11904" w:rsidP="00C11904">
            <w:pPr>
              <w:spacing w:line="360" w:lineRule="auto"/>
              <w:jc w:val="both"/>
              <w:rPr>
                <w:rFonts w:ascii="Arial" w:hAnsi="Arial" w:cs="Arial"/>
                <w:b/>
                <w:sz w:val="22"/>
                <w:szCs w:val="22"/>
              </w:rPr>
            </w:pPr>
            <w:r w:rsidRPr="00C11904">
              <w:rPr>
                <w:rFonts w:ascii="Arial" w:hAnsi="Arial" w:cs="Arial"/>
                <w:b/>
                <w:bCs/>
                <w:sz w:val="22"/>
                <w:szCs w:val="22"/>
              </w:rPr>
              <w:lastRenderedPageBreak/>
              <w:t>Unclear.</w:t>
            </w:r>
            <w:r w:rsidRPr="00C11904">
              <w:rPr>
                <w:rFonts w:ascii="Arial" w:hAnsi="Arial" w:cs="Arial"/>
                <w:b/>
                <w:sz w:val="22"/>
                <w:szCs w:val="22"/>
              </w:rPr>
              <w:br/>
            </w:r>
          </w:p>
        </w:tc>
      </w:tr>
      <w:tr w:rsidR="00C11904" w:rsidRPr="00C11904" w14:paraId="4AE37DD6" w14:textId="77777777" w:rsidTr="00A600A2">
        <w:tc>
          <w:tcPr>
            <w:tcW w:w="9010" w:type="dxa"/>
            <w:gridSpan w:val="2"/>
            <w:shd w:val="clear" w:color="auto" w:fill="E8E8E8" w:themeFill="background2"/>
          </w:tcPr>
          <w:p w14:paraId="0F1F611A" w14:textId="77777777" w:rsidR="00C11904" w:rsidRPr="00C11904" w:rsidRDefault="00C11904" w:rsidP="00C11904">
            <w:pPr>
              <w:spacing w:line="360" w:lineRule="auto"/>
              <w:jc w:val="both"/>
              <w:rPr>
                <w:rFonts w:ascii="Arial" w:hAnsi="Arial" w:cs="Arial"/>
                <w:i/>
                <w:iCs/>
                <w:sz w:val="22"/>
                <w:szCs w:val="22"/>
              </w:rPr>
            </w:pPr>
            <w:r w:rsidRPr="00C11904">
              <w:rPr>
                <w:rFonts w:ascii="Arial" w:hAnsi="Arial" w:cs="Arial"/>
                <w:i/>
                <w:iCs/>
                <w:sz w:val="22"/>
                <w:szCs w:val="22"/>
              </w:rPr>
              <w:t xml:space="preserve">CONSIDER: </w:t>
            </w:r>
          </w:p>
          <w:p w14:paraId="41DCCBCE" w14:textId="24D170EE" w:rsidR="00C11904" w:rsidRPr="00C11904" w:rsidRDefault="00C11904" w:rsidP="00C11904">
            <w:pPr>
              <w:numPr>
                <w:ilvl w:val="0"/>
                <w:numId w:val="16"/>
              </w:numPr>
              <w:spacing w:line="360" w:lineRule="auto"/>
              <w:jc w:val="both"/>
              <w:rPr>
                <w:rFonts w:ascii="Arial" w:hAnsi="Arial" w:cs="Arial"/>
                <w:bCs/>
                <w:i/>
                <w:iCs/>
                <w:sz w:val="22"/>
                <w:szCs w:val="22"/>
              </w:rPr>
            </w:pPr>
            <w:r w:rsidRPr="00C11904">
              <w:rPr>
                <w:rFonts w:ascii="Arial" w:hAnsi="Arial" w:cs="Arial"/>
                <w:bCs/>
                <w:i/>
                <w:iCs/>
                <w:sz w:val="22"/>
                <w:szCs w:val="22"/>
              </w:rPr>
              <w:t xml:space="preserve">If the researcher critically examined their own role, potential bias and influence during (a) formulation of the research questions (b) data collection, including sample recruitment and choice of </w:t>
            </w:r>
            <w:r w:rsidR="00F33ECF" w:rsidRPr="00C11904">
              <w:rPr>
                <w:rFonts w:ascii="Arial" w:hAnsi="Arial" w:cs="Arial"/>
                <w:bCs/>
                <w:i/>
                <w:iCs/>
                <w:sz w:val="22"/>
                <w:szCs w:val="22"/>
              </w:rPr>
              <w:t>location.</w:t>
            </w:r>
          </w:p>
          <w:p w14:paraId="4E8381DD" w14:textId="77777777" w:rsidR="00C11904" w:rsidRPr="00C11904" w:rsidRDefault="00C11904" w:rsidP="00C11904">
            <w:pPr>
              <w:numPr>
                <w:ilvl w:val="0"/>
                <w:numId w:val="16"/>
              </w:numPr>
              <w:spacing w:line="360" w:lineRule="auto"/>
              <w:jc w:val="both"/>
              <w:rPr>
                <w:rFonts w:ascii="Arial" w:hAnsi="Arial" w:cs="Arial"/>
                <w:b/>
                <w:sz w:val="22"/>
                <w:szCs w:val="22"/>
              </w:rPr>
            </w:pPr>
            <w:r w:rsidRPr="00C11904">
              <w:rPr>
                <w:rFonts w:ascii="Arial" w:hAnsi="Arial" w:cs="Arial"/>
                <w:bCs/>
                <w:i/>
                <w:iCs/>
                <w:sz w:val="22"/>
                <w:szCs w:val="22"/>
              </w:rPr>
              <w:t>How the researcher responded to events during the study and whether they considered the implications of any changes in the research design</w:t>
            </w:r>
          </w:p>
          <w:p w14:paraId="2619E7EF" w14:textId="77777777" w:rsidR="00C11904" w:rsidRPr="00C11904" w:rsidRDefault="00C11904" w:rsidP="00C11904">
            <w:pPr>
              <w:spacing w:line="360" w:lineRule="auto"/>
              <w:jc w:val="both"/>
              <w:rPr>
                <w:rFonts w:ascii="Arial" w:hAnsi="Arial" w:cs="Arial"/>
                <w:b/>
                <w:sz w:val="22"/>
                <w:szCs w:val="22"/>
              </w:rPr>
            </w:pPr>
          </w:p>
        </w:tc>
      </w:tr>
      <w:tr w:rsidR="00C11904" w:rsidRPr="00C11904" w14:paraId="13CD5D26" w14:textId="77777777" w:rsidTr="00A600A2">
        <w:tc>
          <w:tcPr>
            <w:tcW w:w="9010" w:type="dxa"/>
            <w:gridSpan w:val="2"/>
            <w:shd w:val="clear" w:color="auto" w:fill="DAE9F7" w:themeFill="text2" w:themeFillTint="1A"/>
          </w:tcPr>
          <w:p w14:paraId="145F558F" w14:textId="77777777" w:rsidR="00C11904" w:rsidRPr="00C11904" w:rsidRDefault="00C11904" w:rsidP="00C11904">
            <w:pPr>
              <w:spacing w:line="360" w:lineRule="auto"/>
              <w:jc w:val="both"/>
              <w:rPr>
                <w:rFonts w:ascii="Arial" w:hAnsi="Arial" w:cs="Arial"/>
                <w:b/>
                <w:sz w:val="22"/>
                <w:szCs w:val="22"/>
              </w:rPr>
            </w:pPr>
            <w:r w:rsidRPr="00C11904">
              <w:rPr>
                <w:rFonts w:ascii="Arial" w:hAnsi="Arial" w:cs="Arial"/>
                <w:b/>
                <w:sz w:val="22"/>
                <w:szCs w:val="22"/>
              </w:rPr>
              <w:t xml:space="preserve"> </w:t>
            </w:r>
          </w:p>
          <w:p w14:paraId="2862081F" w14:textId="77777777" w:rsidR="00C11904" w:rsidRPr="00C11904" w:rsidRDefault="00C11904" w:rsidP="00C11904">
            <w:pPr>
              <w:spacing w:line="360" w:lineRule="auto"/>
              <w:jc w:val="both"/>
              <w:rPr>
                <w:rFonts w:ascii="Arial" w:hAnsi="Arial" w:cs="Arial"/>
                <w:b/>
                <w:sz w:val="22"/>
                <w:szCs w:val="22"/>
              </w:rPr>
            </w:pPr>
            <w:r w:rsidRPr="00C11904">
              <w:rPr>
                <w:rFonts w:ascii="Arial" w:hAnsi="Arial" w:cs="Arial"/>
                <w:b/>
                <w:sz w:val="22"/>
                <w:szCs w:val="22"/>
              </w:rPr>
              <w:t>Section B: What are the results?</w:t>
            </w:r>
          </w:p>
          <w:p w14:paraId="53DE5771" w14:textId="77777777" w:rsidR="00C11904" w:rsidRPr="00C11904" w:rsidRDefault="00C11904" w:rsidP="00C11904">
            <w:pPr>
              <w:spacing w:line="360" w:lineRule="auto"/>
              <w:jc w:val="both"/>
              <w:rPr>
                <w:rFonts w:ascii="Arial" w:hAnsi="Arial" w:cs="Arial"/>
                <w:b/>
                <w:sz w:val="22"/>
                <w:szCs w:val="22"/>
              </w:rPr>
            </w:pPr>
          </w:p>
        </w:tc>
      </w:tr>
      <w:tr w:rsidR="00C11904" w:rsidRPr="00C11904" w14:paraId="59422283" w14:textId="77777777" w:rsidTr="00A600A2">
        <w:tc>
          <w:tcPr>
            <w:tcW w:w="4505" w:type="dxa"/>
          </w:tcPr>
          <w:p w14:paraId="487B3F24" w14:textId="77777777" w:rsidR="00C11904" w:rsidRPr="00C11904" w:rsidRDefault="00C11904" w:rsidP="00C11904">
            <w:pPr>
              <w:numPr>
                <w:ilvl w:val="0"/>
                <w:numId w:val="11"/>
              </w:numPr>
              <w:spacing w:line="360" w:lineRule="auto"/>
              <w:jc w:val="both"/>
              <w:rPr>
                <w:rFonts w:ascii="Arial" w:hAnsi="Arial" w:cs="Arial"/>
                <w:b/>
                <w:bCs/>
                <w:sz w:val="22"/>
                <w:szCs w:val="22"/>
              </w:rPr>
            </w:pPr>
            <w:r w:rsidRPr="00C11904">
              <w:rPr>
                <w:rFonts w:ascii="Arial" w:hAnsi="Arial" w:cs="Arial"/>
                <w:sz w:val="22"/>
                <w:szCs w:val="22"/>
              </w:rPr>
              <w:t>Have ethical issues been taken into consideration?</w:t>
            </w:r>
          </w:p>
          <w:p w14:paraId="3B3214BB" w14:textId="77777777" w:rsidR="00C11904" w:rsidRPr="00C11904" w:rsidRDefault="00C11904" w:rsidP="00C11904">
            <w:pPr>
              <w:spacing w:line="360" w:lineRule="auto"/>
              <w:jc w:val="both"/>
              <w:rPr>
                <w:rFonts w:ascii="Arial" w:hAnsi="Arial" w:cs="Arial"/>
                <w:b/>
                <w:bCs/>
                <w:sz w:val="22"/>
                <w:szCs w:val="22"/>
              </w:rPr>
            </w:pPr>
          </w:p>
          <w:p w14:paraId="0B521CCF" w14:textId="77777777" w:rsidR="00C11904" w:rsidRPr="00C11904" w:rsidRDefault="00C11904" w:rsidP="00C11904">
            <w:pPr>
              <w:spacing w:line="360" w:lineRule="auto"/>
              <w:jc w:val="both"/>
              <w:rPr>
                <w:rFonts w:ascii="Arial" w:hAnsi="Arial" w:cs="Arial"/>
                <w:b/>
                <w:bCs/>
                <w:sz w:val="22"/>
                <w:szCs w:val="22"/>
              </w:rPr>
            </w:pPr>
          </w:p>
          <w:p w14:paraId="6827E0A0" w14:textId="77777777" w:rsidR="00C11904" w:rsidRPr="00C11904" w:rsidRDefault="00C11904" w:rsidP="00C11904">
            <w:pPr>
              <w:spacing w:line="360" w:lineRule="auto"/>
              <w:jc w:val="both"/>
              <w:rPr>
                <w:rFonts w:ascii="Arial" w:hAnsi="Arial" w:cs="Arial"/>
                <w:b/>
                <w:bCs/>
                <w:sz w:val="22"/>
                <w:szCs w:val="22"/>
              </w:rPr>
            </w:pPr>
          </w:p>
          <w:p w14:paraId="5CE15980"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t>Ethical approval and informed consent procedures were reported.</w:t>
            </w:r>
          </w:p>
          <w:p w14:paraId="4C337B9C" w14:textId="77777777" w:rsidR="00C11904" w:rsidRPr="00C11904" w:rsidRDefault="00C11904" w:rsidP="00C11904">
            <w:pPr>
              <w:spacing w:line="360" w:lineRule="auto"/>
              <w:jc w:val="both"/>
              <w:rPr>
                <w:rFonts w:ascii="Arial" w:hAnsi="Arial" w:cs="Arial"/>
                <w:b/>
                <w:bCs/>
                <w:sz w:val="22"/>
                <w:szCs w:val="22"/>
              </w:rPr>
            </w:pPr>
          </w:p>
          <w:p w14:paraId="6E19F007" w14:textId="77777777" w:rsidR="00C11904" w:rsidRPr="00C11904" w:rsidRDefault="00C11904" w:rsidP="00C11904">
            <w:pPr>
              <w:spacing w:line="360" w:lineRule="auto"/>
              <w:jc w:val="both"/>
              <w:rPr>
                <w:rFonts w:ascii="Arial" w:hAnsi="Arial" w:cs="Arial"/>
                <w:b/>
                <w:bCs/>
                <w:sz w:val="22"/>
                <w:szCs w:val="22"/>
              </w:rPr>
            </w:pPr>
          </w:p>
          <w:p w14:paraId="741A2D02" w14:textId="77777777" w:rsidR="00C11904" w:rsidRPr="00C11904" w:rsidRDefault="00C11904" w:rsidP="00C11904">
            <w:pPr>
              <w:spacing w:line="360" w:lineRule="auto"/>
              <w:jc w:val="both"/>
              <w:rPr>
                <w:rFonts w:ascii="Arial" w:hAnsi="Arial" w:cs="Arial"/>
                <w:b/>
                <w:bCs/>
                <w:sz w:val="22"/>
                <w:szCs w:val="22"/>
              </w:rPr>
            </w:pPr>
          </w:p>
          <w:p w14:paraId="2B3D984B" w14:textId="77777777" w:rsidR="00C11904" w:rsidRPr="00C11904" w:rsidRDefault="00C11904" w:rsidP="00C11904">
            <w:pPr>
              <w:spacing w:line="360" w:lineRule="auto"/>
              <w:jc w:val="both"/>
              <w:rPr>
                <w:rFonts w:ascii="Arial" w:hAnsi="Arial" w:cs="Arial"/>
                <w:b/>
                <w:bCs/>
                <w:sz w:val="22"/>
                <w:szCs w:val="22"/>
              </w:rPr>
            </w:pPr>
          </w:p>
        </w:tc>
        <w:tc>
          <w:tcPr>
            <w:tcW w:w="4505" w:type="dxa"/>
          </w:tcPr>
          <w:p w14:paraId="750844BE"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sz w:val="22"/>
                <w:szCs w:val="22"/>
              </w:rPr>
              <w:t xml:space="preserve">Yes </w:t>
            </w:r>
          </w:p>
        </w:tc>
      </w:tr>
      <w:tr w:rsidR="00C11904" w:rsidRPr="00C11904" w14:paraId="1F230C15" w14:textId="77777777" w:rsidTr="00A600A2">
        <w:tc>
          <w:tcPr>
            <w:tcW w:w="9010" w:type="dxa"/>
            <w:gridSpan w:val="2"/>
            <w:shd w:val="clear" w:color="auto" w:fill="F2F2F2" w:themeFill="background1" w:themeFillShade="F2"/>
          </w:tcPr>
          <w:p w14:paraId="5932CE3C" w14:textId="77777777" w:rsidR="00C11904" w:rsidRPr="00C11904" w:rsidRDefault="00C11904" w:rsidP="00C11904">
            <w:pPr>
              <w:spacing w:line="360" w:lineRule="auto"/>
              <w:jc w:val="both"/>
              <w:rPr>
                <w:rFonts w:ascii="Arial" w:hAnsi="Arial" w:cs="Arial"/>
                <w:i/>
                <w:iCs/>
                <w:sz w:val="22"/>
                <w:szCs w:val="22"/>
              </w:rPr>
            </w:pPr>
            <w:r w:rsidRPr="00C11904">
              <w:rPr>
                <w:rFonts w:ascii="Arial" w:hAnsi="Arial" w:cs="Arial"/>
                <w:i/>
                <w:iCs/>
                <w:sz w:val="22"/>
                <w:szCs w:val="22"/>
              </w:rPr>
              <w:t xml:space="preserve">CONSIDER: </w:t>
            </w:r>
          </w:p>
          <w:p w14:paraId="0D1EBB0D" w14:textId="77777777" w:rsidR="00C11904" w:rsidRPr="00C11904" w:rsidRDefault="00C11904" w:rsidP="00C11904">
            <w:pPr>
              <w:numPr>
                <w:ilvl w:val="0"/>
                <w:numId w:val="10"/>
              </w:numPr>
              <w:spacing w:line="360" w:lineRule="auto"/>
              <w:jc w:val="both"/>
              <w:rPr>
                <w:rFonts w:ascii="Arial" w:hAnsi="Arial" w:cs="Arial"/>
                <w:i/>
                <w:iCs/>
                <w:sz w:val="22"/>
                <w:szCs w:val="22"/>
              </w:rPr>
            </w:pPr>
            <w:r w:rsidRPr="00C11904">
              <w:rPr>
                <w:rFonts w:ascii="Arial" w:hAnsi="Arial" w:cs="Arial"/>
                <w:i/>
                <w:iCs/>
                <w:sz w:val="22"/>
                <w:szCs w:val="22"/>
              </w:rPr>
              <w:t>If there are sufficient details of how the research was explained to participants for the reader to assess whether ethical standards were maintained</w:t>
            </w:r>
          </w:p>
          <w:p w14:paraId="6EFAA0BC" w14:textId="61A98F6F" w:rsidR="00C11904" w:rsidRPr="00C11904" w:rsidRDefault="00C11904" w:rsidP="00C11904">
            <w:pPr>
              <w:numPr>
                <w:ilvl w:val="0"/>
                <w:numId w:val="10"/>
              </w:numPr>
              <w:spacing w:line="360" w:lineRule="auto"/>
              <w:jc w:val="both"/>
              <w:rPr>
                <w:rFonts w:ascii="Arial" w:hAnsi="Arial" w:cs="Arial"/>
                <w:i/>
                <w:iCs/>
                <w:sz w:val="22"/>
                <w:szCs w:val="22"/>
              </w:rPr>
            </w:pPr>
            <w:r w:rsidRPr="00C11904">
              <w:rPr>
                <w:rFonts w:ascii="Arial" w:hAnsi="Arial" w:cs="Arial"/>
                <w:i/>
                <w:iCs/>
                <w:sz w:val="22"/>
                <w:szCs w:val="22"/>
              </w:rPr>
              <w:t xml:space="preserve">If the researcher has discussed issues raised by the study (e.g. issues around informed consent or confidentiality or how they have </w:t>
            </w:r>
            <w:r w:rsidR="006746AA" w:rsidRPr="00C11904">
              <w:rPr>
                <w:rFonts w:ascii="Arial" w:hAnsi="Arial" w:cs="Arial"/>
                <w:i/>
                <w:iCs/>
                <w:sz w:val="22"/>
                <w:szCs w:val="22"/>
              </w:rPr>
              <w:t>overseen</w:t>
            </w:r>
            <w:r w:rsidRPr="00C11904">
              <w:rPr>
                <w:rFonts w:ascii="Arial" w:hAnsi="Arial" w:cs="Arial"/>
                <w:i/>
                <w:iCs/>
                <w:sz w:val="22"/>
                <w:szCs w:val="22"/>
              </w:rPr>
              <w:t xml:space="preserve"> the effects of the study on the participants during and after the study)</w:t>
            </w:r>
          </w:p>
          <w:p w14:paraId="1FF54349" w14:textId="77777777" w:rsidR="00C11904" w:rsidRPr="00C11904" w:rsidRDefault="00C11904" w:rsidP="00C11904">
            <w:pPr>
              <w:numPr>
                <w:ilvl w:val="0"/>
                <w:numId w:val="10"/>
              </w:numPr>
              <w:spacing w:line="360" w:lineRule="auto"/>
              <w:jc w:val="both"/>
              <w:rPr>
                <w:rFonts w:ascii="Arial" w:hAnsi="Arial" w:cs="Arial"/>
                <w:i/>
                <w:iCs/>
                <w:sz w:val="22"/>
                <w:szCs w:val="22"/>
              </w:rPr>
            </w:pPr>
            <w:r w:rsidRPr="00C11904">
              <w:rPr>
                <w:rFonts w:ascii="Arial" w:hAnsi="Arial" w:cs="Arial"/>
                <w:i/>
                <w:iCs/>
                <w:sz w:val="22"/>
                <w:szCs w:val="22"/>
              </w:rPr>
              <w:lastRenderedPageBreak/>
              <w:t xml:space="preserve">If approval has been sought from the ethics committee </w:t>
            </w:r>
          </w:p>
        </w:tc>
      </w:tr>
      <w:tr w:rsidR="00C11904" w:rsidRPr="00C11904" w14:paraId="3D1D838B" w14:textId="77777777" w:rsidTr="00A600A2">
        <w:tc>
          <w:tcPr>
            <w:tcW w:w="4505" w:type="dxa"/>
          </w:tcPr>
          <w:p w14:paraId="1E933CD3" w14:textId="77777777" w:rsidR="00C11904" w:rsidRPr="00C11904" w:rsidRDefault="00C11904" w:rsidP="00C11904">
            <w:pPr>
              <w:numPr>
                <w:ilvl w:val="0"/>
                <w:numId w:val="11"/>
              </w:numPr>
              <w:spacing w:line="360" w:lineRule="auto"/>
              <w:jc w:val="both"/>
              <w:rPr>
                <w:rFonts w:ascii="Arial" w:hAnsi="Arial" w:cs="Arial"/>
                <w:b/>
                <w:bCs/>
                <w:sz w:val="22"/>
                <w:szCs w:val="22"/>
              </w:rPr>
            </w:pPr>
            <w:r w:rsidRPr="00C11904">
              <w:rPr>
                <w:rFonts w:ascii="Arial" w:hAnsi="Arial" w:cs="Arial"/>
                <w:sz w:val="22"/>
                <w:szCs w:val="22"/>
              </w:rPr>
              <w:lastRenderedPageBreak/>
              <w:t>Was the data analysis sufficiently rigorous?</w:t>
            </w:r>
          </w:p>
          <w:p w14:paraId="1191312A"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t xml:space="preserve">Thematic analysis was undertaken systematically, and themes were supported with participants' quotations. </w:t>
            </w:r>
          </w:p>
          <w:p w14:paraId="0A17C8D1" w14:textId="77777777" w:rsidR="00C11904" w:rsidRPr="00C11904" w:rsidRDefault="00C11904" w:rsidP="00C11904">
            <w:pPr>
              <w:spacing w:line="360" w:lineRule="auto"/>
              <w:jc w:val="both"/>
              <w:rPr>
                <w:rFonts w:ascii="Arial" w:hAnsi="Arial" w:cs="Arial"/>
                <w:b/>
                <w:bCs/>
                <w:sz w:val="22"/>
                <w:szCs w:val="22"/>
              </w:rPr>
            </w:pPr>
          </w:p>
          <w:p w14:paraId="4D7FA203" w14:textId="77777777" w:rsidR="00C11904" w:rsidRPr="00C11904" w:rsidRDefault="00C11904" w:rsidP="00C11904">
            <w:pPr>
              <w:spacing w:line="360" w:lineRule="auto"/>
              <w:jc w:val="both"/>
              <w:rPr>
                <w:rFonts w:ascii="Arial" w:hAnsi="Arial" w:cs="Arial"/>
                <w:b/>
                <w:bCs/>
                <w:sz w:val="22"/>
                <w:szCs w:val="22"/>
              </w:rPr>
            </w:pPr>
          </w:p>
        </w:tc>
        <w:tc>
          <w:tcPr>
            <w:tcW w:w="4505" w:type="dxa"/>
          </w:tcPr>
          <w:p w14:paraId="34772DC0" w14:textId="77777777" w:rsidR="00C11904" w:rsidRPr="00C11904" w:rsidRDefault="00C11904" w:rsidP="00C11904">
            <w:pPr>
              <w:spacing w:line="360" w:lineRule="auto"/>
              <w:jc w:val="both"/>
              <w:rPr>
                <w:rFonts w:ascii="Arial" w:hAnsi="Arial" w:cs="Arial"/>
                <w:b/>
                <w:bCs/>
                <w:sz w:val="22"/>
                <w:szCs w:val="22"/>
              </w:rPr>
            </w:pPr>
          </w:p>
          <w:p w14:paraId="5B22DE5D" w14:textId="77777777" w:rsidR="00C11904" w:rsidRPr="00C11904" w:rsidRDefault="00C11904" w:rsidP="00C11904">
            <w:pPr>
              <w:spacing w:line="360" w:lineRule="auto"/>
              <w:jc w:val="both"/>
              <w:rPr>
                <w:rFonts w:ascii="Arial" w:hAnsi="Arial" w:cs="Arial"/>
                <w:b/>
                <w:bCs/>
                <w:sz w:val="22"/>
                <w:szCs w:val="22"/>
              </w:rPr>
            </w:pPr>
          </w:p>
          <w:p w14:paraId="63B977CA" w14:textId="77777777" w:rsidR="00C11904" w:rsidRPr="00C11904" w:rsidRDefault="00C11904" w:rsidP="00C11904">
            <w:pPr>
              <w:spacing w:line="360" w:lineRule="auto"/>
              <w:jc w:val="both"/>
              <w:rPr>
                <w:rFonts w:ascii="Arial" w:hAnsi="Arial" w:cs="Arial"/>
                <w:b/>
                <w:bCs/>
                <w:sz w:val="22"/>
                <w:szCs w:val="22"/>
              </w:rPr>
            </w:pPr>
          </w:p>
          <w:p w14:paraId="5D3570B3" w14:textId="77777777" w:rsidR="00C11904" w:rsidRPr="00C11904" w:rsidRDefault="00C11904" w:rsidP="00C11904">
            <w:pPr>
              <w:spacing w:line="360" w:lineRule="auto"/>
              <w:jc w:val="both"/>
              <w:rPr>
                <w:rFonts w:ascii="Arial" w:hAnsi="Arial" w:cs="Arial"/>
                <w:b/>
                <w:bCs/>
                <w:sz w:val="22"/>
                <w:szCs w:val="22"/>
              </w:rPr>
            </w:pPr>
          </w:p>
          <w:p w14:paraId="66316794"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t>Yes (limited information).</w:t>
            </w:r>
            <w:r w:rsidRPr="00C11904">
              <w:rPr>
                <w:rFonts w:ascii="Arial" w:hAnsi="Arial" w:cs="Arial"/>
                <w:b/>
                <w:bCs/>
                <w:sz w:val="22"/>
                <w:szCs w:val="22"/>
              </w:rPr>
              <w:br/>
            </w:r>
          </w:p>
          <w:p w14:paraId="105F8FD4" w14:textId="77777777" w:rsidR="00C11904" w:rsidRPr="00C11904" w:rsidRDefault="00C11904" w:rsidP="00C11904">
            <w:pPr>
              <w:spacing w:line="360" w:lineRule="auto"/>
              <w:jc w:val="both"/>
              <w:rPr>
                <w:rFonts w:ascii="Arial" w:hAnsi="Arial" w:cs="Arial"/>
                <w:b/>
                <w:bCs/>
                <w:sz w:val="22"/>
                <w:szCs w:val="22"/>
              </w:rPr>
            </w:pPr>
          </w:p>
        </w:tc>
      </w:tr>
      <w:tr w:rsidR="00C11904" w:rsidRPr="00C11904" w14:paraId="6428AB23" w14:textId="77777777" w:rsidTr="00A600A2">
        <w:tc>
          <w:tcPr>
            <w:tcW w:w="9010" w:type="dxa"/>
            <w:gridSpan w:val="2"/>
            <w:shd w:val="clear" w:color="auto" w:fill="F2F2F2" w:themeFill="background1" w:themeFillShade="F2"/>
          </w:tcPr>
          <w:p w14:paraId="304C48EF" w14:textId="77777777" w:rsidR="00C11904" w:rsidRPr="00C11904" w:rsidRDefault="00C11904" w:rsidP="00C11904">
            <w:pPr>
              <w:spacing w:line="360" w:lineRule="auto"/>
              <w:jc w:val="both"/>
              <w:rPr>
                <w:rFonts w:ascii="Arial" w:hAnsi="Arial" w:cs="Arial"/>
                <w:i/>
                <w:iCs/>
                <w:sz w:val="22"/>
                <w:szCs w:val="22"/>
              </w:rPr>
            </w:pPr>
            <w:r w:rsidRPr="00C11904">
              <w:rPr>
                <w:rFonts w:ascii="Arial" w:hAnsi="Arial" w:cs="Arial"/>
                <w:i/>
                <w:iCs/>
                <w:sz w:val="22"/>
                <w:szCs w:val="22"/>
              </w:rPr>
              <w:t xml:space="preserve">CONSIDER: </w:t>
            </w:r>
          </w:p>
          <w:p w14:paraId="7996BFB4" w14:textId="77777777" w:rsidR="00C11904" w:rsidRPr="00C11904" w:rsidRDefault="00C11904" w:rsidP="00C11904">
            <w:pPr>
              <w:numPr>
                <w:ilvl w:val="0"/>
                <w:numId w:val="12"/>
              </w:numPr>
              <w:spacing w:line="360" w:lineRule="auto"/>
              <w:jc w:val="both"/>
              <w:rPr>
                <w:rFonts w:ascii="Arial" w:hAnsi="Arial" w:cs="Arial"/>
                <w:i/>
                <w:iCs/>
                <w:sz w:val="22"/>
                <w:szCs w:val="22"/>
              </w:rPr>
            </w:pPr>
            <w:r w:rsidRPr="00C11904">
              <w:rPr>
                <w:rFonts w:ascii="Arial" w:hAnsi="Arial" w:cs="Arial"/>
                <w:i/>
                <w:iCs/>
                <w:sz w:val="22"/>
                <w:szCs w:val="22"/>
              </w:rPr>
              <w:t>If there is an in-depth description of the analysis process</w:t>
            </w:r>
          </w:p>
          <w:p w14:paraId="27455627" w14:textId="06BE366E" w:rsidR="00C11904" w:rsidRPr="00C11904" w:rsidRDefault="00C11904" w:rsidP="00C11904">
            <w:pPr>
              <w:numPr>
                <w:ilvl w:val="0"/>
                <w:numId w:val="12"/>
              </w:numPr>
              <w:spacing w:line="360" w:lineRule="auto"/>
              <w:jc w:val="both"/>
              <w:rPr>
                <w:rFonts w:ascii="Arial" w:hAnsi="Arial" w:cs="Arial"/>
                <w:i/>
                <w:iCs/>
                <w:sz w:val="22"/>
                <w:szCs w:val="22"/>
              </w:rPr>
            </w:pPr>
            <w:r w:rsidRPr="00C11904">
              <w:rPr>
                <w:rFonts w:ascii="Arial" w:hAnsi="Arial" w:cs="Arial"/>
                <w:i/>
                <w:iCs/>
                <w:sz w:val="22"/>
                <w:szCs w:val="22"/>
              </w:rPr>
              <w:t xml:space="preserve">If thematic analysis is used. If so, is it clear how the categories/themes were derived from the </w:t>
            </w:r>
            <w:r w:rsidR="00F33ECF" w:rsidRPr="00C11904">
              <w:rPr>
                <w:rFonts w:ascii="Arial" w:hAnsi="Arial" w:cs="Arial"/>
                <w:i/>
                <w:iCs/>
                <w:sz w:val="22"/>
                <w:szCs w:val="22"/>
              </w:rPr>
              <w:t>data.</w:t>
            </w:r>
          </w:p>
          <w:p w14:paraId="2A06D017" w14:textId="77777777" w:rsidR="00C11904" w:rsidRPr="00C11904" w:rsidRDefault="00C11904" w:rsidP="00C11904">
            <w:pPr>
              <w:numPr>
                <w:ilvl w:val="0"/>
                <w:numId w:val="12"/>
              </w:numPr>
              <w:spacing w:line="360" w:lineRule="auto"/>
              <w:jc w:val="both"/>
              <w:rPr>
                <w:rFonts w:ascii="Arial" w:hAnsi="Arial" w:cs="Arial"/>
                <w:i/>
                <w:iCs/>
                <w:sz w:val="22"/>
                <w:szCs w:val="22"/>
              </w:rPr>
            </w:pPr>
            <w:r w:rsidRPr="00C11904">
              <w:rPr>
                <w:rFonts w:ascii="Arial" w:hAnsi="Arial" w:cs="Arial"/>
                <w:i/>
                <w:iCs/>
                <w:sz w:val="22"/>
                <w:szCs w:val="22"/>
              </w:rPr>
              <w:t>Whether the researcher explains how the data presented were selected from the original sample to demonstrate the analysis process</w:t>
            </w:r>
          </w:p>
          <w:p w14:paraId="6269C57D" w14:textId="77777777" w:rsidR="00C11904" w:rsidRPr="00C11904" w:rsidRDefault="00C11904" w:rsidP="00C11904">
            <w:pPr>
              <w:numPr>
                <w:ilvl w:val="0"/>
                <w:numId w:val="12"/>
              </w:numPr>
              <w:spacing w:line="360" w:lineRule="auto"/>
              <w:jc w:val="both"/>
              <w:rPr>
                <w:rFonts w:ascii="Arial" w:hAnsi="Arial" w:cs="Arial"/>
                <w:i/>
                <w:iCs/>
                <w:sz w:val="22"/>
                <w:szCs w:val="22"/>
              </w:rPr>
            </w:pPr>
            <w:r w:rsidRPr="00C11904">
              <w:rPr>
                <w:rFonts w:ascii="Arial" w:hAnsi="Arial" w:cs="Arial"/>
                <w:i/>
                <w:iCs/>
                <w:sz w:val="22"/>
                <w:szCs w:val="22"/>
              </w:rPr>
              <w:t>If sufficient data are presented to support the findings</w:t>
            </w:r>
          </w:p>
          <w:p w14:paraId="0ECA4306" w14:textId="658DEB7E" w:rsidR="00C11904" w:rsidRPr="00C11904" w:rsidRDefault="00C11904" w:rsidP="00C11904">
            <w:pPr>
              <w:numPr>
                <w:ilvl w:val="0"/>
                <w:numId w:val="12"/>
              </w:numPr>
              <w:spacing w:line="360" w:lineRule="auto"/>
              <w:jc w:val="both"/>
              <w:rPr>
                <w:rFonts w:ascii="Arial" w:hAnsi="Arial" w:cs="Arial"/>
                <w:i/>
                <w:iCs/>
                <w:sz w:val="22"/>
                <w:szCs w:val="22"/>
              </w:rPr>
            </w:pPr>
            <w:r w:rsidRPr="00C11904">
              <w:rPr>
                <w:rFonts w:ascii="Arial" w:hAnsi="Arial" w:cs="Arial"/>
                <w:i/>
                <w:iCs/>
                <w:sz w:val="22"/>
                <w:szCs w:val="22"/>
              </w:rPr>
              <w:t xml:space="preserve">To what extent contradictory data are </w:t>
            </w:r>
            <w:r w:rsidR="00647BA2" w:rsidRPr="00C11904">
              <w:rPr>
                <w:rFonts w:ascii="Arial" w:hAnsi="Arial" w:cs="Arial"/>
                <w:i/>
                <w:iCs/>
                <w:sz w:val="22"/>
                <w:szCs w:val="22"/>
              </w:rPr>
              <w:t>considered</w:t>
            </w:r>
          </w:p>
          <w:p w14:paraId="007A0544" w14:textId="77777777" w:rsidR="00C11904" w:rsidRPr="00C11904" w:rsidRDefault="00C11904" w:rsidP="00C11904">
            <w:pPr>
              <w:numPr>
                <w:ilvl w:val="0"/>
                <w:numId w:val="12"/>
              </w:numPr>
              <w:spacing w:line="360" w:lineRule="auto"/>
              <w:jc w:val="both"/>
              <w:rPr>
                <w:rFonts w:ascii="Arial" w:hAnsi="Arial" w:cs="Arial"/>
                <w:i/>
                <w:iCs/>
                <w:sz w:val="22"/>
                <w:szCs w:val="22"/>
              </w:rPr>
            </w:pPr>
            <w:r w:rsidRPr="00C11904">
              <w:rPr>
                <w:rFonts w:ascii="Arial" w:hAnsi="Arial" w:cs="Arial"/>
                <w:i/>
                <w:iCs/>
                <w:sz w:val="22"/>
                <w:szCs w:val="22"/>
              </w:rPr>
              <w:t>Whether the researcher critically examined their own role, potential bias and influence during analysis and selection of data for presentation</w:t>
            </w:r>
          </w:p>
        </w:tc>
      </w:tr>
      <w:tr w:rsidR="00C11904" w:rsidRPr="00C11904" w14:paraId="592C3C7F" w14:textId="77777777" w:rsidTr="00A600A2">
        <w:tc>
          <w:tcPr>
            <w:tcW w:w="4505" w:type="dxa"/>
          </w:tcPr>
          <w:p w14:paraId="073A48B8" w14:textId="77777777" w:rsidR="00C11904" w:rsidRPr="00C11904" w:rsidRDefault="00C11904" w:rsidP="00C11904">
            <w:pPr>
              <w:numPr>
                <w:ilvl w:val="0"/>
                <w:numId w:val="11"/>
              </w:numPr>
              <w:spacing w:line="360" w:lineRule="auto"/>
              <w:jc w:val="both"/>
              <w:rPr>
                <w:rFonts w:ascii="Arial" w:hAnsi="Arial" w:cs="Arial"/>
                <w:b/>
                <w:bCs/>
                <w:sz w:val="22"/>
                <w:szCs w:val="22"/>
              </w:rPr>
            </w:pPr>
            <w:r w:rsidRPr="00C11904">
              <w:rPr>
                <w:rFonts w:ascii="Arial" w:hAnsi="Arial" w:cs="Arial"/>
                <w:sz w:val="22"/>
                <w:szCs w:val="22"/>
              </w:rPr>
              <w:t>Is there a clear statement of findings?</w:t>
            </w:r>
          </w:p>
          <w:p w14:paraId="6204621B"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t xml:space="preserve">The findings are clearly presented through four themes that directly address the study aims. </w:t>
            </w:r>
          </w:p>
          <w:p w14:paraId="5D34868A" w14:textId="77777777" w:rsidR="00C11904" w:rsidRPr="00C11904" w:rsidRDefault="00C11904" w:rsidP="00C11904">
            <w:pPr>
              <w:spacing w:line="360" w:lineRule="auto"/>
              <w:jc w:val="both"/>
              <w:rPr>
                <w:rFonts w:ascii="Arial" w:hAnsi="Arial" w:cs="Arial"/>
                <w:b/>
                <w:bCs/>
                <w:sz w:val="22"/>
                <w:szCs w:val="22"/>
              </w:rPr>
            </w:pPr>
          </w:p>
          <w:p w14:paraId="431A4914" w14:textId="77777777" w:rsidR="00C11904" w:rsidRPr="00C11904" w:rsidRDefault="00C11904" w:rsidP="00C11904">
            <w:pPr>
              <w:spacing w:line="360" w:lineRule="auto"/>
              <w:jc w:val="both"/>
              <w:rPr>
                <w:rFonts w:ascii="Arial" w:hAnsi="Arial" w:cs="Arial"/>
                <w:b/>
                <w:bCs/>
                <w:sz w:val="22"/>
                <w:szCs w:val="22"/>
              </w:rPr>
            </w:pPr>
          </w:p>
        </w:tc>
        <w:tc>
          <w:tcPr>
            <w:tcW w:w="4505" w:type="dxa"/>
          </w:tcPr>
          <w:p w14:paraId="62726226"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sz w:val="22"/>
                <w:szCs w:val="22"/>
              </w:rPr>
              <w:t xml:space="preserve">Yes </w:t>
            </w:r>
          </w:p>
        </w:tc>
      </w:tr>
      <w:tr w:rsidR="00C11904" w:rsidRPr="00C11904" w14:paraId="6E2AB477" w14:textId="77777777" w:rsidTr="00A600A2">
        <w:tc>
          <w:tcPr>
            <w:tcW w:w="9010" w:type="dxa"/>
            <w:gridSpan w:val="2"/>
            <w:shd w:val="clear" w:color="auto" w:fill="F2F2F2" w:themeFill="background1" w:themeFillShade="F2"/>
          </w:tcPr>
          <w:p w14:paraId="1119B52C" w14:textId="77777777" w:rsidR="00C11904" w:rsidRPr="00C11904" w:rsidRDefault="00C11904" w:rsidP="00C11904">
            <w:pPr>
              <w:spacing w:line="360" w:lineRule="auto"/>
              <w:jc w:val="both"/>
              <w:rPr>
                <w:rFonts w:ascii="Arial" w:hAnsi="Arial" w:cs="Arial"/>
                <w:i/>
                <w:iCs/>
                <w:sz w:val="22"/>
                <w:szCs w:val="22"/>
              </w:rPr>
            </w:pPr>
            <w:r w:rsidRPr="00C11904">
              <w:rPr>
                <w:rFonts w:ascii="Arial" w:hAnsi="Arial" w:cs="Arial"/>
                <w:i/>
                <w:iCs/>
                <w:sz w:val="22"/>
                <w:szCs w:val="22"/>
              </w:rPr>
              <w:t xml:space="preserve">CONSIDER: </w:t>
            </w:r>
          </w:p>
          <w:p w14:paraId="22481514" w14:textId="77777777" w:rsidR="00C11904" w:rsidRPr="00C11904" w:rsidRDefault="00C11904" w:rsidP="00C11904">
            <w:pPr>
              <w:numPr>
                <w:ilvl w:val="0"/>
                <w:numId w:val="14"/>
              </w:numPr>
              <w:spacing w:line="360" w:lineRule="auto"/>
              <w:jc w:val="both"/>
              <w:rPr>
                <w:rFonts w:ascii="Arial" w:hAnsi="Arial" w:cs="Arial"/>
                <w:i/>
                <w:iCs/>
                <w:sz w:val="22"/>
                <w:szCs w:val="22"/>
              </w:rPr>
            </w:pPr>
            <w:r w:rsidRPr="00C11904">
              <w:rPr>
                <w:rFonts w:ascii="Arial" w:hAnsi="Arial" w:cs="Arial"/>
                <w:i/>
                <w:iCs/>
                <w:sz w:val="22"/>
                <w:szCs w:val="22"/>
              </w:rPr>
              <w:t>If the findings are explicit</w:t>
            </w:r>
          </w:p>
          <w:p w14:paraId="425D6DAB" w14:textId="77777777" w:rsidR="00C11904" w:rsidRPr="00C11904" w:rsidRDefault="00C11904" w:rsidP="00C11904">
            <w:pPr>
              <w:numPr>
                <w:ilvl w:val="0"/>
                <w:numId w:val="14"/>
              </w:numPr>
              <w:spacing w:line="360" w:lineRule="auto"/>
              <w:jc w:val="both"/>
              <w:rPr>
                <w:rFonts w:ascii="Arial" w:hAnsi="Arial" w:cs="Arial"/>
                <w:i/>
                <w:iCs/>
                <w:sz w:val="22"/>
                <w:szCs w:val="22"/>
              </w:rPr>
            </w:pPr>
            <w:r w:rsidRPr="00C11904">
              <w:rPr>
                <w:rFonts w:ascii="Arial" w:hAnsi="Arial" w:cs="Arial"/>
                <w:i/>
                <w:iCs/>
                <w:sz w:val="22"/>
                <w:szCs w:val="22"/>
              </w:rPr>
              <w:t>If there is adequate discussion of the evidence both for and against the researcher’s arguments</w:t>
            </w:r>
          </w:p>
          <w:p w14:paraId="154504F4" w14:textId="77777777" w:rsidR="00C11904" w:rsidRPr="00C11904" w:rsidRDefault="00C11904" w:rsidP="00C11904">
            <w:pPr>
              <w:numPr>
                <w:ilvl w:val="0"/>
                <w:numId w:val="14"/>
              </w:numPr>
              <w:spacing w:line="360" w:lineRule="auto"/>
              <w:jc w:val="both"/>
              <w:rPr>
                <w:rFonts w:ascii="Arial" w:hAnsi="Arial" w:cs="Arial"/>
                <w:i/>
                <w:iCs/>
                <w:sz w:val="22"/>
                <w:szCs w:val="22"/>
              </w:rPr>
            </w:pPr>
            <w:r w:rsidRPr="00C11904">
              <w:rPr>
                <w:rFonts w:ascii="Arial" w:hAnsi="Arial" w:cs="Arial"/>
                <w:i/>
                <w:iCs/>
                <w:sz w:val="22"/>
                <w:szCs w:val="22"/>
              </w:rPr>
              <w:t>If the researcher has discussed the credibility of their findings (e.g. triangulation, respondent validation, more than one analyst)</w:t>
            </w:r>
          </w:p>
          <w:p w14:paraId="13DBB13A" w14:textId="77777777" w:rsidR="00C11904" w:rsidRPr="00C11904" w:rsidRDefault="00C11904" w:rsidP="00C11904">
            <w:pPr>
              <w:numPr>
                <w:ilvl w:val="0"/>
                <w:numId w:val="14"/>
              </w:numPr>
              <w:spacing w:line="360" w:lineRule="auto"/>
              <w:jc w:val="both"/>
              <w:rPr>
                <w:rFonts w:ascii="Arial" w:hAnsi="Arial" w:cs="Arial"/>
                <w:i/>
                <w:iCs/>
                <w:sz w:val="22"/>
                <w:szCs w:val="22"/>
              </w:rPr>
            </w:pPr>
            <w:r w:rsidRPr="00C11904">
              <w:rPr>
                <w:rFonts w:ascii="Arial" w:hAnsi="Arial" w:cs="Arial"/>
                <w:i/>
                <w:iCs/>
                <w:sz w:val="22"/>
                <w:szCs w:val="22"/>
              </w:rPr>
              <w:t>If the findings are discussed in relation to the original research question</w:t>
            </w:r>
          </w:p>
        </w:tc>
      </w:tr>
      <w:tr w:rsidR="00C11904" w:rsidRPr="00C11904" w14:paraId="46E8AF26" w14:textId="77777777" w:rsidTr="00A600A2">
        <w:tc>
          <w:tcPr>
            <w:tcW w:w="9010" w:type="dxa"/>
            <w:gridSpan w:val="2"/>
            <w:shd w:val="clear" w:color="auto" w:fill="DAE9F7" w:themeFill="text2" w:themeFillTint="1A"/>
          </w:tcPr>
          <w:p w14:paraId="775A347C" w14:textId="77777777" w:rsidR="00C11904" w:rsidRPr="00C11904" w:rsidRDefault="00C11904" w:rsidP="00C11904">
            <w:pPr>
              <w:spacing w:line="360" w:lineRule="auto"/>
              <w:jc w:val="both"/>
              <w:rPr>
                <w:rFonts w:ascii="Arial" w:hAnsi="Arial" w:cs="Arial"/>
                <w:b/>
                <w:bCs/>
                <w:sz w:val="22"/>
                <w:szCs w:val="22"/>
              </w:rPr>
            </w:pPr>
          </w:p>
          <w:p w14:paraId="5A9C719B"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lastRenderedPageBreak/>
              <w:t>Section C: Will the results help locally?</w:t>
            </w:r>
          </w:p>
          <w:p w14:paraId="3EBF2B30" w14:textId="77777777" w:rsidR="00C11904" w:rsidRPr="00C11904" w:rsidRDefault="00C11904" w:rsidP="00C11904">
            <w:pPr>
              <w:spacing w:line="360" w:lineRule="auto"/>
              <w:jc w:val="both"/>
              <w:rPr>
                <w:rFonts w:ascii="Arial" w:hAnsi="Arial" w:cs="Arial"/>
                <w:b/>
                <w:bCs/>
                <w:sz w:val="22"/>
                <w:szCs w:val="22"/>
              </w:rPr>
            </w:pPr>
          </w:p>
        </w:tc>
      </w:tr>
      <w:tr w:rsidR="00C11904" w:rsidRPr="00C11904" w14:paraId="3964655C" w14:textId="77777777" w:rsidTr="00A600A2">
        <w:tc>
          <w:tcPr>
            <w:tcW w:w="4505" w:type="dxa"/>
          </w:tcPr>
          <w:p w14:paraId="67940F0E" w14:textId="77777777" w:rsidR="00C11904" w:rsidRPr="00C11904" w:rsidRDefault="00C11904" w:rsidP="00C11904">
            <w:pPr>
              <w:numPr>
                <w:ilvl w:val="0"/>
                <w:numId w:val="11"/>
              </w:numPr>
              <w:spacing w:line="360" w:lineRule="auto"/>
              <w:jc w:val="both"/>
              <w:rPr>
                <w:rFonts w:ascii="Arial" w:hAnsi="Arial" w:cs="Arial"/>
                <w:b/>
                <w:bCs/>
                <w:sz w:val="22"/>
                <w:szCs w:val="22"/>
              </w:rPr>
            </w:pPr>
            <w:r w:rsidRPr="00C11904">
              <w:rPr>
                <w:rFonts w:ascii="Arial" w:hAnsi="Arial" w:cs="Arial"/>
                <w:sz w:val="22"/>
                <w:szCs w:val="22"/>
              </w:rPr>
              <w:lastRenderedPageBreak/>
              <w:t>How valuable is the research?</w:t>
            </w:r>
          </w:p>
          <w:p w14:paraId="36128C84" w14:textId="77777777" w:rsidR="00C11904" w:rsidRPr="00C11904" w:rsidRDefault="00C11904" w:rsidP="00C11904">
            <w:pPr>
              <w:spacing w:line="360" w:lineRule="auto"/>
              <w:jc w:val="both"/>
              <w:rPr>
                <w:rFonts w:ascii="Arial" w:hAnsi="Arial" w:cs="Arial"/>
                <w:b/>
                <w:bCs/>
                <w:sz w:val="22"/>
                <w:szCs w:val="22"/>
              </w:rPr>
            </w:pPr>
          </w:p>
          <w:p w14:paraId="00A5642C" w14:textId="77777777" w:rsidR="00C11904" w:rsidRPr="00C11904" w:rsidRDefault="00C11904" w:rsidP="00C11904">
            <w:pPr>
              <w:spacing w:line="360" w:lineRule="auto"/>
              <w:jc w:val="both"/>
              <w:rPr>
                <w:rFonts w:ascii="Arial" w:hAnsi="Arial" w:cs="Arial"/>
                <w:b/>
                <w:bCs/>
                <w:sz w:val="22"/>
                <w:szCs w:val="22"/>
              </w:rPr>
            </w:pPr>
          </w:p>
          <w:p w14:paraId="640092A5" w14:textId="77777777" w:rsidR="00C11904" w:rsidRPr="00C11904" w:rsidRDefault="00C11904" w:rsidP="00C11904">
            <w:pPr>
              <w:spacing w:line="360" w:lineRule="auto"/>
              <w:jc w:val="both"/>
              <w:rPr>
                <w:rFonts w:ascii="Arial" w:hAnsi="Arial" w:cs="Arial"/>
                <w:b/>
                <w:bCs/>
                <w:sz w:val="22"/>
                <w:szCs w:val="22"/>
              </w:rPr>
            </w:pPr>
          </w:p>
          <w:p w14:paraId="0506B9A9"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t>The study provides important evidence for NHS policy on integrating GPs into emergency departments while highlighting implications for workforce sustainability and primary care access.</w:t>
            </w:r>
          </w:p>
          <w:p w14:paraId="6E0D2EAE" w14:textId="77777777" w:rsidR="00C11904" w:rsidRPr="00C11904" w:rsidRDefault="00C11904" w:rsidP="00C11904">
            <w:pPr>
              <w:spacing w:line="360" w:lineRule="auto"/>
              <w:jc w:val="both"/>
              <w:rPr>
                <w:rFonts w:ascii="Arial" w:hAnsi="Arial" w:cs="Arial"/>
                <w:b/>
                <w:bCs/>
                <w:sz w:val="22"/>
                <w:szCs w:val="22"/>
              </w:rPr>
            </w:pPr>
          </w:p>
        </w:tc>
        <w:tc>
          <w:tcPr>
            <w:tcW w:w="4505" w:type="dxa"/>
          </w:tcPr>
          <w:p w14:paraId="0AC4C273"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sz w:val="22"/>
                <w:szCs w:val="22"/>
              </w:rPr>
              <w:t xml:space="preserve">Yes </w:t>
            </w:r>
          </w:p>
        </w:tc>
      </w:tr>
      <w:tr w:rsidR="00C11904" w:rsidRPr="00C11904" w14:paraId="13058B0C" w14:textId="77777777" w:rsidTr="00A600A2">
        <w:tc>
          <w:tcPr>
            <w:tcW w:w="9010" w:type="dxa"/>
            <w:gridSpan w:val="2"/>
            <w:shd w:val="clear" w:color="auto" w:fill="F2F2F2" w:themeFill="background1" w:themeFillShade="F2"/>
          </w:tcPr>
          <w:p w14:paraId="5B913B02" w14:textId="77777777" w:rsidR="00C11904" w:rsidRPr="00C11904" w:rsidRDefault="00C11904" w:rsidP="00C11904">
            <w:pPr>
              <w:spacing w:line="360" w:lineRule="auto"/>
              <w:jc w:val="both"/>
              <w:rPr>
                <w:rFonts w:ascii="Arial" w:hAnsi="Arial" w:cs="Arial"/>
                <w:i/>
                <w:iCs/>
                <w:sz w:val="22"/>
                <w:szCs w:val="22"/>
              </w:rPr>
            </w:pPr>
            <w:r w:rsidRPr="00C11904">
              <w:rPr>
                <w:rFonts w:ascii="Arial" w:hAnsi="Arial" w:cs="Arial"/>
                <w:i/>
                <w:iCs/>
                <w:sz w:val="22"/>
                <w:szCs w:val="22"/>
              </w:rPr>
              <w:t>CONSIDER:</w:t>
            </w:r>
          </w:p>
          <w:p w14:paraId="6D91AB98" w14:textId="77777777" w:rsidR="00C11904" w:rsidRPr="00C11904" w:rsidRDefault="00C11904" w:rsidP="00C11904">
            <w:pPr>
              <w:numPr>
                <w:ilvl w:val="0"/>
                <w:numId w:val="10"/>
              </w:numPr>
              <w:spacing w:line="360" w:lineRule="auto"/>
              <w:jc w:val="both"/>
              <w:rPr>
                <w:rFonts w:ascii="Arial" w:hAnsi="Arial" w:cs="Arial"/>
                <w:i/>
                <w:iCs/>
                <w:sz w:val="22"/>
                <w:szCs w:val="22"/>
              </w:rPr>
            </w:pPr>
            <w:r w:rsidRPr="00C11904">
              <w:rPr>
                <w:rFonts w:ascii="Arial" w:hAnsi="Arial" w:cs="Arial"/>
                <w:i/>
                <w:iCs/>
                <w:sz w:val="22"/>
                <w:szCs w:val="22"/>
              </w:rPr>
              <w:t>If the researcher discusses the contribution the study makes to existing knowledge or understanding (e.g., do they consider the findings in relation to current practice or policy, or relevant research-based literature</w:t>
            </w:r>
          </w:p>
          <w:p w14:paraId="0870C754" w14:textId="77777777" w:rsidR="00C11904" w:rsidRPr="00C11904" w:rsidRDefault="00C11904" w:rsidP="00C11904">
            <w:pPr>
              <w:numPr>
                <w:ilvl w:val="0"/>
                <w:numId w:val="10"/>
              </w:numPr>
              <w:spacing w:line="360" w:lineRule="auto"/>
              <w:jc w:val="both"/>
              <w:rPr>
                <w:rFonts w:ascii="Arial" w:hAnsi="Arial" w:cs="Arial"/>
                <w:i/>
                <w:iCs/>
                <w:sz w:val="22"/>
                <w:szCs w:val="22"/>
              </w:rPr>
            </w:pPr>
            <w:r w:rsidRPr="00C11904">
              <w:rPr>
                <w:rFonts w:ascii="Arial" w:hAnsi="Arial" w:cs="Arial"/>
                <w:i/>
                <w:iCs/>
                <w:sz w:val="22"/>
                <w:szCs w:val="22"/>
              </w:rPr>
              <w:t xml:space="preserve">If they identify new areas where research is necessary </w:t>
            </w:r>
          </w:p>
          <w:p w14:paraId="699BA493" w14:textId="77777777" w:rsidR="00C11904" w:rsidRPr="00C11904" w:rsidRDefault="00C11904" w:rsidP="00C11904">
            <w:pPr>
              <w:numPr>
                <w:ilvl w:val="0"/>
                <w:numId w:val="10"/>
              </w:numPr>
              <w:spacing w:line="360" w:lineRule="auto"/>
              <w:jc w:val="both"/>
              <w:rPr>
                <w:rFonts w:ascii="Arial" w:hAnsi="Arial" w:cs="Arial"/>
                <w:i/>
                <w:iCs/>
                <w:sz w:val="22"/>
                <w:szCs w:val="22"/>
              </w:rPr>
            </w:pPr>
            <w:r w:rsidRPr="00C11904">
              <w:rPr>
                <w:rFonts w:ascii="Arial" w:hAnsi="Arial" w:cs="Arial"/>
                <w:i/>
                <w:iCs/>
                <w:sz w:val="22"/>
                <w:szCs w:val="22"/>
              </w:rPr>
              <w:t>If the researchers have discussed whether or how the findings can be transferred to other populations or considered other ways the research may be used</w:t>
            </w:r>
          </w:p>
        </w:tc>
      </w:tr>
    </w:tbl>
    <w:p w14:paraId="56B4178F" w14:textId="77777777" w:rsidR="00C11904" w:rsidRPr="00C11904" w:rsidRDefault="00C11904" w:rsidP="00C11904">
      <w:pPr>
        <w:spacing w:line="360" w:lineRule="auto"/>
        <w:jc w:val="both"/>
        <w:rPr>
          <w:rFonts w:ascii="Arial" w:hAnsi="Arial" w:cs="Arial"/>
          <w:i/>
          <w:iCs/>
          <w:sz w:val="22"/>
          <w:szCs w:val="22"/>
        </w:rPr>
      </w:pPr>
    </w:p>
    <w:p w14:paraId="55F8BEBC" w14:textId="77777777" w:rsidR="00C11904" w:rsidRPr="00C11904" w:rsidRDefault="00C11904" w:rsidP="00C11904">
      <w:pPr>
        <w:spacing w:line="360" w:lineRule="auto"/>
        <w:jc w:val="both"/>
        <w:rPr>
          <w:rFonts w:ascii="Arial" w:hAnsi="Arial" w:cs="Arial"/>
          <w:i/>
          <w:iCs/>
          <w:sz w:val="22"/>
          <w:szCs w:val="22"/>
        </w:rPr>
      </w:pPr>
    </w:p>
    <w:p w14:paraId="42BA20D1" w14:textId="77777777" w:rsidR="00C11904" w:rsidRPr="00C11904" w:rsidRDefault="00C11904" w:rsidP="00C11904">
      <w:pPr>
        <w:spacing w:line="360" w:lineRule="auto"/>
        <w:jc w:val="both"/>
        <w:rPr>
          <w:rFonts w:ascii="Arial" w:hAnsi="Arial" w:cs="Arial"/>
          <w:i/>
          <w:iCs/>
          <w:sz w:val="22"/>
          <w:szCs w:val="22"/>
        </w:rPr>
      </w:pPr>
    </w:p>
    <w:p w14:paraId="7989C8B1" w14:textId="77777777" w:rsidR="00C11904" w:rsidRPr="00C11904" w:rsidRDefault="00C11904" w:rsidP="00C11904">
      <w:pPr>
        <w:spacing w:line="360" w:lineRule="auto"/>
        <w:jc w:val="both"/>
        <w:rPr>
          <w:rFonts w:ascii="Arial" w:hAnsi="Arial" w:cs="Arial"/>
          <w:i/>
          <w:iCs/>
          <w:sz w:val="22"/>
          <w:szCs w:val="22"/>
        </w:rPr>
      </w:pPr>
    </w:p>
    <w:tbl>
      <w:tblPr>
        <w:tblStyle w:val="TableGrid"/>
        <w:tblW w:w="0" w:type="auto"/>
        <w:tblInd w:w="-5" w:type="dxa"/>
        <w:tblLook w:val="04A0" w:firstRow="1" w:lastRow="0" w:firstColumn="1" w:lastColumn="0" w:noHBand="0" w:noVBand="1"/>
      </w:tblPr>
      <w:tblGrid>
        <w:gridCol w:w="2918"/>
        <w:gridCol w:w="3119"/>
        <w:gridCol w:w="796"/>
        <w:gridCol w:w="2265"/>
      </w:tblGrid>
      <w:tr w:rsidR="00C11904" w:rsidRPr="00C11904" w14:paraId="306A4853" w14:textId="77777777" w:rsidTr="00A600A2">
        <w:trPr>
          <w:trHeight w:val="667"/>
        </w:trPr>
        <w:tc>
          <w:tcPr>
            <w:tcW w:w="9015" w:type="dxa"/>
            <w:gridSpan w:val="4"/>
            <w:shd w:val="clear" w:color="auto" w:fill="F2CEED" w:themeFill="accent5" w:themeFillTint="33"/>
          </w:tcPr>
          <w:p w14:paraId="35E5152E"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t>APPRAISAL SUMMARY</w:t>
            </w:r>
            <w:r w:rsidRPr="00C11904">
              <w:rPr>
                <w:rFonts w:ascii="Arial" w:hAnsi="Arial" w:cs="Arial"/>
                <w:sz w:val="22"/>
                <w:szCs w:val="22"/>
              </w:rPr>
              <w:t xml:space="preserve">: </w:t>
            </w:r>
            <w:r w:rsidRPr="00C11904">
              <w:rPr>
                <w:rFonts w:ascii="Arial" w:hAnsi="Arial" w:cs="Arial"/>
                <w:i/>
                <w:iCs/>
                <w:sz w:val="22"/>
                <w:szCs w:val="22"/>
              </w:rPr>
              <w:t>List key points from your critical appraisal that need to be considered when assessing the validity of the results and their usefulness in decision-making.</w:t>
            </w:r>
          </w:p>
        </w:tc>
      </w:tr>
      <w:tr w:rsidR="00C11904" w:rsidRPr="00C11904" w14:paraId="4C458D56" w14:textId="77777777" w:rsidTr="00A600A2">
        <w:trPr>
          <w:trHeight w:val="374"/>
        </w:trPr>
        <w:tc>
          <w:tcPr>
            <w:tcW w:w="2835" w:type="dxa"/>
          </w:tcPr>
          <w:p w14:paraId="78655DFB"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t>Positive/Methodologically sound</w:t>
            </w:r>
          </w:p>
        </w:tc>
        <w:tc>
          <w:tcPr>
            <w:tcW w:w="3915" w:type="dxa"/>
            <w:gridSpan w:val="2"/>
          </w:tcPr>
          <w:p w14:paraId="63D37179" w14:textId="29BCA430" w:rsidR="00C11904" w:rsidRPr="00C11904" w:rsidRDefault="00D57BE0" w:rsidP="00C11904">
            <w:pPr>
              <w:spacing w:line="360" w:lineRule="auto"/>
              <w:jc w:val="both"/>
              <w:rPr>
                <w:rFonts w:ascii="Arial" w:hAnsi="Arial" w:cs="Arial"/>
                <w:b/>
                <w:bCs/>
                <w:sz w:val="22"/>
                <w:szCs w:val="22"/>
              </w:rPr>
            </w:pPr>
            <w:r w:rsidRPr="00C11904">
              <w:rPr>
                <w:rFonts w:ascii="Arial" w:hAnsi="Arial" w:cs="Arial"/>
                <w:b/>
                <w:bCs/>
                <w:sz w:val="22"/>
                <w:szCs w:val="22"/>
              </w:rPr>
              <w:t>Negative/poor</w:t>
            </w:r>
            <w:r w:rsidR="00C11904" w:rsidRPr="00C11904">
              <w:rPr>
                <w:rFonts w:ascii="Arial" w:hAnsi="Arial" w:cs="Arial"/>
                <w:b/>
                <w:bCs/>
                <w:sz w:val="22"/>
                <w:szCs w:val="22"/>
              </w:rPr>
              <w:t xml:space="preserve"> methodology</w:t>
            </w:r>
          </w:p>
        </w:tc>
        <w:tc>
          <w:tcPr>
            <w:tcW w:w="2265" w:type="dxa"/>
          </w:tcPr>
          <w:p w14:paraId="41B52292"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t xml:space="preserve">       </w:t>
            </w:r>
          </w:p>
          <w:p w14:paraId="5CFC1F4B" w14:textId="77777777" w:rsidR="00C11904" w:rsidRPr="00C11904" w:rsidRDefault="00C11904" w:rsidP="00C11904">
            <w:pPr>
              <w:spacing w:line="360" w:lineRule="auto"/>
              <w:jc w:val="both"/>
              <w:rPr>
                <w:rFonts w:ascii="Arial" w:hAnsi="Arial" w:cs="Arial"/>
                <w:b/>
                <w:bCs/>
                <w:sz w:val="22"/>
                <w:szCs w:val="22"/>
              </w:rPr>
            </w:pPr>
            <w:r w:rsidRPr="00C11904">
              <w:rPr>
                <w:rFonts w:ascii="Arial" w:hAnsi="Arial" w:cs="Arial"/>
                <w:b/>
                <w:bCs/>
                <w:sz w:val="22"/>
                <w:szCs w:val="22"/>
              </w:rPr>
              <w:t xml:space="preserve">       Unknowns</w:t>
            </w:r>
          </w:p>
          <w:p w14:paraId="4F495B6F" w14:textId="77777777" w:rsidR="00C11904" w:rsidRPr="00C11904" w:rsidRDefault="00C11904" w:rsidP="00C11904">
            <w:pPr>
              <w:spacing w:line="360" w:lineRule="auto"/>
              <w:jc w:val="both"/>
              <w:rPr>
                <w:rFonts w:ascii="Arial" w:hAnsi="Arial" w:cs="Arial"/>
                <w:b/>
                <w:bCs/>
                <w:sz w:val="22"/>
                <w:szCs w:val="22"/>
              </w:rPr>
            </w:pPr>
          </w:p>
        </w:tc>
      </w:tr>
      <w:tr w:rsidR="00C11904" w:rsidRPr="00C11904" w14:paraId="6D163A63" w14:textId="77777777" w:rsidTr="00A600A2">
        <w:trPr>
          <w:trHeight w:val="373"/>
        </w:trPr>
        <w:tc>
          <w:tcPr>
            <w:tcW w:w="2835" w:type="dxa"/>
          </w:tcPr>
          <w:p w14:paraId="234BF82E" w14:textId="77777777" w:rsidR="00C11904" w:rsidRPr="00C11904" w:rsidRDefault="00C11904" w:rsidP="00C11904">
            <w:pPr>
              <w:spacing w:line="360" w:lineRule="auto"/>
              <w:jc w:val="both"/>
              <w:rPr>
                <w:rFonts w:ascii="Arial" w:hAnsi="Arial" w:cs="Arial"/>
                <w:b/>
                <w:bCs/>
                <w:sz w:val="22"/>
                <w:szCs w:val="22"/>
              </w:rPr>
            </w:pPr>
          </w:p>
          <w:p w14:paraId="347CD1AE" w14:textId="77777777" w:rsidR="00C11904" w:rsidRPr="00C11904" w:rsidRDefault="00C11904" w:rsidP="00C11904">
            <w:pPr>
              <w:numPr>
                <w:ilvl w:val="0"/>
                <w:numId w:val="17"/>
              </w:numPr>
              <w:spacing w:line="360" w:lineRule="auto"/>
              <w:jc w:val="both"/>
              <w:rPr>
                <w:rFonts w:ascii="Arial" w:hAnsi="Arial" w:cs="Arial"/>
                <w:b/>
                <w:bCs/>
                <w:sz w:val="22"/>
                <w:szCs w:val="22"/>
              </w:rPr>
            </w:pPr>
            <w:r w:rsidRPr="00C11904">
              <w:rPr>
                <w:rFonts w:ascii="Arial" w:hAnsi="Arial" w:cs="Arial"/>
                <w:b/>
                <w:bCs/>
                <w:sz w:val="22"/>
                <w:szCs w:val="22"/>
              </w:rPr>
              <w:t>Clear research aim.</w:t>
            </w:r>
          </w:p>
          <w:p w14:paraId="3384D94D" w14:textId="77777777" w:rsidR="00C11904" w:rsidRPr="00C11904" w:rsidRDefault="00C11904" w:rsidP="00C11904">
            <w:pPr>
              <w:spacing w:line="360" w:lineRule="auto"/>
              <w:jc w:val="both"/>
              <w:rPr>
                <w:rFonts w:ascii="Arial" w:hAnsi="Arial" w:cs="Arial"/>
                <w:b/>
                <w:bCs/>
                <w:sz w:val="22"/>
                <w:szCs w:val="22"/>
              </w:rPr>
            </w:pPr>
          </w:p>
          <w:p w14:paraId="0A9137B1" w14:textId="77777777" w:rsidR="00C11904" w:rsidRPr="00C11904" w:rsidRDefault="00C11904" w:rsidP="00C11904">
            <w:pPr>
              <w:numPr>
                <w:ilvl w:val="0"/>
                <w:numId w:val="17"/>
              </w:numPr>
              <w:spacing w:line="360" w:lineRule="auto"/>
              <w:jc w:val="both"/>
              <w:rPr>
                <w:rFonts w:ascii="Arial" w:hAnsi="Arial" w:cs="Arial"/>
                <w:b/>
                <w:bCs/>
                <w:sz w:val="22"/>
                <w:szCs w:val="22"/>
              </w:rPr>
            </w:pPr>
            <w:r w:rsidRPr="00C11904">
              <w:rPr>
                <w:rFonts w:ascii="Arial" w:hAnsi="Arial" w:cs="Arial"/>
                <w:b/>
                <w:bCs/>
                <w:sz w:val="22"/>
                <w:szCs w:val="22"/>
              </w:rPr>
              <w:lastRenderedPageBreak/>
              <w:t>Relevant to primary care access and ED utilisation.</w:t>
            </w:r>
          </w:p>
          <w:p w14:paraId="0012372E" w14:textId="77777777" w:rsidR="00C11904" w:rsidRPr="00C11904" w:rsidRDefault="00C11904" w:rsidP="00C11904">
            <w:pPr>
              <w:spacing w:line="360" w:lineRule="auto"/>
              <w:jc w:val="both"/>
              <w:rPr>
                <w:rFonts w:ascii="Arial" w:hAnsi="Arial" w:cs="Arial"/>
                <w:b/>
                <w:bCs/>
                <w:sz w:val="22"/>
                <w:szCs w:val="22"/>
              </w:rPr>
            </w:pPr>
          </w:p>
          <w:p w14:paraId="55DB83D3" w14:textId="77777777" w:rsidR="00C11904" w:rsidRPr="00C11904" w:rsidRDefault="00C11904" w:rsidP="00C11904">
            <w:pPr>
              <w:spacing w:line="360" w:lineRule="auto"/>
              <w:jc w:val="both"/>
              <w:rPr>
                <w:rFonts w:ascii="Arial" w:hAnsi="Arial" w:cs="Arial"/>
                <w:b/>
                <w:bCs/>
                <w:sz w:val="22"/>
                <w:szCs w:val="22"/>
              </w:rPr>
            </w:pPr>
          </w:p>
          <w:p w14:paraId="615D249F" w14:textId="57E39A16" w:rsidR="00C11904" w:rsidRPr="00C11904" w:rsidRDefault="00C11904" w:rsidP="00C11904">
            <w:pPr>
              <w:numPr>
                <w:ilvl w:val="0"/>
                <w:numId w:val="17"/>
              </w:numPr>
              <w:spacing w:line="360" w:lineRule="auto"/>
              <w:jc w:val="both"/>
              <w:rPr>
                <w:rFonts w:ascii="Arial" w:hAnsi="Arial" w:cs="Arial"/>
                <w:b/>
                <w:bCs/>
                <w:sz w:val="22"/>
                <w:szCs w:val="22"/>
              </w:rPr>
            </w:pPr>
            <w:r w:rsidRPr="00C11904">
              <w:rPr>
                <w:rFonts w:ascii="Arial" w:hAnsi="Arial" w:cs="Arial"/>
                <w:b/>
                <w:bCs/>
                <w:sz w:val="22"/>
                <w:szCs w:val="22"/>
              </w:rPr>
              <w:t xml:space="preserve">Focuses on deprived populations in </w:t>
            </w:r>
            <w:r w:rsidR="00A8174F">
              <w:rPr>
                <w:rFonts w:ascii="Arial" w:hAnsi="Arial" w:cs="Arial"/>
                <w:b/>
                <w:bCs/>
                <w:sz w:val="22"/>
                <w:szCs w:val="22"/>
              </w:rPr>
              <w:t>UK</w:t>
            </w:r>
            <w:r w:rsidRPr="00C11904">
              <w:rPr>
                <w:rFonts w:ascii="Arial" w:hAnsi="Arial" w:cs="Arial"/>
                <w:b/>
                <w:bCs/>
                <w:sz w:val="22"/>
                <w:szCs w:val="22"/>
              </w:rPr>
              <w:t>.</w:t>
            </w:r>
          </w:p>
          <w:p w14:paraId="4D52CF9D" w14:textId="77777777" w:rsidR="00C11904" w:rsidRPr="00C11904" w:rsidRDefault="00C11904" w:rsidP="00C11904">
            <w:pPr>
              <w:spacing w:line="360" w:lineRule="auto"/>
              <w:jc w:val="both"/>
              <w:rPr>
                <w:rFonts w:ascii="Arial" w:hAnsi="Arial" w:cs="Arial"/>
                <w:b/>
                <w:bCs/>
                <w:sz w:val="22"/>
                <w:szCs w:val="22"/>
              </w:rPr>
            </w:pPr>
          </w:p>
          <w:p w14:paraId="7CF38A6E" w14:textId="77777777" w:rsidR="00C11904" w:rsidRPr="00C11904" w:rsidRDefault="00C11904" w:rsidP="00C11904">
            <w:pPr>
              <w:spacing w:line="360" w:lineRule="auto"/>
              <w:jc w:val="both"/>
              <w:rPr>
                <w:rFonts w:ascii="Arial" w:hAnsi="Arial" w:cs="Arial"/>
                <w:b/>
                <w:bCs/>
                <w:sz w:val="22"/>
                <w:szCs w:val="22"/>
              </w:rPr>
            </w:pPr>
          </w:p>
          <w:p w14:paraId="26129A58" w14:textId="77777777" w:rsidR="00C11904" w:rsidRPr="00C11904" w:rsidRDefault="00C11904" w:rsidP="00C11904">
            <w:pPr>
              <w:spacing w:line="360" w:lineRule="auto"/>
              <w:jc w:val="both"/>
              <w:rPr>
                <w:rFonts w:ascii="Arial" w:hAnsi="Arial" w:cs="Arial"/>
                <w:b/>
                <w:bCs/>
                <w:sz w:val="22"/>
                <w:szCs w:val="22"/>
              </w:rPr>
            </w:pPr>
          </w:p>
          <w:p w14:paraId="32B7E987" w14:textId="77777777" w:rsidR="00C11904" w:rsidRPr="00C11904" w:rsidRDefault="00C11904" w:rsidP="00C11904">
            <w:pPr>
              <w:spacing w:line="360" w:lineRule="auto"/>
              <w:jc w:val="both"/>
              <w:rPr>
                <w:rFonts w:ascii="Arial" w:hAnsi="Arial" w:cs="Arial"/>
                <w:b/>
                <w:bCs/>
                <w:sz w:val="22"/>
                <w:szCs w:val="22"/>
              </w:rPr>
            </w:pPr>
          </w:p>
        </w:tc>
        <w:tc>
          <w:tcPr>
            <w:tcW w:w="3119" w:type="dxa"/>
          </w:tcPr>
          <w:p w14:paraId="5486A56D" w14:textId="77777777" w:rsidR="00C11904" w:rsidRPr="00C11904" w:rsidRDefault="00C11904" w:rsidP="00C11904">
            <w:pPr>
              <w:spacing w:line="360" w:lineRule="auto"/>
              <w:jc w:val="both"/>
              <w:rPr>
                <w:rFonts w:ascii="Arial" w:hAnsi="Arial" w:cs="Arial"/>
                <w:b/>
                <w:bCs/>
                <w:sz w:val="22"/>
                <w:szCs w:val="22"/>
              </w:rPr>
            </w:pPr>
          </w:p>
          <w:p w14:paraId="4C852814" w14:textId="77777777" w:rsidR="00C11904" w:rsidRPr="00C11904" w:rsidRDefault="00C11904" w:rsidP="00C11904">
            <w:pPr>
              <w:numPr>
                <w:ilvl w:val="0"/>
                <w:numId w:val="18"/>
              </w:numPr>
              <w:spacing w:line="360" w:lineRule="auto"/>
              <w:jc w:val="both"/>
              <w:rPr>
                <w:rFonts w:ascii="Arial" w:hAnsi="Arial" w:cs="Arial"/>
                <w:b/>
                <w:bCs/>
                <w:sz w:val="22"/>
                <w:szCs w:val="22"/>
              </w:rPr>
            </w:pPr>
            <w:r w:rsidRPr="00C11904">
              <w:rPr>
                <w:rFonts w:ascii="Arial" w:hAnsi="Arial" w:cs="Arial"/>
                <w:b/>
                <w:bCs/>
                <w:sz w:val="22"/>
                <w:szCs w:val="22"/>
              </w:rPr>
              <w:t xml:space="preserve">Focused on GPs' perspectives rather than patients' </w:t>
            </w:r>
            <w:r w:rsidRPr="00C11904">
              <w:rPr>
                <w:rFonts w:ascii="Arial" w:hAnsi="Arial" w:cs="Arial"/>
                <w:b/>
                <w:bCs/>
                <w:sz w:val="22"/>
                <w:szCs w:val="22"/>
              </w:rPr>
              <w:lastRenderedPageBreak/>
              <w:t>experiences, limiting insight into patient decision-making.</w:t>
            </w:r>
          </w:p>
          <w:p w14:paraId="2B5F6D2B" w14:textId="77777777" w:rsidR="00C11904" w:rsidRPr="00C11904" w:rsidRDefault="00C11904" w:rsidP="00C11904">
            <w:pPr>
              <w:spacing w:line="360" w:lineRule="auto"/>
              <w:jc w:val="both"/>
              <w:rPr>
                <w:rFonts w:ascii="Arial" w:hAnsi="Arial" w:cs="Arial"/>
                <w:b/>
                <w:bCs/>
                <w:sz w:val="22"/>
                <w:szCs w:val="22"/>
              </w:rPr>
            </w:pPr>
          </w:p>
          <w:p w14:paraId="06EBE5AA" w14:textId="77777777" w:rsidR="00C11904" w:rsidRPr="00C11904" w:rsidRDefault="00C11904" w:rsidP="00C11904">
            <w:pPr>
              <w:numPr>
                <w:ilvl w:val="0"/>
                <w:numId w:val="18"/>
              </w:numPr>
              <w:spacing w:line="360" w:lineRule="auto"/>
              <w:jc w:val="both"/>
              <w:rPr>
                <w:rFonts w:ascii="Arial" w:hAnsi="Arial" w:cs="Arial"/>
                <w:b/>
                <w:bCs/>
                <w:sz w:val="22"/>
                <w:szCs w:val="22"/>
              </w:rPr>
            </w:pPr>
            <w:r w:rsidRPr="00C11904">
              <w:rPr>
                <w:rFonts w:ascii="Arial" w:hAnsi="Arial" w:cs="Arial"/>
                <w:b/>
                <w:bCs/>
                <w:sz w:val="22"/>
                <w:szCs w:val="22"/>
              </w:rPr>
              <w:t>Limited discussion of researcher reflexivity and potential influence on data interpretation.</w:t>
            </w:r>
          </w:p>
        </w:tc>
        <w:tc>
          <w:tcPr>
            <w:tcW w:w="3061" w:type="dxa"/>
            <w:gridSpan w:val="2"/>
          </w:tcPr>
          <w:p w14:paraId="22D65279" w14:textId="77777777" w:rsidR="00C11904" w:rsidRPr="00C11904" w:rsidRDefault="00C11904" w:rsidP="00C11904">
            <w:pPr>
              <w:spacing w:line="360" w:lineRule="auto"/>
              <w:jc w:val="both"/>
              <w:rPr>
                <w:rFonts w:ascii="Arial" w:hAnsi="Arial" w:cs="Arial"/>
                <w:b/>
                <w:bCs/>
                <w:sz w:val="22"/>
                <w:szCs w:val="22"/>
              </w:rPr>
            </w:pPr>
          </w:p>
          <w:p w14:paraId="1326A9C7" w14:textId="77777777" w:rsidR="00C11904" w:rsidRPr="00C11904" w:rsidRDefault="00C11904" w:rsidP="00C11904">
            <w:pPr>
              <w:numPr>
                <w:ilvl w:val="0"/>
                <w:numId w:val="19"/>
              </w:numPr>
              <w:spacing w:line="360" w:lineRule="auto"/>
              <w:jc w:val="both"/>
              <w:rPr>
                <w:rFonts w:ascii="Arial" w:hAnsi="Arial" w:cs="Arial"/>
                <w:b/>
                <w:bCs/>
                <w:sz w:val="22"/>
                <w:szCs w:val="22"/>
              </w:rPr>
            </w:pPr>
            <w:r w:rsidRPr="00C11904">
              <w:rPr>
                <w:rFonts w:ascii="Arial" w:hAnsi="Arial" w:cs="Arial"/>
                <w:b/>
                <w:bCs/>
                <w:sz w:val="22"/>
                <w:szCs w:val="22"/>
              </w:rPr>
              <w:t xml:space="preserve">The impact of local organisational differences on </w:t>
            </w:r>
            <w:r w:rsidRPr="00C11904">
              <w:rPr>
                <w:rFonts w:ascii="Arial" w:hAnsi="Arial" w:cs="Arial"/>
                <w:b/>
                <w:bCs/>
                <w:sz w:val="22"/>
                <w:szCs w:val="22"/>
              </w:rPr>
              <w:lastRenderedPageBreak/>
              <w:t>findings is not fully explored.</w:t>
            </w:r>
          </w:p>
          <w:p w14:paraId="4D4BE526" w14:textId="77777777" w:rsidR="00C11904" w:rsidRPr="00C11904" w:rsidRDefault="00C11904" w:rsidP="00C11904">
            <w:pPr>
              <w:spacing w:line="360" w:lineRule="auto"/>
              <w:jc w:val="both"/>
              <w:rPr>
                <w:rFonts w:ascii="Arial" w:hAnsi="Arial" w:cs="Arial"/>
                <w:b/>
                <w:bCs/>
                <w:sz w:val="22"/>
                <w:szCs w:val="22"/>
              </w:rPr>
            </w:pPr>
          </w:p>
          <w:p w14:paraId="73A2C2EF" w14:textId="77777777" w:rsidR="00C11904" w:rsidRPr="00C11904" w:rsidRDefault="00C11904" w:rsidP="00C11904">
            <w:pPr>
              <w:spacing w:line="360" w:lineRule="auto"/>
              <w:jc w:val="both"/>
              <w:rPr>
                <w:rFonts w:ascii="Arial" w:hAnsi="Arial" w:cs="Arial"/>
                <w:b/>
                <w:bCs/>
                <w:sz w:val="22"/>
                <w:szCs w:val="22"/>
              </w:rPr>
            </w:pPr>
          </w:p>
          <w:p w14:paraId="461D4CC0" w14:textId="77777777" w:rsidR="00C11904" w:rsidRPr="00C11904" w:rsidRDefault="00C11904" w:rsidP="00C11904">
            <w:pPr>
              <w:numPr>
                <w:ilvl w:val="0"/>
                <w:numId w:val="19"/>
              </w:numPr>
              <w:spacing w:line="360" w:lineRule="auto"/>
              <w:jc w:val="both"/>
              <w:rPr>
                <w:rFonts w:ascii="Arial" w:hAnsi="Arial" w:cs="Arial"/>
                <w:b/>
                <w:bCs/>
                <w:sz w:val="22"/>
                <w:szCs w:val="22"/>
              </w:rPr>
            </w:pPr>
            <w:r w:rsidRPr="00C11904">
              <w:rPr>
                <w:rFonts w:ascii="Arial" w:hAnsi="Arial" w:cs="Arial"/>
                <w:b/>
                <w:bCs/>
                <w:sz w:val="22"/>
                <w:szCs w:val="22"/>
              </w:rPr>
              <w:t>Long-term effects of GPED services on emergency department utilisation remain unknown.</w:t>
            </w:r>
          </w:p>
        </w:tc>
      </w:tr>
    </w:tbl>
    <w:p w14:paraId="4262F86E" w14:textId="39E7614D" w:rsidR="00D843C7" w:rsidRDefault="00D843C7" w:rsidP="00173BDC">
      <w:pPr>
        <w:spacing w:line="360" w:lineRule="auto"/>
        <w:jc w:val="both"/>
        <w:rPr>
          <w:rFonts w:ascii="Arial" w:hAnsi="Arial" w:cs="Arial"/>
          <w:sz w:val="22"/>
          <w:szCs w:val="22"/>
        </w:rPr>
      </w:pPr>
    </w:p>
    <w:sectPr w:rsidR="00D843C7" w:rsidSect="00C00CE6">
      <w:footerReference w:type="default" r:id="rId141"/>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97331D" w14:textId="77777777" w:rsidR="00525921" w:rsidRDefault="00525921">
      <w:r>
        <w:separator/>
      </w:r>
    </w:p>
  </w:endnote>
  <w:endnote w:type="continuationSeparator" w:id="0">
    <w:p w14:paraId="2B2734E9" w14:textId="77777777" w:rsidR="00525921" w:rsidRDefault="005259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8859591"/>
      <w:docPartObj>
        <w:docPartGallery w:val="Page Numbers (Bottom of Page)"/>
        <w:docPartUnique/>
      </w:docPartObj>
    </w:sdtPr>
    <w:sdtContent>
      <w:p w14:paraId="3E20C400" w14:textId="511F6F11" w:rsidR="006A4106" w:rsidRDefault="006A4106">
        <w:pPr>
          <w:pStyle w:val="Footer"/>
          <w:jc w:val="right"/>
        </w:pPr>
        <w:r>
          <w:fldChar w:fldCharType="begin"/>
        </w:r>
        <w:r>
          <w:instrText>PAGE   \* MERGEFORMAT</w:instrText>
        </w:r>
        <w:r>
          <w:fldChar w:fldCharType="separate"/>
        </w:r>
        <w:r>
          <w:t>2</w:t>
        </w:r>
        <w:r>
          <w:fldChar w:fldCharType="end"/>
        </w:r>
      </w:p>
    </w:sdtContent>
  </w:sdt>
  <w:p w14:paraId="79C3B1A9" w14:textId="76E80550" w:rsidR="00955BCD" w:rsidRDefault="00955BCD">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5C8A67" w14:textId="77777777" w:rsidR="00525921" w:rsidRDefault="00525921">
      <w:r>
        <w:separator/>
      </w:r>
    </w:p>
  </w:footnote>
  <w:footnote w:type="continuationSeparator" w:id="0">
    <w:p w14:paraId="53B930FC" w14:textId="77777777" w:rsidR="00525921" w:rsidRDefault="005259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A5DD6"/>
    <w:multiLevelType w:val="hybridMultilevel"/>
    <w:tmpl w:val="C4741B38"/>
    <w:lvl w:ilvl="0" w:tplc="2422B64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D2B5B"/>
    <w:multiLevelType w:val="hybridMultilevel"/>
    <w:tmpl w:val="141AAEA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B22155"/>
    <w:multiLevelType w:val="multilevel"/>
    <w:tmpl w:val="E9027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2D55E3"/>
    <w:multiLevelType w:val="hybridMultilevel"/>
    <w:tmpl w:val="E506D84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246207C7"/>
    <w:multiLevelType w:val="hybridMultilevel"/>
    <w:tmpl w:val="F3B2BA1E"/>
    <w:lvl w:ilvl="0" w:tplc="2422B64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AF757A"/>
    <w:multiLevelType w:val="multilevel"/>
    <w:tmpl w:val="42726066"/>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26A13982"/>
    <w:multiLevelType w:val="hybridMultilevel"/>
    <w:tmpl w:val="D2441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3360FC"/>
    <w:multiLevelType w:val="multilevel"/>
    <w:tmpl w:val="DB48E562"/>
    <w:lvl w:ilvl="0">
      <w:start w:val="2"/>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300739E2"/>
    <w:multiLevelType w:val="multilevel"/>
    <w:tmpl w:val="8DBE3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D42DF3"/>
    <w:multiLevelType w:val="hybridMultilevel"/>
    <w:tmpl w:val="1CBE07E0"/>
    <w:lvl w:ilvl="0" w:tplc="92E4E0E2">
      <w:start w:val="1"/>
      <w:numFmt w:val="bullet"/>
      <w:lvlText w:val="●"/>
      <w:lvlJc w:val="left"/>
      <w:pPr>
        <w:ind w:left="720" w:hanging="360"/>
      </w:pPr>
    </w:lvl>
    <w:lvl w:ilvl="1" w:tplc="CABC2188">
      <w:start w:val="1"/>
      <w:numFmt w:val="bullet"/>
      <w:lvlText w:val="○"/>
      <w:lvlJc w:val="left"/>
      <w:pPr>
        <w:ind w:left="1440" w:hanging="360"/>
      </w:pPr>
    </w:lvl>
    <w:lvl w:ilvl="2" w:tplc="9F8C428A">
      <w:start w:val="1"/>
      <w:numFmt w:val="bullet"/>
      <w:lvlText w:val="■"/>
      <w:lvlJc w:val="left"/>
      <w:pPr>
        <w:ind w:left="2160" w:hanging="360"/>
      </w:pPr>
    </w:lvl>
    <w:lvl w:ilvl="3" w:tplc="226AC0B6">
      <w:start w:val="1"/>
      <w:numFmt w:val="bullet"/>
      <w:lvlText w:val="●"/>
      <w:lvlJc w:val="left"/>
      <w:pPr>
        <w:ind w:left="2880" w:hanging="360"/>
      </w:pPr>
    </w:lvl>
    <w:lvl w:ilvl="4" w:tplc="C024D774">
      <w:start w:val="1"/>
      <w:numFmt w:val="bullet"/>
      <w:lvlText w:val="○"/>
      <w:lvlJc w:val="left"/>
      <w:pPr>
        <w:ind w:left="3600" w:hanging="360"/>
      </w:pPr>
    </w:lvl>
    <w:lvl w:ilvl="5" w:tplc="02AAB054">
      <w:start w:val="1"/>
      <w:numFmt w:val="bullet"/>
      <w:lvlText w:val="■"/>
      <w:lvlJc w:val="left"/>
      <w:pPr>
        <w:ind w:left="4320" w:hanging="360"/>
      </w:pPr>
    </w:lvl>
    <w:lvl w:ilvl="6" w:tplc="3DDCB534">
      <w:start w:val="1"/>
      <w:numFmt w:val="bullet"/>
      <w:lvlText w:val="●"/>
      <w:lvlJc w:val="left"/>
      <w:pPr>
        <w:ind w:left="5040" w:hanging="360"/>
      </w:pPr>
    </w:lvl>
    <w:lvl w:ilvl="7" w:tplc="1082AF34">
      <w:start w:val="1"/>
      <w:numFmt w:val="bullet"/>
      <w:lvlText w:val="●"/>
      <w:lvlJc w:val="left"/>
      <w:pPr>
        <w:ind w:left="5760" w:hanging="360"/>
      </w:pPr>
    </w:lvl>
    <w:lvl w:ilvl="8" w:tplc="E6AE2A6A">
      <w:start w:val="1"/>
      <w:numFmt w:val="bullet"/>
      <w:lvlText w:val="●"/>
      <w:lvlJc w:val="left"/>
      <w:pPr>
        <w:ind w:left="6480" w:hanging="360"/>
      </w:pPr>
    </w:lvl>
  </w:abstractNum>
  <w:abstractNum w:abstractNumId="10" w15:restartNumberingAfterBreak="0">
    <w:nsid w:val="338C3727"/>
    <w:multiLevelType w:val="hybridMultilevel"/>
    <w:tmpl w:val="07EC4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CE7DD0"/>
    <w:multiLevelType w:val="hybridMultilevel"/>
    <w:tmpl w:val="8D2E99E0"/>
    <w:lvl w:ilvl="0" w:tplc="C486FEFC">
      <w:start w:val="1"/>
      <w:numFmt w:val="decimal"/>
      <w:lvlText w:val="%1."/>
      <w:lvlJc w:val="left"/>
      <w:pPr>
        <w:ind w:left="1352" w:hanging="360"/>
      </w:pPr>
      <w:rPr>
        <w:rFonts w:hint="default"/>
        <w:b w:val="0"/>
        <w:bCs w:val="0"/>
      </w:rPr>
    </w:lvl>
    <w:lvl w:ilvl="1" w:tplc="08090019" w:tentative="1">
      <w:start w:val="1"/>
      <w:numFmt w:val="lowerLetter"/>
      <w:lvlText w:val="%2."/>
      <w:lvlJc w:val="left"/>
      <w:pPr>
        <w:ind w:left="2072" w:hanging="360"/>
      </w:pPr>
    </w:lvl>
    <w:lvl w:ilvl="2" w:tplc="0809001B" w:tentative="1">
      <w:start w:val="1"/>
      <w:numFmt w:val="lowerRoman"/>
      <w:lvlText w:val="%3."/>
      <w:lvlJc w:val="right"/>
      <w:pPr>
        <w:ind w:left="2792" w:hanging="180"/>
      </w:pPr>
    </w:lvl>
    <w:lvl w:ilvl="3" w:tplc="0809000F" w:tentative="1">
      <w:start w:val="1"/>
      <w:numFmt w:val="decimal"/>
      <w:lvlText w:val="%4."/>
      <w:lvlJc w:val="left"/>
      <w:pPr>
        <w:ind w:left="3512" w:hanging="360"/>
      </w:pPr>
    </w:lvl>
    <w:lvl w:ilvl="4" w:tplc="08090019" w:tentative="1">
      <w:start w:val="1"/>
      <w:numFmt w:val="lowerLetter"/>
      <w:lvlText w:val="%5."/>
      <w:lvlJc w:val="left"/>
      <w:pPr>
        <w:ind w:left="4232" w:hanging="360"/>
      </w:pPr>
    </w:lvl>
    <w:lvl w:ilvl="5" w:tplc="0809001B" w:tentative="1">
      <w:start w:val="1"/>
      <w:numFmt w:val="lowerRoman"/>
      <w:lvlText w:val="%6."/>
      <w:lvlJc w:val="right"/>
      <w:pPr>
        <w:ind w:left="4952" w:hanging="180"/>
      </w:pPr>
    </w:lvl>
    <w:lvl w:ilvl="6" w:tplc="0809000F" w:tentative="1">
      <w:start w:val="1"/>
      <w:numFmt w:val="decimal"/>
      <w:lvlText w:val="%7."/>
      <w:lvlJc w:val="left"/>
      <w:pPr>
        <w:ind w:left="5672" w:hanging="360"/>
      </w:pPr>
    </w:lvl>
    <w:lvl w:ilvl="7" w:tplc="08090019" w:tentative="1">
      <w:start w:val="1"/>
      <w:numFmt w:val="lowerLetter"/>
      <w:lvlText w:val="%8."/>
      <w:lvlJc w:val="left"/>
      <w:pPr>
        <w:ind w:left="6392" w:hanging="360"/>
      </w:pPr>
    </w:lvl>
    <w:lvl w:ilvl="8" w:tplc="0809001B" w:tentative="1">
      <w:start w:val="1"/>
      <w:numFmt w:val="lowerRoman"/>
      <w:lvlText w:val="%9."/>
      <w:lvlJc w:val="right"/>
      <w:pPr>
        <w:ind w:left="7112" w:hanging="180"/>
      </w:pPr>
    </w:lvl>
  </w:abstractNum>
  <w:abstractNum w:abstractNumId="12" w15:restartNumberingAfterBreak="0">
    <w:nsid w:val="3AD00B3A"/>
    <w:multiLevelType w:val="hybridMultilevel"/>
    <w:tmpl w:val="DEC4B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4D042C"/>
    <w:multiLevelType w:val="hybridMultilevel"/>
    <w:tmpl w:val="585E6526"/>
    <w:lvl w:ilvl="0" w:tplc="08090001">
      <w:start w:val="1"/>
      <w:numFmt w:val="bullet"/>
      <w:lvlText w:val=""/>
      <w:lvlJc w:val="left"/>
      <w:pPr>
        <w:ind w:left="742" w:hanging="360"/>
      </w:pPr>
      <w:rPr>
        <w:rFonts w:ascii="Symbol" w:hAnsi="Symbol" w:hint="default"/>
      </w:rPr>
    </w:lvl>
    <w:lvl w:ilvl="1" w:tplc="08090003" w:tentative="1">
      <w:start w:val="1"/>
      <w:numFmt w:val="bullet"/>
      <w:lvlText w:val="o"/>
      <w:lvlJc w:val="left"/>
      <w:pPr>
        <w:ind w:left="1462" w:hanging="360"/>
      </w:pPr>
      <w:rPr>
        <w:rFonts w:ascii="Courier New" w:hAnsi="Courier New" w:cs="Courier New" w:hint="default"/>
      </w:rPr>
    </w:lvl>
    <w:lvl w:ilvl="2" w:tplc="08090005" w:tentative="1">
      <w:start w:val="1"/>
      <w:numFmt w:val="bullet"/>
      <w:lvlText w:val=""/>
      <w:lvlJc w:val="left"/>
      <w:pPr>
        <w:ind w:left="2182" w:hanging="360"/>
      </w:pPr>
      <w:rPr>
        <w:rFonts w:ascii="Wingdings" w:hAnsi="Wingdings" w:hint="default"/>
      </w:rPr>
    </w:lvl>
    <w:lvl w:ilvl="3" w:tplc="08090001" w:tentative="1">
      <w:start w:val="1"/>
      <w:numFmt w:val="bullet"/>
      <w:lvlText w:val=""/>
      <w:lvlJc w:val="left"/>
      <w:pPr>
        <w:ind w:left="2902" w:hanging="360"/>
      </w:pPr>
      <w:rPr>
        <w:rFonts w:ascii="Symbol" w:hAnsi="Symbol" w:hint="default"/>
      </w:rPr>
    </w:lvl>
    <w:lvl w:ilvl="4" w:tplc="08090003" w:tentative="1">
      <w:start w:val="1"/>
      <w:numFmt w:val="bullet"/>
      <w:lvlText w:val="o"/>
      <w:lvlJc w:val="left"/>
      <w:pPr>
        <w:ind w:left="3622" w:hanging="360"/>
      </w:pPr>
      <w:rPr>
        <w:rFonts w:ascii="Courier New" w:hAnsi="Courier New" w:cs="Courier New" w:hint="default"/>
      </w:rPr>
    </w:lvl>
    <w:lvl w:ilvl="5" w:tplc="08090005" w:tentative="1">
      <w:start w:val="1"/>
      <w:numFmt w:val="bullet"/>
      <w:lvlText w:val=""/>
      <w:lvlJc w:val="left"/>
      <w:pPr>
        <w:ind w:left="4342" w:hanging="360"/>
      </w:pPr>
      <w:rPr>
        <w:rFonts w:ascii="Wingdings" w:hAnsi="Wingdings" w:hint="default"/>
      </w:rPr>
    </w:lvl>
    <w:lvl w:ilvl="6" w:tplc="08090001" w:tentative="1">
      <w:start w:val="1"/>
      <w:numFmt w:val="bullet"/>
      <w:lvlText w:val=""/>
      <w:lvlJc w:val="left"/>
      <w:pPr>
        <w:ind w:left="5062" w:hanging="360"/>
      </w:pPr>
      <w:rPr>
        <w:rFonts w:ascii="Symbol" w:hAnsi="Symbol" w:hint="default"/>
      </w:rPr>
    </w:lvl>
    <w:lvl w:ilvl="7" w:tplc="08090003" w:tentative="1">
      <w:start w:val="1"/>
      <w:numFmt w:val="bullet"/>
      <w:lvlText w:val="o"/>
      <w:lvlJc w:val="left"/>
      <w:pPr>
        <w:ind w:left="5782" w:hanging="360"/>
      </w:pPr>
      <w:rPr>
        <w:rFonts w:ascii="Courier New" w:hAnsi="Courier New" w:cs="Courier New" w:hint="default"/>
      </w:rPr>
    </w:lvl>
    <w:lvl w:ilvl="8" w:tplc="08090005" w:tentative="1">
      <w:start w:val="1"/>
      <w:numFmt w:val="bullet"/>
      <w:lvlText w:val=""/>
      <w:lvlJc w:val="left"/>
      <w:pPr>
        <w:ind w:left="6502" w:hanging="360"/>
      </w:pPr>
      <w:rPr>
        <w:rFonts w:ascii="Wingdings" w:hAnsi="Wingdings" w:hint="default"/>
      </w:rPr>
    </w:lvl>
  </w:abstractNum>
  <w:abstractNum w:abstractNumId="14" w15:restartNumberingAfterBreak="0">
    <w:nsid w:val="47B41871"/>
    <w:multiLevelType w:val="hybridMultilevel"/>
    <w:tmpl w:val="A1C21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1B6E11"/>
    <w:multiLevelType w:val="multilevel"/>
    <w:tmpl w:val="A9EA0978"/>
    <w:lvl w:ilvl="0">
      <w:start w:val="1"/>
      <w:numFmt w:val="decimal"/>
      <w:lvlText w:val="%1."/>
      <w:lvlJc w:val="left"/>
      <w:pPr>
        <w:ind w:left="44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360" w:hanging="720"/>
      </w:pPr>
      <w:rPr>
        <w:rFonts w:hint="default"/>
      </w:rPr>
    </w:lvl>
    <w:lvl w:ilvl="3">
      <w:start w:val="1"/>
      <w:numFmt w:val="decimal"/>
      <w:isLgl/>
      <w:lvlText w:val="%1.%2.%3.%4"/>
      <w:lvlJc w:val="left"/>
      <w:pPr>
        <w:ind w:left="2000" w:hanging="1080"/>
      </w:pPr>
      <w:rPr>
        <w:rFonts w:hint="default"/>
      </w:rPr>
    </w:lvl>
    <w:lvl w:ilvl="4">
      <w:start w:val="1"/>
      <w:numFmt w:val="decimal"/>
      <w:isLgl/>
      <w:lvlText w:val="%1.%2.%3.%4.%5"/>
      <w:lvlJc w:val="left"/>
      <w:pPr>
        <w:ind w:left="2280" w:hanging="1080"/>
      </w:pPr>
      <w:rPr>
        <w:rFonts w:hint="default"/>
      </w:rPr>
    </w:lvl>
    <w:lvl w:ilvl="5">
      <w:start w:val="1"/>
      <w:numFmt w:val="decimal"/>
      <w:isLgl/>
      <w:lvlText w:val="%1.%2.%3.%4.%5.%6"/>
      <w:lvlJc w:val="left"/>
      <w:pPr>
        <w:ind w:left="2920" w:hanging="1440"/>
      </w:pPr>
      <w:rPr>
        <w:rFonts w:hint="default"/>
      </w:rPr>
    </w:lvl>
    <w:lvl w:ilvl="6">
      <w:start w:val="1"/>
      <w:numFmt w:val="decimal"/>
      <w:isLgl/>
      <w:lvlText w:val="%1.%2.%3.%4.%5.%6.%7"/>
      <w:lvlJc w:val="left"/>
      <w:pPr>
        <w:ind w:left="3200" w:hanging="1440"/>
      </w:pPr>
      <w:rPr>
        <w:rFonts w:hint="default"/>
      </w:rPr>
    </w:lvl>
    <w:lvl w:ilvl="7">
      <w:start w:val="1"/>
      <w:numFmt w:val="decimal"/>
      <w:isLgl/>
      <w:lvlText w:val="%1.%2.%3.%4.%5.%6.%7.%8"/>
      <w:lvlJc w:val="left"/>
      <w:pPr>
        <w:ind w:left="3840" w:hanging="1800"/>
      </w:pPr>
      <w:rPr>
        <w:rFonts w:hint="default"/>
      </w:rPr>
    </w:lvl>
    <w:lvl w:ilvl="8">
      <w:start w:val="1"/>
      <w:numFmt w:val="decimal"/>
      <w:isLgl/>
      <w:lvlText w:val="%1.%2.%3.%4.%5.%6.%7.%8.%9"/>
      <w:lvlJc w:val="left"/>
      <w:pPr>
        <w:ind w:left="4120" w:hanging="1800"/>
      </w:pPr>
      <w:rPr>
        <w:rFonts w:hint="default"/>
      </w:rPr>
    </w:lvl>
  </w:abstractNum>
  <w:abstractNum w:abstractNumId="16" w15:restartNumberingAfterBreak="0">
    <w:nsid w:val="525C483F"/>
    <w:multiLevelType w:val="hybridMultilevel"/>
    <w:tmpl w:val="CB96D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8AE"/>
    <w:multiLevelType w:val="multilevel"/>
    <w:tmpl w:val="F4785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ind w:left="2160" w:hanging="360"/>
      </w:pPr>
      <w:rPr>
        <w:rFonts w:ascii="Symbol" w:hAnsi="Symbo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A52E2F"/>
    <w:multiLevelType w:val="hybridMultilevel"/>
    <w:tmpl w:val="735ABB0C"/>
    <w:lvl w:ilvl="0" w:tplc="6BBC8388">
      <w:start w:val="1"/>
      <w:numFmt w:val="bullet"/>
      <w:lvlText w:val=""/>
      <w:lvlJc w:val="left"/>
      <w:pPr>
        <w:ind w:left="72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AA0154"/>
    <w:multiLevelType w:val="hybridMultilevel"/>
    <w:tmpl w:val="C7D6E7A0"/>
    <w:lvl w:ilvl="0" w:tplc="ABE63E5C">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334742"/>
    <w:multiLevelType w:val="hybridMultilevel"/>
    <w:tmpl w:val="1780E1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9DC344A"/>
    <w:multiLevelType w:val="multilevel"/>
    <w:tmpl w:val="DDAE1DA4"/>
    <w:lvl w:ilvl="0">
      <w:start w:val="1"/>
      <w:numFmt w:val="decimal"/>
      <w:lvlText w:val="%1."/>
      <w:lvlJc w:val="left"/>
      <w:pPr>
        <w:ind w:left="720" w:hanging="360"/>
      </w:pPr>
      <w:rPr>
        <w:rFonts w:hint="default"/>
      </w:rPr>
    </w:lvl>
    <w:lvl w:ilvl="1">
      <w:start w:val="2"/>
      <w:numFmt w:val="decimal"/>
      <w:isLgl/>
      <w:lvlText w:val="%1.%2"/>
      <w:lvlJc w:val="left"/>
      <w:pPr>
        <w:ind w:left="654"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7D2C5E41"/>
    <w:multiLevelType w:val="multilevel"/>
    <w:tmpl w:val="410CB3F4"/>
    <w:lvl w:ilvl="0">
      <w:start w:val="2"/>
      <w:numFmt w:val="decimal"/>
      <w:lvlText w:val="%1"/>
      <w:lvlJc w:val="left"/>
      <w:pPr>
        <w:ind w:left="360" w:hanging="360"/>
      </w:pPr>
      <w:rPr>
        <w:rFonts w:hint="default"/>
      </w:rPr>
    </w:lvl>
    <w:lvl w:ilvl="1">
      <w:start w:val="2"/>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072" w:hanging="1800"/>
      </w:pPr>
      <w:rPr>
        <w:rFonts w:hint="default"/>
      </w:rPr>
    </w:lvl>
  </w:abstractNum>
  <w:abstractNum w:abstractNumId="23" w15:restartNumberingAfterBreak="0">
    <w:nsid w:val="7F553FD6"/>
    <w:multiLevelType w:val="multilevel"/>
    <w:tmpl w:val="69AE95C2"/>
    <w:lvl w:ilvl="0">
      <w:start w:val="5"/>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1242983517">
    <w:abstractNumId w:val="9"/>
    <w:lvlOverride w:ilvl="0">
      <w:startOverride w:val="1"/>
    </w:lvlOverride>
  </w:num>
  <w:num w:numId="2" w16cid:durableId="1849827740">
    <w:abstractNumId w:val="8"/>
  </w:num>
  <w:num w:numId="3" w16cid:durableId="131487542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643577786">
    <w:abstractNumId w:val="5"/>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71993633">
    <w:abstractNumId w:val="21"/>
  </w:num>
  <w:num w:numId="6" w16cid:durableId="1136532007">
    <w:abstractNumId w:val="3"/>
  </w:num>
  <w:num w:numId="7" w16cid:durableId="1246067580">
    <w:abstractNumId w:val="1"/>
  </w:num>
  <w:num w:numId="8" w16cid:durableId="171995780">
    <w:abstractNumId w:val="17"/>
  </w:num>
  <w:num w:numId="9" w16cid:durableId="2051757336">
    <w:abstractNumId w:val="2"/>
  </w:num>
  <w:num w:numId="10" w16cid:durableId="2103212272">
    <w:abstractNumId w:val="0"/>
  </w:num>
  <w:num w:numId="11" w16cid:durableId="996497915">
    <w:abstractNumId w:val="11"/>
  </w:num>
  <w:num w:numId="12" w16cid:durableId="17126464">
    <w:abstractNumId w:val="4"/>
  </w:num>
  <w:num w:numId="13" w16cid:durableId="1338539407">
    <w:abstractNumId w:val="19"/>
  </w:num>
  <w:num w:numId="14" w16cid:durableId="1894845768">
    <w:abstractNumId w:val="6"/>
  </w:num>
  <w:num w:numId="15" w16cid:durableId="1606418603">
    <w:abstractNumId w:val="13"/>
  </w:num>
  <w:num w:numId="16" w16cid:durableId="831482459">
    <w:abstractNumId w:val="18"/>
  </w:num>
  <w:num w:numId="17" w16cid:durableId="1522205143">
    <w:abstractNumId w:val="12"/>
  </w:num>
  <w:num w:numId="18" w16cid:durableId="629896061">
    <w:abstractNumId w:val="14"/>
  </w:num>
  <w:num w:numId="19" w16cid:durableId="320890187">
    <w:abstractNumId w:val="10"/>
  </w:num>
  <w:num w:numId="20" w16cid:durableId="266889865">
    <w:abstractNumId w:val="16"/>
  </w:num>
  <w:num w:numId="21" w16cid:durableId="1535996832">
    <w:abstractNumId w:val="20"/>
  </w:num>
  <w:num w:numId="22" w16cid:durableId="1245064726">
    <w:abstractNumId w:val="7"/>
  </w:num>
  <w:num w:numId="23" w16cid:durableId="1081367579">
    <w:abstractNumId w:val="15"/>
  </w:num>
  <w:num w:numId="24" w16cid:durableId="1777481132">
    <w:abstractNumId w:val="23"/>
  </w:num>
  <w:num w:numId="25" w16cid:durableId="20545922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5BCD"/>
    <w:rsid w:val="000041F1"/>
    <w:rsid w:val="00004D4B"/>
    <w:rsid w:val="00006314"/>
    <w:rsid w:val="000078C5"/>
    <w:rsid w:val="00007A9B"/>
    <w:rsid w:val="00017723"/>
    <w:rsid w:val="00022576"/>
    <w:rsid w:val="0002604B"/>
    <w:rsid w:val="00026A5A"/>
    <w:rsid w:val="00027837"/>
    <w:rsid w:val="0003106E"/>
    <w:rsid w:val="00031682"/>
    <w:rsid w:val="00031CD4"/>
    <w:rsid w:val="00033125"/>
    <w:rsid w:val="000373CF"/>
    <w:rsid w:val="0004111E"/>
    <w:rsid w:val="000456AA"/>
    <w:rsid w:val="00047A7C"/>
    <w:rsid w:val="00054A3E"/>
    <w:rsid w:val="00057972"/>
    <w:rsid w:val="0006188C"/>
    <w:rsid w:val="000630F0"/>
    <w:rsid w:val="00064CB1"/>
    <w:rsid w:val="00065D6A"/>
    <w:rsid w:val="00066807"/>
    <w:rsid w:val="00072AEC"/>
    <w:rsid w:val="00073B5E"/>
    <w:rsid w:val="000808BA"/>
    <w:rsid w:val="00083CE4"/>
    <w:rsid w:val="00085543"/>
    <w:rsid w:val="00087FA4"/>
    <w:rsid w:val="00090F21"/>
    <w:rsid w:val="00091153"/>
    <w:rsid w:val="000918AD"/>
    <w:rsid w:val="00093364"/>
    <w:rsid w:val="000934A9"/>
    <w:rsid w:val="00094005"/>
    <w:rsid w:val="000A38FF"/>
    <w:rsid w:val="000A3B33"/>
    <w:rsid w:val="000B20AC"/>
    <w:rsid w:val="000B336B"/>
    <w:rsid w:val="000B54CA"/>
    <w:rsid w:val="000B6351"/>
    <w:rsid w:val="000C49F9"/>
    <w:rsid w:val="000C6188"/>
    <w:rsid w:val="000C7BBA"/>
    <w:rsid w:val="000D11AE"/>
    <w:rsid w:val="000D2E6B"/>
    <w:rsid w:val="000D65E4"/>
    <w:rsid w:val="000D7CF8"/>
    <w:rsid w:val="000E15E0"/>
    <w:rsid w:val="000F31B2"/>
    <w:rsid w:val="000F43D2"/>
    <w:rsid w:val="000F727E"/>
    <w:rsid w:val="001014AA"/>
    <w:rsid w:val="001051C9"/>
    <w:rsid w:val="001054C3"/>
    <w:rsid w:val="00110DA1"/>
    <w:rsid w:val="00111ED8"/>
    <w:rsid w:val="00117CB8"/>
    <w:rsid w:val="00121C16"/>
    <w:rsid w:val="001239AE"/>
    <w:rsid w:val="00135FBC"/>
    <w:rsid w:val="001372F5"/>
    <w:rsid w:val="0014100F"/>
    <w:rsid w:val="00143CFD"/>
    <w:rsid w:val="00147A9F"/>
    <w:rsid w:val="00150043"/>
    <w:rsid w:val="00152F70"/>
    <w:rsid w:val="00155F64"/>
    <w:rsid w:val="00160F7B"/>
    <w:rsid w:val="00161E5A"/>
    <w:rsid w:val="00164B9E"/>
    <w:rsid w:val="001661FE"/>
    <w:rsid w:val="00170DB2"/>
    <w:rsid w:val="0017221B"/>
    <w:rsid w:val="00173BDC"/>
    <w:rsid w:val="0017520E"/>
    <w:rsid w:val="001752C3"/>
    <w:rsid w:val="001844E4"/>
    <w:rsid w:val="0018775D"/>
    <w:rsid w:val="001970C3"/>
    <w:rsid w:val="001A0D60"/>
    <w:rsid w:val="001A408B"/>
    <w:rsid w:val="001A765C"/>
    <w:rsid w:val="001B0E11"/>
    <w:rsid w:val="001B3D20"/>
    <w:rsid w:val="001B634C"/>
    <w:rsid w:val="001B6EB3"/>
    <w:rsid w:val="001C23CA"/>
    <w:rsid w:val="001C33E4"/>
    <w:rsid w:val="001C38E1"/>
    <w:rsid w:val="001C544F"/>
    <w:rsid w:val="001D4FCE"/>
    <w:rsid w:val="001D6DC2"/>
    <w:rsid w:val="001E2015"/>
    <w:rsid w:val="001E2596"/>
    <w:rsid w:val="001E35B3"/>
    <w:rsid w:val="001E7AEA"/>
    <w:rsid w:val="001E7C0C"/>
    <w:rsid w:val="001F2241"/>
    <w:rsid w:val="001F5FD7"/>
    <w:rsid w:val="00206521"/>
    <w:rsid w:val="002071DC"/>
    <w:rsid w:val="002137DE"/>
    <w:rsid w:val="00215CA5"/>
    <w:rsid w:val="00216AAD"/>
    <w:rsid w:val="00216EEC"/>
    <w:rsid w:val="002179BA"/>
    <w:rsid w:val="00220489"/>
    <w:rsid w:val="00224CD2"/>
    <w:rsid w:val="0023362D"/>
    <w:rsid w:val="002367B4"/>
    <w:rsid w:val="002377E6"/>
    <w:rsid w:val="00240290"/>
    <w:rsid w:val="002412B5"/>
    <w:rsid w:val="00241F6C"/>
    <w:rsid w:val="00243D54"/>
    <w:rsid w:val="00244B53"/>
    <w:rsid w:val="00247889"/>
    <w:rsid w:val="002479FF"/>
    <w:rsid w:val="00253E69"/>
    <w:rsid w:val="00263981"/>
    <w:rsid w:val="0026526C"/>
    <w:rsid w:val="00273797"/>
    <w:rsid w:val="00284D9E"/>
    <w:rsid w:val="00285210"/>
    <w:rsid w:val="00285E2B"/>
    <w:rsid w:val="0029461F"/>
    <w:rsid w:val="002A003E"/>
    <w:rsid w:val="002A1661"/>
    <w:rsid w:val="002A19A8"/>
    <w:rsid w:val="002A260E"/>
    <w:rsid w:val="002A32C3"/>
    <w:rsid w:val="002B6760"/>
    <w:rsid w:val="002C0A8E"/>
    <w:rsid w:val="002C31FD"/>
    <w:rsid w:val="002C58C8"/>
    <w:rsid w:val="002C6175"/>
    <w:rsid w:val="002C654E"/>
    <w:rsid w:val="002C6BE1"/>
    <w:rsid w:val="002D056F"/>
    <w:rsid w:val="002D3C50"/>
    <w:rsid w:val="002E6272"/>
    <w:rsid w:val="002E6D42"/>
    <w:rsid w:val="002F1811"/>
    <w:rsid w:val="0030147F"/>
    <w:rsid w:val="00304ADA"/>
    <w:rsid w:val="00304CCD"/>
    <w:rsid w:val="003100A8"/>
    <w:rsid w:val="00312385"/>
    <w:rsid w:val="00312763"/>
    <w:rsid w:val="00312C9A"/>
    <w:rsid w:val="00313BFE"/>
    <w:rsid w:val="00313E8A"/>
    <w:rsid w:val="00314D8E"/>
    <w:rsid w:val="00322CC7"/>
    <w:rsid w:val="003234D3"/>
    <w:rsid w:val="003260BB"/>
    <w:rsid w:val="00330354"/>
    <w:rsid w:val="003327FF"/>
    <w:rsid w:val="003377A4"/>
    <w:rsid w:val="00344724"/>
    <w:rsid w:val="0034784C"/>
    <w:rsid w:val="003507BB"/>
    <w:rsid w:val="003566C3"/>
    <w:rsid w:val="00360CCA"/>
    <w:rsid w:val="0036298B"/>
    <w:rsid w:val="0036497A"/>
    <w:rsid w:val="00364EF8"/>
    <w:rsid w:val="0036540B"/>
    <w:rsid w:val="00372FEA"/>
    <w:rsid w:val="00373DCA"/>
    <w:rsid w:val="00375096"/>
    <w:rsid w:val="003761E1"/>
    <w:rsid w:val="00377FE1"/>
    <w:rsid w:val="003831F0"/>
    <w:rsid w:val="0038484B"/>
    <w:rsid w:val="00390BA1"/>
    <w:rsid w:val="00390D76"/>
    <w:rsid w:val="003920BF"/>
    <w:rsid w:val="003939AA"/>
    <w:rsid w:val="00395073"/>
    <w:rsid w:val="00395338"/>
    <w:rsid w:val="0039616D"/>
    <w:rsid w:val="00397969"/>
    <w:rsid w:val="003A0B65"/>
    <w:rsid w:val="003A1992"/>
    <w:rsid w:val="003A395C"/>
    <w:rsid w:val="003A39C0"/>
    <w:rsid w:val="003A5C0B"/>
    <w:rsid w:val="003A6764"/>
    <w:rsid w:val="003A7327"/>
    <w:rsid w:val="003B205B"/>
    <w:rsid w:val="003B2810"/>
    <w:rsid w:val="003B7C61"/>
    <w:rsid w:val="003B7FA4"/>
    <w:rsid w:val="003C1ACD"/>
    <w:rsid w:val="003C2C99"/>
    <w:rsid w:val="003C3D65"/>
    <w:rsid w:val="003C4EFD"/>
    <w:rsid w:val="003C6F2E"/>
    <w:rsid w:val="003D0E29"/>
    <w:rsid w:val="003D1250"/>
    <w:rsid w:val="003D1A6E"/>
    <w:rsid w:val="003D1BCE"/>
    <w:rsid w:val="003D5E52"/>
    <w:rsid w:val="003D6781"/>
    <w:rsid w:val="003E2F3F"/>
    <w:rsid w:val="003E320E"/>
    <w:rsid w:val="003E3955"/>
    <w:rsid w:val="003E3BAB"/>
    <w:rsid w:val="003E632C"/>
    <w:rsid w:val="003E6ACD"/>
    <w:rsid w:val="003E780B"/>
    <w:rsid w:val="003E7FD8"/>
    <w:rsid w:val="003F31AB"/>
    <w:rsid w:val="003F49CA"/>
    <w:rsid w:val="003F63EB"/>
    <w:rsid w:val="003F68D1"/>
    <w:rsid w:val="003F7EBD"/>
    <w:rsid w:val="0040292A"/>
    <w:rsid w:val="00403AA5"/>
    <w:rsid w:val="00405697"/>
    <w:rsid w:val="00414085"/>
    <w:rsid w:val="00414CCC"/>
    <w:rsid w:val="00415B3C"/>
    <w:rsid w:val="00417CB3"/>
    <w:rsid w:val="00421BEC"/>
    <w:rsid w:val="00422B0A"/>
    <w:rsid w:val="0042380B"/>
    <w:rsid w:val="0042512A"/>
    <w:rsid w:val="0042622E"/>
    <w:rsid w:val="00427497"/>
    <w:rsid w:val="00433937"/>
    <w:rsid w:val="0043678E"/>
    <w:rsid w:val="004406FA"/>
    <w:rsid w:val="0044107D"/>
    <w:rsid w:val="004414E1"/>
    <w:rsid w:val="00441944"/>
    <w:rsid w:val="00444333"/>
    <w:rsid w:val="0044530C"/>
    <w:rsid w:val="00445740"/>
    <w:rsid w:val="00445792"/>
    <w:rsid w:val="00447EF6"/>
    <w:rsid w:val="00450A5F"/>
    <w:rsid w:val="00451538"/>
    <w:rsid w:val="00454597"/>
    <w:rsid w:val="00455342"/>
    <w:rsid w:val="00455E5D"/>
    <w:rsid w:val="004635DB"/>
    <w:rsid w:val="00464907"/>
    <w:rsid w:val="004649F9"/>
    <w:rsid w:val="00466210"/>
    <w:rsid w:val="0046778A"/>
    <w:rsid w:val="0047195D"/>
    <w:rsid w:val="0047485F"/>
    <w:rsid w:val="004767E8"/>
    <w:rsid w:val="004769A5"/>
    <w:rsid w:val="00476D4F"/>
    <w:rsid w:val="00484044"/>
    <w:rsid w:val="00487AFF"/>
    <w:rsid w:val="00491036"/>
    <w:rsid w:val="004919C4"/>
    <w:rsid w:val="00491A47"/>
    <w:rsid w:val="00493C5D"/>
    <w:rsid w:val="00493DBE"/>
    <w:rsid w:val="00496797"/>
    <w:rsid w:val="004A2AD3"/>
    <w:rsid w:val="004A5EA7"/>
    <w:rsid w:val="004B0EDB"/>
    <w:rsid w:val="004B16FA"/>
    <w:rsid w:val="004B4DB6"/>
    <w:rsid w:val="004C38FA"/>
    <w:rsid w:val="004C391D"/>
    <w:rsid w:val="004C3A98"/>
    <w:rsid w:val="004C5737"/>
    <w:rsid w:val="004C7573"/>
    <w:rsid w:val="004D22BD"/>
    <w:rsid w:val="004D5C8D"/>
    <w:rsid w:val="004E696A"/>
    <w:rsid w:val="004F0867"/>
    <w:rsid w:val="004F1DF6"/>
    <w:rsid w:val="004F68EF"/>
    <w:rsid w:val="004F730F"/>
    <w:rsid w:val="00500A2D"/>
    <w:rsid w:val="00500AD5"/>
    <w:rsid w:val="00500E83"/>
    <w:rsid w:val="00500F84"/>
    <w:rsid w:val="00503840"/>
    <w:rsid w:val="005122B6"/>
    <w:rsid w:val="00515760"/>
    <w:rsid w:val="00517F82"/>
    <w:rsid w:val="005234F5"/>
    <w:rsid w:val="00523803"/>
    <w:rsid w:val="00525921"/>
    <w:rsid w:val="005263E5"/>
    <w:rsid w:val="005264AA"/>
    <w:rsid w:val="00526E13"/>
    <w:rsid w:val="00527756"/>
    <w:rsid w:val="005311E0"/>
    <w:rsid w:val="0053188C"/>
    <w:rsid w:val="00534FDB"/>
    <w:rsid w:val="005370D9"/>
    <w:rsid w:val="00541737"/>
    <w:rsid w:val="0054264C"/>
    <w:rsid w:val="00545966"/>
    <w:rsid w:val="00551490"/>
    <w:rsid w:val="00552DE9"/>
    <w:rsid w:val="00554545"/>
    <w:rsid w:val="00555812"/>
    <w:rsid w:val="00564DA7"/>
    <w:rsid w:val="005702A5"/>
    <w:rsid w:val="005711F1"/>
    <w:rsid w:val="0057124D"/>
    <w:rsid w:val="00571F9C"/>
    <w:rsid w:val="00572E9C"/>
    <w:rsid w:val="00573D4D"/>
    <w:rsid w:val="00583153"/>
    <w:rsid w:val="00583555"/>
    <w:rsid w:val="00584554"/>
    <w:rsid w:val="00585133"/>
    <w:rsid w:val="00586EC9"/>
    <w:rsid w:val="00594C90"/>
    <w:rsid w:val="005A31B6"/>
    <w:rsid w:val="005A565F"/>
    <w:rsid w:val="005A65E4"/>
    <w:rsid w:val="005A7A06"/>
    <w:rsid w:val="005B2F8C"/>
    <w:rsid w:val="005B78E6"/>
    <w:rsid w:val="005C31A0"/>
    <w:rsid w:val="005C3E6D"/>
    <w:rsid w:val="005C4B8A"/>
    <w:rsid w:val="005C5BC1"/>
    <w:rsid w:val="005D0099"/>
    <w:rsid w:val="005D0B7E"/>
    <w:rsid w:val="005D0DD9"/>
    <w:rsid w:val="005D2F3B"/>
    <w:rsid w:val="005D512D"/>
    <w:rsid w:val="005D5563"/>
    <w:rsid w:val="005E0B8F"/>
    <w:rsid w:val="005E3641"/>
    <w:rsid w:val="005E62E4"/>
    <w:rsid w:val="005E6FE0"/>
    <w:rsid w:val="005F1E60"/>
    <w:rsid w:val="005F3101"/>
    <w:rsid w:val="005F4933"/>
    <w:rsid w:val="005F591C"/>
    <w:rsid w:val="005F5AA0"/>
    <w:rsid w:val="005F6DF0"/>
    <w:rsid w:val="006008BB"/>
    <w:rsid w:val="00603085"/>
    <w:rsid w:val="0060414F"/>
    <w:rsid w:val="00610390"/>
    <w:rsid w:val="00610B10"/>
    <w:rsid w:val="00612A9C"/>
    <w:rsid w:val="00615161"/>
    <w:rsid w:val="0061740E"/>
    <w:rsid w:val="00622CF0"/>
    <w:rsid w:val="00623073"/>
    <w:rsid w:val="006254F9"/>
    <w:rsid w:val="00630433"/>
    <w:rsid w:val="00633BB4"/>
    <w:rsid w:val="00633F26"/>
    <w:rsid w:val="006361F7"/>
    <w:rsid w:val="00644591"/>
    <w:rsid w:val="00647BA2"/>
    <w:rsid w:val="006511C2"/>
    <w:rsid w:val="0065276F"/>
    <w:rsid w:val="006535D9"/>
    <w:rsid w:val="006545AF"/>
    <w:rsid w:val="00654889"/>
    <w:rsid w:val="00656D1E"/>
    <w:rsid w:val="00657221"/>
    <w:rsid w:val="00660614"/>
    <w:rsid w:val="00665025"/>
    <w:rsid w:val="00665B05"/>
    <w:rsid w:val="006662CD"/>
    <w:rsid w:val="006675ED"/>
    <w:rsid w:val="00672CAC"/>
    <w:rsid w:val="006746AA"/>
    <w:rsid w:val="006747FC"/>
    <w:rsid w:val="00680B56"/>
    <w:rsid w:val="00684EF0"/>
    <w:rsid w:val="00686919"/>
    <w:rsid w:val="00691D0F"/>
    <w:rsid w:val="00694CA8"/>
    <w:rsid w:val="00695FCE"/>
    <w:rsid w:val="006A4106"/>
    <w:rsid w:val="006A62C0"/>
    <w:rsid w:val="006A738E"/>
    <w:rsid w:val="006B0F45"/>
    <w:rsid w:val="006B180A"/>
    <w:rsid w:val="006B6DA0"/>
    <w:rsid w:val="006D0271"/>
    <w:rsid w:val="006D325F"/>
    <w:rsid w:val="006D40AB"/>
    <w:rsid w:val="006E29D8"/>
    <w:rsid w:val="006E2E19"/>
    <w:rsid w:val="006F0C27"/>
    <w:rsid w:val="006F0C91"/>
    <w:rsid w:val="006F4FAE"/>
    <w:rsid w:val="00702D6F"/>
    <w:rsid w:val="00703221"/>
    <w:rsid w:val="00704251"/>
    <w:rsid w:val="00704B1C"/>
    <w:rsid w:val="00706483"/>
    <w:rsid w:val="007076DD"/>
    <w:rsid w:val="0071077C"/>
    <w:rsid w:val="00710973"/>
    <w:rsid w:val="00710DC3"/>
    <w:rsid w:val="0071142F"/>
    <w:rsid w:val="00711B18"/>
    <w:rsid w:val="00712A1B"/>
    <w:rsid w:val="0071619F"/>
    <w:rsid w:val="0071649D"/>
    <w:rsid w:val="0071786D"/>
    <w:rsid w:val="00720428"/>
    <w:rsid w:val="0072172B"/>
    <w:rsid w:val="0072363B"/>
    <w:rsid w:val="0072411E"/>
    <w:rsid w:val="00724435"/>
    <w:rsid w:val="00726081"/>
    <w:rsid w:val="00732301"/>
    <w:rsid w:val="00733AB3"/>
    <w:rsid w:val="0073413F"/>
    <w:rsid w:val="00737A62"/>
    <w:rsid w:val="00741B7A"/>
    <w:rsid w:val="00745A55"/>
    <w:rsid w:val="007500F6"/>
    <w:rsid w:val="00750165"/>
    <w:rsid w:val="00750335"/>
    <w:rsid w:val="00757ABF"/>
    <w:rsid w:val="007643B2"/>
    <w:rsid w:val="00764E01"/>
    <w:rsid w:val="007653B0"/>
    <w:rsid w:val="0076720E"/>
    <w:rsid w:val="00782C3D"/>
    <w:rsid w:val="00783278"/>
    <w:rsid w:val="00784CBC"/>
    <w:rsid w:val="0078673D"/>
    <w:rsid w:val="007868A4"/>
    <w:rsid w:val="00790145"/>
    <w:rsid w:val="007905DA"/>
    <w:rsid w:val="00790E5F"/>
    <w:rsid w:val="0079310B"/>
    <w:rsid w:val="00796BF9"/>
    <w:rsid w:val="0079737E"/>
    <w:rsid w:val="00797846"/>
    <w:rsid w:val="007978F2"/>
    <w:rsid w:val="007A13B1"/>
    <w:rsid w:val="007A15B9"/>
    <w:rsid w:val="007A1971"/>
    <w:rsid w:val="007A27E4"/>
    <w:rsid w:val="007A5D21"/>
    <w:rsid w:val="007A61A7"/>
    <w:rsid w:val="007A646C"/>
    <w:rsid w:val="007B1A89"/>
    <w:rsid w:val="007B36EA"/>
    <w:rsid w:val="007B7409"/>
    <w:rsid w:val="007C2B27"/>
    <w:rsid w:val="007C53D6"/>
    <w:rsid w:val="007C55DB"/>
    <w:rsid w:val="007C75AA"/>
    <w:rsid w:val="007C776F"/>
    <w:rsid w:val="007D493B"/>
    <w:rsid w:val="007D617D"/>
    <w:rsid w:val="007D732E"/>
    <w:rsid w:val="007D76A7"/>
    <w:rsid w:val="007D76C2"/>
    <w:rsid w:val="007E2C98"/>
    <w:rsid w:val="007E5298"/>
    <w:rsid w:val="007E67F1"/>
    <w:rsid w:val="007F1CFD"/>
    <w:rsid w:val="007F2E11"/>
    <w:rsid w:val="007F3046"/>
    <w:rsid w:val="007F4B7A"/>
    <w:rsid w:val="007F5B8E"/>
    <w:rsid w:val="007F5E3F"/>
    <w:rsid w:val="00807119"/>
    <w:rsid w:val="00811327"/>
    <w:rsid w:val="00812146"/>
    <w:rsid w:val="00813A4D"/>
    <w:rsid w:val="00821304"/>
    <w:rsid w:val="00822DE4"/>
    <w:rsid w:val="00830BE7"/>
    <w:rsid w:val="00834EAC"/>
    <w:rsid w:val="00841D0D"/>
    <w:rsid w:val="008428A4"/>
    <w:rsid w:val="00843590"/>
    <w:rsid w:val="00844106"/>
    <w:rsid w:val="008446B4"/>
    <w:rsid w:val="00844C6A"/>
    <w:rsid w:val="00844EBD"/>
    <w:rsid w:val="00844F96"/>
    <w:rsid w:val="008455CB"/>
    <w:rsid w:val="00851C3E"/>
    <w:rsid w:val="008526C3"/>
    <w:rsid w:val="00853AB1"/>
    <w:rsid w:val="00853FA3"/>
    <w:rsid w:val="008616E7"/>
    <w:rsid w:val="0086268B"/>
    <w:rsid w:val="008732DE"/>
    <w:rsid w:val="0087510F"/>
    <w:rsid w:val="00875447"/>
    <w:rsid w:val="00875855"/>
    <w:rsid w:val="0088275A"/>
    <w:rsid w:val="00886946"/>
    <w:rsid w:val="008877C6"/>
    <w:rsid w:val="008907C8"/>
    <w:rsid w:val="00896168"/>
    <w:rsid w:val="008A1869"/>
    <w:rsid w:val="008A28F6"/>
    <w:rsid w:val="008A303B"/>
    <w:rsid w:val="008A5537"/>
    <w:rsid w:val="008B424B"/>
    <w:rsid w:val="008B5F06"/>
    <w:rsid w:val="008C2291"/>
    <w:rsid w:val="008C3E87"/>
    <w:rsid w:val="008D0014"/>
    <w:rsid w:val="008D2C78"/>
    <w:rsid w:val="008D582A"/>
    <w:rsid w:val="008D7E83"/>
    <w:rsid w:val="008E0567"/>
    <w:rsid w:val="008E0BB2"/>
    <w:rsid w:val="008E16EC"/>
    <w:rsid w:val="008E1890"/>
    <w:rsid w:val="008E20FB"/>
    <w:rsid w:val="008E717F"/>
    <w:rsid w:val="008F09CD"/>
    <w:rsid w:val="008F2327"/>
    <w:rsid w:val="008F3B4A"/>
    <w:rsid w:val="008F765E"/>
    <w:rsid w:val="00905740"/>
    <w:rsid w:val="00906DEE"/>
    <w:rsid w:val="00907714"/>
    <w:rsid w:val="00916D66"/>
    <w:rsid w:val="009230AC"/>
    <w:rsid w:val="00923515"/>
    <w:rsid w:val="00924B6D"/>
    <w:rsid w:val="00927359"/>
    <w:rsid w:val="009273EB"/>
    <w:rsid w:val="00927D0A"/>
    <w:rsid w:val="00937169"/>
    <w:rsid w:val="00940A3A"/>
    <w:rsid w:val="0094218E"/>
    <w:rsid w:val="009421B6"/>
    <w:rsid w:val="00943124"/>
    <w:rsid w:val="00950653"/>
    <w:rsid w:val="00950F1F"/>
    <w:rsid w:val="00951B8F"/>
    <w:rsid w:val="00953C7D"/>
    <w:rsid w:val="00953D36"/>
    <w:rsid w:val="00955BCD"/>
    <w:rsid w:val="00956501"/>
    <w:rsid w:val="00957E95"/>
    <w:rsid w:val="00962D64"/>
    <w:rsid w:val="0097255C"/>
    <w:rsid w:val="0097497A"/>
    <w:rsid w:val="00974ADE"/>
    <w:rsid w:val="009768CF"/>
    <w:rsid w:val="00991E4C"/>
    <w:rsid w:val="009927DF"/>
    <w:rsid w:val="009928B6"/>
    <w:rsid w:val="00997F7C"/>
    <w:rsid w:val="009A1C16"/>
    <w:rsid w:val="009A2C64"/>
    <w:rsid w:val="009A7F9D"/>
    <w:rsid w:val="009B05B0"/>
    <w:rsid w:val="009B1AFE"/>
    <w:rsid w:val="009B65D7"/>
    <w:rsid w:val="009B75DB"/>
    <w:rsid w:val="009C2E05"/>
    <w:rsid w:val="009C4869"/>
    <w:rsid w:val="009D0337"/>
    <w:rsid w:val="009D0BD4"/>
    <w:rsid w:val="009D3520"/>
    <w:rsid w:val="009D7A50"/>
    <w:rsid w:val="009E3FA1"/>
    <w:rsid w:val="009E52CA"/>
    <w:rsid w:val="009F11D2"/>
    <w:rsid w:val="009F1A96"/>
    <w:rsid w:val="009F204D"/>
    <w:rsid w:val="009F273C"/>
    <w:rsid w:val="009F2FA9"/>
    <w:rsid w:val="009F3A78"/>
    <w:rsid w:val="009F7FB4"/>
    <w:rsid w:val="009F7FDA"/>
    <w:rsid w:val="00A00744"/>
    <w:rsid w:val="00A009BB"/>
    <w:rsid w:val="00A00B67"/>
    <w:rsid w:val="00A0238C"/>
    <w:rsid w:val="00A04EAB"/>
    <w:rsid w:val="00A06863"/>
    <w:rsid w:val="00A074E8"/>
    <w:rsid w:val="00A07745"/>
    <w:rsid w:val="00A077F2"/>
    <w:rsid w:val="00A13142"/>
    <w:rsid w:val="00A134A1"/>
    <w:rsid w:val="00A149FC"/>
    <w:rsid w:val="00A2727F"/>
    <w:rsid w:val="00A32343"/>
    <w:rsid w:val="00A32561"/>
    <w:rsid w:val="00A40A48"/>
    <w:rsid w:val="00A424BB"/>
    <w:rsid w:val="00A428E3"/>
    <w:rsid w:val="00A4372E"/>
    <w:rsid w:val="00A467CC"/>
    <w:rsid w:val="00A501AE"/>
    <w:rsid w:val="00A5066A"/>
    <w:rsid w:val="00A5334E"/>
    <w:rsid w:val="00A53998"/>
    <w:rsid w:val="00A5642C"/>
    <w:rsid w:val="00A5669E"/>
    <w:rsid w:val="00A614C3"/>
    <w:rsid w:val="00A6449A"/>
    <w:rsid w:val="00A65FA6"/>
    <w:rsid w:val="00A66560"/>
    <w:rsid w:val="00A70293"/>
    <w:rsid w:val="00A73A6B"/>
    <w:rsid w:val="00A75E39"/>
    <w:rsid w:val="00A8174F"/>
    <w:rsid w:val="00A83B5E"/>
    <w:rsid w:val="00A83E30"/>
    <w:rsid w:val="00A90C07"/>
    <w:rsid w:val="00A90F5E"/>
    <w:rsid w:val="00A9240E"/>
    <w:rsid w:val="00A9530A"/>
    <w:rsid w:val="00A97265"/>
    <w:rsid w:val="00AA0087"/>
    <w:rsid w:val="00AA23CA"/>
    <w:rsid w:val="00AA6A56"/>
    <w:rsid w:val="00AA6DFA"/>
    <w:rsid w:val="00AB0BA0"/>
    <w:rsid w:val="00AB7D65"/>
    <w:rsid w:val="00AB7FFC"/>
    <w:rsid w:val="00AC315C"/>
    <w:rsid w:val="00AC5B9A"/>
    <w:rsid w:val="00AC5C55"/>
    <w:rsid w:val="00AC6BA9"/>
    <w:rsid w:val="00AC77FD"/>
    <w:rsid w:val="00AD58CC"/>
    <w:rsid w:val="00AD7F86"/>
    <w:rsid w:val="00AE14A9"/>
    <w:rsid w:val="00AE166C"/>
    <w:rsid w:val="00AE5106"/>
    <w:rsid w:val="00AE5546"/>
    <w:rsid w:val="00AE73D9"/>
    <w:rsid w:val="00AE770D"/>
    <w:rsid w:val="00AE7C9C"/>
    <w:rsid w:val="00AF0678"/>
    <w:rsid w:val="00AF324F"/>
    <w:rsid w:val="00AF485B"/>
    <w:rsid w:val="00AF5AAA"/>
    <w:rsid w:val="00B00614"/>
    <w:rsid w:val="00B02B6F"/>
    <w:rsid w:val="00B053B1"/>
    <w:rsid w:val="00B05940"/>
    <w:rsid w:val="00B073F9"/>
    <w:rsid w:val="00B10CED"/>
    <w:rsid w:val="00B14C50"/>
    <w:rsid w:val="00B153FF"/>
    <w:rsid w:val="00B175BC"/>
    <w:rsid w:val="00B24D6C"/>
    <w:rsid w:val="00B2541F"/>
    <w:rsid w:val="00B267C6"/>
    <w:rsid w:val="00B34DF8"/>
    <w:rsid w:val="00B413B3"/>
    <w:rsid w:val="00B51070"/>
    <w:rsid w:val="00B60455"/>
    <w:rsid w:val="00B646A7"/>
    <w:rsid w:val="00B64C2D"/>
    <w:rsid w:val="00B6709A"/>
    <w:rsid w:val="00B7084A"/>
    <w:rsid w:val="00B70F80"/>
    <w:rsid w:val="00B70F8B"/>
    <w:rsid w:val="00B7487A"/>
    <w:rsid w:val="00B752AC"/>
    <w:rsid w:val="00B7685A"/>
    <w:rsid w:val="00B77AF9"/>
    <w:rsid w:val="00B80376"/>
    <w:rsid w:val="00B83F64"/>
    <w:rsid w:val="00B8606D"/>
    <w:rsid w:val="00B8610C"/>
    <w:rsid w:val="00B92700"/>
    <w:rsid w:val="00B954EC"/>
    <w:rsid w:val="00B97B7F"/>
    <w:rsid w:val="00BA5594"/>
    <w:rsid w:val="00BA56B2"/>
    <w:rsid w:val="00BA5961"/>
    <w:rsid w:val="00BB2E64"/>
    <w:rsid w:val="00BB77C7"/>
    <w:rsid w:val="00BC1C1A"/>
    <w:rsid w:val="00BC285D"/>
    <w:rsid w:val="00BC5756"/>
    <w:rsid w:val="00BC6959"/>
    <w:rsid w:val="00BD1DBF"/>
    <w:rsid w:val="00BD752A"/>
    <w:rsid w:val="00BD7F5B"/>
    <w:rsid w:val="00BE0B4E"/>
    <w:rsid w:val="00BE4B3F"/>
    <w:rsid w:val="00BE5BCF"/>
    <w:rsid w:val="00BE632B"/>
    <w:rsid w:val="00BE6963"/>
    <w:rsid w:val="00BE73F0"/>
    <w:rsid w:val="00BF0702"/>
    <w:rsid w:val="00BF2F6F"/>
    <w:rsid w:val="00C00CE6"/>
    <w:rsid w:val="00C0100E"/>
    <w:rsid w:val="00C02A40"/>
    <w:rsid w:val="00C03144"/>
    <w:rsid w:val="00C031AD"/>
    <w:rsid w:val="00C04BDB"/>
    <w:rsid w:val="00C065D5"/>
    <w:rsid w:val="00C068BA"/>
    <w:rsid w:val="00C11904"/>
    <w:rsid w:val="00C11B75"/>
    <w:rsid w:val="00C2047A"/>
    <w:rsid w:val="00C24575"/>
    <w:rsid w:val="00C26EB8"/>
    <w:rsid w:val="00C4067A"/>
    <w:rsid w:val="00C40A39"/>
    <w:rsid w:val="00C435A6"/>
    <w:rsid w:val="00C43F88"/>
    <w:rsid w:val="00C4598F"/>
    <w:rsid w:val="00C467B7"/>
    <w:rsid w:val="00C4789C"/>
    <w:rsid w:val="00C51C2D"/>
    <w:rsid w:val="00C53BB2"/>
    <w:rsid w:val="00C545BB"/>
    <w:rsid w:val="00C6271F"/>
    <w:rsid w:val="00C64267"/>
    <w:rsid w:val="00C64A20"/>
    <w:rsid w:val="00C66A67"/>
    <w:rsid w:val="00C66E42"/>
    <w:rsid w:val="00C67062"/>
    <w:rsid w:val="00C704F8"/>
    <w:rsid w:val="00C74F3A"/>
    <w:rsid w:val="00C777E2"/>
    <w:rsid w:val="00C810C1"/>
    <w:rsid w:val="00C8318F"/>
    <w:rsid w:val="00C87A21"/>
    <w:rsid w:val="00C87B72"/>
    <w:rsid w:val="00C90CC0"/>
    <w:rsid w:val="00C9165C"/>
    <w:rsid w:val="00C91883"/>
    <w:rsid w:val="00C97992"/>
    <w:rsid w:val="00CA05D8"/>
    <w:rsid w:val="00CA1046"/>
    <w:rsid w:val="00CA1EAD"/>
    <w:rsid w:val="00CA1EDB"/>
    <w:rsid w:val="00CA367F"/>
    <w:rsid w:val="00CA447C"/>
    <w:rsid w:val="00CA6AAC"/>
    <w:rsid w:val="00CB1220"/>
    <w:rsid w:val="00CB3F36"/>
    <w:rsid w:val="00CB61BC"/>
    <w:rsid w:val="00CB63A7"/>
    <w:rsid w:val="00CC0741"/>
    <w:rsid w:val="00CC2BF8"/>
    <w:rsid w:val="00CC58FD"/>
    <w:rsid w:val="00CD1840"/>
    <w:rsid w:val="00CD6E7F"/>
    <w:rsid w:val="00CE2B05"/>
    <w:rsid w:val="00CF34CC"/>
    <w:rsid w:val="00D01D20"/>
    <w:rsid w:val="00D02BF3"/>
    <w:rsid w:val="00D0441C"/>
    <w:rsid w:val="00D04BDB"/>
    <w:rsid w:val="00D07354"/>
    <w:rsid w:val="00D2572E"/>
    <w:rsid w:val="00D26488"/>
    <w:rsid w:val="00D34050"/>
    <w:rsid w:val="00D34D78"/>
    <w:rsid w:val="00D37B78"/>
    <w:rsid w:val="00D41EC5"/>
    <w:rsid w:val="00D4460F"/>
    <w:rsid w:val="00D46617"/>
    <w:rsid w:val="00D468A7"/>
    <w:rsid w:val="00D47E2D"/>
    <w:rsid w:val="00D502D8"/>
    <w:rsid w:val="00D518DB"/>
    <w:rsid w:val="00D525BE"/>
    <w:rsid w:val="00D533E7"/>
    <w:rsid w:val="00D5405A"/>
    <w:rsid w:val="00D57BC7"/>
    <w:rsid w:val="00D57BE0"/>
    <w:rsid w:val="00D64200"/>
    <w:rsid w:val="00D647ED"/>
    <w:rsid w:val="00D668B9"/>
    <w:rsid w:val="00D71BE3"/>
    <w:rsid w:val="00D72F88"/>
    <w:rsid w:val="00D732A2"/>
    <w:rsid w:val="00D7351C"/>
    <w:rsid w:val="00D75F4B"/>
    <w:rsid w:val="00D766A6"/>
    <w:rsid w:val="00D82C10"/>
    <w:rsid w:val="00D843C7"/>
    <w:rsid w:val="00D86504"/>
    <w:rsid w:val="00D87A7E"/>
    <w:rsid w:val="00D87CC9"/>
    <w:rsid w:val="00D92047"/>
    <w:rsid w:val="00D927A0"/>
    <w:rsid w:val="00DA16BE"/>
    <w:rsid w:val="00DB1122"/>
    <w:rsid w:val="00DB1750"/>
    <w:rsid w:val="00DB4AEF"/>
    <w:rsid w:val="00DB6994"/>
    <w:rsid w:val="00DB7008"/>
    <w:rsid w:val="00DC00DC"/>
    <w:rsid w:val="00DD0B5D"/>
    <w:rsid w:val="00DD154B"/>
    <w:rsid w:val="00DD6333"/>
    <w:rsid w:val="00DD7FDB"/>
    <w:rsid w:val="00DE014F"/>
    <w:rsid w:val="00DE2DF6"/>
    <w:rsid w:val="00DE3213"/>
    <w:rsid w:val="00DE322D"/>
    <w:rsid w:val="00DE3F39"/>
    <w:rsid w:val="00DE4054"/>
    <w:rsid w:val="00DF3323"/>
    <w:rsid w:val="00DF6837"/>
    <w:rsid w:val="00DF6A7D"/>
    <w:rsid w:val="00DF6D87"/>
    <w:rsid w:val="00DF72EE"/>
    <w:rsid w:val="00E0088E"/>
    <w:rsid w:val="00E02176"/>
    <w:rsid w:val="00E11F2E"/>
    <w:rsid w:val="00E13493"/>
    <w:rsid w:val="00E1481A"/>
    <w:rsid w:val="00E148B5"/>
    <w:rsid w:val="00E14A68"/>
    <w:rsid w:val="00E14F2A"/>
    <w:rsid w:val="00E16027"/>
    <w:rsid w:val="00E16285"/>
    <w:rsid w:val="00E21B0D"/>
    <w:rsid w:val="00E25951"/>
    <w:rsid w:val="00E30537"/>
    <w:rsid w:val="00E31A15"/>
    <w:rsid w:val="00E35287"/>
    <w:rsid w:val="00E416A9"/>
    <w:rsid w:val="00E43391"/>
    <w:rsid w:val="00E51D22"/>
    <w:rsid w:val="00E53791"/>
    <w:rsid w:val="00E5651F"/>
    <w:rsid w:val="00E57D72"/>
    <w:rsid w:val="00E6027F"/>
    <w:rsid w:val="00E60876"/>
    <w:rsid w:val="00E64C2F"/>
    <w:rsid w:val="00E72A59"/>
    <w:rsid w:val="00E75D03"/>
    <w:rsid w:val="00E77146"/>
    <w:rsid w:val="00E8225D"/>
    <w:rsid w:val="00E8449F"/>
    <w:rsid w:val="00E8585B"/>
    <w:rsid w:val="00E85DEE"/>
    <w:rsid w:val="00E87974"/>
    <w:rsid w:val="00E9206E"/>
    <w:rsid w:val="00E9410E"/>
    <w:rsid w:val="00E94E79"/>
    <w:rsid w:val="00E955A7"/>
    <w:rsid w:val="00E961A8"/>
    <w:rsid w:val="00EA1044"/>
    <w:rsid w:val="00EA57BC"/>
    <w:rsid w:val="00EB007A"/>
    <w:rsid w:val="00EB17A7"/>
    <w:rsid w:val="00EB2B0B"/>
    <w:rsid w:val="00EB2E94"/>
    <w:rsid w:val="00EB3680"/>
    <w:rsid w:val="00EB3852"/>
    <w:rsid w:val="00EB473E"/>
    <w:rsid w:val="00EB4848"/>
    <w:rsid w:val="00EB4DF0"/>
    <w:rsid w:val="00EB5223"/>
    <w:rsid w:val="00EB5B20"/>
    <w:rsid w:val="00EC327F"/>
    <w:rsid w:val="00EC5193"/>
    <w:rsid w:val="00EC56F8"/>
    <w:rsid w:val="00ED3456"/>
    <w:rsid w:val="00ED4FCF"/>
    <w:rsid w:val="00ED509B"/>
    <w:rsid w:val="00EE7DB4"/>
    <w:rsid w:val="00EF0966"/>
    <w:rsid w:val="00EF11AB"/>
    <w:rsid w:val="00EF1315"/>
    <w:rsid w:val="00EF138B"/>
    <w:rsid w:val="00EF13D4"/>
    <w:rsid w:val="00EF58C4"/>
    <w:rsid w:val="00EF639F"/>
    <w:rsid w:val="00EF7002"/>
    <w:rsid w:val="00EF7046"/>
    <w:rsid w:val="00F01611"/>
    <w:rsid w:val="00F07384"/>
    <w:rsid w:val="00F07408"/>
    <w:rsid w:val="00F10184"/>
    <w:rsid w:val="00F12014"/>
    <w:rsid w:val="00F15FB1"/>
    <w:rsid w:val="00F16123"/>
    <w:rsid w:val="00F2210C"/>
    <w:rsid w:val="00F22FD3"/>
    <w:rsid w:val="00F23613"/>
    <w:rsid w:val="00F24314"/>
    <w:rsid w:val="00F25EB3"/>
    <w:rsid w:val="00F26738"/>
    <w:rsid w:val="00F3079F"/>
    <w:rsid w:val="00F31EB6"/>
    <w:rsid w:val="00F33ECF"/>
    <w:rsid w:val="00F34E64"/>
    <w:rsid w:val="00F353A6"/>
    <w:rsid w:val="00F405EA"/>
    <w:rsid w:val="00F40EF7"/>
    <w:rsid w:val="00F46DEE"/>
    <w:rsid w:val="00F47077"/>
    <w:rsid w:val="00F474E6"/>
    <w:rsid w:val="00F55A7C"/>
    <w:rsid w:val="00F574F6"/>
    <w:rsid w:val="00F576B7"/>
    <w:rsid w:val="00F5778D"/>
    <w:rsid w:val="00F64C66"/>
    <w:rsid w:val="00F72FEE"/>
    <w:rsid w:val="00F762CD"/>
    <w:rsid w:val="00F802EA"/>
    <w:rsid w:val="00F85CFA"/>
    <w:rsid w:val="00F906B6"/>
    <w:rsid w:val="00F94226"/>
    <w:rsid w:val="00FA31D7"/>
    <w:rsid w:val="00FA727C"/>
    <w:rsid w:val="00FA74A0"/>
    <w:rsid w:val="00FB0582"/>
    <w:rsid w:val="00FB1B2B"/>
    <w:rsid w:val="00FB2CA1"/>
    <w:rsid w:val="00FB4BF9"/>
    <w:rsid w:val="00FC0576"/>
    <w:rsid w:val="00FC48AD"/>
    <w:rsid w:val="00FC4CCE"/>
    <w:rsid w:val="00FC6C29"/>
    <w:rsid w:val="00FC7419"/>
    <w:rsid w:val="00FD3F68"/>
    <w:rsid w:val="00FF058F"/>
    <w:rsid w:val="00FF0CEA"/>
    <w:rsid w:val="00FF2A5C"/>
    <w:rsid w:val="00FF2C45"/>
    <w:rsid w:val="00FF38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3F586"/>
  <w15:docId w15:val="{36D56B0F-C000-4BEE-91B7-DDA0DEE04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441C"/>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6A4106"/>
    <w:pPr>
      <w:tabs>
        <w:tab w:val="center" w:pos="4513"/>
        <w:tab w:val="right" w:pos="9026"/>
      </w:tabs>
    </w:pPr>
  </w:style>
  <w:style w:type="character" w:customStyle="1" w:styleId="HeaderChar">
    <w:name w:val="Header Char"/>
    <w:basedOn w:val="DefaultParagraphFont"/>
    <w:link w:val="Header"/>
    <w:uiPriority w:val="99"/>
    <w:rsid w:val="006A4106"/>
  </w:style>
  <w:style w:type="paragraph" w:styleId="Footer">
    <w:name w:val="footer"/>
    <w:basedOn w:val="Normal"/>
    <w:link w:val="FooterChar"/>
    <w:uiPriority w:val="99"/>
    <w:unhideWhenUsed/>
    <w:rsid w:val="006A4106"/>
    <w:pPr>
      <w:tabs>
        <w:tab w:val="center" w:pos="4513"/>
        <w:tab w:val="right" w:pos="9026"/>
      </w:tabs>
    </w:pPr>
  </w:style>
  <w:style w:type="character" w:customStyle="1" w:styleId="FooterChar">
    <w:name w:val="Footer Char"/>
    <w:basedOn w:val="DefaultParagraphFont"/>
    <w:link w:val="Footer"/>
    <w:uiPriority w:val="99"/>
    <w:rsid w:val="006A4106"/>
  </w:style>
  <w:style w:type="character" w:styleId="UnresolvedMention">
    <w:name w:val="Unresolved Mention"/>
    <w:basedOn w:val="DefaultParagraphFont"/>
    <w:uiPriority w:val="99"/>
    <w:semiHidden/>
    <w:unhideWhenUsed/>
    <w:rsid w:val="003F31AB"/>
    <w:rPr>
      <w:color w:val="605E5C"/>
      <w:shd w:val="clear" w:color="auto" w:fill="E1DFDD"/>
    </w:rPr>
  </w:style>
  <w:style w:type="character" w:styleId="FollowedHyperlink">
    <w:name w:val="FollowedHyperlink"/>
    <w:basedOn w:val="DefaultParagraphFont"/>
    <w:uiPriority w:val="99"/>
    <w:semiHidden/>
    <w:unhideWhenUsed/>
    <w:rsid w:val="00991E4C"/>
    <w:rPr>
      <w:color w:val="96607D" w:themeColor="followedHyperlink"/>
      <w:u w:val="single"/>
    </w:rPr>
  </w:style>
  <w:style w:type="table" w:styleId="TableGrid">
    <w:name w:val="Table Grid"/>
    <w:basedOn w:val="TableNormal"/>
    <w:uiPriority w:val="39"/>
    <w:rsid w:val="00F474E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gcmg">
    <w:name w:val="a_gcmg"/>
    <w:basedOn w:val="DefaultParagraphFont"/>
    <w:rsid w:val="006662CD"/>
  </w:style>
  <w:style w:type="paragraph" w:styleId="TOCHeading">
    <w:name w:val="TOC Heading"/>
    <w:basedOn w:val="Heading1"/>
    <w:next w:val="Normal"/>
    <w:uiPriority w:val="39"/>
    <w:unhideWhenUsed/>
    <w:qFormat/>
    <w:rsid w:val="00720428"/>
    <w:pPr>
      <w:keepNext/>
      <w:keepLines/>
      <w:spacing w:before="240" w:line="259" w:lineRule="auto"/>
      <w:outlineLvl w:val="9"/>
    </w:pPr>
    <w:rPr>
      <w:rFonts w:asciiTheme="majorHAnsi" w:eastAsiaTheme="majorEastAsia" w:hAnsiTheme="majorHAnsi" w:cstheme="majorBidi"/>
      <w:color w:val="0F4761" w:themeColor="accent1" w:themeShade="BF"/>
    </w:rPr>
  </w:style>
  <w:style w:type="paragraph" w:styleId="TOC1">
    <w:name w:val="toc 1"/>
    <w:basedOn w:val="Normal"/>
    <w:next w:val="Normal"/>
    <w:autoRedefine/>
    <w:uiPriority w:val="39"/>
    <w:unhideWhenUsed/>
    <w:rsid w:val="00720428"/>
    <w:pPr>
      <w:spacing w:after="100"/>
    </w:pPr>
  </w:style>
  <w:style w:type="paragraph" w:styleId="NoSpacing">
    <w:name w:val="No Spacing"/>
    <w:uiPriority w:val="1"/>
    <w:qFormat/>
    <w:rsid w:val="0097497A"/>
  </w:style>
  <w:style w:type="paragraph" w:styleId="TOC2">
    <w:name w:val="toc 2"/>
    <w:basedOn w:val="Normal"/>
    <w:next w:val="Normal"/>
    <w:autoRedefine/>
    <w:uiPriority w:val="39"/>
    <w:unhideWhenUsed/>
    <w:rsid w:val="003A0B65"/>
    <w:pPr>
      <w:spacing w:after="100" w:line="259" w:lineRule="auto"/>
      <w:ind w:left="220"/>
    </w:pPr>
    <w:rPr>
      <w:rFonts w:asciiTheme="minorHAnsi" w:eastAsiaTheme="minorEastAsia" w:hAnsiTheme="minorHAnsi"/>
      <w:sz w:val="22"/>
      <w:szCs w:val="22"/>
    </w:rPr>
  </w:style>
  <w:style w:type="paragraph" w:styleId="TOC3">
    <w:name w:val="toc 3"/>
    <w:basedOn w:val="Normal"/>
    <w:next w:val="Normal"/>
    <w:autoRedefine/>
    <w:uiPriority w:val="39"/>
    <w:unhideWhenUsed/>
    <w:rsid w:val="003A0B65"/>
    <w:pPr>
      <w:spacing w:after="100" w:line="259" w:lineRule="auto"/>
      <w:ind w:left="440"/>
    </w:pPr>
    <w:rPr>
      <w:rFonts w:asciiTheme="minorHAnsi" w:eastAsiaTheme="minorEastAsia"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doi.org/10.1136/bmjopen-2021-058964" TargetMode="External"/><Relationship Id="rId21" Type="http://schemas.openxmlformats.org/officeDocument/2006/relationships/hyperlink" Target="https://doi.org/10.1197/j.aem.2004.08.032" TargetMode="External"/><Relationship Id="rId42" Type="http://schemas.openxmlformats.org/officeDocument/2006/relationships/hyperlink" Target="https://doi.org/10.3399/BJGP.2022.0436" TargetMode="External"/><Relationship Id="rId63" Type="http://schemas.openxmlformats.org/officeDocument/2006/relationships/hyperlink" Target="https://www.healthwatch.co.uk/report/2024-01-12/access-gp-appointments-what-do-patients-think" TargetMode="External"/><Relationship Id="rId84" Type="http://schemas.openxmlformats.org/officeDocument/2006/relationships/hyperlink" Target="https://doi.org/10.1136/bmjopen-2025-108770" TargetMode="External"/><Relationship Id="rId138" Type="http://schemas.openxmlformats.org/officeDocument/2006/relationships/hyperlink" Target="https://www.who.int/publications/i/item/WHO-IER-CSDH-08.1" TargetMode="External"/><Relationship Id="rId107" Type="http://schemas.openxmlformats.org/officeDocument/2006/relationships/hyperlink" Target="https://doi.org/10.3399/BJGP.2023.0244" TargetMode="External"/><Relationship Id="rId11" Type="http://schemas.openxmlformats.org/officeDocument/2006/relationships/image" Target="media/image1.png"/><Relationship Id="rId32" Type="http://schemas.openxmlformats.org/officeDocument/2006/relationships/hyperlink" Target="https://doi.org/10.1136/emermed-2020-210539" TargetMode="External"/><Relationship Id="rId37" Type="http://schemas.openxmlformats.org/officeDocument/2006/relationships/hyperlink" Target="https://doi.org/10.1136/bmjopen-2018-024501" TargetMode="External"/><Relationship Id="rId53" Type="http://schemas.openxmlformats.org/officeDocument/2006/relationships/hyperlink" Target="https://doi.org/10.1186/s12875-026-03376-5" TargetMode="External"/><Relationship Id="rId58" Type="http://schemas.openxmlformats.org/officeDocument/2006/relationships/hyperlink" Target="https://doi.org/10.1136/emermed-2018-208189" TargetMode="External"/><Relationship Id="rId74" Type="http://schemas.openxmlformats.org/officeDocument/2006/relationships/hyperlink" Target="https://doi.org/10.1136/bmjopen-2023-082197" TargetMode="External"/><Relationship Id="rId79" Type="http://schemas.openxmlformats.org/officeDocument/2006/relationships/hyperlink" Target="https://doi.org/10.1370/afm.3128" TargetMode="External"/><Relationship Id="rId102" Type="http://schemas.openxmlformats.org/officeDocument/2006/relationships/hyperlink" Target="https://doi.org/10.3399/BJGPO.2021.0040" TargetMode="External"/><Relationship Id="rId123" Type="http://schemas.openxmlformats.org/officeDocument/2006/relationships/hyperlink" Target="https://doi.org/10.1111/j.1468-0009.2005.00409.x" TargetMode="External"/><Relationship Id="rId128" Type="http://schemas.openxmlformats.org/officeDocument/2006/relationships/hyperlink" Target="https://doi.org/10.2196/50376" TargetMode="External"/><Relationship Id="rId5" Type="http://schemas.openxmlformats.org/officeDocument/2006/relationships/numbering" Target="numbering.xml"/><Relationship Id="rId90" Type="http://schemas.openxmlformats.org/officeDocument/2006/relationships/hyperlink" Target="https://doi.org/10.3399/BJGPO.2023.0018" TargetMode="External"/><Relationship Id="rId95" Type="http://schemas.openxmlformats.org/officeDocument/2006/relationships/hyperlink" Target="https://www.england.nhs.uk/publication/delivery-plan-for-recovering-access-to-primary-care/" TargetMode="External"/><Relationship Id="rId22" Type="http://schemas.openxmlformats.org/officeDocument/2006/relationships/hyperlink" Target="https://doi.org/10.1136/emermed-2024-214412" TargetMode="External"/><Relationship Id="rId27" Type="http://schemas.openxmlformats.org/officeDocument/2006/relationships/hyperlink" Target="https://doi.org/10.3399/BJGP.2023.0232" TargetMode="External"/><Relationship Id="rId43" Type="http://schemas.openxmlformats.org/officeDocument/2006/relationships/hyperlink" Target="https://doi.org/10.1016/j.pec.2025.109192" TargetMode="External"/><Relationship Id="rId48" Type="http://schemas.openxmlformats.org/officeDocument/2006/relationships/hyperlink" Target="https://doi.org/10.3399/BJGP.2023.0149" TargetMode="External"/><Relationship Id="rId64" Type="http://schemas.openxmlformats.org/officeDocument/2006/relationships/hyperlink" Target="https://doi.org/10.12759/hsr.33.2008.3.33-45" TargetMode="External"/><Relationship Id="rId69" Type="http://schemas.openxmlformats.org/officeDocument/2006/relationships/hyperlink" Target="https://doi.org/10.3399/BJGP.2023.0007" TargetMode="External"/><Relationship Id="rId113" Type="http://schemas.openxmlformats.org/officeDocument/2006/relationships/hyperlink" Target="https://doi.org/10.1177/1355819620986814" TargetMode="External"/><Relationship Id="rId118" Type="http://schemas.openxmlformats.org/officeDocument/2006/relationships/hyperlink" Target="https://doi.org/10.3399/BJGP.2024.0033" TargetMode="External"/><Relationship Id="rId134" Type="http://schemas.openxmlformats.org/officeDocument/2006/relationships/hyperlink" Target="https://doi.org/10.1016/j.jval.2025.07.013" TargetMode="External"/><Relationship Id="rId139" Type="http://schemas.openxmlformats.org/officeDocument/2006/relationships/hyperlink" Target="https://www.who.int/publications/i/item/9789240024229" TargetMode="External"/><Relationship Id="rId80" Type="http://schemas.openxmlformats.org/officeDocument/2006/relationships/hyperlink" Target="https://doi.org/10.1136/emermed-2022-212947" TargetMode="External"/><Relationship Id="rId85" Type="http://schemas.openxmlformats.org/officeDocument/2006/relationships/hyperlink" Target="https://www.instituteofhealthequity.org/resources-reports/fair-society-healthy-lives-the-marmot-review" TargetMode="External"/><Relationship Id="rId12" Type="http://schemas.openxmlformats.org/officeDocument/2006/relationships/customXml" Target="ink/ink1.xml"/><Relationship Id="rId17" Type="http://schemas.openxmlformats.org/officeDocument/2006/relationships/customXml" Target="ink/ink3.xml"/><Relationship Id="rId33" Type="http://schemas.openxmlformats.org/officeDocument/2006/relationships/hyperlink" Target="https://doi.org/10.1016/j.healthpol.2025.105265" TargetMode="External"/><Relationship Id="rId38" Type="http://schemas.openxmlformats.org/officeDocument/2006/relationships/hyperlink" Target="https://doi.org/10.1111/acem.13220" TargetMode="External"/><Relationship Id="rId59" Type="http://schemas.openxmlformats.org/officeDocument/2006/relationships/hyperlink" Target="https://doi.org/10.3399/BJGP.2021.0658" TargetMode="External"/><Relationship Id="rId103" Type="http://schemas.openxmlformats.org/officeDocument/2006/relationships/hyperlink" Target="https://doi.org/10.3399/BJGP.2020.0702" TargetMode="External"/><Relationship Id="rId108" Type="http://schemas.openxmlformats.org/officeDocument/2006/relationships/hyperlink" Target="https://doi.org/10.1186/s12873-021-00562-9" TargetMode="External"/><Relationship Id="rId124" Type="http://schemas.openxmlformats.org/officeDocument/2006/relationships/hyperlink" Target="https://doi.org/10.1136/bmj.e3874" TargetMode="External"/><Relationship Id="rId129" Type="http://schemas.openxmlformats.org/officeDocument/2006/relationships/hyperlink" Target="https://doi.org/10.3399/BJGP.2021.0426" TargetMode="External"/><Relationship Id="rId54" Type="http://schemas.openxmlformats.org/officeDocument/2006/relationships/hyperlink" Target="https://doi.org/10.1136/bmjopen-2021-055976" TargetMode="External"/><Relationship Id="rId70" Type="http://schemas.openxmlformats.org/officeDocument/2006/relationships/hyperlink" Target="https://doi.org/10.3399/bjgp13X675491" TargetMode="External"/><Relationship Id="rId75" Type="http://schemas.openxmlformats.org/officeDocument/2006/relationships/hyperlink" Target="https://doi.org/10.2196/56320" TargetMode="External"/><Relationship Id="rId91" Type="http://schemas.openxmlformats.org/officeDocument/2006/relationships/hyperlink" Target="https://doi.org/10.1016/j.healthpol.2026.105654" TargetMode="External"/><Relationship Id="rId96" Type="http://schemas.openxmlformats.org/officeDocument/2006/relationships/hyperlink" Target="https://www.england.nhs.uk/statistics/statistical-work-areas/ae-waiting-times-and-activity/" TargetMode="External"/><Relationship Id="rId14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doi.org/10.2307/2137284" TargetMode="External"/><Relationship Id="rId28" Type="http://schemas.openxmlformats.org/officeDocument/2006/relationships/hyperlink" Target="https://doi.org/10.1093/fampra/cmz050" TargetMode="External"/><Relationship Id="rId49" Type="http://schemas.openxmlformats.org/officeDocument/2006/relationships/hyperlink" Target="https://doi.org/10.1016/j.ienj.2021.101000" TargetMode="External"/><Relationship Id="rId114" Type="http://schemas.openxmlformats.org/officeDocument/2006/relationships/hyperlink" Target="https://doi.org/10.3399/bjgp15X686893" TargetMode="External"/><Relationship Id="rId119" Type="http://schemas.openxmlformats.org/officeDocument/2006/relationships/hyperlink" Target="https://doi.org/10.3399/BJGPO.2024.0184" TargetMode="External"/><Relationship Id="rId44" Type="http://schemas.openxmlformats.org/officeDocument/2006/relationships/hyperlink" Target="https://doi.org/10.3310/PYOE4109" TargetMode="External"/><Relationship Id="rId60" Type="http://schemas.openxmlformats.org/officeDocument/2006/relationships/hyperlink" Target="https://doi.org/10.3310/QQTT4411" TargetMode="External"/><Relationship Id="rId65" Type="http://schemas.openxmlformats.org/officeDocument/2006/relationships/hyperlink" Target="https://doi.org/10.3399/BJGPO.2025.0216" TargetMode="External"/><Relationship Id="rId81" Type="http://schemas.openxmlformats.org/officeDocument/2006/relationships/hyperlink" Target="https://doi.org/10.1136/emermed-2025-215742" TargetMode="External"/><Relationship Id="rId86" Type="http://schemas.openxmlformats.org/officeDocument/2006/relationships/hyperlink" Target="https://doi.org/10.1136/bmj.c1086" TargetMode="External"/><Relationship Id="rId130" Type="http://schemas.openxmlformats.org/officeDocument/2006/relationships/hyperlink" Target="https://www.legislation.gov.uk/ukpga/2018/12/contents/enacted" TargetMode="External"/><Relationship Id="rId135" Type="http://schemas.openxmlformats.org/officeDocument/2006/relationships/hyperlink" Target="https://doi.org/10.2196/56528" TargetMode="External"/><Relationship Id="rId18" Type="http://schemas.openxmlformats.org/officeDocument/2006/relationships/customXml" Target="ink/ink4.xml"/><Relationship Id="rId39" Type="http://schemas.openxmlformats.org/officeDocument/2006/relationships/hyperlink" Target="https://doi.org/10.1371/journal.pone.0066699" TargetMode="External"/><Relationship Id="rId109" Type="http://schemas.openxmlformats.org/officeDocument/2006/relationships/hyperlink" Target="https://www.kingsfund.org.uk/publications/avoiding-hospital-admissions" TargetMode="External"/><Relationship Id="rId34" Type="http://schemas.openxmlformats.org/officeDocument/2006/relationships/hyperlink" Target="https://doi.org/10.1186/s12873-025-01205-8" TargetMode="External"/><Relationship Id="rId50" Type="http://schemas.openxmlformats.org/officeDocument/2006/relationships/hyperlink" Target="https://doi.org/10.1186/s12873-020-00358-3" TargetMode="External"/><Relationship Id="rId55" Type="http://schemas.openxmlformats.org/officeDocument/2006/relationships/hyperlink" Target="https://www.health.org.uk/publications/reports/reducing-the-burden-on-emergency-departments" TargetMode="External"/><Relationship Id="rId76" Type="http://schemas.openxmlformats.org/officeDocument/2006/relationships/hyperlink" Target="https://doi.org/10.1136/bmjdhai-2025-000032" TargetMode="External"/><Relationship Id="rId97" Type="http://schemas.openxmlformats.org/officeDocument/2006/relationships/hyperlink" Target="https://doi.org/10.3399/BJGP.2020.0737" TargetMode="External"/><Relationship Id="rId104" Type="http://schemas.openxmlformats.org/officeDocument/2006/relationships/hyperlink" Target="https://doi.org/10.1097/00005650-198102000-00001" TargetMode="External"/><Relationship Id="rId120" Type="http://schemas.openxmlformats.org/officeDocument/2006/relationships/hyperlink" Target="https://doi.org/10.1136/bmj-2025-087367" TargetMode="External"/><Relationship Id="rId125" Type="http://schemas.openxmlformats.org/officeDocument/2006/relationships/hyperlink" Target="https://www.kingsfund.org.uk/publications/emergency-departments-unprecedented-pressure" TargetMode="External"/><Relationship Id="rId141" Type="http://schemas.openxmlformats.org/officeDocument/2006/relationships/footer" Target="footer1.xml"/><Relationship Id="rId7" Type="http://schemas.openxmlformats.org/officeDocument/2006/relationships/settings" Target="settings.xml"/><Relationship Id="rId71" Type="http://schemas.openxmlformats.org/officeDocument/2006/relationships/hyperlink" Target="https://doi.org/10.3399/BJGP.2024.0308" TargetMode="External"/><Relationship Id="rId92" Type="http://schemas.openxmlformats.org/officeDocument/2006/relationships/hyperlink" Target="https://doi.org/10.23889/ijpds.v6i1.1401" TargetMode="External"/><Relationship Id="rId2" Type="http://schemas.openxmlformats.org/officeDocument/2006/relationships/customXml" Target="../customXml/item2.xml"/><Relationship Id="rId29" Type="http://schemas.openxmlformats.org/officeDocument/2006/relationships/hyperlink" Target="https://doi.org/10.3399/BJGP.2023.0195" TargetMode="External"/><Relationship Id="rId24" Type="http://schemas.openxmlformats.org/officeDocument/2006/relationships/hyperlink" Target="https://doi.org/10.1016/j.ijnurstu.2021.103980" TargetMode="External"/><Relationship Id="rId40" Type="http://schemas.openxmlformats.org/officeDocument/2006/relationships/hyperlink" Target="https://doi.org/10.1136/bmjqs-2015-004493" TargetMode="External"/><Relationship Id="rId45" Type="http://schemas.openxmlformats.org/officeDocument/2006/relationships/hyperlink" Target="https://www.gov.uk/government/publications/primary-care-recovery-plan" TargetMode="External"/><Relationship Id="rId66" Type="http://schemas.openxmlformats.org/officeDocument/2006/relationships/hyperlink" Target="https://training.cochrane.org/handbook" TargetMode="External"/><Relationship Id="rId87" Type="http://schemas.openxmlformats.org/officeDocument/2006/relationships/hyperlink" Target="https://www.health.org.uk/publications/reports/the-marmot-review-10-years-on" TargetMode="External"/><Relationship Id="rId110" Type="http://schemas.openxmlformats.org/officeDocument/2006/relationships/hyperlink" Target="https://doi.org/10.1136/bmj.e6017" TargetMode="External"/><Relationship Id="rId115" Type="http://schemas.openxmlformats.org/officeDocument/2006/relationships/hyperlink" Target="https://doi.org/10.1080/17571472.2020.1749466" TargetMode="External"/><Relationship Id="rId131" Type="http://schemas.openxmlformats.org/officeDocument/2006/relationships/hyperlink" Target="https://pubmed.ncbi.nlm.nih.gov/37129943/" TargetMode="External"/><Relationship Id="rId136" Type="http://schemas.openxmlformats.org/officeDocument/2006/relationships/hyperlink" Target="https://doi.org/10.1177/1355819616648982" TargetMode="External"/><Relationship Id="rId61" Type="http://schemas.openxmlformats.org/officeDocument/2006/relationships/hyperlink" Target="https://doi.org/10.1136/bmjopen-2015-009388" TargetMode="External"/><Relationship Id="rId82" Type="http://schemas.openxmlformats.org/officeDocument/2006/relationships/hyperlink" Target="https://doi.org/10.1136/bmjopen-2020-044221" TargetMode="External"/><Relationship Id="rId19" Type="http://schemas.openxmlformats.org/officeDocument/2006/relationships/image" Target="media/image2.png"/><Relationship Id="rId14" Type="http://schemas.openxmlformats.org/officeDocument/2006/relationships/image" Target="media/image2.emf"/><Relationship Id="rId30" Type="http://schemas.openxmlformats.org/officeDocument/2006/relationships/hyperlink" Target="https://doi.org/10.2196/43496" TargetMode="External"/><Relationship Id="rId35" Type="http://schemas.openxmlformats.org/officeDocument/2006/relationships/hyperlink" Target="https://doi.org/10.1136/bmjopen-2023-072944" TargetMode="External"/><Relationship Id="rId56" Type="http://schemas.openxmlformats.org/officeDocument/2006/relationships/hyperlink" Target="https://doi.org/10.2196/51272" TargetMode="External"/><Relationship Id="rId77" Type="http://schemas.openxmlformats.org/officeDocument/2006/relationships/hyperlink" Target="https://doi.org/10.2190/HFG7-HLUX-J9AM-32TT" TargetMode="External"/><Relationship Id="rId100" Type="http://schemas.openxmlformats.org/officeDocument/2006/relationships/hyperlink" Target="https://doi.org/10.1371/journal.pone.0192855" TargetMode="External"/><Relationship Id="rId105" Type="http://schemas.openxmlformats.org/officeDocument/2006/relationships/hyperlink" Target="https://doi.org/10.1177/0022146510383498" TargetMode="External"/><Relationship Id="rId126" Type="http://schemas.openxmlformats.org/officeDocument/2006/relationships/hyperlink" Target="https://doi.org/10.1186/1471-2288-8-45" TargetMode="External"/><Relationship Id="rId8" Type="http://schemas.openxmlformats.org/officeDocument/2006/relationships/webSettings" Target="webSettings.xml"/><Relationship Id="rId51" Type="http://schemas.openxmlformats.org/officeDocument/2006/relationships/hyperlink" Target="https://doi.org/10.1111/j.1475-6773.2003.00208.x" TargetMode="External"/><Relationship Id="rId72" Type="http://schemas.openxmlformats.org/officeDocument/2006/relationships/hyperlink" Target="https://doi.org/10.1016/j.healthpol.2024.105186" TargetMode="External"/><Relationship Id="rId93" Type="http://schemas.openxmlformats.org/officeDocument/2006/relationships/hyperlink" Target="https://digital.nhs.uk/data-and-information/publications/statistical/appointments-in-general-practice" TargetMode="External"/><Relationship Id="rId98" Type="http://schemas.openxmlformats.org/officeDocument/2006/relationships/hyperlink" Target="https://doi.org/10.3399/BJGPO.2021.0066" TargetMode="External"/><Relationship Id="rId121" Type="http://schemas.openxmlformats.org/officeDocument/2006/relationships/hyperlink" Target="https://doi.org/10.1002/14651858.CD004910.pub3" TargetMode="External"/><Relationship Id="rId142" Type="http://schemas.openxmlformats.org/officeDocument/2006/relationships/fontTable" Target="fontTable.xml"/><Relationship Id="rId3" Type="http://schemas.openxmlformats.org/officeDocument/2006/relationships/customXml" Target="../customXml/item3.xml"/><Relationship Id="rId25" Type="http://schemas.openxmlformats.org/officeDocument/2006/relationships/hyperlink" Target="https://doi.org/10.3399/BJGP.2021.0713" TargetMode="External"/><Relationship Id="rId46" Type="http://schemas.openxmlformats.org/officeDocument/2006/relationships/hyperlink" Target="https://doi.org/10.1186/1471-2288-6-35" TargetMode="External"/><Relationship Id="rId67" Type="http://schemas.openxmlformats.org/officeDocument/2006/relationships/hyperlink" Target="https://doi.org/10.3399/bjgp18X695213" TargetMode="External"/><Relationship Id="rId116" Type="http://schemas.openxmlformats.org/officeDocument/2006/relationships/hyperlink" Target="https://doi.org/10.3399/BJGPO.2026.0076" TargetMode="External"/><Relationship Id="rId137" Type="http://schemas.openxmlformats.org/officeDocument/2006/relationships/hyperlink" Target="https://doi.org/10.1136/bmjhci-2023-100809" TargetMode="External"/><Relationship Id="rId20" Type="http://schemas.openxmlformats.org/officeDocument/2006/relationships/image" Target="media/image3.png"/><Relationship Id="rId41" Type="http://schemas.openxmlformats.org/officeDocument/2006/relationships/hyperlink" Target="https://doi.org/10.3399/bjgp20X710909" TargetMode="External"/><Relationship Id="rId62" Type="http://schemas.openxmlformats.org/officeDocument/2006/relationships/hyperlink" Target="https://doi.org/10.1016/S0140-6736(71)92410-X" TargetMode="External"/><Relationship Id="rId83" Type="http://schemas.openxmlformats.org/officeDocument/2006/relationships/hyperlink" Target="https://doi.org/10.1016/S0140-6736(21)00317-2" TargetMode="External"/><Relationship Id="rId88" Type="http://schemas.openxmlformats.org/officeDocument/2006/relationships/hyperlink" Target="https://doi.org/10.1186/s12873-022-00709-2" TargetMode="External"/><Relationship Id="rId111" Type="http://schemas.openxmlformats.org/officeDocument/2006/relationships/hyperlink" Target="https://doi.org/10.1177/1473325017700701" TargetMode="External"/><Relationship Id="rId132" Type="http://schemas.openxmlformats.org/officeDocument/2006/relationships/hyperlink" Target="https://doi.org/10.1136/bmj.o123" TargetMode="External"/><Relationship Id="rId15" Type="http://schemas.openxmlformats.org/officeDocument/2006/relationships/customXml" Target="ink/ink2.xml"/><Relationship Id="rId36" Type="http://schemas.openxmlformats.org/officeDocument/2006/relationships/hyperlink" Target="https://doi.org/10.1136/jme.26.5.323" TargetMode="External"/><Relationship Id="rId57" Type="http://schemas.openxmlformats.org/officeDocument/2006/relationships/hyperlink" Target="https://doi.org/10.3399/bjgp20X711365" TargetMode="External"/><Relationship Id="rId106" Type="http://schemas.openxmlformats.org/officeDocument/2006/relationships/hyperlink" Target="https://www.mheducation.co.uk/synthesising-qualitative-and-quantitative-health-evidence-9780335219360-emea" TargetMode="External"/><Relationship Id="rId127" Type="http://schemas.openxmlformats.org/officeDocument/2006/relationships/hyperlink" Target="https://doi.org/10.7326/M18-0850" TargetMode="External"/><Relationship Id="rId10" Type="http://schemas.openxmlformats.org/officeDocument/2006/relationships/endnotes" Target="endnotes.xml"/><Relationship Id="rId31" Type="http://schemas.openxmlformats.org/officeDocument/2006/relationships/hyperlink" Target="https://doi.org/10.1017/S1463423624000707" TargetMode="External"/><Relationship Id="rId52" Type="http://schemas.openxmlformats.org/officeDocument/2006/relationships/hyperlink" Target="https://doi.org/10.1016/j.socscimed.2024.116432" TargetMode="External"/><Relationship Id="rId73" Type="http://schemas.openxmlformats.org/officeDocument/2006/relationships/hyperlink" Target="https://doi.org/10.1016/j.healthpol.2025.105330" TargetMode="External"/><Relationship Id="rId78" Type="http://schemas.openxmlformats.org/officeDocument/2006/relationships/hyperlink" Target="https://doi.org/10.1016/j.healthpol.2025.105524" TargetMode="External"/><Relationship Id="rId94" Type="http://schemas.openxmlformats.org/officeDocument/2006/relationships/hyperlink" Target="https://www.longtermplan.nhs.uk" TargetMode="External"/><Relationship Id="rId99" Type="http://schemas.openxmlformats.org/officeDocument/2006/relationships/hyperlink" Target="https://www.ons.gov.uk/peoplepopulationandcommunity/healthandsocialcare/healthcaresystem/articles/inequalitiesinaccidentandemergencydepartmentattendanceengland/march2021tomarch2022" TargetMode="External"/><Relationship Id="rId101" Type="http://schemas.openxmlformats.org/officeDocument/2006/relationships/hyperlink" Target="https://doi.org/10.1136/bmj.n71" TargetMode="External"/><Relationship Id="rId122" Type="http://schemas.openxmlformats.org/officeDocument/2006/relationships/hyperlink" Target="https://www.who.int/publications/i/item/9789241500852" TargetMode="External"/><Relationship Id="rId143"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hyperlink" Target="https://doi.org/10.3399/BJGP.2024.0582" TargetMode="External"/><Relationship Id="rId47" Type="http://schemas.openxmlformats.org/officeDocument/2006/relationships/hyperlink" Target="https://doi.org/10.3399/BJGP.2023.0092" TargetMode="External"/><Relationship Id="rId68" Type="http://schemas.openxmlformats.org/officeDocument/2006/relationships/hyperlink" Target="https://doi.org/10.3399/BJGPO.2024.0050" TargetMode="External"/><Relationship Id="rId89" Type="http://schemas.openxmlformats.org/officeDocument/2006/relationships/hyperlink" Target="https://doi.org/10.1136/emermed-2022-212303" TargetMode="External"/><Relationship Id="rId112" Type="http://schemas.openxmlformats.org/officeDocument/2006/relationships/hyperlink" Target="https://pubmed.ncbi.nlm.nih.gov/15720953/" TargetMode="External"/><Relationship Id="rId133" Type="http://schemas.openxmlformats.org/officeDocument/2006/relationships/hyperlink" Target="https://doi.org/10.1371/journal.pmed.1002113" TargetMode="External"/><Relationship Id="rId16" Type="http://schemas.openxmlformats.org/officeDocument/2006/relationships/image" Target="media/image3.em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5" ma:contentTypeDescription="Create a new document." ma:contentTypeScope="" ma:versionID="5cd5c37f5ab7ce8cd72857bce919276b">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4724f3e7993d6348900c1f0c7742233a"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D6B3C09-596C-4414-A725-2EB5F56846EF}">
  <ds:schemaRefs>
    <ds:schemaRef ds:uri="http://schemas.openxmlformats.org/officeDocument/2006/bibliography"/>
  </ds:schemaRefs>
</ds:datastoreItem>
</file>

<file path=customXml/itemProps2.xml><?xml version="1.0" encoding="utf-8"?>
<ds:datastoreItem xmlns:ds="http://schemas.openxmlformats.org/officeDocument/2006/customXml" ds:itemID="{2E5E2B1A-EE5D-4B6D-B3C8-B79D55D06F28}">
  <ds:schemaRefs>
    <ds:schemaRef ds:uri="http://schemas.microsoft.com/office/2006/metadata/properties"/>
    <ds:schemaRef ds:uri="http://schemas.microsoft.com/office/infopath/2007/PartnerControls"/>
    <ds:schemaRef ds:uri="95817cb9-f0eb-4f4d-892c-47ab9f8957c0"/>
  </ds:schemaRefs>
</ds:datastoreItem>
</file>

<file path=customXml/itemProps3.xml><?xml version="1.0" encoding="utf-8"?>
<ds:datastoreItem xmlns:ds="http://schemas.openxmlformats.org/officeDocument/2006/customXml" ds:itemID="{ABF5A6AE-B5AE-4D57-907C-0776F32E3E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6C219D2-1DFB-4E08-BABF-0A9342B227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82</Pages>
  <Words>25248</Words>
  <Characters>143916</Characters>
  <Application>Microsoft Office Word</Application>
  <DocSecurity>0</DocSecurity>
  <Lines>1199</Lines>
  <Paragraphs>337</Paragraphs>
  <ScaleCrop>false</ScaleCrop>
  <Company/>
  <LinksUpToDate>false</LinksUpToDate>
  <CharactersWithSpaces>168827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cp:lastModifiedBy>Nevyana Nikolova (2111481)</cp:lastModifiedBy>
  <cp:revision>605</cp:revision>
  <dcterms:created xsi:type="dcterms:W3CDTF">2026-07-27T02:50:00Z</dcterms:created>
  <dcterms:modified xsi:type="dcterms:W3CDTF">2026-09-23T09:26:00Z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