
<file path=[Content_Types].xml><?xml version="1.0" encoding="utf-8"?>
<Types xmlns="http://schemas.openxmlformats.org/package/2006/content-types">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9432983"/>
        <w:docPartObj>
          <w:docPartGallery w:val="Cover Pages"/>
          <w:docPartUnique/>
        </w:docPartObj>
      </w:sdtPr>
      <w:sdtEndPr>
        <w:rPr>
          <w:rFonts w:asciiTheme="minorHAnsi" w:eastAsiaTheme="minorEastAsia" w:hAnsiTheme="minorHAnsi" w:cstheme="minorBidi"/>
          <w:caps w:val="0"/>
          <w:lang w:val="en-GB" w:eastAsia="en-GB"/>
        </w:rPr>
      </w:sdtEndPr>
      <w:sdtContent>
        <w:tbl>
          <w:tblPr>
            <w:tblW w:w="5000" w:type="pct"/>
            <w:jc w:val="center"/>
            <w:tblLook w:val="04A0"/>
          </w:tblPr>
          <w:tblGrid>
            <w:gridCol w:w="9242"/>
          </w:tblGrid>
          <w:tr w:rsidR="00A97587">
            <w:trPr>
              <w:trHeight w:val="2880"/>
              <w:jc w:val="center"/>
            </w:trPr>
            <w:sdt>
              <w:sdtPr>
                <w:rPr>
                  <w:rFonts w:asciiTheme="majorHAnsi" w:eastAsiaTheme="majorEastAsia" w:hAnsiTheme="majorHAnsi" w:cstheme="majorBidi"/>
                  <w:caps/>
                </w:rPr>
                <w:alias w:val="Company"/>
                <w:id w:val="15524243"/>
                <w:placeholder>
                  <w:docPart w:val="51FB58091BBE4C5C8248E133CC3364CA"/>
                </w:placeholder>
                <w:dataBinding w:prefixMappings="xmlns:ns0='http://schemas.openxmlformats.org/officeDocument/2006/extended-properties'" w:xpath="/ns0:Properties[1]/ns0:Company[1]" w:storeItemID="{6668398D-A668-4E3E-A5EB-62B293D839F1}"/>
                <w:text/>
              </w:sdtPr>
              <w:sdtEndPr>
                <w:rPr>
                  <w:rFonts w:ascii="Arial" w:hAnsi="Arial" w:cs="Arial"/>
                  <w:b/>
                  <w:i/>
                  <w:sz w:val="24"/>
                  <w:szCs w:val="24"/>
                  <w:u w:val="single"/>
                </w:rPr>
              </w:sdtEndPr>
              <w:sdtContent>
                <w:tc>
                  <w:tcPr>
                    <w:tcW w:w="5000" w:type="pct"/>
                  </w:tcPr>
                  <w:p w:rsidR="00A97587" w:rsidRDefault="00A97587" w:rsidP="00A97587">
                    <w:pPr>
                      <w:pStyle w:val="NoSpacing"/>
                      <w:jc w:val="center"/>
                      <w:rPr>
                        <w:rFonts w:asciiTheme="majorHAnsi" w:eastAsiaTheme="majorEastAsia" w:hAnsiTheme="majorHAnsi" w:cstheme="majorBidi"/>
                        <w:caps/>
                      </w:rPr>
                    </w:pPr>
                    <w:r w:rsidRPr="00A97587">
                      <w:rPr>
                        <w:rFonts w:ascii="Arial" w:eastAsiaTheme="majorEastAsia" w:hAnsi="Arial" w:cs="Arial"/>
                        <w:b/>
                        <w:i/>
                        <w:caps/>
                        <w:sz w:val="24"/>
                        <w:szCs w:val="24"/>
                        <w:u w:val="single"/>
                        <w:lang w:val="en-GB"/>
                      </w:rPr>
                      <w:t>UNIVERSITY OF WALES TRINITY SAINT DAVID</w:t>
                    </w:r>
                  </w:p>
                </w:tc>
              </w:sdtContent>
            </w:sdt>
          </w:tr>
          <w:tr w:rsidR="00A97587">
            <w:trPr>
              <w:trHeight w:val="1440"/>
              <w:jc w:val="center"/>
            </w:trPr>
            <w:sdt>
              <w:sdtPr>
                <w:rPr>
                  <w:rFonts w:ascii="Arial" w:hAnsi="Arial" w:cs="Arial"/>
                  <w:sz w:val="72"/>
                  <w:szCs w:val="72"/>
                  <w:lang w:val="en-GB" w:eastAsia="en-GB"/>
                </w:rPr>
                <w:alias w:val="Title"/>
                <w:id w:val="15524250"/>
                <w:placeholder>
                  <w:docPart w:val="92BA773EAAAF4C668077EBA14810C35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97587" w:rsidRDefault="00A97587" w:rsidP="00A97587">
                    <w:pPr>
                      <w:pStyle w:val="NoSpacing"/>
                      <w:jc w:val="center"/>
                      <w:rPr>
                        <w:rFonts w:asciiTheme="majorHAnsi" w:eastAsiaTheme="majorEastAsia" w:hAnsiTheme="majorHAnsi" w:cstheme="majorBidi"/>
                        <w:sz w:val="80"/>
                        <w:szCs w:val="80"/>
                      </w:rPr>
                    </w:pPr>
                    <w:r>
                      <w:rPr>
                        <w:rFonts w:ascii="Arial" w:hAnsi="Arial" w:cs="Arial"/>
                        <w:sz w:val="72"/>
                        <w:szCs w:val="72"/>
                        <w:lang w:val="en-GB" w:eastAsia="en-GB"/>
                      </w:rPr>
                      <w:t>Evaluate the Success and L</w:t>
                    </w:r>
                    <w:r w:rsidRPr="00A97587">
                      <w:rPr>
                        <w:rFonts w:ascii="Arial" w:hAnsi="Arial" w:cs="Arial"/>
                        <w:sz w:val="72"/>
                        <w:szCs w:val="72"/>
                        <w:lang w:val="en-GB" w:eastAsia="en-GB"/>
                      </w:rPr>
                      <w:t>imitations of the Police and Criminal Evidence Act 1984 in</w:t>
                    </w:r>
                    <w:r>
                      <w:rPr>
                        <w:rFonts w:ascii="Arial" w:hAnsi="Arial" w:cs="Arial"/>
                        <w:sz w:val="72"/>
                        <w:szCs w:val="72"/>
                        <w:lang w:val="en-GB" w:eastAsia="en-GB"/>
                      </w:rPr>
                      <w:t xml:space="preserve"> P</w:t>
                    </w:r>
                    <w:r w:rsidRPr="00A97587">
                      <w:rPr>
                        <w:rFonts w:ascii="Arial" w:hAnsi="Arial" w:cs="Arial"/>
                        <w:sz w:val="72"/>
                        <w:szCs w:val="72"/>
                        <w:lang w:val="en-GB" w:eastAsia="en-GB"/>
                      </w:rPr>
                      <w:t>reventing Miscarriages of Justice</w:t>
                    </w:r>
                  </w:p>
                </w:tc>
              </w:sdtContent>
            </w:sdt>
          </w:tr>
          <w:tr w:rsidR="00A97587">
            <w:trPr>
              <w:trHeight w:val="720"/>
              <w:jc w:val="center"/>
            </w:trPr>
            <w:sdt>
              <w:sdtPr>
                <w:rPr>
                  <w:rFonts w:ascii="Arial" w:eastAsiaTheme="majorEastAsia" w:hAnsi="Arial" w:cs="Arial"/>
                  <w:sz w:val="44"/>
                  <w:szCs w:val="44"/>
                </w:rPr>
                <w:alias w:val="Subtitle"/>
                <w:id w:val="15524255"/>
                <w:placeholder>
                  <w:docPart w:val="78CABD5F8D694F65BE1F24ADBED95967"/>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A97587" w:rsidRDefault="00A97587" w:rsidP="00A97587">
                    <w:pPr>
                      <w:pStyle w:val="NoSpacing"/>
                      <w:jc w:val="center"/>
                      <w:rPr>
                        <w:rFonts w:asciiTheme="majorHAnsi" w:eastAsiaTheme="majorEastAsia" w:hAnsiTheme="majorHAnsi" w:cstheme="majorBidi"/>
                        <w:sz w:val="44"/>
                        <w:szCs w:val="44"/>
                      </w:rPr>
                    </w:pPr>
                    <w:r w:rsidRPr="00A97587">
                      <w:rPr>
                        <w:rFonts w:ascii="Arial" w:eastAsiaTheme="majorEastAsia" w:hAnsi="Arial" w:cs="Arial"/>
                        <w:sz w:val="44"/>
                        <w:szCs w:val="44"/>
                      </w:rPr>
                      <w:t>Understanding Policing - Assignment 1</w:t>
                    </w:r>
                  </w:p>
                </w:tc>
              </w:sdtContent>
            </w:sdt>
          </w:tr>
          <w:tr w:rsidR="00A97587">
            <w:trPr>
              <w:trHeight w:val="360"/>
              <w:jc w:val="center"/>
            </w:trPr>
            <w:tc>
              <w:tcPr>
                <w:tcW w:w="5000" w:type="pct"/>
                <w:vAlign w:val="center"/>
              </w:tcPr>
              <w:p w:rsidR="00A97587" w:rsidRDefault="00A97587">
                <w:pPr>
                  <w:pStyle w:val="NoSpacing"/>
                  <w:jc w:val="center"/>
                </w:pPr>
              </w:p>
            </w:tc>
          </w:tr>
          <w:tr w:rsidR="00A97587">
            <w:trPr>
              <w:trHeight w:val="360"/>
              <w:jc w:val="center"/>
            </w:trPr>
            <w:sdt>
              <w:sdtPr>
                <w:rPr>
                  <w:rFonts w:ascii="Arial" w:hAnsi="Arial" w:cs="Arial"/>
                  <w:b/>
                  <w:bCs/>
                  <w:sz w:val="24"/>
                  <w:szCs w:val="24"/>
                </w:rPr>
                <w:alias w:val="Author"/>
                <w:id w:val="15524260"/>
                <w:placeholder>
                  <w:docPart w:val="89B9B721C9154185AE9021781C7D3F78"/>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A97587" w:rsidRDefault="00A97587" w:rsidP="00A97587">
                    <w:pPr>
                      <w:pStyle w:val="NoSpacing"/>
                      <w:jc w:val="center"/>
                      <w:rPr>
                        <w:b/>
                        <w:bCs/>
                      </w:rPr>
                    </w:pPr>
                    <w:r w:rsidRPr="00A97587">
                      <w:rPr>
                        <w:rFonts w:ascii="Arial" w:hAnsi="Arial" w:cs="Arial"/>
                        <w:b/>
                        <w:bCs/>
                        <w:sz w:val="24"/>
                        <w:szCs w:val="24"/>
                        <w:lang w:val="en-GB"/>
                      </w:rPr>
                      <w:t>Callum Samuel - ID : 1801402</w:t>
                    </w:r>
                  </w:p>
                </w:tc>
              </w:sdtContent>
            </w:sdt>
          </w:tr>
          <w:tr w:rsidR="00A97587">
            <w:trPr>
              <w:trHeight w:val="360"/>
              <w:jc w:val="center"/>
            </w:trPr>
            <w:tc>
              <w:tcPr>
                <w:tcW w:w="5000" w:type="pct"/>
                <w:vAlign w:val="center"/>
              </w:tcPr>
              <w:p w:rsidR="00A97587" w:rsidRPr="00A97587" w:rsidRDefault="00A97587">
                <w:pPr>
                  <w:pStyle w:val="NoSpacing"/>
                  <w:jc w:val="center"/>
                  <w:rPr>
                    <w:rFonts w:ascii="Arial" w:hAnsi="Arial" w:cs="Arial"/>
                    <w:b/>
                    <w:bCs/>
                    <w:sz w:val="24"/>
                    <w:szCs w:val="24"/>
                  </w:rPr>
                </w:pPr>
                <w:r w:rsidRPr="00A97587">
                  <w:rPr>
                    <w:rFonts w:ascii="Arial" w:hAnsi="Arial" w:cs="Arial"/>
                    <w:b/>
                    <w:bCs/>
                    <w:sz w:val="24"/>
                    <w:szCs w:val="24"/>
                  </w:rPr>
                  <w:t>Deadline - 08.11.19</w:t>
                </w:r>
              </w:p>
            </w:tc>
          </w:tr>
        </w:tbl>
        <w:p w:rsidR="00A97587" w:rsidRDefault="00A97587"/>
        <w:p w:rsidR="00A97587" w:rsidRDefault="00A97587"/>
        <w:tbl>
          <w:tblPr>
            <w:tblpPr w:leftFromText="187" w:rightFromText="187" w:horzAnchor="margin" w:tblpXSpec="center" w:tblpYSpec="bottom"/>
            <w:tblW w:w="5000" w:type="pct"/>
            <w:tblLook w:val="04A0"/>
          </w:tblPr>
          <w:tblGrid>
            <w:gridCol w:w="9242"/>
          </w:tblGrid>
          <w:tr w:rsidR="00A97587">
            <w:tc>
              <w:tcPr>
                <w:tcW w:w="5000" w:type="pct"/>
              </w:tcPr>
              <w:p w:rsidR="00A97587" w:rsidRDefault="00A97587">
                <w:pPr>
                  <w:pStyle w:val="NoSpacing"/>
                </w:pPr>
              </w:p>
            </w:tc>
          </w:tr>
        </w:tbl>
        <w:p w:rsidR="00A97587" w:rsidRDefault="00A97587"/>
        <w:p w:rsidR="00A97587" w:rsidRDefault="00A97587">
          <w:r>
            <w:br w:type="page"/>
          </w:r>
        </w:p>
      </w:sdtContent>
    </w:sdt>
    <w:p w:rsidR="00914EA8" w:rsidRPr="00C7414F" w:rsidRDefault="00914EA8" w:rsidP="00914EA8">
      <w:pPr>
        <w:spacing w:after="0" w:line="480" w:lineRule="auto"/>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The Police and Criminal Evidence Act of 1984 (PACE 1984) was the transformative legislation that essentially reinvented the wheel with regards to Police codes of practice. The legislation introduced mandatory steps that the Police had to take to not only make an arrest lawful, but also layout the safety of a human rights net that enabled both officer’s safety and the safety of suspects (Police and Criminal Evidence Act 1984).</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There are many differing opinions as to why this legislation was introduced. For example, </w:t>
      </w:r>
      <w:proofErr w:type="spellStart"/>
      <w:r w:rsidRPr="00D84543">
        <w:rPr>
          <w:rFonts w:ascii="Arial" w:eastAsia="Times New Roman" w:hAnsi="Arial" w:cs="Arial"/>
          <w:color w:val="000000"/>
          <w:sz w:val="24"/>
          <w:szCs w:val="24"/>
        </w:rPr>
        <w:t>Bottomley</w:t>
      </w:r>
      <w:proofErr w:type="spellEnd"/>
      <w:r w:rsidRPr="00D84543">
        <w:rPr>
          <w:rFonts w:ascii="Arial" w:eastAsia="Times New Roman" w:hAnsi="Arial" w:cs="Arial"/>
          <w:color w:val="000000"/>
          <w:sz w:val="24"/>
          <w:szCs w:val="24"/>
        </w:rPr>
        <w:t xml:space="preserve"> </w:t>
      </w:r>
      <w:r w:rsidR="00F07620">
        <w:rPr>
          <w:rFonts w:ascii="Arial" w:eastAsia="Times New Roman" w:hAnsi="Arial" w:cs="Arial"/>
          <w:color w:val="000000"/>
          <w:sz w:val="24"/>
          <w:szCs w:val="24"/>
        </w:rPr>
        <w:t>(</w:t>
      </w:r>
      <w:proofErr w:type="spellStart"/>
      <w:r w:rsidR="00F07620">
        <w:rPr>
          <w:rFonts w:ascii="Arial" w:eastAsia="Times New Roman" w:hAnsi="Arial" w:cs="Arial"/>
          <w:color w:val="000000"/>
          <w:sz w:val="24"/>
          <w:szCs w:val="24"/>
        </w:rPr>
        <w:t>Bottomley</w:t>
      </w:r>
      <w:proofErr w:type="spellEnd"/>
      <w:r w:rsidR="00F07620">
        <w:rPr>
          <w:rFonts w:ascii="Arial" w:eastAsia="Times New Roman" w:hAnsi="Arial" w:cs="Arial"/>
          <w:color w:val="000000"/>
          <w:sz w:val="24"/>
          <w:szCs w:val="24"/>
        </w:rPr>
        <w:t xml:space="preserve">, </w:t>
      </w:r>
      <w:r w:rsidRPr="00D84543">
        <w:rPr>
          <w:rFonts w:ascii="Arial" w:eastAsia="Times New Roman" w:hAnsi="Arial" w:cs="Arial"/>
          <w:color w:val="000000"/>
          <w:sz w:val="24"/>
          <w:szCs w:val="24"/>
        </w:rPr>
        <w:t>1991) states PACE (1984) was introduced as a counterbalance to the increase in overall police powers, whilst Murphy (2017) suggests the legislation was introduced as a response to the Royal Commission on Criminal Procedure in 1981, and further comments that the purpose of PACE (1984) was to ‘unify police powers under one code of practise and to carefully balance the rights of the individual against the powers of the police.’ (Murphy, 2017). </w:t>
      </w:r>
    </w:p>
    <w:p w:rsidR="00914EA8" w:rsidRPr="00D84543" w:rsidRDefault="00914EA8" w:rsidP="00914EA8">
      <w:pPr>
        <w:spacing w:after="0" w:line="480" w:lineRule="auto"/>
        <w:rPr>
          <w:rFonts w:ascii="Arial" w:eastAsia="Times New Roman" w:hAnsi="Arial" w:cs="Arial"/>
          <w:sz w:val="24"/>
          <w:szCs w:val="24"/>
        </w:rPr>
      </w:pPr>
    </w:p>
    <w:p w:rsidR="00914EA8" w:rsidRPr="0054517C" w:rsidRDefault="00914EA8" w:rsidP="00914EA8">
      <w:pPr>
        <w:spacing w:after="0" w:line="480" w:lineRule="auto"/>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The potential opposite perspective as to why the legislation was introduced is noted by Benz (2012) where they argue the legislation was a necessity to fundamentally balance what was at the time, a huge imbalance between the civil liberties of the public and the powers the police possessed in the 1980’s and years prior. This perspective on the apparent imbalance seen within the decades at the time is further highlighted by the organisation Law Teacher (Law Teacher, 2019) which states the Act was largely created as a response to growing fears that there was a loss in confidence from the public towards the Criminal Justice System. Contributing factors to this claim are stated to be the national media pressure placed on the Justice System and the Police following the significant volume of cases where accused </w:t>
      </w:r>
      <w:r w:rsidRPr="00D84543">
        <w:rPr>
          <w:rFonts w:ascii="Arial" w:eastAsia="Times New Roman" w:hAnsi="Arial" w:cs="Arial"/>
          <w:color w:val="000000"/>
          <w:sz w:val="24"/>
          <w:szCs w:val="24"/>
        </w:rPr>
        <w:lastRenderedPageBreak/>
        <w:t>terrorist convictions were quashed due miscarriages of justice during the 1970s, notably the Birmingham Six and the Guildford Four cases (BBC, 2001).</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Within this assignment the success and limitations of the Police and Criminal Evidence Act 1984 in preventing miscarriages of justice will be observed and evaluated not only in practice, but by also looking at historically cases where this legislation would have arguably prevented any wrongdoing and mistreatment of suspects.</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When analysing the impact of the Police and Criminal Evidence Act (1984) towards miscarriages of justice, it is clear this Act required a clear understanding of what a miscarriage of justice in itself is. </w:t>
      </w:r>
      <w:proofErr w:type="spellStart"/>
      <w:r w:rsidRPr="00D84543">
        <w:rPr>
          <w:rFonts w:ascii="Arial" w:eastAsia="Times New Roman" w:hAnsi="Arial" w:cs="Arial"/>
          <w:color w:val="000000"/>
          <w:sz w:val="24"/>
          <w:szCs w:val="24"/>
        </w:rPr>
        <w:t>McConville</w:t>
      </w:r>
      <w:proofErr w:type="spellEnd"/>
      <w:r w:rsidRPr="00D84543">
        <w:rPr>
          <w:rFonts w:ascii="Arial" w:eastAsia="Times New Roman" w:hAnsi="Arial" w:cs="Arial"/>
          <w:color w:val="000000"/>
          <w:sz w:val="24"/>
          <w:szCs w:val="24"/>
        </w:rPr>
        <w:t xml:space="preserve"> and Wilson (2002) explore the meaning of what a miscarriage of justice is and conclude that such a thing happens when a citizen, whether they are convicts, suspects or defendants have their rights breached by the state. This breach of rights can occur in multiple forms ranging from: outright bias at any stage of a criminal investigation or trial process, laws unlawfully and unjustly applied, non-disclosure of evidence by police or prosecution, fabrication of evidence, and even mistaken identity (</w:t>
      </w:r>
      <w:proofErr w:type="spellStart"/>
      <w:r w:rsidRPr="00D84543">
        <w:rPr>
          <w:rFonts w:ascii="Arial" w:eastAsia="Times New Roman" w:hAnsi="Arial" w:cs="Arial"/>
          <w:color w:val="000000"/>
          <w:sz w:val="24"/>
          <w:szCs w:val="24"/>
        </w:rPr>
        <w:t>McConville</w:t>
      </w:r>
      <w:proofErr w:type="spellEnd"/>
      <w:r w:rsidRPr="00D84543">
        <w:rPr>
          <w:rFonts w:ascii="Arial" w:eastAsia="Times New Roman" w:hAnsi="Arial" w:cs="Arial"/>
          <w:color w:val="000000"/>
          <w:sz w:val="24"/>
          <w:szCs w:val="24"/>
        </w:rPr>
        <w:t xml:space="preserve"> and Wilson, 2002) , (BBC, 2001).</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Before the creat</w:t>
      </w:r>
      <w:r w:rsidR="00484A3D">
        <w:rPr>
          <w:rFonts w:ascii="Arial" w:eastAsia="Times New Roman" w:hAnsi="Arial" w:cs="Arial"/>
          <w:color w:val="000000"/>
          <w:sz w:val="24"/>
          <w:szCs w:val="24"/>
        </w:rPr>
        <w:t>ion and eventual Royal Ascent of</w:t>
      </w:r>
      <w:r w:rsidRPr="00D84543">
        <w:rPr>
          <w:rFonts w:ascii="Arial" w:eastAsia="Times New Roman" w:hAnsi="Arial" w:cs="Arial"/>
          <w:color w:val="000000"/>
          <w:sz w:val="24"/>
          <w:szCs w:val="24"/>
        </w:rPr>
        <w:t xml:space="preserve"> the Police and Criminal Evidence Act (1984), suspect questioning and the general principles of the Police were derived from what was known as Judges Rule. This gave the Police no specified limit on how long a suspect can be questioned, as stated in the 1966 Journal of Criminology when describing how the Police were at the time, governed by Judges Rule: ‘a police officer can ask questions without administering a caution. Indeed, no time limit is laid </w:t>
      </w:r>
      <w:r w:rsidRPr="00D84543">
        <w:rPr>
          <w:rFonts w:ascii="Arial" w:eastAsia="Times New Roman" w:hAnsi="Arial" w:cs="Arial"/>
          <w:color w:val="000000"/>
          <w:sz w:val="24"/>
          <w:szCs w:val="24"/>
        </w:rPr>
        <w:lastRenderedPageBreak/>
        <w:t>down as to how long he can continue questioning a suspect.’ (Johnston, 1966). This legal freedom with regards to how long a suspect can be questioned was further reinforced by the lack of legal oversight or representation required for the Police to question suspects. The lack of legal representation and no lawful limit on detention or questioning allowed the potential for leaving an innocent suspect with little to no legal knowledge, trapped in a room being questioned for potentially hours on end - what would now be called and considered, a miscarriage of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According to Law Teacher (2013) it was this environment and those circumstances in the form of the freedom of police powers that the police at the time possessed, that enabled the amount of miscarriages of justice seen in the entirety of the 19th Century, leading up until the eventual creation of the Police and Criminal Evidence Act 1984.</w:t>
      </w:r>
    </w:p>
    <w:p w:rsidR="00914EA8" w:rsidRPr="00D84543" w:rsidRDefault="00914EA8" w:rsidP="00914EA8">
      <w:pPr>
        <w:spacing w:after="0" w:line="480" w:lineRule="auto"/>
        <w:rPr>
          <w:rFonts w:ascii="Arial" w:eastAsia="Times New Roman" w:hAnsi="Arial" w:cs="Arial"/>
          <w:sz w:val="24"/>
          <w:szCs w:val="24"/>
        </w:rPr>
      </w:pPr>
    </w:p>
    <w:p w:rsidR="007A4CEA"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Benz (2012) states that during the 1970s high profile cases such as the Birmingham Six and others, paved the way for a spotlight to be placed on the issues surrounding the police and the glaring problem being the absence of police codes of conduct and the need for PACE (1984). This path gave way to what potentially might have been insignificant cases to be further questioned and eventually overturned.</w:t>
      </w:r>
    </w:p>
    <w:p w:rsidR="007A4CEA" w:rsidRDefault="007A4CEA"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There are many significant cases that highlight miscarriages of justice pre-pace however there are two cases that will be focused on. The Stefan </w:t>
      </w:r>
      <w:proofErr w:type="spellStart"/>
      <w:r w:rsidRPr="00D84543">
        <w:rPr>
          <w:rFonts w:ascii="Arial" w:eastAsia="Times New Roman" w:hAnsi="Arial" w:cs="Arial"/>
          <w:color w:val="000000"/>
          <w:sz w:val="24"/>
          <w:szCs w:val="24"/>
        </w:rPr>
        <w:t>Kiszko</w:t>
      </w:r>
      <w:proofErr w:type="spellEnd"/>
      <w:r w:rsidRPr="00D84543">
        <w:rPr>
          <w:rFonts w:ascii="Arial" w:eastAsia="Times New Roman" w:hAnsi="Arial" w:cs="Arial"/>
          <w:color w:val="000000"/>
          <w:sz w:val="24"/>
          <w:szCs w:val="24"/>
        </w:rPr>
        <w:t xml:space="preserve"> (BBC News, 2007) and Judith Ward (Innocent, 2016) cases are both described as some of the most severe miscarriages of justice in British history with both cases highlighting </w:t>
      </w:r>
      <w:r w:rsidRPr="00D84543">
        <w:rPr>
          <w:rFonts w:ascii="Arial" w:eastAsia="Times New Roman" w:hAnsi="Arial" w:cs="Arial"/>
          <w:color w:val="000000"/>
          <w:sz w:val="24"/>
          <w:szCs w:val="24"/>
        </w:rPr>
        <w:lastRenderedPageBreak/>
        <w:t>what would now be considered serious failings and unlawful police methods by modern standards.</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With regards to Stefan </w:t>
      </w:r>
      <w:proofErr w:type="spellStart"/>
      <w:r w:rsidRPr="00D84543">
        <w:rPr>
          <w:rFonts w:ascii="Arial" w:eastAsia="Times New Roman" w:hAnsi="Arial" w:cs="Arial"/>
          <w:color w:val="000000"/>
          <w:sz w:val="24"/>
          <w:szCs w:val="24"/>
        </w:rPr>
        <w:t>Kiszko</w:t>
      </w:r>
      <w:proofErr w:type="spellEnd"/>
      <w:r w:rsidRPr="00D84543">
        <w:rPr>
          <w:rFonts w:ascii="Arial" w:eastAsia="Times New Roman" w:hAnsi="Arial" w:cs="Arial"/>
          <w:color w:val="000000"/>
          <w:sz w:val="24"/>
          <w:szCs w:val="24"/>
        </w:rPr>
        <w:t>, BBC News (2007) repor</w:t>
      </w:r>
      <w:r w:rsidR="009145E5">
        <w:rPr>
          <w:rFonts w:ascii="Arial" w:eastAsia="Times New Roman" w:hAnsi="Arial" w:cs="Arial"/>
          <w:color w:val="000000"/>
          <w:sz w:val="24"/>
          <w:szCs w:val="24"/>
        </w:rPr>
        <w:t xml:space="preserve">ted that Stefan was arrested and placed in </w:t>
      </w:r>
      <w:r w:rsidRPr="00D84543">
        <w:rPr>
          <w:rFonts w:ascii="Arial" w:eastAsia="Times New Roman" w:hAnsi="Arial" w:cs="Arial"/>
          <w:color w:val="000000"/>
          <w:sz w:val="24"/>
          <w:szCs w:val="24"/>
        </w:rPr>
        <w:t xml:space="preserve">custody for two days and had no solicitor present throughout his stay. After 48 hours the Police said he had confessed to the murder of Lesley </w:t>
      </w:r>
      <w:proofErr w:type="spellStart"/>
      <w:r w:rsidRPr="00D84543">
        <w:rPr>
          <w:rFonts w:ascii="Arial" w:eastAsia="Times New Roman" w:hAnsi="Arial" w:cs="Arial"/>
          <w:color w:val="000000"/>
          <w:sz w:val="24"/>
          <w:szCs w:val="24"/>
        </w:rPr>
        <w:t>Molseed</w:t>
      </w:r>
      <w:proofErr w:type="spellEnd"/>
      <w:r w:rsidRPr="00D84543">
        <w:rPr>
          <w:rFonts w:ascii="Arial" w:eastAsia="Times New Roman" w:hAnsi="Arial" w:cs="Arial"/>
          <w:color w:val="000000"/>
          <w:sz w:val="24"/>
          <w:szCs w:val="24"/>
        </w:rPr>
        <w:t xml:space="preserve"> but Stefan later claimed this confession was bullied out of him and he only did so out of the promise he could return home to his family (BBC News, 2007). Following a family led campaign, an investigation on the conduct of the trial was launched and eventually concluded that not only the witness testimonies of three young girls being exposed to by Stefan was false, but also the murder victim's clothing was found to have semen, something Stefan could not produce due to infertility.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The 30 Year Secret, (2008) a documentary about the case, talked about the pressures the Police had from outside factors. As a result of this documentary and the Stefan </w:t>
      </w:r>
      <w:proofErr w:type="spellStart"/>
      <w:r w:rsidRPr="00D84543">
        <w:rPr>
          <w:rFonts w:ascii="Arial" w:eastAsia="Times New Roman" w:hAnsi="Arial" w:cs="Arial"/>
          <w:color w:val="000000"/>
          <w:sz w:val="24"/>
          <w:szCs w:val="24"/>
        </w:rPr>
        <w:t>Kiszko</w:t>
      </w:r>
      <w:proofErr w:type="spellEnd"/>
      <w:r w:rsidRPr="00D84543">
        <w:rPr>
          <w:rFonts w:ascii="Arial" w:eastAsia="Times New Roman" w:hAnsi="Arial" w:cs="Arial"/>
          <w:color w:val="000000"/>
          <w:sz w:val="24"/>
          <w:szCs w:val="24"/>
        </w:rPr>
        <w:t xml:space="preserve"> investigation, it was revealed the part that the media as well as the power of politics was significant, and played an influential role with what was supposed to be a professional and independent police investigation.</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Serious failings were also observed in the Judith Ward case and were later found in the post conviction investigation. Innocent (2016) states Judith Ward’s mental health problems were not put on record for her original trial, factors that would have potentially resulted in her inability to stand trial. </w:t>
      </w:r>
      <w:r w:rsidR="007A4CEA">
        <w:rPr>
          <w:rFonts w:ascii="Arial" w:eastAsia="Times New Roman" w:hAnsi="Arial" w:cs="Arial"/>
          <w:color w:val="000000"/>
          <w:sz w:val="24"/>
          <w:szCs w:val="24"/>
        </w:rPr>
        <w:t>The source (</w:t>
      </w:r>
      <w:r w:rsidRPr="00D84543">
        <w:rPr>
          <w:rFonts w:ascii="Arial" w:eastAsia="Times New Roman" w:hAnsi="Arial" w:cs="Arial"/>
          <w:color w:val="000000"/>
          <w:sz w:val="24"/>
          <w:szCs w:val="24"/>
        </w:rPr>
        <w:t>Innocen</w:t>
      </w:r>
      <w:r w:rsidR="007A4CEA">
        <w:rPr>
          <w:rFonts w:ascii="Arial" w:eastAsia="Times New Roman" w:hAnsi="Arial" w:cs="Arial"/>
          <w:color w:val="000000"/>
          <w:sz w:val="24"/>
          <w:szCs w:val="24"/>
        </w:rPr>
        <w:t xml:space="preserve">t, </w:t>
      </w:r>
      <w:r w:rsidRPr="00D84543">
        <w:rPr>
          <w:rFonts w:ascii="Arial" w:eastAsia="Times New Roman" w:hAnsi="Arial" w:cs="Arial"/>
          <w:color w:val="000000"/>
          <w:sz w:val="24"/>
          <w:szCs w:val="24"/>
        </w:rPr>
        <w:t xml:space="preserve">2016) further comments that Judith’s multiple confessions were carefully reconstructed by the </w:t>
      </w:r>
      <w:r w:rsidRPr="00D84543">
        <w:rPr>
          <w:rFonts w:ascii="Arial" w:eastAsia="Times New Roman" w:hAnsi="Arial" w:cs="Arial"/>
          <w:color w:val="000000"/>
          <w:sz w:val="24"/>
          <w:szCs w:val="24"/>
        </w:rPr>
        <w:lastRenderedPageBreak/>
        <w:t>police and the prosecution to provide a version that would more likely result in a conviction.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Innocent (2016) continues by saying the inquiry also found the prosecution purposefully concealed information from the defence, as well as crucial forensic evidence being unreliable due to the substance nitro-glycerine found on Judith’s clothing - which was argued as proof of guilt -  was later found to have been easily and innocently obtained from shoe polish, a fact not disclosed to the defence or the jury (Innocent 2016).</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Despite the wrongdoings and sadness of these cases, Law Teacher (2019) argues these cases showed what investigations should not do, and eventually used these failings to form the backbone of the Police and Criminal Evidence Act and how to lawfully carry out investigation and trials.</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Another success in preventing miscarriages of justice was audio-visual recordings. Dixon (2009) argues the mandatory installation of audio and video recording systems has made a huge contribution in preventing miscarriages of justice in both the U.K and western parts of the world. Dixon (2009) continues by stating this requirement which was brought in by PACE has allowed the Police as well as the prosecution to dispute countless cases of illegal conduct and has essentially streamlined the criminal justice system when dealing with accusations against the police, which used to be a clogged system before this implementation. </w:t>
      </w:r>
    </w:p>
    <w:p w:rsidR="00914EA8" w:rsidRPr="00D84543" w:rsidRDefault="00914EA8" w:rsidP="00914EA8">
      <w:pPr>
        <w:spacing w:after="0" w:line="480" w:lineRule="auto"/>
        <w:rPr>
          <w:rFonts w:ascii="Arial" w:eastAsia="Times New Roman" w:hAnsi="Arial" w:cs="Arial"/>
          <w:sz w:val="24"/>
          <w:szCs w:val="24"/>
        </w:rPr>
      </w:pPr>
    </w:p>
    <w:p w:rsidR="00914EA8" w:rsidRDefault="00914EA8" w:rsidP="00914EA8">
      <w:pPr>
        <w:spacing w:after="0" w:line="480" w:lineRule="auto"/>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It could be argued that Dixon (2009) essentially states that by installing cameras it not only deters illegal police conduct -  which would in itself be a miscarriage of justice -  but it also deters suspects from making severe accusations of misconduct, accusations if taken seriously and eventually incorrectly acted on, would then itself become a miscarriage of justice for the officers accused. To conclude this point would be to say the introduction of audio and visual record keeping has been a key factor in preventing miscarriages of justice and shows one of the successes of PACE in relation to this issue.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Although both the successes and the hypothesised successes of PACE (1984) in historical cases has been observed, it is important to analyse the limitations of this Act in regards to preventing miscarriages of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One of the most widely debated and talked about aspect of policing is the independence and impartiality of the custody officer. The role of the custody officer as described by PACE </w:t>
      </w:r>
      <w:r w:rsidR="00D1679B">
        <w:rPr>
          <w:rFonts w:ascii="Arial" w:eastAsia="Times New Roman" w:hAnsi="Arial" w:cs="Arial"/>
          <w:color w:val="000000"/>
          <w:sz w:val="24"/>
          <w:szCs w:val="24"/>
        </w:rPr>
        <w:t xml:space="preserve">(1984) </w:t>
      </w:r>
      <w:r w:rsidRPr="00D84543">
        <w:rPr>
          <w:rFonts w:ascii="Arial" w:eastAsia="Times New Roman" w:hAnsi="Arial" w:cs="Arial"/>
          <w:color w:val="000000"/>
          <w:sz w:val="24"/>
          <w:szCs w:val="24"/>
        </w:rPr>
        <w:t>itself and by Benz (2012) is to firstly authorise any detention but to also make sure that all the rights of a suspect are respected and not infringed upon.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PACE (1984) further expands on this by stating it is the duty of the custody officer to make a fair assessment on the lawfulness of an individual's arrest and determine if detention is not only needed, but required for a criminal investigation. Due to the nature of the position, it is the officer’s duty to stay impartial and independent of any and all police investigations that may involve the suspect, and therefore has to make </w:t>
      </w:r>
      <w:r w:rsidRPr="00D84543">
        <w:rPr>
          <w:rFonts w:ascii="Arial" w:eastAsia="Times New Roman" w:hAnsi="Arial" w:cs="Arial"/>
          <w:color w:val="000000"/>
          <w:sz w:val="24"/>
          <w:szCs w:val="24"/>
        </w:rPr>
        <w:lastRenderedPageBreak/>
        <w:t>a fair judgement on the individual based on any circumstantial factors (Police and Criminal Evidence Act, 1984).</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The true independence and non-biased duty of a custody officer is disputed by </w:t>
      </w:r>
      <w:proofErr w:type="spellStart"/>
      <w:r w:rsidRPr="00D84543">
        <w:rPr>
          <w:rFonts w:ascii="Arial" w:eastAsia="Times New Roman" w:hAnsi="Arial" w:cs="Arial"/>
          <w:color w:val="000000"/>
          <w:sz w:val="24"/>
          <w:szCs w:val="24"/>
        </w:rPr>
        <w:t>Mylonaki</w:t>
      </w:r>
      <w:proofErr w:type="spellEnd"/>
      <w:r w:rsidRPr="00D84543">
        <w:rPr>
          <w:rFonts w:ascii="Arial" w:eastAsia="Times New Roman" w:hAnsi="Arial" w:cs="Arial"/>
          <w:color w:val="000000"/>
          <w:sz w:val="24"/>
          <w:szCs w:val="24"/>
        </w:rPr>
        <w:t xml:space="preserve"> and Burton (2010) as they found during their research that only one percent of cases were refused detention authorisation, a figure they believe is far too low considering the amount of cases where no further action is taken towards detained suspects (</w:t>
      </w:r>
      <w:proofErr w:type="spellStart"/>
      <w:r w:rsidRPr="00D84543">
        <w:rPr>
          <w:rFonts w:ascii="Arial" w:eastAsia="Times New Roman" w:hAnsi="Arial" w:cs="Arial"/>
          <w:color w:val="000000"/>
          <w:sz w:val="24"/>
          <w:szCs w:val="24"/>
        </w:rPr>
        <w:t>Mylonaki</w:t>
      </w:r>
      <w:proofErr w:type="spellEnd"/>
      <w:r w:rsidRPr="00D84543">
        <w:rPr>
          <w:rFonts w:ascii="Arial" w:eastAsia="Times New Roman" w:hAnsi="Arial" w:cs="Arial"/>
          <w:color w:val="000000"/>
          <w:sz w:val="24"/>
          <w:szCs w:val="24"/>
        </w:rPr>
        <w:t xml:space="preserve"> and Burton, 2010).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Another limitation to PACE 1984 that is debated and talked about is the police’s apparent historical and traditional institutional goal of seeking quick and easy convictions, in hopes of closing cases.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Although PACE (1984) made leaps and bounds with regards to remaking police codes of practice, there are some who believe the historic goal style of policing in the form of closing investigations by locking down a conviction, is too institutional to the police’s existence, and PACE being unable to completely remove that factor is seen as a limitation to completely preventing miscarriages of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Potentially the most famous and still talked about case of miscarriage of justice notably occurred not long into the new PACE era of policing, the case being that of Cardiff Three / Five, or the death of Lynette White in 1988. The death and subsequent scandal surrounding the investigation into the death of Lynette White, Jackson (2018) describes as being ‘the most notorious </w:t>
      </w:r>
      <w:r w:rsidR="007911FD" w:rsidRPr="00D84543">
        <w:rPr>
          <w:rFonts w:ascii="Arial" w:eastAsia="Times New Roman" w:hAnsi="Arial" w:cs="Arial"/>
          <w:color w:val="000000"/>
          <w:sz w:val="24"/>
          <w:szCs w:val="24"/>
        </w:rPr>
        <w:t>travesty</w:t>
      </w:r>
      <w:r w:rsidRPr="00D84543">
        <w:rPr>
          <w:rFonts w:ascii="Arial" w:eastAsia="Times New Roman" w:hAnsi="Arial" w:cs="Arial"/>
          <w:color w:val="000000"/>
          <w:sz w:val="24"/>
          <w:szCs w:val="24"/>
        </w:rPr>
        <w:t xml:space="preserve"> in British legal history and its largest police corruption trial,’.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Jackson (2018) further surmises that everything that could have gone wrong in an investigation, went wrong tenfold for this case. One of the reasons why some believe the police continues to be institutionally goal orientated is down to this case as for many Ja</w:t>
      </w:r>
      <w:r w:rsidR="00484A3D">
        <w:rPr>
          <w:rFonts w:ascii="Arial" w:eastAsia="Times New Roman" w:hAnsi="Arial" w:cs="Arial"/>
          <w:color w:val="000000"/>
          <w:sz w:val="24"/>
          <w:szCs w:val="24"/>
        </w:rPr>
        <w:t>ckson (2018) claims, this case damaged</w:t>
      </w:r>
      <w:r w:rsidRPr="00D84543">
        <w:rPr>
          <w:rFonts w:ascii="Arial" w:eastAsia="Times New Roman" w:hAnsi="Arial" w:cs="Arial"/>
          <w:color w:val="000000"/>
          <w:sz w:val="24"/>
          <w:szCs w:val="24"/>
        </w:rPr>
        <w:t xml:space="preserve"> public confidence in the police, leading to many protests and campaigns demanding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Due to the nature of the entire scandal, the case placed a spotlight on the issues of miscarriages of justice as well as the limitations in the Police and Criminal Evidence Act 1984 (PACE 1984) in preventing them entirely. Not only did the wrong people get charged for a crime they did not commit, the police themselves tried to frame events in a way that would not only cover themselves, but make the innocent people accu</w:t>
      </w:r>
      <w:r w:rsidR="00D11648">
        <w:rPr>
          <w:rFonts w:ascii="Arial" w:eastAsia="Times New Roman" w:hAnsi="Arial" w:cs="Arial"/>
          <w:color w:val="000000"/>
          <w:sz w:val="24"/>
          <w:szCs w:val="24"/>
        </w:rPr>
        <w:t>sed to be involved, look guilty (Jackson, 2018).</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Questionable and notably events in this investigation include: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Key witnesses changing statements from knowing nothing about the murder</w:t>
      </w:r>
      <w:r w:rsidR="00D11648">
        <w:rPr>
          <w:rFonts w:ascii="Arial" w:eastAsia="Times New Roman" w:hAnsi="Arial" w:cs="Arial"/>
          <w:color w:val="000000"/>
          <w:sz w:val="24"/>
          <w:szCs w:val="24"/>
        </w:rPr>
        <w:t>,</w:t>
      </w:r>
      <w:r w:rsidRPr="00D84543">
        <w:rPr>
          <w:rFonts w:ascii="Arial" w:eastAsia="Times New Roman" w:hAnsi="Arial" w:cs="Arial"/>
          <w:color w:val="000000"/>
          <w:sz w:val="24"/>
          <w:szCs w:val="24"/>
        </w:rPr>
        <w:t xml:space="preserve"> to wi</w:t>
      </w:r>
      <w:r w:rsidR="00D11648">
        <w:rPr>
          <w:rFonts w:ascii="Arial" w:eastAsia="Times New Roman" w:hAnsi="Arial" w:cs="Arial"/>
          <w:color w:val="000000"/>
          <w:sz w:val="24"/>
          <w:szCs w:val="24"/>
        </w:rPr>
        <w:t>tnesses accusing the suspects of</w:t>
      </w:r>
      <w:r w:rsidRPr="00D84543">
        <w:rPr>
          <w:rFonts w:ascii="Arial" w:eastAsia="Times New Roman" w:hAnsi="Arial" w:cs="Arial"/>
          <w:color w:val="000000"/>
          <w:sz w:val="24"/>
          <w:szCs w:val="24"/>
        </w:rPr>
        <w:t xml:space="preserve"> being at the scene of the crime.</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Yusef</w:t>
      </w:r>
      <w:proofErr w:type="spellEnd"/>
      <w:r w:rsidRPr="00D84543">
        <w:rPr>
          <w:rFonts w:ascii="Arial" w:eastAsia="Times New Roman" w:hAnsi="Arial" w:cs="Arial"/>
          <w:color w:val="000000"/>
          <w:sz w:val="24"/>
          <w:szCs w:val="24"/>
        </w:rPr>
        <w:t xml:space="preserve"> </w:t>
      </w:r>
      <w:proofErr w:type="spellStart"/>
      <w:r w:rsidRPr="00D84543">
        <w:rPr>
          <w:rFonts w:ascii="Arial" w:eastAsia="Times New Roman" w:hAnsi="Arial" w:cs="Arial"/>
          <w:color w:val="000000"/>
          <w:sz w:val="24"/>
          <w:szCs w:val="24"/>
        </w:rPr>
        <w:t>Abdullahi’s</w:t>
      </w:r>
      <w:proofErr w:type="spellEnd"/>
      <w:r w:rsidRPr="00D84543">
        <w:rPr>
          <w:rFonts w:ascii="Arial" w:eastAsia="Times New Roman" w:hAnsi="Arial" w:cs="Arial"/>
          <w:color w:val="000000"/>
          <w:sz w:val="24"/>
          <w:szCs w:val="24"/>
        </w:rPr>
        <w:t xml:space="preserve"> conviction despite thirteen witnesses stating he was working ten miles away from the scene of the crime.</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Stephen Miller put through nineteen interviews over the course of five days, saying three hundred times that he was innocent.</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Interview tapes were not shown in the original trial but were eventually used in trial against officers to show levels of bullying against suspects.</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Original key witnesses admit they were harassed and forced to lie in their witness statements, saying they had been threatened that they would be convicted of the murder if they did not provide appropriate statements. One witness was supposedly told her baby would be taken away and sent to an abusive care home.</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All parties accused of perverting the course of justice pleaded not guilty and remained adamant they did nothing wrong.</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After prosecution files appeared to have been destroyed or unaccounted for - causing grounds for failure to disclose evidence -,  trial is collapsed by judge stating a fair trial could not be guaranteed therefore all parties ranging from the police officers in charge of the investigation, support staff and false witnesses declared not guilty.</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Missing files are found seven weeks later, after the case is dismissed and everyone is cleared of charges.</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When the public called for an inquiry into what went wrong, the calls were dismissed and a review was carried out instead. This concluded with the statement that there was simply human error and no illegal conduct for the trial’s collapse.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(Jackson, 2018 and Campbell, 2012)</w:t>
      </w:r>
    </w:p>
    <w:p w:rsidR="00914EA8" w:rsidRPr="00D84543" w:rsidRDefault="00914EA8" w:rsidP="00914EA8">
      <w:pPr>
        <w:spacing w:after="240" w:line="480" w:lineRule="auto"/>
        <w:rPr>
          <w:rFonts w:ascii="Arial" w:eastAsia="Times New Roman" w:hAnsi="Arial" w:cs="Arial"/>
          <w:sz w:val="24"/>
          <w:szCs w:val="24"/>
        </w:rPr>
      </w:pPr>
    </w:p>
    <w:p w:rsidR="006D6883" w:rsidRDefault="00914EA8" w:rsidP="00914EA8">
      <w:pPr>
        <w:spacing w:after="0" w:line="480" w:lineRule="auto"/>
        <w:rPr>
          <w:rFonts w:ascii="Arial" w:eastAsia="Times New Roman" w:hAnsi="Arial" w:cs="Arial"/>
          <w:color w:val="000000"/>
          <w:sz w:val="24"/>
          <w:szCs w:val="24"/>
        </w:rPr>
      </w:pPr>
      <w:r w:rsidRPr="00D84543">
        <w:rPr>
          <w:rFonts w:ascii="Arial" w:eastAsia="Times New Roman" w:hAnsi="Arial" w:cs="Arial"/>
          <w:color w:val="000000"/>
          <w:sz w:val="24"/>
          <w:szCs w:val="24"/>
        </w:rPr>
        <w:t>The role of the custody officer, the accusation of goal oriented policing still being institutional, and the case of Lynette White, are only some examples of what people feel are the major limitations of the Police and Criminal Evidence Act 1984 with regards to perverting the course of justice.</w:t>
      </w:r>
    </w:p>
    <w:p w:rsidR="00914EA8"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lastRenderedPageBreak/>
        <w:t xml:space="preserve"> </w:t>
      </w:r>
    </w:p>
    <w:p w:rsidR="006D6883" w:rsidRDefault="006D6883" w:rsidP="00914EA8">
      <w:pPr>
        <w:spacing w:after="0" w:line="480" w:lineRule="auto"/>
        <w:rPr>
          <w:rFonts w:ascii="Arial" w:hAnsi="Arial" w:cs="Arial"/>
          <w:color w:val="000000"/>
          <w:sz w:val="24"/>
          <w:szCs w:val="24"/>
        </w:rPr>
      </w:pPr>
      <w:r>
        <w:rPr>
          <w:rFonts w:ascii="Arial" w:eastAsia="Times New Roman" w:hAnsi="Arial" w:cs="Arial"/>
          <w:color w:val="000000"/>
          <w:sz w:val="24"/>
          <w:szCs w:val="24"/>
        </w:rPr>
        <w:t>A further implementation of policing that was brought in through PACE (1984) was guidelines as well as justifications for stop and search. Stop and search has been heavily scrutinised in recent years and has had numerous reports outlining the concerns surrounding the usage of such powers. For example,</w:t>
      </w:r>
      <w:r w:rsidRPr="006D6883">
        <w:rPr>
          <w:rFonts w:ascii="Arial" w:eastAsia="Times New Roman" w:hAnsi="Arial" w:cs="Arial"/>
          <w:color w:val="000000"/>
          <w:sz w:val="24"/>
          <w:szCs w:val="24"/>
        </w:rPr>
        <w:t xml:space="preserve"> </w:t>
      </w:r>
      <w:r w:rsidRPr="006D6883">
        <w:rPr>
          <w:rFonts w:ascii="Arial" w:hAnsi="Arial" w:cs="Arial"/>
          <w:color w:val="000000"/>
          <w:sz w:val="24"/>
          <w:szCs w:val="24"/>
        </w:rPr>
        <w:t>the Equality and Human Rights Commission (2010)</w:t>
      </w:r>
      <w:r>
        <w:rPr>
          <w:rFonts w:ascii="Arial" w:hAnsi="Arial" w:cs="Arial"/>
          <w:color w:val="000000"/>
          <w:sz w:val="24"/>
          <w:szCs w:val="24"/>
        </w:rPr>
        <w:t xml:space="preserve"> note their concern around the statistical difference between the amount of white people being stopped and searched when compared to the amount of black people being stopped and searched. The Commission (</w:t>
      </w:r>
      <w:r w:rsidRPr="006D6883">
        <w:rPr>
          <w:rFonts w:ascii="Arial" w:hAnsi="Arial" w:cs="Arial"/>
          <w:color w:val="000000"/>
          <w:sz w:val="24"/>
          <w:szCs w:val="24"/>
        </w:rPr>
        <w:t>Equali</w:t>
      </w:r>
      <w:r>
        <w:rPr>
          <w:rFonts w:ascii="Arial" w:hAnsi="Arial" w:cs="Arial"/>
          <w:color w:val="000000"/>
          <w:sz w:val="24"/>
          <w:szCs w:val="24"/>
        </w:rPr>
        <w:t xml:space="preserve">ty and Human Rights Commission, </w:t>
      </w:r>
      <w:r w:rsidRPr="006D6883">
        <w:rPr>
          <w:rFonts w:ascii="Arial" w:hAnsi="Arial" w:cs="Arial"/>
          <w:color w:val="000000"/>
          <w:sz w:val="24"/>
          <w:szCs w:val="24"/>
        </w:rPr>
        <w:t>2010</w:t>
      </w:r>
      <w:r>
        <w:rPr>
          <w:rFonts w:ascii="Arial" w:hAnsi="Arial" w:cs="Arial"/>
          <w:color w:val="000000"/>
          <w:sz w:val="24"/>
          <w:szCs w:val="24"/>
        </w:rPr>
        <w:t xml:space="preserve">) found that black people were </w:t>
      </w:r>
      <w:r w:rsidR="00722060">
        <w:rPr>
          <w:rFonts w:ascii="Arial" w:hAnsi="Arial" w:cs="Arial"/>
          <w:color w:val="000000"/>
          <w:sz w:val="24"/>
          <w:szCs w:val="24"/>
        </w:rPr>
        <w:t xml:space="preserve">stopped and searched between </w:t>
      </w:r>
      <w:r>
        <w:rPr>
          <w:rFonts w:ascii="Arial" w:hAnsi="Arial" w:cs="Arial"/>
          <w:color w:val="000000"/>
          <w:sz w:val="24"/>
          <w:szCs w:val="24"/>
        </w:rPr>
        <w:t xml:space="preserve">four to eight times </w:t>
      </w:r>
      <w:r w:rsidR="00722060">
        <w:rPr>
          <w:rFonts w:ascii="Arial" w:hAnsi="Arial" w:cs="Arial"/>
          <w:color w:val="000000"/>
          <w:sz w:val="24"/>
          <w:szCs w:val="24"/>
        </w:rPr>
        <w:t>more than white</w:t>
      </w:r>
      <w:r w:rsidR="006D02C2">
        <w:rPr>
          <w:rFonts w:ascii="Arial" w:hAnsi="Arial" w:cs="Arial"/>
          <w:color w:val="000000"/>
          <w:sz w:val="24"/>
          <w:szCs w:val="24"/>
        </w:rPr>
        <w:t xml:space="preserve"> people. Despite this factor, the Commission (</w:t>
      </w:r>
      <w:r w:rsidR="006D02C2" w:rsidRPr="006D6883">
        <w:rPr>
          <w:rFonts w:ascii="Arial" w:hAnsi="Arial" w:cs="Arial"/>
          <w:color w:val="000000"/>
          <w:sz w:val="24"/>
          <w:szCs w:val="24"/>
        </w:rPr>
        <w:t>Equali</w:t>
      </w:r>
      <w:r w:rsidR="006D02C2">
        <w:rPr>
          <w:rFonts w:ascii="Arial" w:hAnsi="Arial" w:cs="Arial"/>
          <w:color w:val="000000"/>
          <w:sz w:val="24"/>
          <w:szCs w:val="24"/>
        </w:rPr>
        <w:t xml:space="preserve">ty and Human Rights Commission, </w:t>
      </w:r>
      <w:r w:rsidR="006D02C2" w:rsidRPr="006D6883">
        <w:rPr>
          <w:rFonts w:ascii="Arial" w:hAnsi="Arial" w:cs="Arial"/>
          <w:color w:val="000000"/>
          <w:sz w:val="24"/>
          <w:szCs w:val="24"/>
        </w:rPr>
        <w:t>2010</w:t>
      </w:r>
      <w:r w:rsidR="006D02C2">
        <w:rPr>
          <w:rFonts w:ascii="Arial" w:hAnsi="Arial" w:cs="Arial"/>
          <w:color w:val="000000"/>
          <w:sz w:val="24"/>
          <w:szCs w:val="24"/>
        </w:rPr>
        <w:t xml:space="preserve">) noted that the strategies used by the police were not </w:t>
      </w:r>
      <w:r w:rsidR="006B35B2">
        <w:rPr>
          <w:rFonts w:ascii="Arial" w:hAnsi="Arial" w:cs="Arial"/>
          <w:color w:val="000000"/>
          <w:sz w:val="24"/>
          <w:szCs w:val="24"/>
        </w:rPr>
        <w:t xml:space="preserve">enough </w:t>
      </w:r>
      <w:r w:rsidR="006D02C2">
        <w:rPr>
          <w:rFonts w:ascii="Arial" w:hAnsi="Arial" w:cs="Arial"/>
          <w:color w:val="000000"/>
          <w:sz w:val="24"/>
          <w:szCs w:val="24"/>
        </w:rPr>
        <w:t>cause for concern with regards to any potential miscarriage</w:t>
      </w:r>
      <w:r w:rsidR="006B35B2">
        <w:rPr>
          <w:rFonts w:ascii="Arial" w:hAnsi="Arial" w:cs="Arial"/>
          <w:color w:val="000000"/>
          <w:sz w:val="24"/>
          <w:szCs w:val="24"/>
        </w:rPr>
        <w:t>s</w:t>
      </w:r>
      <w:r w:rsidR="006D02C2">
        <w:rPr>
          <w:rFonts w:ascii="Arial" w:hAnsi="Arial" w:cs="Arial"/>
          <w:color w:val="000000"/>
          <w:sz w:val="24"/>
          <w:szCs w:val="24"/>
        </w:rPr>
        <w:t xml:space="preserve"> of justice but would still expect the ratio to fall to demonstrate that fact.</w:t>
      </w:r>
    </w:p>
    <w:p w:rsidR="006B35B2" w:rsidRPr="006B35B2" w:rsidRDefault="006B35B2" w:rsidP="00914EA8">
      <w:pPr>
        <w:spacing w:after="0" w:line="480" w:lineRule="auto"/>
        <w:rPr>
          <w:rFonts w:ascii="Arial" w:hAnsi="Arial" w:cs="Arial"/>
          <w:color w:val="000000"/>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However, to ultimately understand the successes of the Police and Criminal Evidence Act is to acknowledge the significant drop in high profile and infamous cases that were so often occurring within the 1970s and years prior to the creation of PACE (1984). The success of PACE (1984) in preventing miscarriages of justice may have understandably been impacted by Lynette White and Stephen Lawrence’s death but what those tragic cases highlighted was the limitations of the Act and the continuous need for improvement and shows that although the Police may have come far with its evolution, more evolution was and still is needed to fully prevent all forms of miscarriages of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lastRenderedPageBreak/>
        <w:t>Having looked at the clear need as well as both the hypothetical and practical requirements and successes of the Police and Criminal Evidence Act 1984 (PACE 1984), along with the criticised and understandable complaints over PACE’s (1984) limitations, it is clear that the success of the Police and Criminal Evidence Act of 1984, outweigh the limitations in preventing miscarriages of justice.</w:t>
      </w:r>
    </w:p>
    <w:p w:rsidR="00914EA8" w:rsidRDefault="00914EA8" w:rsidP="00914EA8">
      <w:pPr>
        <w:spacing w:after="240" w:line="480" w:lineRule="auto"/>
        <w:rPr>
          <w:rFonts w:ascii="Arial" w:eastAsia="Times New Roman" w:hAnsi="Arial" w:cs="Arial"/>
          <w:sz w:val="24"/>
          <w:szCs w:val="24"/>
        </w:rPr>
      </w:pPr>
      <w:r w:rsidRPr="00D84543">
        <w:rPr>
          <w:rFonts w:ascii="Arial" w:eastAsia="Times New Roman" w:hAnsi="Arial" w:cs="Arial"/>
          <w:sz w:val="24"/>
          <w:szCs w:val="24"/>
        </w:rPr>
        <w:br/>
      </w:r>
    </w:p>
    <w:p w:rsidR="00914EA8" w:rsidRDefault="00914EA8" w:rsidP="00914EA8">
      <w:pPr>
        <w:spacing w:after="240" w:line="480" w:lineRule="auto"/>
        <w:rPr>
          <w:rFonts w:ascii="Arial" w:eastAsia="Times New Roman" w:hAnsi="Arial" w:cs="Arial"/>
          <w:sz w:val="24"/>
          <w:szCs w:val="24"/>
        </w:rPr>
      </w:pPr>
    </w:p>
    <w:p w:rsidR="00914EA8" w:rsidRDefault="00914EA8" w:rsidP="00914EA8">
      <w:pPr>
        <w:spacing w:after="240" w:line="480" w:lineRule="auto"/>
        <w:rPr>
          <w:rFonts w:ascii="Arial" w:eastAsia="Times New Roman" w:hAnsi="Arial" w:cs="Arial"/>
          <w:sz w:val="24"/>
          <w:szCs w:val="24"/>
        </w:rPr>
      </w:pPr>
    </w:p>
    <w:p w:rsidR="00914EA8" w:rsidRDefault="00914EA8" w:rsidP="00914EA8">
      <w:pPr>
        <w:spacing w:after="240" w:line="480" w:lineRule="auto"/>
        <w:rPr>
          <w:rFonts w:ascii="Arial" w:eastAsia="Times New Roman" w:hAnsi="Arial" w:cs="Arial"/>
          <w:sz w:val="24"/>
          <w:szCs w:val="24"/>
        </w:rPr>
      </w:pPr>
    </w:p>
    <w:p w:rsidR="0054517C" w:rsidRDefault="0054517C"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Pr="00D84543" w:rsidRDefault="006D02C2" w:rsidP="00914EA8">
      <w:pPr>
        <w:spacing w:after="24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u w:val="single"/>
        </w:rPr>
        <w:t>Reference List:</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BBC. (2001). BBC News | UK | Life of Crime | </w:t>
      </w:r>
      <w:r w:rsidRPr="00D84543">
        <w:rPr>
          <w:rFonts w:ascii="Arial" w:eastAsia="Times New Roman" w:hAnsi="Arial" w:cs="Arial"/>
          <w:i/>
          <w:iCs/>
          <w:color w:val="000000"/>
          <w:sz w:val="24"/>
          <w:szCs w:val="24"/>
        </w:rPr>
        <w:t>Miscarriages of Justice</w:t>
      </w:r>
      <w:r w:rsidRPr="00D84543">
        <w:rPr>
          <w:rFonts w:ascii="Arial" w:eastAsia="Times New Roman" w:hAnsi="Arial" w:cs="Arial"/>
          <w:color w:val="000000"/>
          <w:sz w:val="24"/>
          <w:szCs w:val="24"/>
        </w:rPr>
        <w:t xml:space="preserve">. [online] Available at: </w:t>
      </w:r>
      <w:hyperlink r:id="rId5" w:history="1">
        <w:r w:rsidRPr="00D84543">
          <w:rPr>
            <w:rFonts w:ascii="Arial" w:eastAsia="Times New Roman" w:hAnsi="Arial" w:cs="Arial"/>
            <w:color w:val="1155CC"/>
            <w:sz w:val="24"/>
            <w:szCs w:val="24"/>
            <w:u w:val="single"/>
          </w:rPr>
          <w:t>http://news.bbc.co.uk/hi/english/static/in_depth/uk/2001/life_of_crime/miscarriages.stm</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3"/>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BBC News. (2007). </w:t>
      </w:r>
      <w:r w:rsidRPr="00D84543">
        <w:rPr>
          <w:rFonts w:ascii="Arial" w:eastAsia="Times New Roman" w:hAnsi="Arial" w:cs="Arial"/>
          <w:i/>
          <w:iCs/>
          <w:color w:val="000000"/>
          <w:sz w:val="24"/>
          <w:szCs w:val="24"/>
        </w:rPr>
        <w:t xml:space="preserve">The Second Victim of </w:t>
      </w:r>
      <w:proofErr w:type="spellStart"/>
      <w:r w:rsidRPr="00D84543">
        <w:rPr>
          <w:rFonts w:ascii="Arial" w:eastAsia="Times New Roman" w:hAnsi="Arial" w:cs="Arial"/>
          <w:i/>
          <w:iCs/>
          <w:color w:val="000000"/>
          <w:sz w:val="24"/>
          <w:szCs w:val="24"/>
        </w:rPr>
        <w:t>Molseed</w:t>
      </w:r>
      <w:proofErr w:type="spellEnd"/>
      <w:r w:rsidRPr="00D84543">
        <w:rPr>
          <w:rFonts w:ascii="Arial" w:eastAsia="Times New Roman" w:hAnsi="Arial" w:cs="Arial"/>
          <w:i/>
          <w:iCs/>
          <w:color w:val="000000"/>
          <w:sz w:val="24"/>
          <w:szCs w:val="24"/>
        </w:rPr>
        <w:t xml:space="preserve"> Inquiry</w:t>
      </w:r>
      <w:r w:rsidRPr="00D84543">
        <w:rPr>
          <w:rFonts w:ascii="Arial" w:eastAsia="Times New Roman" w:hAnsi="Arial" w:cs="Arial"/>
          <w:color w:val="000000"/>
          <w:sz w:val="24"/>
          <w:szCs w:val="24"/>
        </w:rPr>
        <w:t xml:space="preserve">. [online] Available at: </w:t>
      </w:r>
      <w:hyperlink r:id="rId6" w:history="1">
        <w:r w:rsidRPr="00D84543">
          <w:rPr>
            <w:rFonts w:ascii="Arial" w:eastAsia="Times New Roman" w:hAnsi="Arial" w:cs="Arial"/>
            <w:color w:val="1155CC"/>
            <w:sz w:val="24"/>
            <w:szCs w:val="24"/>
            <w:u w:val="single"/>
          </w:rPr>
          <w:t>http://news.bbc.co.uk/1/hi/england/7052109.stm</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4"/>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Benz, S. (2012). </w:t>
      </w:r>
      <w:r w:rsidRPr="00D84543">
        <w:rPr>
          <w:rFonts w:ascii="Arial" w:eastAsia="Times New Roman" w:hAnsi="Arial" w:cs="Arial"/>
          <w:i/>
          <w:iCs/>
          <w:color w:val="000000"/>
          <w:sz w:val="24"/>
          <w:szCs w:val="24"/>
        </w:rPr>
        <w:t>The Police and Criminal Evidence Act 1984: Balancing Civil Liberties and Public Security</w:t>
      </w:r>
      <w:r w:rsidRPr="00D84543">
        <w:rPr>
          <w:rFonts w:ascii="Arial" w:eastAsia="Times New Roman" w:hAnsi="Arial" w:cs="Arial"/>
          <w:color w:val="000000"/>
          <w:sz w:val="24"/>
          <w:szCs w:val="24"/>
        </w:rPr>
        <w:t xml:space="preserve">. [online] Diffusion. Available at: </w:t>
      </w:r>
      <w:hyperlink r:id="rId7" w:history="1">
        <w:r w:rsidRPr="00D84543">
          <w:rPr>
            <w:rFonts w:ascii="Arial" w:eastAsia="Times New Roman" w:hAnsi="Arial" w:cs="Arial"/>
            <w:color w:val="1155CC"/>
            <w:sz w:val="24"/>
            <w:szCs w:val="24"/>
            <w:u w:val="single"/>
          </w:rPr>
          <w:t>http://bcur.org/journals/index.php/Diffusion/article/download/91/76</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5"/>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Bottomley</w:t>
      </w:r>
      <w:proofErr w:type="spellEnd"/>
      <w:r w:rsidRPr="00D84543">
        <w:rPr>
          <w:rFonts w:ascii="Arial" w:eastAsia="Times New Roman" w:hAnsi="Arial" w:cs="Arial"/>
          <w:color w:val="000000"/>
          <w:sz w:val="24"/>
          <w:szCs w:val="24"/>
        </w:rPr>
        <w:t xml:space="preserve">, K., Coleman, C., Dixon, D., Gill, M. and Wall, D. (1991). </w:t>
      </w:r>
      <w:r w:rsidRPr="00D84543">
        <w:rPr>
          <w:rFonts w:ascii="Arial" w:eastAsia="Times New Roman" w:hAnsi="Arial" w:cs="Arial"/>
          <w:i/>
          <w:iCs/>
          <w:color w:val="000000"/>
          <w:sz w:val="24"/>
          <w:szCs w:val="24"/>
        </w:rPr>
        <w:t>The Detention of Suspects in Police Custody: The Impact of the Police and Criminal Evidence Act 1984</w:t>
      </w:r>
      <w:r w:rsidRPr="00D84543">
        <w:rPr>
          <w:rFonts w:ascii="Arial" w:eastAsia="Times New Roman" w:hAnsi="Arial" w:cs="Arial"/>
          <w:color w:val="000000"/>
          <w:sz w:val="24"/>
          <w:szCs w:val="24"/>
        </w:rPr>
        <w:t xml:space="preserve">. The British Journal of Criminology, [online] 31(4), pp.347-364. Available at: </w:t>
      </w:r>
      <w:hyperlink r:id="rId8" w:history="1">
        <w:r w:rsidRPr="00D84543">
          <w:rPr>
            <w:rFonts w:ascii="Arial" w:eastAsia="Times New Roman" w:hAnsi="Arial" w:cs="Arial"/>
            <w:color w:val="1155CC"/>
            <w:sz w:val="24"/>
            <w:szCs w:val="24"/>
            <w:u w:val="single"/>
          </w:rPr>
          <w:t>https://academic.oup.com/bjc/article-abstract/31/4/347/498642?redirectedFrom=PDF</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6"/>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Campbell, D. (2012). </w:t>
      </w:r>
      <w:r w:rsidRPr="00D84543">
        <w:rPr>
          <w:rFonts w:ascii="Arial" w:eastAsia="Times New Roman" w:hAnsi="Arial" w:cs="Arial"/>
          <w:i/>
          <w:iCs/>
          <w:color w:val="000000"/>
          <w:sz w:val="24"/>
          <w:szCs w:val="24"/>
        </w:rPr>
        <w:t>The Cardiff Three: The Long Wait for Justice</w:t>
      </w:r>
      <w:r w:rsidRPr="00D84543">
        <w:rPr>
          <w:rFonts w:ascii="Arial" w:eastAsia="Times New Roman" w:hAnsi="Arial" w:cs="Arial"/>
          <w:color w:val="000000"/>
          <w:sz w:val="24"/>
          <w:szCs w:val="24"/>
        </w:rPr>
        <w:t xml:space="preserve">. [online] The Guardian. Available at: </w:t>
      </w:r>
      <w:hyperlink r:id="rId9" w:history="1">
        <w:r w:rsidRPr="00D84543">
          <w:rPr>
            <w:rFonts w:ascii="Arial" w:eastAsia="Times New Roman" w:hAnsi="Arial" w:cs="Arial"/>
            <w:color w:val="1155CC"/>
            <w:sz w:val="24"/>
            <w:szCs w:val="24"/>
            <w:u w:val="single"/>
          </w:rPr>
          <w:t>https://www.theguardian.com/uk/2012/sep/17/cardiff-three-five-wait-justice</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7"/>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CCRC. (2019). Criminal Cases Review Commission. [online] Available at: </w:t>
      </w:r>
      <w:hyperlink r:id="rId10" w:history="1">
        <w:r w:rsidRPr="00D84543">
          <w:rPr>
            <w:rFonts w:ascii="Arial" w:eastAsia="Times New Roman" w:hAnsi="Arial" w:cs="Arial"/>
            <w:color w:val="1155CC"/>
            <w:sz w:val="24"/>
            <w:szCs w:val="24"/>
            <w:u w:val="single"/>
          </w:rPr>
          <w:t>https://ccrc.gov.uk/</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8"/>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Dixon, D. (2009). </w:t>
      </w:r>
      <w:r w:rsidRPr="00D84543">
        <w:rPr>
          <w:rFonts w:ascii="Arial" w:eastAsia="Times New Roman" w:hAnsi="Arial" w:cs="Arial"/>
          <w:i/>
          <w:iCs/>
          <w:color w:val="000000"/>
          <w:sz w:val="24"/>
          <w:szCs w:val="24"/>
        </w:rPr>
        <w:t>Videotaping Police Interrogation</w:t>
      </w:r>
      <w:r w:rsidRPr="00D84543">
        <w:rPr>
          <w:rFonts w:ascii="Arial" w:eastAsia="Times New Roman" w:hAnsi="Arial" w:cs="Arial"/>
          <w:color w:val="000000"/>
          <w:sz w:val="24"/>
          <w:szCs w:val="24"/>
        </w:rPr>
        <w:t>.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Sydney: University of New South Wales. Available at: </w:t>
      </w:r>
      <w:hyperlink r:id="rId11" w:history="1">
        <w:r w:rsidRPr="00D84543">
          <w:rPr>
            <w:rFonts w:ascii="Arial" w:eastAsia="Times New Roman" w:hAnsi="Arial" w:cs="Arial"/>
            <w:color w:val="1155CC"/>
            <w:sz w:val="24"/>
            <w:szCs w:val="24"/>
            <w:u w:val="single"/>
          </w:rPr>
          <w:t>https://papers.ssrn.com/sol3/papers.cfm?abstract_id=1392592</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9"/>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Eady</w:t>
      </w:r>
      <w:proofErr w:type="spellEnd"/>
      <w:r w:rsidRPr="00D84543">
        <w:rPr>
          <w:rFonts w:ascii="Arial" w:eastAsia="Times New Roman" w:hAnsi="Arial" w:cs="Arial"/>
          <w:color w:val="000000"/>
          <w:sz w:val="24"/>
          <w:szCs w:val="24"/>
        </w:rPr>
        <w:t xml:space="preserve">, D. (2009). </w:t>
      </w:r>
      <w:r w:rsidRPr="00D84543">
        <w:rPr>
          <w:rFonts w:ascii="Arial" w:eastAsia="Times New Roman" w:hAnsi="Arial" w:cs="Arial"/>
          <w:i/>
          <w:iCs/>
          <w:color w:val="000000"/>
          <w:sz w:val="24"/>
          <w:szCs w:val="24"/>
        </w:rPr>
        <w:t>Miscarriages of Justice: The Uncertainty Principle</w:t>
      </w:r>
      <w:r w:rsidRPr="00D84543">
        <w:rPr>
          <w:rFonts w:ascii="Arial" w:eastAsia="Times New Roman" w:hAnsi="Arial" w:cs="Arial"/>
          <w:color w:val="000000"/>
          <w:sz w:val="24"/>
          <w:szCs w:val="24"/>
        </w:rPr>
        <w:t>. Ph.D. Cardiff University.</w:t>
      </w:r>
    </w:p>
    <w:p w:rsidR="00914EA8" w:rsidRPr="00D84543" w:rsidRDefault="00914EA8" w:rsidP="00914EA8">
      <w:pPr>
        <w:spacing w:after="0" w:line="480" w:lineRule="auto"/>
        <w:rPr>
          <w:rFonts w:ascii="Arial" w:eastAsia="Times New Roman" w:hAnsi="Arial" w:cs="Arial"/>
          <w:sz w:val="24"/>
          <w:szCs w:val="24"/>
        </w:rPr>
      </w:pPr>
    </w:p>
    <w:p w:rsidR="004F0C14" w:rsidRDefault="00914EA8" w:rsidP="004F0C14">
      <w:pPr>
        <w:numPr>
          <w:ilvl w:val="0"/>
          <w:numId w:val="10"/>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Elks, L. (2008). </w:t>
      </w:r>
      <w:r w:rsidRPr="00D84543">
        <w:rPr>
          <w:rFonts w:ascii="Arial" w:eastAsia="Times New Roman" w:hAnsi="Arial" w:cs="Arial"/>
          <w:i/>
          <w:iCs/>
          <w:color w:val="000000"/>
          <w:sz w:val="24"/>
          <w:szCs w:val="24"/>
        </w:rPr>
        <w:t>Righting Miscarriages of Justice? Ten years of the Criminal Cases Review Commission</w:t>
      </w:r>
      <w:r w:rsidRPr="00D84543">
        <w:rPr>
          <w:rFonts w:ascii="Arial" w:eastAsia="Times New Roman" w:hAnsi="Arial" w:cs="Arial"/>
          <w:color w:val="000000"/>
          <w:sz w:val="24"/>
          <w:szCs w:val="24"/>
        </w:rPr>
        <w:t>.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London: Justice. Available at: </w:t>
      </w:r>
      <w:hyperlink r:id="rId12" w:history="1">
        <w:r w:rsidRPr="00D84543">
          <w:rPr>
            <w:rFonts w:ascii="Arial" w:eastAsia="Times New Roman" w:hAnsi="Arial" w:cs="Arial"/>
            <w:color w:val="1155CC"/>
            <w:sz w:val="24"/>
            <w:szCs w:val="24"/>
            <w:u w:val="single"/>
          </w:rPr>
          <w:t>https://2bquk8cdew6192tsu41lay8t-wpengine.netdna-ssl.com/wp-content/uploads/2016/04/Righting-Miscarriages-of-Justice.pdf</w:t>
        </w:r>
      </w:hyperlink>
      <w:r w:rsidRPr="00D84543">
        <w:rPr>
          <w:rFonts w:ascii="Arial" w:eastAsia="Times New Roman" w:hAnsi="Arial" w:cs="Arial"/>
          <w:color w:val="000000"/>
          <w:sz w:val="24"/>
          <w:szCs w:val="24"/>
        </w:rPr>
        <w:t xml:space="preserve"> [Accessed 18 Oct. 2019].</w:t>
      </w:r>
    </w:p>
    <w:p w:rsidR="004F0C14" w:rsidRPr="004F0C14" w:rsidRDefault="004F0C14" w:rsidP="004F0C14">
      <w:pPr>
        <w:spacing w:after="0" w:line="480" w:lineRule="auto"/>
        <w:textAlignment w:val="baseline"/>
        <w:rPr>
          <w:rFonts w:ascii="Arial" w:eastAsia="Times New Roman" w:hAnsi="Arial" w:cs="Arial"/>
          <w:color w:val="000000"/>
          <w:sz w:val="24"/>
          <w:szCs w:val="24"/>
        </w:rPr>
      </w:pPr>
    </w:p>
    <w:p w:rsidR="004F0C14" w:rsidRPr="004F0C14" w:rsidRDefault="004F0C14" w:rsidP="004F0C14">
      <w:pPr>
        <w:numPr>
          <w:ilvl w:val="0"/>
          <w:numId w:val="10"/>
        </w:numPr>
        <w:spacing w:after="0" w:line="480" w:lineRule="auto"/>
        <w:textAlignment w:val="baseline"/>
        <w:rPr>
          <w:rFonts w:ascii="Arial" w:eastAsia="Times New Roman" w:hAnsi="Arial" w:cs="Arial"/>
          <w:sz w:val="24"/>
          <w:szCs w:val="24"/>
        </w:rPr>
      </w:pPr>
      <w:r w:rsidRPr="004F0C14">
        <w:rPr>
          <w:rFonts w:ascii="Arial" w:hAnsi="Arial" w:cs="Arial"/>
          <w:sz w:val="24"/>
          <w:szCs w:val="24"/>
        </w:rPr>
        <w:t xml:space="preserve">Equality and Human Rights Commission. (2010). </w:t>
      </w:r>
      <w:r w:rsidRPr="004F0C14">
        <w:rPr>
          <w:rFonts w:ascii="Arial" w:hAnsi="Arial" w:cs="Arial"/>
          <w:i/>
          <w:iCs/>
          <w:sz w:val="24"/>
          <w:szCs w:val="24"/>
        </w:rPr>
        <w:t>Stop and Think - A critical review of the use of stop and search powers in England and Wales</w:t>
      </w:r>
      <w:r w:rsidRPr="004F0C14">
        <w:rPr>
          <w:rFonts w:ascii="Arial" w:hAnsi="Arial" w:cs="Arial"/>
          <w:sz w:val="24"/>
          <w:szCs w:val="24"/>
        </w:rPr>
        <w:t>. [</w:t>
      </w:r>
      <w:proofErr w:type="spellStart"/>
      <w:r w:rsidRPr="004F0C14">
        <w:rPr>
          <w:rFonts w:ascii="Arial" w:hAnsi="Arial" w:cs="Arial"/>
          <w:sz w:val="24"/>
          <w:szCs w:val="24"/>
        </w:rPr>
        <w:t>ebook</w:t>
      </w:r>
      <w:proofErr w:type="spellEnd"/>
      <w:r w:rsidRPr="004F0C14">
        <w:rPr>
          <w:rFonts w:ascii="Arial" w:hAnsi="Arial" w:cs="Arial"/>
          <w:sz w:val="24"/>
          <w:szCs w:val="24"/>
        </w:rPr>
        <w:t xml:space="preserve">] London: Equality and Human Rights Commission. Available at: </w:t>
      </w:r>
      <w:hyperlink r:id="rId13" w:history="1">
        <w:r w:rsidRPr="004F0C14">
          <w:rPr>
            <w:rStyle w:val="Hyperlink"/>
            <w:rFonts w:ascii="Arial" w:hAnsi="Arial" w:cs="Arial"/>
            <w:color w:val="1155CC"/>
            <w:sz w:val="24"/>
            <w:szCs w:val="24"/>
          </w:rPr>
          <w:t>https://www.equalityhumanrights.com/sites/default/files/ehrc_stop_and_search_report.pdf</w:t>
        </w:r>
      </w:hyperlink>
      <w:r w:rsidRPr="004F0C14">
        <w:rPr>
          <w:rFonts w:ascii="Arial" w:hAnsi="Arial" w:cs="Arial"/>
          <w:sz w:val="24"/>
          <w:szCs w:val="24"/>
        </w:rPr>
        <w:t xml:space="preserve"> [Accessed 7 Nov.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Independent Committee of Inquiry Into the Role and Responsibilities of the Police. (1996).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London: Police Foundation. Available at: </w:t>
      </w:r>
      <w:hyperlink r:id="rId14" w:history="1">
        <w:r w:rsidRPr="00D84543">
          <w:rPr>
            <w:rFonts w:ascii="Arial" w:eastAsia="Times New Roman" w:hAnsi="Arial" w:cs="Arial"/>
            <w:color w:val="1155CC"/>
            <w:sz w:val="24"/>
            <w:szCs w:val="24"/>
            <w:u w:val="single"/>
          </w:rPr>
          <w:t>http://www.psi.org.uk/publications/archivepdfs/Role%20pol/INDPOL-0.P.pdf</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2"/>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Innocent. (2016). </w:t>
      </w:r>
      <w:r w:rsidRPr="00D84543">
        <w:rPr>
          <w:rFonts w:ascii="Arial" w:eastAsia="Times New Roman" w:hAnsi="Arial" w:cs="Arial"/>
          <w:i/>
          <w:iCs/>
          <w:color w:val="000000"/>
          <w:sz w:val="24"/>
          <w:szCs w:val="24"/>
        </w:rPr>
        <w:t>“Ambushed” – the story of Judith Ward 1974</w:t>
      </w:r>
      <w:r w:rsidRPr="00D84543">
        <w:rPr>
          <w:rFonts w:ascii="Arial" w:eastAsia="Times New Roman" w:hAnsi="Arial" w:cs="Arial"/>
          <w:color w:val="000000"/>
          <w:sz w:val="24"/>
          <w:szCs w:val="24"/>
        </w:rPr>
        <w:t xml:space="preserve">. [online] Available at: </w:t>
      </w:r>
      <w:hyperlink r:id="rId15" w:history="1">
        <w:r w:rsidRPr="00D84543">
          <w:rPr>
            <w:rFonts w:ascii="Arial" w:eastAsia="Times New Roman" w:hAnsi="Arial" w:cs="Arial"/>
            <w:color w:val="1155CC"/>
            <w:sz w:val="24"/>
            <w:szCs w:val="24"/>
            <w:u w:val="single"/>
          </w:rPr>
          <w:t>https://innocent.org.uk/2016/07/10/ambushed-the-story-of-judith-ward/</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Default="00914EA8" w:rsidP="00914EA8">
      <w:pPr>
        <w:numPr>
          <w:ilvl w:val="0"/>
          <w:numId w:val="13"/>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Innocent. (2019). </w:t>
      </w:r>
      <w:r w:rsidRPr="00D84543">
        <w:rPr>
          <w:rFonts w:ascii="Arial" w:eastAsia="Times New Roman" w:hAnsi="Arial" w:cs="Arial"/>
          <w:i/>
          <w:iCs/>
          <w:color w:val="000000"/>
          <w:sz w:val="24"/>
          <w:szCs w:val="24"/>
        </w:rPr>
        <w:t>Miscarriage of Justice Cases</w:t>
      </w:r>
      <w:r w:rsidRPr="00D84543">
        <w:rPr>
          <w:rFonts w:ascii="Arial" w:eastAsia="Times New Roman" w:hAnsi="Arial" w:cs="Arial"/>
          <w:color w:val="000000"/>
          <w:sz w:val="24"/>
          <w:szCs w:val="24"/>
        </w:rPr>
        <w:t xml:space="preserve">. [online] Available at: </w:t>
      </w:r>
      <w:hyperlink r:id="rId16" w:history="1">
        <w:r w:rsidRPr="00D84543">
          <w:rPr>
            <w:rFonts w:ascii="Arial" w:eastAsia="Times New Roman" w:hAnsi="Arial" w:cs="Arial"/>
            <w:color w:val="1155CC"/>
            <w:sz w:val="24"/>
            <w:szCs w:val="24"/>
            <w:u w:val="single"/>
          </w:rPr>
          <w:t>https://innocent.org.uk/miscarriage-of-justice-cases/</w:t>
        </w:r>
      </w:hyperlink>
      <w:r w:rsidRPr="00D84543">
        <w:rPr>
          <w:rFonts w:ascii="Arial" w:eastAsia="Times New Roman" w:hAnsi="Arial" w:cs="Arial"/>
          <w:color w:val="000000"/>
          <w:sz w:val="24"/>
          <w:szCs w:val="24"/>
        </w:rPr>
        <w:t xml:space="preserve"> [Accessed 18 Oct. 2019]</w:t>
      </w:r>
      <w:r w:rsidR="00F73DA6">
        <w:rPr>
          <w:rFonts w:ascii="Arial" w:eastAsia="Times New Roman" w:hAnsi="Arial" w:cs="Arial"/>
          <w:color w:val="000000"/>
          <w:sz w:val="24"/>
          <w:szCs w:val="24"/>
        </w:rPr>
        <w:t>.</w:t>
      </w:r>
    </w:p>
    <w:p w:rsidR="00F73DA6" w:rsidRDefault="00F73DA6" w:rsidP="00F73DA6">
      <w:pPr>
        <w:spacing w:after="0" w:line="480" w:lineRule="auto"/>
        <w:textAlignment w:val="baseline"/>
        <w:rPr>
          <w:rFonts w:ascii="Arial" w:eastAsia="Times New Roman" w:hAnsi="Arial" w:cs="Arial"/>
          <w:color w:val="000000"/>
          <w:sz w:val="24"/>
          <w:szCs w:val="24"/>
        </w:rPr>
      </w:pPr>
    </w:p>
    <w:p w:rsidR="00914EA8" w:rsidRDefault="00F73DA6" w:rsidP="00914EA8">
      <w:pPr>
        <w:numPr>
          <w:ilvl w:val="0"/>
          <w:numId w:val="13"/>
        </w:numPr>
        <w:spacing w:after="0" w:line="48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 xml:space="preserve">ITV. (2008). </w:t>
      </w:r>
      <w:r>
        <w:rPr>
          <w:rFonts w:ascii="Arial" w:eastAsia="Times New Roman" w:hAnsi="Arial" w:cs="Arial"/>
          <w:i/>
          <w:color w:val="000000"/>
          <w:sz w:val="24"/>
          <w:szCs w:val="24"/>
        </w:rPr>
        <w:t>The 30 Year Secret</w:t>
      </w:r>
      <w:r>
        <w:rPr>
          <w:rFonts w:ascii="Arial" w:eastAsia="Times New Roman" w:hAnsi="Arial" w:cs="Arial"/>
          <w:color w:val="000000"/>
          <w:sz w:val="24"/>
          <w:szCs w:val="24"/>
        </w:rPr>
        <w:t>. [TV programme] Independent Television.</w:t>
      </w:r>
    </w:p>
    <w:p w:rsidR="00F73DA6" w:rsidRPr="00F73DA6" w:rsidRDefault="00F73DA6" w:rsidP="00F73DA6">
      <w:pPr>
        <w:spacing w:after="0" w:line="480" w:lineRule="auto"/>
        <w:textAlignment w:val="baseline"/>
        <w:rPr>
          <w:rFonts w:ascii="Arial" w:eastAsia="Times New Roman" w:hAnsi="Arial" w:cs="Arial"/>
          <w:color w:val="000000"/>
          <w:sz w:val="24"/>
          <w:szCs w:val="24"/>
        </w:rPr>
      </w:pPr>
    </w:p>
    <w:p w:rsidR="00914EA8" w:rsidRPr="00D84543" w:rsidRDefault="00914EA8" w:rsidP="00914EA8">
      <w:pPr>
        <w:numPr>
          <w:ilvl w:val="0"/>
          <w:numId w:val="14"/>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Jackson, C. (2018). </w:t>
      </w:r>
      <w:r w:rsidRPr="00D84543">
        <w:rPr>
          <w:rFonts w:ascii="Arial" w:eastAsia="Times New Roman" w:hAnsi="Arial" w:cs="Arial"/>
          <w:i/>
          <w:iCs/>
          <w:color w:val="000000"/>
          <w:sz w:val="24"/>
          <w:szCs w:val="24"/>
        </w:rPr>
        <w:t>Making Murderers - BBC News</w:t>
      </w:r>
      <w:r w:rsidRPr="00D84543">
        <w:rPr>
          <w:rFonts w:ascii="Arial" w:eastAsia="Times New Roman" w:hAnsi="Arial" w:cs="Arial"/>
          <w:color w:val="000000"/>
          <w:sz w:val="24"/>
          <w:szCs w:val="24"/>
        </w:rPr>
        <w:t xml:space="preserve">. [online] BBC News. Available at: </w:t>
      </w:r>
      <w:hyperlink r:id="rId17" w:history="1">
        <w:r w:rsidRPr="00D84543">
          <w:rPr>
            <w:rFonts w:ascii="Arial" w:eastAsia="Times New Roman" w:hAnsi="Arial" w:cs="Arial"/>
            <w:color w:val="1155CC"/>
            <w:sz w:val="24"/>
            <w:szCs w:val="24"/>
            <w:u w:val="single"/>
          </w:rPr>
          <w:t>https://www.bbc.co.uk/news/resources/idt-sh/Lynette_White_Cardiff_Murder</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5"/>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Johnston, T. (1966). </w:t>
      </w:r>
      <w:r w:rsidRPr="00D84543">
        <w:rPr>
          <w:rFonts w:ascii="Arial" w:eastAsia="Times New Roman" w:hAnsi="Arial" w:cs="Arial"/>
          <w:i/>
          <w:iCs/>
          <w:color w:val="000000"/>
          <w:sz w:val="24"/>
          <w:szCs w:val="24"/>
        </w:rPr>
        <w:t>The Judges' Rules and Police Interrogation in England Today</w:t>
      </w:r>
      <w:r w:rsidRPr="00D84543">
        <w:rPr>
          <w:rFonts w:ascii="Arial" w:eastAsia="Times New Roman" w:hAnsi="Arial" w:cs="Arial"/>
          <w:color w:val="000000"/>
          <w:sz w:val="24"/>
          <w:szCs w:val="24"/>
        </w:rPr>
        <w:t xml:space="preserve">. The Journal of Criminal Law, Criminology, and Police Science, [online] 57(1). Available at: </w:t>
      </w:r>
      <w:hyperlink r:id="rId18" w:history="1">
        <w:r w:rsidRPr="00D84543">
          <w:rPr>
            <w:rFonts w:ascii="Arial" w:eastAsia="Times New Roman" w:hAnsi="Arial" w:cs="Arial"/>
            <w:color w:val="1155CC"/>
            <w:sz w:val="24"/>
            <w:szCs w:val="24"/>
            <w:u w:val="single"/>
          </w:rPr>
          <w:t>https://scholarlycommons.law.northwestern.edu/cgi/viewcontent.cgi?article=5358&amp;context=jclc</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6"/>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 xml:space="preserve">Law Teacher. (2013). </w:t>
      </w:r>
      <w:r w:rsidRPr="00D84543">
        <w:rPr>
          <w:rFonts w:ascii="Arial" w:eastAsia="Times New Roman" w:hAnsi="Arial" w:cs="Arial"/>
          <w:i/>
          <w:iCs/>
          <w:color w:val="000000"/>
          <w:sz w:val="24"/>
          <w:szCs w:val="24"/>
        </w:rPr>
        <w:t>Changes in Relation to Miscarriage of Justice</w:t>
      </w:r>
      <w:r w:rsidRPr="00D84543">
        <w:rPr>
          <w:rFonts w:ascii="Arial" w:eastAsia="Times New Roman" w:hAnsi="Arial" w:cs="Arial"/>
          <w:color w:val="000000"/>
          <w:sz w:val="24"/>
          <w:szCs w:val="24"/>
        </w:rPr>
        <w:t xml:space="preserve">. [online] Available at: </w:t>
      </w:r>
      <w:hyperlink r:id="rId19" w:history="1">
        <w:r w:rsidRPr="00D84543">
          <w:rPr>
            <w:rFonts w:ascii="Arial" w:eastAsia="Times New Roman" w:hAnsi="Arial" w:cs="Arial"/>
            <w:color w:val="1155CC"/>
            <w:sz w:val="24"/>
            <w:szCs w:val="24"/>
            <w:u w:val="single"/>
          </w:rPr>
          <w:t>https://www.lawteacher.net/free-law-essays/english-legal-system/changes-in-relation-to-miscarriages-of-justice-law-essay.php</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7"/>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Law Teacher. </w:t>
      </w:r>
      <w:r w:rsidR="00345FF2">
        <w:rPr>
          <w:rFonts w:ascii="Arial" w:eastAsia="Times New Roman" w:hAnsi="Arial" w:cs="Arial"/>
          <w:color w:val="000000"/>
          <w:sz w:val="24"/>
          <w:szCs w:val="24"/>
        </w:rPr>
        <w:t xml:space="preserve">(2019). </w:t>
      </w:r>
      <w:r w:rsidRPr="00D84543">
        <w:rPr>
          <w:rFonts w:ascii="Arial" w:eastAsia="Times New Roman" w:hAnsi="Arial" w:cs="Arial"/>
          <w:i/>
          <w:iCs/>
          <w:color w:val="000000"/>
          <w:sz w:val="24"/>
          <w:szCs w:val="24"/>
        </w:rPr>
        <w:t>Police and Criminal Evidence Act 1984</w:t>
      </w:r>
      <w:r w:rsidRPr="00D84543">
        <w:rPr>
          <w:rFonts w:ascii="Arial" w:eastAsia="Times New Roman" w:hAnsi="Arial" w:cs="Arial"/>
          <w:color w:val="000000"/>
          <w:sz w:val="24"/>
          <w:szCs w:val="24"/>
        </w:rPr>
        <w:t xml:space="preserve">. [online]. Available from: </w:t>
      </w:r>
      <w:hyperlink r:id="rId20" w:history="1">
        <w:r w:rsidRPr="00D84543">
          <w:rPr>
            <w:rFonts w:ascii="Arial" w:eastAsia="Times New Roman" w:hAnsi="Arial" w:cs="Arial"/>
            <w:color w:val="1155CC"/>
            <w:sz w:val="24"/>
            <w:szCs w:val="24"/>
            <w:u w:val="single"/>
          </w:rPr>
          <w:t>https://www.lawteacher.net/acts/police-and-criminal-evidence-act.php</w:t>
        </w:r>
      </w:hyperlink>
      <w:r w:rsidRPr="00D84543">
        <w:rPr>
          <w:rFonts w:ascii="Arial" w:eastAsia="Times New Roman" w:hAnsi="Arial" w:cs="Arial"/>
          <w:color w:val="000000"/>
          <w:sz w:val="24"/>
          <w:szCs w:val="24"/>
        </w:rPr>
        <w:t xml:space="preserve"> [Accessed 18 October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8"/>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Mylonaki</w:t>
      </w:r>
      <w:proofErr w:type="spellEnd"/>
      <w:r w:rsidRPr="00D84543">
        <w:rPr>
          <w:rFonts w:ascii="Arial" w:eastAsia="Times New Roman" w:hAnsi="Arial" w:cs="Arial"/>
          <w:color w:val="000000"/>
          <w:sz w:val="24"/>
          <w:szCs w:val="24"/>
        </w:rPr>
        <w:t xml:space="preserve">, E. and Burton, T. (2010). </w:t>
      </w:r>
      <w:r w:rsidRPr="00D84543">
        <w:rPr>
          <w:rFonts w:ascii="Arial" w:eastAsia="Times New Roman" w:hAnsi="Arial" w:cs="Arial"/>
          <w:i/>
          <w:iCs/>
          <w:color w:val="000000"/>
          <w:sz w:val="24"/>
          <w:szCs w:val="24"/>
        </w:rPr>
        <w:t>A Critique of the Deficiencies in the Regulation of Contemporary Police Powers of Detention and Questioning in England and Wales</w:t>
      </w:r>
      <w:r w:rsidRPr="00D84543">
        <w:rPr>
          <w:rFonts w:ascii="Arial" w:eastAsia="Times New Roman" w:hAnsi="Arial" w:cs="Arial"/>
          <w:color w:val="000000"/>
          <w:sz w:val="24"/>
          <w:szCs w:val="24"/>
        </w:rPr>
        <w:t xml:space="preserve">. The Police Journal: Theory, Practice and Principles, [online] 83(1). Available at: </w:t>
      </w:r>
      <w:hyperlink r:id="rId21" w:history="1">
        <w:r w:rsidRPr="00D84543">
          <w:rPr>
            <w:rFonts w:ascii="Arial" w:eastAsia="Times New Roman" w:hAnsi="Arial" w:cs="Arial"/>
            <w:color w:val="1155CC"/>
            <w:sz w:val="24"/>
            <w:szCs w:val="24"/>
            <w:u w:val="single"/>
          </w:rPr>
          <w:t>https://journals.sagepub.com/doi/abs/10.1350/pojo.2010.83.1.482</w:t>
        </w:r>
      </w:hyperlink>
      <w:r w:rsidRPr="00D84543">
        <w:rPr>
          <w:rFonts w:ascii="Arial" w:eastAsia="Times New Roman" w:hAnsi="Arial" w:cs="Arial"/>
          <w:color w:val="000000"/>
          <w:sz w:val="24"/>
          <w:szCs w:val="24"/>
        </w:rPr>
        <w:t>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9"/>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Naughton</w:t>
      </w:r>
      <w:proofErr w:type="spellEnd"/>
      <w:r w:rsidRPr="00D84543">
        <w:rPr>
          <w:rFonts w:ascii="Arial" w:eastAsia="Times New Roman" w:hAnsi="Arial" w:cs="Arial"/>
          <w:color w:val="000000"/>
          <w:sz w:val="24"/>
          <w:szCs w:val="24"/>
        </w:rPr>
        <w:t xml:space="preserve">, M. (2007). </w:t>
      </w:r>
      <w:r w:rsidRPr="00D84543">
        <w:rPr>
          <w:rFonts w:ascii="Arial" w:eastAsia="Times New Roman" w:hAnsi="Arial" w:cs="Arial"/>
          <w:i/>
          <w:iCs/>
          <w:color w:val="000000"/>
          <w:sz w:val="24"/>
          <w:szCs w:val="24"/>
        </w:rPr>
        <w:t>Rethinking Miscarriages of Justice</w:t>
      </w:r>
      <w:r w:rsidRPr="00D84543">
        <w:rPr>
          <w:rFonts w:ascii="Arial" w:eastAsia="Times New Roman" w:hAnsi="Arial" w:cs="Arial"/>
          <w:color w:val="000000"/>
          <w:sz w:val="24"/>
          <w:szCs w:val="24"/>
        </w:rPr>
        <w:t>. London: Palgrave Macmillan.</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0"/>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Nobles, R. and Schiff, D. (1995). </w:t>
      </w:r>
      <w:r w:rsidRPr="00D84543">
        <w:rPr>
          <w:rFonts w:ascii="Arial" w:eastAsia="Times New Roman" w:hAnsi="Arial" w:cs="Arial"/>
          <w:i/>
          <w:iCs/>
          <w:color w:val="000000"/>
          <w:sz w:val="24"/>
          <w:szCs w:val="24"/>
        </w:rPr>
        <w:t>Miscarriages of Justice: A Systems Approach</w:t>
      </w:r>
      <w:r w:rsidRPr="00D84543">
        <w:rPr>
          <w:rFonts w:ascii="Arial" w:eastAsia="Times New Roman" w:hAnsi="Arial" w:cs="Arial"/>
          <w:color w:val="000000"/>
          <w:sz w:val="24"/>
          <w:szCs w:val="24"/>
        </w:rPr>
        <w:t>.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Oxford: Blackwell Publishers. Available at: </w:t>
      </w:r>
      <w:hyperlink r:id="rId22" w:history="1">
        <w:r w:rsidRPr="00D84543">
          <w:rPr>
            <w:rFonts w:ascii="Arial" w:eastAsia="Times New Roman" w:hAnsi="Arial" w:cs="Arial"/>
            <w:color w:val="1155CC"/>
            <w:sz w:val="24"/>
            <w:szCs w:val="24"/>
            <w:u w:val="single"/>
          </w:rPr>
          <w:t>https://onlinelibrary.wiley.com/doi/pdf/10.1111/j.1468-2230.1995.tb02012.x</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i/>
          <w:iCs/>
          <w:color w:val="000000"/>
          <w:sz w:val="24"/>
          <w:szCs w:val="24"/>
        </w:rPr>
        <w:lastRenderedPageBreak/>
        <w:t>Police and Criminal Evidence Act</w:t>
      </w:r>
      <w:r w:rsidRPr="00D84543">
        <w:rPr>
          <w:rFonts w:ascii="Arial" w:eastAsia="Times New Roman" w:hAnsi="Arial" w:cs="Arial"/>
          <w:color w:val="000000"/>
          <w:sz w:val="24"/>
          <w:szCs w:val="24"/>
        </w:rPr>
        <w:t xml:space="preserve"> (1984). Available at: </w:t>
      </w:r>
      <w:hyperlink r:id="rId23" w:history="1">
        <w:r w:rsidRPr="00D84543">
          <w:rPr>
            <w:rFonts w:ascii="Arial" w:eastAsia="Times New Roman" w:hAnsi="Arial" w:cs="Arial"/>
            <w:color w:val="1155CC"/>
            <w:sz w:val="24"/>
            <w:szCs w:val="24"/>
            <w:u w:val="single"/>
          </w:rPr>
          <w:t>http://www.legislation.gov.uk/ukpga/1984/60/contents</w:t>
        </w:r>
      </w:hyperlink>
      <w:r w:rsidRPr="00D84543">
        <w:rPr>
          <w:rFonts w:ascii="Arial" w:eastAsia="Times New Roman" w:hAnsi="Arial" w:cs="Arial"/>
          <w:color w:val="000000"/>
          <w:sz w:val="24"/>
          <w:szCs w:val="24"/>
        </w:rPr>
        <w:t>.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2"/>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Report of the Royal Commission on Criminal Justice. (1993).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London: Royal Commission. Available at: </w:t>
      </w:r>
      <w:hyperlink r:id="rId24" w:history="1">
        <w:r w:rsidRPr="00D84543">
          <w:rPr>
            <w:rFonts w:ascii="Arial" w:eastAsia="Times New Roman" w:hAnsi="Arial" w:cs="Arial"/>
            <w:color w:val="1155CC"/>
            <w:sz w:val="24"/>
            <w:szCs w:val="24"/>
            <w:u w:val="single"/>
          </w:rPr>
          <w:t>https://www.gov.uk/government/publications/report-of-the-royal-commission-on-criminal-justice</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F73DA6" w:rsidRDefault="00914EA8" w:rsidP="00F73DA6">
      <w:pPr>
        <w:numPr>
          <w:ilvl w:val="0"/>
          <w:numId w:val="23"/>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Stephen Lawrence Charitable Trust. (2019). </w:t>
      </w:r>
      <w:r w:rsidRPr="00D84543">
        <w:rPr>
          <w:rFonts w:ascii="Arial" w:eastAsia="Times New Roman" w:hAnsi="Arial" w:cs="Arial"/>
          <w:i/>
          <w:iCs/>
          <w:color w:val="000000"/>
          <w:sz w:val="24"/>
          <w:szCs w:val="24"/>
        </w:rPr>
        <w:t>Stephen’s Story</w:t>
      </w:r>
      <w:r w:rsidRPr="00D84543">
        <w:rPr>
          <w:rFonts w:ascii="Arial" w:eastAsia="Times New Roman" w:hAnsi="Arial" w:cs="Arial"/>
          <w:color w:val="000000"/>
          <w:sz w:val="24"/>
          <w:szCs w:val="24"/>
        </w:rPr>
        <w:t xml:space="preserve">. [online] Available at: </w:t>
      </w:r>
      <w:hyperlink r:id="rId25" w:history="1">
        <w:r w:rsidRPr="00D84543">
          <w:rPr>
            <w:rFonts w:ascii="Arial" w:eastAsia="Times New Roman" w:hAnsi="Arial" w:cs="Arial"/>
            <w:color w:val="1155CC"/>
            <w:sz w:val="24"/>
            <w:szCs w:val="24"/>
            <w:u w:val="single"/>
          </w:rPr>
          <w:t>https://www.stephenlawrence.org.uk/stephen-lawrence-day/stephens-story/?gclid=Cj0KCQjw6eTtBRDdARIsANZWjYYH71EDfsS3eGvUc3qzabIgPFbNIk3uv6auOr-DO6jByFP4AlBM__EaAmfVEALw_wcB</w:t>
        </w:r>
      </w:hyperlink>
      <w:r w:rsidRPr="00D84543">
        <w:rPr>
          <w:rFonts w:ascii="Arial" w:eastAsia="Times New Roman" w:hAnsi="Arial" w:cs="Arial"/>
          <w:color w:val="000000"/>
          <w:sz w:val="24"/>
          <w:szCs w:val="24"/>
        </w:rPr>
        <w:t xml:space="preserve"> [Accessed 18 Oct. 2019].</w:t>
      </w:r>
    </w:p>
    <w:p w:rsidR="00F73DA6" w:rsidRDefault="00F73DA6" w:rsidP="00F73DA6">
      <w:pPr>
        <w:spacing w:after="0" w:line="480" w:lineRule="auto"/>
        <w:textAlignment w:val="baseline"/>
        <w:rPr>
          <w:rFonts w:ascii="Arial" w:eastAsia="Times New Roman" w:hAnsi="Arial" w:cs="Arial"/>
          <w:color w:val="000000"/>
          <w:sz w:val="24"/>
          <w:szCs w:val="24"/>
        </w:rPr>
      </w:pPr>
    </w:p>
    <w:p w:rsidR="00F73DA6" w:rsidRPr="00F73DA6" w:rsidRDefault="00F73DA6" w:rsidP="00F73DA6">
      <w:pPr>
        <w:numPr>
          <w:ilvl w:val="0"/>
          <w:numId w:val="23"/>
        </w:numPr>
        <w:spacing w:after="0" w:line="480" w:lineRule="auto"/>
        <w:textAlignment w:val="baseline"/>
        <w:rPr>
          <w:rFonts w:ascii="Arial" w:eastAsia="Times New Roman" w:hAnsi="Arial" w:cs="Arial"/>
          <w:color w:val="000000"/>
          <w:sz w:val="24"/>
          <w:szCs w:val="24"/>
        </w:rPr>
      </w:pPr>
      <w:r w:rsidRPr="00F73DA6">
        <w:rPr>
          <w:rFonts w:ascii="Arial" w:hAnsi="Arial" w:cs="Arial"/>
          <w:color w:val="000000"/>
          <w:sz w:val="24"/>
          <w:szCs w:val="24"/>
        </w:rPr>
        <w:t xml:space="preserve">University of Kent. (2019). </w:t>
      </w:r>
      <w:r w:rsidRPr="00F73DA6">
        <w:rPr>
          <w:rFonts w:ascii="Arial" w:hAnsi="Arial" w:cs="Arial"/>
          <w:i/>
          <w:iCs/>
          <w:color w:val="000000"/>
          <w:sz w:val="24"/>
          <w:szCs w:val="24"/>
        </w:rPr>
        <w:t>Assessment of Police Effectiveness, Efficiency and Legitimacy</w:t>
      </w:r>
      <w:r w:rsidRPr="00F73DA6">
        <w:rPr>
          <w:rFonts w:ascii="Arial" w:hAnsi="Arial" w:cs="Arial"/>
          <w:color w:val="000000"/>
          <w:sz w:val="24"/>
          <w:szCs w:val="24"/>
        </w:rPr>
        <w:t xml:space="preserve">. [online] Available at: </w:t>
      </w:r>
      <w:hyperlink r:id="rId26" w:history="1">
        <w:r w:rsidRPr="00F73DA6">
          <w:rPr>
            <w:rStyle w:val="Hyperlink"/>
            <w:rFonts w:ascii="Arial" w:hAnsi="Arial" w:cs="Arial"/>
            <w:color w:val="1155CC"/>
            <w:sz w:val="24"/>
            <w:szCs w:val="24"/>
          </w:rPr>
          <w:t>https://blogs.kent.ac.uk/criminaljusticenotes/2019/06/06/assessment-of-police-effectiveness-efficiency-and-legitimacy/</w:t>
        </w:r>
      </w:hyperlink>
      <w:r w:rsidRPr="00F73DA6">
        <w:rPr>
          <w:rFonts w:ascii="Arial" w:hAnsi="Arial" w:cs="Arial"/>
          <w:color w:val="000000"/>
          <w:sz w:val="24"/>
          <w:szCs w:val="24"/>
        </w:rPr>
        <w:t xml:space="preserve"> [Accessed 7 Nov.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5"/>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Walker, C. and </w:t>
      </w:r>
      <w:proofErr w:type="spellStart"/>
      <w:r w:rsidRPr="00D84543">
        <w:rPr>
          <w:rFonts w:ascii="Arial" w:eastAsia="Times New Roman" w:hAnsi="Arial" w:cs="Arial"/>
          <w:color w:val="000000"/>
          <w:sz w:val="24"/>
          <w:szCs w:val="24"/>
        </w:rPr>
        <w:t>Starmer</w:t>
      </w:r>
      <w:proofErr w:type="spellEnd"/>
      <w:r w:rsidRPr="00D84543">
        <w:rPr>
          <w:rFonts w:ascii="Arial" w:eastAsia="Times New Roman" w:hAnsi="Arial" w:cs="Arial"/>
          <w:color w:val="000000"/>
          <w:sz w:val="24"/>
          <w:szCs w:val="24"/>
        </w:rPr>
        <w:t xml:space="preserve">, K. (2004). </w:t>
      </w:r>
      <w:r w:rsidRPr="00D84543">
        <w:rPr>
          <w:rFonts w:ascii="Arial" w:eastAsia="Times New Roman" w:hAnsi="Arial" w:cs="Arial"/>
          <w:i/>
          <w:iCs/>
          <w:color w:val="000000"/>
          <w:sz w:val="24"/>
          <w:szCs w:val="24"/>
        </w:rPr>
        <w:t>Miscarriages of justice: A Review of Justice in Error</w:t>
      </w:r>
      <w:r w:rsidRPr="00D84543">
        <w:rPr>
          <w:rFonts w:ascii="Arial" w:eastAsia="Times New Roman" w:hAnsi="Arial" w:cs="Arial"/>
          <w:color w:val="000000"/>
          <w:sz w:val="24"/>
          <w:szCs w:val="24"/>
        </w:rPr>
        <w:t>. London: Oxford University Press.</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6"/>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 xml:space="preserve">Walker, C. and </w:t>
      </w:r>
      <w:proofErr w:type="spellStart"/>
      <w:r w:rsidRPr="00D84543">
        <w:rPr>
          <w:rFonts w:ascii="Arial" w:eastAsia="Times New Roman" w:hAnsi="Arial" w:cs="Arial"/>
          <w:color w:val="000000"/>
          <w:sz w:val="24"/>
          <w:szCs w:val="24"/>
        </w:rPr>
        <w:t>Starmer</w:t>
      </w:r>
      <w:proofErr w:type="spellEnd"/>
      <w:r w:rsidRPr="00D84543">
        <w:rPr>
          <w:rFonts w:ascii="Arial" w:eastAsia="Times New Roman" w:hAnsi="Arial" w:cs="Arial"/>
          <w:color w:val="000000"/>
          <w:sz w:val="24"/>
          <w:szCs w:val="24"/>
        </w:rPr>
        <w:t xml:space="preserve">, K. (1999). </w:t>
      </w:r>
      <w:r w:rsidRPr="00D84543">
        <w:rPr>
          <w:rFonts w:ascii="Arial" w:eastAsia="Times New Roman" w:hAnsi="Arial" w:cs="Arial"/>
          <w:i/>
          <w:iCs/>
          <w:color w:val="000000"/>
          <w:sz w:val="24"/>
          <w:szCs w:val="24"/>
        </w:rPr>
        <w:t>Miscarriages of justice</w:t>
      </w:r>
      <w:r w:rsidRPr="00D84543">
        <w:rPr>
          <w:rFonts w:ascii="Arial" w:eastAsia="Times New Roman" w:hAnsi="Arial" w:cs="Arial"/>
          <w:color w:val="000000"/>
          <w:sz w:val="24"/>
          <w:szCs w:val="24"/>
        </w:rPr>
        <w:t>. London: Blackstone Press.</w:t>
      </w:r>
    </w:p>
    <w:p w:rsidR="00914EA8" w:rsidRPr="00D84543" w:rsidRDefault="00914EA8" w:rsidP="00914EA8">
      <w:pPr>
        <w:spacing w:after="0" w:line="480" w:lineRule="auto"/>
        <w:ind w:left="720"/>
        <w:textAlignment w:val="baseline"/>
        <w:rPr>
          <w:rFonts w:ascii="Arial" w:eastAsia="Times New Roman" w:hAnsi="Arial" w:cs="Arial"/>
          <w:color w:val="000000"/>
          <w:sz w:val="24"/>
          <w:szCs w:val="24"/>
        </w:rPr>
      </w:pPr>
    </w:p>
    <w:p w:rsidR="00914EA8" w:rsidRPr="00D84543" w:rsidRDefault="00914EA8" w:rsidP="00914EA8">
      <w:pPr>
        <w:numPr>
          <w:ilvl w:val="0"/>
          <w:numId w:val="26"/>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Zander</w:t>
      </w:r>
      <w:proofErr w:type="spellEnd"/>
      <w:r w:rsidRPr="00D84543">
        <w:rPr>
          <w:rFonts w:ascii="Arial" w:eastAsia="Times New Roman" w:hAnsi="Arial" w:cs="Arial"/>
          <w:color w:val="000000"/>
          <w:sz w:val="24"/>
          <w:szCs w:val="24"/>
        </w:rPr>
        <w:t xml:space="preserve">, M. (2005). </w:t>
      </w:r>
      <w:r w:rsidRPr="00D84543">
        <w:rPr>
          <w:rFonts w:ascii="Arial" w:eastAsia="Times New Roman" w:hAnsi="Arial" w:cs="Arial"/>
          <w:i/>
          <w:iCs/>
          <w:color w:val="000000"/>
          <w:sz w:val="24"/>
          <w:szCs w:val="24"/>
        </w:rPr>
        <w:t>The Police and Criminal Evidence Act 1984</w:t>
      </w:r>
      <w:r w:rsidRPr="00D84543">
        <w:rPr>
          <w:rFonts w:ascii="Arial" w:eastAsia="Times New Roman" w:hAnsi="Arial" w:cs="Arial"/>
          <w:color w:val="000000"/>
          <w:sz w:val="24"/>
          <w:szCs w:val="24"/>
        </w:rPr>
        <w:t>. 5th ed. London: Sweet &amp; Maxwell.</w:t>
      </w:r>
    </w:p>
    <w:p w:rsidR="00713FE5" w:rsidRDefault="00713FE5"/>
    <w:sectPr w:rsidR="00713FE5" w:rsidSect="00B868C9">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761DB3"/>
    <w:multiLevelType w:val="multilevel"/>
    <w:tmpl w:val="2196D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D974AB"/>
    <w:multiLevelType w:val="multilevel"/>
    <w:tmpl w:val="0D607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E613FF7"/>
    <w:multiLevelType w:val="multilevel"/>
    <w:tmpl w:val="47749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43435FF"/>
    <w:multiLevelType w:val="multilevel"/>
    <w:tmpl w:val="62467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55C112D"/>
    <w:multiLevelType w:val="multilevel"/>
    <w:tmpl w:val="5E788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59654EC"/>
    <w:multiLevelType w:val="multilevel"/>
    <w:tmpl w:val="78365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B926907"/>
    <w:multiLevelType w:val="multilevel"/>
    <w:tmpl w:val="D8C47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E096BA8"/>
    <w:multiLevelType w:val="multilevel"/>
    <w:tmpl w:val="AA423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ECC3327"/>
    <w:multiLevelType w:val="multilevel"/>
    <w:tmpl w:val="142AC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EFD161E"/>
    <w:multiLevelType w:val="multilevel"/>
    <w:tmpl w:val="627CC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1E47240"/>
    <w:multiLevelType w:val="multilevel"/>
    <w:tmpl w:val="8190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2041B79"/>
    <w:multiLevelType w:val="multilevel"/>
    <w:tmpl w:val="4300E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8127C89"/>
    <w:multiLevelType w:val="multilevel"/>
    <w:tmpl w:val="E5465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0630504"/>
    <w:multiLevelType w:val="multilevel"/>
    <w:tmpl w:val="56741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07F3871"/>
    <w:multiLevelType w:val="multilevel"/>
    <w:tmpl w:val="129AE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70458AA"/>
    <w:multiLevelType w:val="multilevel"/>
    <w:tmpl w:val="7FE60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3F00C91"/>
    <w:multiLevelType w:val="multilevel"/>
    <w:tmpl w:val="A978E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2A55CAF"/>
    <w:multiLevelType w:val="multilevel"/>
    <w:tmpl w:val="D29C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6C2169F"/>
    <w:multiLevelType w:val="multilevel"/>
    <w:tmpl w:val="9A4C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D5F4151"/>
    <w:multiLevelType w:val="multilevel"/>
    <w:tmpl w:val="F92A4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D9D1BC4"/>
    <w:multiLevelType w:val="multilevel"/>
    <w:tmpl w:val="E8662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65F1C5E"/>
    <w:multiLevelType w:val="multilevel"/>
    <w:tmpl w:val="E69A3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9470885"/>
    <w:multiLevelType w:val="multilevel"/>
    <w:tmpl w:val="3342E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9EA7B51"/>
    <w:multiLevelType w:val="multilevel"/>
    <w:tmpl w:val="6A5CC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B221804"/>
    <w:multiLevelType w:val="multilevel"/>
    <w:tmpl w:val="EC484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DC54085"/>
    <w:multiLevelType w:val="multilevel"/>
    <w:tmpl w:val="E1D66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7"/>
  </w:num>
  <w:num w:numId="3">
    <w:abstractNumId w:val="0"/>
  </w:num>
  <w:num w:numId="4">
    <w:abstractNumId w:val="5"/>
  </w:num>
  <w:num w:numId="5">
    <w:abstractNumId w:val="23"/>
  </w:num>
  <w:num w:numId="6">
    <w:abstractNumId w:val="3"/>
  </w:num>
  <w:num w:numId="7">
    <w:abstractNumId w:val="6"/>
  </w:num>
  <w:num w:numId="8">
    <w:abstractNumId w:val="8"/>
  </w:num>
  <w:num w:numId="9">
    <w:abstractNumId w:val="7"/>
  </w:num>
  <w:num w:numId="10">
    <w:abstractNumId w:val="20"/>
  </w:num>
  <w:num w:numId="11">
    <w:abstractNumId w:val="4"/>
  </w:num>
  <w:num w:numId="12">
    <w:abstractNumId w:val="2"/>
  </w:num>
  <w:num w:numId="13">
    <w:abstractNumId w:val="11"/>
  </w:num>
  <w:num w:numId="14">
    <w:abstractNumId w:val="15"/>
  </w:num>
  <w:num w:numId="15">
    <w:abstractNumId w:val="13"/>
  </w:num>
  <w:num w:numId="16">
    <w:abstractNumId w:val="25"/>
  </w:num>
  <w:num w:numId="17">
    <w:abstractNumId w:val="10"/>
  </w:num>
  <w:num w:numId="18">
    <w:abstractNumId w:val="19"/>
  </w:num>
  <w:num w:numId="19">
    <w:abstractNumId w:val="21"/>
  </w:num>
  <w:num w:numId="20">
    <w:abstractNumId w:val="9"/>
  </w:num>
  <w:num w:numId="21">
    <w:abstractNumId w:val="12"/>
  </w:num>
  <w:num w:numId="22">
    <w:abstractNumId w:val="16"/>
  </w:num>
  <w:num w:numId="23">
    <w:abstractNumId w:val="14"/>
  </w:num>
  <w:num w:numId="24">
    <w:abstractNumId w:val="22"/>
  </w:num>
  <w:num w:numId="25">
    <w:abstractNumId w:val="24"/>
  </w:num>
  <w:num w:numId="2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914EA8"/>
    <w:rsid w:val="002A20E1"/>
    <w:rsid w:val="002C7988"/>
    <w:rsid w:val="00345FF2"/>
    <w:rsid w:val="00484A3D"/>
    <w:rsid w:val="004F0C14"/>
    <w:rsid w:val="0054517C"/>
    <w:rsid w:val="005E4581"/>
    <w:rsid w:val="006B35B2"/>
    <w:rsid w:val="006D02C2"/>
    <w:rsid w:val="006D6883"/>
    <w:rsid w:val="00713FE5"/>
    <w:rsid w:val="00722060"/>
    <w:rsid w:val="00752E6E"/>
    <w:rsid w:val="007662B4"/>
    <w:rsid w:val="007911FD"/>
    <w:rsid w:val="007A4CEA"/>
    <w:rsid w:val="009145E5"/>
    <w:rsid w:val="00914EA8"/>
    <w:rsid w:val="00A62B52"/>
    <w:rsid w:val="00A97587"/>
    <w:rsid w:val="00C7414F"/>
    <w:rsid w:val="00D11648"/>
    <w:rsid w:val="00D1679B"/>
    <w:rsid w:val="00D26E3F"/>
    <w:rsid w:val="00D6564C"/>
    <w:rsid w:val="00E8316F"/>
    <w:rsid w:val="00F07620"/>
    <w:rsid w:val="00F73D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56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F0C14"/>
    <w:rPr>
      <w:color w:val="0000FF"/>
      <w:u w:val="single"/>
    </w:rPr>
  </w:style>
  <w:style w:type="paragraph" w:styleId="NoSpacing">
    <w:name w:val="No Spacing"/>
    <w:link w:val="NoSpacingChar"/>
    <w:uiPriority w:val="1"/>
    <w:qFormat/>
    <w:rsid w:val="00A97587"/>
    <w:pPr>
      <w:spacing w:after="0" w:line="240" w:lineRule="auto"/>
    </w:pPr>
    <w:rPr>
      <w:lang w:val="en-US" w:eastAsia="en-US"/>
    </w:rPr>
  </w:style>
  <w:style w:type="character" w:customStyle="1" w:styleId="NoSpacingChar">
    <w:name w:val="No Spacing Char"/>
    <w:basedOn w:val="DefaultParagraphFont"/>
    <w:link w:val="NoSpacing"/>
    <w:uiPriority w:val="1"/>
    <w:rsid w:val="00A97587"/>
    <w:rPr>
      <w:lang w:val="en-US" w:eastAsia="en-US"/>
    </w:rPr>
  </w:style>
  <w:style w:type="paragraph" w:styleId="BalloonText">
    <w:name w:val="Balloon Text"/>
    <w:basedOn w:val="Normal"/>
    <w:link w:val="BalloonTextChar"/>
    <w:uiPriority w:val="99"/>
    <w:semiHidden/>
    <w:unhideWhenUsed/>
    <w:rsid w:val="00A975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58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jc/article-abstract/31/4/347/498642?redirectedFrom=PDF" TargetMode="External"/><Relationship Id="rId13" Type="http://schemas.openxmlformats.org/officeDocument/2006/relationships/hyperlink" Target="https://www.equalityhumanrights.com/sites/default/files/ehrc_stop_and_search_report.pdf" TargetMode="External"/><Relationship Id="rId18" Type="http://schemas.openxmlformats.org/officeDocument/2006/relationships/hyperlink" Target="https://scholarlycommons.law.northwestern.edu/cgi/viewcontent.cgi?article=5358&amp;context=jclc" TargetMode="External"/><Relationship Id="rId26" Type="http://schemas.openxmlformats.org/officeDocument/2006/relationships/hyperlink" Target="https://blogs.kent.ac.uk/criminaljusticenotes/2019/06/06/assessment-of-police-effectiveness-efficiency-and-legitimacy/" TargetMode="External"/><Relationship Id="rId3" Type="http://schemas.openxmlformats.org/officeDocument/2006/relationships/settings" Target="settings.xml"/><Relationship Id="rId21" Type="http://schemas.openxmlformats.org/officeDocument/2006/relationships/hyperlink" Target="https://journals.sagepub.com/doi/abs/10.1350/pojo.2010.83.1.482" TargetMode="External"/><Relationship Id="rId7" Type="http://schemas.openxmlformats.org/officeDocument/2006/relationships/hyperlink" Target="http://bcur.org/journals/index.php/Diffusion/article/download/91/76" TargetMode="External"/><Relationship Id="rId12" Type="http://schemas.openxmlformats.org/officeDocument/2006/relationships/hyperlink" Target="https://2bquk8cdew6192tsu41lay8t-wpengine.netdna-ssl.com/wp-content/uploads/2016/04/Righting-Miscarriages-of-Justice.pdf" TargetMode="External"/><Relationship Id="rId17" Type="http://schemas.openxmlformats.org/officeDocument/2006/relationships/hyperlink" Target="https://www.bbc.co.uk/news/resources/idt-sh/Lynette_White_Cardiff_Murder" TargetMode="External"/><Relationship Id="rId25" Type="http://schemas.openxmlformats.org/officeDocument/2006/relationships/hyperlink" Target="https://www.stephenlawrence.org.uk/stephen-lawrence-day/stephens-story/?gclid=Cj0KCQjw6eTtBRDdARIsANZWjYYH71EDfsS3eGvUc3qzabIgPFbNIk3uv6auOr-DO6jByFP4AlBM__EaAmfVEALw_wcB" TargetMode="External"/><Relationship Id="rId2" Type="http://schemas.openxmlformats.org/officeDocument/2006/relationships/styles" Target="styles.xml"/><Relationship Id="rId16" Type="http://schemas.openxmlformats.org/officeDocument/2006/relationships/hyperlink" Target="https://innocent.org.uk/miscarriage-of-justice-cases/" TargetMode="External"/><Relationship Id="rId20" Type="http://schemas.openxmlformats.org/officeDocument/2006/relationships/hyperlink" Target="https://www.lawteacher.net/acts/police-and-criminal-evidence-act.php"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news.bbc.co.uk/1/hi/england/7052109.stm" TargetMode="External"/><Relationship Id="rId11" Type="http://schemas.openxmlformats.org/officeDocument/2006/relationships/hyperlink" Target="https://papers.ssrn.com/sol3/papers.cfm?abstract_id=1392592" TargetMode="External"/><Relationship Id="rId24" Type="http://schemas.openxmlformats.org/officeDocument/2006/relationships/hyperlink" Target="https://www.gov.uk/government/publications/report-of-the-royal-commission-on-criminal-justice" TargetMode="External"/><Relationship Id="rId5" Type="http://schemas.openxmlformats.org/officeDocument/2006/relationships/hyperlink" Target="http://news.bbc.co.uk/hi/english/static/in_depth/uk/2001/life_of_crime/miscarriages.stm" TargetMode="External"/><Relationship Id="rId15" Type="http://schemas.openxmlformats.org/officeDocument/2006/relationships/hyperlink" Target="https://innocent.org.uk/2016/07/10/ambushed-the-story-of-judith-ward/" TargetMode="External"/><Relationship Id="rId23" Type="http://schemas.openxmlformats.org/officeDocument/2006/relationships/hyperlink" Target="http://www.legislation.gov.uk/ukpga/1984/60/contents" TargetMode="External"/><Relationship Id="rId28" Type="http://schemas.openxmlformats.org/officeDocument/2006/relationships/glossaryDocument" Target="glossary/document.xml"/><Relationship Id="rId10" Type="http://schemas.openxmlformats.org/officeDocument/2006/relationships/hyperlink" Target="https://ccrc.gov.uk/" TargetMode="External"/><Relationship Id="rId19" Type="http://schemas.openxmlformats.org/officeDocument/2006/relationships/hyperlink" Target="https://www.lawteacher.net/free-law-essays/english-legal-system/changes-in-relation-to-miscarriages-of-justice-law-essay.php" TargetMode="External"/><Relationship Id="rId4" Type="http://schemas.openxmlformats.org/officeDocument/2006/relationships/webSettings" Target="webSettings.xml"/><Relationship Id="rId9" Type="http://schemas.openxmlformats.org/officeDocument/2006/relationships/hyperlink" Target="https://www.theguardian.com/uk/2012/sep/17/cardiff-three-five-wait-justice" TargetMode="External"/><Relationship Id="rId14" Type="http://schemas.openxmlformats.org/officeDocument/2006/relationships/hyperlink" Target="http://www.psi.org.uk/publications/archivepdfs/Role%20pol/INDPOL-0.P.pdf" TargetMode="External"/><Relationship Id="rId22" Type="http://schemas.openxmlformats.org/officeDocument/2006/relationships/hyperlink" Target="https://onlinelibrary.wiley.com/doi/pdf/10.1111/j.1468-2230.1995.tb02012.x"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1FB58091BBE4C5C8248E133CC3364CA"/>
        <w:category>
          <w:name w:val="General"/>
          <w:gallery w:val="placeholder"/>
        </w:category>
        <w:types>
          <w:type w:val="bbPlcHdr"/>
        </w:types>
        <w:behaviors>
          <w:behavior w:val="content"/>
        </w:behaviors>
        <w:guid w:val="{23870FA1-EAEA-4F28-80CD-58BD65EAD36B}"/>
      </w:docPartPr>
      <w:docPartBody>
        <w:p w:rsidR="00000000" w:rsidRDefault="004A6AE1" w:rsidP="004A6AE1">
          <w:pPr>
            <w:pStyle w:val="51FB58091BBE4C5C8248E133CC3364CA"/>
          </w:pPr>
          <w:r>
            <w:rPr>
              <w:rFonts w:asciiTheme="majorHAnsi" w:eastAsiaTheme="majorEastAsia" w:hAnsiTheme="majorHAnsi" w:cstheme="majorBidi"/>
              <w:caps/>
            </w:rPr>
            <w:t>[Type the company name]</w:t>
          </w:r>
        </w:p>
      </w:docPartBody>
    </w:docPart>
    <w:docPart>
      <w:docPartPr>
        <w:name w:val="92BA773EAAAF4C668077EBA14810C351"/>
        <w:category>
          <w:name w:val="General"/>
          <w:gallery w:val="placeholder"/>
        </w:category>
        <w:types>
          <w:type w:val="bbPlcHdr"/>
        </w:types>
        <w:behaviors>
          <w:behavior w:val="content"/>
        </w:behaviors>
        <w:guid w:val="{EE24430F-3F7E-4D96-8111-FB16449E7A1B}"/>
      </w:docPartPr>
      <w:docPartBody>
        <w:p w:rsidR="00000000" w:rsidRDefault="004A6AE1" w:rsidP="004A6AE1">
          <w:pPr>
            <w:pStyle w:val="92BA773EAAAF4C668077EBA14810C351"/>
          </w:pPr>
          <w:r>
            <w:rPr>
              <w:rFonts w:asciiTheme="majorHAnsi" w:eastAsiaTheme="majorEastAsia" w:hAnsiTheme="majorHAnsi" w:cstheme="majorBidi"/>
              <w:sz w:val="80"/>
              <w:szCs w:val="80"/>
            </w:rPr>
            <w:t>[Type the document title]</w:t>
          </w:r>
        </w:p>
      </w:docPartBody>
    </w:docPart>
    <w:docPart>
      <w:docPartPr>
        <w:name w:val="78CABD5F8D694F65BE1F24ADBED95967"/>
        <w:category>
          <w:name w:val="General"/>
          <w:gallery w:val="placeholder"/>
        </w:category>
        <w:types>
          <w:type w:val="bbPlcHdr"/>
        </w:types>
        <w:behaviors>
          <w:behavior w:val="content"/>
        </w:behaviors>
        <w:guid w:val="{6A37809B-983F-45D9-9A6A-B27FC2ED84D0}"/>
      </w:docPartPr>
      <w:docPartBody>
        <w:p w:rsidR="00000000" w:rsidRDefault="004A6AE1" w:rsidP="004A6AE1">
          <w:pPr>
            <w:pStyle w:val="78CABD5F8D694F65BE1F24ADBED95967"/>
          </w:pPr>
          <w:r>
            <w:rPr>
              <w:rFonts w:asciiTheme="majorHAnsi" w:eastAsiaTheme="majorEastAsia" w:hAnsiTheme="majorHAnsi" w:cstheme="majorBidi"/>
              <w:sz w:val="44"/>
              <w:szCs w:val="44"/>
            </w:rPr>
            <w:t>[Type the document subtitle]</w:t>
          </w:r>
        </w:p>
      </w:docPartBody>
    </w:docPart>
    <w:docPart>
      <w:docPartPr>
        <w:name w:val="89B9B721C9154185AE9021781C7D3F78"/>
        <w:category>
          <w:name w:val="General"/>
          <w:gallery w:val="placeholder"/>
        </w:category>
        <w:types>
          <w:type w:val="bbPlcHdr"/>
        </w:types>
        <w:behaviors>
          <w:behavior w:val="content"/>
        </w:behaviors>
        <w:guid w:val="{29C2FA1A-EC47-4A39-92EC-FDEE69A8AF4C}"/>
      </w:docPartPr>
      <w:docPartBody>
        <w:p w:rsidR="00000000" w:rsidRDefault="004A6AE1" w:rsidP="004A6AE1">
          <w:pPr>
            <w:pStyle w:val="89B9B721C9154185AE9021781C7D3F78"/>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A6AE1"/>
    <w:rsid w:val="004043E5"/>
    <w:rsid w:val="004A6AE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FB58091BBE4C5C8248E133CC3364CA">
    <w:name w:val="51FB58091BBE4C5C8248E133CC3364CA"/>
    <w:rsid w:val="004A6AE1"/>
  </w:style>
  <w:style w:type="paragraph" w:customStyle="1" w:styleId="92BA773EAAAF4C668077EBA14810C351">
    <w:name w:val="92BA773EAAAF4C668077EBA14810C351"/>
    <w:rsid w:val="004A6AE1"/>
  </w:style>
  <w:style w:type="paragraph" w:customStyle="1" w:styleId="78CABD5F8D694F65BE1F24ADBED95967">
    <w:name w:val="78CABD5F8D694F65BE1F24ADBED95967"/>
    <w:rsid w:val="004A6AE1"/>
  </w:style>
  <w:style w:type="paragraph" w:customStyle="1" w:styleId="89B9B721C9154185AE9021781C7D3F78">
    <w:name w:val="89B9B721C9154185AE9021781C7D3F78"/>
    <w:rsid w:val="004A6AE1"/>
  </w:style>
  <w:style w:type="paragraph" w:customStyle="1" w:styleId="5E54F498387746EA87C724223A175DA7">
    <w:name w:val="5E54F498387746EA87C724223A175DA7"/>
    <w:rsid w:val="004A6AE1"/>
  </w:style>
  <w:style w:type="paragraph" w:customStyle="1" w:styleId="BEBBB7737D06446CB0B0128383EE2F45">
    <w:name w:val="BEBBB7737D06446CB0B0128383EE2F45"/>
    <w:rsid w:val="004A6AE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18</Pages>
  <Words>3644</Words>
  <Characters>20776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Understanding Policing - Assignment 1</dc:subject>
  <dc:creator>Callum Samuel - ID : 1801402</dc:creator>
  <cp:keywords/>
  <dc:description/>
  <cp:lastModifiedBy>ADMIN</cp:lastModifiedBy>
  <cp:revision>21</cp:revision>
  <dcterms:created xsi:type="dcterms:W3CDTF">2019-10-30T17:42:00Z</dcterms:created>
  <dcterms:modified xsi:type="dcterms:W3CDTF">2019-11-07T17:23:00Z</dcterms:modified>
</cp:coreProperties>
</file>