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41D168" w14:textId="47E17B68" w:rsidR="00C43F98" w:rsidRPr="00C43F98" w:rsidRDefault="00C43F98" w:rsidP="00C43F98">
      <w:pPr>
        <w:spacing w:after="360" w:line="360" w:lineRule="auto"/>
        <w:jc w:val="center"/>
        <w:rPr>
          <w:rFonts w:ascii="Times New Roman" w:hAnsi="Times New Roman" w:cs="Times New Roman"/>
          <w:b/>
          <w:bCs/>
          <w:sz w:val="28"/>
          <w:szCs w:val="28"/>
        </w:rPr>
      </w:pPr>
      <w:r w:rsidRPr="00C43F98">
        <w:rPr>
          <w:rFonts w:ascii="Times New Roman" w:hAnsi="Times New Roman" w:cs="Times New Roman"/>
          <w:b/>
          <w:bCs/>
          <w:color w:val="000000"/>
          <w:sz w:val="28"/>
          <w:szCs w:val="28"/>
        </w:rPr>
        <w:t xml:space="preserve">Strategic and Agile Customer Care at Sephora UK: Towards Inclusive, </w:t>
      </w:r>
      <w:r w:rsidRPr="00C43F98">
        <w:rPr>
          <w:rFonts w:ascii="Times New Roman" w:hAnsi="Times New Roman" w:cs="Times New Roman"/>
          <w:b/>
          <w:bCs/>
          <w:color w:val="000000"/>
          <w:sz w:val="28"/>
          <w:szCs w:val="28"/>
        </w:rPr>
        <w:t>Personalized</w:t>
      </w:r>
      <w:r w:rsidRPr="00C43F98">
        <w:rPr>
          <w:rFonts w:ascii="Times New Roman" w:hAnsi="Times New Roman" w:cs="Times New Roman"/>
          <w:b/>
          <w:bCs/>
          <w:color w:val="000000"/>
          <w:sz w:val="28"/>
          <w:szCs w:val="28"/>
        </w:rPr>
        <w:t xml:space="preserve"> Beauty Retail</w:t>
      </w:r>
    </w:p>
    <w:p w14:paraId="2F32C259" w14:textId="77777777" w:rsidR="00C43F98" w:rsidRPr="00C43F98" w:rsidRDefault="00C43F98" w:rsidP="00C43F98">
      <w:pPr>
        <w:spacing w:after="360" w:line="360" w:lineRule="auto"/>
        <w:jc w:val="center"/>
        <w:rPr>
          <w:rFonts w:ascii="Times New Roman" w:hAnsi="Times New Roman" w:cs="Times New Roman"/>
          <w:szCs w:val="24"/>
        </w:rPr>
      </w:pPr>
    </w:p>
    <w:p w14:paraId="2AA090E0" w14:textId="77777777" w:rsidR="00C43F98" w:rsidRPr="00C43F98" w:rsidRDefault="00C43F98" w:rsidP="00C43F98">
      <w:pPr>
        <w:spacing w:after="200" w:line="276" w:lineRule="auto"/>
        <w:jc w:val="center"/>
        <w:rPr>
          <w:rFonts w:ascii="Times New Roman" w:hAnsi="Times New Roman" w:cs="Times New Roman"/>
          <w:b/>
          <w:bCs/>
          <w:szCs w:val="24"/>
        </w:rPr>
      </w:pPr>
      <w:r w:rsidRPr="00C43F98">
        <w:rPr>
          <w:rFonts w:ascii="Times New Roman" w:hAnsi="Times New Roman" w:cs="Times New Roman"/>
          <w:b/>
          <w:bCs/>
          <w:szCs w:val="24"/>
        </w:rPr>
        <w:t>Name: Katukam Laxmi Krushika</w:t>
      </w:r>
    </w:p>
    <w:p w14:paraId="38603E50" w14:textId="77777777" w:rsidR="00C43F98" w:rsidRPr="00C43F98" w:rsidRDefault="00C43F98" w:rsidP="00C43F98">
      <w:pPr>
        <w:spacing w:after="200" w:line="276" w:lineRule="auto"/>
        <w:jc w:val="center"/>
        <w:rPr>
          <w:rFonts w:ascii="Times New Roman" w:hAnsi="Times New Roman" w:cs="Times New Roman"/>
          <w:b/>
          <w:bCs/>
          <w:szCs w:val="24"/>
        </w:rPr>
      </w:pPr>
      <w:r w:rsidRPr="00C43F98">
        <w:rPr>
          <w:rFonts w:ascii="Times New Roman" w:hAnsi="Times New Roman" w:cs="Times New Roman"/>
          <w:b/>
          <w:bCs/>
          <w:szCs w:val="24"/>
        </w:rPr>
        <w:t>Student Number: 2510032</w:t>
      </w:r>
    </w:p>
    <w:p w14:paraId="3735EB72" w14:textId="77777777" w:rsidR="00C43F98" w:rsidRPr="00C43F98" w:rsidRDefault="00C43F98" w:rsidP="00C43F98">
      <w:pPr>
        <w:spacing w:after="200" w:line="276" w:lineRule="auto"/>
        <w:jc w:val="center"/>
        <w:rPr>
          <w:rFonts w:ascii="Times New Roman" w:hAnsi="Times New Roman" w:cs="Times New Roman"/>
          <w:b/>
          <w:bCs/>
          <w:szCs w:val="24"/>
        </w:rPr>
      </w:pPr>
      <w:r w:rsidRPr="00C43F98">
        <w:rPr>
          <w:rFonts w:ascii="Times New Roman" w:hAnsi="Times New Roman" w:cs="Times New Roman"/>
          <w:b/>
          <w:bCs/>
          <w:szCs w:val="24"/>
        </w:rPr>
        <w:t>Module Code: BMMB7027</w:t>
      </w:r>
    </w:p>
    <w:p w14:paraId="4BE25A81" w14:textId="77777777" w:rsidR="00C43F98" w:rsidRPr="00C43F98" w:rsidRDefault="00C43F98" w:rsidP="00C43F98">
      <w:pPr>
        <w:spacing w:after="200" w:line="276" w:lineRule="auto"/>
        <w:jc w:val="center"/>
        <w:rPr>
          <w:rFonts w:ascii="Times New Roman" w:hAnsi="Times New Roman" w:cs="Times New Roman"/>
          <w:b/>
          <w:bCs/>
          <w:szCs w:val="24"/>
        </w:rPr>
      </w:pPr>
      <w:r w:rsidRPr="00C43F98">
        <w:rPr>
          <w:rFonts w:ascii="Times New Roman" w:hAnsi="Times New Roman" w:cs="Times New Roman"/>
          <w:b/>
          <w:bCs/>
          <w:szCs w:val="24"/>
        </w:rPr>
        <w:t>Module Name: Strategic and Agile Business Management</w:t>
      </w:r>
    </w:p>
    <w:p w14:paraId="31ED4556" w14:textId="753D4DE6" w:rsidR="00C43F98" w:rsidRDefault="00C43F98">
      <w:pPr>
        <w:spacing w:after="200" w:line="276" w:lineRule="auto"/>
        <w:rPr>
          <w:rFonts w:ascii="Times New Roman" w:hAnsi="Times New Roman" w:cs="Times New Roman"/>
          <w:szCs w:val="24"/>
        </w:rPr>
      </w:pPr>
      <w:r>
        <w:rPr>
          <w:rFonts w:ascii="Times New Roman" w:hAnsi="Times New Roman" w:cs="Times New Roman"/>
          <w:szCs w:val="24"/>
        </w:rPr>
        <w:br w:type="page"/>
      </w:r>
    </w:p>
    <w:sdt>
      <w:sdtPr>
        <w:id w:val="1573384970"/>
        <w:docPartObj>
          <w:docPartGallery w:val="Table of Contents"/>
          <w:docPartUnique/>
        </w:docPartObj>
      </w:sdtPr>
      <w:sdtEndPr>
        <w:rPr>
          <w:rFonts w:ascii="Arial" w:eastAsia="Arial" w:hAnsi="Arial" w:cstheme="minorBidi"/>
          <w:noProof/>
          <w:sz w:val="24"/>
          <w:szCs w:val="22"/>
        </w:rPr>
      </w:sdtEndPr>
      <w:sdtContent>
        <w:p w14:paraId="13FB3ED5" w14:textId="57714153" w:rsidR="00C43F98" w:rsidRDefault="00C43F98">
          <w:pPr>
            <w:pStyle w:val="TOCHeading"/>
          </w:pPr>
          <w:r>
            <w:t>Table of Contents</w:t>
          </w:r>
        </w:p>
        <w:p w14:paraId="05620ECC" w14:textId="73E37DA4" w:rsidR="00C43F98" w:rsidRDefault="00C43F98">
          <w:pPr>
            <w:pStyle w:val="TOC1"/>
            <w:tabs>
              <w:tab w:val="right" w:leader="dot" w:pos="9062"/>
            </w:tabs>
            <w:rPr>
              <w:rFonts w:eastAsiaTheme="minorEastAsia"/>
              <w:b w:val="0"/>
              <w:bCs w:val="0"/>
              <w:i w:val="0"/>
              <w:iCs w:val="0"/>
              <w:noProof/>
              <w:kern w:val="2"/>
              <w:lang w:val="en-IN" w:eastAsia="en-GB"/>
              <w14:ligatures w14:val="standardContextual"/>
            </w:rPr>
          </w:pPr>
          <w:r>
            <w:rPr>
              <w:b w:val="0"/>
              <w:bCs w:val="0"/>
            </w:rPr>
            <w:fldChar w:fldCharType="begin"/>
          </w:r>
          <w:r>
            <w:instrText xml:space="preserve"> TOC \o "1-3" \h \z \u </w:instrText>
          </w:r>
          <w:r>
            <w:rPr>
              <w:b w:val="0"/>
              <w:bCs w:val="0"/>
            </w:rPr>
            <w:fldChar w:fldCharType="separate"/>
          </w:r>
          <w:hyperlink w:anchor="_Toc233721765" w:history="1">
            <w:r w:rsidRPr="005C1D11">
              <w:rPr>
                <w:rStyle w:val="Hyperlink"/>
                <w:rFonts w:ascii="Times New Roman" w:hAnsi="Times New Roman" w:cs="Times New Roman"/>
                <w:noProof/>
              </w:rPr>
              <w:t>Executive Summary</w:t>
            </w:r>
            <w:r>
              <w:rPr>
                <w:noProof/>
                <w:webHidden/>
              </w:rPr>
              <w:tab/>
            </w:r>
            <w:r>
              <w:rPr>
                <w:noProof/>
                <w:webHidden/>
              </w:rPr>
              <w:fldChar w:fldCharType="begin"/>
            </w:r>
            <w:r>
              <w:rPr>
                <w:noProof/>
                <w:webHidden/>
              </w:rPr>
              <w:instrText xml:space="preserve"> PAGEREF _Toc233721765 \h </w:instrText>
            </w:r>
            <w:r>
              <w:rPr>
                <w:noProof/>
                <w:webHidden/>
              </w:rPr>
            </w:r>
            <w:r>
              <w:rPr>
                <w:noProof/>
                <w:webHidden/>
              </w:rPr>
              <w:fldChar w:fldCharType="separate"/>
            </w:r>
            <w:r>
              <w:rPr>
                <w:noProof/>
                <w:webHidden/>
              </w:rPr>
              <w:t>3</w:t>
            </w:r>
            <w:r>
              <w:rPr>
                <w:noProof/>
                <w:webHidden/>
              </w:rPr>
              <w:fldChar w:fldCharType="end"/>
            </w:r>
          </w:hyperlink>
        </w:p>
        <w:p w14:paraId="1DDE58E4" w14:textId="3D616F3C" w:rsidR="00C43F98" w:rsidRDefault="00C43F98">
          <w:pPr>
            <w:pStyle w:val="TOC1"/>
            <w:tabs>
              <w:tab w:val="right" w:leader="dot" w:pos="9062"/>
            </w:tabs>
            <w:rPr>
              <w:rFonts w:eastAsiaTheme="minorEastAsia"/>
              <w:b w:val="0"/>
              <w:bCs w:val="0"/>
              <w:i w:val="0"/>
              <w:iCs w:val="0"/>
              <w:noProof/>
              <w:kern w:val="2"/>
              <w:lang w:val="en-IN" w:eastAsia="en-GB"/>
              <w14:ligatures w14:val="standardContextual"/>
            </w:rPr>
          </w:pPr>
          <w:hyperlink w:anchor="_Toc233721766" w:history="1">
            <w:r w:rsidRPr="005C1D11">
              <w:rPr>
                <w:rStyle w:val="Hyperlink"/>
                <w:rFonts w:ascii="Times New Roman" w:hAnsi="Times New Roman" w:cs="Times New Roman"/>
                <w:noProof/>
              </w:rPr>
              <w:t>1. Introduction</w:t>
            </w:r>
            <w:r>
              <w:rPr>
                <w:noProof/>
                <w:webHidden/>
              </w:rPr>
              <w:tab/>
            </w:r>
            <w:r>
              <w:rPr>
                <w:noProof/>
                <w:webHidden/>
              </w:rPr>
              <w:fldChar w:fldCharType="begin"/>
            </w:r>
            <w:r>
              <w:rPr>
                <w:noProof/>
                <w:webHidden/>
              </w:rPr>
              <w:instrText xml:space="preserve"> PAGEREF _Toc233721766 \h </w:instrText>
            </w:r>
            <w:r>
              <w:rPr>
                <w:noProof/>
                <w:webHidden/>
              </w:rPr>
            </w:r>
            <w:r>
              <w:rPr>
                <w:noProof/>
                <w:webHidden/>
              </w:rPr>
              <w:fldChar w:fldCharType="separate"/>
            </w:r>
            <w:r>
              <w:rPr>
                <w:noProof/>
                <w:webHidden/>
              </w:rPr>
              <w:t>3</w:t>
            </w:r>
            <w:r>
              <w:rPr>
                <w:noProof/>
                <w:webHidden/>
              </w:rPr>
              <w:fldChar w:fldCharType="end"/>
            </w:r>
          </w:hyperlink>
        </w:p>
        <w:p w14:paraId="7604DFD1" w14:textId="20468E57" w:rsidR="00C43F98" w:rsidRDefault="00C43F98">
          <w:pPr>
            <w:pStyle w:val="TOC1"/>
            <w:tabs>
              <w:tab w:val="right" w:leader="dot" w:pos="9062"/>
            </w:tabs>
            <w:rPr>
              <w:rFonts w:eastAsiaTheme="minorEastAsia"/>
              <w:b w:val="0"/>
              <w:bCs w:val="0"/>
              <w:i w:val="0"/>
              <w:iCs w:val="0"/>
              <w:noProof/>
              <w:kern w:val="2"/>
              <w:lang w:val="en-IN" w:eastAsia="en-GB"/>
              <w14:ligatures w14:val="standardContextual"/>
            </w:rPr>
          </w:pPr>
          <w:hyperlink w:anchor="_Toc233721767" w:history="1">
            <w:r w:rsidRPr="005C1D11">
              <w:rPr>
                <w:rStyle w:val="Hyperlink"/>
                <w:rFonts w:ascii="Times New Roman" w:hAnsi="Times New Roman" w:cs="Times New Roman"/>
                <w:noProof/>
              </w:rPr>
              <w:t>2. Main Findings of Strategic Analysis</w:t>
            </w:r>
            <w:r>
              <w:rPr>
                <w:noProof/>
                <w:webHidden/>
              </w:rPr>
              <w:tab/>
            </w:r>
            <w:r>
              <w:rPr>
                <w:noProof/>
                <w:webHidden/>
              </w:rPr>
              <w:fldChar w:fldCharType="begin"/>
            </w:r>
            <w:r>
              <w:rPr>
                <w:noProof/>
                <w:webHidden/>
              </w:rPr>
              <w:instrText xml:space="preserve"> PAGEREF _Toc233721767 \h </w:instrText>
            </w:r>
            <w:r>
              <w:rPr>
                <w:noProof/>
                <w:webHidden/>
              </w:rPr>
            </w:r>
            <w:r>
              <w:rPr>
                <w:noProof/>
                <w:webHidden/>
              </w:rPr>
              <w:fldChar w:fldCharType="separate"/>
            </w:r>
            <w:r>
              <w:rPr>
                <w:noProof/>
                <w:webHidden/>
              </w:rPr>
              <w:t>5</w:t>
            </w:r>
            <w:r>
              <w:rPr>
                <w:noProof/>
                <w:webHidden/>
              </w:rPr>
              <w:fldChar w:fldCharType="end"/>
            </w:r>
          </w:hyperlink>
        </w:p>
        <w:p w14:paraId="340B4F96" w14:textId="269ED3B3" w:rsidR="00C43F98" w:rsidRDefault="00C43F98">
          <w:pPr>
            <w:pStyle w:val="TOC1"/>
            <w:tabs>
              <w:tab w:val="right" w:leader="dot" w:pos="9062"/>
            </w:tabs>
            <w:rPr>
              <w:rFonts w:eastAsiaTheme="minorEastAsia"/>
              <w:b w:val="0"/>
              <w:bCs w:val="0"/>
              <w:i w:val="0"/>
              <w:iCs w:val="0"/>
              <w:noProof/>
              <w:kern w:val="2"/>
              <w:lang w:val="en-IN" w:eastAsia="en-GB"/>
              <w14:ligatures w14:val="standardContextual"/>
            </w:rPr>
          </w:pPr>
          <w:hyperlink w:anchor="_Toc233721768" w:history="1">
            <w:r w:rsidRPr="005C1D11">
              <w:rPr>
                <w:rStyle w:val="Hyperlink"/>
                <w:rFonts w:ascii="Times New Roman" w:hAnsi="Times New Roman" w:cs="Times New Roman"/>
                <w:noProof/>
              </w:rPr>
              <w:t>2.1 External Environment: PESTLE Analysis</w:t>
            </w:r>
            <w:r>
              <w:rPr>
                <w:noProof/>
                <w:webHidden/>
              </w:rPr>
              <w:tab/>
            </w:r>
            <w:r>
              <w:rPr>
                <w:noProof/>
                <w:webHidden/>
              </w:rPr>
              <w:fldChar w:fldCharType="begin"/>
            </w:r>
            <w:r>
              <w:rPr>
                <w:noProof/>
                <w:webHidden/>
              </w:rPr>
              <w:instrText xml:space="preserve"> PAGEREF _Toc233721768 \h </w:instrText>
            </w:r>
            <w:r>
              <w:rPr>
                <w:noProof/>
                <w:webHidden/>
              </w:rPr>
            </w:r>
            <w:r>
              <w:rPr>
                <w:noProof/>
                <w:webHidden/>
              </w:rPr>
              <w:fldChar w:fldCharType="separate"/>
            </w:r>
            <w:r>
              <w:rPr>
                <w:noProof/>
                <w:webHidden/>
              </w:rPr>
              <w:t>5</w:t>
            </w:r>
            <w:r>
              <w:rPr>
                <w:noProof/>
                <w:webHidden/>
              </w:rPr>
              <w:fldChar w:fldCharType="end"/>
            </w:r>
          </w:hyperlink>
        </w:p>
        <w:p w14:paraId="30F8EE4E" w14:textId="58E2F3A3" w:rsidR="00C43F98" w:rsidRDefault="00C43F98">
          <w:pPr>
            <w:pStyle w:val="TOC1"/>
            <w:tabs>
              <w:tab w:val="right" w:leader="dot" w:pos="9062"/>
            </w:tabs>
            <w:rPr>
              <w:rFonts w:eastAsiaTheme="minorEastAsia"/>
              <w:b w:val="0"/>
              <w:bCs w:val="0"/>
              <w:i w:val="0"/>
              <w:iCs w:val="0"/>
              <w:noProof/>
              <w:kern w:val="2"/>
              <w:lang w:val="en-IN" w:eastAsia="en-GB"/>
              <w14:ligatures w14:val="standardContextual"/>
            </w:rPr>
          </w:pPr>
          <w:hyperlink w:anchor="_Toc233721769" w:history="1">
            <w:r w:rsidRPr="005C1D11">
              <w:rPr>
                <w:rStyle w:val="Hyperlink"/>
                <w:rFonts w:ascii="Times New Roman" w:hAnsi="Times New Roman" w:cs="Times New Roman"/>
                <w:noProof/>
              </w:rPr>
              <w:t>2.2 Stakeholder and Customer Journey Analysis</w:t>
            </w:r>
            <w:r>
              <w:rPr>
                <w:noProof/>
                <w:webHidden/>
              </w:rPr>
              <w:tab/>
            </w:r>
            <w:r>
              <w:rPr>
                <w:noProof/>
                <w:webHidden/>
              </w:rPr>
              <w:fldChar w:fldCharType="begin"/>
            </w:r>
            <w:r>
              <w:rPr>
                <w:noProof/>
                <w:webHidden/>
              </w:rPr>
              <w:instrText xml:space="preserve"> PAGEREF _Toc233721769 \h </w:instrText>
            </w:r>
            <w:r>
              <w:rPr>
                <w:noProof/>
                <w:webHidden/>
              </w:rPr>
            </w:r>
            <w:r>
              <w:rPr>
                <w:noProof/>
                <w:webHidden/>
              </w:rPr>
              <w:fldChar w:fldCharType="separate"/>
            </w:r>
            <w:r>
              <w:rPr>
                <w:noProof/>
                <w:webHidden/>
              </w:rPr>
              <w:t>7</w:t>
            </w:r>
            <w:r>
              <w:rPr>
                <w:noProof/>
                <w:webHidden/>
              </w:rPr>
              <w:fldChar w:fldCharType="end"/>
            </w:r>
          </w:hyperlink>
        </w:p>
        <w:p w14:paraId="58DB04BF" w14:textId="2556B9C7" w:rsidR="00C43F98" w:rsidRDefault="00C43F98">
          <w:pPr>
            <w:pStyle w:val="TOC1"/>
            <w:tabs>
              <w:tab w:val="right" w:leader="dot" w:pos="9062"/>
            </w:tabs>
            <w:rPr>
              <w:rFonts w:eastAsiaTheme="minorEastAsia"/>
              <w:b w:val="0"/>
              <w:bCs w:val="0"/>
              <w:i w:val="0"/>
              <w:iCs w:val="0"/>
              <w:noProof/>
              <w:kern w:val="2"/>
              <w:lang w:val="en-IN" w:eastAsia="en-GB"/>
              <w14:ligatures w14:val="standardContextual"/>
            </w:rPr>
          </w:pPr>
          <w:hyperlink w:anchor="_Toc233721770" w:history="1">
            <w:r w:rsidRPr="005C1D11">
              <w:rPr>
                <w:rStyle w:val="Hyperlink"/>
                <w:rFonts w:ascii="Times New Roman" w:hAnsi="Times New Roman" w:cs="Times New Roman"/>
                <w:noProof/>
              </w:rPr>
              <w:t>2.3 Internal Analysis: VRIO and Dynamic Capabilities</w:t>
            </w:r>
            <w:r>
              <w:rPr>
                <w:noProof/>
                <w:webHidden/>
              </w:rPr>
              <w:tab/>
            </w:r>
            <w:r>
              <w:rPr>
                <w:noProof/>
                <w:webHidden/>
              </w:rPr>
              <w:fldChar w:fldCharType="begin"/>
            </w:r>
            <w:r>
              <w:rPr>
                <w:noProof/>
                <w:webHidden/>
              </w:rPr>
              <w:instrText xml:space="preserve"> PAGEREF _Toc233721770 \h </w:instrText>
            </w:r>
            <w:r>
              <w:rPr>
                <w:noProof/>
                <w:webHidden/>
              </w:rPr>
            </w:r>
            <w:r>
              <w:rPr>
                <w:noProof/>
                <w:webHidden/>
              </w:rPr>
              <w:fldChar w:fldCharType="separate"/>
            </w:r>
            <w:r>
              <w:rPr>
                <w:noProof/>
                <w:webHidden/>
              </w:rPr>
              <w:t>9</w:t>
            </w:r>
            <w:r>
              <w:rPr>
                <w:noProof/>
                <w:webHidden/>
              </w:rPr>
              <w:fldChar w:fldCharType="end"/>
            </w:r>
          </w:hyperlink>
        </w:p>
        <w:p w14:paraId="6551E821" w14:textId="291ADCD3" w:rsidR="00C43F98" w:rsidRDefault="00C43F98">
          <w:pPr>
            <w:pStyle w:val="TOC1"/>
            <w:tabs>
              <w:tab w:val="right" w:leader="dot" w:pos="9062"/>
            </w:tabs>
            <w:rPr>
              <w:rFonts w:eastAsiaTheme="minorEastAsia"/>
              <w:b w:val="0"/>
              <w:bCs w:val="0"/>
              <w:i w:val="0"/>
              <w:iCs w:val="0"/>
              <w:noProof/>
              <w:kern w:val="2"/>
              <w:lang w:val="en-IN" w:eastAsia="en-GB"/>
              <w14:ligatures w14:val="standardContextual"/>
            </w:rPr>
          </w:pPr>
          <w:hyperlink w:anchor="_Toc233721771" w:history="1">
            <w:r w:rsidRPr="005C1D11">
              <w:rPr>
                <w:rStyle w:val="Hyperlink"/>
                <w:rFonts w:ascii="Times New Roman" w:hAnsi="Times New Roman" w:cs="Times New Roman"/>
                <w:noProof/>
              </w:rPr>
              <w:t>3. Critical Evaluation of Strategic Options for Personalised Customer Care</w:t>
            </w:r>
            <w:r>
              <w:rPr>
                <w:noProof/>
                <w:webHidden/>
              </w:rPr>
              <w:tab/>
            </w:r>
            <w:r>
              <w:rPr>
                <w:noProof/>
                <w:webHidden/>
              </w:rPr>
              <w:fldChar w:fldCharType="begin"/>
            </w:r>
            <w:r>
              <w:rPr>
                <w:noProof/>
                <w:webHidden/>
              </w:rPr>
              <w:instrText xml:space="preserve"> PAGEREF _Toc233721771 \h </w:instrText>
            </w:r>
            <w:r>
              <w:rPr>
                <w:noProof/>
                <w:webHidden/>
              </w:rPr>
            </w:r>
            <w:r>
              <w:rPr>
                <w:noProof/>
                <w:webHidden/>
              </w:rPr>
              <w:fldChar w:fldCharType="separate"/>
            </w:r>
            <w:r>
              <w:rPr>
                <w:noProof/>
                <w:webHidden/>
              </w:rPr>
              <w:t>11</w:t>
            </w:r>
            <w:r>
              <w:rPr>
                <w:noProof/>
                <w:webHidden/>
              </w:rPr>
              <w:fldChar w:fldCharType="end"/>
            </w:r>
          </w:hyperlink>
        </w:p>
        <w:p w14:paraId="1243248A" w14:textId="50BCDCEA" w:rsidR="00C43F98" w:rsidRDefault="00C43F98">
          <w:pPr>
            <w:pStyle w:val="TOC1"/>
            <w:tabs>
              <w:tab w:val="right" w:leader="dot" w:pos="9062"/>
            </w:tabs>
            <w:rPr>
              <w:rFonts w:eastAsiaTheme="minorEastAsia"/>
              <w:b w:val="0"/>
              <w:bCs w:val="0"/>
              <w:i w:val="0"/>
              <w:iCs w:val="0"/>
              <w:noProof/>
              <w:kern w:val="2"/>
              <w:lang w:val="en-IN" w:eastAsia="en-GB"/>
              <w14:ligatures w14:val="standardContextual"/>
            </w:rPr>
          </w:pPr>
          <w:hyperlink w:anchor="_Toc233721772" w:history="1">
            <w:r w:rsidRPr="005C1D11">
              <w:rPr>
                <w:rStyle w:val="Hyperlink"/>
                <w:rFonts w:ascii="Times New Roman" w:hAnsi="Times New Roman" w:cs="Times New Roman"/>
                <w:noProof/>
              </w:rPr>
              <w:t>4. Wider Organisational Implications</w:t>
            </w:r>
            <w:r>
              <w:rPr>
                <w:noProof/>
                <w:webHidden/>
              </w:rPr>
              <w:tab/>
            </w:r>
            <w:r>
              <w:rPr>
                <w:noProof/>
                <w:webHidden/>
              </w:rPr>
              <w:fldChar w:fldCharType="begin"/>
            </w:r>
            <w:r>
              <w:rPr>
                <w:noProof/>
                <w:webHidden/>
              </w:rPr>
              <w:instrText xml:space="preserve"> PAGEREF _Toc233721772 \h </w:instrText>
            </w:r>
            <w:r>
              <w:rPr>
                <w:noProof/>
                <w:webHidden/>
              </w:rPr>
            </w:r>
            <w:r>
              <w:rPr>
                <w:noProof/>
                <w:webHidden/>
              </w:rPr>
              <w:fldChar w:fldCharType="separate"/>
            </w:r>
            <w:r>
              <w:rPr>
                <w:noProof/>
                <w:webHidden/>
              </w:rPr>
              <w:t>14</w:t>
            </w:r>
            <w:r>
              <w:rPr>
                <w:noProof/>
                <w:webHidden/>
              </w:rPr>
              <w:fldChar w:fldCharType="end"/>
            </w:r>
          </w:hyperlink>
        </w:p>
        <w:p w14:paraId="34DD80D9" w14:textId="0DFDA068" w:rsidR="00C43F98" w:rsidRDefault="00C43F98">
          <w:pPr>
            <w:pStyle w:val="TOC1"/>
            <w:tabs>
              <w:tab w:val="right" w:leader="dot" w:pos="9062"/>
            </w:tabs>
            <w:rPr>
              <w:rFonts w:eastAsiaTheme="minorEastAsia"/>
              <w:b w:val="0"/>
              <w:bCs w:val="0"/>
              <w:i w:val="0"/>
              <w:iCs w:val="0"/>
              <w:noProof/>
              <w:kern w:val="2"/>
              <w:lang w:val="en-IN" w:eastAsia="en-GB"/>
              <w14:ligatures w14:val="standardContextual"/>
            </w:rPr>
          </w:pPr>
          <w:hyperlink w:anchor="_Toc233721773" w:history="1">
            <w:r w:rsidRPr="005C1D11">
              <w:rPr>
                <w:rStyle w:val="Hyperlink"/>
                <w:rFonts w:ascii="Times New Roman" w:hAnsi="Times New Roman" w:cs="Times New Roman"/>
                <w:noProof/>
              </w:rPr>
              <w:t>5. Recommendations</w:t>
            </w:r>
            <w:r>
              <w:rPr>
                <w:noProof/>
                <w:webHidden/>
              </w:rPr>
              <w:tab/>
            </w:r>
            <w:r>
              <w:rPr>
                <w:noProof/>
                <w:webHidden/>
              </w:rPr>
              <w:fldChar w:fldCharType="begin"/>
            </w:r>
            <w:r>
              <w:rPr>
                <w:noProof/>
                <w:webHidden/>
              </w:rPr>
              <w:instrText xml:space="preserve"> PAGEREF _Toc233721773 \h </w:instrText>
            </w:r>
            <w:r>
              <w:rPr>
                <w:noProof/>
                <w:webHidden/>
              </w:rPr>
            </w:r>
            <w:r>
              <w:rPr>
                <w:noProof/>
                <w:webHidden/>
              </w:rPr>
              <w:fldChar w:fldCharType="separate"/>
            </w:r>
            <w:r>
              <w:rPr>
                <w:noProof/>
                <w:webHidden/>
              </w:rPr>
              <w:t>15</w:t>
            </w:r>
            <w:r>
              <w:rPr>
                <w:noProof/>
                <w:webHidden/>
              </w:rPr>
              <w:fldChar w:fldCharType="end"/>
            </w:r>
          </w:hyperlink>
        </w:p>
        <w:p w14:paraId="30A4DFF2" w14:textId="41B8232F" w:rsidR="00C43F98" w:rsidRDefault="00C43F98">
          <w:pPr>
            <w:pStyle w:val="TOC1"/>
            <w:tabs>
              <w:tab w:val="right" w:leader="dot" w:pos="9062"/>
            </w:tabs>
            <w:rPr>
              <w:rFonts w:eastAsiaTheme="minorEastAsia"/>
              <w:b w:val="0"/>
              <w:bCs w:val="0"/>
              <w:i w:val="0"/>
              <w:iCs w:val="0"/>
              <w:noProof/>
              <w:kern w:val="2"/>
              <w:lang w:val="en-IN" w:eastAsia="en-GB"/>
              <w14:ligatures w14:val="standardContextual"/>
            </w:rPr>
          </w:pPr>
          <w:hyperlink w:anchor="_Toc233721774" w:history="1">
            <w:r w:rsidRPr="005C1D11">
              <w:rPr>
                <w:rStyle w:val="Hyperlink"/>
                <w:rFonts w:ascii="Times New Roman" w:hAnsi="Times New Roman" w:cs="Times New Roman"/>
                <w:noProof/>
              </w:rPr>
              <w:t>5.1 Key Performance Indicators and Control</w:t>
            </w:r>
            <w:r>
              <w:rPr>
                <w:noProof/>
                <w:webHidden/>
              </w:rPr>
              <w:tab/>
            </w:r>
            <w:r>
              <w:rPr>
                <w:noProof/>
                <w:webHidden/>
              </w:rPr>
              <w:fldChar w:fldCharType="begin"/>
            </w:r>
            <w:r>
              <w:rPr>
                <w:noProof/>
                <w:webHidden/>
              </w:rPr>
              <w:instrText xml:space="preserve"> PAGEREF _Toc233721774 \h </w:instrText>
            </w:r>
            <w:r>
              <w:rPr>
                <w:noProof/>
                <w:webHidden/>
              </w:rPr>
            </w:r>
            <w:r>
              <w:rPr>
                <w:noProof/>
                <w:webHidden/>
              </w:rPr>
              <w:fldChar w:fldCharType="separate"/>
            </w:r>
            <w:r>
              <w:rPr>
                <w:noProof/>
                <w:webHidden/>
              </w:rPr>
              <w:t>18</w:t>
            </w:r>
            <w:r>
              <w:rPr>
                <w:noProof/>
                <w:webHidden/>
              </w:rPr>
              <w:fldChar w:fldCharType="end"/>
            </w:r>
          </w:hyperlink>
        </w:p>
        <w:p w14:paraId="40301BF5" w14:textId="0E1F2C83" w:rsidR="00C43F98" w:rsidRDefault="00C43F98">
          <w:pPr>
            <w:pStyle w:val="TOC1"/>
            <w:tabs>
              <w:tab w:val="right" w:leader="dot" w:pos="9062"/>
            </w:tabs>
            <w:rPr>
              <w:rFonts w:eastAsiaTheme="minorEastAsia"/>
              <w:b w:val="0"/>
              <w:bCs w:val="0"/>
              <w:i w:val="0"/>
              <w:iCs w:val="0"/>
              <w:noProof/>
              <w:kern w:val="2"/>
              <w:lang w:val="en-IN" w:eastAsia="en-GB"/>
              <w14:ligatures w14:val="standardContextual"/>
            </w:rPr>
          </w:pPr>
          <w:hyperlink w:anchor="_Toc233721775" w:history="1">
            <w:r w:rsidRPr="005C1D11">
              <w:rPr>
                <w:rStyle w:val="Hyperlink"/>
                <w:rFonts w:ascii="Times New Roman" w:hAnsi="Times New Roman" w:cs="Times New Roman"/>
                <w:noProof/>
              </w:rPr>
              <w:t>6. Conclusion</w:t>
            </w:r>
            <w:r>
              <w:rPr>
                <w:noProof/>
                <w:webHidden/>
              </w:rPr>
              <w:tab/>
            </w:r>
            <w:r>
              <w:rPr>
                <w:noProof/>
                <w:webHidden/>
              </w:rPr>
              <w:fldChar w:fldCharType="begin"/>
            </w:r>
            <w:r>
              <w:rPr>
                <w:noProof/>
                <w:webHidden/>
              </w:rPr>
              <w:instrText xml:space="preserve"> PAGEREF _Toc233721775 \h </w:instrText>
            </w:r>
            <w:r>
              <w:rPr>
                <w:noProof/>
                <w:webHidden/>
              </w:rPr>
            </w:r>
            <w:r>
              <w:rPr>
                <w:noProof/>
                <w:webHidden/>
              </w:rPr>
              <w:fldChar w:fldCharType="separate"/>
            </w:r>
            <w:r>
              <w:rPr>
                <w:noProof/>
                <w:webHidden/>
              </w:rPr>
              <w:t>18</w:t>
            </w:r>
            <w:r>
              <w:rPr>
                <w:noProof/>
                <w:webHidden/>
              </w:rPr>
              <w:fldChar w:fldCharType="end"/>
            </w:r>
          </w:hyperlink>
        </w:p>
        <w:p w14:paraId="10AD6611" w14:textId="2E9B9F48" w:rsidR="00C43F98" w:rsidRDefault="00C43F98">
          <w:pPr>
            <w:pStyle w:val="TOC1"/>
            <w:tabs>
              <w:tab w:val="right" w:leader="dot" w:pos="9062"/>
            </w:tabs>
            <w:rPr>
              <w:rFonts w:eastAsiaTheme="minorEastAsia"/>
              <w:b w:val="0"/>
              <w:bCs w:val="0"/>
              <w:i w:val="0"/>
              <w:iCs w:val="0"/>
              <w:noProof/>
              <w:kern w:val="2"/>
              <w:lang w:val="en-IN" w:eastAsia="en-GB"/>
              <w14:ligatures w14:val="standardContextual"/>
            </w:rPr>
          </w:pPr>
          <w:hyperlink w:anchor="_Toc233721776" w:history="1">
            <w:r w:rsidRPr="005C1D11">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_Toc233721776 \h </w:instrText>
            </w:r>
            <w:r>
              <w:rPr>
                <w:noProof/>
                <w:webHidden/>
              </w:rPr>
            </w:r>
            <w:r>
              <w:rPr>
                <w:noProof/>
                <w:webHidden/>
              </w:rPr>
              <w:fldChar w:fldCharType="separate"/>
            </w:r>
            <w:r>
              <w:rPr>
                <w:noProof/>
                <w:webHidden/>
              </w:rPr>
              <w:t>20</w:t>
            </w:r>
            <w:r>
              <w:rPr>
                <w:noProof/>
                <w:webHidden/>
              </w:rPr>
              <w:fldChar w:fldCharType="end"/>
            </w:r>
          </w:hyperlink>
        </w:p>
        <w:p w14:paraId="28A62B13" w14:textId="67314868" w:rsidR="00C43F98" w:rsidRDefault="00C43F98">
          <w:r>
            <w:rPr>
              <w:b/>
              <w:bCs/>
              <w:noProof/>
            </w:rPr>
            <w:fldChar w:fldCharType="end"/>
          </w:r>
        </w:p>
      </w:sdtContent>
    </w:sdt>
    <w:p w14:paraId="3BADD18E" w14:textId="35AC66B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br w:type="page"/>
      </w:r>
    </w:p>
    <w:p w14:paraId="164CFB8C" w14:textId="77777777" w:rsidR="0065704F" w:rsidRPr="00C43F98" w:rsidRDefault="00000000" w:rsidP="00C43F98">
      <w:pPr>
        <w:pStyle w:val="Heading1"/>
        <w:spacing w:before="240" w:after="120" w:line="360" w:lineRule="auto"/>
        <w:rPr>
          <w:rFonts w:ascii="Times New Roman" w:hAnsi="Times New Roman" w:cs="Times New Roman"/>
        </w:rPr>
      </w:pPr>
      <w:bookmarkStart w:id="0" w:name="_Toc233721765"/>
      <w:r w:rsidRPr="00C43F98">
        <w:rPr>
          <w:rFonts w:ascii="Times New Roman" w:eastAsia="Arial" w:hAnsi="Times New Roman" w:cs="Times New Roman"/>
        </w:rPr>
        <w:lastRenderedPageBreak/>
        <w:t>Executive Summary</w:t>
      </w:r>
      <w:bookmarkEnd w:id="0"/>
    </w:p>
    <w:p w14:paraId="225ADDDD"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This report reviews Sephora's strategic direction, focusing on how personalised, inclusive and agile customer care can strengthen resilience in UK beauty retail. Sephora is a global prestige beauty retailer owned by LVMH, operating through open-sell stores, curated brands, beauty services, loyalty platforms and digital channels (Sephora, 2026; LVMH, 2026a). In 2025, LVMH's Selective Retailing division recorded revenue of EUR18.3 billion and recurring operating profit of EUR1.8 billion, with Sephora highlighted as a strong performer (LVMH, 2026b).</w:t>
      </w:r>
    </w:p>
    <w:p w14:paraId="12FE1D03"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The UK context gives Sephora both opportunity and pressure. The UK is one of Europe's largest cosmetics and personal care markets, with Cosmetics Europe estimating retail sales at EUR14.7 billion in 2025 (Cosmetics Europe, 2026). Since returning through Feelunique and opening physical stores from 2023 onwards, Sephora has gained visibility in a market already served by Boots, Space NK, Cult Beauty, Lookfantastic, department stores, Amazon and social-commerce platforms (Cosmetics Business, 2022; Euromonitor, 2025). The strategic issue is whether Sephora can convert launch excitement into durable trust and repeat purchase across stores, app, website, loyalty programme and social channels.</w:t>
      </w:r>
    </w:p>
    <w:p w14:paraId="39ABB8A2"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The report uses PESTLE, stakeholder analysis, customer journey analysis, VRIO, dynamic capabilities, SOSTAC and SAF evaluation. The analysis shows valuable resources: brand recognition, LVMH backing, curated exclusives, beauty-adviser expertise, loyalty data, physical stores and an experiential retail model. However, customer care is complex because beauty advice is personal and linked to identity, skin tone, skin condition, age, gender expression, budget, ingredient concerns and trust in claims.</w:t>
      </w:r>
    </w:p>
    <w:p w14:paraId="0BD6EFB4"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Three strategic options are evaluated: an AI-assisted personalised beauty adviser; inclusive service excellence and trusted beauty education; and an agile omnichannel loyalty and community-care model. The recommended strategy is Sephora BeautyCare 360, combining responsible personalisation, human expertise, inclusive service standards, transparent product guidance, post-purchase support and agile learning loops. It is suitable because it responds to external market change, acceptable because it creates stakeholder value, and feasible because it builds on Sephora's existing digital, retail and brand capabilities.</w:t>
      </w:r>
    </w:p>
    <w:p w14:paraId="4FB67F7E" w14:textId="77777777" w:rsidR="0065704F" w:rsidRPr="00C43F98" w:rsidRDefault="00000000" w:rsidP="00C43F98">
      <w:pPr>
        <w:pStyle w:val="Heading1"/>
        <w:spacing w:before="240" w:after="120" w:line="360" w:lineRule="auto"/>
        <w:rPr>
          <w:rFonts w:ascii="Times New Roman" w:hAnsi="Times New Roman" w:cs="Times New Roman"/>
        </w:rPr>
      </w:pPr>
      <w:bookmarkStart w:id="1" w:name="_Toc233721766"/>
      <w:r w:rsidRPr="00C43F98">
        <w:rPr>
          <w:rFonts w:ascii="Times New Roman" w:eastAsia="Arial" w:hAnsi="Times New Roman" w:cs="Times New Roman"/>
        </w:rPr>
        <w:t>1. Introduction</w:t>
      </w:r>
      <w:bookmarkEnd w:id="1"/>
    </w:p>
    <w:p w14:paraId="2745D9F8"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 xml:space="preserve">Sephora operates at the intersection of beauty retail, digital commerce, experiential service and community culture. Its proposition is not simply to sell cosmetics; it helps customers </w:t>
      </w:r>
      <w:r w:rsidRPr="00C43F98">
        <w:rPr>
          <w:rFonts w:ascii="Times New Roman" w:hAnsi="Times New Roman" w:cs="Times New Roman"/>
          <w:szCs w:val="24"/>
        </w:rPr>
        <w:lastRenderedPageBreak/>
        <w:t>discover products, experiment with trends, receive advice and express identity. Customer experience research shows that value is formed across linked interactions rather than at a single transaction point (Pine and Gilmore, 1998; Meyer and Schwager, 2007; Becker and Jaakkola, 2020). Because beauty is personal, a poor recommendation, mismatched foundation shade, unclear ingredient claim, delayed order or dismissive interaction can damage trust quickly.</w:t>
      </w:r>
    </w:p>
    <w:p w14:paraId="3DC7C6BA"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The purpose of this report is to review Sephora’s strategic direction and identify approaches related to strategic and agile business management, with a particular focus on personalised customer care. The assignment requires a strategic analysis of the chosen organisation, external and internal analysis, critical evaluation of strategic options, consideration of wider organisational implications and justified recommendations in a professional report format (UWTSD, 2026). The report is written for Sephora’s senior management in the UK context, whilst recognising that Sephora’s capabilities and constraints are shaped by its global ownership within LVMH.</w:t>
      </w:r>
    </w:p>
    <w:p w14:paraId="341F99EC"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The analysis is based on secondary research from academic literature, LVMH corporate publications, Sephora UK material, regulatory sources and industry research. It applies PESTLE, stakeholder analysis, customer journey analysis, VRIO, dynamic capabilities, SOSTAC and SAF as analytical lenses rather than descriptive templates, because Sephora's customer-care challenge is best understood through stakeholder trust, experience design, strategic capability and agile implementation.</w:t>
      </w:r>
    </w:p>
    <w:p w14:paraId="3B60D018"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Sephora’s current position is promising. LVMH presents Sephora as a key growth engine within Selective Retailing, and the UK has become a visible expansion market (LVMH, 2026b; LVMH, 2026c). Sephora UK also operates MySephora, an app, website, store services and a growing physical network (Sephora UK, 2026a; Sephora UK, 2026b). As Sephora scales across UK cities, it must ensure consistent advice, inclusive treatment, transparent information, reliable fulfilment and fair support across touchpoints.</w:t>
      </w:r>
    </w:p>
    <w:p w14:paraId="0C1C0F00"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The central argument is that Sephora's next phase of advantage should be built around trusted personalisation. Personalisation can strengthen loyalty and product discovery, but it can also become intrusive, biased or commercially manipulative if poorly governed (Huang and Rust, 2021; ICO, 2023). Trust can differentiate Sephora from marketplaces and price-led online retailers only if it is operationalised through human expertise, inclusive service, ethical data use and reliable recovery. The recommended direction is therefore a broader agile capability: sensing beauty needs, responding quickly and converting insight into more inclusive, reliable and personalised care.</w:t>
      </w:r>
    </w:p>
    <w:p w14:paraId="2B782428" w14:textId="6DFFBAA7" w:rsidR="0065704F" w:rsidRPr="00C43F98" w:rsidRDefault="00000000" w:rsidP="00C43F98">
      <w:pPr>
        <w:pStyle w:val="Heading1"/>
        <w:spacing w:before="240" w:after="120" w:line="360" w:lineRule="auto"/>
        <w:rPr>
          <w:rFonts w:ascii="Times New Roman" w:hAnsi="Times New Roman" w:cs="Times New Roman"/>
        </w:rPr>
      </w:pPr>
      <w:bookmarkStart w:id="2" w:name="_Toc233721767"/>
      <w:r w:rsidRPr="00C43F98">
        <w:rPr>
          <w:rFonts w:ascii="Times New Roman" w:eastAsia="Arial" w:hAnsi="Times New Roman" w:cs="Times New Roman"/>
        </w:rPr>
        <w:lastRenderedPageBreak/>
        <w:t>2. Main Findings of Strategic Analysis</w:t>
      </w:r>
      <w:bookmarkEnd w:id="2"/>
    </w:p>
    <w:p w14:paraId="3B0FCC00" w14:textId="77777777" w:rsidR="0065704F" w:rsidRPr="00C43F98" w:rsidRDefault="00000000" w:rsidP="00C43F98">
      <w:pPr>
        <w:pStyle w:val="Heading1"/>
        <w:spacing w:before="240" w:after="120" w:line="360" w:lineRule="auto"/>
        <w:rPr>
          <w:rFonts w:ascii="Times New Roman" w:hAnsi="Times New Roman" w:cs="Times New Roman"/>
        </w:rPr>
      </w:pPr>
      <w:bookmarkStart w:id="3" w:name="_Toc233721768"/>
      <w:r w:rsidRPr="00C43F98">
        <w:rPr>
          <w:rFonts w:ascii="Times New Roman" w:eastAsia="Arial" w:hAnsi="Times New Roman" w:cs="Times New Roman"/>
        </w:rPr>
        <w:t>2.1 External Environment: PESTLE Analysis</w:t>
      </w:r>
      <w:bookmarkEnd w:id="3"/>
    </w:p>
    <w:p w14:paraId="6812020D"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Sephora's external environment is attractive, but less forgiving than store-opening excitement may suggest. The global beauty market remains resilient: McKinsey expects global beauty to grow by around 5 per cent annually through 2030, although growth is becoming more complex as consumers become more selective and digital discovery fragments (McKinsey &amp; Company, 2026). UK beauty also remains commercially significant, but shoppers compare prices, ingredients, creator reviews and value claims across many channels (British Beauty Council, 2025; Statista, 2026). For Sephora, personalised care must therefore support better decisions, not merely larger baskets.</w:t>
      </w:r>
    </w:p>
    <w:p w14:paraId="15E595B3"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Politically and legally, the UK retail environment places growing emphasis on fairness, transparency and consumer protection. The Consumer Rights Act 2015 and distance-selling rules influence product returns and online order support, whilst the Competition and Markets Authority has increased attention on online choice architecture and pricing practices (GOV.UK, 2026; CMA, 2025). Sephora’s customer care should therefore be clear on promotions, loyalty rewards, delivery charges, returns and product availability. A beauty customer who feels misled by a promotion or confused by loyalty conditions may not separate that issue from Sephora’s wider brand promise.</w:t>
      </w:r>
    </w:p>
    <w:p w14:paraId="23ACB9DD"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 xml:space="preserve">Technological change creates both opportunity and risk. Beauty customers increasingly expect digital search, reviews, virtual try-on, influencer content, shade matching and app-based service, reflecting wider retail technology shifts (Grewal, Roggeveen and Nordfält, 2017; Shankar et al., 2021). Sephora's model already combines stores, e-commerce and loyalty platforms, but beauty data can be sensitive. Skin concerns, pregnancy-safe ingredients, hair texture, allergies and shade profiles may reveal personal characteristics. UK AI guidance emphasises fairness, transparency, accountability and risk management (ICO, 2023). Sephora can use AI to improve </w:t>
      </w:r>
      <w:proofErr w:type="gramStart"/>
      <w:r w:rsidRPr="00C43F98">
        <w:rPr>
          <w:rFonts w:ascii="Times New Roman" w:hAnsi="Times New Roman" w:cs="Times New Roman"/>
          <w:szCs w:val="24"/>
        </w:rPr>
        <w:t>advice, but</w:t>
      </w:r>
      <w:proofErr w:type="gramEnd"/>
      <w:r w:rsidRPr="00C43F98">
        <w:rPr>
          <w:rFonts w:ascii="Times New Roman" w:hAnsi="Times New Roman" w:cs="Times New Roman"/>
          <w:szCs w:val="24"/>
        </w:rPr>
        <w:t xml:space="preserve"> must avoid opaque profiling or recommendations that feel exploitative.</w:t>
      </w:r>
    </w:p>
    <w:p w14:paraId="346311DA"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Socially, beauty is tied to self-expression and inclusion. Sephora’s DE&amp;I material positions inclusion as central to the employee, customer and brand-partner experience (Sephora, 2025). Customers judge beauty retailers not only by range but also by whether they feel seen. If Sephora’s advice and store experience feel genuinely inclusive, customer care becomes a brand asset; if inconsistent, public criticism can spread rapidly through social media.</w:t>
      </w:r>
    </w:p>
    <w:p w14:paraId="57B0A55F"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lastRenderedPageBreak/>
        <w:t>Environmentally, beauty retail faces scrutiny around packaging, samples, disposability, product waste and ingredient sustainability. Customers may welcome newness, but they also question overconsumption and vague 'clean beauty' claims (British Beauty Council, 2025). From a CSR perspective, responsible retail requires visible practices rather than symbolic messaging (Carroll, 1991). For customer care, this means informed choices, fewer wasteful returns, recycling support and cautious sustainability communication. The PESTLE analysis suggests that Sephora's challenge is to build a care system that is transparent, inclusive, data-responsible and agile.</w:t>
      </w:r>
    </w:p>
    <w:p w14:paraId="2EC50ACC" w14:textId="77777777" w:rsidR="0065704F" w:rsidRPr="00C43F98" w:rsidRDefault="00000000" w:rsidP="00C43F98">
      <w:pPr>
        <w:spacing w:before="120" w:after="60" w:line="360" w:lineRule="auto"/>
        <w:rPr>
          <w:rFonts w:ascii="Times New Roman" w:hAnsi="Times New Roman" w:cs="Times New Roman"/>
          <w:sz w:val="28"/>
          <w:szCs w:val="28"/>
        </w:rPr>
      </w:pPr>
      <w:r w:rsidRPr="00C43F98">
        <w:rPr>
          <w:rFonts w:ascii="Times New Roman" w:hAnsi="Times New Roman" w:cs="Times New Roman"/>
          <w:b/>
          <w:sz w:val="28"/>
          <w:szCs w:val="28"/>
        </w:rPr>
        <w:t>Table 1: PESTLE summary for Sephora UK</w:t>
      </w:r>
    </w:p>
    <w:tbl>
      <w:tblPr>
        <w:tblStyle w:val="TableGrid"/>
        <w:tblW w:w="0" w:type="auto"/>
        <w:jc w:val="center"/>
        <w:tblLook w:val="04A0" w:firstRow="1" w:lastRow="0" w:firstColumn="1" w:lastColumn="0" w:noHBand="0" w:noVBand="1"/>
      </w:tblPr>
      <w:tblGrid>
        <w:gridCol w:w="3020"/>
        <w:gridCol w:w="3021"/>
        <w:gridCol w:w="3021"/>
      </w:tblGrid>
      <w:tr w:rsidR="0065704F" w:rsidRPr="00C43F98" w14:paraId="4E4B3826" w14:textId="77777777">
        <w:trPr>
          <w:tblHeader/>
          <w:jc w:val="center"/>
        </w:trPr>
        <w:tc>
          <w:tcPr>
            <w:tcW w:w="3024" w:type="dxa"/>
            <w:tcBorders>
              <w:top w:val="single" w:sz="4" w:space="0" w:color="888888"/>
              <w:left w:val="single" w:sz="4" w:space="0" w:color="888888"/>
              <w:bottom w:val="single" w:sz="4" w:space="0" w:color="888888"/>
              <w:right w:val="single" w:sz="4" w:space="0" w:color="888888"/>
            </w:tcBorders>
            <w:shd w:val="clear" w:color="auto" w:fill="D9EAF7"/>
          </w:tcPr>
          <w:p w14:paraId="583C136B"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b/>
                <w:szCs w:val="24"/>
              </w:rPr>
              <w:t>PESTLE factor</w:t>
            </w:r>
          </w:p>
        </w:tc>
        <w:tc>
          <w:tcPr>
            <w:tcW w:w="3024" w:type="dxa"/>
            <w:tcBorders>
              <w:top w:val="single" w:sz="4" w:space="0" w:color="888888"/>
              <w:left w:val="single" w:sz="4" w:space="0" w:color="888888"/>
              <w:bottom w:val="single" w:sz="4" w:space="0" w:color="888888"/>
              <w:right w:val="single" w:sz="4" w:space="0" w:color="888888"/>
            </w:tcBorders>
            <w:shd w:val="clear" w:color="auto" w:fill="D9EAF7"/>
          </w:tcPr>
          <w:p w14:paraId="13C1CB83"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b/>
                <w:szCs w:val="24"/>
              </w:rPr>
              <w:t>Key issue for Sephora UK</w:t>
            </w:r>
          </w:p>
        </w:tc>
        <w:tc>
          <w:tcPr>
            <w:tcW w:w="3024" w:type="dxa"/>
            <w:tcBorders>
              <w:top w:val="single" w:sz="4" w:space="0" w:color="888888"/>
              <w:left w:val="single" w:sz="4" w:space="0" w:color="888888"/>
              <w:bottom w:val="single" w:sz="4" w:space="0" w:color="888888"/>
              <w:right w:val="single" w:sz="4" w:space="0" w:color="888888"/>
            </w:tcBorders>
            <w:shd w:val="clear" w:color="auto" w:fill="D9EAF7"/>
          </w:tcPr>
          <w:p w14:paraId="0CA919B0"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b/>
                <w:szCs w:val="24"/>
              </w:rPr>
              <w:t>Strategic implication for customer care</w:t>
            </w:r>
          </w:p>
        </w:tc>
      </w:tr>
      <w:tr w:rsidR="0065704F" w:rsidRPr="00C43F98" w14:paraId="6B239EB9" w14:textId="77777777">
        <w:trPr>
          <w:jc w:val="center"/>
        </w:trPr>
        <w:tc>
          <w:tcPr>
            <w:tcW w:w="3024" w:type="dxa"/>
            <w:tcBorders>
              <w:top w:val="single" w:sz="4" w:space="0" w:color="888888"/>
              <w:left w:val="single" w:sz="4" w:space="0" w:color="888888"/>
              <w:bottom w:val="single" w:sz="4" w:space="0" w:color="888888"/>
              <w:right w:val="single" w:sz="4" w:space="0" w:color="888888"/>
            </w:tcBorders>
          </w:tcPr>
          <w:p w14:paraId="36B5E106"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Political</w:t>
            </w:r>
          </w:p>
        </w:tc>
        <w:tc>
          <w:tcPr>
            <w:tcW w:w="3024" w:type="dxa"/>
            <w:tcBorders>
              <w:top w:val="single" w:sz="4" w:space="0" w:color="888888"/>
              <w:left w:val="single" w:sz="4" w:space="0" w:color="888888"/>
              <w:bottom w:val="single" w:sz="4" w:space="0" w:color="888888"/>
              <w:right w:val="single" w:sz="4" w:space="0" w:color="888888"/>
            </w:tcBorders>
          </w:tcPr>
          <w:p w14:paraId="7A866723"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Consumer protection, online pricing scrutiny, responsible retail practice and pressure on business transparency.</w:t>
            </w:r>
          </w:p>
        </w:tc>
        <w:tc>
          <w:tcPr>
            <w:tcW w:w="3024" w:type="dxa"/>
            <w:tcBorders>
              <w:top w:val="single" w:sz="4" w:space="0" w:color="888888"/>
              <w:left w:val="single" w:sz="4" w:space="0" w:color="888888"/>
              <w:bottom w:val="single" w:sz="4" w:space="0" w:color="888888"/>
              <w:right w:val="single" w:sz="4" w:space="0" w:color="888888"/>
            </w:tcBorders>
          </w:tcPr>
          <w:p w14:paraId="112FA041"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Customer care must avoid confusing promotions, hidden conditions and weak complaint handling.</w:t>
            </w:r>
          </w:p>
        </w:tc>
      </w:tr>
      <w:tr w:rsidR="0065704F" w:rsidRPr="00C43F98" w14:paraId="747720A1" w14:textId="77777777">
        <w:trPr>
          <w:jc w:val="center"/>
        </w:trPr>
        <w:tc>
          <w:tcPr>
            <w:tcW w:w="3024" w:type="dxa"/>
            <w:tcBorders>
              <w:top w:val="single" w:sz="4" w:space="0" w:color="888888"/>
              <w:left w:val="single" w:sz="4" w:space="0" w:color="888888"/>
              <w:bottom w:val="single" w:sz="4" w:space="0" w:color="888888"/>
              <w:right w:val="single" w:sz="4" w:space="0" w:color="888888"/>
            </w:tcBorders>
          </w:tcPr>
          <w:p w14:paraId="508D197D"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Economic</w:t>
            </w:r>
          </w:p>
        </w:tc>
        <w:tc>
          <w:tcPr>
            <w:tcW w:w="3024" w:type="dxa"/>
            <w:tcBorders>
              <w:top w:val="single" w:sz="4" w:space="0" w:color="888888"/>
              <w:left w:val="single" w:sz="4" w:space="0" w:color="888888"/>
              <w:bottom w:val="single" w:sz="4" w:space="0" w:color="888888"/>
              <w:right w:val="single" w:sz="4" w:space="0" w:color="888888"/>
            </w:tcBorders>
          </w:tcPr>
          <w:p w14:paraId="5017BB08"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Cost-of-living pressure encourages value scrutiny, even in resilient beauty categories.</w:t>
            </w:r>
          </w:p>
        </w:tc>
        <w:tc>
          <w:tcPr>
            <w:tcW w:w="3024" w:type="dxa"/>
            <w:tcBorders>
              <w:top w:val="single" w:sz="4" w:space="0" w:color="888888"/>
              <w:left w:val="single" w:sz="4" w:space="0" w:color="888888"/>
              <w:bottom w:val="single" w:sz="4" w:space="0" w:color="888888"/>
              <w:right w:val="single" w:sz="4" w:space="0" w:color="888888"/>
            </w:tcBorders>
          </w:tcPr>
          <w:p w14:paraId="396F0DF4"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Advice must help customers choose suitable products by need, budget and efficacy, not only by trend.</w:t>
            </w:r>
          </w:p>
        </w:tc>
      </w:tr>
      <w:tr w:rsidR="0065704F" w:rsidRPr="00C43F98" w14:paraId="5DDECB18" w14:textId="77777777">
        <w:trPr>
          <w:jc w:val="center"/>
        </w:trPr>
        <w:tc>
          <w:tcPr>
            <w:tcW w:w="3024" w:type="dxa"/>
            <w:tcBorders>
              <w:top w:val="single" w:sz="4" w:space="0" w:color="888888"/>
              <w:left w:val="single" w:sz="4" w:space="0" w:color="888888"/>
              <w:bottom w:val="single" w:sz="4" w:space="0" w:color="888888"/>
              <w:right w:val="single" w:sz="4" w:space="0" w:color="888888"/>
            </w:tcBorders>
          </w:tcPr>
          <w:p w14:paraId="192BBC46"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Social</w:t>
            </w:r>
          </w:p>
        </w:tc>
        <w:tc>
          <w:tcPr>
            <w:tcW w:w="3024" w:type="dxa"/>
            <w:tcBorders>
              <w:top w:val="single" w:sz="4" w:space="0" w:color="888888"/>
              <w:left w:val="single" w:sz="4" w:space="0" w:color="888888"/>
              <w:bottom w:val="single" w:sz="4" w:space="0" w:color="888888"/>
              <w:right w:val="single" w:sz="4" w:space="0" w:color="888888"/>
            </w:tcBorders>
          </w:tcPr>
          <w:p w14:paraId="3DE27F9A"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Beauty is increasingly shaped by inclusivity, identity, skin diversity, wellness and social media communities.</w:t>
            </w:r>
          </w:p>
        </w:tc>
        <w:tc>
          <w:tcPr>
            <w:tcW w:w="3024" w:type="dxa"/>
            <w:tcBorders>
              <w:top w:val="single" w:sz="4" w:space="0" w:color="888888"/>
              <w:left w:val="single" w:sz="4" w:space="0" w:color="888888"/>
              <w:bottom w:val="single" w:sz="4" w:space="0" w:color="888888"/>
              <w:right w:val="single" w:sz="4" w:space="0" w:color="888888"/>
            </w:tcBorders>
          </w:tcPr>
          <w:p w14:paraId="35461D4C"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Service standards must protect customers from exclusion, bias and poor shade or skin-type advice.</w:t>
            </w:r>
          </w:p>
        </w:tc>
      </w:tr>
      <w:tr w:rsidR="0065704F" w:rsidRPr="00C43F98" w14:paraId="4FE0C076" w14:textId="77777777">
        <w:trPr>
          <w:jc w:val="center"/>
        </w:trPr>
        <w:tc>
          <w:tcPr>
            <w:tcW w:w="3024" w:type="dxa"/>
            <w:tcBorders>
              <w:top w:val="single" w:sz="4" w:space="0" w:color="888888"/>
              <w:left w:val="single" w:sz="4" w:space="0" w:color="888888"/>
              <w:bottom w:val="single" w:sz="4" w:space="0" w:color="888888"/>
              <w:right w:val="single" w:sz="4" w:space="0" w:color="888888"/>
            </w:tcBorders>
          </w:tcPr>
          <w:p w14:paraId="4722336E"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Technological</w:t>
            </w:r>
          </w:p>
        </w:tc>
        <w:tc>
          <w:tcPr>
            <w:tcW w:w="3024" w:type="dxa"/>
            <w:tcBorders>
              <w:top w:val="single" w:sz="4" w:space="0" w:color="888888"/>
              <w:left w:val="single" w:sz="4" w:space="0" w:color="888888"/>
              <w:bottom w:val="single" w:sz="4" w:space="0" w:color="888888"/>
              <w:right w:val="single" w:sz="4" w:space="0" w:color="888888"/>
            </w:tcBorders>
          </w:tcPr>
          <w:p w14:paraId="061BE964"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AI, apps, virtual try-on, reviews, social commerce and data-led personalisation are changing discovery.</w:t>
            </w:r>
          </w:p>
        </w:tc>
        <w:tc>
          <w:tcPr>
            <w:tcW w:w="3024" w:type="dxa"/>
            <w:tcBorders>
              <w:top w:val="single" w:sz="4" w:space="0" w:color="888888"/>
              <w:left w:val="single" w:sz="4" w:space="0" w:color="888888"/>
              <w:bottom w:val="single" w:sz="4" w:space="0" w:color="888888"/>
              <w:right w:val="single" w:sz="4" w:space="0" w:color="888888"/>
            </w:tcBorders>
          </w:tcPr>
          <w:p w14:paraId="77D5606A"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Digital tools should augment advisers and provide transparent, consent-based recommendations.</w:t>
            </w:r>
          </w:p>
        </w:tc>
      </w:tr>
      <w:tr w:rsidR="0065704F" w:rsidRPr="00C43F98" w14:paraId="435D926B" w14:textId="77777777">
        <w:trPr>
          <w:jc w:val="center"/>
        </w:trPr>
        <w:tc>
          <w:tcPr>
            <w:tcW w:w="3024" w:type="dxa"/>
            <w:tcBorders>
              <w:top w:val="single" w:sz="4" w:space="0" w:color="888888"/>
              <w:left w:val="single" w:sz="4" w:space="0" w:color="888888"/>
              <w:bottom w:val="single" w:sz="4" w:space="0" w:color="888888"/>
              <w:right w:val="single" w:sz="4" w:space="0" w:color="888888"/>
            </w:tcBorders>
          </w:tcPr>
          <w:p w14:paraId="7C4455BE"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Legal</w:t>
            </w:r>
          </w:p>
        </w:tc>
        <w:tc>
          <w:tcPr>
            <w:tcW w:w="3024" w:type="dxa"/>
            <w:tcBorders>
              <w:top w:val="single" w:sz="4" w:space="0" w:color="888888"/>
              <w:left w:val="single" w:sz="4" w:space="0" w:color="888888"/>
              <w:bottom w:val="single" w:sz="4" w:space="0" w:color="888888"/>
              <w:right w:val="single" w:sz="4" w:space="0" w:color="888888"/>
            </w:tcBorders>
          </w:tcPr>
          <w:p w14:paraId="649A42EC"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UK GDPR, consumer rights, cosmetic product safety and claims regulation shape beauty retail.</w:t>
            </w:r>
          </w:p>
        </w:tc>
        <w:tc>
          <w:tcPr>
            <w:tcW w:w="3024" w:type="dxa"/>
            <w:tcBorders>
              <w:top w:val="single" w:sz="4" w:space="0" w:color="888888"/>
              <w:left w:val="single" w:sz="4" w:space="0" w:color="888888"/>
              <w:bottom w:val="single" w:sz="4" w:space="0" w:color="888888"/>
              <w:right w:val="single" w:sz="4" w:space="0" w:color="888888"/>
            </w:tcBorders>
          </w:tcPr>
          <w:p w14:paraId="0D063CF7"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Personal data, returns, product claims and ingredient information must be clear and compliant.</w:t>
            </w:r>
          </w:p>
        </w:tc>
      </w:tr>
      <w:tr w:rsidR="0065704F" w:rsidRPr="00C43F98" w14:paraId="7A2187DF" w14:textId="77777777">
        <w:trPr>
          <w:jc w:val="center"/>
        </w:trPr>
        <w:tc>
          <w:tcPr>
            <w:tcW w:w="3024" w:type="dxa"/>
            <w:tcBorders>
              <w:top w:val="single" w:sz="4" w:space="0" w:color="888888"/>
              <w:left w:val="single" w:sz="4" w:space="0" w:color="888888"/>
              <w:bottom w:val="single" w:sz="4" w:space="0" w:color="888888"/>
              <w:right w:val="single" w:sz="4" w:space="0" w:color="888888"/>
            </w:tcBorders>
          </w:tcPr>
          <w:p w14:paraId="77C6DFAB"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Environmental</w:t>
            </w:r>
          </w:p>
        </w:tc>
        <w:tc>
          <w:tcPr>
            <w:tcW w:w="3024" w:type="dxa"/>
            <w:tcBorders>
              <w:top w:val="single" w:sz="4" w:space="0" w:color="888888"/>
              <w:left w:val="single" w:sz="4" w:space="0" w:color="888888"/>
              <w:bottom w:val="single" w:sz="4" w:space="0" w:color="888888"/>
              <w:right w:val="single" w:sz="4" w:space="0" w:color="888888"/>
            </w:tcBorders>
          </w:tcPr>
          <w:p w14:paraId="237FAA4B"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 xml:space="preserve">Customers and regulators </w:t>
            </w:r>
            <w:r w:rsidRPr="00C43F98">
              <w:rPr>
                <w:rFonts w:ascii="Times New Roman" w:hAnsi="Times New Roman" w:cs="Times New Roman"/>
                <w:szCs w:val="24"/>
              </w:rPr>
              <w:lastRenderedPageBreak/>
              <w:t>increasingly question packaging waste, overconsumption, ingredients and supply-chain impact.</w:t>
            </w:r>
          </w:p>
        </w:tc>
        <w:tc>
          <w:tcPr>
            <w:tcW w:w="3024" w:type="dxa"/>
            <w:tcBorders>
              <w:top w:val="single" w:sz="4" w:space="0" w:color="888888"/>
              <w:left w:val="single" w:sz="4" w:space="0" w:color="888888"/>
              <w:bottom w:val="single" w:sz="4" w:space="0" w:color="888888"/>
              <w:right w:val="single" w:sz="4" w:space="0" w:color="888888"/>
            </w:tcBorders>
          </w:tcPr>
          <w:p w14:paraId="73B4CCCB"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lastRenderedPageBreak/>
              <w:t xml:space="preserve">Care should include refill, </w:t>
            </w:r>
            <w:r w:rsidRPr="00C43F98">
              <w:rPr>
                <w:rFonts w:ascii="Times New Roman" w:hAnsi="Times New Roman" w:cs="Times New Roman"/>
                <w:szCs w:val="24"/>
              </w:rPr>
              <w:lastRenderedPageBreak/>
              <w:t>recycling, responsible sampling and credible sustainability information.</w:t>
            </w:r>
          </w:p>
        </w:tc>
      </w:tr>
    </w:tbl>
    <w:p w14:paraId="73666713" w14:textId="77777777" w:rsidR="0065704F" w:rsidRPr="00C43F98" w:rsidRDefault="0065704F" w:rsidP="00C43F98">
      <w:pPr>
        <w:spacing w:after="0" w:line="360" w:lineRule="auto"/>
        <w:rPr>
          <w:rFonts w:ascii="Times New Roman" w:hAnsi="Times New Roman" w:cs="Times New Roman"/>
          <w:szCs w:val="24"/>
        </w:rPr>
      </w:pPr>
    </w:p>
    <w:p w14:paraId="3A8D47DA" w14:textId="77777777" w:rsidR="0065704F" w:rsidRPr="00C43F98" w:rsidRDefault="00000000" w:rsidP="00C43F98">
      <w:pPr>
        <w:pStyle w:val="Heading1"/>
        <w:spacing w:before="240" w:after="120" w:line="360" w:lineRule="auto"/>
        <w:rPr>
          <w:rFonts w:ascii="Times New Roman" w:hAnsi="Times New Roman" w:cs="Times New Roman"/>
        </w:rPr>
      </w:pPr>
      <w:bookmarkStart w:id="4" w:name="_Toc233721769"/>
      <w:r w:rsidRPr="00C43F98">
        <w:rPr>
          <w:rFonts w:ascii="Times New Roman" w:eastAsia="Arial" w:hAnsi="Times New Roman" w:cs="Times New Roman"/>
        </w:rPr>
        <w:t>2.2 Stakeholder and Customer Journey Analysis</w:t>
      </w:r>
      <w:bookmarkEnd w:id="4"/>
    </w:p>
    <w:p w14:paraId="590A4B16"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A stakeholder lens is particularly useful because Sephora’s care challenge is not confined to a buyer-seller transaction. The customer-care experience is shaped by store advisers, digital teams, logistics partners, brand suppliers, regulators, content creators and the LVMH group. Freeman’s stakeholder perspective is relevant here because Sephora’s long-term success depends on balancing the claims of groups that can affect, or are affected by, the organisation’s strategy (Freeman, 1984). In beauty retail, these claims are often connected: stronger training improves customer confidence, clearer brand education reduces complaints, and better data governance protects both customers and the business.</w:t>
      </w:r>
    </w:p>
    <w:p w14:paraId="7AEF8379"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Customers are the most visible stakeholder group, but they are not a single group with identical needs. Sephora serves beauty enthusiasts, occasional shoppers, gift buyers, skincare beginners, fragrance collectors, younger trend followers and older customers looking for reliable advice. Some customers want experimentation; others want reassurance. The same digital personalisation that delights a confident beauty enthusiast may unsettle a customer who is worried about skin sensitivity or privacy. Customer care should therefore be flexible enough to recognise different confidence levels, budgets, access needs and service preferences.</w:t>
      </w:r>
    </w:p>
    <w:p w14:paraId="5193BC28"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Store teams and beauty advisers are strategic stakeholders because Sephora’s brand promise often becomes real through a face-to-face conversation. If advisers are under-trained, over-targeted or unsupported by digital information, personalisation becomes inconsistent. Conversely, if employees can see relevant customer preferences, stock information, loyalty context and product education, they can deliver advice that is both warmer and more accurate. This reflects the service-dominant logic view that value is co-created through interaction rather than simply embedded in products (Vargo and Lusch, 2004; Prahalad and Ramaswamy, 2004).</w:t>
      </w:r>
    </w:p>
    <w:p w14:paraId="2BA62678"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lastRenderedPageBreak/>
        <w:t>Customer journey analysis shows that Sephora's care system must extend beyond purchase. Beauty customers often need help before and after buying because they may be building a routine, matching a shade, checking an ingredient, managing a skin reaction or judging value. Customer experience is formed across multiple touchpoints, so Sephora must link social discovery, store advice, app activity, loyalty rewards, fulfilment, returns and follow-up education (Lemon and Verhoef, 2016; Becker and Jaakkola, 2020; Zeithaml, Parasuraman and Malhotra, 2002). The strongest opportunity is to convert these touchpoints into a learning loop rather than separate channels.</w:t>
      </w:r>
    </w:p>
    <w:p w14:paraId="201E9E91" w14:textId="77777777" w:rsidR="0065704F" w:rsidRPr="00C43F98" w:rsidRDefault="00000000" w:rsidP="00C43F98">
      <w:pPr>
        <w:spacing w:before="120" w:after="60" w:line="360" w:lineRule="auto"/>
        <w:rPr>
          <w:rFonts w:ascii="Times New Roman" w:hAnsi="Times New Roman" w:cs="Times New Roman"/>
          <w:sz w:val="28"/>
          <w:szCs w:val="28"/>
        </w:rPr>
      </w:pPr>
      <w:r w:rsidRPr="00C43F98">
        <w:rPr>
          <w:rFonts w:ascii="Times New Roman" w:hAnsi="Times New Roman" w:cs="Times New Roman"/>
          <w:b/>
          <w:sz w:val="28"/>
          <w:szCs w:val="28"/>
        </w:rPr>
        <w:t>Table 2: Stakeholder expectations and customer-care implications</w:t>
      </w:r>
    </w:p>
    <w:tbl>
      <w:tblPr>
        <w:tblStyle w:val="TableGrid"/>
        <w:tblW w:w="0" w:type="auto"/>
        <w:jc w:val="center"/>
        <w:tblLook w:val="04A0" w:firstRow="1" w:lastRow="0" w:firstColumn="1" w:lastColumn="0" w:noHBand="0" w:noVBand="1"/>
      </w:tblPr>
      <w:tblGrid>
        <w:gridCol w:w="3020"/>
        <w:gridCol w:w="3021"/>
        <w:gridCol w:w="3021"/>
      </w:tblGrid>
      <w:tr w:rsidR="0065704F" w:rsidRPr="00C43F98" w14:paraId="0BA2B656" w14:textId="77777777">
        <w:trPr>
          <w:tblHeader/>
          <w:jc w:val="center"/>
        </w:trPr>
        <w:tc>
          <w:tcPr>
            <w:tcW w:w="3024" w:type="dxa"/>
            <w:tcBorders>
              <w:top w:val="single" w:sz="4" w:space="0" w:color="888888"/>
              <w:left w:val="single" w:sz="4" w:space="0" w:color="888888"/>
              <w:bottom w:val="single" w:sz="4" w:space="0" w:color="888888"/>
              <w:right w:val="single" w:sz="4" w:space="0" w:color="888888"/>
            </w:tcBorders>
            <w:shd w:val="clear" w:color="auto" w:fill="D9EAF7"/>
          </w:tcPr>
          <w:p w14:paraId="51B5D367"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b/>
                <w:szCs w:val="24"/>
              </w:rPr>
              <w:t>Stakeholder</w:t>
            </w:r>
          </w:p>
        </w:tc>
        <w:tc>
          <w:tcPr>
            <w:tcW w:w="3024" w:type="dxa"/>
            <w:tcBorders>
              <w:top w:val="single" w:sz="4" w:space="0" w:color="888888"/>
              <w:left w:val="single" w:sz="4" w:space="0" w:color="888888"/>
              <w:bottom w:val="single" w:sz="4" w:space="0" w:color="888888"/>
              <w:right w:val="single" w:sz="4" w:space="0" w:color="888888"/>
            </w:tcBorders>
            <w:shd w:val="clear" w:color="auto" w:fill="D9EAF7"/>
          </w:tcPr>
          <w:p w14:paraId="477BEF22"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b/>
                <w:szCs w:val="24"/>
              </w:rPr>
              <w:t>Main expectations</w:t>
            </w:r>
          </w:p>
        </w:tc>
        <w:tc>
          <w:tcPr>
            <w:tcW w:w="3024" w:type="dxa"/>
            <w:tcBorders>
              <w:top w:val="single" w:sz="4" w:space="0" w:color="888888"/>
              <w:left w:val="single" w:sz="4" w:space="0" w:color="888888"/>
              <w:bottom w:val="single" w:sz="4" w:space="0" w:color="888888"/>
              <w:right w:val="single" w:sz="4" w:space="0" w:color="888888"/>
            </w:tcBorders>
            <w:shd w:val="clear" w:color="auto" w:fill="D9EAF7"/>
          </w:tcPr>
          <w:p w14:paraId="7891C796"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b/>
                <w:szCs w:val="24"/>
              </w:rPr>
              <w:t>Customer-care implication</w:t>
            </w:r>
          </w:p>
        </w:tc>
      </w:tr>
      <w:tr w:rsidR="0065704F" w:rsidRPr="00C43F98" w14:paraId="0E35DC61" w14:textId="77777777">
        <w:trPr>
          <w:jc w:val="center"/>
        </w:trPr>
        <w:tc>
          <w:tcPr>
            <w:tcW w:w="3024" w:type="dxa"/>
            <w:tcBorders>
              <w:top w:val="single" w:sz="4" w:space="0" w:color="888888"/>
              <w:left w:val="single" w:sz="4" w:space="0" w:color="888888"/>
              <w:bottom w:val="single" w:sz="4" w:space="0" w:color="888888"/>
              <w:right w:val="single" w:sz="4" w:space="0" w:color="888888"/>
            </w:tcBorders>
          </w:tcPr>
          <w:p w14:paraId="7C39C9D8"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Customers</w:t>
            </w:r>
          </w:p>
        </w:tc>
        <w:tc>
          <w:tcPr>
            <w:tcW w:w="3024" w:type="dxa"/>
            <w:tcBorders>
              <w:top w:val="single" w:sz="4" w:space="0" w:color="888888"/>
              <w:left w:val="single" w:sz="4" w:space="0" w:color="888888"/>
              <w:bottom w:val="single" w:sz="4" w:space="0" w:color="888888"/>
              <w:right w:val="single" w:sz="4" w:space="0" w:color="888888"/>
            </w:tcBorders>
          </w:tcPr>
          <w:p w14:paraId="5001640C"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Expert advice, product suitability, inclusive treatment, reliable delivery, fair returns and privacy.</w:t>
            </w:r>
          </w:p>
        </w:tc>
        <w:tc>
          <w:tcPr>
            <w:tcW w:w="3024" w:type="dxa"/>
            <w:tcBorders>
              <w:top w:val="single" w:sz="4" w:space="0" w:color="888888"/>
              <w:left w:val="single" w:sz="4" w:space="0" w:color="888888"/>
              <w:bottom w:val="single" w:sz="4" w:space="0" w:color="888888"/>
              <w:right w:val="single" w:sz="4" w:space="0" w:color="888888"/>
            </w:tcBorders>
          </w:tcPr>
          <w:p w14:paraId="6067EE82"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Create a joined-up care journey from discovery to post-purchase support.</w:t>
            </w:r>
          </w:p>
        </w:tc>
      </w:tr>
      <w:tr w:rsidR="0065704F" w:rsidRPr="00C43F98" w14:paraId="5CB544D0" w14:textId="77777777">
        <w:trPr>
          <w:jc w:val="center"/>
        </w:trPr>
        <w:tc>
          <w:tcPr>
            <w:tcW w:w="3024" w:type="dxa"/>
            <w:tcBorders>
              <w:top w:val="single" w:sz="4" w:space="0" w:color="888888"/>
              <w:left w:val="single" w:sz="4" w:space="0" w:color="888888"/>
              <w:bottom w:val="single" w:sz="4" w:space="0" w:color="888888"/>
              <w:right w:val="single" w:sz="4" w:space="0" w:color="888888"/>
            </w:tcBorders>
          </w:tcPr>
          <w:p w14:paraId="43541EF9"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Beauty advisers and store teams</w:t>
            </w:r>
          </w:p>
        </w:tc>
        <w:tc>
          <w:tcPr>
            <w:tcW w:w="3024" w:type="dxa"/>
            <w:tcBorders>
              <w:top w:val="single" w:sz="4" w:space="0" w:color="888888"/>
              <w:left w:val="single" w:sz="4" w:space="0" w:color="888888"/>
              <w:bottom w:val="single" w:sz="4" w:space="0" w:color="888888"/>
              <w:right w:val="single" w:sz="4" w:space="0" w:color="888888"/>
            </w:tcBorders>
          </w:tcPr>
          <w:p w14:paraId="0D3516F8"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Training, clear policies, manageable workload, digital tools and psychological safety.</w:t>
            </w:r>
          </w:p>
        </w:tc>
        <w:tc>
          <w:tcPr>
            <w:tcW w:w="3024" w:type="dxa"/>
            <w:tcBorders>
              <w:top w:val="single" w:sz="4" w:space="0" w:color="888888"/>
              <w:left w:val="single" w:sz="4" w:space="0" w:color="888888"/>
              <w:bottom w:val="single" w:sz="4" w:space="0" w:color="888888"/>
              <w:right w:val="single" w:sz="4" w:space="0" w:color="888888"/>
            </w:tcBorders>
          </w:tcPr>
          <w:p w14:paraId="48BED9C5"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Care quality depends on empowered employees, not scripts alone.</w:t>
            </w:r>
          </w:p>
        </w:tc>
      </w:tr>
      <w:tr w:rsidR="0065704F" w:rsidRPr="00C43F98" w14:paraId="64F22D6A" w14:textId="77777777">
        <w:trPr>
          <w:jc w:val="center"/>
        </w:trPr>
        <w:tc>
          <w:tcPr>
            <w:tcW w:w="3024" w:type="dxa"/>
            <w:tcBorders>
              <w:top w:val="single" w:sz="4" w:space="0" w:color="888888"/>
              <w:left w:val="single" w:sz="4" w:space="0" w:color="888888"/>
              <w:bottom w:val="single" w:sz="4" w:space="0" w:color="888888"/>
              <w:right w:val="single" w:sz="4" w:space="0" w:color="888888"/>
            </w:tcBorders>
          </w:tcPr>
          <w:p w14:paraId="311DCF22"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Brand partners</w:t>
            </w:r>
          </w:p>
        </w:tc>
        <w:tc>
          <w:tcPr>
            <w:tcW w:w="3024" w:type="dxa"/>
            <w:tcBorders>
              <w:top w:val="single" w:sz="4" w:space="0" w:color="888888"/>
              <w:left w:val="single" w:sz="4" w:space="0" w:color="888888"/>
              <w:bottom w:val="single" w:sz="4" w:space="0" w:color="888888"/>
              <w:right w:val="single" w:sz="4" w:space="0" w:color="888888"/>
            </w:tcBorders>
          </w:tcPr>
          <w:p w14:paraId="5FA01095"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Visibility, fair merchandising, data insight, launch support and customer education.</w:t>
            </w:r>
          </w:p>
        </w:tc>
        <w:tc>
          <w:tcPr>
            <w:tcW w:w="3024" w:type="dxa"/>
            <w:tcBorders>
              <w:top w:val="single" w:sz="4" w:space="0" w:color="888888"/>
              <w:left w:val="single" w:sz="4" w:space="0" w:color="888888"/>
              <w:bottom w:val="single" w:sz="4" w:space="0" w:color="888888"/>
              <w:right w:val="single" w:sz="4" w:space="0" w:color="888888"/>
            </w:tcBorders>
          </w:tcPr>
          <w:p w14:paraId="1AA91E0A"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Sephora must balance curation with credible advice and not over-promote weak-fit products.</w:t>
            </w:r>
          </w:p>
        </w:tc>
      </w:tr>
      <w:tr w:rsidR="0065704F" w:rsidRPr="00C43F98" w14:paraId="47D90F8E" w14:textId="77777777">
        <w:trPr>
          <w:jc w:val="center"/>
        </w:trPr>
        <w:tc>
          <w:tcPr>
            <w:tcW w:w="3024" w:type="dxa"/>
            <w:tcBorders>
              <w:top w:val="single" w:sz="4" w:space="0" w:color="888888"/>
              <w:left w:val="single" w:sz="4" w:space="0" w:color="888888"/>
              <w:bottom w:val="single" w:sz="4" w:space="0" w:color="888888"/>
              <w:right w:val="single" w:sz="4" w:space="0" w:color="888888"/>
            </w:tcBorders>
          </w:tcPr>
          <w:p w14:paraId="39C515CC"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LVMH and investors</w:t>
            </w:r>
          </w:p>
        </w:tc>
        <w:tc>
          <w:tcPr>
            <w:tcW w:w="3024" w:type="dxa"/>
            <w:tcBorders>
              <w:top w:val="single" w:sz="4" w:space="0" w:color="888888"/>
              <w:left w:val="single" w:sz="4" w:space="0" w:color="888888"/>
              <w:bottom w:val="single" w:sz="4" w:space="0" w:color="888888"/>
              <w:right w:val="single" w:sz="4" w:space="0" w:color="888888"/>
            </w:tcBorders>
          </w:tcPr>
          <w:p w14:paraId="58E2083A"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Growth, profitability, risk control and brand strength.</w:t>
            </w:r>
          </w:p>
        </w:tc>
        <w:tc>
          <w:tcPr>
            <w:tcW w:w="3024" w:type="dxa"/>
            <w:tcBorders>
              <w:top w:val="single" w:sz="4" w:space="0" w:color="888888"/>
              <w:left w:val="single" w:sz="4" w:space="0" w:color="888888"/>
              <w:bottom w:val="single" w:sz="4" w:space="0" w:color="888888"/>
              <w:right w:val="single" w:sz="4" w:space="0" w:color="888888"/>
            </w:tcBorders>
          </w:tcPr>
          <w:p w14:paraId="72628018"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Care investment must link to retention, basket quality, complaint reduction and loyalty.</w:t>
            </w:r>
          </w:p>
        </w:tc>
      </w:tr>
      <w:tr w:rsidR="0065704F" w:rsidRPr="00C43F98" w14:paraId="188F723F" w14:textId="77777777">
        <w:trPr>
          <w:jc w:val="center"/>
        </w:trPr>
        <w:tc>
          <w:tcPr>
            <w:tcW w:w="3024" w:type="dxa"/>
            <w:tcBorders>
              <w:top w:val="single" w:sz="4" w:space="0" w:color="888888"/>
              <w:left w:val="single" w:sz="4" w:space="0" w:color="888888"/>
              <w:bottom w:val="single" w:sz="4" w:space="0" w:color="888888"/>
              <w:right w:val="single" w:sz="4" w:space="0" w:color="888888"/>
            </w:tcBorders>
          </w:tcPr>
          <w:p w14:paraId="6D369792"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Regulators</w:t>
            </w:r>
          </w:p>
        </w:tc>
        <w:tc>
          <w:tcPr>
            <w:tcW w:w="3024" w:type="dxa"/>
            <w:tcBorders>
              <w:top w:val="single" w:sz="4" w:space="0" w:color="888888"/>
              <w:left w:val="single" w:sz="4" w:space="0" w:color="888888"/>
              <w:bottom w:val="single" w:sz="4" w:space="0" w:color="888888"/>
              <w:right w:val="single" w:sz="4" w:space="0" w:color="888888"/>
            </w:tcBorders>
          </w:tcPr>
          <w:p w14:paraId="6261A5D6"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Data protection, product safety, fair online design and accurate claims.</w:t>
            </w:r>
          </w:p>
        </w:tc>
        <w:tc>
          <w:tcPr>
            <w:tcW w:w="3024" w:type="dxa"/>
            <w:tcBorders>
              <w:top w:val="single" w:sz="4" w:space="0" w:color="888888"/>
              <w:left w:val="single" w:sz="4" w:space="0" w:color="888888"/>
              <w:bottom w:val="single" w:sz="4" w:space="0" w:color="888888"/>
              <w:right w:val="single" w:sz="4" w:space="0" w:color="888888"/>
            </w:tcBorders>
          </w:tcPr>
          <w:p w14:paraId="5723EEDD"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Personalisation and promotions need transparent governance.</w:t>
            </w:r>
          </w:p>
        </w:tc>
      </w:tr>
      <w:tr w:rsidR="0065704F" w:rsidRPr="00C43F98" w14:paraId="234A5C32" w14:textId="77777777">
        <w:trPr>
          <w:jc w:val="center"/>
        </w:trPr>
        <w:tc>
          <w:tcPr>
            <w:tcW w:w="3024" w:type="dxa"/>
            <w:tcBorders>
              <w:top w:val="single" w:sz="4" w:space="0" w:color="888888"/>
              <w:left w:val="single" w:sz="4" w:space="0" w:color="888888"/>
              <w:bottom w:val="single" w:sz="4" w:space="0" w:color="888888"/>
              <w:right w:val="single" w:sz="4" w:space="0" w:color="888888"/>
            </w:tcBorders>
          </w:tcPr>
          <w:p w14:paraId="521EAC2F"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Communities and wider society</w:t>
            </w:r>
          </w:p>
        </w:tc>
        <w:tc>
          <w:tcPr>
            <w:tcW w:w="3024" w:type="dxa"/>
            <w:tcBorders>
              <w:top w:val="single" w:sz="4" w:space="0" w:color="888888"/>
              <w:left w:val="single" w:sz="4" w:space="0" w:color="888888"/>
              <w:bottom w:val="single" w:sz="4" w:space="0" w:color="888888"/>
              <w:right w:val="single" w:sz="4" w:space="0" w:color="888888"/>
            </w:tcBorders>
          </w:tcPr>
          <w:p w14:paraId="7DC063FB"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Inclusive representation, responsible consumption and ethical retail behaviour.</w:t>
            </w:r>
          </w:p>
        </w:tc>
        <w:tc>
          <w:tcPr>
            <w:tcW w:w="3024" w:type="dxa"/>
            <w:tcBorders>
              <w:top w:val="single" w:sz="4" w:space="0" w:color="888888"/>
              <w:left w:val="single" w:sz="4" w:space="0" w:color="888888"/>
              <w:bottom w:val="single" w:sz="4" w:space="0" w:color="888888"/>
              <w:right w:val="single" w:sz="4" w:space="0" w:color="888888"/>
            </w:tcBorders>
          </w:tcPr>
          <w:p w14:paraId="58C89D60"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Beauty care should support confidence without encouraging harmful pressure or exclusion.</w:t>
            </w:r>
          </w:p>
        </w:tc>
      </w:tr>
    </w:tbl>
    <w:p w14:paraId="76BFA85A" w14:textId="77777777" w:rsidR="0065704F" w:rsidRPr="00C43F98" w:rsidRDefault="0065704F" w:rsidP="00C43F98">
      <w:pPr>
        <w:spacing w:after="0" w:line="360" w:lineRule="auto"/>
        <w:rPr>
          <w:rFonts w:ascii="Times New Roman" w:hAnsi="Times New Roman" w:cs="Times New Roman"/>
          <w:szCs w:val="24"/>
        </w:rPr>
      </w:pPr>
    </w:p>
    <w:p w14:paraId="31AA7BC2" w14:textId="77777777" w:rsidR="0065704F" w:rsidRPr="00C43F98" w:rsidRDefault="00000000" w:rsidP="00C43F98">
      <w:pPr>
        <w:spacing w:before="120" w:after="60" w:line="360" w:lineRule="auto"/>
        <w:rPr>
          <w:rFonts w:ascii="Times New Roman" w:hAnsi="Times New Roman" w:cs="Times New Roman"/>
          <w:sz w:val="28"/>
          <w:szCs w:val="28"/>
        </w:rPr>
      </w:pPr>
      <w:r w:rsidRPr="00C43F98">
        <w:rPr>
          <w:rFonts w:ascii="Times New Roman" w:hAnsi="Times New Roman" w:cs="Times New Roman"/>
          <w:b/>
          <w:sz w:val="28"/>
          <w:szCs w:val="28"/>
        </w:rPr>
        <w:t>Table 3: Customer journey risks and agile care opportunities</w:t>
      </w:r>
    </w:p>
    <w:tbl>
      <w:tblPr>
        <w:tblStyle w:val="TableGrid"/>
        <w:tblW w:w="0" w:type="auto"/>
        <w:jc w:val="center"/>
        <w:tblLook w:val="04A0" w:firstRow="1" w:lastRow="0" w:firstColumn="1" w:lastColumn="0" w:noHBand="0" w:noVBand="1"/>
      </w:tblPr>
      <w:tblGrid>
        <w:gridCol w:w="3020"/>
        <w:gridCol w:w="3021"/>
        <w:gridCol w:w="3021"/>
      </w:tblGrid>
      <w:tr w:rsidR="0065704F" w:rsidRPr="00C43F98" w14:paraId="426905A8" w14:textId="77777777">
        <w:trPr>
          <w:tblHeader/>
          <w:jc w:val="center"/>
        </w:trPr>
        <w:tc>
          <w:tcPr>
            <w:tcW w:w="3024" w:type="dxa"/>
            <w:tcBorders>
              <w:top w:val="single" w:sz="4" w:space="0" w:color="888888"/>
              <w:left w:val="single" w:sz="4" w:space="0" w:color="888888"/>
              <w:bottom w:val="single" w:sz="4" w:space="0" w:color="888888"/>
              <w:right w:val="single" w:sz="4" w:space="0" w:color="888888"/>
            </w:tcBorders>
            <w:shd w:val="clear" w:color="auto" w:fill="D9EAF7"/>
          </w:tcPr>
          <w:p w14:paraId="745A8D14"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b/>
                <w:szCs w:val="24"/>
              </w:rPr>
              <w:t>Journey stage</w:t>
            </w:r>
          </w:p>
        </w:tc>
        <w:tc>
          <w:tcPr>
            <w:tcW w:w="3024" w:type="dxa"/>
            <w:tcBorders>
              <w:top w:val="single" w:sz="4" w:space="0" w:color="888888"/>
              <w:left w:val="single" w:sz="4" w:space="0" w:color="888888"/>
              <w:bottom w:val="single" w:sz="4" w:space="0" w:color="888888"/>
              <w:right w:val="single" w:sz="4" w:space="0" w:color="888888"/>
            </w:tcBorders>
            <w:shd w:val="clear" w:color="auto" w:fill="D9EAF7"/>
          </w:tcPr>
          <w:p w14:paraId="50E31CAB"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b/>
                <w:szCs w:val="24"/>
              </w:rPr>
              <w:t>Typical risk or friction</w:t>
            </w:r>
          </w:p>
        </w:tc>
        <w:tc>
          <w:tcPr>
            <w:tcW w:w="3024" w:type="dxa"/>
            <w:tcBorders>
              <w:top w:val="single" w:sz="4" w:space="0" w:color="888888"/>
              <w:left w:val="single" w:sz="4" w:space="0" w:color="888888"/>
              <w:bottom w:val="single" w:sz="4" w:space="0" w:color="888888"/>
              <w:right w:val="single" w:sz="4" w:space="0" w:color="888888"/>
            </w:tcBorders>
            <w:shd w:val="clear" w:color="auto" w:fill="D9EAF7"/>
          </w:tcPr>
          <w:p w14:paraId="33CFB53F"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b/>
                <w:szCs w:val="24"/>
              </w:rPr>
              <w:t>Agile care opportunity</w:t>
            </w:r>
          </w:p>
        </w:tc>
      </w:tr>
      <w:tr w:rsidR="0065704F" w:rsidRPr="00C43F98" w14:paraId="472A92A9" w14:textId="77777777">
        <w:trPr>
          <w:jc w:val="center"/>
        </w:trPr>
        <w:tc>
          <w:tcPr>
            <w:tcW w:w="3024" w:type="dxa"/>
            <w:tcBorders>
              <w:top w:val="single" w:sz="4" w:space="0" w:color="888888"/>
              <w:left w:val="single" w:sz="4" w:space="0" w:color="888888"/>
              <w:bottom w:val="single" w:sz="4" w:space="0" w:color="888888"/>
              <w:right w:val="single" w:sz="4" w:space="0" w:color="888888"/>
            </w:tcBorders>
          </w:tcPr>
          <w:p w14:paraId="520ADAB7"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Inspiration and search</w:t>
            </w:r>
          </w:p>
        </w:tc>
        <w:tc>
          <w:tcPr>
            <w:tcW w:w="3024" w:type="dxa"/>
            <w:tcBorders>
              <w:top w:val="single" w:sz="4" w:space="0" w:color="888888"/>
              <w:left w:val="single" w:sz="4" w:space="0" w:color="888888"/>
              <w:bottom w:val="single" w:sz="4" w:space="0" w:color="888888"/>
              <w:right w:val="single" w:sz="4" w:space="0" w:color="888888"/>
            </w:tcBorders>
          </w:tcPr>
          <w:p w14:paraId="057592C6"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Trend overload, influencer misinformation and unclear product suitability.</w:t>
            </w:r>
          </w:p>
        </w:tc>
        <w:tc>
          <w:tcPr>
            <w:tcW w:w="3024" w:type="dxa"/>
            <w:tcBorders>
              <w:top w:val="single" w:sz="4" w:space="0" w:color="888888"/>
              <w:left w:val="single" w:sz="4" w:space="0" w:color="888888"/>
              <w:bottom w:val="single" w:sz="4" w:space="0" w:color="888888"/>
              <w:right w:val="single" w:sz="4" w:space="0" w:color="888888"/>
            </w:tcBorders>
          </w:tcPr>
          <w:p w14:paraId="0A8C65D0"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Provide curated education, credible reviews and adviser-backed content.</w:t>
            </w:r>
          </w:p>
        </w:tc>
      </w:tr>
      <w:tr w:rsidR="0065704F" w:rsidRPr="00C43F98" w14:paraId="38455EC7" w14:textId="77777777">
        <w:trPr>
          <w:jc w:val="center"/>
        </w:trPr>
        <w:tc>
          <w:tcPr>
            <w:tcW w:w="3024" w:type="dxa"/>
            <w:tcBorders>
              <w:top w:val="single" w:sz="4" w:space="0" w:color="888888"/>
              <w:left w:val="single" w:sz="4" w:space="0" w:color="888888"/>
              <w:bottom w:val="single" w:sz="4" w:space="0" w:color="888888"/>
              <w:right w:val="single" w:sz="4" w:space="0" w:color="888888"/>
            </w:tcBorders>
          </w:tcPr>
          <w:p w14:paraId="47493CC7"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Product comparison</w:t>
            </w:r>
          </w:p>
        </w:tc>
        <w:tc>
          <w:tcPr>
            <w:tcW w:w="3024" w:type="dxa"/>
            <w:tcBorders>
              <w:top w:val="single" w:sz="4" w:space="0" w:color="888888"/>
              <w:left w:val="single" w:sz="4" w:space="0" w:color="888888"/>
              <w:bottom w:val="single" w:sz="4" w:space="0" w:color="888888"/>
              <w:right w:val="single" w:sz="4" w:space="0" w:color="888888"/>
            </w:tcBorders>
          </w:tcPr>
          <w:p w14:paraId="5FAD80E6"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Confusion over shade, ingredients, skin type, value and claims.</w:t>
            </w:r>
          </w:p>
        </w:tc>
        <w:tc>
          <w:tcPr>
            <w:tcW w:w="3024" w:type="dxa"/>
            <w:tcBorders>
              <w:top w:val="single" w:sz="4" w:space="0" w:color="888888"/>
              <w:left w:val="single" w:sz="4" w:space="0" w:color="888888"/>
              <w:bottom w:val="single" w:sz="4" w:space="0" w:color="888888"/>
              <w:right w:val="single" w:sz="4" w:space="0" w:color="888888"/>
            </w:tcBorders>
          </w:tcPr>
          <w:p w14:paraId="1E36D2E5"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Offer transparent filters, personalised but explainable recommendations and clear ingredient guidance.</w:t>
            </w:r>
          </w:p>
        </w:tc>
      </w:tr>
      <w:tr w:rsidR="0065704F" w:rsidRPr="00C43F98" w14:paraId="378535A3" w14:textId="77777777">
        <w:trPr>
          <w:jc w:val="center"/>
        </w:trPr>
        <w:tc>
          <w:tcPr>
            <w:tcW w:w="3024" w:type="dxa"/>
            <w:tcBorders>
              <w:top w:val="single" w:sz="4" w:space="0" w:color="888888"/>
              <w:left w:val="single" w:sz="4" w:space="0" w:color="888888"/>
              <w:bottom w:val="single" w:sz="4" w:space="0" w:color="888888"/>
              <w:right w:val="single" w:sz="4" w:space="0" w:color="888888"/>
            </w:tcBorders>
          </w:tcPr>
          <w:p w14:paraId="5851CBFD"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Store or online purchase</w:t>
            </w:r>
          </w:p>
        </w:tc>
        <w:tc>
          <w:tcPr>
            <w:tcW w:w="3024" w:type="dxa"/>
            <w:tcBorders>
              <w:top w:val="single" w:sz="4" w:space="0" w:color="888888"/>
              <w:left w:val="single" w:sz="4" w:space="0" w:color="888888"/>
              <w:bottom w:val="single" w:sz="4" w:space="0" w:color="888888"/>
              <w:right w:val="single" w:sz="4" w:space="0" w:color="888888"/>
            </w:tcBorders>
          </w:tcPr>
          <w:p w14:paraId="550B7EA1"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Stock gaps, inaccessible service, checkout friction or promotion confusion.</w:t>
            </w:r>
          </w:p>
        </w:tc>
        <w:tc>
          <w:tcPr>
            <w:tcW w:w="3024" w:type="dxa"/>
            <w:tcBorders>
              <w:top w:val="single" w:sz="4" w:space="0" w:color="888888"/>
              <w:left w:val="single" w:sz="4" w:space="0" w:color="888888"/>
              <w:bottom w:val="single" w:sz="4" w:space="0" w:color="888888"/>
              <w:right w:val="single" w:sz="4" w:space="0" w:color="888888"/>
            </w:tcBorders>
          </w:tcPr>
          <w:p w14:paraId="3505B889"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Connect inventory visibility, appointment booking, loyalty benefits and assisted checkout.</w:t>
            </w:r>
          </w:p>
        </w:tc>
      </w:tr>
      <w:tr w:rsidR="0065704F" w:rsidRPr="00C43F98" w14:paraId="50798493" w14:textId="77777777">
        <w:trPr>
          <w:jc w:val="center"/>
        </w:trPr>
        <w:tc>
          <w:tcPr>
            <w:tcW w:w="3024" w:type="dxa"/>
            <w:tcBorders>
              <w:top w:val="single" w:sz="4" w:space="0" w:color="888888"/>
              <w:left w:val="single" w:sz="4" w:space="0" w:color="888888"/>
              <w:bottom w:val="single" w:sz="4" w:space="0" w:color="888888"/>
              <w:right w:val="single" w:sz="4" w:space="0" w:color="888888"/>
            </w:tcBorders>
          </w:tcPr>
          <w:p w14:paraId="0C678E34"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Fulfilment and returns</w:t>
            </w:r>
          </w:p>
        </w:tc>
        <w:tc>
          <w:tcPr>
            <w:tcW w:w="3024" w:type="dxa"/>
            <w:tcBorders>
              <w:top w:val="single" w:sz="4" w:space="0" w:color="888888"/>
              <w:left w:val="single" w:sz="4" w:space="0" w:color="888888"/>
              <w:bottom w:val="single" w:sz="4" w:space="0" w:color="888888"/>
              <w:right w:val="single" w:sz="4" w:space="0" w:color="888888"/>
            </w:tcBorders>
          </w:tcPr>
          <w:p w14:paraId="7BC70826"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Late delivery, damaged items, hygiene restrictions and unclear return routes.</w:t>
            </w:r>
          </w:p>
        </w:tc>
        <w:tc>
          <w:tcPr>
            <w:tcW w:w="3024" w:type="dxa"/>
            <w:tcBorders>
              <w:top w:val="single" w:sz="4" w:space="0" w:color="888888"/>
              <w:left w:val="single" w:sz="4" w:space="0" w:color="888888"/>
              <w:bottom w:val="single" w:sz="4" w:space="0" w:color="888888"/>
              <w:right w:val="single" w:sz="4" w:space="0" w:color="888888"/>
            </w:tcBorders>
          </w:tcPr>
          <w:p w14:paraId="1D90A0E7"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Use proactive notifications, simple return explanations and fast case resolution.</w:t>
            </w:r>
          </w:p>
        </w:tc>
      </w:tr>
      <w:tr w:rsidR="0065704F" w:rsidRPr="00C43F98" w14:paraId="2810E39F" w14:textId="77777777">
        <w:trPr>
          <w:jc w:val="center"/>
        </w:trPr>
        <w:tc>
          <w:tcPr>
            <w:tcW w:w="3024" w:type="dxa"/>
            <w:tcBorders>
              <w:top w:val="single" w:sz="4" w:space="0" w:color="888888"/>
              <w:left w:val="single" w:sz="4" w:space="0" w:color="888888"/>
              <w:bottom w:val="single" w:sz="4" w:space="0" w:color="888888"/>
              <w:right w:val="single" w:sz="4" w:space="0" w:color="888888"/>
            </w:tcBorders>
          </w:tcPr>
          <w:p w14:paraId="60DFE041"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Usage and aftercare</w:t>
            </w:r>
          </w:p>
        </w:tc>
        <w:tc>
          <w:tcPr>
            <w:tcW w:w="3024" w:type="dxa"/>
            <w:tcBorders>
              <w:top w:val="single" w:sz="4" w:space="0" w:color="888888"/>
              <w:left w:val="single" w:sz="4" w:space="0" w:color="888888"/>
              <w:bottom w:val="single" w:sz="4" w:space="0" w:color="888888"/>
              <w:right w:val="single" w:sz="4" w:space="0" w:color="888888"/>
            </w:tcBorders>
          </w:tcPr>
          <w:p w14:paraId="07AB0A30"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Poor fit, irritation concerns, routine confusion and wasted products.</w:t>
            </w:r>
          </w:p>
        </w:tc>
        <w:tc>
          <w:tcPr>
            <w:tcW w:w="3024" w:type="dxa"/>
            <w:tcBorders>
              <w:top w:val="single" w:sz="4" w:space="0" w:color="888888"/>
              <w:left w:val="single" w:sz="4" w:space="0" w:color="888888"/>
              <w:bottom w:val="single" w:sz="4" w:space="0" w:color="888888"/>
              <w:right w:val="single" w:sz="4" w:space="0" w:color="888888"/>
            </w:tcBorders>
          </w:tcPr>
          <w:p w14:paraId="47B28E7B"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Provide follow-up advice, routine building, escalation to human specialists and learning loops.</w:t>
            </w:r>
          </w:p>
        </w:tc>
      </w:tr>
      <w:tr w:rsidR="0065704F" w:rsidRPr="00C43F98" w14:paraId="061B1931" w14:textId="77777777">
        <w:trPr>
          <w:jc w:val="center"/>
        </w:trPr>
        <w:tc>
          <w:tcPr>
            <w:tcW w:w="3024" w:type="dxa"/>
            <w:tcBorders>
              <w:top w:val="single" w:sz="4" w:space="0" w:color="888888"/>
              <w:left w:val="single" w:sz="4" w:space="0" w:color="888888"/>
              <w:bottom w:val="single" w:sz="4" w:space="0" w:color="888888"/>
              <w:right w:val="single" w:sz="4" w:space="0" w:color="888888"/>
            </w:tcBorders>
          </w:tcPr>
          <w:p w14:paraId="2AF9038F"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Loyalty and advocacy</w:t>
            </w:r>
          </w:p>
        </w:tc>
        <w:tc>
          <w:tcPr>
            <w:tcW w:w="3024" w:type="dxa"/>
            <w:tcBorders>
              <w:top w:val="single" w:sz="4" w:space="0" w:color="888888"/>
              <w:left w:val="single" w:sz="4" w:space="0" w:color="888888"/>
              <w:bottom w:val="single" w:sz="4" w:space="0" w:color="888888"/>
              <w:right w:val="single" w:sz="4" w:space="0" w:color="888888"/>
            </w:tcBorders>
          </w:tcPr>
          <w:p w14:paraId="2E0A52A7"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 xml:space="preserve">Rewards feel generic or too </w:t>
            </w:r>
            <w:proofErr w:type="gramStart"/>
            <w:r w:rsidRPr="00C43F98">
              <w:rPr>
                <w:rFonts w:ascii="Times New Roman" w:hAnsi="Times New Roman" w:cs="Times New Roman"/>
                <w:szCs w:val="24"/>
              </w:rPr>
              <w:t>promotion-led</w:t>
            </w:r>
            <w:proofErr w:type="gramEnd"/>
            <w:r w:rsidRPr="00C43F98">
              <w:rPr>
                <w:rFonts w:ascii="Times New Roman" w:hAnsi="Times New Roman" w:cs="Times New Roman"/>
                <w:szCs w:val="24"/>
              </w:rPr>
              <w:t>.</w:t>
            </w:r>
          </w:p>
        </w:tc>
        <w:tc>
          <w:tcPr>
            <w:tcW w:w="3024" w:type="dxa"/>
            <w:tcBorders>
              <w:top w:val="single" w:sz="4" w:space="0" w:color="888888"/>
              <w:left w:val="single" w:sz="4" w:space="0" w:color="888888"/>
              <w:bottom w:val="single" w:sz="4" w:space="0" w:color="888888"/>
              <w:right w:val="single" w:sz="4" w:space="0" w:color="888888"/>
            </w:tcBorders>
          </w:tcPr>
          <w:p w14:paraId="5D119201"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Use MySephora data to create useful, consent-based care rather than generic discounting.</w:t>
            </w:r>
          </w:p>
        </w:tc>
      </w:tr>
    </w:tbl>
    <w:p w14:paraId="58A224B2" w14:textId="77777777" w:rsidR="0065704F" w:rsidRPr="00C43F98" w:rsidRDefault="0065704F" w:rsidP="00C43F98">
      <w:pPr>
        <w:spacing w:after="0" w:line="360" w:lineRule="auto"/>
        <w:rPr>
          <w:rFonts w:ascii="Times New Roman" w:hAnsi="Times New Roman" w:cs="Times New Roman"/>
          <w:szCs w:val="24"/>
        </w:rPr>
      </w:pPr>
    </w:p>
    <w:p w14:paraId="5F66ADD5" w14:textId="77777777" w:rsidR="0065704F" w:rsidRPr="00C43F98" w:rsidRDefault="00000000" w:rsidP="00C43F98">
      <w:pPr>
        <w:pStyle w:val="Heading1"/>
        <w:spacing w:before="240" w:after="120" w:line="360" w:lineRule="auto"/>
        <w:rPr>
          <w:rFonts w:ascii="Times New Roman" w:hAnsi="Times New Roman" w:cs="Times New Roman"/>
        </w:rPr>
      </w:pPr>
      <w:bookmarkStart w:id="5" w:name="_Toc233721770"/>
      <w:r w:rsidRPr="00C43F98">
        <w:rPr>
          <w:rFonts w:ascii="Times New Roman" w:eastAsia="Arial" w:hAnsi="Times New Roman" w:cs="Times New Roman"/>
        </w:rPr>
        <w:t>2.3 Internal Analysis: VRIO and Dynamic Capabilities</w:t>
      </w:r>
      <w:bookmarkEnd w:id="5"/>
    </w:p>
    <w:p w14:paraId="0127B72C"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 xml:space="preserve">Internally, Sephora has several resources that can support sustainable advantage if they are organised around care rather than only sales. From a resource-based view, resources matter when they are valuable, rare, difficult to imitate and embedded in organisational processes (Barney, 1991). Sephora’s brand is valuable because it signals discovery, excitement and expertise. Its association with LVMH adds financial resilience and global supplier access. Its </w:t>
      </w:r>
      <w:r w:rsidRPr="00C43F98">
        <w:rPr>
          <w:rFonts w:ascii="Times New Roman" w:hAnsi="Times New Roman" w:cs="Times New Roman"/>
          <w:szCs w:val="24"/>
        </w:rPr>
        <w:lastRenderedPageBreak/>
        <w:t>curated brand portfolio, including exclusives and emerging brands, gives customers reasons to visit Sephora rather than a general marketplace. However, these resources do not automatically create superior care. They must be translated into consistent service routines, employee capability, digital infrastructure and learning processes.</w:t>
      </w:r>
    </w:p>
    <w:p w14:paraId="6BAAD0F3"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The most strategically important resource may be Sephora’s ability to combine human and digital beauty advice. Pure online marketplaces can offer price and range, but they may struggle to provide trusted, personalised guidance. Traditional retailers may have physical advice, but they may not match Sephora’s community energy or brand discovery. Sephora’s opportunity is to integrate these advantages: data-led insight, adviser expertise, curated products and inclusive service. This is why the VRIO analysis identifies inclusive service culture and adviser expertise as more strategically important than store expansion alone.</w:t>
      </w:r>
    </w:p>
    <w:p w14:paraId="131EDC70"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Dynamic capabilities are also central. Firms need to sense changes, seize opportunities and reconfigure resources in changing environments (Teece, Pisano and Shuen, 1997; Eisenhardt and Martin, 2000; Teece, 2007). Sephora has sensed UK opportunity as beauty discovery became shaped by social media, prestige skincare, fragrance, make-up trends and exclusive brands. It has seized this through UK store openings, the app, MySephora and omnichannel retail. The next step is reconfiguration: aligning digital personalisation, store service, inclusive training, supply availability and post-purchase learning into one care system.</w:t>
      </w:r>
    </w:p>
    <w:p w14:paraId="21FB71C2"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There are also internal vulnerabilities. Rapid store expansion can dilute service consistency if training and culture do not scale. Algorithmic recommendations can become too commercial if conversion metrics dominate suitability, trust and wellbeing. Beauty advice also carries product-safety and claims risks; retailers should not imply that cosmetics treat medical conditions or ignore allergy, sensitivity and pregnancy-related concerns (CTPA, 2026). Finally, trend culture creates high expectations around viral products. If stock availability, waiting lists and substitutions are poorly managed, excitement can turn into frustration.</w:t>
      </w:r>
    </w:p>
    <w:p w14:paraId="4647D460"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The internal analysis therefore suggests that Sephora’s future resilience depends on making customer care a strategic capability. This capability should include adviser training, ethical data use, transparent product information, inclusive service, agile feedback loops and reliable recovery when the experience fails.</w:t>
      </w:r>
    </w:p>
    <w:p w14:paraId="4CAB49DB" w14:textId="77777777" w:rsidR="0065704F" w:rsidRPr="00C43F98" w:rsidRDefault="00000000" w:rsidP="00C43F98">
      <w:pPr>
        <w:spacing w:before="120" w:after="60" w:line="360" w:lineRule="auto"/>
        <w:rPr>
          <w:rFonts w:ascii="Times New Roman" w:hAnsi="Times New Roman" w:cs="Times New Roman"/>
          <w:sz w:val="28"/>
          <w:szCs w:val="28"/>
        </w:rPr>
      </w:pPr>
      <w:r w:rsidRPr="00C43F98">
        <w:rPr>
          <w:rFonts w:ascii="Times New Roman" w:hAnsi="Times New Roman" w:cs="Times New Roman"/>
          <w:b/>
          <w:sz w:val="28"/>
          <w:szCs w:val="28"/>
        </w:rPr>
        <w:t>Table 4: VRIO analysis of Sephora’s customer-care resources</w:t>
      </w:r>
    </w:p>
    <w:tbl>
      <w:tblPr>
        <w:tblStyle w:val="TableGrid"/>
        <w:tblW w:w="0" w:type="auto"/>
        <w:jc w:val="center"/>
        <w:tblLook w:val="04A0" w:firstRow="1" w:lastRow="0" w:firstColumn="1" w:lastColumn="0" w:noHBand="0" w:noVBand="1"/>
      </w:tblPr>
      <w:tblGrid>
        <w:gridCol w:w="3021"/>
        <w:gridCol w:w="3020"/>
        <w:gridCol w:w="3021"/>
      </w:tblGrid>
      <w:tr w:rsidR="0065704F" w:rsidRPr="00C43F98" w14:paraId="6234681E" w14:textId="77777777">
        <w:trPr>
          <w:tblHeader/>
          <w:jc w:val="center"/>
        </w:trPr>
        <w:tc>
          <w:tcPr>
            <w:tcW w:w="3024" w:type="dxa"/>
            <w:tcBorders>
              <w:top w:val="single" w:sz="4" w:space="0" w:color="888888"/>
              <w:left w:val="single" w:sz="4" w:space="0" w:color="888888"/>
              <w:bottom w:val="single" w:sz="4" w:space="0" w:color="888888"/>
              <w:right w:val="single" w:sz="4" w:space="0" w:color="888888"/>
            </w:tcBorders>
            <w:shd w:val="clear" w:color="auto" w:fill="D9EAF7"/>
          </w:tcPr>
          <w:p w14:paraId="623D2E5F"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b/>
                <w:szCs w:val="24"/>
              </w:rPr>
              <w:t>Resource or capability</w:t>
            </w:r>
          </w:p>
        </w:tc>
        <w:tc>
          <w:tcPr>
            <w:tcW w:w="3024" w:type="dxa"/>
            <w:tcBorders>
              <w:top w:val="single" w:sz="4" w:space="0" w:color="888888"/>
              <w:left w:val="single" w:sz="4" w:space="0" w:color="888888"/>
              <w:bottom w:val="single" w:sz="4" w:space="0" w:color="888888"/>
              <w:right w:val="single" w:sz="4" w:space="0" w:color="888888"/>
            </w:tcBorders>
            <w:shd w:val="clear" w:color="auto" w:fill="D9EAF7"/>
          </w:tcPr>
          <w:p w14:paraId="6028EE37"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b/>
                <w:szCs w:val="24"/>
              </w:rPr>
              <w:t>VRIO judgement</w:t>
            </w:r>
          </w:p>
        </w:tc>
        <w:tc>
          <w:tcPr>
            <w:tcW w:w="3024" w:type="dxa"/>
            <w:tcBorders>
              <w:top w:val="single" w:sz="4" w:space="0" w:color="888888"/>
              <w:left w:val="single" w:sz="4" w:space="0" w:color="888888"/>
              <w:bottom w:val="single" w:sz="4" w:space="0" w:color="888888"/>
              <w:right w:val="single" w:sz="4" w:space="0" w:color="888888"/>
            </w:tcBorders>
            <w:shd w:val="clear" w:color="auto" w:fill="D9EAF7"/>
          </w:tcPr>
          <w:p w14:paraId="1D47AFEA"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b/>
                <w:szCs w:val="24"/>
              </w:rPr>
              <w:t>Strategic implication for personalised care</w:t>
            </w:r>
          </w:p>
        </w:tc>
      </w:tr>
      <w:tr w:rsidR="0065704F" w:rsidRPr="00C43F98" w14:paraId="693D62D9" w14:textId="77777777">
        <w:trPr>
          <w:jc w:val="center"/>
        </w:trPr>
        <w:tc>
          <w:tcPr>
            <w:tcW w:w="3024" w:type="dxa"/>
            <w:tcBorders>
              <w:top w:val="single" w:sz="4" w:space="0" w:color="888888"/>
              <w:left w:val="single" w:sz="4" w:space="0" w:color="888888"/>
              <w:bottom w:val="single" w:sz="4" w:space="0" w:color="888888"/>
              <w:right w:val="single" w:sz="4" w:space="0" w:color="888888"/>
            </w:tcBorders>
          </w:tcPr>
          <w:p w14:paraId="0F8B2503"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Global Sephora brand</w:t>
            </w:r>
          </w:p>
        </w:tc>
        <w:tc>
          <w:tcPr>
            <w:tcW w:w="3024" w:type="dxa"/>
            <w:tcBorders>
              <w:top w:val="single" w:sz="4" w:space="0" w:color="888888"/>
              <w:left w:val="single" w:sz="4" w:space="0" w:color="888888"/>
              <w:bottom w:val="single" w:sz="4" w:space="0" w:color="888888"/>
              <w:right w:val="single" w:sz="4" w:space="0" w:color="888888"/>
            </w:tcBorders>
          </w:tcPr>
          <w:p w14:paraId="68179CF5"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 xml:space="preserve">Valuable and rare in UK </w:t>
            </w:r>
            <w:r w:rsidRPr="00C43F98">
              <w:rPr>
                <w:rFonts w:ascii="Times New Roman" w:hAnsi="Times New Roman" w:cs="Times New Roman"/>
                <w:szCs w:val="24"/>
              </w:rPr>
              <w:lastRenderedPageBreak/>
              <w:t>prestige beauty; partly imitable through marketing but difficult to match emotionally.</w:t>
            </w:r>
          </w:p>
        </w:tc>
        <w:tc>
          <w:tcPr>
            <w:tcW w:w="3024" w:type="dxa"/>
            <w:tcBorders>
              <w:top w:val="single" w:sz="4" w:space="0" w:color="888888"/>
              <w:left w:val="single" w:sz="4" w:space="0" w:color="888888"/>
              <w:bottom w:val="single" w:sz="4" w:space="0" w:color="888888"/>
              <w:right w:val="single" w:sz="4" w:space="0" w:color="888888"/>
            </w:tcBorders>
          </w:tcPr>
          <w:p w14:paraId="6CED5E09"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lastRenderedPageBreak/>
              <w:t xml:space="preserve">Use brand trust to make </w:t>
            </w:r>
            <w:r w:rsidRPr="00C43F98">
              <w:rPr>
                <w:rFonts w:ascii="Times New Roman" w:hAnsi="Times New Roman" w:cs="Times New Roman"/>
                <w:szCs w:val="24"/>
              </w:rPr>
              <w:lastRenderedPageBreak/>
              <w:t>advice credible, not merely promotional.</w:t>
            </w:r>
          </w:p>
        </w:tc>
      </w:tr>
      <w:tr w:rsidR="0065704F" w:rsidRPr="00C43F98" w14:paraId="6CBE00BA" w14:textId="77777777">
        <w:trPr>
          <w:jc w:val="center"/>
        </w:trPr>
        <w:tc>
          <w:tcPr>
            <w:tcW w:w="3024" w:type="dxa"/>
            <w:tcBorders>
              <w:top w:val="single" w:sz="4" w:space="0" w:color="888888"/>
              <w:left w:val="single" w:sz="4" w:space="0" w:color="888888"/>
              <w:bottom w:val="single" w:sz="4" w:space="0" w:color="888888"/>
              <w:right w:val="single" w:sz="4" w:space="0" w:color="888888"/>
            </w:tcBorders>
          </w:tcPr>
          <w:p w14:paraId="7306081A"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lastRenderedPageBreak/>
              <w:t>LVMH ownership and capital support</w:t>
            </w:r>
          </w:p>
        </w:tc>
        <w:tc>
          <w:tcPr>
            <w:tcW w:w="3024" w:type="dxa"/>
            <w:tcBorders>
              <w:top w:val="single" w:sz="4" w:space="0" w:color="888888"/>
              <w:left w:val="single" w:sz="4" w:space="0" w:color="888888"/>
              <w:bottom w:val="single" w:sz="4" w:space="0" w:color="888888"/>
              <w:right w:val="single" w:sz="4" w:space="0" w:color="888888"/>
            </w:tcBorders>
          </w:tcPr>
          <w:p w14:paraId="4971D584"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Valuable and organised; rare among beauty specialists.</w:t>
            </w:r>
          </w:p>
        </w:tc>
        <w:tc>
          <w:tcPr>
            <w:tcW w:w="3024" w:type="dxa"/>
            <w:tcBorders>
              <w:top w:val="single" w:sz="4" w:space="0" w:color="888888"/>
              <w:left w:val="single" w:sz="4" w:space="0" w:color="888888"/>
              <w:bottom w:val="single" w:sz="4" w:space="0" w:color="888888"/>
              <w:right w:val="single" w:sz="4" w:space="0" w:color="888888"/>
            </w:tcBorders>
          </w:tcPr>
          <w:p w14:paraId="2F18FD66"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Supports store investment, technology, training and supplier relationships.</w:t>
            </w:r>
          </w:p>
        </w:tc>
      </w:tr>
      <w:tr w:rsidR="0065704F" w:rsidRPr="00C43F98" w14:paraId="580E3790" w14:textId="77777777">
        <w:trPr>
          <w:jc w:val="center"/>
        </w:trPr>
        <w:tc>
          <w:tcPr>
            <w:tcW w:w="3024" w:type="dxa"/>
            <w:tcBorders>
              <w:top w:val="single" w:sz="4" w:space="0" w:color="888888"/>
              <w:left w:val="single" w:sz="4" w:space="0" w:color="888888"/>
              <w:bottom w:val="single" w:sz="4" w:space="0" w:color="888888"/>
              <w:right w:val="single" w:sz="4" w:space="0" w:color="888888"/>
            </w:tcBorders>
          </w:tcPr>
          <w:p w14:paraId="502ED522"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Curated and exclusive brand portfolio</w:t>
            </w:r>
          </w:p>
        </w:tc>
        <w:tc>
          <w:tcPr>
            <w:tcW w:w="3024" w:type="dxa"/>
            <w:tcBorders>
              <w:top w:val="single" w:sz="4" w:space="0" w:color="888888"/>
              <w:left w:val="single" w:sz="4" w:space="0" w:color="888888"/>
              <w:bottom w:val="single" w:sz="4" w:space="0" w:color="888888"/>
              <w:right w:val="single" w:sz="4" w:space="0" w:color="888888"/>
            </w:tcBorders>
          </w:tcPr>
          <w:p w14:paraId="2FB3530B"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Valuable and partly rare; exclusivity can be imitated over time.</w:t>
            </w:r>
          </w:p>
        </w:tc>
        <w:tc>
          <w:tcPr>
            <w:tcW w:w="3024" w:type="dxa"/>
            <w:tcBorders>
              <w:top w:val="single" w:sz="4" w:space="0" w:color="888888"/>
              <w:left w:val="single" w:sz="4" w:space="0" w:color="888888"/>
              <w:bottom w:val="single" w:sz="4" w:space="0" w:color="888888"/>
              <w:right w:val="single" w:sz="4" w:space="0" w:color="888888"/>
            </w:tcBorders>
          </w:tcPr>
          <w:p w14:paraId="0D8590BC"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Needs education and availability management to avoid disappointment.</w:t>
            </w:r>
          </w:p>
        </w:tc>
      </w:tr>
      <w:tr w:rsidR="0065704F" w:rsidRPr="00C43F98" w14:paraId="563977B9" w14:textId="77777777">
        <w:trPr>
          <w:jc w:val="center"/>
        </w:trPr>
        <w:tc>
          <w:tcPr>
            <w:tcW w:w="3024" w:type="dxa"/>
            <w:tcBorders>
              <w:top w:val="single" w:sz="4" w:space="0" w:color="888888"/>
              <w:left w:val="single" w:sz="4" w:space="0" w:color="888888"/>
              <w:bottom w:val="single" w:sz="4" w:space="0" w:color="888888"/>
              <w:right w:val="single" w:sz="4" w:space="0" w:color="888888"/>
            </w:tcBorders>
          </w:tcPr>
          <w:p w14:paraId="34768327"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Beauty adviser expertise</w:t>
            </w:r>
          </w:p>
        </w:tc>
        <w:tc>
          <w:tcPr>
            <w:tcW w:w="3024" w:type="dxa"/>
            <w:tcBorders>
              <w:top w:val="single" w:sz="4" w:space="0" w:color="888888"/>
              <w:left w:val="single" w:sz="4" w:space="0" w:color="888888"/>
              <w:bottom w:val="single" w:sz="4" w:space="0" w:color="888888"/>
              <w:right w:val="single" w:sz="4" w:space="0" w:color="888888"/>
            </w:tcBorders>
          </w:tcPr>
          <w:p w14:paraId="419241F7"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Valuable and potentially difficult to imitate if trained consistently.</w:t>
            </w:r>
          </w:p>
        </w:tc>
        <w:tc>
          <w:tcPr>
            <w:tcW w:w="3024" w:type="dxa"/>
            <w:tcBorders>
              <w:top w:val="single" w:sz="4" w:space="0" w:color="888888"/>
              <w:left w:val="single" w:sz="4" w:space="0" w:color="888888"/>
              <w:bottom w:val="single" w:sz="4" w:space="0" w:color="888888"/>
              <w:right w:val="single" w:sz="4" w:space="0" w:color="888888"/>
            </w:tcBorders>
          </w:tcPr>
          <w:p w14:paraId="22F96F8F"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Make human expertise the safeguard around AI and online advice.</w:t>
            </w:r>
          </w:p>
        </w:tc>
      </w:tr>
      <w:tr w:rsidR="0065704F" w:rsidRPr="00C43F98" w14:paraId="42DC1ACB" w14:textId="77777777">
        <w:trPr>
          <w:jc w:val="center"/>
        </w:trPr>
        <w:tc>
          <w:tcPr>
            <w:tcW w:w="3024" w:type="dxa"/>
            <w:tcBorders>
              <w:top w:val="single" w:sz="4" w:space="0" w:color="888888"/>
              <w:left w:val="single" w:sz="4" w:space="0" w:color="888888"/>
              <w:bottom w:val="single" w:sz="4" w:space="0" w:color="888888"/>
              <w:right w:val="single" w:sz="4" w:space="0" w:color="888888"/>
            </w:tcBorders>
          </w:tcPr>
          <w:p w14:paraId="75B2C594"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MySephora loyalty and customer data</w:t>
            </w:r>
          </w:p>
        </w:tc>
        <w:tc>
          <w:tcPr>
            <w:tcW w:w="3024" w:type="dxa"/>
            <w:tcBorders>
              <w:top w:val="single" w:sz="4" w:space="0" w:color="888888"/>
              <w:left w:val="single" w:sz="4" w:space="0" w:color="888888"/>
              <w:bottom w:val="single" w:sz="4" w:space="0" w:color="888888"/>
              <w:right w:val="single" w:sz="4" w:space="0" w:color="888888"/>
            </w:tcBorders>
          </w:tcPr>
          <w:p w14:paraId="6652A2A5"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Valuable and organised, but sensitive and ethically constrained.</w:t>
            </w:r>
          </w:p>
        </w:tc>
        <w:tc>
          <w:tcPr>
            <w:tcW w:w="3024" w:type="dxa"/>
            <w:tcBorders>
              <w:top w:val="single" w:sz="4" w:space="0" w:color="888888"/>
              <w:left w:val="single" w:sz="4" w:space="0" w:color="888888"/>
              <w:bottom w:val="single" w:sz="4" w:space="0" w:color="888888"/>
              <w:right w:val="single" w:sz="4" w:space="0" w:color="888888"/>
            </w:tcBorders>
          </w:tcPr>
          <w:p w14:paraId="0B3672BB"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Use consent-based data to improve care, replenishment and aftercare.</w:t>
            </w:r>
          </w:p>
        </w:tc>
      </w:tr>
      <w:tr w:rsidR="0065704F" w:rsidRPr="00C43F98" w14:paraId="47ABB6FC" w14:textId="77777777">
        <w:trPr>
          <w:jc w:val="center"/>
        </w:trPr>
        <w:tc>
          <w:tcPr>
            <w:tcW w:w="3024" w:type="dxa"/>
            <w:tcBorders>
              <w:top w:val="single" w:sz="4" w:space="0" w:color="888888"/>
              <w:left w:val="single" w:sz="4" w:space="0" w:color="888888"/>
              <w:bottom w:val="single" w:sz="4" w:space="0" w:color="888888"/>
              <w:right w:val="single" w:sz="4" w:space="0" w:color="888888"/>
            </w:tcBorders>
          </w:tcPr>
          <w:p w14:paraId="10FCB3B1"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Omnichannel stores, app and website</w:t>
            </w:r>
          </w:p>
        </w:tc>
        <w:tc>
          <w:tcPr>
            <w:tcW w:w="3024" w:type="dxa"/>
            <w:tcBorders>
              <w:top w:val="single" w:sz="4" w:space="0" w:color="888888"/>
              <w:left w:val="single" w:sz="4" w:space="0" w:color="888888"/>
              <w:bottom w:val="single" w:sz="4" w:space="0" w:color="888888"/>
              <w:right w:val="single" w:sz="4" w:space="0" w:color="888888"/>
            </w:tcBorders>
          </w:tcPr>
          <w:p w14:paraId="49864DE4"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Valuable and organised; moderately imitable.</w:t>
            </w:r>
          </w:p>
        </w:tc>
        <w:tc>
          <w:tcPr>
            <w:tcW w:w="3024" w:type="dxa"/>
            <w:tcBorders>
              <w:top w:val="single" w:sz="4" w:space="0" w:color="888888"/>
              <w:left w:val="single" w:sz="4" w:space="0" w:color="888888"/>
              <w:bottom w:val="single" w:sz="4" w:space="0" w:color="888888"/>
              <w:right w:val="single" w:sz="4" w:space="0" w:color="888888"/>
            </w:tcBorders>
          </w:tcPr>
          <w:p w14:paraId="4066ED55"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Create seamless journeys rather than fragmented channel experiences.</w:t>
            </w:r>
          </w:p>
        </w:tc>
      </w:tr>
      <w:tr w:rsidR="0065704F" w:rsidRPr="00C43F98" w14:paraId="4D2366B5" w14:textId="77777777">
        <w:trPr>
          <w:jc w:val="center"/>
        </w:trPr>
        <w:tc>
          <w:tcPr>
            <w:tcW w:w="3024" w:type="dxa"/>
            <w:tcBorders>
              <w:top w:val="single" w:sz="4" w:space="0" w:color="888888"/>
              <w:left w:val="single" w:sz="4" w:space="0" w:color="888888"/>
              <w:bottom w:val="single" w:sz="4" w:space="0" w:color="888888"/>
              <w:right w:val="single" w:sz="4" w:space="0" w:color="888888"/>
            </w:tcBorders>
          </w:tcPr>
          <w:p w14:paraId="2197CAF9"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Inclusive service culture</w:t>
            </w:r>
          </w:p>
        </w:tc>
        <w:tc>
          <w:tcPr>
            <w:tcW w:w="3024" w:type="dxa"/>
            <w:tcBorders>
              <w:top w:val="single" w:sz="4" w:space="0" w:color="888888"/>
              <w:left w:val="single" w:sz="4" w:space="0" w:color="888888"/>
              <w:bottom w:val="single" w:sz="4" w:space="0" w:color="888888"/>
              <w:right w:val="single" w:sz="4" w:space="0" w:color="888888"/>
            </w:tcBorders>
          </w:tcPr>
          <w:p w14:paraId="57527BBC"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Potentially valuable, rare and hard to imitate if embedded in training, metrics and leadership.</w:t>
            </w:r>
          </w:p>
        </w:tc>
        <w:tc>
          <w:tcPr>
            <w:tcW w:w="3024" w:type="dxa"/>
            <w:tcBorders>
              <w:top w:val="single" w:sz="4" w:space="0" w:color="888888"/>
              <w:left w:val="single" w:sz="4" w:space="0" w:color="888888"/>
              <w:bottom w:val="single" w:sz="4" w:space="0" w:color="888888"/>
              <w:right w:val="single" w:sz="4" w:space="0" w:color="888888"/>
            </w:tcBorders>
          </w:tcPr>
          <w:p w14:paraId="1261CDDE"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Can become a durable trust capability in the UK market.</w:t>
            </w:r>
          </w:p>
        </w:tc>
      </w:tr>
    </w:tbl>
    <w:p w14:paraId="62281C45" w14:textId="77777777" w:rsidR="0065704F" w:rsidRPr="00C43F98" w:rsidRDefault="0065704F" w:rsidP="00C43F98">
      <w:pPr>
        <w:spacing w:after="0" w:line="360" w:lineRule="auto"/>
        <w:rPr>
          <w:rFonts w:ascii="Times New Roman" w:hAnsi="Times New Roman" w:cs="Times New Roman"/>
          <w:szCs w:val="24"/>
        </w:rPr>
      </w:pPr>
    </w:p>
    <w:p w14:paraId="37D18033" w14:textId="77777777" w:rsidR="0065704F" w:rsidRPr="00C43F98" w:rsidRDefault="00000000" w:rsidP="00C43F98">
      <w:pPr>
        <w:pStyle w:val="Heading1"/>
        <w:spacing w:before="240" w:after="120" w:line="360" w:lineRule="auto"/>
        <w:rPr>
          <w:rFonts w:ascii="Times New Roman" w:hAnsi="Times New Roman" w:cs="Times New Roman"/>
        </w:rPr>
      </w:pPr>
      <w:bookmarkStart w:id="6" w:name="_Toc233721771"/>
      <w:r w:rsidRPr="00C43F98">
        <w:rPr>
          <w:rFonts w:ascii="Times New Roman" w:eastAsia="Arial" w:hAnsi="Times New Roman" w:cs="Times New Roman"/>
        </w:rPr>
        <w:t>3. Critical Evaluation of Strategic Options for Personalised Customer Care</w:t>
      </w:r>
      <w:bookmarkEnd w:id="6"/>
    </w:p>
    <w:p w14:paraId="7B2FE50A"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 xml:space="preserve">The first strategic option is to develop an AI-assisted personalised beauty adviser across Sephora UK’s website, app and stores. This would go beyond simple product recommendation. It could support shade matching, skin-care routine building, fragrance profiling, replenishment reminders, ingredient explanation, gift advice and store appointment preparation. In stores, advisers could use customer-consented profiles to avoid asking </w:t>
      </w:r>
      <w:r w:rsidRPr="00C43F98">
        <w:rPr>
          <w:rFonts w:ascii="Times New Roman" w:hAnsi="Times New Roman" w:cs="Times New Roman"/>
          <w:szCs w:val="24"/>
        </w:rPr>
        <w:lastRenderedPageBreak/>
        <w:t>customers to repeat preferences. Online, the system could offer explainable suggestions such as why a product fits a skin type, budget, finish preference or previous purchase.</w:t>
      </w:r>
    </w:p>
    <w:p w14:paraId="77729988"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This option is suitable because customers face increasing choice complexity. Beauty shoppers compare thousands of products, social-media claims and contradictory reviews. Personalised guidance can reduce confusion and support better decisions (Payne and Frow, 2005; Homburg, Jozić and Kuehnl, 2017). It is commercially attractive because relevant advice can increase confidence, repeat purchase and loyalty. However, acceptability is mixed. AI in beauty can raise concerns around privacy, discriminatory outcomes, body-image pressure and over-commercialisation. Following responsible AI and human-machine augmentation principles, recommendations should be explainable, bias-monitored and escalated to human advisers when issues are sensitive (Daugherty and Wilson, 2018; OECD, 2019; Floridi and Cowls, 2019; Dwivedi et al., 2021; Raisch and Krakowski, 2021; ICO, 2023).</w:t>
      </w:r>
    </w:p>
    <w:p w14:paraId="0278DBA3"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The second option is to build inclusive service excellence and trusted beauty education. This would strengthen adviser training in shade diversity, textured hair, sensitive skin, accessibility, gender-inclusive language, product claims, ingredient literacy and service recovery. Service quality theory emphasises that reliability, responsiveness and assurance strongly shape perceived care (Grönroos, 1984; Parasuraman, Zeithaml and Berry, 1988; Wirtz and Lovelock, 2021). This option is highly suitable because beauty mistakes are emotionally and financially costly: a wrong foundation shade can make a customer feel unseen, while dismissive treatment can become reputational damage.</w:t>
      </w:r>
    </w:p>
    <w:p w14:paraId="718EBEF9"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This option is acceptable because it benefits customers, employees and brand partners. Customers receive more respectful and accurate care; employees gain confidence; brand partners gain better product explanation. It is feasible, but requires training standards, mystery-shopping feedback, employee voice, complaint analysis and leadership accountability. The advantage is that inclusive service excellence is difficult for price-led online competitors to copy because it is embedded in culture and behaviour rather than only technology.</w:t>
      </w:r>
    </w:p>
    <w:p w14:paraId="0C415099"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The third option is an agile omnichannel loyalty and community-care model. Sephora UK already operates MySephora, which offers points-based benefits, rewards, delivery perks and brand-related advantages (Sephora UK, 2026b). This option would extend loyalty from a rewards mechanism into a care mechanism. For example, MySephora could help customers track routines, access advice history, receive replenishment reminders, book services, join community events, receive targeted education and escalate post-purchase issues. The strategic value is that loyalty becomes a service relationship rather than a discount habit.</w:t>
      </w:r>
    </w:p>
    <w:p w14:paraId="40BDA478"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lastRenderedPageBreak/>
        <w:t>This option is suitable because beauty retail is increasingly shaped by communities and social proof. It is acceptable if customers feel in control of communication, preferences and data. It is feasible because Sephora already has a website, app, loyalty scheme and stores, but it requires integration. A fragmented loyalty programme sending generic promotions will not create strategic advantage. The stronger direction is to combine all three options into one sequenced strategy: human-centred AI, inclusive service excellence and omnichannel care loops.</w:t>
      </w:r>
    </w:p>
    <w:p w14:paraId="465B73D9" w14:textId="77777777" w:rsidR="0065704F" w:rsidRPr="00C43F98" w:rsidRDefault="00000000" w:rsidP="00C43F98">
      <w:pPr>
        <w:spacing w:before="120" w:after="60" w:line="360" w:lineRule="auto"/>
        <w:rPr>
          <w:rFonts w:ascii="Times New Roman" w:hAnsi="Times New Roman" w:cs="Times New Roman"/>
          <w:sz w:val="28"/>
          <w:szCs w:val="28"/>
        </w:rPr>
      </w:pPr>
      <w:r w:rsidRPr="00C43F98">
        <w:rPr>
          <w:rFonts w:ascii="Times New Roman" w:hAnsi="Times New Roman" w:cs="Times New Roman"/>
          <w:b/>
          <w:sz w:val="28"/>
          <w:szCs w:val="28"/>
        </w:rPr>
        <w:t>Table 5: SAF evaluation of strategic options</w:t>
      </w:r>
    </w:p>
    <w:tbl>
      <w:tblPr>
        <w:tblStyle w:val="TableGrid"/>
        <w:tblW w:w="0" w:type="auto"/>
        <w:jc w:val="center"/>
        <w:tblLook w:val="04A0" w:firstRow="1" w:lastRow="0" w:firstColumn="1" w:lastColumn="0" w:noHBand="0" w:noVBand="1"/>
      </w:tblPr>
      <w:tblGrid>
        <w:gridCol w:w="1812"/>
        <w:gridCol w:w="1812"/>
        <w:gridCol w:w="1813"/>
        <w:gridCol w:w="1813"/>
        <w:gridCol w:w="1812"/>
      </w:tblGrid>
      <w:tr w:rsidR="0065704F" w:rsidRPr="00C43F98" w14:paraId="5F59D98E" w14:textId="77777777">
        <w:trPr>
          <w:tblHeader/>
          <w:jc w:val="center"/>
        </w:trPr>
        <w:tc>
          <w:tcPr>
            <w:tcW w:w="1814" w:type="dxa"/>
            <w:tcBorders>
              <w:top w:val="single" w:sz="4" w:space="0" w:color="888888"/>
              <w:left w:val="single" w:sz="4" w:space="0" w:color="888888"/>
              <w:bottom w:val="single" w:sz="4" w:space="0" w:color="888888"/>
              <w:right w:val="single" w:sz="4" w:space="0" w:color="888888"/>
            </w:tcBorders>
            <w:shd w:val="clear" w:color="auto" w:fill="D9EAF7"/>
          </w:tcPr>
          <w:p w14:paraId="3D782705"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b/>
                <w:szCs w:val="24"/>
              </w:rPr>
              <w:t>Strategic option</w:t>
            </w:r>
          </w:p>
        </w:tc>
        <w:tc>
          <w:tcPr>
            <w:tcW w:w="1814" w:type="dxa"/>
            <w:tcBorders>
              <w:top w:val="single" w:sz="4" w:space="0" w:color="888888"/>
              <w:left w:val="single" w:sz="4" w:space="0" w:color="888888"/>
              <w:bottom w:val="single" w:sz="4" w:space="0" w:color="888888"/>
              <w:right w:val="single" w:sz="4" w:space="0" w:color="888888"/>
            </w:tcBorders>
            <w:shd w:val="clear" w:color="auto" w:fill="D9EAF7"/>
          </w:tcPr>
          <w:p w14:paraId="457DC6D4"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b/>
                <w:szCs w:val="24"/>
              </w:rPr>
              <w:t>Suitability</w:t>
            </w:r>
          </w:p>
        </w:tc>
        <w:tc>
          <w:tcPr>
            <w:tcW w:w="1814" w:type="dxa"/>
            <w:tcBorders>
              <w:top w:val="single" w:sz="4" w:space="0" w:color="888888"/>
              <w:left w:val="single" w:sz="4" w:space="0" w:color="888888"/>
              <w:bottom w:val="single" w:sz="4" w:space="0" w:color="888888"/>
              <w:right w:val="single" w:sz="4" w:space="0" w:color="888888"/>
            </w:tcBorders>
            <w:shd w:val="clear" w:color="auto" w:fill="D9EAF7"/>
          </w:tcPr>
          <w:p w14:paraId="05418EF5"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b/>
                <w:szCs w:val="24"/>
              </w:rPr>
              <w:t>Acceptability</w:t>
            </w:r>
          </w:p>
        </w:tc>
        <w:tc>
          <w:tcPr>
            <w:tcW w:w="1814" w:type="dxa"/>
            <w:tcBorders>
              <w:top w:val="single" w:sz="4" w:space="0" w:color="888888"/>
              <w:left w:val="single" w:sz="4" w:space="0" w:color="888888"/>
              <w:bottom w:val="single" w:sz="4" w:space="0" w:color="888888"/>
              <w:right w:val="single" w:sz="4" w:space="0" w:color="888888"/>
            </w:tcBorders>
            <w:shd w:val="clear" w:color="auto" w:fill="D9EAF7"/>
          </w:tcPr>
          <w:p w14:paraId="3F15FB9C"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b/>
                <w:szCs w:val="24"/>
              </w:rPr>
              <w:t>Feasibility</w:t>
            </w:r>
          </w:p>
        </w:tc>
        <w:tc>
          <w:tcPr>
            <w:tcW w:w="1814" w:type="dxa"/>
            <w:tcBorders>
              <w:top w:val="single" w:sz="4" w:space="0" w:color="888888"/>
              <w:left w:val="single" w:sz="4" w:space="0" w:color="888888"/>
              <w:bottom w:val="single" w:sz="4" w:space="0" w:color="888888"/>
              <w:right w:val="single" w:sz="4" w:space="0" w:color="888888"/>
            </w:tcBorders>
            <w:shd w:val="clear" w:color="auto" w:fill="D9EAF7"/>
          </w:tcPr>
          <w:p w14:paraId="496268C3"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b/>
                <w:szCs w:val="24"/>
              </w:rPr>
              <w:t>Overall judgement</w:t>
            </w:r>
          </w:p>
        </w:tc>
      </w:tr>
      <w:tr w:rsidR="0065704F" w:rsidRPr="00C43F98" w14:paraId="0B7580ED" w14:textId="77777777">
        <w:trPr>
          <w:jc w:val="center"/>
        </w:trPr>
        <w:tc>
          <w:tcPr>
            <w:tcW w:w="1814" w:type="dxa"/>
            <w:tcBorders>
              <w:top w:val="single" w:sz="4" w:space="0" w:color="888888"/>
              <w:left w:val="single" w:sz="4" w:space="0" w:color="888888"/>
              <w:bottom w:val="single" w:sz="4" w:space="0" w:color="888888"/>
              <w:right w:val="single" w:sz="4" w:space="0" w:color="888888"/>
            </w:tcBorders>
          </w:tcPr>
          <w:p w14:paraId="14FBF8D3"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Option 1: AI-assisted personalised beauty adviser</w:t>
            </w:r>
          </w:p>
        </w:tc>
        <w:tc>
          <w:tcPr>
            <w:tcW w:w="1814" w:type="dxa"/>
            <w:tcBorders>
              <w:top w:val="single" w:sz="4" w:space="0" w:color="888888"/>
              <w:left w:val="single" w:sz="4" w:space="0" w:color="888888"/>
              <w:bottom w:val="single" w:sz="4" w:space="0" w:color="888888"/>
              <w:right w:val="single" w:sz="4" w:space="0" w:color="888888"/>
            </w:tcBorders>
          </w:tcPr>
          <w:p w14:paraId="21858122"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High: improves discovery, routine building and speed at scale.</w:t>
            </w:r>
          </w:p>
        </w:tc>
        <w:tc>
          <w:tcPr>
            <w:tcW w:w="1814" w:type="dxa"/>
            <w:tcBorders>
              <w:top w:val="single" w:sz="4" w:space="0" w:color="888888"/>
              <w:left w:val="single" w:sz="4" w:space="0" w:color="888888"/>
              <w:bottom w:val="single" w:sz="4" w:space="0" w:color="888888"/>
              <w:right w:val="single" w:sz="4" w:space="0" w:color="888888"/>
            </w:tcBorders>
          </w:tcPr>
          <w:p w14:paraId="19B7BDF6"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Medium: customers may worry about privacy, bias or sales-driven advice.</w:t>
            </w:r>
          </w:p>
        </w:tc>
        <w:tc>
          <w:tcPr>
            <w:tcW w:w="1814" w:type="dxa"/>
            <w:tcBorders>
              <w:top w:val="single" w:sz="4" w:space="0" w:color="888888"/>
              <w:left w:val="single" w:sz="4" w:space="0" w:color="888888"/>
              <w:bottom w:val="single" w:sz="4" w:space="0" w:color="888888"/>
              <w:right w:val="single" w:sz="4" w:space="0" w:color="888888"/>
            </w:tcBorders>
          </w:tcPr>
          <w:p w14:paraId="38FF3A38"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 xml:space="preserve">Medium to high: Sephora has data and digital </w:t>
            </w:r>
            <w:proofErr w:type="gramStart"/>
            <w:r w:rsidRPr="00C43F98">
              <w:rPr>
                <w:rFonts w:ascii="Times New Roman" w:hAnsi="Times New Roman" w:cs="Times New Roman"/>
                <w:szCs w:val="24"/>
              </w:rPr>
              <w:t>channels, but</w:t>
            </w:r>
            <w:proofErr w:type="gramEnd"/>
            <w:r w:rsidRPr="00C43F98">
              <w:rPr>
                <w:rFonts w:ascii="Times New Roman" w:hAnsi="Times New Roman" w:cs="Times New Roman"/>
                <w:szCs w:val="24"/>
              </w:rPr>
              <w:t xml:space="preserve"> needs governance.</w:t>
            </w:r>
          </w:p>
        </w:tc>
        <w:tc>
          <w:tcPr>
            <w:tcW w:w="1814" w:type="dxa"/>
            <w:tcBorders>
              <w:top w:val="single" w:sz="4" w:space="0" w:color="888888"/>
              <w:left w:val="single" w:sz="4" w:space="0" w:color="888888"/>
              <w:bottom w:val="single" w:sz="4" w:space="0" w:color="888888"/>
              <w:right w:val="single" w:sz="4" w:space="0" w:color="888888"/>
            </w:tcBorders>
          </w:tcPr>
          <w:p w14:paraId="3269447F"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Necessary, but should be human-supervised.</w:t>
            </w:r>
          </w:p>
        </w:tc>
      </w:tr>
      <w:tr w:rsidR="0065704F" w:rsidRPr="00C43F98" w14:paraId="5D44E241" w14:textId="77777777">
        <w:trPr>
          <w:jc w:val="center"/>
        </w:trPr>
        <w:tc>
          <w:tcPr>
            <w:tcW w:w="1814" w:type="dxa"/>
            <w:tcBorders>
              <w:top w:val="single" w:sz="4" w:space="0" w:color="888888"/>
              <w:left w:val="single" w:sz="4" w:space="0" w:color="888888"/>
              <w:bottom w:val="single" w:sz="4" w:space="0" w:color="888888"/>
              <w:right w:val="single" w:sz="4" w:space="0" w:color="888888"/>
            </w:tcBorders>
          </w:tcPr>
          <w:p w14:paraId="35DFADD5"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Option 2: Inclusive service excellence and trusted beauty education</w:t>
            </w:r>
          </w:p>
        </w:tc>
        <w:tc>
          <w:tcPr>
            <w:tcW w:w="1814" w:type="dxa"/>
            <w:tcBorders>
              <w:top w:val="single" w:sz="4" w:space="0" w:color="888888"/>
              <w:left w:val="single" w:sz="4" w:space="0" w:color="888888"/>
              <w:bottom w:val="single" w:sz="4" w:space="0" w:color="888888"/>
              <w:right w:val="single" w:sz="4" w:space="0" w:color="888888"/>
            </w:tcBorders>
          </w:tcPr>
          <w:p w14:paraId="611CA4E3"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High: directly supports trust, shade inclusivity and adviser credibility.</w:t>
            </w:r>
          </w:p>
        </w:tc>
        <w:tc>
          <w:tcPr>
            <w:tcW w:w="1814" w:type="dxa"/>
            <w:tcBorders>
              <w:top w:val="single" w:sz="4" w:space="0" w:color="888888"/>
              <w:left w:val="single" w:sz="4" w:space="0" w:color="888888"/>
              <w:bottom w:val="single" w:sz="4" w:space="0" w:color="888888"/>
              <w:right w:val="single" w:sz="4" w:space="0" w:color="888888"/>
            </w:tcBorders>
          </w:tcPr>
          <w:p w14:paraId="22EE7082"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High for customers and employees; brand partners may need clearer education standards.</w:t>
            </w:r>
          </w:p>
        </w:tc>
        <w:tc>
          <w:tcPr>
            <w:tcW w:w="1814" w:type="dxa"/>
            <w:tcBorders>
              <w:top w:val="single" w:sz="4" w:space="0" w:color="888888"/>
              <w:left w:val="single" w:sz="4" w:space="0" w:color="888888"/>
              <w:bottom w:val="single" w:sz="4" w:space="0" w:color="888888"/>
              <w:right w:val="single" w:sz="4" w:space="0" w:color="888888"/>
            </w:tcBorders>
          </w:tcPr>
          <w:p w14:paraId="305EEF1D"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Medium: requires training, time and store leadership discipline.</w:t>
            </w:r>
          </w:p>
        </w:tc>
        <w:tc>
          <w:tcPr>
            <w:tcW w:w="1814" w:type="dxa"/>
            <w:tcBorders>
              <w:top w:val="single" w:sz="4" w:space="0" w:color="888888"/>
              <w:left w:val="single" w:sz="4" w:space="0" w:color="888888"/>
              <w:bottom w:val="single" w:sz="4" w:space="0" w:color="888888"/>
              <w:right w:val="single" w:sz="4" w:space="0" w:color="888888"/>
            </w:tcBorders>
          </w:tcPr>
          <w:p w14:paraId="4507F4BD"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Strongest trust-building foundation.</w:t>
            </w:r>
          </w:p>
        </w:tc>
      </w:tr>
      <w:tr w:rsidR="0065704F" w:rsidRPr="00C43F98" w14:paraId="75A94959" w14:textId="77777777">
        <w:trPr>
          <w:jc w:val="center"/>
        </w:trPr>
        <w:tc>
          <w:tcPr>
            <w:tcW w:w="1814" w:type="dxa"/>
            <w:tcBorders>
              <w:top w:val="single" w:sz="4" w:space="0" w:color="888888"/>
              <w:left w:val="single" w:sz="4" w:space="0" w:color="888888"/>
              <w:bottom w:val="single" w:sz="4" w:space="0" w:color="888888"/>
              <w:right w:val="single" w:sz="4" w:space="0" w:color="888888"/>
            </w:tcBorders>
          </w:tcPr>
          <w:p w14:paraId="36A8D186"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Option 3: Agile omnichannel loyalty and community care</w:t>
            </w:r>
          </w:p>
        </w:tc>
        <w:tc>
          <w:tcPr>
            <w:tcW w:w="1814" w:type="dxa"/>
            <w:tcBorders>
              <w:top w:val="single" w:sz="4" w:space="0" w:color="888888"/>
              <w:left w:val="single" w:sz="4" w:space="0" w:color="888888"/>
              <w:bottom w:val="single" w:sz="4" w:space="0" w:color="888888"/>
              <w:right w:val="single" w:sz="4" w:space="0" w:color="888888"/>
            </w:tcBorders>
          </w:tcPr>
          <w:p w14:paraId="057AC977"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High: connects MySephora, app, stores and events into retention.</w:t>
            </w:r>
          </w:p>
        </w:tc>
        <w:tc>
          <w:tcPr>
            <w:tcW w:w="1814" w:type="dxa"/>
            <w:tcBorders>
              <w:top w:val="single" w:sz="4" w:space="0" w:color="888888"/>
              <w:left w:val="single" w:sz="4" w:space="0" w:color="888888"/>
              <w:bottom w:val="single" w:sz="4" w:space="0" w:color="888888"/>
              <w:right w:val="single" w:sz="4" w:space="0" w:color="888888"/>
            </w:tcBorders>
          </w:tcPr>
          <w:p w14:paraId="528F8E28"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High if benefits feel useful rather than manipulative.</w:t>
            </w:r>
          </w:p>
        </w:tc>
        <w:tc>
          <w:tcPr>
            <w:tcW w:w="1814" w:type="dxa"/>
            <w:tcBorders>
              <w:top w:val="single" w:sz="4" w:space="0" w:color="888888"/>
              <w:left w:val="single" w:sz="4" w:space="0" w:color="888888"/>
              <w:bottom w:val="single" w:sz="4" w:space="0" w:color="888888"/>
              <w:right w:val="single" w:sz="4" w:space="0" w:color="888888"/>
            </w:tcBorders>
          </w:tcPr>
          <w:p w14:paraId="684D69A6"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Medium: requires data integration and operational coordination.</w:t>
            </w:r>
          </w:p>
        </w:tc>
        <w:tc>
          <w:tcPr>
            <w:tcW w:w="1814" w:type="dxa"/>
            <w:tcBorders>
              <w:top w:val="single" w:sz="4" w:space="0" w:color="888888"/>
              <w:left w:val="single" w:sz="4" w:space="0" w:color="888888"/>
              <w:bottom w:val="single" w:sz="4" w:space="0" w:color="888888"/>
              <w:right w:val="single" w:sz="4" w:space="0" w:color="888888"/>
            </w:tcBorders>
          </w:tcPr>
          <w:p w14:paraId="7CDAEC54"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High potential when combined with Options 1 and 2.</w:t>
            </w:r>
          </w:p>
        </w:tc>
      </w:tr>
    </w:tbl>
    <w:p w14:paraId="7A6FDEAE" w14:textId="77777777" w:rsidR="0065704F" w:rsidRPr="00C43F98" w:rsidRDefault="0065704F" w:rsidP="00C43F98">
      <w:pPr>
        <w:spacing w:after="0" w:line="360" w:lineRule="auto"/>
        <w:rPr>
          <w:rFonts w:ascii="Times New Roman" w:hAnsi="Times New Roman" w:cs="Times New Roman"/>
          <w:szCs w:val="24"/>
        </w:rPr>
      </w:pPr>
    </w:p>
    <w:p w14:paraId="30BEA316" w14:textId="77777777" w:rsidR="0065704F" w:rsidRPr="00C43F98" w:rsidRDefault="00000000" w:rsidP="00C43F98">
      <w:pPr>
        <w:pStyle w:val="Heading1"/>
        <w:spacing w:before="240" w:after="120" w:line="360" w:lineRule="auto"/>
        <w:rPr>
          <w:rFonts w:ascii="Times New Roman" w:hAnsi="Times New Roman" w:cs="Times New Roman"/>
        </w:rPr>
      </w:pPr>
      <w:bookmarkStart w:id="7" w:name="_Toc233721772"/>
      <w:r w:rsidRPr="00C43F98">
        <w:rPr>
          <w:rFonts w:ascii="Times New Roman" w:eastAsia="Arial" w:hAnsi="Times New Roman" w:cs="Times New Roman"/>
        </w:rPr>
        <w:lastRenderedPageBreak/>
        <w:t>4. Wider Organisational Implications</w:t>
      </w:r>
      <w:bookmarkEnd w:id="7"/>
    </w:p>
    <w:p w14:paraId="1C834FCC"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The recommended direction has wider organisational implications because personalised customer care changes how Sephora should lead, structure, train, govern and measure the business. Senior management should treat care as a strategic capability rather than a store operations issue, linking metrics to retention, employee capability, brand trust, complaint reduction and responsible growth. Kotter's work on change emphasises urgency and leadership alignment around a clear direction (Kotter, 2012). For Sephora, the urgency is that UK expansion will create long-term value only if service quality scales with it.</w:t>
      </w:r>
    </w:p>
    <w:p w14:paraId="7498FF8D"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The second implication concerns culture. Sephora’s brand identity is energetic, exploratory and inclusive. However, culture must be experienced by customers in ordinary interactions, not only expressed in campaigns. An inclusive culture requires practical routines: greeting customers without assumptions, matching shades across skin tones, respecting gender expression, supporting disabled customers, explaining ingredients without shaming, and responding calmly to dissatisfaction. This also creates ethical responsibilities. Beauty retail can empower customers, but it can also intensify insecurity if advice is delivered carelessly. Sephora’s care model should therefore reinforce confidence, choice and informed self-expression rather than pressure.</w:t>
      </w:r>
    </w:p>
    <w:p w14:paraId="2C90B823"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 xml:space="preserve">The third implication </w:t>
      </w:r>
      <w:proofErr w:type="gramStart"/>
      <w:r w:rsidRPr="00C43F98">
        <w:rPr>
          <w:rFonts w:ascii="Times New Roman" w:hAnsi="Times New Roman" w:cs="Times New Roman"/>
          <w:szCs w:val="24"/>
        </w:rPr>
        <w:t>concerns</w:t>
      </w:r>
      <w:proofErr w:type="gramEnd"/>
      <w:r w:rsidRPr="00C43F98">
        <w:rPr>
          <w:rFonts w:ascii="Times New Roman" w:hAnsi="Times New Roman" w:cs="Times New Roman"/>
          <w:szCs w:val="24"/>
        </w:rPr>
        <w:t xml:space="preserve"> structure and agility. Sephora should use cross-functional squads around key journeys such as shade matching, online returns, first-time skincare routines, store appointments and loyalty onboarding. These squads should bring together store advisers, customer-care teams, digital product managers, data specialists, merchandising, compliance and brand education. Agile and innovation literature stresses empowered teams, learning and coordination around customer outcomes (Ahlbäck et al., 2017; De Smet, Lurie and St George, 2018; Denning, 2018; Chesbrough, 2010; Wade, Joshi and Teracino, 2021). For Sephora, agility should mean detecting friction and improving the experience before it becomes a loyalty problem.</w:t>
      </w:r>
    </w:p>
    <w:p w14:paraId="46F4F08E"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 xml:space="preserve">The fourth implication concerns technology and data governance. Personalisation depends on connecting customer information, but beauty profiles may include skin tone, hair texture, skin concerns, pregnancy preferences, allergies, location or behavioural signals. Sephora should apply privacy-by-design principles, minimise data collection, explain recommendation logic and allow customers to opt out or edit profiles. The ICO's AI guidance and Sephora UK's privacy policy </w:t>
      </w:r>
      <w:proofErr w:type="gramStart"/>
      <w:r w:rsidRPr="00C43F98">
        <w:rPr>
          <w:rFonts w:ascii="Times New Roman" w:hAnsi="Times New Roman" w:cs="Times New Roman"/>
          <w:szCs w:val="24"/>
        </w:rPr>
        <w:t>make</w:t>
      </w:r>
      <w:proofErr w:type="gramEnd"/>
      <w:r w:rsidRPr="00C43F98">
        <w:rPr>
          <w:rFonts w:ascii="Times New Roman" w:hAnsi="Times New Roman" w:cs="Times New Roman"/>
          <w:szCs w:val="24"/>
        </w:rPr>
        <w:t xml:space="preserve"> fairness, transparency and accountability central to responsible deployment (ICO, 2023; Sephora UK, 2026d).</w:t>
      </w:r>
    </w:p>
    <w:p w14:paraId="3DBD4942"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lastRenderedPageBreak/>
        <w:t>The fifth implication concerns corporate reputation and CSR. Sephora's DE&amp;I commitments are relevant because customers increasingly expect beauty retailers to represent diverse communities and support emerging founders (Sephora, 2025). However, CSR can become performative if it is not visible in stock, service, hiring, training and complaint handling (Carroll, 1991). Sustainability also requires practical decisions around product information, sampling, recycling, packaging and responsible consumption. Sephora should therefore connect CSR with customer journeys: advice should help customers buy products they will use, not accumulate waste through unsuitable purchases.</w:t>
      </w:r>
    </w:p>
    <w:p w14:paraId="21B0425E"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Finally, the strategy has financial implications. More training, human escalation, data governance, content quality and systems integration will cost money. However, weak customer care also creates avoidable returns, low repeat purchase, complaints, poor reviews and damaged trust in product advice. A balanced-scorecard approach can help Sephora connect customer, process, learning and financial indicators rather than judging care only through short-term sales (Kaplan and Norton, 1992; Lynch, 2018; Wirtz and Lovelock, 2021).</w:t>
      </w:r>
    </w:p>
    <w:p w14:paraId="01EEDE61" w14:textId="77777777" w:rsidR="0065704F" w:rsidRPr="00C43F98" w:rsidRDefault="00000000" w:rsidP="00C43F98">
      <w:pPr>
        <w:pStyle w:val="Heading1"/>
        <w:spacing w:before="240" w:after="120" w:line="360" w:lineRule="auto"/>
        <w:rPr>
          <w:rFonts w:ascii="Times New Roman" w:hAnsi="Times New Roman" w:cs="Times New Roman"/>
        </w:rPr>
      </w:pPr>
      <w:bookmarkStart w:id="8" w:name="_Toc233721773"/>
      <w:r w:rsidRPr="00C43F98">
        <w:rPr>
          <w:rFonts w:ascii="Times New Roman" w:eastAsia="Arial" w:hAnsi="Times New Roman" w:cs="Times New Roman"/>
        </w:rPr>
        <w:t>5. Recommendations</w:t>
      </w:r>
      <w:bookmarkEnd w:id="8"/>
    </w:p>
    <w:p w14:paraId="43D5D4A1"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The recommended strategy is Sephora BeautyCare 360: an integrated customer-care model combining responsible personalisation, human expertise, inclusive service, transparent product education and agile learning across the UK business. The aim is not to automate every interaction, but to ensure each customer feels Sephora understands the context of their beauty need and can support them before, during and after purchase.</w:t>
      </w:r>
    </w:p>
    <w:p w14:paraId="7D4AF077"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The first recommendation is to build a hybrid AI-human beauty adviser. AI should support routine discovery, shade matching, replenishment, gift selection and product comparison, but human escalation must remain visible. Sensitive cases, including irritation, allergy concerns, pregnancy-related questions, discrimination complaints, disability access issues or distress about appearance, should be routed to trained employees. AI should explain why a product is recommended and what the limits of the advice are (Daugherty and Wilson, 2018; Raisch and Krakowski, 2021).</w:t>
      </w:r>
    </w:p>
    <w:p w14:paraId="3EF7FD1E"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The second recommendation is to create an inclusive service academy for Sephora UK. Training should cover shade diversity, textured hair, sensitive skin, fragrance sensitivities, accessibility, gender-inclusive communication, product claims, cultural awareness and difficult service recovery. It should be continuous rather than a one-off induction, using brand-partner sessions, employee feedback and customer mystery-shopping insight. Sephora should reward behaviours that build trust, not only conversion or basket size.</w:t>
      </w:r>
    </w:p>
    <w:p w14:paraId="4AB6335A"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lastRenderedPageBreak/>
        <w:t>The third recommendation is to turn MySephora into a care relationship. Customers should be able to create a voluntary beauty profile, set communication preferences, save routines, record shade matches, receive replenishment prompts and book follow-up advice (Sephora UK, 2026b). The programme should let customers control how much personalisation they want, reducing the risk that loyalty data feels like surveillance.</w:t>
      </w:r>
    </w:p>
    <w:p w14:paraId="4ADCDA2A"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The fourth recommendation is to improve transparent product education and aftercare. Sephora should make ingredient information, claims, suitability and usage instructions easier to understand online and in stores. For products with higher confusion or return rates, Sephora should add short adviser-led guidance, routine compatibility information and post-purchase follow-up, supported by clear self-service routes for orders and returns (Sephora UK, 2026c). This can reduce avoidable dissatisfaction and support responsible consumption.</w:t>
      </w:r>
    </w:p>
    <w:p w14:paraId="15AA4844"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The fifth recommendation is to use agile pilots before national scaling. Sephora should select a small number of UK stores and digital journeys, such as foundation shade matching, first-time skincare routines, online returns and fragrance gifting. Each pilot should have a clear hypothesis, customer metric, employee feedback route and decision rule, keeping the strategy practical and measurable.</w:t>
      </w:r>
    </w:p>
    <w:p w14:paraId="40A3055C"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The following SOSTAC plan translates the recommended strategy into implementation logic. SOSTAC is particularly useful here because it connects analysis, objectives, tactics, action and control in one planning cycle (Chaffey and Smith, 2022).</w:t>
      </w:r>
    </w:p>
    <w:p w14:paraId="49117E27" w14:textId="77777777" w:rsidR="0065704F" w:rsidRPr="00C43F98" w:rsidRDefault="00000000" w:rsidP="00C43F98">
      <w:pPr>
        <w:spacing w:before="120" w:after="60" w:line="360" w:lineRule="auto"/>
        <w:rPr>
          <w:rFonts w:ascii="Times New Roman" w:hAnsi="Times New Roman" w:cs="Times New Roman"/>
          <w:sz w:val="28"/>
          <w:szCs w:val="28"/>
        </w:rPr>
      </w:pPr>
      <w:r w:rsidRPr="00C43F98">
        <w:rPr>
          <w:rFonts w:ascii="Times New Roman" w:hAnsi="Times New Roman" w:cs="Times New Roman"/>
          <w:b/>
          <w:sz w:val="28"/>
          <w:szCs w:val="28"/>
        </w:rPr>
        <w:t>Table 6: SOSTAC plan for Sephora BeautyCare 360</w:t>
      </w:r>
    </w:p>
    <w:tbl>
      <w:tblPr>
        <w:tblStyle w:val="TableGrid"/>
        <w:tblW w:w="0" w:type="auto"/>
        <w:jc w:val="center"/>
        <w:tblLook w:val="04A0" w:firstRow="1" w:lastRow="0" w:firstColumn="1" w:lastColumn="0" w:noHBand="0" w:noVBand="1"/>
      </w:tblPr>
      <w:tblGrid>
        <w:gridCol w:w="4531"/>
        <w:gridCol w:w="4531"/>
      </w:tblGrid>
      <w:tr w:rsidR="0065704F" w:rsidRPr="00C43F98" w14:paraId="10EB33AD" w14:textId="77777777">
        <w:trPr>
          <w:tblHeader/>
          <w:jc w:val="center"/>
        </w:trPr>
        <w:tc>
          <w:tcPr>
            <w:tcW w:w="4536" w:type="dxa"/>
            <w:tcBorders>
              <w:top w:val="single" w:sz="4" w:space="0" w:color="888888"/>
              <w:left w:val="single" w:sz="4" w:space="0" w:color="888888"/>
              <w:bottom w:val="single" w:sz="4" w:space="0" w:color="888888"/>
              <w:right w:val="single" w:sz="4" w:space="0" w:color="888888"/>
            </w:tcBorders>
            <w:shd w:val="clear" w:color="auto" w:fill="D9EAF7"/>
          </w:tcPr>
          <w:p w14:paraId="3F216EF1"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b/>
                <w:szCs w:val="24"/>
              </w:rPr>
              <w:t>SOSTAC element</w:t>
            </w:r>
          </w:p>
        </w:tc>
        <w:tc>
          <w:tcPr>
            <w:tcW w:w="4536" w:type="dxa"/>
            <w:tcBorders>
              <w:top w:val="single" w:sz="4" w:space="0" w:color="888888"/>
              <w:left w:val="single" w:sz="4" w:space="0" w:color="888888"/>
              <w:bottom w:val="single" w:sz="4" w:space="0" w:color="888888"/>
              <w:right w:val="single" w:sz="4" w:space="0" w:color="888888"/>
            </w:tcBorders>
            <w:shd w:val="clear" w:color="auto" w:fill="D9EAF7"/>
          </w:tcPr>
          <w:p w14:paraId="00A9E60D"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b/>
                <w:szCs w:val="24"/>
              </w:rPr>
              <w:t>Application to Sephora BeautyCare 360</w:t>
            </w:r>
          </w:p>
        </w:tc>
      </w:tr>
      <w:tr w:rsidR="0065704F" w:rsidRPr="00C43F98" w14:paraId="40392353" w14:textId="77777777">
        <w:trPr>
          <w:jc w:val="center"/>
        </w:trPr>
        <w:tc>
          <w:tcPr>
            <w:tcW w:w="4536" w:type="dxa"/>
            <w:tcBorders>
              <w:top w:val="single" w:sz="4" w:space="0" w:color="888888"/>
              <w:left w:val="single" w:sz="4" w:space="0" w:color="888888"/>
              <w:bottom w:val="single" w:sz="4" w:space="0" w:color="888888"/>
              <w:right w:val="single" w:sz="4" w:space="0" w:color="888888"/>
            </w:tcBorders>
          </w:tcPr>
          <w:p w14:paraId="2A2A3B1B"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Situation</w:t>
            </w:r>
          </w:p>
        </w:tc>
        <w:tc>
          <w:tcPr>
            <w:tcW w:w="4536" w:type="dxa"/>
            <w:tcBorders>
              <w:top w:val="single" w:sz="4" w:space="0" w:color="888888"/>
              <w:left w:val="single" w:sz="4" w:space="0" w:color="888888"/>
              <w:bottom w:val="single" w:sz="4" w:space="0" w:color="888888"/>
              <w:right w:val="single" w:sz="4" w:space="0" w:color="888888"/>
            </w:tcBorders>
          </w:tcPr>
          <w:p w14:paraId="312A562F"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Sephora UK has strong brand excitement and expansion momentum, but must convert attention into trust, repeat purchase and consistent service.</w:t>
            </w:r>
          </w:p>
        </w:tc>
      </w:tr>
      <w:tr w:rsidR="0065704F" w:rsidRPr="00C43F98" w14:paraId="4B94E34C" w14:textId="77777777">
        <w:trPr>
          <w:jc w:val="center"/>
        </w:trPr>
        <w:tc>
          <w:tcPr>
            <w:tcW w:w="4536" w:type="dxa"/>
            <w:tcBorders>
              <w:top w:val="single" w:sz="4" w:space="0" w:color="888888"/>
              <w:left w:val="single" w:sz="4" w:space="0" w:color="888888"/>
              <w:bottom w:val="single" w:sz="4" w:space="0" w:color="888888"/>
              <w:right w:val="single" w:sz="4" w:space="0" w:color="888888"/>
            </w:tcBorders>
          </w:tcPr>
          <w:p w14:paraId="6B0D0BF7"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Objectives</w:t>
            </w:r>
          </w:p>
        </w:tc>
        <w:tc>
          <w:tcPr>
            <w:tcW w:w="4536" w:type="dxa"/>
            <w:tcBorders>
              <w:top w:val="single" w:sz="4" w:space="0" w:color="888888"/>
              <w:left w:val="single" w:sz="4" w:space="0" w:color="888888"/>
              <w:bottom w:val="single" w:sz="4" w:space="0" w:color="888888"/>
              <w:right w:val="single" w:sz="4" w:space="0" w:color="888888"/>
            </w:tcBorders>
          </w:tcPr>
          <w:p w14:paraId="6E90FF09"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Improve personalised advice quality, increase repeat purchase, reduce avoidable returns, improve complaint resolution and strengthen inclusive customer confidence.</w:t>
            </w:r>
          </w:p>
        </w:tc>
      </w:tr>
      <w:tr w:rsidR="0065704F" w:rsidRPr="00C43F98" w14:paraId="132CD7BA" w14:textId="77777777">
        <w:trPr>
          <w:jc w:val="center"/>
        </w:trPr>
        <w:tc>
          <w:tcPr>
            <w:tcW w:w="4536" w:type="dxa"/>
            <w:tcBorders>
              <w:top w:val="single" w:sz="4" w:space="0" w:color="888888"/>
              <w:left w:val="single" w:sz="4" w:space="0" w:color="888888"/>
              <w:bottom w:val="single" w:sz="4" w:space="0" w:color="888888"/>
              <w:right w:val="single" w:sz="4" w:space="0" w:color="888888"/>
            </w:tcBorders>
          </w:tcPr>
          <w:p w14:paraId="29E0AB29"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Strategy</w:t>
            </w:r>
          </w:p>
        </w:tc>
        <w:tc>
          <w:tcPr>
            <w:tcW w:w="4536" w:type="dxa"/>
            <w:tcBorders>
              <w:top w:val="single" w:sz="4" w:space="0" w:color="888888"/>
              <w:left w:val="single" w:sz="4" w:space="0" w:color="888888"/>
              <w:bottom w:val="single" w:sz="4" w:space="0" w:color="888888"/>
              <w:right w:val="single" w:sz="4" w:space="0" w:color="888888"/>
            </w:tcBorders>
          </w:tcPr>
          <w:p w14:paraId="2B13017D"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Build a hybrid human-digital care model: responsible personalisation, trained advisers, inclusive service standards and connected loyalty aftercare.</w:t>
            </w:r>
          </w:p>
        </w:tc>
      </w:tr>
      <w:tr w:rsidR="0065704F" w:rsidRPr="00C43F98" w14:paraId="6E890F11" w14:textId="77777777">
        <w:trPr>
          <w:jc w:val="center"/>
        </w:trPr>
        <w:tc>
          <w:tcPr>
            <w:tcW w:w="4536" w:type="dxa"/>
            <w:tcBorders>
              <w:top w:val="single" w:sz="4" w:space="0" w:color="888888"/>
              <w:left w:val="single" w:sz="4" w:space="0" w:color="888888"/>
              <w:bottom w:val="single" w:sz="4" w:space="0" w:color="888888"/>
              <w:right w:val="single" w:sz="4" w:space="0" w:color="888888"/>
            </w:tcBorders>
          </w:tcPr>
          <w:p w14:paraId="3A5CC0B4"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lastRenderedPageBreak/>
              <w:t>Tactics</w:t>
            </w:r>
          </w:p>
        </w:tc>
        <w:tc>
          <w:tcPr>
            <w:tcW w:w="4536" w:type="dxa"/>
            <w:tcBorders>
              <w:top w:val="single" w:sz="4" w:space="0" w:color="888888"/>
              <w:left w:val="single" w:sz="4" w:space="0" w:color="888888"/>
              <w:bottom w:val="single" w:sz="4" w:space="0" w:color="888888"/>
              <w:right w:val="single" w:sz="4" w:space="0" w:color="888888"/>
            </w:tcBorders>
          </w:tcPr>
          <w:p w14:paraId="135993D5"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AI-assisted beauty profile, adviser escalation, MySephora routine support, inclusive training, transparent product education and proactive post-purchase messages.</w:t>
            </w:r>
          </w:p>
        </w:tc>
      </w:tr>
      <w:tr w:rsidR="0065704F" w:rsidRPr="00C43F98" w14:paraId="389BD9B0" w14:textId="77777777">
        <w:trPr>
          <w:jc w:val="center"/>
        </w:trPr>
        <w:tc>
          <w:tcPr>
            <w:tcW w:w="4536" w:type="dxa"/>
            <w:tcBorders>
              <w:top w:val="single" w:sz="4" w:space="0" w:color="888888"/>
              <w:left w:val="single" w:sz="4" w:space="0" w:color="888888"/>
              <w:bottom w:val="single" w:sz="4" w:space="0" w:color="888888"/>
              <w:right w:val="single" w:sz="4" w:space="0" w:color="888888"/>
            </w:tcBorders>
          </w:tcPr>
          <w:p w14:paraId="1B140453"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Actions</w:t>
            </w:r>
          </w:p>
        </w:tc>
        <w:tc>
          <w:tcPr>
            <w:tcW w:w="4536" w:type="dxa"/>
            <w:tcBorders>
              <w:top w:val="single" w:sz="4" w:space="0" w:color="888888"/>
              <w:left w:val="single" w:sz="4" w:space="0" w:color="888888"/>
              <w:bottom w:val="single" w:sz="4" w:space="0" w:color="888888"/>
              <w:right w:val="single" w:sz="4" w:space="0" w:color="888888"/>
            </w:tcBorders>
          </w:tcPr>
          <w:p w14:paraId="69F6B573"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Pilot in priority UK stores and digital journeys, train teams, integrate data governance, build dashboards and test content with diverse customer panels.</w:t>
            </w:r>
          </w:p>
        </w:tc>
      </w:tr>
      <w:tr w:rsidR="0065704F" w:rsidRPr="00C43F98" w14:paraId="0456B501" w14:textId="77777777">
        <w:trPr>
          <w:jc w:val="center"/>
        </w:trPr>
        <w:tc>
          <w:tcPr>
            <w:tcW w:w="4536" w:type="dxa"/>
            <w:tcBorders>
              <w:top w:val="single" w:sz="4" w:space="0" w:color="888888"/>
              <w:left w:val="single" w:sz="4" w:space="0" w:color="888888"/>
              <w:bottom w:val="single" w:sz="4" w:space="0" w:color="888888"/>
              <w:right w:val="single" w:sz="4" w:space="0" w:color="888888"/>
            </w:tcBorders>
          </w:tcPr>
          <w:p w14:paraId="4DFB17C4"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Control</w:t>
            </w:r>
          </w:p>
        </w:tc>
        <w:tc>
          <w:tcPr>
            <w:tcW w:w="4536" w:type="dxa"/>
            <w:tcBorders>
              <w:top w:val="single" w:sz="4" w:space="0" w:color="888888"/>
              <w:left w:val="single" w:sz="4" w:space="0" w:color="888888"/>
              <w:bottom w:val="single" w:sz="4" w:space="0" w:color="888888"/>
              <w:right w:val="single" w:sz="4" w:space="0" w:color="888888"/>
            </w:tcBorders>
          </w:tcPr>
          <w:p w14:paraId="34CBAA72"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Track advice satisfaction, repeat purchase, return reasons, complaint resolution time, loyalty engagement, service inclusion scores and data opt-out rates.</w:t>
            </w:r>
          </w:p>
        </w:tc>
      </w:tr>
    </w:tbl>
    <w:p w14:paraId="0D6A95D2" w14:textId="77777777" w:rsidR="0065704F" w:rsidRPr="00C43F98" w:rsidRDefault="0065704F" w:rsidP="00C43F98">
      <w:pPr>
        <w:spacing w:after="0" w:line="360" w:lineRule="auto"/>
        <w:rPr>
          <w:rFonts w:ascii="Times New Roman" w:hAnsi="Times New Roman" w:cs="Times New Roman"/>
          <w:szCs w:val="24"/>
        </w:rPr>
      </w:pPr>
    </w:p>
    <w:p w14:paraId="4D026471" w14:textId="77777777" w:rsidR="0065704F" w:rsidRPr="00C43F98" w:rsidRDefault="00000000" w:rsidP="00C43F98">
      <w:pPr>
        <w:spacing w:before="120" w:after="60" w:line="360" w:lineRule="auto"/>
        <w:rPr>
          <w:rFonts w:ascii="Times New Roman" w:hAnsi="Times New Roman" w:cs="Times New Roman"/>
          <w:sz w:val="28"/>
          <w:szCs w:val="28"/>
        </w:rPr>
      </w:pPr>
      <w:r w:rsidRPr="00C43F98">
        <w:rPr>
          <w:rFonts w:ascii="Times New Roman" w:hAnsi="Times New Roman" w:cs="Times New Roman"/>
          <w:b/>
          <w:sz w:val="28"/>
          <w:szCs w:val="28"/>
        </w:rPr>
        <w:t>Table 7: Implementation roadmap</w:t>
      </w:r>
    </w:p>
    <w:tbl>
      <w:tblPr>
        <w:tblStyle w:val="TableGrid"/>
        <w:tblW w:w="0" w:type="auto"/>
        <w:jc w:val="center"/>
        <w:tblLook w:val="04A0" w:firstRow="1" w:lastRow="0" w:firstColumn="1" w:lastColumn="0" w:noHBand="0" w:noVBand="1"/>
      </w:tblPr>
      <w:tblGrid>
        <w:gridCol w:w="3021"/>
        <w:gridCol w:w="3021"/>
        <w:gridCol w:w="3020"/>
      </w:tblGrid>
      <w:tr w:rsidR="0065704F" w:rsidRPr="00C43F98" w14:paraId="75248F2F" w14:textId="77777777">
        <w:trPr>
          <w:tblHeader/>
          <w:jc w:val="center"/>
        </w:trPr>
        <w:tc>
          <w:tcPr>
            <w:tcW w:w="3024" w:type="dxa"/>
            <w:tcBorders>
              <w:top w:val="single" w:sz="4" w:space="0" w:color="888888"/>
              <w:left w:val="single" w:sz="4" w:space="0" w:color="888888"/>
              <w:bottom w:val="single" w:sz="4" w:space="0" w:color="888888"/>
              <w:right w:val="single" w:sz="4" w:space="0" w:color="888888"/>
            </w:tcBorders>
            <w:shd w:val="clear" w:color="auto" w:fill="D9EAF7"/>
          </w:tcPr>
          <w:p w14:paraId="6FD42401"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b/>
                <w:szCs w:val="24"/>
              </w:rPr>
              <w:t>Timeframe</w:t>
            </w:r>
          </w:p>
        </w:tc>
        <w:tc>
          <w:tcPr>
            <w:tcW w:w="3024" w:type="dxa"/>
            <w:tcBorders>
              <w:top w:val="single" w:sz="4" w:space="0" w:color="888888"/>
              <w:left w:val="single" w:sz="4" w:space="0" w:color="888888"/>
              <w:bottom w:val="single" w:sz="4" w:space="0" w:color="888888"/>
              <w:right w:val="single" w:sz="4" w:space="0" w:color="888888"/>
            </w:tcBorders>
            <w:shd w:val="clear" w:color="auto" w:fill="D9EAF7"/>
          </w:tcPr>
          <w:p w14:paraId="38763C37"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b/>
                <w:szCs w:val="24"/>
              </w:rPr>
              <w:t>Priority actions</w:t>
            </w:r>
          </w:p>
        </w:tc>
        <w:tc>
          <w:tcPr>
            <w:tcW w:w="3024" w:type="dxa"/>
            <w:tcBorders>
              <w:top w:val="single" w:sz="4" w:space="0" w:color="888888"/>
              <w:left w:val="single" w:sz="4" w:space="0" w:color="888888"/>
              <w:bottom w:val="single" w:sz="4" w:space="0" w:color="888888"/>
              <w:right w:val="single" w:sz="4" w:space="0" w:color="888888"/>
            </w:tcBorders>
            <w:shd w:val="clear" w:color="auto" w:fill="D9EAF7"/>
          </w:tcPr>
          <w:p w14:paraId="2AF0DB94"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b/>
                <w:szCs w:val="24"/>
              </w:rPr>
              <w:t>Main success measures</w:t>
            </w:r>
          </w:p>
        </w:tc>
      </w:tr>
      <w:tr w:rsidR="0065704F" w:rsidRPr="00C43F98" w14:paraId="02BEC09B" w14:textId="77777777">
        <w:trPr>
          <w:jc w:val="center"/>
        </w:trPr>
        <w:tc>
          <w:tcPr>
            <w:tcW w:w="3024" w:type="dxa"/>
            <w:tcBorders>
              <w:top w:val="single" w:sz="4" w:space="0" w:color="888888"/>
              <w:left w:val="single" w:sz="4" w:space="0" w:color="888888"/>
              <w:bottom w:val="single" w:sz="4" w:space="0" w:color="888888"/>
              <w:right w:val="single" w:sz="4" w:space="0" w:color="888888"/>
            </w:tcBorders>
          </w:tcPr>
          <w:p w14:paraId="1695F6C9"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0-6 months</w:t>
            </w:r>
          </w:p>
        </w:tc>
        <w:tc>
          <w:tcPr>
            <w:tcW w:w="3024" w:type="dxa"/>
            <w:tcBorders>
              <w:top w:val="single" w:sz="4" w:space="0" w:color="888888"/>
              <w:left w:val="single" w:sz="4" w:space="0" w:color="888888"/>
              <w:bottom w:val="single" w:sz="4" w:space="0" w:color="888888"/>
              <w:right w:val="single" w:sz="4" w:space="0" w:color="888888"/>
            </w:tcBorders>
          </w:tcPr>
          <w:p w14:paraId="1229487A"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Map customer pain points; design BeautyCare 360 standards; define AI escalation rules; create inclusive service training pilots.</w:t>
            </w:r>
          </w:p>
        </w:tc>
        <w:tc>
          <w:tcPr>
            <w:tcW w:w="3024" w:type="dxa"/>
            <w:tcBorders>
              <w:top w:val="single" w:sz="4" w:space="0" w:color="888888"/>
              <w:left w:val="single" w:sz="4" w:space="0" w:color="888888"/>
              <w:bottom w:val="single" w:sz="4" w:space="0" w:color="888888"/>
              <w:right w:val="single" w:sz="4" w:space="0" w:color="888888"/>
            </w:tcBorders>
          </w:tcPr>
          <w:p w14:paraId="54CE206C"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Baseline care metrics, training completion, customer pain-point dashboard.</w:t>
            </w:r>
          </w:p>
        </w:tc>
      </w:tr>
      <w:tr w:rsidR="0065704F" w:rsidRPr="00C43F98" w14:paraId="2C9D9E5F" w14:textId="77777777">
        <w:trPr>
          <w:jc w:val="center"/>
        </w:trPr>
        <w:tc>
          <w:tcPr>
            <w:tcW w:w="3024" w:type="dxa"/>
            <w:tcBorders>
              <w:top w:val="single" w:sz="4" w:space="0" w:color="888888"/>
              <w:left w:val="single" w:sz="4" w:space="0" w:color="888888"/>
              <w:bottom w:val="single" w:sz="4" w:space="0" w:color="888888"/>
              <w:right w:val="single" w:sz="4" w:space="0" w:color="888888"/>
            </w:tcBorders>
          </w:tcPr>
          <w:p w14:paraId="6AEFA6F7"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6-12 months</w:t>
            </w:r>
          </w:p>
        </w:tc>
        <w:tc>
          <w:tcPr>
            <w:tcW w:w="3024" w:type="dxa"/>
            <w:tcBorders>
              <w:top w:val="single" w:sz="4" w:space="0" w:color="888888"/>
              <w:left w:val="single" w:sz="4" w:space="0" w:color="888888"/>
              <w:bottom w:val="single" w:sz="4" w:space="0" w:color="888888"/>
              <w:right w:val="single" w:sz="4" w:space="0" w:color="888888"/>
            </w:tcBorders>
          </w:tcPr>
          <w:p w14:paraId="06E53577"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Pilot AI-assisted profiles and adviser tools in selected UK stores and app journeys; improve returns and aftercare communication.</w:t>
            </w:r>
          </w:p>
        </w:tc>
        <w:tc>
          <w:tcPr>
            <w:tcW w:w="3024" w:type="dxa"/>
            <w:tcBorders>
              <w:top w:val="single" w:sz="4" w:space="0" w:color="888888"/>
              <w:left w:val="single" w:sz="4" w:space="0" w:color="888888"/>
              <w:bottom w:val="single" w:sz="4" w:space="0" w:color="888888"/>
              <w:right w:val="single" w:sz="4" w:space="0" w:color="888888"/>
            </w:tcBorders>
          </w:tcPr>
          <w:p w14:paraId="2240D7A5"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Advice satisfaction, complaint resolution time, return reason reduction, opt-in rates.</w:t>
            </w:r>
          </w:p>
        </w:tc>
      </w:tr>
      <w:tr w:rsidR="0065704F" w:rsidRPr="00C43F98" w14:paraId="4FCA3A2B" w14:textId="77777777">
        <w:trPr>
          <w:jc w:val="center"/>
        </w:trPr>
        <w:tc>
          <w:tcPr>
            <w:tcW w:w="3024" w:type="dxa"/>
            <w:tcBorders>
              <w:top w:val="single" w:sz="4" w:space="0" w:color="888888"/>
              <w:left w:val="single" w:sz="4" w:space="0" w:color="888888"/>
              <w:bottom w:val="single" w:sz="4" w:space="0" w:color="888888"/>
              <w:right w:val="single" w:sz="4" w:space="0" w:color="888888"/>
            </w:tcBorders>
          </w:tcPr>
          <w:p w14:paraId="35D17CA7"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12-24 months</w:t>
            </w:r>
          </w:p>
        </w:tc>
        <w:tc>
          <w:tcPr>
            <w:tcW w:w="3024" w:type="dxa"/>
            <w:tcBorders>
              <w:top w:val="single" w:sz="4" w:space="0" w:color="888888"/>
              <w:left w:val="single" w:sz="4" w:space="0" w:color="888888"/>
              <w:bottom w:val="single" w:sz="4" w:space="0" w:color="888888"/>
              <w:right w:val="single" w:sz="4" w:space="0" w:color="888888"/>
            </w:tcBorders>
          </w:tcPr>
          <w:p w14:paraId="40A7D9DA"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 xml:space="preserve">Scale successful pilots; connect MySephora with routine support, events and replenishment; embed </w:t>
            </w:r>
            <w:r w:rsidRPr="00C43F98">
              <w:rPr>
                <w:rFonts w:ascii="Times New Roman" w:hAnsi="Times New Roman" w:cs="Times New Roman"/>
                <w:szCs w:val="24"/>
              </w:rPr>
              <w:lastRenderedPageBreak/>
              <w:t>supplier education standards.</w:t>
            </w:r>
          </w:p>
        </w:tc>
        <w:tc>
          <w:tcPr>
            <w:tcW w:w="3024" w:type="dxa"/>
            <w:tcBorders>
              <w:top w:val="single" w:sz="4" w:space="0" w:color="888888"/>
              <w:left w:val="single" w:sz="4" w:space="0" w:color="888888"/>
              <w:bottom w:val="single" w:sz="4" w:space="0" w:color="888888"/>
              <w:right w:val="single" w:sz="4" w:space="0" w:color="888888"/>
            </w:tcBorders>
          </w:tcPr>
          <w:p w14:paraId="025D491B"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lastRenderedPageBreak/>
              <w:t>Repeat purchase, loyalty engagement, service consistency, inclusive care score.</w:t>
            </w:r>
          </w:p>
        </w:tc>
      </w:tr>
      <w:tr w:rsidR="0065704F" w:rsidRPr="00C43F98" w14:paraId="6B2ED6EA" w14:textId="77777777">
        <w:trPr>
          <w:jc w:val="center"/>
        </w:trPr>
        <w:tc>
          <w:tcPr>
            <w:tcW w:w="3024" w:type="dxa"/>
            <w:tcBorders>
              <w:top w:val="single" w:sz="4" w:space="0" w:color="888888"/>
              <w:left w:val="single" w:sz="4" w:space="0" w:color="888888"/>
              <w:bottom w:val="single" w:sz="4" w:space="0" w:color="888888"/>
              <w:right w:val="single" w:sz="4" w:space="0" w:color="888888"/>
            </w:tcBorders>
          </w:tcPr>
          <w:p w14:paraId="1C2667A8"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24 months plus</w:t>
            </w:r>
          </w:p>
        </w:tc>
        <w:tc>
          <w:tcPr>
            <w:tcW w:w="3024" w:type="dxa"/>
            <w:tcBorders>
              <w:top w:val="single" w:sz="4" w:space="0" w:color="888888"/>
              <w:left w:val="single" w:sz="4" w:space="0" w:color="888888"/>
              <w:bottom w:val="single" w:sz="4" w:space="0" w:color="888888"/>
              <w:right w:val="single" w:sz="4" w:space="0" w:color="888888"/>
            </w:tcBorders>
          </w:tcPr>
          <w:p w14:paraId="08634EF5"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Use learning loops to refine product curation, brand partnerships, store services and customer education.</w:t>
            </w:r>
          </w:p>
        </w:tc>
        <w:tc>
          <w:tcPr>
            <w:tcW w:w="3024" w:type="dxa"/>
            <w:tcBorders>
              <w:top w:val="single" w:sz="4" w:space="0" w:color="888888"/>
              <w:left w:val="single" w:sz="4" w:space="0" w:color="888888"/>
              <w:bottom w:val="single" w:sz="4" w:space="0" w:color="888888"/>
              <w:right w:val="single" w:sz="4" w:space="0" w:color="888888"/>
            </w:tcBorders>
          </w:tcPr>
          <w:p w14:paraId="64D8C5F3"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t>Retention, brand trust, employee confidence and profitable care-led growth.</w:t>
            </w:r>
          </w:p>
        </w:tc>
      </w:tr>
    </w:tbl>
    <w:p w14:paraId="7EF7AE77" w14:textId="77777777" w:rsidR="0065704F" w:rsidRPr="00C43F98" w:rsidRDefault="0065704F" w:rsidP="00C43F98">
      <w:pPr>
        <w:spacing w:after="0" w:line="360" w:lineRule="auto"/>
        <w:rPr>
          <w:rFonts w:ascii="Times New Roman" w:hAnsi="Times New Roman" w:cs="Times New Roman"/>
          <w:szCs w:val="24"/>
        </w:rPr>
      </w:pPr>
    </w:p>
    <w:p w14:paraId="7EECF4CD" w14:textId="77777777" w:rsidR="0065704F" w:rsidRPr="00C43F98" w:rsidRDefault="00000000" w:rsidP="00C43F98">
      <w:pPr>
        <w:pStyle w:val="Heading1"/>
        <w:spacing w:before="240" w:after="120" w:line="360" w:lineRule="auto"/>
        <w:rPr>
          <w:rFonts w:ascii="Times New Roman" w:hAnsi="Times New Roman" w:cs="Times New Roman"/>
        </w:rPr>
      </w:pPr>
      <w:bookmarkStart w:id="9" w:name="_Toc233721774"/>
      <w:r w:rsidRPr="00C43F98">
        <w:rPr>
          <w:rFonts w:ascii="Times New Roman" w:eastAsia="Arial" w:hAnsi="Times New Roman" w:cs="Times New Roman"/>
        </w:rPr>
        <w:t>5.1 Key Performance Indicators and Control</w:t>
      </w:r>
      <w:bookmarkEnd w:id="9"/>
    </w:p>
    <w:p w14:paraId="63785A20"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Sephora should monitor BeautyCare 360 through a balanced set of indicators rather than relying only on sales uplift. Recommended KPIs include advice satisfaction; first-contact resolution; complaint resolution time; return rate by category and reason; repeat purchase; MySephora active engagement; opt-in and opt-out rates for personalisation; store service inclusion score; mystery-shopping quality; employee confidence; customer trust score; and the proportion of sensitive cases escalated to trained human advisers. These indicators should be reviewed at senior level because they link customer care to resilience, employee capability and long-term brand equity (Kaplan and Norton, 1992; Verhoef et al., 2009).</w:t>
      </w:r>
    </w:p>
    <w:p w14:paraId="1B266EFE"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A practical control process should also include qualitative learning. Sephora should review complaint themes, adviser feedback, product-review patterns and social listening to identify where customers feel confused, excluded or disappointed. These insights should flow back into merchandising, digital design, training and brand education, making customer care a dynamic capability rather than a reactive function (Teece, 2007).</w:t>
      </w:r>
    </w:p>
    <w:p w14:paraId="2C7CD94C" w14:textId="77777777" w:rsidR="0065704F" w:rsidRPr="00C43F98" w:rsidRDefault="00000000" w:rsidP="00C43F98">
      <w:pPr>
        <w:pStyle w:val="Heading1"/>
        <w:spacing w:before="240" w:after="120" w:line="360" w:lineRule="auto"/>
        <w:rPr>
          <w:rFonts w:ascii="Times New Roman" w:hAnsi="Times New Roman" w:cs="Times New Roman"/>
        </w:rPr>
      </w:pPr>
      <w:bookmarkStart w:id="10" w:name="_Toc233721775"/>
      <w:r w:rsidRPr="00C43F98">
        <w:rPr>
          <w:rFonts w:ascii="Times New Roman" w:eastAsia="Arial" w:hAnsi="Times New Roman" w:cs="Times New Roman"/>
        </w:rPr>
        <w:t>6. Conclusion</w:t>
      </w:r>
      <w:bookmarkEnd w:id="10"/>
    </w:p>
    <w:p w14:paraId="4CA8F5FA"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Sephora’s UK opportunity is significant, but the challenge is deeper than store expansion or product range. The market is large, digitally influenced and culturally diverse. Customers are excited by Sephora’s brand and exclusives, but also expect credible advice, inclusive treatment, reliable fulfilment, transparent product information and control over personal data. These expectations make customer care central to sustainable advantage.</w:t>
      </w:r>
    </w:p>
    <w:p w14:paraId="08F14899"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 xml:space="preserve">The analysis shows that Sephora has strong resources: global brand recognition, LVMH backing, curated products, adviser expertise, loyalty data, digital platforms and an experiential retail model. These resources are valuable, but they become strategically powerful only when they are organised into a consistent care capability. The main strategic risk is that rapid </w:t>
      </w:r>
      <w:r w:rsidRPr="00C43F98">
        <w:rPr>
          <w:rFonts w:ascii="Times New Roman" w:hAnsi="Times New Roman" w:cs="Times New Roman"/>
          <w:szCs w:val="24"/>
        </w:rPr>
        <w:lastRenderedPageBreak/>
        <w:t>growth could create fragmented service, over-automated advice, inconsistent inclusion or weak post-purchase support.</w:t>
      </w:r>
    </w:p>
    <w:p w14:paraId="2B7AC1B7" w14:textId="77777777" w:rsidR="0065704F" w:rsidRPr="00C43F98" w:rsidRDefault="00000000" w:rsidP="00C43F98">
      <w:pPr>
        <w:spacing w:after="0" w:line="360" w:lineRule="auto"/>
        <w:jc w:val="both"/>
        <w:rPr>
          <w:rFonts w:ascii="Times New Roman" w:hAnsi="Times New Roman" w:cs="Times New Roman"/>
          <w:szCs w:val="24"/>
        </w:rPr>
      </w:pPr>
      <w:r w:rsidRPr="00C43F98">
        <w:rPr>
          <w:rFonts w:ascii="Times New Roman" w:hAnsi="Times New Roman" w:cs="Times New Roman"/>
          <w:szCs w:val="24"/>
        </w:rPr>
        <w:t>Sephora BeautyCare 360 addresses this risk by combining responsible AI, human adviser expertise, inclusive service training, transparent product education, MySephora aftercare and agile pilots. The recommended strategy is suitable for the external environment, acceptable to key stakeholders and feasible because it builds on existing capabilities. If implemented carefully, customer care can become the mechanism through which Sephora converts beauty excitement into trust, resilience and long-term loyalty.</w:t>
      </w:r>
    </w:p>
    <w:p w14:paraId="1F6662CC" w14:textId="77777777" w:rsidR="0065704F" w:rsidRPr="00C43F98" w:rsidRDefault="00000000" w:rsidP="00C43F98">
      <w:pPr>
        <w:spacing w:after="0" w:line="360" w:lineRule="auto"/>
        <w:rPr>
          <w:rFonts w:ascii="Times New Roman" w:hAnsi="Times New Roman" w:cs="Times New Roman"/>
          <w:szCs w:val="24"/>
        </w:rPr>
      </w:pPr>
      <w:r w:rsidRPr="00C43F98">
        <w:rPr>
          <w:rFonts w:ascii="Times New Roman" w:hAnsi="Times New Roman" w:cs="Times New Roman"/>
          <w:szCs w:val="24"/>
        </w:rPr>
        <w:br w:type="page"/>
      </w:r>
    </w:p>
    <w:p w14:paraId="35E8F35E" w14:textId="77777777" w:rsidR="0065704F" w:rsidRPr="00C43F98" w:rsidRDefault="00000000" w:rsidP="00C43F98">
      <w:pPr>
        <w:pStyle w:val="Heading1"/>
        <w:pageBreakBefore/>
        <w:spacing w:before="240" w:after="120" w:line="360" w:lineRule="auto"/>
        <w:rPr>
          <w:rFonts w:ascii="Times New Roman" w:hAnsi="Times New Roman" w:cs="Times New Roman"/>
        </w:rPr>
      </w:pPr>
      <w:bookmarkStart w:id="11" w:name="_Toc233721776"/>
      <w:r w:rsidRPr="00C43F98">
        <w:rPr>
          <w:rFonts w:ascii="Times New Roman" w:eastAsia="Arial" w:hAnsi="Times New Roman" w:cs="Times New Roman"/>
        </w:rPr>
        <w:lastRenderedPageBreak/>
        <w:t>References</w:t>
      </w:r>
      <w:bookmarkEnd w:id="11"/>
    </w:p>
    <w:p w14:paraId="14A9EF23" w14:textId="77777777" w:rsid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 xml:space="preserve">Ahlbäck, K., Fahrbach, C., Murarka, M. and Salo, O. (2017) How to create an agile organisation. McKinsey &amp; Company. Available at: </w:t>
      </w:r>
    </w:p>
    <w:p w14:paraId="44CD2D06" w14:textId="2D6AC238"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 xml:space="preserve">https://www.mckinsey.com/capabilities/people-and-organizational-performance/our-insights/how-to-create-an-agile-organization </w:t>
      </w:r>
    </w:p>
    <w:p w14:paraId="0E450AC9" w14:textId="7777777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Barney, J. (1991) ‘Firm resources and sustained competitive advantage’, Journal of Management, 17(1), pp. 99-120. doi: 10.1177/014920639101700108.</w:t>
      </w:r>
    </w:p>
    <w:p w14:paraId="09BB7F10" w14:textId="7777777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Becker, L. and Jaakkola, E. (2020) ‘Customer experience: Fundamental premises and implications for research’, Journal of the Academy of Marketing Science, 48, pp. 630-648. doi: 10.1007/s11747-019-00718-x.</w:t>
      </w:r>
    </w:p>
    <w:p w14:paraId="79064B92" w14:textId="73A9AC0B"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 xml:space="preserve">British Beauty Council (2025) The Value of Beauty 2025. Available at: https://britishbeautycouncil.com/reports/ </w:t>
      </w:r>
    </w:p>
    <w:p w14:paraId="018E1A2D" w14:textId="7777777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Carroll, A.B. (1991) ‘The pyramid of corporate social responsibility: Toward the moral management of organizational stakeholders’, Business Horizons, 34(4), pp. 39-48. doi: 10.1016/0007-6813(91)90005-G.</w:t>
      </w:r>
    </w:p>
    <w:p w14:paraId="438EE6AC" w14:textId="7777777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Chaffey, D. and Smith, P.R. (2022) Digital Marketing Excellence: Planning, Optimizing and Integrating Online Marketing. 6th edn. Abingdon: Routledge.</w:t>
      </w:r>
    </w:p>
    <w:p w14:paraId="5C342269" w14:textId="7777777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Chesbrough, H. (2010) ‘Business model innovation: Opportunities and barriers’, Long Range Planning, 43(2-3), pp. 354-363. doi: 10.1016/j.lrp.2009.07.010.</w:t>
      </w:r>
    </w:p>
    <w:p w14:paraId="1CA9605A" w14:textId="77777777" w:rsid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CMA (2025) CMA launches major consumer protection drive focused on online pricing practices. Available at:</w:t>
      </w:r>
    </w:p>
    <w:p w14:paraId="5718F7DA" w14:textId="4F3A09B2"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 xml:space="preserve"> https://www.gov.uk/government/news/cma-launches-major-consumer-protection-drive-focused-on-online-pricing-practices </w:t>
      </w:r>
    </w:p>
    <w:p w14:paraId="6262F11D" w14:textId="77777777" w:rsid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Cosmetics Business (2022) Sephora is coming to the UK: ‘We’re a perfect fit for the British consumer’. Available at:</w:t>
      </w:r>
    </w:p>
    <w:p w14:paraId="73E93AA3" w14:textId="0092DA7E"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 xml:space="preserve"> https://cosmeticsbusiness.com/sephora-is-coming-to-the-uk-we-re-a-perfect-fit-for-the-british-consumer--204073 </w:t>
      </w:r>
    </w:p>
    <w:p w14:paraId="1B1D1820" w14:textId="77777777" w:rsid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Cosmetics Europe (2026) Our industry. Available at:</w:t>
      </w:r>
    </w:p>
    <w:p w14:paraId="557B7440" w14:textId="1CD4CBAC"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 xml:space="preserve"> https://cosmeticseurope.eu/our-industry/ </w:t>
      </w:r>
    </w:p>
    <w:p w14:paraId="7C27B0CF" w14:textId="2A964C4B"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lastRenderedPageBreak/>
        <w:t xml:space="preserve">CTPA (2026) UK cosmetics regulations and amendments. Available at: https://www.ctpa.org.uk/uk-cosmetic-regulations-amendments </w:t>
      </w:r>
    </w:p>
    <w:p w14:paraId="19B6F52E" w14:textId="7777777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Daugherty, P.R. and Wilson, H.J. (2018) Human + Machine: Reimagining Work in the Age of AI. Boston: Harvard Business Review Press.</w:t>
      </w:r>
    </w:p>
    <w:p w14:paraId="352C19C0" w14:textId="77777777" w:rsid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De Smet, A., Lurie, M. and St George, A. (2018) Leading agile transformation: The new capabilities leaders need to build 21st-century organisations. McKinsey &amp; Company. Available at:</w:t>
      </w:r>
    </w:p>
    <w:p w14:paraId="1AE8A27B" w14:textId="77E49ABC"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 xml:space="preserve"> https://www.mckinsey.com/capabilities/people-and-organizational-performance/our-insights/leading-agile-transformation-the-new-capabilities-leaders-need-to-build-21st-century-organizations </w:t>
      </w:r>
    </w:p>
    <w:p w14:paraId="69AE0812" w14:textId="7777777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Denning, S. (2018) The Age of Agile. New York: AMACOM.</w:t>
      </w:r>
    </w:p>
    <w:p w14:paraId="54788E01" w14:textId="7777777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Dwivedi, Y.K. et al. (2021) ‘Artificial Intelligence (AI): Multidisciplinary perspectives on emerging challenges, opportunities, and agenda for research, practice and policy’, International Journal of Information Management, 57, article 101994. doi: 10.1016/j.ijinfomgt.2019.08.002.</w:t>
      </w:r>
    </w:p>
    <w:p w14:paraId="2FEC92AF" w14:textId="7777777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Eisenhardt, K.M. and Martin, J.A. (2000) ‘Dynamic capabilities: What are they?’, Strategic Management Journal, 21(10/11), pp. 1105-1121. doi: 10.1002/1097-0266(200010/11)21:10/11&lt;</w:t>
      </w:r>
      <w:proofErr w:type="gramStart"/>
      <w:r w:rsidRPr="00C43F98">
        <w:rPr>
          <w:rFonts w:ascii="Times New Roman" w:hAnsi="Times New Roman" w:cs="Times New Roman"/>
          <w:szCs w:val="24"/>
        </w:rPr>
        <w:t>1105::</w:t>
      </w:r>
      <w:proofErr w:type="gramEnd"/>
      <w:r w:rsidRPr="00C43F98">
        <w:rPr>
          <w:rFonts w:ascii="Times New Roman" w:hAnsi="Times New Roman" w:cs="Times New Roman"/>
          <w:szCs w:val="24"/>
        </w:rPr>
        <w:t>AID-SMJ133&gt;3.0.CO;2-E.</w:t>
      </w:r>
    </w:p>
    <w:p w14:paraId="647E1E3A" w14:textId="77777777" w:rsid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 xml:space="preserve">Euromonitor (2025) How beauty specialists are revolutionising the UK beauty market. Available at: </w:t>
      </w:r>
    </w:p>
    <w:p w14:paraId="21C400A5" w14:textId="62F9B12C"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 xml:space="preserve">https://www.euromonitor.com/article/how-beauty-specialists-are-revolutionising-the-uk-beauty-market </w:t>
      </w:r>
    </w:p>
    <w:p w14:paraId="77596ED6" w14:textId="7777777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Floridi, L. and Cowls, J. (2019) ‘A unified framework of five principles for AI in society’, Harvard Data Science Review, 1(1). doi: 10.1162/99608f92.8cd550d1.</w:t>
      </w:r>
    </w:p>
    <w:p w14:paraId="3CFE1116" w14:textId="7777777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Freeman, R.E. (1984) Strategic Management: A Stakeholder Approach. Boston: Pitman.</w:t>
      </w:r>
    </w:p>
    <w:p w14:paraId="79E250E1" w14:textId="200ED7F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 xml:space="preserve">GOV.UK (2026) Accepting returns and giving refunds: the law. Available at: https://www.gov.uk/accepting-returns-and-giving-refunds </w:t>
      </w:r>
    </w:p>
    <w:p w14:paraId="7A45CA69" w14:textId="7777777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Grewal, D., Roggeveen, A.L. and Nordfält, J. (2017) ‘The future of retailing’, Journal of Retailing, 93(1), pp. 1-6. doi: 10.1016/j.jretai.2016.12.008.</w:t>
      </w:r>
    </w:p>
    <w:p w14:paraId="627315F4" w14:textId="7777777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lastRenderedPageBreak/>
        <w:t>Grönroos, C. (1984) ‘A service quality model and its marketing implications’, European Journal of Marketing, 18(4), pp. 36-44. doi: 10.1108/EUM0000000004784.</w:t>
      </w:r>
    </w:p>
    <w:p w14:paraId="741E1C8F" w14:textId="7777777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Homburg, C., Jozić, D. and Kuehnl, C. (2017) ‘Customer experience management: Toward implementing an evolving marketing concept’, Journal of the Academy of Marketing Science, 45, pp. 377-401. doi: 10.1007/s11747-015-0460-7.</w:t>
      </w:r>
    </w:p>
    <w:p w14:paraId="423AA1DF" w14:textId="7777777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Huang, M.H. and Rust, R.T. (2021) ‘A strategic framework for artificial intelligence in marketing’, Journal of the Academy of Marketing Science, 49, pp. 30-50. doi: 10.1007/s11747-020-00749-9.</w:t>
      </w:r>
    </w:p>
    <w:p w14:paraId="0C98AA91" w14:textId="77777777" w:rsid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 xml:space="preserve">ICO (2023) Guidance on AI and data protection. Available at: </w:t>
      </w:r>
    </w:p>
    <w:p w14:paraId="5E60AE85" w14:textId="747FDAF8"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 xml:space="preserve">https://ico.org.uk/for-organisations/uk-gdpr-guidance-and-resources/artificial-intelligence/guidance-on-ai-and-data-protection/ </w:t>
      </w:r>
    </w:p>
    <w:p w14:paraId="3E13FB3C" w14:textId="7777777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Kaplan, R.S. and Norton, D.P. (1992) ‘The balanced scorecard: Measures that drive performance’, Harvard Business Review, 70(1), pp. 71-79.</w:t>
      </w:r>
    </w:p>
    <w:p w14:paraId="1F99FB40" w14:textId="7777777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Kotter, J.P. (2012) Leading Change. Boston: Harvard Business Review Press.</w:t>
      </w:r>
    </w:p>
    <w:p w14:paraId="02003D14" w14:textId="77777777" w:rsid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 xml:space="preserve">Kotter, J.P., Akhtar, V. and Gupta, G. (2021) ‘Is your organisation surviving change - or thriving in it?’, Harvard Business Review. Available at: </w:t>
      </w:r>
    </w:p>
    <w:p w14:paraId="7148808B" w14:textId="711B1EC4"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 xml:space="preserve">https://hbr.org/2021/08/is-your-organization-surviving-change-or-thriving-in-it </w:t>
      </w:r>
    </w:p>
    <w:p w14:paraId="05783A7A" w14:textId="7777777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Lemon, K.N. and Verhoef, P.C. (2016) ‘Understanding customer experience throughout the customer journey’, Journal of Marketing, 80(6), pp. 69-96. doi: 10.1509/jm.15.0420.</w:t>
      </w:r>
    </w:p>
    <w:p w14:paraId="04A1CF4D" w14:textId="77777777" w:rsid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 xml:space="preserve">LVMH (2026a) Sephora. Available at: </w:t>
      </w:r>
    </w:p>
    <w:p w14:paraId="70681609" w14:textId="792B170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 xml:space="preserve">https://www.lvmh.com/en/our-maisons/selective-retailing/sephora </w:t>
      </w:r>
    </w:p>
    <w:p w14:paraId="64224E8E" w14:textId="051F6055"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 xml:space="preserve">LVMH (2026b) Letter to shareholders: Selective Retailing, January 2026. Available at: https://www.lvmh.com/static/letter-to-shareholders-january-2026/selective-retailing.html </w:t>
      </w:r>
    </w:p>
    <w:p w14:paraId="132C7E06" w14:textId="4E9A5E51"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 xml:space="preserve">LVMH (2026c) LVMH continues to achieve organic growth in the first quarter in a global environment impacted by the conflict in the Middle East. Available at: https://www.lvmh.com/en/publications/lvmh-continues-to-achieve-organic-growth-in-the-first-quarter-in-a-global-environment-impacted-by-the-conflict-in-the-middle-east </w:t>
      </w:r>
    </w:p>
    <w:p w14:paraId="2CEB56E4" w14:textId="7777777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Lynch, R. (2018) Strategic Management. 8th edn. Harlow: Pearson.</w:t>
      </w:r>
    </w:p>
    <w:p w14:paraId="5B7130D5" w14:textId="1FBF48DD"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lastRenderedPageBreak/>
        <w:t xml:space="preserve">McKinsey &amp; Company (2026) State of Beauty industry trends 2026. Available at: https://www.mckinsey.com/industries/consumer-packaged-goods/our-insights/state-of-beauty </w:t>
      </w:r>
    </w:p>
    <w:p w14:paraId="206B4A93" w14:textId="7777777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Meyer, C. and Schwager, A. (2007) ‘Understanding customer experience’, Harvard Business Review, 85(2), pp. 116-126.</w:t>
      </w:r>
    </w:p>
    <w:p w14:paraId="4F18B228" w14:textId="7777777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Mintzberg, H. and Waters, J.A. (1985) ‘Of strategies, deliberate and emergent’, Strategic Management Journal, 6(3), pp. 257-272. doi: 10.1002/smj.4250060306.</w:t>
      </w:r>
    </w:p>
    <w:p w14:paraId="017790B0" w14:textId="28C17642"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 xml:space="preserve">OECD (2019) OECD Principles on Artificial Intelligence. Available at: https://oecd.ai/en/ai-principles </w:t>
      </w:r>
    </w:p>
    <w:p w14:paraId="62F64F7B" w14:textId="7777777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Parasuraman, A., Zeithaml, V.A. and Berry, L.L. (1988) ‘SERVQUAL: A multiple-item scale for measuring consumer perceptions of service quality’, Journal of Retailing, 64(1), pp. 12-40.</w:t>
      </w:r>
    </w:p>
    <w:p w14:paraId="1E540D95" w14:textId="7777777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Payne, A. and Frow, P. (2005) ‘A strategic framework for customer relationship management’, Journal of Marketing, 69(4), pp. 167-176. doi: 10.1509/jmkg.2005.69.4.167.</w:t>
      </w:r>
    </w:p>
    <w:p w14:paraId="1999E1A7" w14:textId="7777777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Pine, B.J. and Gilmore, J.H. (1998) ‘Welcome to the experience economy’, Harvard Business Review, 76(4), pp. 97-105.</w:t>
      </w:r>
    </w:p>
    <w:p w14:paraId="3F7272F3" w14:textId="7777777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Prahalad, C.K. and Ramaswamy, V. (2004) ‘Co-creation experiences: The next practice in value creation’, Journal of Interactive Marketing, 18(3), pp. 5-14. doi: 10.1002/dir.20015.</w:t>
      </w:r>
    </w:p>
    <w:p w14:paraId="24B09F5C" w14:textId="7777777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Raisch, S. and Krakowski, S. (2021) ‘Artificial intelligence and management: The automation-augmentation paradox’, Academy of Management Review, 46(1), pp. 192-210. doi: 10.5465/amr.2018.0072.</w:t>
      </w:r>
    </w:p>
    <w:p w14:paraId="26DE400D" w14:textId="20E2911A"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 xml:space="preserve">Sephora (2025) 2024 Diversity, Equity and Inclusion Progress Report. Available at: https://www.inside-sephora.com/sites/default/files/2025-09/2024_DEI%20Progress%20Report_Final_EN.pdf </w:t>
      </w:r>
    </w:p>
    <w:p w14:paraId="3B7CCA4A" w14:textId="77777777" w:rsid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 xml:space="preserve">Sephora (2026) About us. Available at: </w:t>
      </w:r>
    </w:p>
    <w:p w14:paraId="374BEBF8" w14:textId="7BB074C6"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 xml:space="preserve">https://www.sephora.com/beauty/about-us </w:t>
      </w:r>
    </w:p>
    <w:p w14:paraId="0A69ADF9" w14:textId="77777777" w:rsid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Sephora UK (2026a) Find a store. Available at:</w:t>
      </w:r>
    </w:p>
    <w:p w14:paraId="76A85A3D" w14:textId="3D694430"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 xml:space="preserve"> https://www.sephora.co.uk/stores/ </w:t>
      </w:r>
    </w:p>
    <w:p w14:paraId="339ACB80" w14:textId="2C8299E1"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lastRenderedPageBreak/>
        <w:t xml:space="preserve">Sephora UK (2026b) MySephora benefits overview. Available at: https://www.sephora.co.uk/mysephora-learn-more </w:t>
      </w:r>
    </w:p>
    <w:p w14:paraId="65DCB26C" w14:textId="77777777" w:rsid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Sephora UK (2026c) Help Centre: Self-service. Available at:</w:t>
      </w:r>
    </w:p>
    <w:p w14:paraId="547DB235" w14:textId="5EB5CE59"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 xml:space="preserve"> https://www.sephora.co.uk/help-centre/Order%2Band%2BReturns/Self%20Service </w:t>
      </w:r>
    </w:p>
    <w:p w14:paraId="1DFEBDFF" w14:textId="77777777" w:rsid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 xml:space="preserve">Sephora UK (2026d) Privacy Policy. Available at: </w:t>
      </w:r>
    </w:p>
    <w:p w14:paraId="752A8ABF" w14:textId="50CB9CDA"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 xml:space="preserve">https://www.sephora.co.uk/privacy-policy </w:t>
      </w:r>
    </w:p>
    <w:p w14:paraId="7C19A603" w14:textId="7777777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Shankar, V., Kalyanam, K., Setia, P., Golmohammadi, A., Tirunillai, S., Douglass, T., Hennessey, J., Bull, J.S. and Waddoups, R. (2021) ‘How technology is changing retail’, Journal of Retailing, 97(1), pp. 13-27. doi: 10.1016/j.jretai.2020.10.006.</w:t>
      </w:r>
    </w:p>
    <w:p w14:paraId="7F02BF31" w14:textId="2E4D4065"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 xml:space="preserve">Statista (2026) Beauty and Personal Care - United Kingdom. Available at: https://www.statista.com/outlook/cmo/beauty-personal-care/united-kingdom </w:t>
      </w:r>
    </w:p>
    <w:p w14:paraId="276DAF9E" w14:textId="7777777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Teece, D.J. (2007) ‘Explicating dynamic capabilities: The nature and microfoundations of (sustainable) enterprise performance’, Strategic Management Journal, 28(13), pp. 1319-1350. doi: 10.1002/smj.640.</w:t>
      </w:r>
    </w:p>
    <w:p w14:paraId="5EFF1E26" w14:textId="49C554C5"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 xml:space="preserve">Teece, D.J., Pisano, G. and Shuen, A. (1997) ‘Dynamic capabilities and strategic management’, Strategic Management Journal, 18(7), pp. 509-533. </w:t>
      </w:r>
      <w:proofErr w:type="spellStart"/>
      <w:r w:rsidRPr="00C43F98">
        <w:rPr>
          <w:rFonts w:ascii="Times New Roman" w:hAnsi="Times New Roman" w:cs="Times New Roman"/>
          <w:szCs w:val="24"/>
        </w:rPr>
        <w:t>doi</w:t>
      </w:r>
      <w:proofErr w:type="spellEnd"/>
      <w:r w:rsidRPr="00C43F98">
        <w:rPr>
          <w:rFonts w:ascii="Times New Roman" w:hAnsi="Times New Roman" w:cs="Times New Roman"/>
          <w:szCs w:val="24"/>
        </w:rPr>
        <w:t>: 10.1002/(SICI)1097-0266(199708)18:7&lt;</w:t>
      </w:r>
      <w:proofErr w:type="gramStart"/>
      <w:r w:rsidRPr="00C43F98">
        <w:rPr>
          <w:rFonts w:ascii="Times New Roman" w:hAnsi="Times New Roman" w:cs="Times New Roman"/>
          <w:szCs w:val="24"/>
        </w:rPr>
        <w:t>509::</w:t>
      </w:r>
      <w:proofErr w:type="gramEnd"/>
      <w:r w:rsidRPr="00C43F98">
        <w:rPr>
          <w:rFonts w:ascii="Times New Roman" w:hAnsi="Times New Roman" w:cs="Times New Roman"/>
          <w:szCs w:val="24"/>
        </w:rPr>
        <w:t>AID-SMJ882&gt;3.0.CO;2-Z.</w:t>
      </w:r>
    </w:p>
    <w:p w14:paraId="7C3475B0" w14:textId="7777777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Vargo, S.L. and Lusch, R.F. (2004) ‘Evolving to a new dominant logic for marketing’, Journal of Marketing, 68(1), pp. 1-17. doi: 10.1509/jmkg.68.1.1.24036.</w:t>
      </w:r>
    </w:p>
    <w:p w14:paraId="0393D1A2" w14:textId="7777777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Verhoef, P.C. et al. (2009) ‘Customer experience creation: Determinants, dynamics and management strategies’, Journal of Retailing, 85(1), pp. 31-41. doi: 10.1016/j.jretai.2008.11.001.</w:t>
      </w:r>
    </w:p>
    <w:p w14:paraId="6EFFEAE5" w14:textId="77777777" w:rsid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Wade, M., Joshi, A. and Teracino, E.A. (2021) ‘Six principles to build your company’s strategic agility’, Harvard Business Review. Available at:</w:t>
      </w:r>
    </w:p>
    <w:p w14:paraId="58DDEE85" w14:textId="6AE34F6C"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 xml:space="preserve"> https://hbr.org/2021/09/6-principles-to-build-your-companys-strategic-agility </w:t>
      </w:r>
    </w:p>
    <w:p w14:paraId="551446C5" w14:textId="7777777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Whittington, R., Regnér, P., Angwin, D., Johnson, G. and Scholes, K. (2020) Exploring Strategy: Text and Cases. 12th edn. Harlow: Pearson.</w:t>
      </w:r>
    </w:p>
    <w:p w14:paraId="05EBE756" w14:textId="7777777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t>Wirtz, J. and Lovelock, C. (2021) Services Marketing: People, Technology, Strategy. 9th edn. Singapore: World Scientific.</w:t>
      </w:r>
    </w:p>
    <w:p w14:paraId="461673B5" w14:textId="77777777" w:rsidR="0065704F" w:rsidRPr="00C43F98" w:rsidRDefault="00000000" w:rsidP="00C43F98">
      <w:pPr>
        <w:spacing w:line="360" w:lineRule="auto"/>
        <w:ind w:left="720" w:hanging="720"/>
        <w:rPr>
          <w:rFonts w:ascii="Times New Roman" w:hAnsi="Times New Roman" w:cs="Times New Roman"/>
          <w:szCs w:val="24"/>
        </w:rPr>
      </w:pPr>
      <w:r w:rsidRPr="00C43F98">
        <w:rPr>
          <w:rFonts w:ascii="Times New Roman" w:hAnsi="Times New Roman" w:cs="Times New Roman"/>
          <w:szCs w:val="24"/>
        </w:rPr>
        <w:lastRenderedPageBreak/>
        <w:t>Zeithaml, V.A., Parasuraman, A. and Malhotra, A. (2002) ‘Service quality delivery through web sites: A critical review of extant knowledge’, Journal of the Academy of Marketing Science, 30(4), pp. 362-375. doi: 10.1177/009207002236911.</w:t>
      </w:r>
    </w:p>
    <w:sectPr w:rsidR="0065704F" w:rsidRPr="00C43F98" w:rsidSect="00034616">
      <w:footerReference w:type="default" r:id="rId8"/>
      <w:pgSz w:w="11906" w:h="16838"/>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E6426" w14:textId="77777777" w:rsidR="00157811" w:rsidRDefault="00157811">
      <w:pPr>
        <w:spacing w:after="0" w:line="240" w:lineRule="auto"/>
      </w:pPr>
      <w:r>
        <w:separator/>
      </w:r>
    </w:p>
  </w:endnote>
  <w:endnote w:type="continuationSeparator" w:id="0">
    <w:p w14:paraId="004EEFFC" w14:textId="77777777" w:rsidR="00157811" w:rsidRDefault="001578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E2328" w14:textId="77777777" w:rsidR="0065704F" w:rsidRDefault="00000000">
    <w:pPr>
      <w:pStyle w:val="Footer"/>
      <w:jc w:val="center"/>
    </w:pPr>
    <w:r>
      <w:fldChar w:fldCharType="begin"/>
    </w:r>
    <w:r>
      <w:instrText>PAGE</w:instrText>
    </w:r>
    <w:r w:rsidR="00C43F98">
      <w:fldChar w:fldCharType="separate"/>
    </w:r>
    <w:r w:rsidR="00C43F9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B84EF" w14:textId="77777777" w:rsidR="00157811" w:rsidRDefault="00157811">
      <w:pPr>
        <w:spacing w:after="0" w:line="240" w:lineRule="auto"/>
      </w:pPr>
      <w:r>
        <w:separator/>
      </w:r>
    </w:p>
  </w:footnote>
  <w:footnote w:type="continuationSeparator" w:id="0">
    <w:p w14:paraId="54695D83" w14:textId="77777777" w:rsidR="00157811" w:rsidRDefault="001578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60428797">
    <w:abstractNumId w:val="8"/>
  </w:num>
  <w:num w:numId="2" w16cid:durableId="773283428">
    <w:abstractNumId w:val="6"/>
  </w:num>
  <w:num w:numId="3" w16cid:durableId="2006005339">
    <w:abstractNumId w:val="5"/>
  </w:num>
  <w:num w:numId="4" w16cid:durableId="1704818307">
    <w:abstractNumId w:val="4"/>
  </w:num>
  <w:num w:numId="5" w16cid:durableId="1162964586">
    <w:abstractNumId w:val="7"/>
  </w:num>
  <w:num w:numId="6" w16cid:durableId="543368287">
    <w:abstractNumId w:val="3"/>
  </w:num>
  <w:num w:numId="7" w16cid:durableId="1966426612">
    <w:abstractNumId w:val="2"/>
  </w:num>
  <w:num w:numId="8" w16cid:durableId="1483233645">
    <w:abstractNumId w:val="1"/>
  </w:num>
  <w:num w:numId="9" w16cid:durableId="598880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57811"/>
    <w:rsid w:val="0029639D"/>
    <w:rsid w:val="00326F90"/>
    <w:rsid w:val="0065704F"/>
    <w:rsid w:val="00AA1D8D"/>
    <w:rsid w:val="00B47730"/>
    <w:rsid w:val="00C43F98"/>
    <w:rsid w:val="00CB0664"/>
    <w:rsid w:val="00F84D2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102EA7"/>
  <w14:defaultImageDpi w14:val="300"/>
  <w15:docId w15:val="{FB423DAB-CCE4-294F-B453-16F7D1C22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480" w:lineRule="auto"/>
    </w:pPr>
    <w:rPr>
      <w:rFonts w:ascii="Arial" w:eastAsia="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C43F98"/>
    <w:pPr>
      <w:spacing w:before="120" w:after="0"/>
    </w:pPr>
    <w:rPr>
      <w:rFonts w:asciiTheme="minorHAnsi" w:hAnsiTheme="minorHAnsi"/>
      <w:b/>
      <w:bCs/>
      <w:i/>
      <w:iCs/>
      <w:szCs w:val="24"/>
    </w:rPr>
  </w:style>
  <w:style w:type="character" w:styleId="Hyperlink">
    <w:name w:val="Hyperlink"/>
    <w:basedOn w:val="DefaultParagraphFont"/>
    <w:uiPriority w:val="99"/>
    <w:unhideWhenUsed/>
    <w:rsid w:val="00C43F98"/>
    <w:rPr>
      <w:color w:val="0000FF" w:themeColor="hyperlink"/>
      <w:u w:val="single"/>
    </w:rPr>
  </w:style>
  <w:style w:type="paragraph" w:styleId="TOC2">
    <w:name w:val="toc 2"/>
    <w:basedOn w:val="Normal"/>
    <w:next w:val="Normal"/>
    <w:autoRedefine/>
    <w:uiPriority w:val="39"/>
    <w:semiHidden/>
    <w:unhideWhenUsed/>
    <w:rsid w:val="00C43F98"/>
    <w:pPr>
      <w:spacing w:before="120" w:after="0"/>
      <w:ind w:left="240"/>
    </w:pPr>
    <w:rPr>
      <w:rFonts w:asciiTheme="minorHAnsi" w:hAnsiTheme="minorHAnsi"/>
      <w:b/>
      <w:bCs/>
      <w:sz w:val="22"/>
    </w:rPr>
  </w:style>
  <w:style w:type="paragraph" w:styleId="TOC3">
    <w:name w:val="toc 3"/>
    <w:basedOn w:val="Normal"/>
    <w:next w:val="Normal"/>
    <w:autoRedefine/>
    <w:uiPriority w:val="39"/>
    <w:semiHidden/>
    <w:unhideWhenUsed/>
    <w:rsid w:val="00C43F98"/>
    <w:pPr>
      <w:spacing w:after="0"/>
      <w:ind w:left="480"/>
    </w:pPr>
    <w:rPr>
      <w:rFonts w:asciiTheme="minorHAnsi" w:hAnsiTheme="minorHAnsi"/>
      <w:sz w:val="20"/>
      <w:szCs w:val="20"/>
    </w:rPr>
  </w:style>
  <w:style w:type="paragraph" w:styleId="TOC4">
    <w:name w:val="toc 4"/>
    <w:basedOn w:val="Normal"/>
    <w:next w:val="Normal"/>
    <w:autoRedefine/>
    <w:uiPriority w:val="39"/>
    <w:semiHidden/>
    <w:unhideWhenUsed/>
    <w:rsid w:val="00C43F98"/>
    <w:pPr>
      <w:spacing w:after="0"/>
      <w:ind w:left="720"/>
    </w:pPr>
    <w:rPr>
      <w:rFonts w:asciiTheme="minorHAnsi" w:hAnsiTheme="minorHAnsi"/>
      <w:sz w:val="20"/>
      <w:szCs w:val="20"/>
    </w:rPr>
  </w:style>
  <w:style w:type="paragraph" w:styleId="TOC5">
    <w:name w:val="toc 5"/>
    <w:basedOn w:val="Normal"/>
    <w:next w:val="Normal"/>
    <w:autoRedefine/>
    <w:uiPriority w:val="39"/>
    <w:semiHidden/>
    <w:unhideWhenUsed/>
    <w:rsid w:val="00C43F98"/>
    <w:pPr>
      <w:spacing w:after="0"/>
      <w:ind w:left="960"/>
    </w:pPr>
    <w:rPr>
      <w:rFonts w:asciiTheme="minorHAnsi" w:hAnsiTheme="minorHAnsi"/>
      <w:sz w:val="20"/>
      <w:szCs w:val="20"/>
    </w:rPr>
  </w:style>
  <w:style w:type="paragraph" w:styleId="TOC6">
    <w:name w:val="toc 6"/>
    <w:basedOn w:val="Normal"/>
    <w:next w:val="Normal"/>
    <w:autoRedefine/>
    <w:uiPriority w:val="39"/>
    <w:semiHidden/>
    <w:unhideWhenUsed/>
    <w:rsid w:val="00C43F98"/>
    <w:pPr>
      <w:spacing w:after="0"/>
      <w:ind w:left="1200"/>
    </w:pPr>
    <w:rPr>
      <w:rFonts w:asciiTheme="minorHAnsi" w:hAnsiTheme="minorHAnsi"/>
      <w:sz w:val="20"/>
      <w:szCs w:val="20"/>
    </w:rPr>
  </w:style>
  <w:style w:type="paragraph" w:styleId="TOC7">
    <w:name w:val="toc 7"/>
    <w:basedOn w:val="Normal"/>
    <w:next w:val="Normal"/>
    <w:autoRedefine/>
    <w:uiPriority w:val="39"/>
    <w:semiHidden/>
    <w:unhideWhenUsed/>
    <w:rsid w:val="00C43F98"/>
    <w:pPr>
      <w:spacing w:after="0"/>
      <w:ind w:left="1440"/>
    </w:pPr>
    <w:rPr>
      <w:rFonts w:asciiTheme="minorHAnsi" w:hAnsiTheme="minorHAnsi"/>
      <w:sz w:val="20"/>
      <w:szCs w:val="20"/>
    </w:rPr>
  </w:style>
  <w:style w:type="paragraph" w:styleId="TOC8">
    <w:name w:val="toc 8"/>
    <w:basedOn w:val="Normal"/>
    <w:next w:val="Normal"/>
    <w:autoRedefine/>
    <w:uiPriority w:val="39"/>
    <w:semiHidden/>
    <w:unhideWhenUsed/>
    <w:rsid w:val="00C43F98"/>
    <w:pPr>
      <w:spacing w:after="0"/>
      <w:ind w:left="1680"/>
    </w:pPr>
    <w:rPr>
      <w:rFonts w:asciiTheme="minorHAnsi" w:hAnsiTheme="minorHAnsi"/>
      <w:sz w:val="20"/>
      <w:szCs w:val="20"/>
    </w:rPr>
  </w:style>
  <w:style w:type="paragraph" w:styleId="TOC9">
    <w:name w:val="toc 9"/>
    <w:basedOn w:val="Normal"/>
    <w:next w:val="Normal"/>
    <w:autoRedefine/>
    <w:uiPriority w:val="39"/>
    <w:semiHidden/>
    <w:unhideWhenUsed/>
    <w:rsid w:val="00C43F98"/>
    <w:pPr>
      <w:spacing w:after="0"/>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7082</Words>
  <Characters>40369</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47357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Laxmi Krushika Katukam (2510032)</cp:lastModifiedBy>
  <cp:revision>2</cp:revision>
  <dcterms:created xsi:type="dcterms:W3CDTF">2026-07-02T20:07:00Z</dcterms:created>
  <dcterms:modified xsi:type="dcterms:W3CDTF">2026-07-02T20:07:00Z</dcterms:modified>
  <cp:category/>
</cp:coreProperties>
</file>