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t>Module BMPF7012</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t>Student: 2031096</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t>Word Count 740</w:t>
      </w:r>
    </w:p>
    <w:p>
      <w:pPr>
        <w:keepNext w:val="0"/>
        <w:keepLines w:val="0"/>
        <w:pageBreakBefore w:val="0"/>
        <w:widowControl w:val="1"/>
        <w:shd w:val="clear" w:color="auto" w:fill="auto"/>
        <w:suppressAutoHyphens w:val="0"/>
        <w:bidi w:val="0"/>
        <w:spacing w:before="100" w:after="100" w:line="240" w:lineRule="auto"/>
        <w:ind w:left="0" w:right="0" w:firstLine="0"/>
        <w:jc w:val="center"/>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100" w:after="100" w:line="240" w:lineRule="auto"/>
        <w:ind w:left="0" w:right="0" w:firstLine="0"/>
        <w:jc w:val="center"/>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t xml:space="preserve">Introduction of a Out Of Hospital Cardiac Arrest support Desk within Emergency Service Medical Coordination Services to support cardiac arrest survival in Wales </w:t>
      </w:r>
    </w:p>
    <w:p>
      <w:pPr>
        <w:pStyle w:val="Default"/>
        <w:suppressAutoHyphens w:val="1"/>
        <w:spacing w:before="0" w:after="319" w:line="240" w:lineRule="auto"/>
        <w:rPr>
          <w:rFonts w:ascii="Times Roman" w:cs="Times Roman" w:hAnsi="Times Roman" w:eastAsia="Times Roman"/>
        </w:rPr>
      </w:pPr>
      <w:r>
        <w:rPr>
          <w:rFonts w:ascii="Times Roman" w:hAnsi="Times Roman"/>
          <w:rtl w:val="0"/>
          <w:lang w:val="fr-FR"/>
        </w:rPr>
        <w:t>Context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Since its establishment in 1999, the Welsh Ambulance Services NHS Trust (WAST) has been committed to enhancing survival outcomes for patients experiencing an Out-of-Hospital Cardiac Arrest (OOHCA). Central to this commitment is the coordination of emergency medical responses, a factor well evidenced to significantly improve survival outcomes. This coordinated approach aligns with the internationally recognised "Chain of Survival" model, which underscores the critical, interdependent steps required to increase the likelihood of survival following cardiac arrest.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Despite ongoing efforts, variability in the efficiency and consistency of each component in this chain persists. Effective integration and strategic coordination across the chain remain crucial to optimising outcomes for patients, reducing variation in care, and ultimately improving survival rates across Wales.</w:t>
      </w:r>
    </w:p>
    <w:p>
      <w:pPr>
        <w:pStyle w:val="Default"/>
        <w:suppressAutoHyphens w:val="1"/>
        <w:spacing w:before="0" w:after="319" w:line="240" w:lineRule="auto"/>
        <w:rPr>
          <w:rFonts w:ascii="Times Roman" w:cs="Times Roman" w:hAnsi="Times Roman" w:eastAsia="Times Roman"/>
        </w:rPr>
      </w:pPr>
      <w:r>
        <w:rPr>
          <w:rFonts w:ascii="Times Roman" w:hAnsi="Times Roman"/>
          <w:rtl w:val="0"/>
          <w:lang w:val="fr-FR"/>
        </w:rPr>
        <w:t>Justification</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Although the Chain of Survival is often presented as a sequential model, each of its four components</w:t>
      </w:r>
      <w:r>
        <w:rPr>
          <w:rFonts w:ascii="Times Roman" w:hAnsi="Times Roman" w:hint="default"/>
          <w:rtl w:val="0"/>
          <w:lang w:val="en-US"/>
        </w:rPr>
        <w:t>—</w:t>
      </w:r>
      <w:r>
        <w:rPr>
          <w:rFonts w:ascii="Times Roman" w:hAnsi="Times Roman"/>
          <w:rtl w:val="0"/>
          <w:lang w:val="en-US"/>
        </w:rPr>
        <w:t>early recognition and call for help, early CPR, early defibrillation, and post-resuscitation care</w:t>
      </w:r>
      <w:r>
        <w:rPr>
          <w:rFonts w:ascii="Times Roman" w:hAnsi="Times Roman" w:hint="default"/>
          <w:rtl w:val="0"/>
          <w:lang w:val="en-US"/>
        </w:rPr>
        <w:t>—</w:t>
      </w:r>
      <w:r>
        <w:rPr>
          <w:rFonts w:ascii="Times Roman" w:hAnsi="Times Roman"/>
          <w:rtl w:val="0"/>
          <w:lang w:val="en-US"/>
        </w:rPr>
        <w:t>are intrinsically interdependent. Survival is not solely dependent on the presence of these links, but rather on the quality, timing, and seamless interaction between them. Current systems, while coordinated, may not be fully optimised to leverage existing resources or to ensure a consistently high standard of care across all regions and providers.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introduction of a dedicated OOHCA Support Desk within Emergency Medical Coordination Services seeks to strengthen this interconnectivity. By embedding clinical oversight and real-time coordination into the heart of emergency response services, this initiative will enhance the efficiency, responsiveness, and overall effectiveness of cardiac arrest interventions in the pre-hospital setting.</w:t>
      </w:r>
    </w:p>
    <w:p>
      <w:pPr>
        <w:pStyle w:val="Default"/>
        <w:suppressAutoHyphens w:val="1"/>
        <w:spacing w:before="0" w:after="319" w:line="240" w:lineRule="auto"/>
        <w:rPr>
          <w:rFonts w:ascii="Times Roman" w:cs="Times Roman" w:hAnsi="Times Roman" w:eastAsia="Times Roman"/>
        </w:rPr>
      </w:pPr>
      <w:r>
        <w:rPr>
          <w:rFonts w:ascii="Times Roman" w:hAnsi="Times Roman"/>
          <w:rtl w:val="0"/>
          <w:lang w:val="en-US"/>
        </w:rPr>
        <w:t>Intended Impact</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The primary objective of the OOHCA Support Desk is to maximise patient survival from out-of-hospital cardiac arrests. This will be achieved through:</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Enhancing the clinical quality and timeliness of emergency responses.</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Reducing disparities in outcomes across geographical and demographic lines.</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Improving the utilisation of pre-existing infrastructure and resources.</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Supporting bystanders and witnesses through real-time guidance and reassurance.</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Strengthening system-wide collaboration and resilience in cardiac arrest management.</w:t>
      </w:r>
    </w:p>
    <w:p>
      <w:pPr>
        <w:pStyle w:val="Default"/>
        <w:suppressAutoHyphens w:val="1"/>
        <w:spacing w:before="0" w:after="319" w:line="240" w:lineRule="auto"/>
        <w:rPr>
          <w:rFonts w:ascii="Times Roman" w:cs="Times Roman" w:hAnsi="Times Roman" w:eastAsia="Times Roman"/>
        </w:rPr>
      </w:pPr>
      <w:r>
        <w:rPr>
          <w:rFonts w:ascii="Times Roman" w:hAnsi="Times Roman"/>
          <w:rtl w:val="0"/>
          <w:lang w:val="en-US"/>
        </w:rPr>
        <w:t>Strategic Aims and Wider Implementation Considerations</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To facilitate long-term, sustainable improvements in cardiac arrest survival, the OOHCA Support Desk will serve as a foundation for broader strategic implementation. Key aims include:</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Clinical Integration: Providing expert oversight and clinical support across each stage of the Chain of Survival to identify gaps, support continuous improvement, and promote best practice.</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Resource Optimisation: Leveraging existing systems and infrastructure to avoid duplication and increase service efficiency.</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Public Engagement: Offering structured, real-time support to bystanders to increase early intervention rates and public confidence in responding to cardiac arrest.</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Data-Driven Improvement: Capturing and analysing data to evaluate service performance, identify systemic barriers, and inform targeted quality improvement initiatives.</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Policy and Planning Alignment: Contributing to the development of national health strategies by embedding OOHCA support within the broader context of urgent and emergency care planning across Wales.</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Cross-Sector Collaboration: Facilitating strategic partnerships across health, social care, emergency services, and voluntary sectors to build an integrated response model.</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Addressing Health Inequalities: Ensuring equitable access to timely, effective care, with particular focus on underserved or high-risk populations.</w:t>
      </w:r>
    </w:p>
    <w:p>
      <w:pPr>
        <w:pStyle w:val="Default"/>
        <w:numPr>
          <w:ilvl w:val="0"/>
          <w:numId w:val="3"/>
        </w:numPr>
        <w:suppressAutoHyphens w:val="1"/>
        <w:spacing w:before="0" w:after="240" w:line="240" w:lineRule="auto"/>
        <w:jc w:val="left"/>
        <w:rPr>
          <w:rFonts w:ascii="Times Roman" w:hAnsi="Times Roman"/>
          <w:lang w:val="en-US"/>
        </w:rPr>
      </w:pPr>
      <w:r>
        <w:rPr>
          <w:rFonts w:ascii="Times Roman" w:hAnsi="Times Roman"/>
          <w:rtl w:val="0"/>
          <w:lang w:val="en-US"/>
        </w:rPr>
        <w:t>Workforce Development: Supporting training and continuous professional development for clinical and non-clinical staff involved in cardiac arrest response.</w:t>
      </w:r>
    </w:p>
    <w:p>
      <w:pPr>
        <w:pStyle w:val="Default"/>
        <w:suppressAutoHyphens w:val="1"/>
        <w:spacing w:before="0" w:after="319" w:line="240" w:lineRule="auto"/>
        <w:rPr>
          <w:rFonts w:ascii="Times Roman" w:cs="Times Roman" w:hAnsi="Times Roman" w:eastAsia="Times Roman"/>
        </w:rPr>
      </w:pPr>
      <w:r>
        <w:rPr>
          <w:rFonts w:ascii="Times Roman" w:hAnsi="Times Roman"/>
          <w:rtl w:val="0"/>
          <w:lang w:val="en-US"/>
        </w:rPr>
        <w:t>Evaluation and Continuous Learning</w:t>
      </w:r>
    </w:p>
    <w:p>
      <w:pPr>
        <w:pStyle w:val="Default"/>
        <w:suppressAutoHyphens w:val="1"/>
        <w:spacing w:before="0" w:after="240" w:line="240" w:lineRule="auto"/>
        <w:rPr>
          <w:rFonts w:ascii="Times Roman" w:cs="Times Roman" w:hAnsi="Times Roman" w:eastAsia="Times Roman"/>
        </w:rPr>
      </w:pPr>
      <w:r>
        <w:rPr>
          <w:rFonts w:ascii="Times Roman" w:hAnsi="Times Roman"/>
          <w:rtl w:val="0"/>
          <w:lang w:val="en-US"/>
        </w:rPr>
        <w:t>A robust evaluation framework will be developed to assess the effectiveness, efficiency, and equity of the OOHCA Support Desk. This will include:</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Identifying and addressing systemic challenges to engagement and coordination across sectors.</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Monitoring patient outcomes, response times, and bystander intervention rates.</w:t>
      </w:r>
    </w:p>
    <w:p>
      <w:pPr>
        <w:pStyle w:val="Default"/>
        <w:numPr>
          <w:ilvl w:val="0"/>
          <w:numId w:val="2"/>
        </w:numPr>
        <w:suppressAutoHyphens w:val="1"/>
        <w:spacing w:before="0" w:after="240" w:line="240" w:lineRule="auto"/>
        <w:jc w:val="left"/>
        <w:rPr>
          <w:rFonts w:ascii="Times Roman" w:hAnsi="Times Roman"/>
          <w:lang w:val="en-US"/>
        </w:rPr>
      </w:pPr>
      <w:r>
        <w:rPr>
          <w:rFonts w:ascii="Times Roman" w:hAnsi="Times Roman"/>
          <w:rtl w:val="0"/>
          <w:lang w:val="en-US"/>
        </w:rPr>
        <w:t>Using real-time and retrospective data to support ongoing service development and national learning.</w:t>
      </w:r>
    </w:p>
    <w:p>
      <w:pPr>
        <w:keepNext w:val="0"/>
        <w:keepLines w:val="0"/>
        <w:pageBreakBefore w:val="0"/>
        <w:widowControl w:val="1"/>
        <w:shd w:val="clear" w:color="auto" w:fill="auto"/>
        <w:suppressAutoHyphens w:val="0"/>
        <w:bidi w:val="0"/>
        <w:spacing w:before="100" w:after="100" w:line="36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100" w:after="100" w:line="36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Expected learning outcomes </w:t>
      </w:r>
    </w:p>
    <w:p>
      <w:pPr>
        <w:pStyle w:val="Default"/>
        <w:suppressAutoHyphens w:val="1"/>
        <w:spacing w:before="0" w:line="240" w:lineRule="auto"/>
        <w:rPr>
          <w:rFonts w:ascii="Times Roman" w:cs="Times Roman" w:hAnsi="Times Roman" w:eastAsia="Times Roman"/>
        </w:rPr>
      </w:pPr>
      <w:r>
        <w:rPr>
          <w:rFonts w:ascii="Times Roman" w:hAnsi="Times Roman"/>
          <w:rtl w:val="0"/>
          <w:lang w:val="en-US"/>
        </w:rPr>
        <w:t>Critically evaluate the strategic rationale for introducing new service models within emergency healthcare settings, using the OOHCA Support Desk as a case study in improving patient outcomes and service delivery.</w:t>
      </w:r>
    </w:p>
    <w:p>
      <w:pPr>
        <w:pStyle w:val="Default"/>
        <w:suppressAutoHyphens w:val="1"/>
        <w:spacing w:before="0" w:line="240" w:lineRule="auto"/>
        <w:rPr>
          <w:rFonts w:ascii="Times Roman" w:cs="Times Roman" w:hAnsi="Times Roman" w:eastAsia="Times Roman"/>
        </w:rPr>
      </w:pPr>
    </w:p>
    <w:p>
      <w:pPr>
        <w:pStyle w:val="Default"/>
        <w:suppressAutoHyphens w:val="1"/>
        <w:spacing w:before="0" w:line="240" w:lineRule="auto"/>
        <w:rPr>
          <w:rFonts w:ascii="Times Roman" w:cs="Times Roman" w:hAnsi="Times Roman" w:eastAsia="Times Roman"/>
        </w:rPr>
      </w:pPr>
      <w:r>
        <w:rPr>
          <w:rFonts w:ascii="Times Roman" w:hAnsi="Times Roman"/>
          <w:rtl w:val="0"/>
          <w:lang w:val="en-US"/>
        </w:rPr>
        <w:t>Apply principles of change management to analyse and design the implementation of new initiatives within complex health systems, with specific reference to stakeholder engagement, resource optimisation, and workforce adaptation.</w:t>
      </w:r>
    </w:p>
    <w:p>
      <w:pPr>
        <w:pStyle w:val="Default"/>
        <w:suppressAutoHyphens w:val="1"/>
        <w:spacing w:before="0" w:line="240" w:lineRule="auto"/>
        <w:rPr>
          <w:rFonts w:ascii="Times Roman" w:cs="Times Roman" w:hAnsi="Times Roman" w:eastAsia="Times Roman"/>
        </w:rPr>
      </w:pPr>
    </w:p>
    <w:p>
      <w:pPr>
        <w:pStyle w:val="Default"/>
        <w:suppressAutoHyphens w:val="1"/>
        <w:spacing w:before="0" w:line="240" w:lineRule="auto"/>
        <w:rPr>
          <w:rFonts w:ascii="Times Roman" w:cs="Times Roman" w:hAnsi="Times Roman" w:eastAsia="Times Roman"/>
        </w:rPr>
      </w:pPr>
      <w:r>
        <w:rPr>
          <w:rFonts w:ascii="Times Roman" w:hAnsi="Times Roman"/>
          <w:rtl w:val="0"/>
          <w:lang w:val="en-US"/>
        </w:rPr>
        <w:t>Critically assess the challenges and enablers of interprofessional and cross-sector collaboration in the context of emergency medical services, and propose solutions to improve integration and continuity of care.</w:t>
      </w:r>
    </w:p>
    <w:p>
      <w:pPr>
        <w:pStyle w:val="Default"/>
        <w:suppressAutoHyphens w:val="1"/>
        <w:spacing w:before="0" w:line="240" w:lineRule="auto"/>
        <w:rPr>
          <w:rFonts w:ascii="Times Roman" w:cs="Times Roman" w:hAnsi="Times Roman" w:eastAsia="Times Roman"/>
        </w:rPr>
      </w:pPr>
    </w:p>
    <w:p>
      <w:pPr>
        <w:pStyle w:val="Default"/>
        <w:suppressAutoHyphens w:val="1"/>
        <w:spacing w:before="0" w:line="240" w:lineRule="auto"/>
        <w:rPr>
          <w:rFonts w:ascii="Times Roman" w:cs="Times Roman" w:hAnsi="Times Roman" w:eastAsia="Times Roman"/>
        </w:rPr>
      </w:pPr>
      <w:r>
        <w:rPr>
          <w:rFonts w:ascii="Times Roman" w:hAnsi="Times Roman"/>
          <w:rtl w:val="0"/>
          <w:lang w:val="en-US"/>
        </w:rPr>
        <w:t>Develop and justify a strategic implementation plan for the OOHCA Support Desk, including metrics for evaluating impact, scalability, and sustainability within a devolved healthcare system.</w:t>
      </w:r>
    </w:p>
    <w:p>
      <w:pPr>
        <w:pStyle w:val="Default"/>
        <w:suppressAutoHyphens w:val="1"/>
        <w:spacing w:before="0" w:line="240" w:lineRule="auto"/>
        <w:rPr>
          <w:rFonts w:ascii="Times Roman" w:cs="Times Roman" w:hAnsi="Times Roman" w:eastAsia="Times Roman"/>
        </w:rPr>
      </w:pPr>
    </w:p>
    <w:p>
      <w:pPr>
        <w:pStyle w:val="Default"/>
        <w:suppressAutoHyphens w:val="1"/>
        <w:spacing w:before="0" w:line="240" w:lineRule="auto"/>
        <w:rPr>
          <w:rFonts w:ascii="Times Roman" w:cs="Times Roman" w:hAnsi="Times Roman" w:eastAsia="Times Roman"/>
        </w:rPr>
      </w:pPr>
      <w:r>
        <w:rPr>
          <w:rFonts w:ascii="Times Roman" w:hAnsi="Times Roman"/>
          <w:rtl w:val="0"/>
          <w:lang w:val="en-US"/>
        </w:rPr>
        <w:t>Demonstrate critical insight into the role of leadership and communication in driving service transformation, managing resistance, and sustaining engagement across diverse healthcare stakeholders.</w:t>
      </w:r>
    </w:p>
    <w:p>
      <w:pPr>
        <w:pStyle w:val="Default"/>
        <w:suppressAutoHyphens w:val="1"/>
        <w:spacing w:before="0" w:line="240" w:lineRule="auto"/>
        <w:rPr>
          <w:rFonts w:ascii="Times Roman" w:cs="Times Roman" w:hAnsi="Times Roman" w:eastAsia="Times Roman"/>
        </w:rPr>
      </w:pPr>
    </w:p>
    <w:p>
      <w:pPr>
        <w:pStyle w:val="Default"/>
        <w:suppressAutoHyphens w:val="1"/>
        <w:spacing w:before="0" w:line="240" w:lineRule="auto"/>
      </w:pPr>
      <w:r>
        <w:rPr>
          <w:rFonts w:ascii="Times Roman" w:cs="Times Roman" w:hAnsi="Times Roman" w:eastAsia="Times Roman"/>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7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9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11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13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160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82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204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226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2480" w:hanging="500"/>
      </w:pPr>
      <w:rPr>
        <w:rFonts w:ascii="Times Roman" w:cs="Times Roman" w:hAnsi="Times Roman" w:eastAsia="Times Roman"/>
        <w:b w:val="0"/>
        <w:bCs w:val="0"/>
        <w:i w:val="0"/>
        <w:iCs w:val="0"/>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
        <w:lvlJc w:val="left"/>
        <w:pPr>
          <w:ind w:left="9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2">
      <w:lvl w:ilvl="2">
        <w:start w:val="1"/>
        <w:numFmt w:val="bullet"/>
        <w:suff w:val="tab"/>
        <w:lvlText w:val="•"/>
        <w:lvlJc w:val="left"/>
        <w:pPr>
          <w:ind w:left="11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3">
      <w:lvl w:ilvl="3">
        <w:start w:val="1"/>
        <w:numFmt w:val="bullet"/>
        <w:suff w:val="tab"/>
        <w:lvlText w:val="•"/>
        <w:lvlJc w:val="left"/>
        <w:pPr>
          <w:ind w:left="13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4">
      <w:lvl w:ilvl="4">
        <w:start w:val="1"/>
        <w:numFmt w:val="bullet"/>
        <w:suff w:val="tab"/>
        <w:lvlText w:val="•"/>
        <w:lvlJc w:val="left"/>
        <w:pPr>
          <w:ind w:left="160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5">
      <w:lvl w:ilvl="5">
        <w:start w:val="1"/>
        <w:numFmt w:val="bullet"/>
        <w:suff w:val="tab"/>
        <w:lvlText w:val="•"/>
        <w:lvlJc w:val="left"/>
        <w:pPr>
          <w:ind w:left="182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6">
      <w:lvl w:ilvl="6">
        <w:start w:val="1"/>
        <w:numFmt w:val="bullet"/>
        <w:suff w:val="tab"/>
        <w:lvlText w:val="•"/>
        <w:lvlJc w:val="left"/>
        <w:pPr>
          <w:ind w:left="204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7">
      <w:lvl w:ilvl="7">
        <w:start w:val="1"/>
        <w:numFmt w:val="bullet"/>
        <w:suff w:val="tab"/>
        <w:lvlText w:val="•"/>
        <w:lvlJc w:val="left"/>
        <w:pPr>
          <w:ind w:left="226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lvlOverride w:ilvl="8">
      <w:lvl w:ilvl="8">
        <w:start w:val="1"/>
        <w:numFmt w:val="bullet"/>
        <w:suff w:val="tab"/>
        <w:lvlText w:val="•"/>
        <w:lvlJc w:val="left"/>
        <w:pPr>
          <w:ind w:left="2480" w:hanging="500"/>
        </w:pPr>
        <w:rPr>
          <w:rFonts w:ascii="Times Roman" w:cs="Times Roman" w:hAnsi="Times Roman" w:eastAsia="Times Roman"/>
          <w:b w:val="1"/>
          <w:bCs w:val="1"/>
          <w:i w:val="0"/>
          <w:iCs w:val="0"/>
          <w:caps w:val="0"/>
          <w:smallCaps w:val="0"/>
          <w:strike w:val="0"/>
          <w:dstrike w:val="0"/>
          <w:outline w:val="0"/>
          <w:emboss w:val="0"/>
          <w:imprint w:val="0"/>
          <w:spacing w:val="0"/>
          <w:w w:val="100"/>
          <w:kern w:val="0"/>
          <w:position w:val="-2"/>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fr-FR"/>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