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69A48" w14:textId="2F855B82" w:rsidR="00DE6462" w:rsidRDefault="00DE6462" w:rsidP="00DE6462">
      <w:pPr>
        <w:pStyle w:val="TOCHeading"/>
      </w:pPr>
    </w:p>
    <w:p w14:paraId="3E7F8631" w14:textId="762586B6" w:rsidR="008375B5" w:rsidRDefault="009334D8" w:rsidP="008375B5">
      <w:pPr>
        <w:spacing w:line="360" w:lineRule="auto"/>
        <w:rPr>
          <w:rStyle w:val="Strong"/>
          <w:rFonts w:ascii="Segoe UI" w:hAnsi="Segoe UI" w:cs="Segoe UI"/>
          <w:color w:val="1D2125"/>
        </w:rPr>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E18FE2A" w:rsidR="008375B5" w:rsidRPr="00E70BF7" w:rsidRDefault="008375B5" w:rsidP="008375B5">
      <w:pPr>
        <w:spacing w:line="360" w:lineRule="auto"/>
        <w:rPr>
          <w:rStyle w:val="Strong"/>
          <w:rFonts w:ascii="Arial" w:hAnsi="Arial" w:cs="Arial"/>
          <w:b w:val="0"/>
          <w:bCs w:val="0"/>
          <w:color w:val="1D2125"/>
          <w:sz w:val="28"/>
          <w:szCs w:val="28"/>
        </w:rPr>
      </w:pPr>
      <w:r w:rsidRPr="00E70BF7">
        <w:rPr>
          <w:rFonts w:ascii="Arial" w:hAnsi="Arial" w:cs="Arial"/>
          <w:b/>
          <w:bCs/>
          <w:color w:val="000000"/>
          <w:sz w:val="28"/>
          <w:szCs w:val="28"/>
        </w:rPr>
        <w:t>Component 1: Written Report</w:t>
      </w:r>
      <w:r w:rsidR="00465DAC" w:rsidRPr="00E70BF7">
        <w:rPr>
          <w:rFonts w:ascii="Arial" w:hAnsi="Arial" w:cs="Arial"/>
          <w:b/>
          <w:bCs/>
          <w:color w:val="000000"/>
          <w:sz w:val="28"/>
          <w:szCs w:val="28"/>
        </w:rPr>
        <w:t xml:space="preserve"> on Electronic Health Records (BMHP6026) final</w:t>
      </w:r>
    </w:p>
    <w:p w14:paraId="03B7C5EA" w14:textId="77777777" w:rsidR="008375B5" w:rsidRPr="00E70BF7" w:rsidRDefault="008375B5" w:rsidP="008375B5">
      <w:pPr>
        <w:spacing w:line="360" w:lineRule="auto"/>
        <w:rPr>
          <w:rStyle w:val="Strong"/>
          <w:rFonts w:ascii="Arial" w:hAnsi="Arial" w:cs="Arial"/>
          <w:color w:val="1D2125"/>
          <w:sz w:val="28"/>
          <w:szCs w:val="28"/>
        </w:rPr>
      </w:pPr>
    </w:p>
    <w:p w14:paraId="3C3042AD" w14:textId="049619AD" w:rsidR="008375B5" w:rsidRPr="00E70BF7" w:rsidRDefault="008375B5" w:rsidP="008375B5">
      <w:pPr>
        <w:spacing w:line="360" w:lineRule="auto"/>
        <w:rPr>
          <w:rStyle w:val="Strong"/>
          <w:rFonts w:ascii="Arial" w:hAnsi="Arial" w:cs="Arial"/>
          <w:color w:val="1D2125"/>
          <w:sz w:val="28"/>
          <w:szCs w:val="28"/>
        </w:rPr>
      </w:pPr>
      <w:r w:rsidRPr="00E70BF7">
        <w:rPr>
          <w:rStyle w:val="Strong"/>
          <w:rFonts w:ascii="Arial" w:hAnsi="Arial" w:cs="Arial"/>
          <w:color w:val="1D2125"/>
          <w:sz w:val="28"/>
          <w:szCs w:val="28"/>
        </w:rPr>
        <w:t>Student name:</w:t>
      </w:r>
      <w:r w:rsidR="00465DAC" w:rsidRPr="00E70BF7">
        <w:rPr>
          <w:rStyle w:val="Strong"/>
          <w:rFonts w:ascii="Arial" w:hAnsi="Arial" w:cs="Arial"/>
          <w:color w:val="1D2125"/>
          <w:sz w:val="28"/>
          <w:szCs w:val="28"/>
        </w:rPr>
        <w:t xml:space="preserve"> Chibuzor Nnadi</w:t>
      </w:r>
    </w:p>
    <w:p w14:paraId="227AC82E" w14:textId="104A5F54" w:rsidR="008375B5" w:rsidRPr="00E70BF7" w:rsidRDefault="008375B5" w:rsidP="008375B5">
      <w:pPr>
        <w:spacing w:line="360" w:lineRule="auto"/>
        <w:rPr>
          <w:rStyle w:val="Strong"/>
          <w:rFonts w:ascii="Arial" w:hAnsi="Arial" w:cs="Arial"/>
          <w:color w:val="1D2125"/>
          <w:sz w:val="28"/>
          <w:szCs w:val="28"/>
        </w:rPr>
      </w:pPr>
      <w:r w:rsidRPr="00E70BF7">
        <w:rPr>
          <w:rStyle w:val="Strong"/>
          <w:rFonts w:ascii="Arial" w:hAnsi="Arial" w:cs="Arial"/>
          <w:color w:val="1D2125"/>
          <w:sz w:val="28"/>
          <w:szCs w:val="28"/>
        </w:rPr>
        <w:t>Student number:</w:t>
      </w:r>
      <w:r w:rsidR="00465DAC" w:rsidRPr="00E70BF7">
        <w:rPr>
          <w:rStyle w:val="Strong"/>
          <w:rFonts w:ascii="Arial" w:hAnsi="Arial" w:cs="Arial"/>
          <w:color w:val="1D2125"/>
          <w:sz w:val="28"/>
          <w:szCs w:val="28"/>
        </w:rPr>
        <w:t xml:space="preserve"> 2331428</w:t>
      </w:r>
    </w:p>
    <w:p w14:paraId="5B5E64AD" w14:textId="53265AD7" w:rsidR="008375B5" w:rsidRPr="00E70BF7" w:rsidRDefault="008375B5" w:rsidP="008375B5">
      <w:pPr>
        <w:spacing w:line="360" w:lineRule="auto"/>
        <w:rPr>
          <w:rStyle w:val="Strong"/>
          <w:rFonts w:ascii="Arial" w:hAnsi="Arial" w:cs="Arial"/>
          <w:color w:val="1D2125"/>
          <w:sz w:val="28"/>
          <w:szCs w:val="28"/>
        </w:rPr>
      </w:pPr>
      <w:r w:rsidRPr="00E70BF7">
        <w:rPr>
          <w:rStyle w:val="Strong"/>
          <w:rFonts w:ascii="Arial" w:hAnsi="Arial" w:cs="Arial"/>
          <w:color w:val="1D2125"/>
          <w:sz w:val="28"/>
          <w:szCs w:val="28"/>
        </w:rPr>
        <w:t>Lecturer’s name:</w:t>
      </w:r>
      <w:r w:rsidR="00465DAC" w:rsidRPr="00E70BF7">
        <w:rPr>
          <w:rStyle w:val="Strong"/>
          <w:rFonts w:ascii="Arial" w:hAnsi="Arial" w:cs="Arial"/>
          <w:color w:val="1D2125"/>
          <w:sz w:val="28"/>
          <w:szCs w:val="28"/>
        </w:rPr>
        <w:t xml:space="preserve"> Dr Ping Wu</w:t>
      </w:r>
    </w:p>
    <w:p w14:paraId="34701712" w14:textId="6ADD4B40" w:rsidR="00465DAC" w:rsidRPr="00E70BF7" w:rsidRDefault="0069018D" w:rsidP="008375B5">
      <w:pPr>
        <w:spacing w:line="360" w:lineRule="auto"/>
        <w:rPr>
          <w:rStyle w:val="Strong"/>
          <w:rFonts w:ascii="Arial" w:hAnsi="Arial" w:cs="Arial"/>
          <w:color w:val="1D2125"/>
          <w:sz w:val="28"/>
          <w:szCs w:val="28"/>
        </w:rPr>
      </w:pPr>
      <w:r w:rsidRPr="00E70BF7">
        <w:rPr>
          <w:rStyle w:val="Strong"/>
          <w:rFonts w:ascii="Arial" w:hAnsi="Arial" w:cs="Arial"/>
          <w:color w:val="1D2125"/>
          <w:sz w:val="28"/>
          <w:szCs w:val="28"/>
        </w:rPr>
        <w:t>Subject Title: Electronic Health Records</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sdt>
      <w:sdtPr>
        <w:rPr>
          <w:rFonts w:ascii="Aptos" w:eastAsia="Aptos" w:hAnsi="Aptos" w:cs="Times New Roman"/>
          <w:color w:val="auto"/>
          <w:kern w:val="2"/>
          <w:sz w:val="24"/>
          <w:szCs w:val="24"/>
          <w:lang w:eastAsia="en-US"/>
        </w:rPr>
        <w:id w:val="-1818035266"/>
        <w:docPartObj>
          <w:docPartGallery w:val="Table of Contents"/>
          <w:docPartUnique/>
        </w:docPartObj>
      </w:sdtPr>
      <w:sdtEndPr>
        <w:rPr>
          <w:b/>
          <w:bCs/>
        </w:rPr>
      </w:sdtEndPr>
      <w:sdtContent>
        <w:p w14:paraId="33715395" w14:textId="235332D1" w:rsidR="00DE6462" w:rsidRDefault="00DE6462">
          <w:pPr>
            <w:pStyle w:val="TOCHeading"/>
          </w:pPr>
          <w:r>
            <w:t>Contents</w:t>
          </w:r>
        </w:p>
        <w:p w14:paraId="57D12727" w14:textId="6E78CFD8" w:rsidR="000348C6" w:rsidRDefault="00DE6462">
          <w:pPr>
            <w:pStyle w:val="TOC1"/>
            <w:tabs>
              <w:tab w:val="right" w:leader="dot" w:pos="9016"/>
            </w:tabs>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35393802" w:history="1">
            <w:r w:rsidR="000348C6" w:rsidRPr="00F54213">
              <w:rPr>
                <w:rStyle w:val="Hyperlink"/>
                <w:noProof/>
              </w:rPr>
              <w:t>Chapter 1: Introduction</w:t>
            </w:r>
            <w:r w:rsidR="000348C6">
              <w:rPr>
                <w:noProof/>
                <w:webHidden/>
              </w:rPr>
              <w:tab/>
            </w:r>
            <w:r w:rsidR="000348C6">
              <w:rPr>
                <w:noProof/>
                <w:webHidden/>
              </w:rPr>
              <w:fldChar w:fldCharType="begin"/>
            </w:r>
            <w:r w:rsidR="000348C6">
              <w:rPr>
                <w:noProof/>
                <w:webHidden/>
              </w:rPr>
              <w:instrText xml:space="preserve"> PAGEREF _Toc235393802 \h </w:instrText>
            </w:r>
            <w:r w:rsidR="000348C6">
              <w:rPr>
                <w:noProof/>
                <w:webHidden/>
              </w:rPr>
            </w:r>
            <w:r w:rsidR="000348C6">
              <w:rPr>
                <w:noProof/>
                <w:webHidden/>
              </w:rPr>
              <w:fldChar w:fldCharType="separate"/>
            </w:r>
            <w:r w:rsidR="000348C6">
              <w:rPr>
                <w:noProof/>
                <w:webHidden/>
              </w:rPr>
              <w:t>3</w:t>
            </w:r>
            <w:r w:rsidR="000348C6">
              <w:rPr>
                <w:noProof/>
                <w:webHidden/>
              </w:rPr>
              <w:fldChar w:fldCharType="end"/>
            </w:r>
          </w:hyperlink>
        </w:p>
        <w:p w14:paraId="0DD7F0DE" w14:textId="12E7A065" w:rsidR="000348C6" w:rsidRDefault="000348C6">
          <w:pPr>
            <w:pStyle w:val="TOC1"/>
            <w:tabs>
              <w:tab w:val="right" w:leader="dot" w:pos="9016"/>
            </w:tabs>
            <w:rPr>
              <w:rFonts w:asciiTheme="minorHAnsi" w:eastAsiaTheme="minorEastAsia" w:hAnsiTheme="minorHAnsi" w:cstheme="minorBidi"/>
              <w:noProof/>
              <w:lang w:eastAsia="en-GB"/>
              <w14:ligatures w14:val="standardContextual"/>
            </w:rPr>
          </w:pPr>
          <w:hyperlink w:anchor="_Toc235393803" w:history="1">
            <w:r w:rsidRPr="00F54213">
              <w:rPr>
                <w:rStyle w:val="Hyperlink"/>
                <w:noProof/>
              </w:rPr>
              <w:t>Chapter 2: Impact on the workforce</w:t>
            </w:r>
            <w:r>
              <w:rPr>
                <w:noProof/>
                <w:webHidden/>
              </w:rPr>
              <w:tab/>
            </w:r>
            <w:r>
              <w:rPr>
                <w:noProof/>
                <w:webHidden/>
              </w:rPr>
              <w:fldChar w:fldCharType="begin"/>
            </w:r>
            <w:r>
              <w:rPr>
                <w:noProof/>
                <w:webHidden/>
              </w:rPr>
              <w:instrText xml:space="preserve"> PAGEREF _Toc235393803 \h </w:instrText>
            </w:r>
            <w:r>
              <w:rPr>
                <w:noProof/>
                <w:webHidden/>
              </w:rPr>
            </w:r>
            <w:r>
              <w:rPr>
                <w:noProof/>
                <w:webHidden/>
              </w:rPr>
              <w:fldChar w:fldCharType="separate"/>
            </w:r>
            <w:r>
              <w:rPr>
                <w:noProof/>
                <w:webHidden/>
              </w:rPr>
              <w:t>4</w:t>
            </w:r>
            <w:r>
              <w:rPr>
                <w:noProof/>
                <w:webHidden/>
              </w:rPr>
              <w:fldChar w:fldCharType="end"/>
            </w:r>
          </w:hyperlink>
        </w:p>
        <w:p w14:paraId="30402521" w14:textId="4D611345" w:rsidR="000348C6" w:rsidRDefault="000348C6">
          <w:pPr>
            <w:pStyle w:val="TOC1"/>
            <w:tabs>
              <w:tab w:val="right" w:leader="dot" w:pos="9016"/>
            </w:tabs>
            <w:rPr>
              <w:rFonts w:asciiTheme="minorHAnsi" w:eastAsiaTheme="minorEastAsia" w:hAnsiTheme="minorHAnsi" w:cstheme="minorBidi"/>
              <w:noProof/>
              <w:lang w:eastAsia="en-GB"/>
              <w14:ligatures w14:val="standardContextual"/>
            </w:rPr>
          </w:pPr>
          <w:hyperlink w:anchor="_Toc235393804" w:history="1">
            <w:r w:rsidRPr="00F54213">
              <w:rPr>
                <w:rStyle w:val="Hyperlink"/>
                <w:noProof/>
              </w:rPr>
              <w:t>Chapter 3: Impact on service delivery</w:t>
            </w:r>
            <w:r>
              <w:rPr>
                <w:noProof/>
                <w:webHidden/>
              </w:rPr>
              <w:tab/>
            </w:r>
            <w:r>
              <w:rPr>
                <w:noProof/>
                <w:webHidden/>
              </w:rPr>
              <w:fldChar w:fldCharType="begin"/>
            </w:r>
            <w:r>
              <w:rPr>
                <w:noProof/>
                <w:webHidden/>
              </w:rPr>
              <w:instrText xml:space="preserve"> PAGEREF _Toc235393804 \h </w:instrText>
            </w:r>
            <w:r>
              <w:rPr>
                <w:noProof/>
                <w:webHidden/>
              </w:rPr>
            </w:r>
            <w:r>
              <w:rPr>
                <w:noProof/>
                <w:webHidden/>
              </w:rPr>
              <w:fldChar w:fldCharType="separate"/>
            </w:r>
            <w:r>
              <w:rPr>
                <w:noProof/>
                <w:webHidden/>
              </w:rPr>
              <w:t>6</w:t>
            </w:r>
            <w:r>
              <w:rPr>
                <w:noProof/>
                <w:webHidden/>
              </w:rPr>
              <w:fldChar w:fldCharType="end"/>
            </w:r>
          </w:hyperlink>
        </w:p>
        <w:p w14:paraId="27DD2A79" w14:textId="7C851641" w:rsidR="000348C6" w:rsidRDefault="000348C6">
          <w:pPr>
            <w:pStyle w:val="TOC1"/>
            <w:tabs>
              <w:tab w:val="right" w:leader="dot" w:pos="9016"/>
            </w:tabs>
            <w:rPr>
              <w:rFonts w:asciiTheme="minorHAnsi" w:eastAsiaTheme="minorEastAsia" w:hAnsiTheme="minorHAnsi" w:cstheme="minorBidi"/>
              <w:noProof/>
              <w:lang w:eastAsia="en-GB"/>
              <w14:ligatures w14:val="standardContextual"/>
            </w:rPr>
          </w:pPr>
          <w:hyperlink w:anchor="_Toc235393805" w:history="1">
            <w:r w:rsidRPr="00F54213">
              <w:rPr>
                <w:rStyle w:val="Hyperlink"/>
                <w:noProof/>
              </w:rPr>
              <w:t>Chapter 4: Impact on patients</w:t>
            </w:r>
            <w:r>
              <w:rPr>
                <w:noProof/>
                <w:webHidden/>
              </w:rPr>
              <w:tab/>
            </w:r>
            <w:r>
              <w:rPr>
                <w:noProof/>
                <w:webHidden/>
              </w:rPr>
              <w:fldChar w:fldCharType="begin"/>
            </w:r>
            <w:r>
              <w:rPr>
                <w:noProof/>
                <w:webHidden/>
              </w:rPr>
              <w:instrText xml:space="preserve"> PAGEREF _Toc235393805 \h </w:instrText>
            </w:r>
            <w:r>
              <w:rPr>
                <w:noProof/>
                <w:webHidden/>
              </w:rPr>
            </w:r>
            <w:r>
              <w:rPr>
                <w:noProof/>
                <w:webHidden/>
              </w:rPr>
              <w:fldChar w:fldCharType="separate"/>
            </w:r>
            <w:r>
              <w:rPr>
                <w:noProof/>
                <w:webHidden/>
              </w:rPr>
              <w:t>7</w:t>
            </w:r>
            <w:r>
              <w:rPr>
                <w:noProof/>
                <w:webHidden/>
              </w:rPr>
              <w:fldChar w:fldCharType="end"/>
            </w:r>
          </w:hyperlink>
        </w:p>
        <w:p w14:paraId="6AB3225F" w14:textId="3EBB1AD2" w:rsidR="000348C6" w:rsidRDefault="000348C6">
          <w:pPr>
            <w:pStyle w:val="TOC1"/>
            <w:tabs>
              <w:tab w:val="right" w:leader="dot" w:pos="9016"/>
            </w:tabs>
            <w:rPr>
              <w:rFonts w:asciiTheme="minorHAnsi" w:eastAsiaTheme="minorEastAsia" w:hAnsiTheme="minorHAnsi" w:cstheme="minorBidi"/>
              <w:noProof/>
              <w:lang w:eastAsia="en-GB"/>
              <w14:ligatures w14:val="standardContextual"/>
            </w:rPr>
          </w:pPr>
          <w:hyperlink w:anchor="_Toc235393806" w:history="1">
            <w:r w:rsidRPr="00F54213">
              <w:rPr>
                <w:rStyle w:val="Hyperlink"/>
                <w:noProof/>
              </w:rPr>
              <w:t>Chapter 5: Impact on the community</w:t>
            </w:r>
            <w:r>
              <w:rPr>
                <w:noProof/>
                <w:webHidden/>
              </w:rPr>
              <w:tab/>
            </w:r>
            <w:r>
              <w:rPr>
                <w:noProof/>
                <w:webHidden/>
              </w:rPr>
              <w:fldChar w:fldCharType="begin"/>
            </w:r>
            <w:r>
              <w:rPr>
                <w:noProof/>
                <w:webHidden/>
              </w:rPr>
              <w:instrText xml:space="preserve"> PAGEREF _Toc235393806 \h </w:instrText>
            </w:r>
            <w:r>
              <w:rPr>
                <w:noProof/>
                <w:webHidden/>
              </w:rPr>
            </w:r>
            <w:r>
              <w:rPr>
                <w:noProof/>
                <w:webHidden/>
              </w:rPr>
              <w:fldChar w:fldCharType="separate"/>
            </w:r>
            <w:r>
              <w:rPr>
                <w:noProof/>
                <w:webHidden/>
              </w:rPr>
              <w:t>8</w:t>
            </w:r>
            <w:r>
              <w:rPr>
                <w:noProof/>
                <w:webHidden/>
              </w:rPr>
              <w:fldChar w:fldCharType="end"/>
            </w:r>
          </w:hyperlink>
        </w:p>
        <w:p w14:paraId="753A7C1D" w14:textId="53F8BF9F" w:rsidR="000348C6" w:rsidRDefault="000348C6">
          <w:pPr>
            <w:pStyle w:val="TOC1"/>
            <w:tabs>
              <w:tab w:val="right" w:leader="dot" w:pos="9016"/>
            </w:tabs>
            <w:rPr>
              <w:rFonts w:asciiTheme="minorHAnsi" w:eastAsiaTheme="minorEastAsia" w:hAnsiTheme="minorHAnsi" w:cstheme="minorBidi"/>
              <w:noProof/>
              <w:lang w:eastAsia="en-GB"/>
              <w14:ligatures w14:val="standardContextual"/>
            </w:rPr>
          </w:pPr>
          <w:hyperlink w:anchor="_Toc235393807" w:history="1">
            <w:r w:rsidRPr="00F54213">
              <w:rPr>
                <w:rStyle w:val="Hyperlink"/>
                <w:noProof/>
              </w:rPr>
              <w:t>Chapter 6: Conclusion</w:t>
            </w:r>
            <w:r>
              <w:rPr>
                <w:noProof/>
                <w:webHidden/>
              </w:rPr>
              <w:tab/>
            </w:r>
            <w:r>
              <w:rPr>
                <w:noProof/>
                <w:webHidden/>
              </w:rPr>
              <w:fldChar w:fldCharType="begin"/>
            </w:r>
            <w:r>
              <w:rPr>
                <w:noProof/>
                <w:webHidden/>
              </w:rPr>
              <w:instrText xml:space="preserve"> PAGEREF _Toc235393807 \h </w:instrText>
            </w:r>
            <w:r>
              <w:rPr>
                <w:noProof/>
                <w:webHidden/>
              </w:rPr>
            </w:r>
            <w:r>
              <w:rPr>
                <w:noProof/>
                <w:webHidden/>
              </w:rPr>
              <w:fldChar w:fldCharType="separate"/>
            </w:r>
            <w:r>
              <w:rPr>
                <w:noProof/>
                <w:webHidden/>
              </w:rPr>
              <w:t>9</w:t>
            </w:r>
            <w:r>
              <w:rPr>
                <w:noProof/>
                <w:webHidden/>
              </w:rPr>
              <w:fldChar w:fldCharType="end"/>
            </w:r>
          </w:hyperlink>
        </w:p>
        <w:p w14:paraId="5FB84A10" w14:textId="7E810996" w:rsidR="000348C6" w:rsidRDefault="000348C6">
          <w:pPr>
            <w:pStyle w:val="TOC1"/>
            <w:tabs>
              <w:tab w:val="right" w:leader="dot" w:pos="9016"/>
            </w:tabs>
            <w:rPr>
              <w:rFonts w:asciiTheme="minorHAnsi" w:eastAsiaTheme="minorEastAsia" w:hAnsiTheme="minorHAnsi" w:cstheme="minorBidi"/>
              <w:noProof/>
              <w:lang w:eastAsia="en-GB"/>
              <w14:ligatures w14:val="standardContextual"/>
            </w:rPr>
          </w:pPr>
          <w:hyperlink w:anchor="_Toc235393808" w:history="1">
            <w:r w:rsidRPr="00F54213">
              <w:rPr>
                <w:rStyle w:val="Hyperlink"/>
                <w:noProof/>
              </w:rPr>
              <w:t>Chapter 7: References</w:t>
            </w:r>
            <w:r>
              <w:rPr>
                <w:noProof/>
                <w:webHidden/>
              </w:rPr>
              <w:tab/>
            </w:r>
            <w:r>
              <w:rPr>
                <w:noProof/>
                <w:webHidden/>
              </w:rPr>
              <w:fldChar w:fldCharType="begin"/>
            </w:r>
            <w:r>
              <w:rPr>
                <w:noProof/>
                <w:webHidden/>
              </w:rPr>
              <w:instrText xml:space="preserve"> PAGEREF _Toc235393808 \h </w:instrText>
            </w:r>
            <w:r>
              <w:rPr>
                <w:noProof/>
                <w:webHidden/>
              </w:rPr>
            </w:r>
            <w:r>
              <w:rPr>
                <w:noProof/>
                <w:webHidden/>
              </w:rPr>
              <w:fldChar w:fldCharType="separate"/>
            </w:r>
            <w:r>
              <w:rPr>
                <w:noProof/>
                <w:webHidden/>
              </w:rPr>
              <w:t>10</w:t>
            </w:r>
            <w:r>
              <w:rPr>
                <w:noProof/>
                <w:webHidden/>
              </w:rPr>
              <w:fldChar w:fldCharType="end"/>
            </w:r>
          </w:hyperlink>
        </w:p>
        <w:p w14:paraId="1DA0539F" w14:textId="3BFE2673" w:rsidR="00DE6462" w:rsidRDefault="00DE6462">
          <w:r>
            <w:rPr>
              <w:b/>
              <w:bCs/>
            </w:rPr>
            <w:fldChar w:fldCharType="end"/>
          </w:r>
        </w:p>
      </w:sdtContent>
    </w:sdt>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5CCEFBC3" w14:textId="77777777" w:rsidR="008375B5" w:rsidRDefault="008375B5" w:rsidP="008375B5">
      <w:pPr>
        <w:pStyle w:val="NormalWeb"/>
        <w:spacing w:line="360" w:lineRule="auto"/>
        <w:rPr>
          <w:rFonts w:ascii="Arial" w:hAnsi="Arial" w:cs="Arial"/>
          <w:b/>
          <w:bCs/>
          <w:color w:val="000000"/>
        </w:rPr>
      </w:pPr>
    </w:p>
    <w:p w14:paraId="0B9D62CD" w14:textId="77777777" w:rsidR="008375B5" w:rsidRDefault="008375B5" w:rsidP="008375B5">
      <w:pPr>
        <w:pStyle w:val="NormalWeb"/>
        <w:spacing w:line="360" w:lineRule="auto"/>
        <w:rPr>
          <w:rFonts w:ascii="Arial" w:hAnsi="Arial" w:cs="Arial"/>
          <w:b/>
          <w:bCs/>
          <w:color w:val="000000"/>
        </w:rPr>
      </w:pPr>
    </w:p>
    <w:p w14:paraId="2FE408B9" w14:textId="77777777" w:rsidR="008375B5" w:rsidRDefault="008375B5" w:rsidP="008375B5">
      <w:pPr>
        <w:pStyle w:val="NormalWeb"/>
        <w:spacing w:line="360" w:lineRule="auto"/>
        <w:rPr>
          <w:rFonts w:ascii="Arial" w:hAnsi="Arial" w:cs="Arial"/>
          <w:b/>
          <w:bCs/>
          <w:color w:val="000000"/>
        </w:rPr>
      </w:pPr>
    </w:p>
    <w:p w14:paraId="5A2F682A" w14:textId="77777777" w:rsidR="008375B5" w:rsidRDefault="008375B5" w:rsidP="008375B5">
      <w:pPr>
        <w:pStyle w:val="NormalWeb"/>
        <w:spacing w:line="360" w:lineRule="auto"/>
        <w:rPr>
          <w:rFonts w:ascii="Arial" w:hAnsi="Arial" w:cs="Arial"/>
          <w:b/>
          <w:bCs/>
          <w:color w:val="000000"/>
        </w:rPr>
      </w:pPr>
    </w:p>
    <w:p w14:paraId="67BBED9F"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6D010FBC" w14:textId="23E69E9B" w:rsidR="00A9474F" w:rsidRDefault="007F6775" w:rsidP="00DE6462">
      <w:pPr>
        <w:pStyle w:val="Heading1"/>
      </w:pPr>
      <w:bookmarkStart w:id="0" w:name="_Toc235393802"/>
      <w:r>
        <w:t xml:space="preserve">Chapter </w:t>
      </w:r>
      <w:r w:rsidR="008C4EC7">
        <w:t>1:</w:t>
      </w:r>
      <w:r w:rsidR="008C4EC7" w:rsidRPr="008375B5">
        <w:t xml:space="preserve"> Introduction</w:t>
      </w:r>
      <w:bookmarkEnd w:id="0"/>
      <w:r w:rsidR="00A9474F" w:rsidRPr="008375B5">
        <w:t> </w:t>
      </w:r>
    </w:p>
    <w:p w14:paraId="1D82F707" w14:textId="17BBD0DF" w:rsidR="0069018D" w:rsidRPr="007F6775" w:rsidRDefault="0069018D" w:rsidP="007F6775">
      <w:pPr>
        <w:spacing w:line="360" w:lineRule="auto"/>
        <w:rPr>
          <w:rFonts w:ascii="Arial" w:hAnsi="Arial" w:cs="Arial"/>
          <w:sz w:val="22"/>
          <w:szCs w:val="22"/>
        </w:rPr>
      </w:pPr>
      <w:r w:rsidRPr="007F6775">
        <w:rPr>
          <w:rFonts w:ascii="Arial" w:hAnsi="Arial" w:cs="Arial"/>
          <w:sz w:val="22"/>
          <w:szCs w:val="22"/>
        </w:rPr>
        <w:t>Over the past decade, digital transformation has significantly reshaped health and social care, influencing service demands, workforce pressures, and the drive toward more integrated, person</w:t>
      </w:r>
      <w:r w:rsidRPr="007F6775">
        <w:rPr>
          <w:rFonts w:ascii="Arial" w:hAnsi="Arial" w:cs="Arial"/>
          <w:sz w:val="22"/>
          <w:szCs w:val="22"/>
        </w:rPr>
        <w:noBreakHyphen/>
        <w:t>centred care.</w:t>
      </w:r>
      <w:r w:rsidR="000039BA">
        <w:rPr>
          <w:rFonts w:ascii="Arial" w:hAnsi="Arial" w:cs="Arial"/>
          <w:sz w:val="22"/>
          <w:szCs w:val="22"/>
        </w:rPr>
        <w:t xml:space="preserve"> </w:t>
      </w:r>
      <w:r w:rsidR="000039BA" w:rsidRPr="000039BA">
        <w:rPr>
          <w:rFonts w:ascii="Arial" w:hAnsi="Arial" w:cs="Arial"/>
          <w:sz w:val="22"/>
          <w:szCs w:val="22"/>
        </w:rPr>
        <w:t>One of the breakthroughs in this transition has been the broad embrace of Electronic Health Records (EHRs),</w:t>
      </w:r>
      <w:r w:rsidRPr="007F6775">
        <w:rPr>
          <w:rFonts w:ascii="Arial" w:hAnsi="Arial" w:cs="Arial"/>
          <w:sz w:val="22"/>
          <w:szCs w:val="22"/>
        </w:rPr>
        <w:t xml:space="preserve"> </w:t>
      </w:r>
      <w:r w:rsidR="000039BA">
        <w:rPr>
          <w:rFonts w:ascii="Arial" w:hAnsi="Arial" w:cs="Arial"/>
          <w:sz w:val="22"/>
          <w:szCs w:val="22"/>
        </w:rPr>
        <w:t xml:space="preserve">which </w:t>
      </w:r>
      <w:r w:rsidRPr="007F6775">
        <w:rPr>
          <w:rFonts w:ascii="Arial" w:hAnsi="Arial" w:cs="Arial"/>
          <w:sz w:val="22"/>
          <w:szCs w:val="22"/>
        </w:rPr>
        <w:t>represent a digital evolution of traditional paper-based patient records. Modern EHR systems—such as EMIS Web, Cerner Millennium and Epic—provide secure, real</w:t>
      </w:r>
      <w:r w:rsidRPr="007F6775">
        <w:rPr>
          <w:rFonts w:ascii="Arial" w:hAnsi="Arial" w:cs="Arial"/>
          <w:sz w:val="22"/>
          <w:szCs w:val="22"/>
        </w:rPr>
        <w:noBreakHyphen/>
        <w:t>time access to patient information across multidisciplinary teams and care settings, supporting continuity, safety and efficiency (</w:t>
      </w:r>
      <w:r w:rsidRPr="007F6775">
        <w:rPr>
          <w:rFonts w:ascii="Arial" w:hAnsi="Arial" w:cs="Arial"/>
          <w:b/>
          <w:bCs/>
          <w:sz w:val="22"/>
          <w:szCs w:val="22"/>
        </w:rPr>
        <w:t>Bloom </w:t>
      </w:r>
      <w:r w:rsidRPr="007F6775">
        <w:rPr>
          <w:rFonts w:ascii="Arial" w:hAnsi="Arial" w:cs="Arial"/>
          <w:b/>
          <w:bCs/>
          <w:i/>
          <w:iCs/>
          <w:sz w:val="22"/>
          <w:szCs w:val="22"/>
        </w:rPr>
        <w:t>et al.,</w:t>
      </w:r>
      <w:r w:rsidRPr="007F6775">
        <w:rPr>
          <w:rFonts w:ascii="Arial" w:hAnsi="Arial" w:cs="Arial"/>
          <w:b/>
          <w:bCs/>
          <w:sz w:val="22"/>
          <w:szCs w:val="22"/>
        </w:rPr>
        <w:t> 2021).</w:t>
      </w:r>
      <w:r w:rsidRPr="007F6775">
        <w:rPr>
          <w:rFonts w:ascii="Arial" w:hAnsi="Arial" w:cs="Arial"/>
          <w:sz w:val="22"/>
          <w:szCs w:val="22"/>
        </w:rPr>
        <w:t xml:space="preserve"> </w:t>
      </w:r>
    </w:p>
    <w:p w14:paraId="444B8E0D" w14:textId="77777777" w:rsidR="0069018D" w:rsidRPr="007F6775" w:rsidRDefault="0069018D" w:rsidP="007F6775">
      <w:pPr>
        <w:spacing w:line="360" w:lineRule="auto"/>
        <w:rPr>
          <w:rFonts w:ascii="Arial" w:hAnsi="Arial" w:cs="Arial"/>
          <w:sz w:val="22"/>
          <w:szCs w:val="22"/>
        </w:rPr>
      </w:pPr>
      <w:r w:rsidRPr="007F6775">
        <w:rPr>
          <w:rFonts w:ascii="Arial" w:hAnsi="Arial" w:cs="Arial"/>
          <w:sz w:val="22"/>
          <w:szCs w:val="22"/>
        </w:rPr>
        <w:t>EHRs have progressed from basic digital storage tools to sophisticated, interconnected platforms capable of real</w:t>
      </w:r>
      <w:r w:rsidRPr="007F6775">
        <w:rPr>
          <w:rFonts w:ascii="Arial" w:hAnsi="Arial" w:cs="Arial"/>
          <w:sz w:val="22"/>
          <w:szCs w:val="22"/>
        </w:rPr>
        <w:noBreakHyphen/>
        <w:t>time data sharing across institutions and, increasingly, across national borders. Their primary aim is to enhance care coordination, streamline clinical processes, and strengthen patient</w:t>
      </w:r>
      <w:r w:rsidRPr="007F6775">
        <w:rPr>
          <w:rFonts w:ascii="Arial" w:hAnsi="Arial" w:cs="Arial"/>
          <w:sz w:val="22"/>
          <w:szCs w:val="22"/>
        </w:rPr>
        <w:noBreakHyphen/>
        <w:t>centred care through immediate access to essential clinical information and decision</w:t>
      </w:r>
      <w:r w:rsidRPr="007F6775">
        <w:rPr>
          <w:rFonts w:ascii="Arial" w:hAnsi="Arial" w:cs="Arial"/>
          <w:sz w:val="22"/>
          <w:szCs w:val="22"/>
        </w:rPr>
        <w:noBreakHyphen/>
        <w:t>support tools. Despite these ambitions, EHR implementation has often been hindered by usability challenges, workflow misalignment and persistent interoperability gaps (</w:t>
      </w:r>
      <w:proofErr w:type="spellStart"/>
      <w:r w:rsidRPr="007F6775">
        <w:rPr>
          <w:rFonts w:ascii="Arial" w:hAnsi="Arial" w:cs="Arial"/>
          <w:sz w:val="22"/>
          <w:szCs w:val="22"/>
        </w:rPr>
        <w:t>Olakotan</w:t>
      </w:r>
      <w:proofErr w:type="spellEnd"/>
      <w:r w:rsidRPr="007F6775">
        <w:rPr>
          <w:rFonts w:ascii="Arial" w:hAnsi="Arial" w:cs="Arial"/>
          <w:b/>
          <w:bCs/>
          <w:sz w:val="22"/>
          <w:szCs w:val="22"/>
        </w:rPr>
        <w:t xml:space="preserve"> </w:t>
      </w:r>
      <w:r w:rsidRPr="007F6775">
        <w:rPr>
          <w:rFonts w:ascii="Arial" w:hAnsi="Arial" w:cs="Arial"/>
          <w:b/>
          <w:bCs/>
          <w:i/>
          <w:iCs/>
          <w:sz w:val="22"/>
          <w:szCs w:val="22"/>
        </w:rPr>
        <w:t>et al.,</w:t>
      </w:r>
      <w:r w:rsidRPr="007F6775">
        <w:rPr>
          <w:rFonts w:ascii="Arial" w:hAnsi="Arial" w:cs="Arial"/>
          <w:b/>
          <w:bCs/>
          <w:sz w:val="22"/>
          <w:szCs w:val="22"/>
        </w:rPr>
        <w:t xml:space="preserve">2025) </w:t>
      </w:r>
    </w:p>
    <w:p w14:paraId="232BD2C5" w14:textId="550A8CA3" w:rsidR="00C80D0F" w:rsidRPr="007F6775" w:rsidRDefault="0069018D" w:rsidP="007F6775">
      <w:pPr>
        <w:spacing w:line="360" w:lineRule="auto"/>
        <w:rPr>
          <w:rFonts w:ascii="Arial" w:hAnsi="Arial" w:cs="Arial"/>
          <w:sz w:val="22"/>
          <w:szCs w:val="22"/>
        </w:rPr>
      </w:pPr>
      <w:r w:rsidRPr="007F6775">
        <w:rPr>
          <w:rFonts w:ascii="Arial" w:hAnsi="Arial" w:cs="Arial"/>
          <w:sz w:val="22"/>
          <w:szCs w:val="22"/>
        </w:rPr>
        <w:t>Recent innovations—including agile design principles, user</w:t>
      </w:r>
      <w:r w:rsidRPr="007F6775">
        <w:rPr>
          <w:rFonts w:ascii="Arial" w:hAnsi="Arial" w:cs="Arial"/>
          <w:sz w:val="22"/>
          <w:szCs w:val="22"/>
        </w:rPr>
        <w:noBreakHyphen/>
        <w:t>centred development approaches, and emerging technologies such as artificial intelligence, mobile health and blockchain—are helping to address these limitations and improve system integration, clinician experience and data quality (</w:t>
      </w:r>
      <w:r w:rsidRPr="007F6775">
        <w:rPr>
          <w:rFonts w:ascii="Arial" w:hAnsi="Arial" w:cs="Arial"/>
          <w:b/>
          <w:bCs/>
          <w:sz w:val="22"/>
          <w:szCs w:val="22"/>
        </w:rPr>
        <w:t xml:space="preserve">Symons </w:t>
      </w:r>
      <w:r w:rsidRPr="007F6775">
        <w:rPr>
          <w:rFonts w:ascii="Arial" w:hAnsi="Arial" w:cs="Arial"/>
          <w:b/>
          <w:bCs/>
          <w:i/>
          <w:iCs/>
          <w:sz w:val="22"/>
          <w:szCs w:val="22"/>
        </w:rPr>
        <w:t xml:space="preserve">et al., </w:t>
      </w:r>
      <w:r w:rsidRPr="007F6775">
        <w:rPr>
          <w:rFonts w:ascii="Arial" w:hAnsi="Arial" w:cs="Arial"/>
          <w:b/>
          <w:bCs/>
          <w:sz w:val="22"/>
          <w:szCs w:val="22"/>
        </w:rPr>
        <w:t>2019).</w:t>
      </w:r>
      <w:r w:rsidRPr="007F6775">
        <w:rPr>
          <w:rFonts w:ascii="Arial" w:hAnsi="Arial" w:cs="Arial"/>
          <w:sz w:val="22"/>
          <w:szCs w:val="22"/>
        </w:rPr>
        <w:t xml:space="preserve"> This report critically examines how EHR innovations are shaping the UK</w:t>
      </w:r>
      <w:r w:rsidR="00377057">
        <w:rPr>
          <w:rFonts w:ascii="Arial" w:hAnsi="Arial" w:cs="Arial"/>
          <w:sz w:val="22"/>
          <w:szCs w:val="22"/>
        </w:rPr>
        <w:t>.</w:t>
      </w:r>
    </w:p>
    <w:p w14:paraId="6341855D" w14:textId="42AFB1AD" w:rsidR="00C80D0F" w:rsidRPr="00254F18" w:rsidRDefault="00254F18" w:rsidP="00DE6462">
      <w:pPr>
        <w:pStyle w:val="Heading1"/>
      </w:pPr>
      <w:bookmarkStart w:id="1" w:name="_Toc235393803"/>
      <w:r w:rsidRPr="00254F18">
        <w:lastRenderedPageBreak/>
        <w:t xml:space="preserve">Chapter 2: </w:t>
      </w:r>
      <w:r w:rsidR="00C80D0F" w:rsidRPr="00254F18">
        <w:t xml:space="preserve">Impact on </w:t>
      </w:r>
      <w:r w:rsidR="0069018D" w:rsidRPr="00254F18">
        <w:t>the workforce</w:t>
      </w:r>
      <w:bookmarkEnd w:id="1"/>
      <w:r w:rsidR="00C80D0F" w:rsidRPr="00254F18">
        <w:t xml:space="preserve"> </w:t>
      </w:r>
    </w:p>
    <w:p w14:paraId="502A389D" w14:textId="77777777" w:rsidR="0069018D" w:rsidRPr="007F6775" w:rsidRDefault="0069018D" w:rsidP="007F6775">
      <w:pPr>
        <w:spacing w:line="360" w:lineRule="auto"/>
        <w:rPr>
          <w:rFonts w:ascii="Arial" w:hAnsi="Arial" w:cs="Arial"/>
          <w:b/>
          <w:bCs/>
          <w:sz w:val="22"/>
          <w:szCs w:val="22"/>
        </w:rPr>
      </w:pPr>
      <w:r w:rsidRPr="007F6775">
        <w:rPr>
          <w:rFonts w:ascii="Arial" w:hAnsi="Arial" w:cs="Arial"/>
          <w:b/>
          <w:bCs/>
          <w:sz w:val="22"/>
          <w:szCs w:val="22"/>
        </w:rPr>
        <w:t>Innovations in Electronic Health Records (EHRs) are transforming the roles, skills, and expectations of the workforce in health and social care. Moving from paper-based documentation to digital systems requires staff to acquire new skills in data entry, system navigation, and information governance (</w:t>
      </w:r>
      <w:r w:rsidRPr="007F6775">
        <w:rPr>
          <w:rFonts w:ascii="Arial" w:hAnsi="Arial" w:cs="Arial"/>
          <w:sz w:val="22"/>
          <w:szCs w:val="22"/>
        </w:rPr>
        <w:t>Hebden </w:t>
      </w:r>
      <w:r w:rsidRPr="007F6775">
        <w:rPr>
          <w:rFonts w:ascii="Arial" w:hAnsi="Arial" w:cs="Arial"/>
          <w:i/>
          <w:iCs/>
          <w:sz w:val="22"/>
          <w:szCs w:val="22"/>
        </w:rPr>
        <w:t>et al.</w:t>
      </w:r>
      <w:r w:rsidRPr="007F6775">
        <w:rPr>
          <w:rFonts w:ascii="Arial" w:hAnsi="Arial" w:cs="Arial"/>
          <w:sz w:val="22"/>
          <w:szCs w:val="22"/>
        </w:rPr>
        <w:t> 2025)</w:t>
      </w:r>
      <w:r w:rsidRPr="007F6775">
        <w:rPr>
          <w:rFonts w:ascii="Arial" w:hAnsi="Arial" w:cs="Arial"/>
          <w:b/>
          <w:bCs/>
          <w:sz w:val="22"/>
          <w:szCs w:val="22"/>
        </w:rPr>
        <w:t>. This change has significantly impacted daily routines, with nurses, healthcare assistants, social workers, and allied health professionals increasingly depending on digital platforms to log observations, update care plans, and collaborate with multidisciplinary teams. The rollout of EHRs has also given rise to new roles focused on digital expertise, such as digital nurse champions, clinical informatics specialists, digital transformation leads, and EHR “super users.” These positions are crucial for assisting staff, resolving system issues, and integrating digital practices into everyday care (Bennion </w:t>
      </w:r>
      <w:r w:rsidRPr="007F6775">
        <w:rPr>
          <w:rFonts w:ascii="Arial" w:hAnsi="Arial" w:cs="Arial"/>
          <w:b/>
          <w:bCs/>
          <w:i/>
          <w:iCs/>
          <w:sz w:val="22"/>
          <w:szCs w:val="22"/>
        </w:rPr>
        <w:t>et al.,</w:t>
      </w:r>
      <w:r w:rsidRPr="007F6775">
        <w:rPr>
          <w:rFonts w:ascii="Arial" w:hAnsi="Arial" w:cs="Arial"/>
          <w:b/>
          <w:bCs/>
          <w:sz w:val="22"/>
          <w:szCs w:val="22"/>
        </w:rPr>
        <w:t> 2025). As NHS England (2023) points out, being digitally competent is now a fundamental requirement for safe and effective practice, leading organisations to invest in e-learning modules, simulation-based training, and peer-supported learning. However, challenges persist. Some staff—especially older employees or those with limited digital experience—report feelings of anxiety, decreased confidence, and struggles in adapting to new systems, which can create disparities in performance and reliance on colleagues who are more digitally skilled.</w:t>
      </w:r>
    </w:p>
    <w:p w14:paraId="7ECAD08C" w14:textId="77777777" w:rsidR="0069018D" w:rsidRPr="007F6775" w:rsidRDefault="0069018D" w:rsidP="007F6775">
      <w:pPr>
        <w:spacing w:line="360" w:lineRule="auto"/>
        <w:rPr>
          <w:rFonts w:ascii="Arial" w:hAnsi="Arial" w:cs="Arial"/>
          <w:b/>
          <w:bCs/>
          <w:sz w:val="22"/>
          <w:szCs w:val="22"/>
        </w:rPr>
      </w:pPr>
      <w:r w:rsidRPr="007F6775">
        <w:rPr>
          <w:rFonts w:ascii="Arial" w:hAnsi="Arial" w:cs="Arial"/>
          <w:b/>
          <w:bCs/>
          <w:sz w:val="22"/>
          <w:szCs w:val="22"/>
        </w:rPr>
        <w:t>Innovations like mobile documentation apps, automated alerts for unusual test results, and safety dashboards are making a real difference by cutting down the “click burden” that often comes with traditional EHR systems. These tools help streamline repetitive tasks, allowing clinicians to focus more on direct patient care, which can lead to greater job satisfaction and less burnout (Avendano</w:t>
      </w:r>
      <w:r w:rsidRPr="007F6775">
        <w:rPr>
          <w:rFonts w:ascii="Arial" w:hAnsi="Arial" w:cs="Arial"/>
          <w:b/>
          <w:bCs/>
          <w:i/>
          <w:iCs/>
          <w:sz w:val="22"/>
          <w:szCs w:val="22"/>
        </w:rPr>
        <w:t xml:space="preserve"> et al.</w:t>
      </w:r>
      <w:r w:rsidRPr="007F6775">
        <w:rPr>
          <w:rFonts w:ascii="Arial" w:hAnsi="Arial" w:cs="Arial"/>
          <w:b/>
          <w:bCs/>
          <w:sz w:val="22"/>
          <w:szCs w:val="22"/>
        </w:rPr>
        <w:t xml:space="preserve">,2022). Initiatives like the </w:t>
      </w:r>
      <w:proofErr w:type="spellStart"/>
      <w:r w:rsidRPr="007F6775">
        <w:rPr>
          <w:rFonts w:ascii="Arial" w:hAnsi="Arial" w:cs="Arial"/>
          <w:b/>
          <w:bCs/>
          <w:sz w:val="22"/>
          <w:szCs w:val="22"/>
        </w:rPr>
        <w:t>ReImagine</w:t>
      </w:r>
      <w:proofErr w:type="spellEnd"/>
      <w:r w:rsidRPr="007F6775">
        <w:rPr>
          <w:rFonts w:ascii="Arial" w:hAnsi="Arial" w:cs="Arial"/>
          <w:b/>
          <w:bCs/>
          <w:sz w:val="22"/>
          <w:szCs w:val="22"/>
        </w:rPr>
        <w:t xml:space="preserve"> EHR program at the University of Utah Health showcase how collaborative governance and user-centred design can create more intuitive systems that fit seamlessly into clinical workflows, easing the administrative load and boosting provider efficiency. That said, the impact on workload can be a bit of a mixed bag. While EHRs make it easier to access patient information quickly and provide real-time updates to medication charts, risk assessments, and care plans, poorly designed or sluggish systems can increase documentation time and lead to frustration. As EHRs integrate more advanced technologies such as artificial intelligence and predictive analytics, the workforce will need to adapt. Staff will have to learn how to interpret algorithmic outputs, validate digital recommendations, and ensure strong digital safety and governance. In summary, EHR innovations are </w:t>
      </w:r>
      <w:r w:rsidRPr="007F6775">
        <w:rPr>
          <w:rFonts w:ascii="Arial" w:hAnsi="Arial" w:cs="Arial"/>
          <w:b/>
          <w:bCs/>
          <w:sz w:val="22"/>
          <w:szCs w:val="22"/>
        </w:rPr>
        <w:lastRenderedPageBreak/>
        <w:t xml:space="preserve">reshaping workforce dynamics, efficiency and collaboration, but they also pose challenges related to training, digital literacy, and managing. (Robinson, J.A.,2018). </w:t>
      </w:r>
    </w:p>
    <w:p w14:paraId="17993B64" w14:textId="77777777" w:rsidR="0069018D" w:rsidRPr="007F6775" w:rsidRDefault="0069018D" w:rsidP="007F6775">
      <w:pPr>
        <w:spacing w:line="360" w:lineRule="auto"/>
        <w:rPr>
          <w:rFonts w:ascii="Arial" w:hAnsi="Arial" w:cs="Arial"/>
          <w:b/>
          <w:bCs/>
          <w:sz w:val="22"/>
          <w:szCs w:val="22"/>
        </w:rPr>
      </w:pPr>
      <w:r w:rsidRPr="007F6775">
        <w:rPr>
          <w:rFonts w:ascii="Arial" w:hAnsi="Arial" w:cs="Arial"/>
          <w:b/>
          <w:bCs/>
          <w:sz w:val="22"/>
          <w:szCs w:val="22"/>
        </w:rPr>
        <w:t>Innovations in Electronic Health Records (EHRs) are transforming the roles, skills, and expectations of the workforce in health and social care. Moving from paper-based documentation to digital systems requires staff to acquire new skills in data entry, system navigation, and information governance (</w:t>
      </w:r>
      <w:r w:rsidRPr="007F6775">
        <w:rPr>
          <w:rFonts w:ascii="Arial" w:hAnsi="Arial" w:cs="Arial"/>
          <w:sz w:val="22"/>
          <w:szCs w:val="22"/>
        </w:rPr>
        <w:t>Hebden </w:t>
      </w:r>
      <w:r w:rsidRPr="007F6775">
        <w:rPr>
          <w:rFonts w:ascii="Arial" w:hAnsi="Arial" w:cs="Arial"/>
          <w:i/>
          <w:iCs/>
          <w:sz w:val="22"/>
          <w:szCs w:val="22"/>
        </w:rPr>
        <w:t>et al.</w:t>
      </w:r>
      <w:r w:rsidRPr="007F6775">
        <w:rPr>
          <w:rFonts w:ascii="Arial" w:hAnsi="Arial" w:cs="Arial"/>
          <w:sz w:val="22"/>
          <w:szCs w:val="22"/>
        </w:rPr>
        <w:t> 2025)</w:t>
      </w:r>
      <w:r w:rsidRPr="007F6775">
        <w:rPr>
          <w:rFonts w:ascii="Arial" w:hAnsi="Arial" w:cs="Arial"/>
          <w:b/>
          <w:bCs/>
          <w:sz w:val="22"/>
          <w:szCs w:val="22"/>
        </w:rPr>
        <w:t>. This change has significantly impacted daily routines, with nurses, healthcare assistants, social workers, and allied health professionals increasingly depending on digital platforms to log observations, update care plans, and collaborate with multidisciplinary teams. The rollout of EHRs has also given rise to new roles focused on digital expertise, such as digital nurse champions, clinical informatics specialists, digital transformation leads, and EHR “super users.” These positions are crucial for assisting staff, resolving system issues, and integrating digital practices into everyday care (Bennion </w:t>
      </w:r>
      <w:r w:rsidRPr="007F6775">
        <w:rPr>
          <w:rFonts w:ascii="Arial" w:hAnsi="Arial" w:cs="Arial"/>
          <w:b/>
          <w:bCs/>
          <w:i/>
          <w:iCs/>
          <w:sz w:val="22"/>
          <w:szCs w:val="22"/>
        </w:rPr>
        <w:t>et al.,</w:t>
      </w:r>
      <w:r w:rsidRPr="007F6775">
        <w:rPr>
          <w:rFonts w:ascii="Arial" w:hAnsi="Arial" w:cs="Arial"/>
          <w:b/>
          <w:bCs/>
          <w:sz w:val="22"/>
          <w:szCs w:val="22"/>
        </w:rPr>
        <w:t> 2025). As NHS England (2023) points out, being digitally competent is now a fundamental requirement for safe and effective practice, leading organisations to invest in e-learning modules, simulation-based training, and peer-supported learning. However, challenges persist. Some staff—especially older employees or those with limited digital experience—report feelings of anxiety, decreased confidence, and struggles in adapting to new systems, which can create disparities in performance and reliance on colleagues who are more digitally skilled.</w:t>
      </w:r>
    </w:p>
    <w:p w14:paraId="6C8824CC" w14:textId="77777777" w:rsidR="0069018D" w:rsidRPr="007F6775" w:rsidRDefault="0069018D" w:rsidP="007F6775">
      <w:pPr>
        <w:spacing w:line="360" w:lineRule="auto"/>
        <w:rPr>
          <w:rFonts w:ascii="Arial" w:hAnsi="Arial" w:cs="Arial"/>
          <w:b/>
          <w:bCs/>
          <w:sz w:val="22"/>
          <w:szCs w:val="22"/>
        </w:rPr>
      </w:pPr>
      <w:r w:rsidRPr="007F6775">
        <w:rPr>
          <w:rFonts w:ascii="Arial" w:hAnsi="Arial" w:cs="Arial"/>
          <w:b/>
          <w:bCs/>
          <w:sz w:val="22"/>
          <w:szCs w:val="22"/>
        </w:rPr>
        <w:t>Innovations like mobile documentation apps, automated alerts for unusual test results, and safety dashboards are making a real difference by cutting down the “click burden” that often comes with traditional EHR systems. These tools help streamline repetitive tasks, allowing clinicians to focus more on direct patient care, which can lead to greater job satisfaction and less burnout (Avendano</w:t>
      </w:r>
      <w:r w:rsidRPr="007F6775">
        <w:rPr>
          <w:rFonts w:ascii="Arial" w:hAnsi="Arial" w:cs="Arial"/>
          <w:b/>
          <w:bCs/>
          <w:i/>
          <w:iCs/>
          <w:sz w:val="22"/>
          <w:szCs w:val="22"/>
        </w:rPr>
        <w:t xml:space="preserve"> et al.</w:t>
      </w:r>
      <w:r w:rsidRPr="007F6775">
        <w:rPr>
          <w:rFonts w:ascii="Arial" w:hAnsi="Arial" w:cs="Arial"/>
          <w:b/>
          <w:bCs/>
          <w:sz w:val="22"/>
          <w:szCs w:val="22"/>
        </w:rPr>
        <w:t xml:space="preserve">,2022). Initiatives like the </w:t>
      </w:r>
      <w:proofErr w:type="spellStart"/>
      <w:r w:rsidRPr="007F6775">
        <w:rPr>
          <w:rFonts w:ascii="Arial" w:hAnsi="Arial" w:cs="Arial"/>
          <w:b/>
          <w:bCs/>
          <w:sz w:val="22"/>
          <w:szCs w:val="22"/>
        </w:rPr>
        <w:t>ReImagine</w:t>
      </w:r>
      <w:proofErr w:type="spellEnd"/>
      <w:r w:rsidRPr="007F6775">
        <w:rPr>
          <w:rFonts w:ascii="Arial" w:hAnsi="Arial" w:cs="Arial"/>
          <w:b/>
          <w:bCs/>
          <w:sz w:val="22"/>
          <w:szCs w:val="22"/>
        </w:rPr>
        <w:t xml:space="preserve"> EHR program at the University of Utah Health showcase how collaborative governance and user-centred design can create more intuitive systems that fit seamlessly into clinical workflows, easing the administrative load and boosting provider efficiency. That said, the impact on workload can be a bit of a mixed bag. While EHRs make it easier to access patient information quickly and provide real-time updates to medication charts, risk assessments, and care plans, poorly designed or sluggish systems can increase documentation time and lead to frustration. As EHRs integrate more advanced technologies such as artificial intelligence and predictive analytics, the workforce will need to adapt. Staff will have to learn how to interpret algorithmic outputs, validate digital recommendations, and </w:t>
      </w:r>
      <w:r w:rsidRPr="007F6775">
        <w:rPr>
          <w:rFonts w:ascii="Arial" w:hAnsi="Arial" w:cs="Arial"/>
          <w:b/>
          <w:bCs/>
          <w:sz w:val="22"/>
          <w:szCs w:val="22"/>
        </w:rPr>
        <w:lastRenderedPageBreak/>
        <w:t xml:space="preserve">ensure strong digital safety and governance. In summary, EHR innovations are reshaping workforce dynamics, efficiency and collaboration, but they also pose challenges related to training, digital literacy, and managing. (Robinson, J.A.,2018). </w:t>
      </w:r>
    </w:p>
    <w:p w14:paraId="63A62AA8" w14:textId="76BD1317" w:rsidR="00C80D0F" w:rsidRPr="007F6775" w:rsidRDefault="00C80D0F" w:rsidP="007F6775">
      <w:pPr>
        <w:spacing w:line="360" w:lineRule="auto"/>
        <w:rPr>
          <w:rFonts w:ascii="Arial" w:hAnsi="Arial" w:cs="Arial"/>
          <w:i/>
          <w:iCs/>
          <w:color w:val="0070C0"/>
          <w:sz w:val="22"/>
          <w:szCs w:val="22"/>
        </w:rPr>
      </w:pPr>
    </w:p>
    <w:p w14:paraId="78BF621E" w14:textId="77777777" w:rsidR="00C80D0F" w:rsidRPr="007F6775" w:rsidRDefault="00C80D0F" w:rsidP="007F6775">
      <w:pPr>
        <w:spacing w:line="360" w:lineRule="auto"/>
        <w:rPr>
          <w:rFonts w:ascii="Arial" w:hAnsi="Arial" w:cs="Arial"/>
          <w:sz w:val="22"/>
          <w:szCs w:val="22"/>
        </w:rPr>
      </w:pPr>
    </w:p>
    <w:p w14:paraId="61241919" w14:textId="789523A8" w:rsidR="00C80D0F" w:rsidRPr="00254F18" w:rsidRDefault="00254F18" w:rsidP="00DE6462">
      <w:pPr>
        <w:pStyle w:val="Heading1"/>
      </w:pPr>
      <w:bookmarkStart w:id="2" w:name="_Toc235393804"/>
      <w:r w:rsidRPr="00254F18">
        <w:t xml:space="preserve">Chapter 3: </w:t>
      </w:r>
      <w:r w:rsidR="00C80D0F" w:rsidRPr="00254F18">
        <w:t>Impact on service delivery</w:t>
      </w:r>
      <w:bookmarkEnd w:id="2"/>
      <w:r w:rsidR="00C80D0F" w:rsidRPr="00254F18">
        <w:t xml:space="preserve"> </w:t>
      </w:r>
    </w:p>
    <w:p w14:paraId="451E8E1B" w14:textId="7FF34631" w:rsidR="008F043E" w:rsidRPr="007F6775" w:rsidRDefault="008F043E" w:rsidP="007F6775">
      <w:pPr>
        <w:spacing w:line="360" w:lineRule="auto"/>
        <w:rPr>
          <w:rFonts w:ascii="Arial" w:hAnsi="Arial" w:cs="Arial"/>
          <w:b/>
          <w:bCs/>
          <w:sz w:val="22"/>
          <w:szCs w:val="22"/>
        </w:rPr>
      </w:pPr>
      <w:r w:rsidRPr="007F6775">
        <w:rPr>
          <w:rFonts w:ascii="Arial" w:hAnsi="Arial" w:cs="Arial"/>
          <w:b/>
          <w:bCs/>
          <w:sz w:val="22"/>
          <w:szCs w:val="22"/>
        </w:rPr>
        <w:t xml:space="preserve">Innovations in Electronic Health Records (EHRs) have truly revolutionised how health and social care services are delivered, making care safer and improving the overall organisation of care. Today’s interoperable systems, especially those utilising Fast Healthcare Interoperability Resources (FHIR), smooth data exchange not just within departments and organisations but across international borders. This improved interoperability ensures continuity of </w:t>
      </w:r>
      <w:r w:rsidR="00254F18">
        <w:rPr>
          <w:rFonts w:ascii="Arial" w:hAnsi="Arial" w:cs="Arial"/>
          <w:b/>
          <w:bCs/>
          <w:sz w:val="22"/>
          <w:szCs w:val="22"/>
        </w:rPr>
        <w:t xml:space="preserve">care, </w:t>
      </w:r>
      <w:r w:rsidR="00064DF7">
        <w:rPr>
          <w:rFonts w:ascii="Arial" w:hAnsi="Arial" w:cs="Arial"/>
          <w:b/>
          <w:bCs/>
          <w:sz w:val="22"/>
          <w:szCs w:val="22"/>
        </w:rPr>
        <w:t>which</w:t>
      </w:r>
      <w:r w:rsidRPr="007F6775">
        <w:rPr>
          <w:rFonts w:ascii="Arial" w:hAnsi="Arial" w:cs="Arial"/>
          <w:b/>
          <w:bCs/>
          <w:sz w:val="22"/>
          <w:szCs w:val="22"/>
        </w:rPr>
        <w:t xml:space="preserve"> fosters more efficient clinical pathways (Li </w:t>
      </w:r>
      <w:r w:rsidRPr="007F6775">
        <w:rPr>
          <w:rFonts w:ascii="Arial" w:hAnsi="Arial" w:cs="Arial"/>
          <w:b/>
          <w:bCs/>
          <w:i/>
          <w:iCs/>
          <w:sz w:val="22"/>
          <w:szCs w:val="22"/>
        </w:rPr>
        <w:t>et al.</w:t>
      </w:r>
      <w:r w:rsidRPr="007F6775">
        <w:rPr>
          <w:rFonts w:ascii="Arial" w:hAnsi="Arial" w:cs="Arial"/>
          <w:b/>
          <w:bCs/>
          <w:sz w:val="22"/>
          <w:szCs w:val="22"/>
        </w:rPr>
        <w:t>2025). One of the standout benefits of EHRs is the real-time access they provide to patient information. Clinicians can quickly pull up medical histories, diagnostic results, medication lists, and care plans, and minimise treatment delays. This is particularly crucial in settings such as emergency departments, community nursing, and mental health crisis teams, where having timely access to accurate information can significantly influence patient outcomes. Digital tools like automated alerts, integrated care plans, and streamlined documentation workflows further enhance preventive care, chronic disease management, and acute interventions. These features help clear bottlenecks in clinical decision-making and boost adherence to evidence-based guidelines (</w:t>
      </w:r>
      <w:proofErr w:type="spellStart"/>
      <w:r w:rsidRPr="007F6775">
        <w:rPr>
          <w:rFonts w:ascii="Arial" w:hAnsi="Arial" w:cs="Arial"/>
          <w:sz w:val="22"/>
          <w:szCs w:val="22"/>
        </w:rPr>
        <w:t>Madandola</w:t>
      </w:r>
      <w:proofErr w:type="spellEnd"/>
      <w:r w:rsidRPr="007F6775">
        <w:rPr>
          <w:rFonts w:ascii="Arial" w:hAnsi="Arial" w:cs="Arial"/>
          <w:sz w:val="22"/>
          <w:szCs w:val="22"/>
        </w:rPr>
        <w:t> </w:t>
      </w:r>
      <w:r w:rsidRPr="007F6775">
        <w:rPr>
          <w:rFonts w:ascii="Arial" w:hAnsi="Arial" w:cs="Arial"/>
          <w:i/>
          <w:iCs/>
          <w:sz w:val="22"/>
          <w:szCs w:val="22"/>
        </w:rPr>
        <w:t>et al.</w:t>
      </w:r>
      <w:r w:rsidRPr="007F6775">
        <w:rPr>
          <w:rFonts w:ascii="Arial" w:hAnsi="Arial" w:cs="Arial"/>
          <w:sz w:val="22"/>
          <w:szCs w:val="22"/>
        </w:rPr>
        <w:t> 2023).</w:t>
      </w:r>
      <w:r w:rsidRPr="007F6775">
        <w:rPr>
          <w:rFonts w:ascii="Arial" w:hAnsi="Arial" w:cs="Arial"/>
          <w:b/>
          <w:bCs/>
          <w:sz w:val="22"/>
          <w:szCs w:val="22"/>
        </w:rPr>
        <w:t xml:space="preserve"> EHRs have also transformed everyday operations. Digital documentation has replaced paper notes, electronic prescribing has reduced medication errors, and automated alerts now highlight allergies, safeguarding issues, and abnormal observations. Scheduling and task management tools help with more efficient staff allocation, leading to smoother service coordination. Plus, mobile EHR applications and remote access capabilities empower clinicians to check patient information outside traditional clinical settings, quicker triage, better communication, and more effective collaboration across multidisciplinary teams.</w:t>
      </w:r>
    </w:p>
    <w:p w14:paraId="40E3CC31" w14:textId="50DBDF8B" w:rsidR="00C80D0F" w:rsidRPr="007F6775" w:rsidRDefault="008F043E" w:rsidP="007F6775">
      <w:pPr>
        <w:spacing w:line="360" w:lineRule="auto"/>
        <w:rPr>
          <w:rFonts w:ascii="Arial" w:hAnsi="Arial" w:cs="Arial"/>
          <w:b/>
          <w:bCs/>
          <w:sz w:val="22"/>
          <w:szCs w:val="22"/>
        </w:rPr>
      </w:pPr>
      <w:r w:rsidRPr="007F6775">
        <w:rPr>
          <w:rFonts w:ascii="Arial" w:hAnsi="Arial" w:cs="Arial"/>
          <w:b/>
          <w:bCs/>
          <w:sz w:val="22"/>
          <w:szCs w:val="22"/>
        </w:rPr>
        <w:t xml:space="preserve">EHRs are crucial for making integrated care systems (ICSs) work smoothly by linking information across sectors, primary care, hospitals, mental health services, social care, and community teams. For instance, GPs can instantly access hospital </w:t>
      </w:r>
      <w:r w:rsidRPr="007F6775">
        <w:rPr>
          <w:rFonts w:ascii="Arial" w:hAnsi="Arial" w:cs="Arial"/>
          <w:b/>
          <w:bCs/>
          <w:sz w:val="22"/>
          <w:szCs w:val="22"/>
        </w:rPr>
        <w:lastRenderedPageBreak/>
        <w:t xml:space="preserve">discharge summaries, social workers can check health details, safeguarding decisions, and community nurses can update patient records from their mobile devices during home visits. This smooth exchange of information helps reduce fragmentation and </w:t>
      </w:r>
      <w:r w:rsidR="008C4EC7">
        <w:rPr>
          <w:rFonts w:ascii="Arial" w:hAnsi="Arial" w:cs="Arial"/>
          <w:b/>
          <w:bCs/>
          <w:sz w:val="22"/>
          <w:szCs w:val="22"/>
        </w:rPr>
        <w:t>improve</w:t>
      </w:r>
      <w:r w:rsidRPr="007F6775">
        <w:rPr>
          <w:rFonts w:ascii="Arial" w:hAnsi="Arial" w:cs="Arial"/>
          <w:b/>
          <w:bCs/>
          <w:sz w:val="22"/>
          <w:szCs w:val="22"/>
        </w:rPr>
        <w:t xml:space="preserve"> care (</w:t>
      </w:r>
      <w:r w:rsidRPr="007F6775">
        <w:rPr>
          <w:rFonts w:ascii="Arial" w:hAnsi="Arial" w:cs="Arial"/>
          <w:sz w:val="22"/>
          <w:szCs w:val="22"/>
        </w:rPr>
        <w:t>Li </w:t>
      </w:r>
      <w:r w:rsidRPr="007F6775">
        <w:rPr>
          <w:rFonts w:ascii="Arial" w:hAnsi="Arial" w:cs="Arial"/>
          <w:i/>
          <w:iCs/>
          <w:sz w:val="22"/>
          <w:szCs w:val="22"/>
        </w:rPr>
        <w:t>et al.</w:t>
      </w:r>
      <w:r w:rsidRPr="007F6775">
        <w:rPr>
          <w:rFonts w:ascii="Arial" w:hAnsi="Arial" w:cs="Arial"/>
          <w:sz w:val="22"/>
          <w:szCs w:val="22"/>
        </w:rPr>
        <w:t xml:space="preserve"> 2023). </w:t>
      </w:r>
      <w:r w:rsidRPr="007F6775">
        <w:rPr>
          <w:rFonts w:ascii="Arial" w:hAnsi="Arial" w:cs="Arial"/>
          <w:b/>
          <w:bCs/>
          <w:sz w:val="22"/>
          <w:szCs w:val="22"/>
        </w:rPr>
        <w:t>However, there are still some hurdles to overcome. System outages can interrupt care and force a temporary switch back to paper records. Interoperability problems can occur when different organisations use systems that don’t communicate, which limits the flow of information. Clinicians might also face data overload, as too many alerts can add to their cognitive load. Plus, cybersecurity threats underscore the importance of strong governance and ongoing investments in patient information (Looi </w:t>
      </w:r>
      <w:r w:rsidRPr="007F6775">
        <w:rPr>
          <w:rFonts w:ascii="Arial" w:hAnsi="Arial" w:cs="Arial"/>
          <w:b/>
          <w:bCs/>
          <w:i/>
          <w:iCs/>
          <w:sz w:val="22"/>
          <w:szCs w:val="22"/>
        </w:rPr>
        <w:t>et al.</w:t>
      </w:r>
      <w:r w:rsidRPr="007F6775">
        <w:rPr>
          <w:rFonts w:ascii="Arial" w:hAnsi="Arial" w:cs="Arial"/>
          <w:b/>
          <w:bCs/>
          <w:sz w:val="22"/>
          <w:szCs w:val="22"/>
        </w:rPr>
        <w:t xml:space="preserve"> 2025). </w:t>
      </w:r>
    </w:p>
    <w:p w14:paraId="7E1D5428" w14:textId="77777777" w:rsidR="00C80D0F" w:rsidRPr="007F6775" w:rsidRDefault="00C80D0F" w:rsidP="007F6775">
      <w:pPr>
        <w:spacing w:line="360" w:lineRule="auto"/>
        <w:rPr>
          <w:rFonts w:ascii="Arial" w:hAnsi="Arial" w:cs="Arial"/>
          <w:b/>
          <w:bCs/>
          <w:sz w:val="22"/>
          <w:szCs w:val="22"/>
        </w:rPr>
      </w:pPr>
    </w:p>
    <w:p w14:paraId="46327300" w14:textId="133BEA18" w:rsidR="00C80D0F" w:rsidRPr="000D2E46" w:rsidRDefault="00254F18" w:rsidP="00DE6462">
      <w:pPr>
        <w:pStyle w:val="Heading1"/>
      </w:pPr>
      <w:bookmarkStart w:id="3" w:name="_Toc235393805"/>
      <w:r w:rsidRPr="000D2E46">
        <w:t xml:space="preserve">Chapter 4: </w:t>
      </w:r>
      <w:r w:rsidR="00C80D0F" w:rsidRPr="000D2E46">
        <w:t>Impact on patients</w:t>
      </w:r>
      <w:bookmarkEnd w:id="3"/>
      <w:r w:rsidR="00C80D0F" w:rsidRPr="000D2E46">
        <w:t xml:space="preserve"> </w:t>
      </w:r>
    </w:p>
    <w:p w14:paraId="22DE083E" w14:textId="7FC38F14"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Electronic Health Records (EHRs) play a crucial role in shaping the experiences and perceptions of patients and service users in the healthcare system. One of the standout advantages is the boost in safety and quality of care. With advanced decision-support tools integrated into modern EHR systems, we see a significant reduction in medication errors, timely alerts for abnormal results, and support for quick interventions. This empowers clinicians to act more proactively and accurately (Greenhalgh et al., 2019). Plus, improved interoperability means smoother transitions between services, repeated assessments and ensuring consistent information sharing across different care settings. Patient-centred features, such as digital portals, mobile health integration, and personalised care plans, really enhance patient engagement. For instance, the NHS App allows users to check their medical records</w:t>
      </w:r>
      <w:r w:rsidR="00064DF7">
        <w:rPr>
          <w:rFonts w:ascii="Arial" w:hAnsi="Arial" w:cs="Arial"/>
          <w:b/>
          <w:bCs/>
          <w:sz w:val="22"/>
          <w:szCs w:val="22"/>
        </w:rPr>
        <w:t xml:space="preserve"> </w:t>
      </w:r>
      <w:r w:rsidRPr="007F6775">
        <w:rPr>
          <w:rFonts w:ascii="Arial" w:hAnsi="Arial" w:cs="Arial"/>
          <w:b/>
          <w:bCs/>
          <w:sz w:val="22"/>
          <w:szCs w:val="22"/>
        </w:rPr>
        <w:t>and communicate with healthcare providers. This fosters a sense of autonomy, transparency, and shared decision-making (NHS England, 2023). These tools not only help patients keep track of their health but also empower them to understand their care plans and take an active role in managing long-term conditions. Many patients view digital systems as modern, efficient, and professional, which positively influences their overall experience. However, there are still concerns about data privacy, the decline of face-to-face interactions, and the perception that clinicians are more focused on their screens. These issues can impact trust and satisfaction, especially among older adults or those who may be as tech-savvy (Skills for Care, 2022). It’s vital to ensure that digital systems enhance, rather than hinder, the therapeutic relationships that are so important in healthcare.</w:t>
      </w:r>
    </w:p>
    <w:p w14:paraId="18729334" w14:textId="580F0AA3" w:rsidR="00C80D0F"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lastRenderedPageBreak/>
        <w:t xml:space="preserve">Accessibility and digital inclusion are vital. While innovations in electronic health records (EHR) bring benefits, they can also unintentionally deepen health disparities. Patients who lack smartphones, internet access, or sufficient digital skills might find it tough to engage with these digital services. This issue is particularly significant for older adults, those experiencing homelessness, individuals with learning disabilities, and people living in rural or economically challenged areas (NHS Digital, 2020). To combat digital exclusion, health services need to ensure that alternative access options, such as telephone support, in-person appointments, and community-based digital services. As EHR systems evolve to be more user-friendly and efficient, patients stand to gain from clinicians who can devote less time to paperwork and more time to building relationships in care. However, the effectiveness of these </w:t>
      </w:r>
      <w:proofErr w:type="gramStart"/>
      <w:r w:rsidR="00254F18">
        <w:rPr>
          <w:rFonts w:ascii="Arial" w:hAnsi="Arial" w:cs="Arial"/>
          <w:b/>
          <w:bCs/>
          <w:color w:val="000000" w:themeColor="text1"/>
          <w:sz w:val="22"/>
          <w:szCs w:val="22"/>
        </w:rPr>
        <w:t>innovations</w:t>
      </w:r>
      <w:proofErr w:type="gramEnd"/>
      <w:r w:rsidRPr="007F6775">
        <w:rPr>
          <w:rFonts w:ascii="Arial" w:hAnsi="Arial" w:cs="Arial"/>
          <w:b/>
          <w:bCs/>
          <w:color w:val="000000" w:themeColor="text1"/>
          <w:sz w:val="22"/>
          <w:szCs w:val="22"/>
        </w:rPr>
        <w:t xml:space="preserve"> hinges on inclusive design, support for digital </w:t>
      </w:r>
      <w:r w:rsidRPr="007F6775">
        <w:rPr>
          <w:rFonts w:ascii="Arial" w:hAnsi="Arial" w:cs="Arial"/>
          <w:b/>
          <w:bCs/>
          <w:sz w:val="22"/>
          <w:szCs w:val="22"/>
        </w:rPr>
        <w:t xml:space="preserve">literacy, and efforts to ensure that all patients—no matter their background or abilities—can engage meaningfully in an increasingly digital healthcare landscape. </w:t>
      </w:r>
      <w:r w:rsidRPr="007F6775">
        <w:rPr>
          <w:rFonts w:ascii="Arial" w:hAnsi="Arial" w:cs="Arial"/>
          <w:i/>
          <w:iCs/>
          <w:color w:val="0070C0"/>
          <w:sz w:val="22"/>
          <w:szCs w:val="22"/>
        </w:rPr>
        <w:t xml:space="preserve"> </w:t>
      </w:r>
    </w:p>
    <w:p w14:paraId="7E860150" w14:textId="77777777" w:rsidR="00C80D0F" w:rsidRPr="007F6775" w:rsidRDefault="00C80D0F" w:rsidP="007F6775">
      <w:pPr>
        <w:spacing w:line="360" w:lineRule="auto"/>
        <w:rPr>
          <w:rFonts w:ascii="Arial" w:hAnsi="Arial" w:cs="Arial"/>
          <w:b/>
          <w:bCs/>
          <w:i/>
          <w:iCs/>
          <w:sz w:val="22"/>
          <w:szCs w:val="22"/>
        </w:rPr>
      </w:pPr>
    </w:p>
    <w:p w14:paraId="75ED4894" w14:textId="0ACB423E" w:rsidR="00C80D0F" w:rsidRPr="000D2E46" w:rsidRDefault="000D2E46" w:rsidP="00DE6462">
      <w:pPr>
        <w:pStyle w:val="Heading1"/>
      </w:pPr>
      <w:bookmarkStart w:id="4" w:name="_Toc235393806"/>
      <w:r w:rsidRPr="000D2E46">
        <w:t xml:space="preserve">Chapter 5: </w:t>
      </w:r>
      <w:r w:rsidR="00C80D0F" w:rsidRPr="000D2E46">
        <w:t xml:space="preserve">Impact on </w:t>
      </w:r>
      <w:r w:rsidR="008F043E" w:rsidRPr="000D2E46">
        <w:t xml:space="preserve">the </w:t>
      </w:r>
      <w:r w:rsidR="00C80D0F" w:rsidRPr="000D2E46">
        <w:t>community</w:t>
      </w:r>
      <w:bookmarkEnd w:id="4"/>
      <w:r w:rsidR="00C80D0F" w:rsidRPr="000D2E46">
        <w:t xml:space="preserve"> </w:t>
      </w:r>
    </w:p>
    <w:p w14:paraId="7588DA54" w14:textId="1B803CEF"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 xml:space="preserve">Electronic Health Records (EHRs) play a crucial role in shaping communities, families, and the broader public health landscape, reaching far beyond just individual patient care. On a larger scale, sophisticated EHR systems facilitate public health planning by allowing for extensive data analysis, early detection of health trends, and targeted interventions. This means health agencies can effectively monitor disease outbreaks, pinpoint health disparities, and provide community services more efficiently. For instance, during the COVID-19 pandemic, digital records were vital for supporting vaccination efforts, tracking infection rates, and evaluating risks at the community level (Public Health England, 2021). Moreover, interoperable EHR systems enhance the coordination among community services, social care providers, and public health organisations. With shared care records, authorised professionals can access pertinent information, communicate, and ensure continuity of care for individuals with chronic or complex health needs. Families and caregivers also reap the benefit of clearer, more consistent information, which aids collaborative care planning and minimises confusion or redundancy. However, it’s essential to manage confidentiality and consent carefully to uphold trust and safeguard sensitive information (NHS England, 2023). Additionally, innovations in EHRs are reshaping how accessible and where they are provided. With mobile access to digital records, </w:t>
      </w:r>
      <w:r w:rsidRPr="007F6775">
        <w:rPr>
          <w:rFonts w:ascii="Arial" w:hAnsi="Arial" w:cs="Arial"/>
          <w:b/>
          <w:bCs/>
          <w:sz w:val="22"/>
          <w:szCs w:val="22"/>
        </w:rPr>
        <w:lastRenderedPageBreak/>
        <w:t xml:space="preserve">community nurses, paramedics, and social workers can update information right during home visits, </w:t>
      </w:r>
      <w:r w:rsidR="007F6775">
        <w:rPr>
          <w:rFonts w:ascii="Arial" w:hAnsi="Arial" w:cs="Arial"/>
          <w:b/>
          <w:bCs/>
          <w:sz w:val="22"/>
          <w:szCs w:val="22"/>
        </w:rPr>
        <w:t xml:space="preserve">eliminating the </w:t>
      </w:r>
      <w:r w:rsidRPr="007F6775">
        <w:rPr>
          <w:rFonts w:ascii="Arial" w:hAnsi="Arial" w:cs="Arial"/>
          <w:b/>
          <w:bCs/>
          <w:sz w:val="22"/>
          <w:szCs w:val="22"/>
        </w:rPr>
        <w:t xml:space="preserve">need for patients to travel and </w:t>
      </w:r>
      <w:r w:rsidR="007F6775">
        <w:rPr>
          <w:rFonts w:ascii="Arial" w:hAnsi="Arial" w:cs="Arial"/>
          <w:b/>
          <w:bCs/>
          <w:sz w:val="22"/>
          <w:szCs w:val="22"/>
        </w:rPr>
        <w:t>promoting</w:t>
      </w:r>
      <w:r w:rsidRPr="007F6775">
        <w:rPr>
          <w:rFonts w:ascii="Arial" w:hAnsi="Arial" w:cs="Arial"/>
          <w:b/>
          <w:bCs/>
          <w:sz w:val="22"/>
          <w:szCs w:val="22"/>
        </w:rPr>
        <w:t xml:space="preserve"> care that’s closer to home. Remote consultations, digital triage, and mobile documentation are all helping to extend services to underserved populations, including those in rural areas or those facing other challenges. These advancements contribute to a fairer distribution of healthcare resources and align perfectly with the NHS’s commitment to integrated care systems (ICSs).</w:t>
      </w:r>
    </w:p>
    <w:p w14:paraId="1E2CC772" w14:textId="77777777"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Co-production and community engagement get a real boost from digital platforms that connect to Electronic Health Records (EHRs). With patient portals and feedback systems, individuals and communities can take a more active role in shaping the services they receive, fostering shared decision-making and increasing public involvement in health improvement efforts. However, we can’t overlook the issue of digital exclusion. Those without internet access, digital skills, or the right devices—like older adults, people experiencing homelessness, or individuals with learning disabilities—might find it tough to engage with these digital systems, which could widen health inequalities (Skills for Care, 2022).</w:t>
      </w:r>
    </w:p>
    <w:p w14:paraId="2CA9E204" w14:textId="1E1FC345" w:rsidR="00C80D0F"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 xml:space="preserve"> On the bright side, emerging technologies like blockchain are stepping in to enhance data security and transparency, which helps build public trust in digital health systems. All in all, innovations in EHRs are paving the way for more connected, responsive, and inclusive community-based care. Yet, we must keep investing in digital inclusion and strong governance to ensure that every community can reap the benefits equally.</w:t>
      </w:r>
      <w:r w:rsidRPr="007F6775">
        <w:rPr>
          <w:rFonts w:ascii="Arial" w:hAnsi="Arial" w:cs="Arial"/>
          <w:i/>
          <w:iCs/>
          <w:color w:val="0070C0"/>
          <w:sz w:val="22"/>
          <w:szCs w:val="22"/>
        </w:rPr>
        <w:t xml:space="preserve"> </w:t>
      </w:r>
    </w:p>
    <w:p w14:paraId="0C5078D7" w14:textId="4DE9A6F5" w:rsidR="00C80D0F" w:rsidRPr="000D2E46" w:rsidRDefault="000D2E46" w:rsidP="00DE6462">
      <w:pPr>
        <w:pStyle w:val="Heading1"/>
      </w:pPr>
      <w:bookmarkStart w:id="5" w:name="_Toc235393807"/>
      <w:r w:rsidRPr="000D2E46">
        <w:t xml:space="preserve">Chapter 6: </w:t>
      </w:r>
      <w:r w:rsidR="00C80D0F" w:rsidRPr="000D2E46">
        <w:t>Conclusion</w:t>
      </w:r>
      <w:bookmarkEnd w:id="5"/>
    </w:p>
    <w:p w14:paraId="395B0376" w14:textId="77777777" w:rsidR="00411CA6" w:rsidRDefault="00411CA6" w:rsidP="007F6775">
      <w:pPr>
        <w:spacing w:line="360" w:lineRule="auto"/>
        <w:rPr>
          <w:rFonts w:ascii="Arial" w:hAnsi="Arial" w:cs="Arial"/>
          <w:b/>
          <w:bCs/>
          <w:sz w:val="22"/>
          <w:szCs w:val="22"/>
        </w:rPr>
      </w:pPr>
      <w:r w:rsidRPr="007F6775">
        <w:rPr>
          <w:rFonts w:ascii="Arial" w:hAnsi="Arial" w:cs="Arial"/>
          <w:b/>
          <w:bCs/>
          <w:sz w:val="22"/>
          <w:szCs w:val="22"/>
        </w:rPr>
        <w:t xml:space="preserve">Electronic Health Records (EHRs) have become a cornerstone of today’s health and social care landscape, driving significant strides in safety, efficiency, and coordination. Ongoing innovations aimed at tackling usability challenges, bridging interoperability gaps, and easing clinician workloads are paving the way for smoother workflows, more responsive service delivery, and better patient experiences. As these digital systems continue to evolve, the healthcare sector is getting closer to a fully connected, secure, and scalable environment that champions high-quality, patient-centred care (NHS England, 2023). In the last ten years, EHRs have transformed workforce roles, bolstered multidisciplinary teamwork, and improved care organisation across various settings. They’ve also played a crucial role in enhancing </w:t>
      </w:r>
      <w:r w:rsidRPr="007F6775">
        <w:rPr>
          <w:rFonts w:ascii="Arial" w:hAnsi="Arial" w:cs="Arial"/>
          <w:b/>
          <w:bCs/>
          <w:sz w:val="22"/>
          <w:szCs w:val="22"/>
        </w:rPr>
        <w:lastRenderedPageBreak/>
        <w:t>patient safety through decision-support tools and have contributed to more effective public health planning at the community level (Public Health England, 2021). Yet, challenges still linger. Gaps in digital literacy, concerns about system usability, interoperability issues, and the risk of digital exclusion continue to impact both staff and service users (Skills for Care, 2022). Without focused support, some individuals might find themselves left behind in this digital transformation. All in all, EHRs present significant advantages when backed by solid training, ongoing investment, and inclusive digital strategies. Ensuring equitable access, high-quality data, and user-centred design will be crucial as the NHS forges ahead into its digital future, aiming to maximise the positive effects of EHRs across health and social care.</w:t>
      </w:r>
    </w:p>
    <w:p w14:paraId="65155903" w14:textId="77777777" w:rsidR="00DE6462" w:rsidRDefault="00DE6462" w:rsidP="007F6775">
      <w:pPr>
        <w:spacing w:line="360" w:lineRule="auto"/>
        <w:rPr>
          <w:rFonts w:ascii="Arial" w:hAnsi="Arial" w:cs="Arial"/>
          <w:b/>
          <w:bCs/>
          <w:sz w:val="22"/>
          <w:szCs w:val="22"/>
        </w:rPr>
      </w:pPr>
    </w:p>
    <w:p w14:paraId="74C9DF52" w14:textId="358CD2B7" w:rsidR="00DE6462" w:rsidRPr="00DE6462" w:rsidRDefault="00DE6462" w:rsidP="00DE6462">
      <w:pPr>
        <w:pStyle w:val="Heading1"/>
      </w:pPr>
      <w:bookmarkStart w:id="6" w:name="_Toc235393808"/>
      <w:r w:rsidRPr="00DE6462">
        <w:t>Chapter 7: References</w:t>
      </w:r>
      <w:bookmarkEnd w:id="6"/>
    </w:p>
    <w:p w14:paraId="317B5555" w14:textId="77777777" w:rsidR="008375B5" w:rsidRPr="007F6775" w:rsidRDefault="008375B5" w:rsidP="007F6775">
      <w:pPr>
        <w:spacing w:line="360" w:lineRule="auto"/>
        <w:rPr>
          <w:rFonts w:ascii="Arial" w:hAnsi="Arial" w:cs="Arial"/>
          <w:sz w:val="22"/>
          <w:szCs w:val="22"/>
        </w:rPr>
      </w:pPr>
    </w:p>
    <w:p w14:paraId="7E888BD2" w14:textId="393B8BC6"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Avendano, J.P. </w:t>
      </w:r>
      <w:r w:rsidRPr="007F6775">
        <w:rPr>
          <w:rFonts w:ascii="Arial" w:hAnsi="Arial" w:cs="Arial"/>
          <w:b/>
          <w:bCs/>
          <w:i/>
          <w:iCs/>
          <w:sz w:val="22"/>
          <w:szCs w:val="22"/>
        </w:rPr>
        <w:t>et al.</w:t>
      </w:r>
      <w:r w:rsidRPr="007F6775">
        <w:rPr>
          <w:rFonts w:ascii="Arial" w:hAnsi="Arial" w:cs="Arial"/>
          <w:b/>
          <w:bCs/>
          <w:sz w:val="22"/>
          <w:szCs w:val="22"/>
        </w:rPr>
        <w:t> </w:t>
      </w:r>
      <w:r w:rsidR="00401203">
        <w:rPr>
          <w:rFonts w:ascii="Arial" w:hAnsi="Arial" w:cs="Arial"/>
          <w:b/>
          <w:bCs/>
          <w:sz w:val="22"/>
          <w:szCs w:val="22"/>
        </w:rPr>
        <w:t>(</w:t>
      </w:r>
      <w:r w:rsidRPr="007F6775">
        <w:rPr>
          <w:rFonts w:ascii="Arial" w:hAnsi="Arial" w:cs="Arial"/>
          <w:b/>
          <w:bCs/>
          <w:sz w:val="22"/>
          <w:szCs w:val="22"/>
        </w:rPr>
        <w:t>2022) “Interfacing with the Electronic Health Record (EHR): A Comparative Review of Modes of Documentation,” </w:t>
      </w:r>
      <w:proofErr w:type="spellStart"/>
      <w:r w:rsidRPr="007F6775">
        <w:rPr>
          <w:rFonts w:ascii="Arial" w:hAnsi="Arial" w:cs="Arial"/>
          <w:b/>
          <w:bCs/>
          <w:i/>
          <w:iCs/>
          <w:sz w:val="22"/>
          <w:szCs w:val="22"/>
        </w:rPr>
        <w:t>Curēus</w:t>
      </w:r>
      <w:proofErr w:type="spellEnd"/>
      <w:r w:rsidRPr="007F6775">
        <w:rPr>
          <w:rFonts w:ascii="Arial" w:hAnsi="Arial" w:cs="Arial"/>
          <w:b/>
          <w:bCs/>
          <w:i/>
          <w:iCs/>
          <w:sz w:val="22"/>
          <w:szCs w:val="22"/>
        </w:rPr>
        <w:t xml:space="preserve"> (Palo Alto, CA)</w:t>
      </w:r>
      <w:r w:rsidRPr="007F6775">
        <w:rPr>
          <w:rFonts w:ascii="Arial" w:hAnsi="Arial" w:cs="Arial"/>
          <w:b/>
          <w:bCs/>
          <w:sz w:val="22"/>
          <w:szCs w:val="22"/>
        </w:rPr>
        <w:t xml:space="preserve">, 14(6), p. e26330. Available at: </w:t>
      </w:r>
      <w:hyperlink r:id="rId10" w:history="1">
        <w:r w:rsidRPr="007F6775">
          <w:rPr>
            <w:rStyle w:val="Hyperlink"/>
            <w:rFonts w:ascii="Arial" w:hAnsi="Arial" w:cs="Arial"/>
            <w:b/>
            <w:bCs/>
            <w:sz w:val="22"/>
            <w:szCs w:val="22"/>
          </w:rPr>
          <w:t>https://doi.org/10.7759/cureus.26330</w:t>
        </w:r>
      </w:hyperlink>
      <w:r w:rsidR="00401203">
        <w:rPr>
          <w:rFonts w:ascii="Arial" w:hAnsi="Arial" w:cs="Arial"/>
          <w:b/>
          <w:bCs/>
          <w:sz w:val="22"/>
          <w:szCs w:val="22"/>
        </w:rPr>
        <w:t xml:space="preserve"> </w:t>
      </w:r>
      <w:r w:rsidRPr="007F6775">
        <w:rPr>
          <w:rFonts w:ascii="Arial" w:hAnsi="Arial" w:cs="Arial"/>
          <w:sz w:val="22"/>
          <w:szCs w:val="22"/>
        </w:rPr>
        <w:t>(Assessed, 13 July 2026).</w:t>
      </w:r>
      <w:r w:rsidRPr="007F6775">
        <w:rPr>
          <w:rFonts w:ascii="Arial" w:hAnsi="Arial" w:cs="Arial"/>
          <w:b/>
          <w:bCs/>
          <w:sz w:val="22"/>
          <w:szCs w:val="22"/>
        </w:rPr>
        <w:t xml:space="preserve"> </w:t>
      </w:r>
    </w:p>
    <w:p w14:paraId="5768ED4D" w14:textId="437BC040"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Bennion, M.R. </w:t>
      </w:r>
      <w:r w:rsidR="00401203" w:rsidRPr="007F6775">
        <w:rPr>
          <w:rFonts w:ascii="Arial" w:hAnsi="Arial" w:cs="Arial"/>
          <w:b/>
          <w:bCs/>
          <w:i/>
          <w:iCs/>
          <w:sz w:val="22"/>
          <w:szCs w:val="22"/>
        </w:rPr>
        <w:t>et al.</w:t>
      </w:r>
      <w:r w:rsidR="00401203">
        <w:rPr>
          <w:rFonts w:ascii="Arial" w:hAnsi="Arial" w:cs="Arial"/>
          <w:b/>
          <w:bCs/>
          <w:sz w:val="22"/>
          <w:szCs w:val="22"/>
        </w:rPr>
        <w:t xml:space="preserve"> (</w:t>
      </w:r>
      <w:r w:rsidRPr="007F6775">
        <w:rPr>
          <w:rFonts w:ascii="Arial" w:hAnsi="Arial" w:cs="Arial"/>
          <w:b/>
          <w:bCs/>
          <w:sz w:val="22"/>
          <w:szCs w:val="22"/>
        </w:rPr>
        <w:t>2025) “Digital Capability, Open-Source Use, and Interoperability Standards Within the National Health Service in England: Survey of Health Care Trusts,” </w:t>
      </w:r>
      <w:r w:rsidRPr="007F6775">
        <w:rPr>
          <w:rFonts w:ascii="Arial" w:hAnsi="Arial" w:cs="Arial"/>
          <w:b/>
          <w:bCs/>
          <w:i/>
          <w:iCs/>
          <w:sz w:val="22"/>
          <w:szCs w:val="22"/>
        </w:rPr>
        <w:t>JMIR human factors</w:t>
      </w:r>
      <w:r w:rsidRPr="007F6775">
        <w:rPr>
          <w:rFonts w:ascii="Arial" w:hAnsi="Arial" w:cs="Arial"/>
          <w:b/>
          <w:bCs/>
          <w:sz w:val="22"/>
          <w:szCs w:val="22"/>
        </w:rPr>
        <w:t xml:space="preserve">, 12, pp. e66398–e66398. Available at: </w:t>
      </w:r>
      <w:hyperlink r:id="rId11" w:history="1">
        <w:r w:rsidRPr="007F6775">
          <w:rPr>
            <w:rStyle w:val="Hyperlink"/>
            <w:rFonts w:ascii="Arial" w:hAnsi="Arial" w:cs="Arial"/>
            <w:b/>
            <w:bCs/>
            <w:sz w:val="22"/>
            <w:szCs w:val="22"/>
          </w:rPr>
          <w:t>https://doi.org/10.2196/66398</w:t>
        </w:r>
      </w:hyperlink>
      <w:r w:rsidRPr="007F6775">
        <w:rPr>
          <w:rFonts w:ascii="Arial" w:hAnsi="Arial" w:cs="Arial"/>
          <w:b/>
          <w:bCs/>
          <w:sz w:val="22"/>
          <w:szCs w:val="22"/>
        </w:rPr>
        <w:t xml:space="preserve"> </w:t>
      </w:r>
      <w:r w:rsidRPr="007F6775">
        <w:rPr>
          <w:rFonts w:ascii="Arial" w:hAnsi="Arial" w:cs="Arial"/>
          <w:sz w:val="22"/>
          <w:szCs w:val="22"/>
        </w:rPr>
        <w:t>(Assessed, 13 July 2026).</w:t>
      </w:r>
    </w:p>
    <w:p w14:paraId="6F64801B" w14:textId="5F1DDA14" w:rsidR="00411CA6" w:rsidRPr="007F6775" w:rsidRDefault="00411CA6" w:rsidP="007F6775">
      <w:pPr>
        <w:spacing w:line="360" w:lineRule="auto"/>
        <w:rPr>
          <w:rFonts w:ascii="Arial" w:hAnsi="Arial" w:cs="Arial"/>
          <w:sz w:val="22"/>
          <w:szCs w:val="22"/>
        </w:rPr>
      </w:pPr>
      <w:r w:rsidRPr="007F6775">
        <w:rPr>
          <w:rFonts w:ascii="Arial" w:hAnsi="Arial" w:cs="Arial"/>
          <w:b/>
          <w:bCs/>
          <w:sz w:val="22"/>
          <w:szCs w:val="22"/>
        </w:rPr>
        <w:t>Bloom, B.M. </w:t>
      </w:r>
      <w:r w:rsidRPr="007F6775">
        <w:rPr>
          <w:rFonts w:ascii="Arial" w:hAnsi="Arial" w:cs="Arial"/>
          <w:b/>
          <w:bCs/>
          <w:i/>
          <w:iCs/>
          <w:sz w:val="22"/>
          <w:szCs w:val="22"/>
        </w:rPr>
        <w:t>et al.</w:t>
      </w:r>
      <w:r w:rsidRPr="007F6775">
        <w:rPr>
          <w:rFonts w:ascii="Arial" w:hAnsi="Arial" w:cs="Arial"/>
          <w:b/>
          <w:bCs/>
          <w:sz w:val="22"/>
          <w:szCs w:val="22"/>
        </w:rPr>
        <w:t> (2021) “Usability of electronic health record systems in UK EDs,” </w:t>
      </w:r>
      <w:r w:rsidRPr="007F6775">
        <w:rPr>
          <w:rFonts w:ascii="Arial" w:hAnsi="Arial" w:cs="Arial"/>
          <w:b/>
          <w:bCs/>
          <w:i/>
          <w:iCs/>
          <w:sz w:val="22"/>
          <w:szCs w:val="22"/>
        </w:rPr>
        <w:t xml:space="preserve">Emergency medicine </w:t>
      </w:r>
      <w:proofErr w:type="gramStart"/>
      <w:r w:rsidRPr="007F6775">
        <w:rPr>
          <w:rFonts w:ascii="Arial" w:hAnsi="Arial" w:cs="Arial"/>
          <w:b/>
          <w:bCs/>
          <w:i/>
          <w:iCs/>
          <w:sz w:val="22"/>
          <w:szCs w:val="22"/>
        </w:rPr>
        <w:t>journal :</w:t>
      </w:r>
      <w:proofErr w:type="gramEnd"/>
      <w:r w:rsidRPr="007F6775">
        <w:rPr>
          <w:rFonts w:ascii="Arial" w:hAnsi="Arial" w:cs="Arial"/>
          <w:b/>
          <w:bCs/>
          <w:i/>
          <w:iCs/>
          <w:sz w:val="22"/>
          <w:szCs w:val="22"/>
        </w:rPr>
        <w:t xml:space="preserve"> EMJ</w:t>
      </w:r>
      <w:r w:rsidRPr="007F6775">
        <w:rPr>
          <w:rFonts w:ascii="Arial" w:hAnsi="Arial" w:cs="Arial"/>
          <w:b/>
          <w:bCs/>
          <w:sz w:val="22"/>
          <w:szCs w:val="22"/>
        </w:rPr>
        <w:t xml:space="preserve">, 38(6), pp. 410–415. Available at: </w:t>
      </w:r>
      <w:hyperlink r:id="rId12" w:history="1">
        <w:r w:rsidRPr="007F6775">
          <w:rPr>
            <w:rStyle w:val="Hyperlink"/>
            <w:rFonts w:ascii="Arial" w:hAnsi="Arial" w:cs="Arial"/>
            <w:b/>
            <w:bCs/>
            <w:sz w:val="22"/>
            <w:szCs w:val="22"/>
          </w:rPr>
          <w:t>https://doi.org/10.1136/emermed-2020-210401</w:t>
        </w:r>
      </w:hyperlink>
      <w:r w:rsidR="00401203">
        <w:rPr>
          <w:rFonts w:ascii="Arial" w:hAnsi="Arial" w:cs="Arial"/>
          <w:b/>
          <w:bCs/>
          <w:sz w:val="22"/>
          <w:szCs w:val="22"/>
        </w:rPr>
        <w:t xml:space="preserve"> </w:t>
      </w:r>
      <w:r w:rsidRPr="007F6775">
        <w:rPr>
          <w:rFonts w:ascii="Arial" w:hAnsi="Arial" w:cs="Arial"/>
          <w:sz w:val="22"/>
          <w:szCs w:val="22"/>
        </w:rPr>
        <w:t>(Assessed, 13 July 2026).</w:t>
      </w:r>
    </w:p>
    <w:p w14:paraId="7D93838A" w14:textId="17441E97" w:rsidR="00411CA6" w:rsidRPr="007F6775" w:rsidRDefault="00411CA6" w:rsidP="007F6775">
      <w:pPr>
        <w:spacing w:line="360" w:lineRule="auto"/>
        <w:rPr>
          <w:rFonts w:ascii="Arial" w:hAnsi="Arial" w:cs="Arial"/>
          <w:sz w:val="22"/>
          <w:szCs w:val="22"/>
        </w:rPr>
      </w:pPr>
      <w:r w:rsidRPr="007F6775">
        <w:rPr>
          <w:rFonts w:ascii="Arial" w:hAnsi="Arial" w:cs="Arial"/>
          <w:sz w:val="22"/>
          <w:szCs w:val="22"/>
        </w:rPr>
        <w:t>Hebden, T. </w:t>
      </w:r>
      <w:r w:rsidRPr="007F6775">
        <w:rPr>
          <w:rFonts w:ascii="Arial" w:hAnsi="Arial" w:cs="Arial"/>
          <w:i/>
          <w:iCs/>
          <w:sz w:val="22"/>
          <w:szCs w:val="22"/>
        </w:rPr>
        <w:t>et al.</w:t>
      </w:r>
      <w:r w:rsidRPr="007F6775">
        <w:rPr>
          <w:rFonts w:ascii="Arial" w:hAnsi="Arial" w:cs="Arial"/>
          <w:sz w:val="22"/>
          <w:szCs w:val="22"/>
        </w:rPr>
        <w:t> (2025) “Design and Implementation of an Electronic Patient Record via Adaptation of Existing Hospital Software,” </w:t>
      </w:r>
      <w:proofErr w:type="spellStart"/>
      <w:r w:rsidRPr="007F6775">
        <w:rPr>
          <w:rFonts w:ascii="Arial" w:hAnsi="Arial" w:cs="Arial"/>
          <w:i/>
          <w:iCs/>
          <w:sz w:val="22"/>
          <w:szCs w:val="22"/>
        </w:rPr>
        <w:t>Curēus</w:t>
      </w:r>
      <w:proofErr w:type="spellEnd"/>
      <w:r w:rsidRPr="007F6775">
        <w:rPr>
          <w:rFonts w:ascii="Arial" w:hAnsi="Arial" w:cs="Arial"/>
          <w:i/>
          <w:iCs/>
          <w:sz w:val="22"/>
          <w:szCs w:val="22"/>
        </w:rPr>
        <w:t xml:space="preserve"> (Palo Alto, CA)</w:t>
      </w:r>
      <w:r w:rsidRPr="007F6775">
        <w:rPr>
          <w:rFonts w:ascii="Arial" w:hAnsi="Arial" w:cs="Arial"/>
          <w:sz w:val="22"/>
          <w:szCs w:val="22"/>
        </w:rPr>
        <w:t xml:space="preserve">, 17(7), p. e87763. Available at: </w:t>
      </w:r>
      <w:hyperlink r:id="rId13" w:history="1">
        <w:r w:rsidRPr="007F6775">
          <w:rPr>
            <w:rStyle w:val="Hyperlink"/>
            <w:rFonts w:ascii="Arial" w:hAnsi="Arial" w:cs="Arial"/>
            <w:sz w:val="22"/>
            <w:szCs w:val="22"/>
          </w:rPr>
          <w:t>https://doi.org/10.7759/cureus.87763</w:t>
        </w:r>
      </w:hyperlink>
      <w:r w:rsidRPr="007F6775">
        <w:rPr>
          <w:rFonts w:ascii="Arial" w:hAnsi="Arial" w:cs="Arial"/>
          <w:sz w:val="22"/>
          <w:szCs w:val="22"/>
        </w:rPr>
        <w:t xml:space="preserve"> (Assessed, 13 July 2026).</w:t>
      </w:r>
    </w:p>
    <w:p w14:paraId="1F2A4F87" w14:textId="2B563ADB" w:rsidR="00411CA6" w:rsidRPr="007F6775" w:rsidRDefault="00411CA6" w:rsidP="007F6775">
      <w:pPr>
        <w:spacing w:line="360" w:lineRule="auto"/>
        <w:rPr>
          <w:rFonts w:ascii="Arial" w:hAnsi="Arial" w:cs="Arial"/>
          <w:sz w:val="22"/>
          <w:szCs w:val="22"/>
        </w:rPr>
      </w:pPr>
      <w:r w:rsidRPr="007F6775">
        <w:rPr>
          <w:rFonts w:ascii="Arial" w:hAnsi="Arial" w:cs="Arial"/>
          <w:sz w:val="22"/>
          <w:szCs w:val="22"/>
        </w:rPr>
        <w:t>Li, E. </w:t>
      </w:r>
      <w:r w:rsidRPr="007F6775">
        <w:rPr>
          <w:rFonts w:ascii="Arial" w:hAnsi="Arial" w:cs="Arial"/>
          <w:i/>
          <w:iCs/>
          <w:sz w:val="22"/>
          <w:szCs w:val="22"/>
        </w:rPr>
        <w:t>et al.</w:t>
      </w:r>
      <w:r w:rsidRPr="007F6775">
        <w:rPr>
          <w:rFonts w:ascii="Arial" w:hAnsi="Arial" w:cs="Arial"/>
          <w:sz w:val="22"/>
          <w:szCs w:val="22"/>
        </w:rPr>
        <w:t> (2023) “Perceptions of chief clinical information officers on the state of electronic health records systems interoperability in NHS England: a qualitative interview study,” </w:t>
      </w:r>
      <w:r w:rsidRPr="007F6775">
        <w:rPr>
          <w:rFonts w:ascii="Arial" w:hAnsi="Arial" w:cs="Arial"/>
          <w:i/>
          <w:iCs/>
          <w:sz w:val="22"/>
          <w:szCs w:val="22"/>
        </w:rPr>
        <w:t>BMC medical informatics and decision making</w:t>
      </w:r>
      <w:r w:rsidRPr="007F6775">
        <w:rPr>
          <w:rFonts w:ascii="Arial" w:hAnsi="Arial" w:cs="Arial"/>
          <w:sz w:val="22"/>
          <w:szCs w:val="22"/>
        </w:rPr>
        <w:t xml:space="preserve">, 23(1). Available at: </w:t>
      </w:r>
      <w:hyperlink r:id="rId14" w:history="1">
        <w:r w:rsidRPr="007F6775">
          <w:rPr>
            <w:rStyle w:val="Hyperlink"/>
            <w:rFonts w:ascii="Arial" w:hAnsi="Arial" w:cs="Arial"/>
            <w:sz w:val="22"/>
            <w:szCs w:val="22"/>
          </w:rPr>
          <w:t>https://doi.org/10.1186/s12911-023-02255-8</w:t>
        </w:r>
      </w:hyperlink>
      <w:r w:rsidRPr="007F6775">
        <w:rPr>
          <w:rFonts w:ascii="Arial" w:hAnsi="Arial" w:cs="Arial"/>
          <w:sz w:val="22"/>
          <w:szCs w:val="22"/>
        </w:rPr>
        <w:t xml:space="preserve"> (Assessed, 13 July 2026).</w:t>
      </w:r>
      <w:r w:rsidRPr="007F6775">
        <w:rPr>
          <w:rFonts w:ascii="Arial" w:hAnsi="Arial" w:cs="Arial"/>
          <w:b/>
          <w:bCs/>
          <w:sz w:val="22"/>
          <w:szCs w:val="22"/>
        </w:rPr>
        <w:t xml:space="preserve"> </w:t>
      </w:r>
    </w:p>
    <w:p w14:paraId="3539B467" w14:textId="261CBFA6"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lastRenderedPageBreak/>
        <w:t>Li, E. </w:t>
      </w:r>
      <w:r w:rsidRPr="007F6775">
        <w:rPr>
          <w:rFonts w:ascii="Arial" w:hAnsi="Arial" w:cs="Arial"/>
          <w:b/>
          <w:bCs/>
          <w:i/>
          <w:iCs/>
          <w:sz w:val="22"/>
          <w:szCs w:val="22"/>
        </w:rPr>
        <w:t>et al.</w:t>
      </w:r>
      <w:r w:rsidRPr="007F6775">
        <w:rPr>
          <w:rFonts w:ascii="Arial" w:hAnsi="Arial" w:cs="Arial"/>
          <w:b/>
          <w:bCs/>
          <w:sz w:val="22"/>
          <w:szCs w:val="22"/>
        </w:rPr>
        <w:t> (2025) “Physician experiences of electronic health record interoperability and its practical impact on care delivery in the English NHS: a cross-sectional survey study,” </w:t>
      </w:r>
      <w:r w:rsidRPr="007F6775">
        <w:rPr>
          <w:rFonts w:ascii="Arial" w:hAnsi="Arial" w:cs="Arial"/>
          <w:b/>
          <w:bCs/>
          <w:i/>
          <w:iCs/>
          <w:sz w:val="22"/>
          <w:szCs w:val="22"/>
        </w:rPr>
        <w:t>BMJ open</w:t>
      </w:r>
      <w:r w:rsidRPr="007F6775">
        <w:rPr>
          <w:rFonts w:ascii="Arial" w:hAnsi="Arial" w:cs="Arial"/>
          <w:b/>
          <w:bCs/>
          <w:sz w:val="22"/>
          <w:szCs w:val="22"/>
        </w:rPr>
        <w:t xml:space="preserve">, 15(6), p. e096669. Available at: </w:t>
      </w:r>
      <w:hyperlink r:id="rId15" w:history="1">
        <w:r w:rsidRPr="007F6775">
          <w:rPr>
            <w:rStyle w:val="Hyperlink"/>
            <w:rFonts w:ascii="Arial" w:hAnsi="Arial" w:cs="Arial"/>
            <w:b/>
            <w:bCs/>
            <w:sz w:val="22"/>
            <w:szCs w:val="22"/>
          </w:rPr>
          <w:t>https://doi.org/10.1136/bmjopen-2024-096669</w:t>
        </w:r>
      </w:hyperlink>
      <w:r w:rsidRPr="007F6775">
        <w:rPr>
          <w:rFonts w:ascii="Arial" w:hAnsi="Arial" w:cs="Arial"/>
          <w:b/>
          <w:bCs/>
          <w:sz w:val="22"/>
          <w:szCs w:val="22"/>
        </w:rPr>
        <w:t xml:space="preserve"> </w:t>
      </w:r>
      <w:r w:rsidRPr="007F6775">
        <w:rPr>
          <w:rFonts w:ascii="Arial" w:hAnsi="Arial" w:cs="Arial"/>
          <w:sz w:val="22"/>
          <w:szCs w:val="22"/>
        </w:rPr>
        <w:t>(Assessed, 13 July 2026).</w:t>
      </w:r>
      <w:r w:rsidRPr="007F6775">
        <w:rPr>
          <w:rFonts w:ascii="Arial" w:hAnsi="Arial" w:cs="Arial"/>
          <w:b/>
          <w:bCs/>
          <w:sz w:val="22"/>
          <w:szCs w:val="22"/>
        </w:rPr>
        <w:t xml:space="preserve"> </w:t>
      </w:r>
    </w:p>
    <w:p w14:paraId="01CA9C67" w14:textId="3393F8AE"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Looi, J.C. </w:t>
      </w:r>
      <w:r w:rsidRPr="007F6775">
        <w:rPr>
          <w:rFonts w:ascii="Arial" w:hAnsi="Arial" w:cs="Arial"/>
          <w:b/>
          <w:bCs/>
          <w:i/>
          <w:iCs/>
          <w:sz w:val="22"/>
          <w:szCs w:val="22"/>
        </w:rPr>
        <w:t>et al.</w:t>
      </w:r>
      <w:r w:rsidRPr="007F6775">
        <w:rPr>
          <w:rFonts w:ascii="Arial" w:hAnsi="Arial" w:cs="Arial"/>
          <w:b/>
          <w:bCs/>
          <w:sz w:val="22"/>
          <w:szCs w:val="22"/>
        </w:rPr>
        <w:t xml:space="preserve"> (2025) “Cybersecurity lessons from the </w:t>
      </w:r>
      <w:proofErr w:type="spellStart"/>
      <w:r w:rsidRPr="007F6775">
        <w:rPr>
          <w:rFonts w:ascii="Arial" w:hAnsi="Arial" w:cs="Arial"/>
          <w:b/>
          <w:bCs/>
          <w:sz w:val="22"/>
          <w:szCs w:val="22"/>
        </w:rPr>
        <w:t>Vastaamo</w:t>
      </w:r>
      <w:proofErr w:type="spellEnd"/>
      <w:r w:rsidRPr="007F6775">
        <w:rPr>
          <w:rFonts w:ascii="Arial" w:hAnsi="Arial" w:cs="Arial"/>
          <w:b/>
          <w:bCs/>
          <w:sz w:val="22"/>
          <w:szCs w:val="22"/>
        </w:rPr>
        <w:t xml:space="preserve"> psychotherapy data breach for psychiatrists and other mental healthcare providers,” </w:t>
      </w:r>
      <w:r w:rsidRPr="007F6775">
        <w:rPr>
          <w:rFonts w:ascii="Arial" w:hAnsi="Arial" w:cs="Arial"/>
          <w:b/>
          <w:bCs/>
          <w:i/>
          <w:iCs/>
          <w:sz w:val="22"/>
          <w:szCs w:val="22"/>
        </w:rPr>
        <w:t>Australasian psychiatry: bulletin of the Royal Australian and New Zealand College of Psychiatrists</w:t>
      </w:r>
      <w:r w:rsidRPr="007F6775">
        <w:rPr>
          <w:rFonts w:ascii="Arial" w:hAnsi="Arial" w:cs="Arial"/>
          <w:b/>
          <w:bCs/>
          <w:sz w:val="22"/>
          <w:szCs w:val="22"/>
        </w:rPr>
        <w:t xml:space="preserve">, 33(1), pp. 106–110. Available at: </w:t>
      </w:r>
      <w:hyperlink r:id="rId16" w:history="1">
        <w:r w:rsidRPr="007F6775">
          <w:rPr>
            <w:rStyle w:val="Hyperlink"/>
            <w:rFonts w:ascii="Arial" w:hAnsi="Arial" w:cs="Arial"/>
            <w:b/>
            <w:bCs/>
            <w:sz w:val="22"/>
            <w:szCs w:val="22"/>
          </w:rPr>
          <w:t>https://doi.org/10.1177/10398562241291340</w:t>
        </w:r>
      </w:hyperlink>
      <w:r w:rsidR="00401203">
        <w:rPr>
          <w:rFonts w:ascii="Arial" w:hAnsi="Arial" w:cs="Arial"/>
          <w:b/>
          <w:bCs/>
          <w:sz w:val="22"/>
          <w:szCs w:val="22"/>
        </w:rPr>
        <w:t xml:space="preserve"> </w:t>
      </w:r>
      <w:r w:rsidRPr="007F6775">
        <w:rPr>
          <w:rFonts w:ascii="Arial" w:hAnsi="Arial" w:cs="Arial"/>
          <w:sz w:val="22"/>
          <w:szCs w:val="22"/>
        </w:rPr>
        <w:t>(Assessed, 13 July 2026).</w:t>
      </w:r>
      <w:r w:rsidRPr="007F6775">
        <w:rPr>
          <w:rFonts w:ascii="Arial" w:hAnsi="Arial" w:cs="Arial"/>
          <w:b/>
          <w:bCs/>
          <w:sz w:val="22"/>
          <w:szCs w:val="22"/>
        </w:rPr>
        <w:t xml:space="preserve">  </w:t>
      </w:r>
    </w:p>
    <w:p w14:paraId="54DECBBF" w14:textId="32081EB4" w:rsidR="00411CA6" w:rsidRPr="007F6775" w:rsidRDefault="00411CA6" w:rsidP="007F6775">
      <w:pPr>
        <w:spacing w:line="360" w:lineRule="auto"/>
        <w:rPr>
          <w:rFonts w:ascii="Arial" w:hAnsi="Arial" w:cs="Arial"/>
          <w:b/>
          <w:bCs/>
          <w:sz w:val="22"/>
          <w:szCs w:val="22"/>
        </w:rPr>
      </w:pPr>
      <w:proofErr w:type="spellStart"/>
      <w:r w:rsidRPr="007F6775">
        <w:rPr>
          <w:rFonts w:ascii="Arial" w:hAnsi="Arial" w:cs="Arial"/>
          <w:sz w:val="22"/>
          <w:szCs w:val="22"/>
        </w:rPr>
        <w:t>Madandola</w:t>
      </w:r>
      <w:proofErr w:type="spellEnd"/>
      <w:r w:rsidRPr="007F6775">
        <w:rPr>
          <w:rFonts w:ascii="Arial" w:hAnsi="Arial" w:cs="Arial"/>
          <w:sz w:val="22"/>
          <w:szCs w:val="22"/>
        </w:rPr>
        <w:t>, O.O. </w:t>
      </w:r>
      <w:r w:rsidRPr="007F6775">
        <w:rPr>
          <w:rFonts w:ascii="Arial" w:hAnsi="Arial" w:cs="Arial"/>
          <w:i/>
          <w:iCs/>
          <w:sz w:val="22"/>
          <w:szCs w:val="22"/>
        </w:rPr>
        <w:t>et al.</w:t>
      </w:r>
      <w:r w:rsidRPr="007F6775">
        <w:rPr>
          <w:rFonts w:ascii="Arial" w:hAnsi="Arial" w:cs="Arial"/>
          <w:sz w:val="22"/>
          <w:szCs w:val="22"/>
        </w:rPr>
        <w:t> (2023) “The relationship between electronic health records user interface features and data quality of patient clinical information: an integrative review,” </w:t>
      </w:r>
      <w:r w:rsidRPr="007F6775">
        <w:rPr>
          <w:rFonts w:ascii="Arial" w:hAnsi="Arial" w:cs="Arial"/>
          <w:i/>
          <w:iCs/>
          <w:sz w:val="22"/>
          <w:szCs w:val="22"/>
        </w:rPr>
        <w:t>Journal of the American Medical Informatics Association: JAMIA</w:t>
      </w:r>
      <w:r w:rsidRPr="007F6775">
        <w:rPr>
          <w:rFonts w:ascii="Arial" w:hAnsi="Arial" w:cs="Arial"/>
          <w:sz w:val="22"/>
          <w:szCs w:val="22"/>
        </w:rPr>
        <w:t xml:space="preserve">, 31(1), pp. 240–255. Available at: </w:t>
      </w:r>
      <w:hyperlink r:id="rId17" w:history="1">
        <w:r w:rsidRPr="007F6775">
          <w:rPr>
            <w:rStyle w:val="Hyperlink"/>
            <w:rFonts w:ascii="Arial" w:hAnsi="Arial" w:cs="Arial"/>
            <w:sz w:val="22"/>
            <w:szCs w:val="22"/>
          </w:rPr>
          <w:t>https://doi.org/10.1093/jamia/ocad188</w:t>
        </w:r>
      </w:hyperlink>
      <w:r w:rsidRPr="007F6775">
        <w:rPr>
          <w:rFonts w:ascii="Arial" w:hAnsi="Arial" w:cs="Arial"/>
          <w:sz w:val="22"/>
          <w:szCs w:val="22"/>
        </w:rPr>
        <w:t>. (Assessed, 13 July 2026).</w:t>
      </w:r>
      <w:r w:rsidRPr="007F6775">
        <w:rPr>
          <w:rFonts w:ascii="Arial" w:hAnsi="Arial" w:cs="Arial"/>
          <w:b/>
          <w:bCs/>
          <w:sz w:val="22"/>
          <w:szCs w:val="22"/>
        </w:rPr>
        <w:t xml:space="preserve"> </w:t>
      </w:r>
    </w:p>
    <w:p w14:paraId="023B3E4D" w14:textId="77777777"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 xml:space="preserve">NHS Digital (2020) </w:t>
      </w:r>
      <w:r w:rsidRPr="007F6775">
        <w:rPr>
          <w:rFonts w:ascii="Arial" w:hAnsi="Arial" w:cs="Arial"/>
          <w:b/>
          <w:bCs/>
          <w:i/>
          <w:iCs/>
          <w:sz w:val="22"/>
          <w:szCs w:val="22"/>
        </w:rPr>
        <w:t>Digital transformation in health and social care: Improving access to information</w:t>
      </w:r>
      <w:r w:rsidRPr="007F6775">
        <w:rPr>
          <w:rFonts w:ascii="Arial" w:hAnsi="Arial" w:cs="Arial"/>
          <w:b/>
          <w:bCs/>
          <w:sz w:val="22"/>
          <w:szCs w:val="22"/>
        </w:rPr>
        <w:t xml:space="preserve">. NHS Digital. Available at: </w:t>
      </w:r>
      <w:hyperlink r:id="rId18" w:tgtFrame="_blank" w:tooltip="digital.nhs.uk" w:history="1">
        <w:r w:rsidRPr="007F6775">
          <w:rPr>
            <w:rStyle w:val="Hyperlink"/>
            <w:rFonts w:ascii="Arial" w:hAnsi="Arial" w:cs="Arial"/>
            <w:b/>
            <w:bCs/>
            <w:sz w:val="22"/>
            <w:szCs w:val="22"/>
          </w:rPr>
          <w:t>https://digital.nhs.uk</w:t>
        </w:r>
      </w:hyperlink>
      <w:r w:rsidRPr="007F6775">
        <w:rPr>
          <w:rFonts w:ascii="Arial" w:hAnsi="Arial" w:cs="Arial"/>
          <w:b/>
          <w:bCs/>
          <w:sz w:val="22"/>
          <w:szCs w:val="22"/>
        </w:rPr>
        <w:t xml:space="preserve"> (Accessed: 14 July 2026).</w:t>
      </w:r>
    </w:p>
    <w:p w14:paraId="35D1C745" w14:textId="7A4D694B" w:rsidR="00411CA6" w:rsidRPr="007F6775" w:rsidRDefault="00411CA6" w:rsidP="007F6775">
      <w:pPr>
        <w:spacing w:line="360" w:lineRule="auto"/>
        <w:rPr>
          <w:rFonts w:ascii="Arial" w:hAnsi="Arial" w:cs="Arial"/>
          <w:sz w:val="22"/>
          <w:szCs w:val="22"/>
        </w:rPr>
      </w:pPr>
      <w:r w:rsidRPr="007F6775">
        <w:rPr>
          <w:rFonts w:ascii="Arial" w:hAnsi="Arial" w:cs="Arial"/>
          <w:sz w:val="22"/>
          <w:szCs w:val="22"/>
        </w:rPr>
        <w:t xml:space="preserve">NHS England (2023). </w:t>
      </w:r>
      <w:r w:rsidRPr="007F6775">
        <w:rPr>
          <w:rFonts w:ascii="Arial" w:hAnsi="Arial" w:cs="Arial"/>
          <w:i/>
          <w:iCs/>
          <w:sz w:val="22"/>
          <w:szCs w:val="22"/>
        </w:rPr>
        <w:t>NHS England Digital Strategy: Transforming services through technology</w:t>
      </w:r>
      <w:r w:rsidRPr="007F6775">
        <w:rPr>
          <w:rFonts w:ascii="Arial" w:hAnsi="Arial" w:cs="Arial"/>
          <w:sz w:val="22"/>
          <w:szCs w:val="22"/>
        </w:rPr>
        <w:t xml:space="preserve">. NHS England. Available at: </w:t>
      </w:r>
      <w:hyperlink r:id="rId19" w:tgtFrame="_blank" w:tooltip="www.england.nhs.uk" w:history="1">
        <w:r w:rsidRPr="007F6775">
          <w:rPr>
            <w:rStyle w:val="Hyperlink"/>
            <w:rFonts w:ascii="Arial" w:hAnsi="Arial" w:cs="Arial"/>
            <w:sz w:val="22"/>
            <w:szCs w:val="22"/>
          </w:rPr>
          <w:t>https://www.england.nhs.uk</w:t>
        </w:r>
      </w:hyperlink>
      <w:r w:rsidRPr="007F6775">
        <w:rPr>
          <w:rFonts w:ascii="Arial" w:hAnsi="Arial" w:cs="Arial"/>
          <w:sz w:val="22"/>
          <w:szCs w:val="22"/>
        </w:rPr>
        <w:t xml:space="preserve"> (Accessed: 14 July 2026).</w:t>
      </w:r>
    </w:p>
    <w:p w14:paraId="4BD67DDB" w14:textId="764AF655" w:rsidR="00411CA6" w:rsidRPr="007F6775" w:rsidRDefault="00411CA6" w:rsidP="007F6775">
      <w:pPr>
        <w:spacing w:line="360" w:lineRule="auto"/>
        <w:rPr>
          <w:rFonts w:ascii="Arial" w:hAnsi="Arial" w:cs="Arial"/>
          <w:sz w:val="22"/>
          <w:szCs w:val="22"/>
        </w:rPr>
      </w:pPr>
      <w:r w:rsidRPr="007F6775">
        <w:rPr>
          <w:rFonts w:ascii="Arial" w:hAnsi="Arial" w:cs="Arial"/>
          <w:sz w:val="22"/>
          <w:szCs w:val="22"/>
        </w:rPr>
        <w:t xml:space="preserve">NHS England (2023). </w:t>
      </w:r>
      <w:r w:rsidRPr="007F6775">
        <w:rPr>
          <w:rFonts w:ascii="Arial" w:hAnsi="Arial" w:cs="Arial"/>
          <w:i/>
          <w:iCs/>
          <w:sz w:val="22"/>
          <w:szCs w:val="22"/>
        </w:rPr>
        <w:t>Information governance and data protection in digital health systems</w:t>
      </w:r>
      <w:r w:rsidRPr="007F6775">
        <w:rPr>
          <w:rFonts w:ascii="Arial" w:hAnsi="Arial" w:cs="Arial"/>
          <w:sz w:val="22"/>
          <w:szCs w:val="22"/>
        </w:rPr>
        <w:t xml:space="preserve">. NHS England. Available at: </w:t>
      </w:r>
      <w:hyperlink r:id="rId20" w:tgtFrame="_blank" w:tooltip="www.england.nhs.uk" w:history="1">
        <w:r w:rsidRPr="007F6775">
          <w:rPr>
            <w:rStyle w:val="Hyperlink"/>
            <w:rFonts w:ascii="Arial" w:hAnsi="Arial" w:cs="Arial"/>
            <w:sz w:val="22"/>
            <w:szCs w:val="22"/>
          </w:rPr>
          <w:t>https://www.england.nhs.uk</w:t>
        </w:r>
      </w:hyperlink>
      <w:r w:rsidRPr="007F6775">
        <w:rPr>
          <w:rFonts w:ascii="Arial" w:hAnsi="Arial" w:cs="Arial"/>
          <w:sz w:val="22"/>
          <w:szCs w:val="22"/>
        </w:rPr>
        <w:t xml:space="preserve"> (Accessed: 14 July 2026).</w:t>
      </w:r>
    </w:p>
    <w:p w14:paraId="7EA71897" w14:textId="6973680C" w:rsidR="00411CA6" w:rsidRPr="007F6775" w:rsidRDefault="00411CA6" w:rsidP="007F6775">
      <w:pPr>
        <w:spacing w:line="360" w:lineRule="auto"/>
        <w:rPr>
          <w:rFonts w:ascii="Arial" w:hAnsi="Arial" w:cs="Arial"/>
          <w:sz w:val="22"/>
          <w:szCs w:val="22"/>
        </w:rPr>
      </w:pPr>
      <w:proofErr w:type="spellStart"/>
      <w:r w:rsidRPr="007F6775">
        <w:rPr>
          <w:rFonts w:ascii="Arial" w:hAnsi="Arial" w:cs="Arial"/>
          <w:b/>
          <w:bCs/>
          <w:sz w:val="22"/>
          <w:szCs w:val="22"/>
        </w:rPr>
        <w:t>Olakotan</w:t>
      </w:r>
      <w:proofErr w:type="spellEnd"/>
      <w:r w:rsidRPr="007F6775">
        <w:rPr>
          <w:rFonts w:ascii="Arial" w:hAnsi="Arial" w:cs="Arial"/>
          <w:b/>
          <w:bCs/>
          <w:sz w:val="22"/>
          <w:szCs w:val="22"/>
        </w:rPr>
        <w:t>, O. </w:t>
      </w:r>
      <w:r w:rsidRPr="007F6775">
        <w:rPr>
          <w:rFonts w:ascii="Arial" w:hAnsi="Arial" w:cs="Arial"/>
          <w:b/>
          <w:bCs/>
          <w:i/>
          <w:iCs/>
          <w:sz w:val="22"/>
          <w:szCs w:val="22"/>
        </w:rPr>
        <w:t>et al.</w:t>
      </w:r>
      <w:r w:rsidRPr="007F6775">
        <w:rPr>
          <w:rFonts w:ascii="Arial" w:hAnsi="Arial" w:cs="Arial"/>
          <w:b/>
          <w:bCs/>
          <w:sz w:val="22"/>
          <w:szCs w:val="22"/>
        </w:rPr>
        <w:t> (2025) “Usability Challenges in Electronic Health Records: Impact on Documentation Burden and Clinical Workflow: A Scoping Review,” </w:t>
      </w:r>
      <w:r w:rsidRPr="007F6775">
        <w:rPr>
          <w:rFonts w:ascii="Arial" w:hAnsi="Arial" w:cs="Arial"/>
          <w:b/>
          <w:bCs/>
          <w:i/>
          <w:iCs/>
          <w:sz w:val="22"/>
          <w:szCs w:val="22"/>
        </w:rPr>
        <w:t>Journal of Evaluation in Clinical Practice</w:t>
      </w:r>
      <w:r w:rsidRPr="007F6775">
        <w:rPr>
          <w:rFonts w:ascii="Arial" w:hAnsi="Arial" w:cs="Arial"/>
          <w:b/>
          <w:bCs/>
          <w:sz w:val="22"/>
          <w:szCs w:val="22"/>
        </w:rPr>
        <w:t xml:space="preserve">, 31(4), pp. e70189-n/a. Available at: </w:t>
      </w:r>
      <w:hyperlink r:id="rId21" w:history="1">
        <w:r w:rsidRPr="007F6775">
          <w:rPr>
            <w:rStyle w:val="Hyperlink"/>
            <w:rFonts w:ascii="Arial" w:hAnsi="Arial" w:cs="Arial"/>
            <w:b/>
            <w:bCs/>
            <w:sz w:val="22"/>
            <w:szCs w:val="22"/>
          </w:rPr>
          <w:t>https://doi.org/10.1111/jep.70189</w:t>
        </w:r>
      </w:hyperlink>
      <w:r w:rsidRPr="007F6775">
        <w:rPr>
          <w:rFonts w:ascii="Arial" w:hAnsi="Arial" w:cs="Arial"/>
          <w:b/>
          <w:bCs/>
          <w:sz w:val="22"/>
          <w:szCs w:val="22"/>
        </w:rPr>
        <w:t xml:space="preserve"> </w:t>
      </w:r>
      <w:r w:rsidRPr="007F6775">
        <w:rPr>
          <w:rFonts w:ascii="Arial" w:hAnsi="Arial" w:cs="Arial"/>
          <w:sz w:val="22"/>
          <w:szCs w:val="22"/>
        </w:rPr>
        <w:t>(Assessed, 13 July 2026).</w:t>
      </w:r>
    </w:p>
    <w:p w14:paraId="6B67577B" w14:textId="273FC9F8"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 xml:space="preserve">Public Health England (2021). </w:t>
      </w:r>
      <w:r w:rsidRPr="007F6775">
        <w:rPr>
          <w:rFonts w:ascii="Arial" w:hAnsi="Arial" w:cs="Arial"/>
          <w:b/>
          <w:bCs/>
          <w:i/>
          <w:iCs/>
          <w:sz w:val="22"/>
          <w:szCs w:val="22"/>
        </w:rPr>
        <w:t>COVID</w:t>
      </w:r>
      <w:r w:rsidRPr="007F6775">
        <w:rPr>
          <w:rFonts w:ascii="Arial" w:hAnsi="Arial" w:cs="Arial"/>
          <w:b/>
          <w:bCs/>
          <w:i/>
          <w:iCs/>
          <w:sz w:val="22"/>
          <w:szCs w:val="22"/>
        </w:rPr>
        <w:noBreakHyphen/>
        <w:t>19: Public health data and digital tools for pandemic response</w:t>
      </w:r>
      <w:r w:rsidRPr="007F6775">
        <w:rPr>
          <w:rFonts w:ascii="Arial" w:hAnsi="Arial" w:cs="Arial"/>
          <w:b/>
          <w:bCs/>
          <w:sz w:val="22"/>
          <w:szCs w:val="22"/>
        </w:rPr>
        <w:t xml:space="preserve">. London: Public Health England. Available at: https://www.gov.uk/government/organisations/public-health-england </w:t>
      </w:r>
      <w:hyperlink r:id="rId22" w:tgtFrame="_blank" w:tooltip="www.bing.com" w:history="1">
        <w:r w:rsidRPr="007F6775">
          <w:rPr>
            <w:rStyle w:val="Hyperlink"/>
            <w:rFonts w:ascii="Arial" w:hAnsi="Arial" w:cs="Arial"/>
            <w:b/>
            <w:bCs/>
            <w:sz w:val="22"/>
            <w:szCs w:val="22"/>
          </w:rPr>
          <w:t>(gov.uk in Bing)</w:t>
        </w:r>
      </w:hyperlink>
      <w:r w:rsidRPr="007F6775">
        <w:rPr>
          <w:rFonts w:ascii="Arial" w:hAnsi="Arial" w:cs="Arial"/>
          <w:b/>
          <w:bCs/>
          <w:sz w:val="22"/>
          <w:szCs w:val="22"/>
        </w:rPr>
        <w:t xml:space="preserve"> (Accessed: 14 July 2026). </w:t>
      </w:r>
    </w:p>
    <w:p w14:paraId="769408FC" w14:textId="7B7A0E2C" w:rsidR="00411CA6" w:rsidRPr="007F6775" w:rsidRDefault="00411CA6" w:rsidP="007F6775">
      <w:pPr>
        <w:spacing w:line="360" w:lineRule="auto"/>
        <w:rPr>
          <w:rFonts w:ascii="Arial" w:hAnsi="Arial" w:cs="Arial"/>
          <w:sz w:val="22"/>
          <w:szCs w:val="22"/>
        </w:rPr>
      </w:pPr>
      <w:r w:rsidRPr="007F6775">
        <w:rPr>
          <w:rFonts w:ascii="Arial" w:hAnsi="Arial" w:cs="Arial"/>
          <w:b/>
          <w:bCs/>
          <w:sz w:val="22"/>
          <w:szCs w:val="22"/>
        </w:rPr>
        <w:t>Robinson, K.E. and Kersey, J.A. (2018) “Novel electronic health record (EHR) education intervention in large healthcare organisation improves quality, efficiency, time, and impact on burnout,” </w:t>
      </w:r>
      <w:r w:rsidRPr="007F6775">
        <w:rPr>
          <w:rFonts w:ascii="Arial" w:hAnsi="Arial" w:cs="Arial"/>
          <w:b/>
          <w:bCs/>
          <w:i/>
          <w:iCs/>
          <w:sz w:val="22"/>
          <w:szCs w:val="22"/>
        </w:rPr>
        <w:t>Medicine (Baltimore)</w:t>
      </w:r>
      <w:r w:rsidRPr="007F6775">
        <w:rPr>
          <w:rFonts w:ascii="Arial" w:hAnsi="Arial" w:cs="Arial"/>
          <w:b/>
          <w:bCs/>
          <w:sz w:val="22"/>
          <w:szCs w:val="22"/>
        </w:rPr>
        <w:t xml:space="preserve">, 97(38), pp. e12319–e12319. Available at: </w:t>
      </w:r>
      <w:hyperlink r:id="rId23" w:history="1">
        <w:r w:rsidRPr="007F6775">
          <w:rPr>
            <w:rStyle w:val="Hyperlink"/>
            <w:rFonts w:ascii="Arial" w:hAnsi="Arial" w:cs="Arial"/>
            <w:b/>
            <w:bCs/>
            <w:sz w:val="22"/>
            <w:szCs w:val="22"/>
          </w:rPr>
          <w:t>https://doi.org/10.1097/MD.0000000000012319</w:t>
        </w:r>
      </w:hyperlink>
      <w:r w:rsidR="00064DF7">
        <w:rPr>
          <w:rFonts w:ascii="Arial" w:hAnsi="Arial" w:cs="Arial"/>
          <w:b/>
          <w:bCs/>
          <w:sz w:val="22"/>
          <w:szCs w:val="22"/>
        </w:rPr>
        <w:t xml:space="preserve"> </w:t>
      </w:r>
      <w:r w:rsidRPr="007F6775">
        <w:rPr>
          <w:rFonts w:ascii="Arial" w:hAnsi="Arial" w:cs="Arial"/>
          <w:sz w:val="22"/>
          <w:szCs w:val="22"/>
        </w:rPr>
        <w:t>(Assessed, 13 July 2026).</w:t>
      </w:r>
    </w:p>
    <w:p w14:paraId="28299CC4" w14:textId="77777777"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lastRenderedPageBreak/>
        <w:t xml:space="preserve">Skills for Care (2022) </w:t>
      </w:r>
      <w:r w:rsidRPr="007F6775">
        <w:rPr>
          <w:rFonts w:ascii="Arial" w:hAnsi="Arial" w:cs="Arial"/>
          <w:b/>
          <w:bCs/>
          <w:i/>
          <w:iCs/>
          <w:sz w:val="22"/>
          <w:szCs w:val="22"/>
        </w:rPr>
        <w:t>Digital skills in adult social care: Workforce insights report</w:t>
      </w:r>
      <w:r w:rsidRPr="007F6775">
        <w:rPr>
          <w:rFonts w:ascii="Arial" w:hAnsi="Arial" w:cs="Arial"/>
          <w:b/>
          <w:bCs/>
          <w:sz w:val="22"/>
          <w:szCs w:val="22"/>
        </w:rPr>
        <w:t xml:space="preserve">. Leeds: Skills for Care. Available at: https://www.skillsforcare.org.uk </w:t>
      </w:r>
      <w:hyperlink r:id="rId24" w:tgtFrame="_blank" w:tooltip="www.bing.com" w:history="1">
        <w:r w:rsidRPr="007F6775">
          <w:rPr>
            <w:rStyle w:val="Hyperlink"/>
            <w:rFonts w:ascii="Arial" w:hAnsi="Arial" w:cs="Arial"/>
            <w:b/>
            <w:bCs/>
            <w:sz w:val="22"/>
            <w:szCs w:val="22"/>
          </w:rPr>
          <w:t>(skillsforcare.org.uk in Bing)</w:t>
        </w:r>
      </w:hyperlink>
      <w:r w:rsidRPr="007F6775">
        <w:rPr>
          <w:rFonts w:ascii="Arial" w:hAnsi="Arial" w:cs="Arial"/>
          <w:b/>
          <w:bCs/>
          <w:sz w:val="22"/>
          <w:szCs w:val="22"/>
        </w:rPr>
        <w:t xml:space="preserve"> (Accessed: 14 July 2026).  </w:t>
      </w:r>
    </w:p>
    <w:p w14:paraId="5F6FD05C" w14:textId="77777777" w:rsidR="00411CA6" w:rsidRPr="007F6775" w:rsidRDefault="00411CA6" w:rsidP="007F6775">
      <w:pPr>
        <w:spacing w:line="360" w:lineRule="auto"/>
        <w:rPr>
          <w:rFonts w:ascii="Arial" w:hAnsi="Arial" w:cs="Arial"/>
          <w:b/>
          <w:bCs/>
          <w:sz w:val="22"/>
          <w:szCs w:val="22"/>
        </w:rPr>
      </w:pPr>
      <w:r w:rsidRPr="007F6775">
        <w:rPr>
          <w:rFonts w:ascii="Arial" w:hAnsi="Arial" w:cs="Arial"/>
          <w:b/>
          <w:bCs/>
          <w:sz w:val="22"/>
          <w:szCs w:val="22"/>
        </w:rPr>
        <w:t>Symons, J.D. </w:t>
      </w:r>
      <w:r w:rsidRPr="007F6775">
        <w:rPr>
          <w:rFonts w:ascii="Arial" w:hAnsi="Arial" w:cs="Arial"/>
          <w:b/>
          <w:bCs/>
          <w:i/>
          <w:iCs/>
          <w:sz w:val="22"/>
          <w:szCs w:val="22"/>
        </w:rPr>
        <w:t>et al.</w:t>
      </w:r>
      <w:r w:rsidRPr="007F6775">
        <w:rPr>
          <w:rFonts w:ascii="Arial" w:hAnsi="Arial" w:cs="Arial"/>
          <w:b/>
          <w:bCs/>
          <w:sz w:val="22"/>
          <w:szCs w:val="22"/>
        </w:rPr>
        <w:t> (2019) “From EHR to PHR: let’s get the record straight,” </w:t>
      </w:r>
      <w:r w:rsidRPr="007F6775">
        <w:rPr>
          <w:rFonts w:ascii="Arial" w:hAnsi="Arial" w:cs="Arial"/>
          <w:b/>
          <w:bCs/>
          <w:i/>
          <w:iCs/>
          <w:sz w:val="22"/>
          <w:szCs w:val="22"/>
        </w:rPr>
        <w:t>BMJ open</w:t>
      </w:r>
      <w:r w:rsidRPr="007F6775">
        <w:rPr>
          <w:rFonts w:ascii="Arial" w:hAnsi="Arial" w:cs="Arial"/>
          <w:b/>
          <w:bCs/>
          <w:sz w:val="22"/>
          <w:szCs w:val="22"/>
        </w:rPr>
        <w:t xml:space="preserve">, 9(9), p. e029582. Available at: https://doi.org/10.1136/bmjopen-2019-029582 </w:t>
      </w:r>
      <w:r w:rsidRPr="007F6775">
        <w:rPr>
          <w:rFonts w:ascii="Arial" w:hAnsi="Arial" w:cs="Arial"/>
          <w:sz w:val="22"/>
          <w:szCs w:val="22"/>
        </w:rPr>
        <w:t>(Assessed, 13 July 2026).</w:t>
      </w:r>
      <w:r w:rsidRPr="007F6775">
        <w:rPr>
          <w:rFonts w:ascii="Arial" w:hAnsi="Arial" w:cs="Arial"/>
          <w:b/>
          <w:bCs/>
          <w:sz w:val="22"/>
          <w:szCs w:val="22"/>
        </w:rPr>
        <w:t xml:space="preserve">  </w:t>
      </w:r>
    </w:p>
    <w:p w14:paraId="5026AB8E" w14:textId="77777777" w:rsidR="00411CA6" w:rsidRPr="008375B5" w:rsidRDefault="00411CA6" w:rsidP="008375B5">
      <w:pPr>
        <w:spacing w:line="360" w:lineRule="auto"/>
        <w:rPr>
          <w:rFonts w:ascii="Arial" w:hAnsi="Arial" w:cs="Arial"/>
          <w:sz w:val="22"/>
          <w:szCs w:val="22"/>
        </w:rPr>
      </w:pPr>
    </w:p>
    <w:sectPr w:rsidR="00411CA6" w:rsidRPr="008375B5" w:rsidSect="008375B5">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9806B" w14:textId="77777777" w:rsidR="00685825" w:rsidRDefault="00685825" w:rsidP="008375B5">
      <w:pPr>
        <w:spacing w:after="0" w:line="240" w:lineRule="auto"/>
      </w:pPr>
      <w:r>
        <w:separator/>
      </w:r>
    </w:p>
  </w:endnote>
  <w:endnote w:type="continuationSeparator" w:id="0">
    <w:p w14:paraId="18DCE059" w14:textId="77777777" w:rsidR="00685825" w:rsidRDefault="00685825"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48930" w14:textId="77777777" w:rsidR="00685825" w:rsidRDefault="00685825" w:rsidP="008375B5">
      <w:pPr>
        <w:spacing w:after="0" w:line="240" w:lineRule="auto"/>
      </w:pPr>
      <w:r>
        <w:separator/>
      </w:r>
    </w:p>
  </w:footnote>
  <w:footnote w:type="continuationSeparator" w:id="0">
    <w:p w14:paraId="1BE9DE19" w14:textId="77777777" w:rsidR="00685825" w:rsidRDefault="00685825"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39BA"/>
    <w:rsid w:val="000348C6"/>
    <w:rsid w:val="00064DF7"/>
    <w:rsid w:val="000D2E46"/>
    <w:rsid w:val="002457D9"/>
    <w:rsid w:val="00254F18"/>
    <w:rsid w:val="00255D51"/>
    <w:rsid w:val="002E0C5C"/>
    <w:rsid w:val="00377057"/>
    <w:rsid w:val="003B6F10"/>
    <w:rsid w:val="00401203"/>
    <w:rsid w:val="00411CA6"/>
    <w:rsid w:val="0046559D"/>
    <w:rsid w:val="00465DAC"/>
    <w:rsid w:val="0058254B"/>
    <w:rsid w:val="00685825"/>
    <w:rsid w:val="0069018D"/>
    <w:rsid w:val="0072600E"/>
    <w:rsid w:val="007F6775"/>
    <w:rsid w:val="008265EC"/>
    <w:rsid w:val="008375B5"/>
    <w:rsid w:val="008C4EC7"/>
    <w:rsid w:val="008C66C2"/>
    <w:rsid w:val="008E31E6"/>
    <w:rsid w:val="008F043E"/>
    <w:rsid w:val="009334D8"/>
    <w:rsid w:val="00987802"/>
    <w:rsid w:val="00A875D4"/>
    <w:rsid w:val="00A9474F"/>
    <w:rsid w:val="00AC2DCE"/>
    <w:rsid w:val="00AC3FDE"/>
    <w:rsid w:val="00B27E5D"/>
    <w:rsid w:val="00C53717"/>
    <w:rsid w:val="00C80D0F"/>
    <w:rsid w:val="00D40915"/>
    <w:rsid w:val="00DE6462"/>
    <w:rsid w:val="00E70BF7"/>
    <w:rsid w:val="00ED1C1D"/>
    <w:rsid w:val="00F76CBF"/>
    <w:rsid w:val="00FE2F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411CA6"/>
    <w:rPr>
      <w:color w:val="467886" w:themeColor="hyperlink"/>
      <w:u w:val="single"/>
    </w:rPr>
  </w:style>
  <w:style w:type="paragraph" w:styleId="TOCHeading">
    <w:name w:val="TOC Heading"/>
    <w:basedOn w:val="Heading1"/>
    <w:next w:val="Normal"/>
    <w:uiPriority w:val="39"/>
    <w:unhideWhenUsed/>
    <w:qFormat/>
    <w:rsid w:val="007F6775"/>
    <w:pPr>
      <w:spacing w:before="240" w:after="0" w:line="259" w:lineRule="auto"/>
      <w:outlineLvl w:val="9"/>
    </w:pPr>
    <w:rPr>
      <w:rFonts w:asciiTheme="majorHAnsi" w:eastAsiaTheme="majorEastAsia" w:hAnsiTheme="majorHAnsi" w:cstheme="majorBidi"/>
      <w:color w:val="0F4761" w:themeColor="accent1" w:themeShade="BF"/>
      <w:kern w:val="0"/>
      <w:sz w:val="32"/>
      <w:szCs w:val="32"/>
      <w:lang w:eastAsia="en-GB"/>
    </w:rPr>
  </w:style>
  <w:style w:type="paragraph" w:styleId="TOC1">
    <w:name w:val="toc 1"/>
    <w:basedOn w:val="Normal"/>
    <w:next w:val="Normal"/>
    <w:autoRedefine/>
    <w:uiPriority w:val="39"/>
    <w:unhideWhenUsed/>
    <w:rsid w:val="008C4E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7759/cureus.87763" TargetMode="External"/><Relationship Id="rId18" Type="http://schemas.openxmlformats.org/officeDocument/2006/relationships/hyperlink" Target="https://digital.nhs.uk/?utm_source=copilo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11/jep.70189" TargetMode="External"/><Relationship Id="rId7" Type="http://schemas.openxmlformats.org/officeDocument/2006/relationships/endnotes" Target="endnotes.xml"/><Relationship Id="rId12" Type="http://schemas.openxmlformats.org/officeDocument/2006/relationships/hyperlink" Target="https://doi.org/10.1136/emermed-2020-210401" TargetMode="External"/><Relationship Id="rId17" Type="http://schemas.openxmlformats.org/officeDocument/2006/relationships/hyperlink" Target="https://doi.org/10.1093/jamia/ocad18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77/10398562241291340" TargetMode="External"/><Relationship Id="rId20" Type="http://schemas.openxmlformats.org/officeDocument/2006/relationships/hyperlink" Target="https://www.england.nhs.uk/?utm_source=copi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6/66398" TargetMode="External"/><Relationship Id="rId24" Type="http://schemas.openxmlformats.org/officeDocument/2006/relationships/hyperlink" Target="https://www.bing.com/search?q=%22https%3A%2F%2Fwww.skillsforcare.org.uk%2F%22&amp;utm_source=copilot.com" TargetMode="External"/><Relationship Id="rId5" Type="http://schemas.openxmlformats.org/officeDocument/2006/relationships/webSettings" Target="webSettings.xml"/><Relationship Id="rId15" Type="http://schemas.openxmlformats.org/officeDocument/2006/relationships/hyperlink" Target="https://doi.org/10.1136/bmjopen-2024-096669" TargetMode="External"/><Relationship Id="rId23" Type="http://schemas.openxmlformats.org/officeDocument/2006/relationships/hyperlink" Target="https://doi.org/10.1097/MD.0000000000012319" TargetMode="External"/><Relationship Id="rId10" Type="http://schemas.openxmlformats.org/officeDocument/2006/relationships/hyperlink" Target="https://doi.org/10.7759/cureus.26330" TargetMode="External"/><Relationship Id="rId19" Type="http://schemas.openxmlformats.org/officeDocument/2006/relationships/hyperlink" Target="https://www.england.nhs.uk/?utm_source=copilot.com"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doi.org/10.1186/s12911-023-02255-8" TargetMode="External"/><Relationship Id="rId22" Type="http://schemas.openxmlformats.org/officeDocument/2006/relationships/hyperlink" Target="https://www.bing.com/search?q=%22https%3A%2F%2Fwww.gov.uk%2Fgovernment%2Forganisations%2Fpublic-health-england%22&amp;utm_source=copilo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0D518-191E-49C7-BD67-B8888E623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3691</Words>
  <Characters>21039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24681</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nnadi chibuzor</cp:lastModifiedBy>
  <cp:revision>3</cp:revision>
  <dcterms:created xsi:type="dcterms:W3CDTF">2026-07-19T22:59:00Z</dcterms:created>
  <dcterms:modified xsi:type="dcterms:W3CDTF">2026-07-19T23:02:00Z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8e863736-344c-4b51-ad16-1b367c53428f</vt:lpwstr>
  </property>
</Properties>
</file>