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2E7F1" w14:textId="77777777" w:rsidR="00F93E5F" w:rsidRPr="00A85BFE" w:rsidRDefault="00F93E5F" w:rsidP="00F93E5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9D74468" wp14:editId="726818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E08EF33" w14:textId="77777777" w:rsidR="00F93E5F" w:rsidRPr="00A406E5" w:rsidRDefault="00F93E5F" w:rsidP="00F93E5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7904"/>
      </w:tblGrid>
      <w:tr w:rsidR="00F93E5F" w:rsidRPr="00A406E5" w14:paraId="3F96DCB1" w14:textId="77777777" w:rsidTr="00890CB7">
        <w:tc>
          <w:tcPr>
            <w:tcW w:w="9922" w:type="dxa"/>
            <w:shd w:val="clear" w:color="auto" w:fill="C0C0C0"/>
          </w:tcPr>
          <w:p w14:paraId="17CD71E3" w14:textId="77777777" w:rsidR="00F93E5F" w:rsidRPr="00A406E5" w:rsidRDefault="00F93E5F" w:rsidP="00890CB7">
            <w:pPr>
              <w:pStyle w:val="Heading4"/>
              <w:rPr>
                <w:rFonts w:ascii="Arial" w:hAnsi="Arial" w:cs="Arial"/>
                <w:b/>
              </w:rPr>
            </w:pPr>
            <w:bookmarkStart w:id="0" w:name="_Toc138283413"/>
            <w:r>
              <w:rPr>
                <w:rFonts w:ascii="Arial" w:hAnsi="Arial" w:cs="Arial"/>
                <w:b/>
              </w:rPr>
              <w:t>LEVEL 7</w:t>
            </w:r>
            <w:r w:rsidRPr="00A406E5">
              <w:rPr>
                <w:rFonts w:ascii="Arial" w:hAnsi="Arial" w:cs="Arial"/>
                <w:b/>
              </w:rPr>
              <w:t xml:space="preserve"> ASSESSMENT SPECIFICATION</w:t>
            </w:r>
            <w:bookmarkEnd w:id="0"/>
            <w:r w:rsidRPr="00A406E5">
              <w:rPr>
                <w:rFonts w:ascii="Arial" w:hAnsi="Arial" w:cs="Arial"/>
                <w:b/>
              </w:rPr>
              <w:t xml:space="preserve"> </w:t>
            </w:r>
          </w:p>
        </w:tc>
      </w:tr>
    </w:tbl>
    <w:p w14:paraId="199D5A3B" w14:textId="77777777" w:rsidR="00F93E5F" w:rsidRPr="00A406E5" w:rsidRDefault="00F93E5F" w:rsidP="00F93E5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50"/>
        <w:gridCol w:w="2111"/>
        <w:gridCol w:w="2268"/>
      </w:tblGrid>
      <w:tr w:rsidR="00F93E5F" w:rsidRPr="00A406E5" w14:paraId="277704BF" w14:textId="77777777" w:rsidTr="00890CB7">
        <w:trPr>
          <w:trHeight w:val="617"/>
        </w:trPr>
        <w:tc>
          <w:tcPr>
            <w:tcW w:w="2093" w:type="dxa"/>
            <w:shd w:val="pct15" w:color="auto" w:fill="auto"/>
          </w:tcPr>
          <w:p w14:paraId="449B3A70"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Student name:</w:t>
            </w:r>
          </w:p>
        </w:tc>
        <w:tc>
          <w:tcPr>
            <w:tcW w:w="3450" w:type="dxa"/>
          </w:tcPr>
          <w:p w14:paraId="121DAC96" w14:textId="731A2CD2"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Aman R Gyani</w:t>
            </w:r>
          </w:p>
        </w:tc>
        <w:tc>
          <w:tcPr>
            <w:tcW w:w="2111" w:type="dxa"/>
            <w:shd w:val="clear" w:color="auto" w:fill="D9D9D9"/>
          </w:tcPr>
          <w:p w14:paraId="1772BE6D"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8001D76" w14:textId="609D3A23"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2243885</w:t>
            </w:r>
          </w:p>
        </w:tc>
      </w:tr>
      <w:tr w:rsidR="00F93E5F" w:rsidRPr="00A406E5" w14:paraId="7AF2C90E" w14:textId="77777777" w:rsidTr="00890CB7">
        <w:trPr>
          <w:trHeight w:val="403"/>
        </w:trPr>
        <w:tc>
          <w:tcPr>
            <w:tcW w:w="2093" w:type="dxa"/>
            <w:shd w:val="pct15" w:color="auto" w:fill="auto"/>
          </w:tcPr>
          <w:p w14:paraId="1BFDD4CD"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Program</w:t>
            </w:r>
            <w:r w:rsidRPr="00A406E5">
              <w:rPr>
                <w:rFonts w:ascii="Arial" w:hAnsi="Arial" w:cs="Arial"/>
                <w:b/>
                <w:sz w:val="22"/>
                <w:szCs w:val="22"/>
              </w:rPr>
              <w:t>:</w:t>
            </w:r>
          </w:p>
        </w:tc>
        <w:tc>
          <w:tcPr>
            <w:tcW w:w="7829" w:type="dxa"/>
            <w:gridSpan w:val="3"/>
          </w:tcPr>
          <w:p w14:paraId="73D985E6"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MASTER OF BUSINESS ADMINISTRATION</w:t>
            </w:r>
          </w:p>
        </w:tc>
      </w:tr>
      <w:tr w:rsidR="00F93E5F" w:rsidRPr="00A406E5" w14:paraId="752341F5" w14:textId="77777777" w:rsidTr="00890CB7">
        <w:trPr>
          <w:trHeight w:val="362"/>
        </w:trPr>
        <w:tc>
          <w:tcPr>
            <w:tcW w:w="2093" w:type="dxa"/>
            <w:shd w:val="pct15" w:color="auto" w:fill="auto"/>
          </w:tcPr>
          <w:p w14:paraId="4F180BB5"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85EEB3"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HUMAN RESOURCE MANAGEMENT</w:t>
            </w:r>
          </w:p>
        </w:tc>
      </w:tr>
      <w:tr w:rsidR="00F93E5F" w:rsidRPr="00A406E5" w14:paraId="0E750AE8" w14:textId="77777777" w:rsidTr="00890CB7">
        <w:trPr>
          <w:trHeight w:val="625"/>
        </w:trPr>
        <w:tc>
          <w:tcPr>
            <w:tcW w:w="2093" w:type="dxa"/>
            <w:shd w:val="pct15" w:color="auto" w:fill="auto"/>
          </w:tcPr>
          <w:p w14:paraId="64A65AA6"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Module code:</w:t>
            </w:r>
          </w:p>
        </w:tc>
        <w:tc>
          <w:tcPr>
            <w:tcW w:w="3450" w:type="dxa"/>
          </w:tcPr>
          <w:p w14:paraId="5CF07BE1"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LCMB7000</w:t>
            </w:r>
          </w:p>
        </w:tc>
        <w:tc>
          <w:tcPr>
            <w:tcW w:w="2111" w:type="dxa"/>
            <w:shd w:val="clear" w:color="auto" w:fill="D9D9D9"/>
          </w:tcPr>
          <w:p w14:paraId="10CD3DF5" w14:textId="77777777" w:rsidR="00F93E5F" w:rsidRPr="004D5E9B" w:rsidRDefault="00F93E5F" w:rsidP="00890CB7">
            <w:pPr>
              <w:pStyle w:val="Heading2"/>
              <w:rPr>
                <w:rFonts w:ascii="Arial" w:hAnsi="Arial" w:cs="Arial" w:hint="default"/>
                <w:sz w:val="22"/>
                <w:szCs w:val="22"/>
              </w:rPr>
            </w:pPr>
            <w:bookmarkStart w:id="1" w:name="_Toc138283251"/>
            <w:bookmarkStart w:id="2" w:name="_Toc138283414"/>
            <w:bookmarkStart w:id="3" w:name="_Toc138283424"/>
            <w:bookmarkStart w:id="4" w:name="_Toc138283450"/>
            <w:r w:rsidRPr="00A406E5">
              <w:rPr>
                <w:rFonts w:ascii="Arial" w:hAnsi="Arial" w:cs="Arial"/>
                <w:sz w:val="22"/>
                <w:szCs w:val="22"/>
              </w:rPr>
              <w:t>Contribution to Overall Module Assessment (%):</w:t>
            </w:r>
            <w:bookmarkEnd w:id="1"/>
            <w:bookmarkEnd w:id="2"/>
            <w:bookmarkEnd w:id="3"/>
            <w:bookmarkEnd w:id="4"/>
          </w:p>
        </w:tc>
        <w:tc>
          <w:tcPr>
            <w:tcW w:w="2268" w:type="dxa"/>
          </w:tcPr>
          <w:p w14:paraId="2CCEA3F7"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50%</w:t>
            </w:r>
          </w:p>
        </w:tc>
      </w:tr>
      <w:tr w:rsidR="00F93E5F" w:rsidRPr="00A406E5" w14:paraId="4C8F813D" w14:textId="77777777" w:rsidTr="00890CB7">
        <w:trPr>
          <w:trHeight w:val="403"/>
        </w:trPr>
        <w:tc>
          <w:tcPr>
            <w:tcW w:w="2093" w:type="dxa"/>
            <w:shd w:val="pct15" w:color="auto" w:fill="auto"/>
          </w:tcPr>
          <w:p w14:paraId="3B302765"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Lecturer:</w:t>
            </w:r>
          </w:p>
        </w:tc>
        <w:tc>
          <w:tcPr>
            <w:tcW w:w="3450" w:type="dxa"/>
          </w:tcPr>
          <w:p w14:paraId="4164219D"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 xml:space="preserve">Prof D G </w:t>
            </w:r>
            <w:proofErr w:type="spellStart"/>
            <w:r>
              <w:rPr>
                <w:rFonts w:ascii="Arial" w:hAnsi="Arial" w:cs="Arial"/>
                <w:b/>
                <w:sz w:val="22"/>
                <w:szCs w:val="22"/>
              </w:rPr>
              <w:t>Pepple</w:t>
            </w:r>
            <w:proofErr w:type="spellEnd"/>
          </w:p>
        </w:tc>
        <w:tc>
          <w:tcPr>
            <w:tcW w:w="2111" w:type="dxa"/>
            <w:shd w:val="clear" w:color="auto" w:fill="D9D9D9"/>
          </w:tcPr>
          <w:p w14:paraId="396A484C"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64514B" w14:textId="77777777"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 xml:space="preserve">Vasilios </w:t>
            </w:r>
            <w:proofErr w:type="spellStart"/>
            <w:r>
              <w:rPr>
                <w:rFonts w:ascii="Arial" w:hAnsi="Arial" w:cs="Arial"/>
                <w:b/>
                <w:sz w:val="22"/>
                <w:szCs w:val="22"/>
              </w:rPr>
              <w:t>Tavlaridis</w:t>
            </w:r>
            <w:proofErr w:type="spellEnd"/>
          </w:p>
        </w:tc>
      </w:tr>
      <w:tr w:rsidR="00F93E5F" w:rsidRPr="00A406E5" w14:paraId="018406A5" w14:textId="77777777" w:rsidTr="00890CB7">
        <w:trPr>
          <w:gridAfter w:val="2"/>
          <w:wAfter w:w="4379" w:type="dxa"/>
          <w:trHeight w:val="716"/>
        </w:trPr>
        <w:tc>
          <w:tcPr>
            <w:tcW w:w="2093" w:type="dxa"/>
            <w:shd w:val="pct15" w:color="auto" w:fill="auto"/>
          </w:tcPr>
          <w:p w14:paraId="385DD694"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50" w:type="dxa"/>
          </w:tcPr>
          <w:p w14:paraId="02FDC84E" w14:textId="77777777" w:rsidR="00F93E5F" w:rsidRPr="00FF5BC0" w:rsidRDefault="00F93E5F" w:rsidP="00890CB7">
            <w:pPr>
              <w:spacing w:before="120" w:after="120"/>
              <w:jc w:val="both"/>
              <w:rPr>
                <w:rFonts w:ascii="Arial" w:hAnsi="Arial" w:cs="Arial"/>
                <w:b/>
                <w:sz w:val="22"/>
                <w:szCs w:val="22"/>
              </w:rPr>
            </w:pPr>
            <w:r w:rsidRPr="00FF5BC0">
              <w:rPr>
                <w:rFonts w:ascii="Arial" w:hAnsi="Arial" w:cs="Arial"/>
                <w:b/>
                <w:sz w:val="22"/>
                <w:szCs w:val="22"/>
              </w:rPr>
              <w:t xml:space="preserve">Individual report </w:t>
            </w:r>
            <w:r>
              <w:rPr>
                <w:rFonts w:ascii="Arial" w:hAnsi="Arial" w:cs="Arial"/>
                <w:b/>
                <w:sz w:val="22"/>
                <w:szCs w:val="22"/>
              </w:rPr>
              <w:t>– CW1</w:t>
            </w:r>
          </w:p>
          <w:p w14:paraId="5CFA1853" w14:textId="77777777" w:rsidR="00F93E5F" w:rsidRPr="00A406E5" w:rsidRDefault="00F93E5F" w:rsidP="00890CB7">
            <w:pPr>
              <w:spacing w:before="120" w:after="120"/>
              <w:jc w:val="both"/>
              <w:rPr>
                <w:rFonts w:ascii="Arial" w:hAnsi="Arial" w:cs="Arial"/>
                <w:b/>
                <w:sz w:val="22"/>
                <w:szCs w:val="22"/>
              </w:rPr>
            </w:pPr>
          </w:p>
        </w:tc>
      </w:tr>
      <w:tr w:rsidR="00F93E5F" w:rsidRPr="00A406E5" w14:paraId="16962A08" w14:textId="77777777" w:rsidTr="00890CB7">
        <w:trPr>
          <w:gridAfter w:val="2"/>
          <w:wAfter w:w="4379" w:type="dxa"/>
          <w:trHeight w:val="617"/>
        </w:trPr>
        <w:tc>
          <w:tcPr>
            <w:tcW w:w="2093" w:type="dxa"/>
            <w:shd w:val="pct15" w:color="auto" w:fill="auto"/>
          </w:tcPr>
          <w:p w14:paraId="40FF8DEE" w14:textId="77777777" w:rsidR="00F93E5F" w:rsidRPr="00A406E5" w:rsidRDefault="00F93E5F" w:rsidP="00890CB7">
            <w:pPr>
              <w:spacing w:before="120" w:after="120"/>
              <w:jc w:val="both"/>
              <w:rPr>
                <w:rFonts w:ascii="Arial" w:hAnsi="Arial" w:cs="Arial"/>
                <w:b/>
                <w:sz w:val="22"/>
                <w:szCs w:val="22"/>
              </w:rPr>
            </w:pPr>
            <w:r w:rsidRPr="00A406E5">
              <w:rPr>
                <w:rFonts w:ascii="Arial" w:hAnsi="Arial" w:cs="Arial"/>
                <w:b/>
                <w:sz w:val="22"/>
                <w:szCs w:val="22"/>
              </w:rPr>
              <w:t xml:space="preserve">Submission </w:t>
            </w:r>
            <w:r>
              <w:rPr>
                <w:rFonts w:ascii="Arial" w:hAnsi="Arial" w:cs="Arial"/>
                <w:b/>
                <w:sz w:val="22"/>
                <w:szCs w:val="22"/>
              </w:rPr>
              <w:t>Date:</w:t>
            </w:r>
          </w:p>
        </w:tc>
        <w:tc>
          <w:tcPr>
            <w:tcW w:w="3450" w:type="dxa"/>
            <w:shd w:val="clear" w:color="auto" w:fill="auto"/>
          </w:tcPr>
          <w:p w14:paraId="26F4C0D3" w14:textId="06A5174B" w:rsidR="00F93E5F" w:rsidRPr="00A406E5" w:rsidRDefault="00F93E5F" w:rsidP="00890CB7">
            <w:pPr>
              <w:spacing w:before="120" w:after="120"/>
              <w:jc w:val="both"/>
              <w:rPr>
                <w:rFonts w:ascii="Arial" w:hAnsi="Arial" w:cs="Arial"/>
                <w:b/>
                <w:sz w:val="22"/>
                <w:szCs w:val="22"/>
              </w:rPr>
            </w:pPr>
            <w:r>
              <w:rPr>
                <w:rFonts w:ascii="Arial" w:hAnsi="Arial" w:cs="Arial"/>
                <w:b/>
                <w:sz w:val="22"/>
                <w:szCs w:val="22"/>
              </w:rPr>
              <w:t>22-6-23</w:t>
            </w:r>
          </w:p>
        </w:tc>
      </w:tr>
    </w:tbl>
    <w:sdt>
      <w:sdtPr>
        <w:rPr>
          <w:rFonts w:asciiTheme="minorHAnsi" w:eastAsiaTheme="minorEastAsia" w:hAnsiTheme="minorHAnsi" w:cstheme="minorBidi"/>
          <w:color w:val="auto"/>
          <w:sz w:val="20"/>
          <w:szCs w:val="20"/>
          <w:lang w:eastAsia="zh-CN"/>
        </w:rPr>
        <w:id w:val="1669286952"/>
        <w:docPartObj>
          <w:docPartGallery w:val="Table of Contents"/>
          <w:docPartUnique/>
        </w:docPartObj>
      </w:sdtPr>
      <w:sdtEndPr>
        <w:rPr>
          <w:b/>
          <w:bCs/>
          <w:noProof/>
        </w:rPr>
      </w:sdtEndPr>
      <w:sdtContent>
        <w:p w14:paraId="45A101AE" w14:textId="78A6CAD2" w:rsidR="00282308" w:rsidRDefault="00282308">
          <w:pPr>
            <w:pStyle w:val="TOCHeading"/>
          </w:pPr>
          <w:r>
            <w:t>Table of Contents</w:t>
          </w:r>
        </w:p>
        <w:p w14:paraId="1B57D242" w14:textId="592C3B46" w:rsidR="00282308" w:rsidRPr="00282308" w:rsidRDefault="00282308">
          <w:pPr>
            <w:pStyle w:val="TOC2"/>
            <w:tabs>
              <w:tab w:val="right" w:leader="underscore" w:pos="8296"/>
            </w:tabs>
            <w:rPr>
              <w:rFonts w:cstheme="minorBidi"/>
              <w:smallCaps w:val="0"/>
              <w:noProof/>
              <w:kern w:val="2"/>
              <w:sz w:val="22"/>
              <w:szCs w:val="22"/>
              <w:lang w:val="en-IN" w:eastAsia="en-IN"/>
            </w:rPr>
          </w:pPr>
          <w:r>
            <w:fldChar w:fldCharType="begin"/>
          </w:r>
          <w:r>
            <w:instrText xml:space="preserve"> TOC \o "1-3" \h \z \u </w:instrText>
          </w:r>
          <w:r>
            <w:fldChar w:fldCharType="separate"/>
          </w:r>
          <w:hyperlink w:anchor="_Toc138283450" w:history="1">
            <w:r w:rsidRPr="003120D0">
              <w:rPr>
                <w:rStyle w:val="Hyperlink"/>
                <w:rFonts w:ascii="Arial" w:hAnsi="Arial" w:cs="Arial"/>
                <w:noProof/>
                <w:lang w:bidi="hi-IN"/>
              </w:rPr>
              <w:t>Contribution to Overall Module Assessment (%):</w:t>
            </w:r>
            <w:r>
              <w:rPr>
                <w:noProof/>
                <w:webHidden/>
              </w:rPr>
              <w:tab/>
            </w:r>
            <w:r>
              <w:rPr>
                <w:noProof/>
                <w:webHidden/>
              </w:rPr>
              <w:fldChar w:fldCharType="begin"/>
            </w:r>
            <w:r>
              <w:rPr>
                <w:noProof/>
                <w:webHidden/>
              </w:rPr>
              <w:instrText xml:space="preserve"> PAGEREF _Toc138283450 \h </w:instrText>
            </w:r>
            <w:r>
              <w:rPr>
                <w:noProof/>
                <w:webHidden/>
              </w:rPr>
            </w:r>
            <w:r>
              <w:rPr>
                <w:noProof/>
                <w:webHidden/>
              </w:rPr>
              <w:fldChar w:fldCharType="separate"/>
            </w:r>
            <w:r>
              <w:rPr>
                <w:noProof/>
                <w:webHidden/>
              </w:rPr>
              <w:t>1</w:t>
            </w:r>
            <w:r>
              <w:rPr>
                <w:noProof/>
                <w:webHidden/>
              </w:rPr>
              <w:fldChar w:fldCharType="end"/>
            </w:r>
          </w:hyperlink>
        </w:p>
        <w:p w14:paraId="1329DEC2" w14:textId="331343A5"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1" w:history="1">
            <w:r w:rsidR="00282308" w:rsidRPr="003120D0">
              <w:rPr>
                <w:rStyle w:val="Hyperlink"/>
                <w:rFonts w:ascii="Calibri" w:hAnsi="Calibri" w:cs="Calibri"/>
                <w:noProof/>
                <w:lang w:bidi="hi-IN"/>
              </w:rPr>
              <w:t>Introduction</w:t>
            </w:r>
            <w:r w:rsidR="00282308">
              <w:rPr>
                <w:noProof/>
                <w:webHidden/>
              </w:rPr>
              <w:tab/>
            </w:r>
            <w:r w:rsidR="00282308">
              <w:rPr>
                <w:noProof/>
                <w:webHidden/>
              </w:rPr>
              <w:fldChar w:fldCharType="begin"/>
            </w:r>
            <w:r w:rsidR="00282308">
              <w:rPr>
                <w:noProof/>
                <w:webHidden/>
              </w:rPr>
              <w:instrText xml:space="preserve"> PAGEREF _Toc138283451 \h </w:instrText>
            </w:r>
            <w:r w:rsidR="00282308">
              <w:rPr>
                <w:noProof/>
                <w:webHidden/>
              </w:rPr>
            </w:r>
            <w:r w:rsidR="00282308">
              <w:rPr>
                <w:noProof/>
                <w:webHidden/>
              </w:rPr>
              <w:fldChar w:fldCharType="separate"/>
            </w:r>
            <w:r w:rsidR="00282308">
              <w:rPr>
                <w:noProof/>
                <w:webHidden/>
              </w:rPr>
              <w:t>1</w:t>
            </w:r>
            <w:r w:rsidR="00282308">
              <w:rPr>
                <w:noProof/>
                <w:webHidden/>
              </w:rPr>
              <w:fldChar w:fldCharType="end"/>
            </w:r>
          </w:hyperlink>
        </w:p>
        <w:p w14:paraId="48537578" w14:textId="70FFEED3"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2" w:history="1">
            <w:r w:rsidR="00282308" w:rsidRPr="003120D0">
              <w:rPr>
                <w:rStyle w:val="Hyperlink"/>
                <w:rFonts w:ascii="Calibri" w:hAnsi="Calibri" w:cs="Calibri"/>
                <w:noProof/>
                <w:lang w:bidi="hi-IN"/>
              </w:rPr>
              <w:t>Role of HR in Public and Private sector</w:t>
            </w:r>
            <w:r w:rsidR="00282308">
              <w:rPr>
                <w:noProof/>
                <w:webHidden/>
              </w:rPr>
              <w:tab/>
            </w:r>
            <w:r w:rsidR="00282308">
              <w:rPr>
                <w:noProof/>
                <w:webHidden/>
              </w:rPr>
              <w:fldChar w:fldCharType="begin"/>
            </w:r>
            <w:r w:rsidR="00282308">
              <w:rPr>
                <w:noProof/>
                <w:webHidden/>
              </w:rPr>
              <w:instrText xml:space="preserve"> PAGEREF _Toc138283452 \h </w:instrText>
            </w:r>
            <w:r w:rsidR="00282308">
              <w:rPr>
                <w:noProof/>
                <w:webHidden/>
              </w:rPr>
            </w:r>
            <w:r w:rsidR="00282308">
              <w:rPr>
                <w:noProof/>
                <w:webHidden/>
              </w:rPr>
              <w:fldChar w:fldCharType="separate"/>
            </w:r>
            <w:r w:rsidR="00282308">
              <w:rPr>
                <w:noProof/>
                <w:webHidden/>
              </w:rPr>
              <w:t>2</w:t>
            </w:r>
            <w:r w:rsidR="00282308">
              <w:rPr>
                <w:noProof/>
                <w:webHidden/>
              </w:rPr>
              <w:fldChar w:fldCharType="end"/>
            </w:r>
          </w:hyperlink>
        </w:p>
        <w:p w14:paraId="44CE50E3" w14:textId="09F74D3F" w:rsidR="00282308" w:rsidRPr="00282308" w:rsidRDefault="00000000">
          <w:pPr>
            <w:pStyle w:val="TOC2"/>
            <w:tabs>
              <w:tab w:val="right" w:leader="underscore" w:pos="8296"/>
            </w:tabs>
            <w:rPr>
              <w:rFonts w:cstheme="minorBidi"/>
              <w:smallCaps w:val="0"/>
              <w:noProof/>
              <w:kern w:val="2"/>
              <w:sz w:val="22"/>
              <w:szCs w:val="22"/>
              <w:lang w:val="en-IN" w:eastAsia="en-IN"/>
            </w:rPr>
          </w:pPr>
          <w:hyperlink w:anchor="_Toc138283453" w:history="1">
            <w:r w:rsidR="00282308" w:rsidRPr="003120D0">
              <w:rPr>
                <w:rStyle w:val="Hyperlink"/>
                <w:rFonts w:ascii="Calibri" w:hAnsi="Calibri" w:cs="Calibri"/>
                <w:noProof/>
                <w:lang w:bidi="hi-IN"/>
              </w:rPr>
              <w:t>Example of HR role in public sector</w:t>
            </w:r>
            <w:r w:rsidR="00282308">
              <w:rPr>
                <w:noProof/>
                <w:webHidden/>
              </w:rPr>
              <w:tab/>
            </w:r>
            <w:r w:rsidR="00282308">
              <w:rPr>
                <w:noProof/>
                <w:webHidden/>
              </w:rPr>
              <w:fldChar w:fldCharType="begin"/>
            </w:r>
            <w:r w:rsidR="00282308">
              <w:rPr>
                <w:noProof/>
                <w:webHidden/>
              </w:rPr>
              <w:instrText xml:space="preserve"> PAGEREF _Toc138283453 \h </w:instrText>
            </w:r>
            <w:r w:rsidR="00282308">
              <w:rPr>
                <w:noProof/>
                <w:webHidden/>
              </w:rPr>
            </w:r>
            <w:r w:rsidR="00282308">
              <w:rPr>
                <w:noProof/>
                <w:webHidden/>
              </w:rPr>
              <w:fldChar w:fldCharType="separate"/>
            </w:r>
            <w:r w:rsidR="00282308">
              <w:rPr>
                <w:noProof/>
                <w:webHidden/>
              </w:rPr>
              <w:t>2</w:t>
            </w:r>
            <w:r w:rsidR="00282308">
              <w:rPr>
                <w:noProof/>
                <w:webHidden/>
              </w:rPr>
              <w:fldChar w:fldCharType="end"/>
            </w:r>
          </w:hyperlink>
        </w:p>
        <w:p w14:paraId="3A01FB91" w14:textId="0D619EAD" w:rsidR="00282308" w:rsidRPr="00282308" w:rsidRDefault="00000000">
          <w:pPr>
            <w:pStyle w:val="TOC2"/>
            <w:tabs>
              <w:tab w:val="right" w:leader="underscore" w:pos="8296"/>
            </w:tabs>
            <w:rPr>
              <w:rFonts w:cstheme="minorBidi"/>
              <w:smallCaps w:val="0"/>
              <w:noProof/>
              <w:kern w:val="2"/>
              <w:sz w:val="22"/>
              <w:szCs w:val="22"/>
              <w:lang w:val="en-IN" w:eastAsia="en-IN"/>
            </w:rPr>
          </w:pPr>
          <w:hyperlink w:anchor="_Toc138283454" w:history="1">
            <w:r w:rsidR="00282308" w:rsidRPr="003120D0">
              <w:rPr>
                <w:rStyle w:val="Hyperlink"/>
                <w:rFonts w:ascii="Calibri" w:hAnsi="Calibri" w:cs="Calibri"/>
                <w:noProof/>
                <w:lang w:bidi="hi-IN"/>
              </w:rPr>
              <w:t>Example of HR role in private sector</w:t>
            </w:r>
            <w:r w:rsidR="00282308">
              <w:rPr>
                <w:noProof/>
                <w:webHidden/>
              </w:rPr>
              <w:tab/>
            </w:r>
            <w:r w:rsidR="00282308">
              <w:rPr>
                <w:noProof/>
                <w:webHidden/>
              </w:rPr>
              <w:fldChar w:fldCharType="begin"/>
            </w:r>
            <w:r w:rsidR="00282308">
              <w:rPr>
                <w:noProof/>
                <w:webHidden/>
              </w:rPr>
              <w:instrText xml:space="preserve"> PAGEREF _Toc138283454 \h </w:instrText>
            </w:r>
            <w:r w:rsidR="00282308">
              <w:rPr>
                <w:noProof/>
                <w:webHidden/>
              </w:rPr>
            </w:r>
            <w:r w:rsidR="00282308">
              <w:rPr>
                <w:noProof/>
                <w:webHidden/>
              </w:rPr>
              <w:fldChar w:fldCharType="separate"/>
            </w:r>
            <w:r w:rsidR="00282308">
              <w:rPr>
                <w:noProof/>
                <w:webHidden/>
              </w:rPr>
              <w:t>2</w:t>
            </w:r>
            <w:r w:rsidR="00282308">
              <w:rPr>
                <w:noProof/>
                <w:webHidden/>
              </w:rPr>
              <w:fldChar w:fldCharType="end"/>
            </w:r>
          </w:hyperlink>
        </w:p>
        <w:p w14:paraId="791CC11D" w14:textId="67B83BFA"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5" w:history="1">
            <w:r w:rsidR="00282308" w:rsidRPr="003120D0">
              <w:rPr>
                <w:rStyle w:val="Hyperlink"/>
                <w:rFonts w:ascii="Calibri" w:hAnsi="Calibri" w:cs="Calibri"/>
                <w:noProof/>
                <w:lang w:bidi="hi-IN"/>
              </w:rPr>
              <w:t>Role of HR strategies in the development of public and private sector</w:t>
            </w:r>
            <w:r w:rsidR="00282308">
              <w:rPr>
                <w:noProof/>
                <w:webHidden/>
              </w:rPr>
              <w:tab/>
            </w:r>
            <w:r w:rsidR="00282308">
              <w:rPr>
                <w:noProof/>
                <w:webHidden/>
              </w:rPr>
              <w:fldChar w:fldCharType="begin"/>
            </w:r>
            <w:r w:rsidR="00282308">
              <w:rPr>
                <w:noProof/>
                <w:webHidden/>
              </w:rPr>
              <w:instrText xml:space="preserve"> PAGEREF _Toc138283455 \h </w:instrText>
            </w:r>
            <w:r w:rsidR="00282308">
              <w:rPr>
                <w:noProof/>
                <w:webHidden/>
              </w:rPr>
            </w:r>
            <w:r w:rsidR="00282308">
              <w:rPr>
                <w:noProof/>
                <w:webHidden/>
              </w:rPr>
              <w:fldChar w:fldCharType="separate"/>
            </w:r>
            <w:r w:rsidR="00282308">
              <w:rPr>
                <w:noProof/>
                <w:webHidden/>
              </w:rPr>
              <w:t>3</w:t>
            </w:r>
            <w:r w:rsidR="00282308">
              <w:rPr>
                <w:noProof/>
                <w:webHidden/>
              </w:rPr>
              <w:fldChar w:fldCharType="end"/>
            </w:r>
          </w:hyperlink>
        </w:p>
        <w:p w14:paraId="5F2974C3" w14:textId="6C405CA6"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6" w:history="1">
            <w:r w:rsidR="00282308" w:rsidRPr="003120D0">
              <w:rPr>
                <w:rStyle w:val="Hyperlink"/>
                <w:rFonts w:ascii="Calibri" w:hAnsi="Calibri" w:cs="Calibri"/>
                <w:noProof/>
                <w:lang w:bidi="hi-IN"/>
              </w:rPr>
              <w:t>Role of HR in developing employee’s strategy goals</w:t>
            </w:r>
            <w:r w:rsidR="00282308">
              <w:rPr>
                <w:noProof/>
                <w:webHidden/>
              </w:rPr>
              <w:tab/>
            </w:r>
            <w:r w:rsidR="00282308">
              <w:rPr>
                <w:noProof/>
                <w:webHidden/>
              </w:rPr>
              <w:fldChar w:fldCharType="begin"/>
            </w:r>
            <w:r w:rsidR="00282308">
              <w:rPr>
                <w:noProof/>
                <w:webHidden/>
              </w:rPr>
              <w:instrText xml:space="preserve"> PAGEREF _Toc138283456 \h </w:instrText>
            </w:r>
            <w:r w:rsidR="00282308">
              <w:rPr>
                <w:noProof/>
                <w:webHidden/>
              </w:rPr>
            </w:r>
            <w:r w:rsidR="00282308">
              <w:rPr>
                <w:noProof/>
                <w:webHidden/>
              </w:rPr>
              <w:fldChar w:fldCharType="separate"/>
            </w:r>
            <w:r w:rsidR="00282308">
              <w:rPr>
                <w:noProof/>
                <w:webHidden/>
              </w:rPr>
              <w:t>4</w:t>
            </w:r>
            <w:r w:rsidR="00282308">
              <w:rPr>
                <w:noProof/>
                <w:webHidden/>
              </w:rPr>
              <w:fldChar w:fldCharType="end"/>
            </w:r>
          </w:hyperlink>
        </w:p>
        <w:p w14:paraId="5471472A" w14:textId="7BA36B00"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7" w:history="1">
            <w:r w:rsidR="00282308" w:rsidRPr="003120D0">
              <w:rPr>
                <w:rStyle w:val="Hyperlink"/>
                <w:rFonts w:ascii="Calibri" w:hAnsi="Calibri" w:cs="Calibri"/>
                <w:noProof/>
                <w:lang w:bidi="hi-IN"/>
              </w:rPr>
              <w:t>Organizational factors influence the HR strategies</w:t>
            </w:r>
            <w:r w:rsidR="00282308">
              <w:rPr>
                <w:noProof/>
                <w:webHidden/>
              </w:rPr>
              <w:tab/>
            </w:r>
            <w:r w:rsidR="00282308">
              <w:rPr>
                <w:noProof/>
                <w:webHidden/>
              </w:rPr>
              <w:fldChar w:fldCharType="begin"/>
            </w:r>
            <w:r w:rsidR="00282308">
              <w:rPr>
                <w:noProof/>
                <w:webHidden/>
              </w:rPr>
              <w:instrText xml:space="preserve"> PAGEREF _Toc138283457 \h </w:instrText>
            </w:r>
            <w:r w:rsidR="00282308">
              <w:rPr>
                <w:noProof/>
                <w:webHidden/>
              </w:rPr>
            </w:r>
            <w:r w:rsidR="00282308">
              <w:rPr>
                <w:noProof/>
                <w:webHidden/>
              </w:rPr>
              <w:fldChar w:fldCharType="separate"/>
            </w:r>
            <w:r w:rsidR="00282308">
              <w:rPr>
                <w:noProof/>
                <w:webHidden/>
              </w:rPr>
              <w:t>5</w:t>
            </w:r>
            <w:r w:rsidR="00282308">
              <w:rPr>
                <w:noProof/>
                <w:webHidden/>
              </w:rPr>
              <w:fldChar w:fldCharType="end"/>
            </w:r>
          </w:hyperlink>
        </w:p>
        <w:p w14:paraId="18C3E66F" w14:textId="61029DDC"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8" w:history="1">
            <w:r w:rsidR="00282308" w:rsidRPr="003120D0">
              <w:rPr>
                <w:rStyle w:val="Hyperlink"/>
                <w:rFonts w:ascii="Calibri" w:hAnsi="Calibri" w:cs="Calibri"/>
                <w:noProof/>
                <w:lang w:bidi="hi-IN"/>
              </w:rPr>
              <w:t>Conclusion</w:t>
            </w:r>
            <w:r w:rsidR="00282308">
              <w:rPr>
                <w:noProof/>
                <w:webHidden/>
              </w:rPr>
              <w:tab/>
            </w:r>
            <w:r w:rsidR="00282308">
              <w:rPr>
                <w:noProof/>
                <w:webHidden/>
              </w:rPr>
              <w:fldChar w:fldCharType="begin"/>
            </w:r>
            <w:r w:rsidR="00282308">
              <w:rPr>
                <w:noProof/>
                <w:webHidden/>
              </w:rPr>
              <w:instrText xml:space="preserve"> PAGEREF _Toc138283458 \h </w:instrText>
            </w:r>
            <w:r w:rsidR="00282308">
              <w:rPr>
                <w:noProof/>
                <w:webHidden/>
              </w:rPr>
            </w:r>
            <w:r w:rsidR="00282308">
              <w:rPr>
                <w:noProof/>
                <w:webHidden/>
              </w:rPr>
              <w:fldChar w:fldCharType="separate"/>
            </w:r>
            <w:r w:rsidR="00282308">
              <w:rPr>
                <w:noProof/>
                <w:webHidden/>
              </w:rPr>
              <w:t>6</w:t>
            </w:r>
            <w:r w:rsidR="00282308">
              <w:rPr>
                <w:noProof/>
                <w:webHidden/>
              </w:rPr>
              <w:fldChar w:fldCharType="end"/>
            </w:r>
          </w:hyperlink>
        </w:p>
        <w:p w14:paraId="2E6BF170" w14:textId="69B79D13" w:rsidR="00282308" w:rsidRPr="00282308" w:rsidRDefault="00000000">
          <w:pPr>
            <w:pStyle w:val="TOC1"/>
            <w:tabs>
              <w:tab w:val="right" w:leader="underscore" w:pos="8296"/>
            </w:tabs>
            <w:rPr>
              <w:rFonts w:cstheme="minorBidi"/>
              <w:b w:val="0"/>
              <w:bCs w:val="0"/>
              <w:caps w:val="0"/>
              <w:noProof/>
              <w:kern w:val="2"/>
              <w:sz w:val="22"/>
              <w:szCs w:val="22"/>
              <w:lang w:val="en-IN" w:eastAsia="en-IN"/>
            </w:rPr>
          </w:pPr>
          <w:hyperlink w:anchor="_Toc138283459" w:history="1">
            <w:r w:rsidR="00282308" w:rsidRPr="003120D0">
              <w:rPr>
                <w:rStyle w:val="Hyperlink"/>
                <w:rFonts w:ascii="Calibri" w:hAnsi="Calibri" w:cs="Calibri"/>
                <w:noProof/>
                <w:lang w:bidi="hi-IN"/>
              </w:rPr>
              <w:t>Reference</w:t>
            </w:r>
            <w:r w:rsidR="00282308">
              <w:rPr>
                <w:noProof/>
                <w:webHidden/>
              </w:rPr>
              <w:tab/>
            </w:r>
            <w:r w:rsidR="00282308">
              <w:rPr>
                <w:noProof/>
                <w:webHidden/>
              </w:rPr>
              <w:fldChar w:fldCharType="begin"/>
            </w:r>
            <w:r w:rsidR="00282308">
              <w:rPr>
                <w:noProof/>
                <w:webHidden/>
              </w:rPr>
              <w:instrText xml:space="preserve"> PAGEREF _Toc138283459 \h </w:instrText>
            </w:r>
            <w:r w:rsidR="00282308">
              <w:rPr>
                <w:noProof/>
                <w:webHidden/>
              </w:rPr>
            </w:r>
            <w:r w:rsidR="00282308">
              <w:rPr>
                <w:noProof/>
                <w:webHidden/>
              </w:rPr>
              <w:fldChar w:fldCharType="separate"/>
            </w:r>
            <w:r w:rsidR="00282308">
              <w:rPr>
                <w:noProof/>
                <w:webHidden/>
              </w:rPr>
              <w:t>7</w:t>
            </w:r>
            <w:r w:rsidR="00282308">
              <w:rPr>
                <w:noProof/>
                <w:webHidden/>
              </w:rPr>
              <w:fldChar w:fldCharType="end"/>
            </w:r>
          </w:hyperlink>
        </w:p>
        <w:p w14:paraId="4CCA4780" w14:textId="4411C45C" w:rsidR="00282308" w:rsidRDefault="00282308">
          <w:r>
            <w:rPr>
              <w:b/>
              <w:bCs/>
              <w:noProof/>
            </w:rPr>
            <w:fldChar w:fldCharType="end"/>
          </w:r>
        </w:p>
      </w:sdtContent>
    </w:sdt>
    <w:p w14:paraId="49E17644" w14:textId="2C6F51C7" w:rsidR="00F93E5F" w:rsidRDefault="00F93E5F">
      <w:pPr>
        <w:pStyle w:val="NormalWeb"/>
        <w:spacing w:beforeAutospacing="0" w:afterAutospacing="0" w:line="14" w:lineRule="atLeast"/>
        <w:rPr>
          <w:rFonts w:ascii="Calibri" w:hAnsi="Calibri" w:cs="Calibri"/>
          <w:color w:val="000000"/>
          <w:sz w:val="56"/>
          <w:szCs w:val="56"/>
        </w:rPr>
      </w:pPr>
    </w:p>
    <w:p w14:paraId="2EF35DC7" w14:textId="77777777" w:rsidR="0041272D" w:rsidRDefault="001606EA">
      <w:pPr>
        <w:pStyle w:val="Heading1"/>
        <w:spacing w:before="240" w:beforeAutospacing="0" w:afterAutospacing="0" w:line="16" w:lineRule="atLeast"/>
        <w:rPr>
          <w:rFonts w:hint="default"/>
        </w:rPr>
      </w:pPr>
      <w:bookmarkStart w:id="5" w:name="_Toc138283415"/>
      <w:bookmarkStart w:id="6" w:name="_Toc138283425"/>
      <w:bookmarkStart w:id="7" w:name="_Toc138283451"/>
      <w:r>
        <w:rPr>
          <w:rFonts w:ascii="Calibri" w:hAnsi="Calibri" w:cs="Calibri" w:hint="default"/>
          <w:color w:val="2F5496"/>
          <w:sz w:val="32"/>
          <w:szCs w:val="32"/>
        </w:rPr>
        <w:t>Introduction</w:t>
      </w:r>
      <w:bookmarkEnd w:id="5"/>
      <w:bookmarkEnd w:id="6"/>
      <w:bookmarkEnd w:id="7"/>
    </w:p>
    <w:p w14:paraId="49617AC0" w14:textId="77777777" w:rsidR="0041272D" w:rsidRDefault="001606EA">
      <w:pPr>
        <w:pStyle w:val="NormalWeb"/>
        <w:spacing w:beforeAutospacing="0" w:afterAutospacing="0" w:line="14" w:lineRule="atLeast"/>
        <w:jc w:val="both"/>
      </w:pPr>
      <w:r>
        <w:rPr>
          <w:rFonts w:ascii="Calibri" w:hAnsi="Calibri" w:cs="Calibri"/>
          <w:color w:val="000000"/>
          <w:sz w:val="22"/>
          <w:szCs w:val="22"/>
        </w:rPr>
        <w:t xml:space="preserve">The public sector's lack of strategic HR partnering capabilities has become a significant issue in the modern corporate landscape. The objective of this evaluation component is to critically examine the difficulties raised by this problem and to provide solutions. Understanding the </w:t>
      </w:r>
      <w:r>
        <w:rPr>
          <w:rFonts w:ascii="Calibri" w:hAnsi="Calibri" w:cs="Calibri"/>
          <w:color w:val="000000"/>
          <w:sz w:val="22"/>
          <w:szCs w:val="22"/>
        </w:rPr>
        <w:lastRenderedPageBreak/>
        <w:t>variations between the privat</w:t>
      </w:r>
      <w:r w:rsidR="00F05803">
        <w:rPr>
          <w:rFonts w:ascii="Calibri" w:hAnsi="Calibri" w:cs="Calibri"/>
          <w:color w:val="000000"/>
          <w:sz w:val="22"/>
          <w:szCs w:val="22"/>
        </w:rPr>
        <w:t>e and public sectors' HR practices is essential in</w:t>
      </w:r>
      <w:r w:rsidR="005C0665">
        <w:rPr>
          <w:rFonts w:ascii="Calibri" w:hAnsi="Calibri" w:cs="Calibri"/>
          <w:color w:val="000000"/>
          <w:sz w:val="22"/>
          <w:szCs w:val="22"/>
        </w:rPr>
        <w:t xml:space="preserve"> creating specializ</w:t>
      </w:r>
      <w:r>
        <w:rPr>
          <w:rFonts w:ascii="Calibri" w:hAnsi="Calibri" w:cs="Calibri"/>
          <w:color w:val="000000"/>
          <w:sz w:val="22"/>
          <w:szCs w:val="22"/>
        </w:rPr>
        <w:t>ed solutions for the public sector's HR problems.</w:t>
      </w:r>
    </w:p>
    <w:p w14:paraId="3BAF0153" w14:textId="77777777" w:rsidR="0041272D" w:rsidRDefault="001606EA">
      <w:pPr>
        <w:pStyle w:val="NormalWeb"/>
        <w:spacing w:beforeAutospacing="0" w:afterAutospacing="0" w:line="14" w:lineRule="atLeast"/>
        <w:jc w:val="both"/>
        <w:rPr>
          <w:rFonts w:ascii="Calibri" w:hAnsi="Calibri" w:cs="Calibri"/>
          <w:color w:val="000000"/>
          <w:sz w:val="22"/>
          <w:szCs w:val="22"/>
        </w:rPr>
      </w:pPr>
      <w:r>
        <w:rPr>
          <w:rFonts w:ascii="Calibri" w:hAnsi="Calibri" w:cs="Calibri"/>
          <w:color w:val="000000"/>
          <w:sz w:val="22"/>
          <w:szCs w:val="22"/>
        </w:rPr>
        <w:t>The HR functions in the private sector ar</w:t>
      </w:r>
      <w:r w:rsidR="005C0665">
        <w:rPr>
          <w:rFonts w:ascii="Calibri" w:hAnsi="Calibri" w:cs="Calibri"/>
          <w:color w:val="000000"/>
          <w:sz w:val="22"/>
          <w:szCs w:val="22"/>
        </w:rPr>
        <w:t>e largely concerned with maximiz</w:t>
      </w:r>
      <w:r>
        <w:rPr>
          <w:rFonts w:ascii="Calibri" w:hAnsi="Calibri" w:cs="Calibri"/>
          <w:color w:val="000000"/>
          <w:sz w:val="22"/>
          <w:szCs w:val="22"/>
        </w:rPr>
        <w:t>ing orga</w:t>
      </w:r>
      <w:r w:rsidR="005C0665">
        <w:rPr>
          <w:rFonts w:ascii="Calibri" w:hAnsi="Calibri" w:cs="Calibri"/>
          <w:color w:val="000000"/>
          <w:sz w:val="22"/>
          <w:szCs w:val="22"/>
        </w:rPr>
        <w:t>niz</w:t>
      </w:r>
      <w:r>
        <w:rPr>
          <w:rFonts w:ascii="Calibri" w:hAnsi="Calibri" w:cs="Calibri"/>
          <w:color w:val="000000"/>
          <w:sz w:val="22"/>
          <w:szCs w:val="22"/>
        </w:rPr>
        <w:t>ational performance, retaining talent, and operating in a profit-driven environment. The public sector, in contrast, is driven by the provision of public services, the implementation of policies, and the observance of regulations. As a result, these sectors have quite different HR roles and responsibilities.</w:t>
      </w:r>
    </w:p>
    <w:p w14:paraId="43D2A45E" w14:textId="56187B77" w:rsidR="00B569D6" w:rsidRPr="00B569D6" w:rsidRDefault="00B569D6" w:rsidP="00B569D6">
      <w:pPr>
        <w:rPr>
          <w:sz w:val="22"/>
          <w:szCs w:val="22"/>
        </w:rPr>
      </w:pPr>
      <w:r w:rsidRPr="00B569D6">
        <w:rPr>
          <w:sz w:val="22"/>
          <w:szCs w:val="22"/>
        </w:rPr>
        <w:t>A public sector company called East Coast County (ECC) assists its</w:t>
      </w:r>
      <w:r w:rsidR="005C0665">
        <w:rPr>
          <w:sz w:val="22"/>
          <w:szCs w:val="22"/>
        </w:rPr>
        <w:t xml:space="preserve"> clientele with numerous organiz</w:t>
      </w:r>
      <w:r w:rsidRPr="00B569D6">
        <w:rPr>
          <w:sz w:val="22"/>
          <w:szCs w:val="22"/>
        </w:rPr>
        <w:t xml:space="preserve">ational and human resources development initiatives. In 2017, ECC </w:t>
      </w:r>
      <w:proofErr w:type="gramStart"/>
      <w:r w:rsidR="006A3620" w:rsidRPr="006A3620">
        <w:rPr>
          <w:sz w:val="22"/>
          <w:szCs w:val="22"/>
        </w:rPr>
        <w:t>a need</w:t>
      </w:r>
      <w:proofErr w:type="gramEnd"/>
      <w:r w:rsidR="006A3620" w:rsidRPr="006A3620">
        <w:rPr>
          <w:sz w:val="22"/>
          <w:szCs w:val="22"/>
        </w:rPr>
        <w:t xml:space="preserve"> to address the issue of the public sector's lack of strategic HR partnership competency. Employers in the region were having problems filling senior HR roles since there weren't many candidates with experience in business partnerships.</w:t>
      </w:r>
      <w:r w:rsidR="006A3620">
        <w:rPr>
          <w:sz w:val="22"/>
          <w:szCs w:val="22"/>
        </w:rPr>
        <w:t xml:space="preserve"> </w:t>
      </w:r>
      <w:proofErr w:type="gramStart"/>
      <w:r w:rsidR="005C0665">
        <w:rPr>
          <w:sz w:val="22"/>
          <w:szCs w:val="22"/>
        </w:rPr>
        <w:t>As</w:t>
      </w:r>
      <w:proofErr w:type="gramEnd"/>
      <w:r w:rsidR="005C0665">
        <w:rPr>
          <w:sz w:val="22"/>
          <w:szCs w:val="22"/>
        </w:rPr>
        <w:t xml:space="preserve"> a result, ECC realiz</w:t>
      </w:r>
      <w:r w:rsidRPr="00B569D6">
        <w:rPr>
          <w:sz w:val="22"/>
          <w:szCs w:val="22"/>
        </w:rPr>
        <w:t>ed it had to take action to assist people in advancing into these crucial strategic HR positions.</w:t>
      </w:r>
    </w:p>
    <w:p w14:paraId="02F8947A" w14:textId="77777777" w:rsidR="00B569D6" w:rsidRPr="00B569D6" w:rsidRDefault="00B569D6" w:rsidP="00B569D6">
      <w:pPr>
        <w:rPr>
          <w:sz w:val="22"/>
          <w:szCs w:val="22"/>
        </w:rPr>
      </w:pPr>
      <w:r w:rsidRPr="00B569D6">
        <w:rPr>
          <w:sz w:val="22"/>
          <w:szCs w:val="22"/>
        </w:rPr>
        <w:t>The following evidence supports the reference to 2017:</w:t>
      </w:r>
    </w:p>
    <w:p w14:paraId="1564B622" w14:textId="2183BDE3" w:rsidR="00B569D6" w:rsidRPr="00B569D6" w:rsidRDefault="00B569D6" w:rsidP="00B569D6">
      <w:pPr>
        <w:rPr>
          <w:sz w:val="22"/>
          <w:szCs w:val="22"/>
        </w:rPr>
      </w:pPr>
      <w:r w:rsidRPr="00B569D6">
        <w:rPr>
          <w:sz w:val="22"/>
          <w:szCs w:val="22"/>
        </w:rPr>
        <w:t xml:space="preserve">The statement made by ECC Chief Executive Jill Paterson that "in 2017, </w:t>
      </w:r>
      <w:r w:rsidR="006A3620" w:rsidRPr="006A3620">
        <w:rPr>
          <w:sz w:val="22"/>
          <w:szCs w:val="22"/>
        </w:rPr>
        <w:t>We discovered that we had a number of openings at the Head of HR level, which meant we didn't have a strong point for business partnerships in our area.</w:t>
      </w:r>
    </w:p>
    <w:p w14:paraId="53ABF777" w14:textId="77777777" w:rsidR="0041272D" w:rsidRPr="00675A35" w:rsidRDefault="001606EA">
      <w:pPr>
        <w:pStyle w:val="NormalWeb"/>
        <w:spacing w:beforeAutospacing="0" w:afterAutospacing="0" w:line="14" w:lineRule="atLeast"/>
        <w:jc w:val="both"/>
        <w:rPr>
          <w:rFonts w:asciiTheme="minorHAnsi" w:hAnsiTheme="minorHAnsi" w:cstheme="minorHAnsi"/>
        </w:rPr>
      </w:pPr>
      <w:r>
        <w:rPr>
          <w:rFonts w:ascii="Calibri" w:hAnsi="Calibri" w:cs="Calibri"/>
          <w:color w:val="000000"/>
          <w:sz w:val="22"/>
          <w:szCs w:val="22"/>
        </w:rPr>
        <w:t>The success of HR strategy is al</w:t>
      </w:r>
      <w:r w:rsidR="005C0665">
        <w:rPr>
          <w:rFonts w:ascii="Calibri" w:hAnsi="Calibri" w:cs="Calibri"/>
          <w:color w:val="000000"/>
          <w:sz w:val="22"/>
          <w:szCs w:val="22"/>
        </w:rPr>
        <w:t>so greatly influenced by organiz</w:t>
      </w:r>
      <w:r>
        <w:rPr>
          <w:rFonts w:ascii="Calibri" w:hAnsi="Calibri" w:cs="Calibri"/>
          <w:color w:val="000000"/>
          <w:sz w:val="22"/>
          <w:szCs w:val="22"/>
        </w:rPr>
        <w:t>ational climate considerations. The support of the leadership, employee involvement, and change management techniques are crucial in determining the HR environment. For interventions to improve the efficacy of HR initiatives in the public sector, it is essential to comprehend these elements and how they affect HR strategy</w:t>
      </w:r>
      <w:r w:rsidR="00675A35">
        <w:rPr>
          <w:rFonts w:ascii="Calibri" w:hAnsi="Calibri" w:cs="Calibri"/>
          <w:color w:val="000000"/>
          <w:sz w:val="22"/>
          <w:szCs w:val="22"/>
        </w:rPr>
        <w:t xml:space="preserve"> </w:t>
      </w:r>
      <w:r w:rsidR="007C0D58">
        <w:rPr>
          <w:rFonts w:asciiTheme="minorHAnsi" w:hAnsiTheme="minorHAnsi" w:cstheme="minorHAnsi"/>
          <w:color w:val="000000"/>
          <w:sz w:val="22"/>
          <w:szCs w:val="22"/>
        </w:rPr>
        <w:t>(Albrecht,</w:t>
      </w:r>
      <w:r w:rsidR="00006ABC">
        <w:rPr>
          <w:rFonts w:asciiTheme="minorHAnsi" w:hAnsiTheme="minorHAnsi" w:cstheme="minorHAnsi"/>
          <w:color w:val="000000"/>
          <w:sz w:val="22"/>
          <w:szCs w:val="22"/>
        </w:rPr>
        <w:t xml:space="preserve"> </w:t>
      </w:r>
      <w:r w:rsidR="007C0D58">
        <w:rPr>
          <w:rFonts w:asciiTheme="minorHAnsi" w:hAnsiTheme="minorHAnsi" w:cstheme="minorHAnsi"/>
          <w:color w:val="000000"/>
          <w:sz w:val="22"/>
          <w:szCs w:val="22"/>
        </w:rPr>
        <w:t>S.L.,</w:t>
      </w:r>
      <w:r w:rsidR="00006ABC">
        <w:rPr>
          <w:rFonts w:asciiTheme="minorHAnsi" w:hAnsiTheme="minorHAnsi" w:cstheme="minorHAnsi"/>
          <w:color w:val="000000"/>
          <w:sz w:val="22"/>
          <w:szCs w:val="22"/>
        </w:rPr>
        <w:t xml:space="preserve"> </w:t>
      </w:r>
      <w:r w:rsidR="007C0D58">
        <w:rPr>
          <w:rFonts w:asciiTheme="minorHAnsi" w:hAnsiTheme="minorHAnsi" w:cstheme="minorHAnsi"/>
          <w:color w:val="000000"/>
          <w:sz w:val="22"/>
          <w:szCs w:val="22"/>
        </w:rPr>
        <w:t>Bakker,</w:t>
      </w:r>
      <w:r w:rsidR="00006ABC">
        <w:rPr>
          <w:rFonts w:asciiTheme="minorHAnsi" w:hAnsiTheme="minorHAnsi" w:cstheme="minorHAnsi"/>
          <w:color w:val="000000"/>
          <w:sz w:val="22"/>
          <w:szCs w:val="22"/>
        </w:rPr>
        <w:t xml:space="preserve"> </w:t>
      </w:r>
      <w:r w:rsidR="00FD42A0">
        <w:rPr>
          <w:rFonts w:asciiTheme="minorHAnsi" w:hAnsiTheme="minorHAnsi" w:cstheme="minorHAnsi"/>
          <w:color w:val="000000"/>
          <w:sz w:val="22"/>
          <w:szCs w:val="22"/>
        </w:rPr>
        <w:t xml:space="preserve">A.B, </w:t>
      </w:r>
      <w:proofErr w:type="spellStart"/>
      <w:proofErr w:type="gramStart"/>
      <w:r w:rsidR="007C0D58">
        <w:rPr>
          <w:rFonts w:asciiTheme="minorHAnsi" w:hAnsiTheme="minorHAnsi" w:cstheme="minorHAnsi"/>
          <w:color w:val="000000"/>
          <w:sz w:val="22"/>
          <w:szCs w:val="22"/>
        </w:rPr>
        <w:t>Gruman</w:t>
      </w:r>
      <w:proofErr w:type="spellEnd"/>
      <w:r w:rsidR="00FD42A0">
        <w:rPr>
          <w:rFonts w:asciiTheme="minorHAnsi" w:hAnsiTheme="minorHAnsi" w:cstheme="minorHAnsi"/>
          <w:color w:val="000000"/>
          <w:sz w:val="22"/>
          <w:szCs w:val="22"/>
        </w:rPr>
        <w:t xml:space="preserve"> </w:t>
      </w:r>
      <w:r w:rsidR="007C0D58">
        <w:rPr>
          <w:rFonts w:asciiTheme="minorHAnsi" w:hAnsiTheme="minorHAnsi" w:cstheme="minorHAnsi"/>
          <w:color w:val="000000"/>
          <w:sz w:val="22"/>
          <w:szCs w:val="22"/>
        </w:rPr>
        <w:t>,</w:t>
      </w:r>
      <w:proofErr w:type="gramEnd"/>
      <w:r w:rsidR="00006ABC">
        <w:rPr>
          <w:rFonts w:asciiTheme="minorHAnsi" w:hAnsiTheme="minorHAnsi" w:cstheme="minorHAnsi"/>
          <w:color w:val="000000"/>
          <w:sz w:val="22"/>
          <w:szCs w:val="22"/>
        </w:rPr>
        <w:t xml:space="preserve"> </w:t>
      </w:r>
      <w:r w:rsidR="007C0D58">
        <w:rPr>
          <w:rFonts w:asciiTheme="minorHAnsi" w:hAnsiTheme="minorHAnsi" w:cstheme="minorHAnsi"/>
          <w:color w:val="000000"/>
          <w:sz w:val="22"/>
          <w:szCs w:val="22"/>
        </w:rPr>
        <w:t>J.A, Mac</w:t>
      </w:r>
      <w:r w:rsidR="005C0665">
        <w:rPr>
          <w:rFonts w:asciiTheme="minorHAnsi" w:hAnsiTheme="minorHAnsi" w:cstheme="minorHAnsi"/>
          <w:color w:val="000000"/>
          <w:sz w:val="22"/>
          <w:szCs w:val="22"/>
        </w:rPr>
        <w:t xml:space="preserve">ey </w:t>
      </w:r>
      <w:r w:rsidR="007C0D58">
        <w:rPr>
          <w:rFonts w:asciiTheme="minorHAnsi" w:hAnsiTheme="minorHAnsi" w:cstheme="minorHAnsi"/>
          <w:color w:val="000000"/>
          <w:sz w:val="22"/>
          <w:szCs w:val="22"/>
        </w:rPr>
        <w:t>,W.H and  Saks,A.M,2015</w:t>
      </w:r>
      <w:r w:rsidR="00675A35" w:rsidRPr="00675A35">
        <w:rPr>
          <w:rFonts w:asciiTheme="minorHAnsi" w:hAnsiTheme="minorHAnsi" w:cstheme="minorHAnsi"/>
          <w:color w:val="222222"/>
          <w:sz w:val="22"/>
          <w:szCs w:val="22"/>
          <w:shd w:val="clear" w:color="auto" w:fill="FFFFFF"/>
        </w:rPr>
        <w:t>)</w:t>
      </w:r>
      <w:r w:rsidRPr="00675A35">
        <w:rPr>
          <w:rFonts w:asciiTheme="minorHAnsi" w:hAnsiTheme="minorHAnsi" w:cstheme="minorHAnsi"/>
          <w:color w:val="000000"/>
          <w:sz w:val="22"/>
          <w:szCs w:val="22"/>
        </w:rPr>
        <w:t>.</w:t>
      </w:r>
    </w:p>
    <w:p w14:paraId="07417B28" w14:textId="77777777" w:rsidR="0041272D" w:rsidRDefault="001606EA">
      <w:pPr>
        <w:pStyle w:val="NormalWeb"/>
        <w:spacing w:beforeAutospacing="0" w:afterAutospacing="0" w:line="14" w:lineRule="atLeast"/>
        <w:jc w:val="both"/>
      </w:pPr>
      <w:r>
        <w:rPr>
          <w:rFonts w:ascii="Calibri" w:hAnsi="Calibri" w:cs="Calibri"/>
          <w:color w:val="000000"/>
          <w:sz w:val="22"/>
          <w:szCs w:val="22"/>
        </w:rPr>
        <w:t xml:space="preserve">This essay will critically evaluate the distinctions between HR in the public and private sectors, investigate how the sector affects the efficacy of HR strategy, go over how HR can help employees be developed to meet strategic objectives, and examine how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climate influences HR strategy effectiveness. By doing so, it hopes to offer perceptions and suggestions for addressing the difficulties brought on by the absence of strategic HR partnering competence in the public sector.</w:t>
      </w:r>
    </w:p>
    <w:p w14:paraId="761E68B9" w14:textId="77777777" w:rsidR="0041272D" w:rsidRDefault="001606EA">
      <w:pPr>
        <w:pStyle w:val="Heading1"/>
        <w:spacing w:before="240" w:beforeAutospacing="0" w:afterAutospacing="0" w:line="16" w:lineRule="atLeast"/>
        <w:rPr>
          <w:rFonts w:hint="default"/>
        </w:rPr>
      </w:pPr>
      <w:bookmarkStart w:id="8" w:name="_Toc138283416"/>
      <w:bookmarkStart w:id="9" w:name="_Toc138283426"/>
      <w:bookmarkStart w:id="10" w:name="_Toc138283452"/>
      <w:r>
        <w:rPr>
          <w:rFonts w:ascii="Calibri" w:hAnsi="Calibri" w:cs="Calibri" w:hint="default"/>
          <w:color w:val="2F5496"/>
          <w:sz w:val="32"/>
          <w:szCs w:val="32"/>
        </w:rPr>
        <w:t>Role of HR in Public and Private sector</w:t>
      </w:r>
      <w:bookmarkEnd w:id="8"/>
      <w:bookmarkEnd w:id="9"/>
      <w:bookmarkEnd w:id="10"/>
    </w:p>
    <w:p w14:paraId="07A46E15" w14:textId="77777777" w:rsidR="0041272D" w:rsidRDefault="001606EA">
      <w:pPr>
        <w:pStyle w:val="NormalWeb"/>
        <w:spacing w:beforeAutospacing="0" w:afterAutospacing="0" w:line="14" w:lineRule="atLeast"/>
        <w:jc w:val="both"/>
      </w:pPr>
      <w:r>
        <w:rPr>
          <w:rFonts w:ascii="Calibri" w:hAnsi="Calibri" w:cs="Calibri"/>
          <w:color w:val="000000"/>
          <w:sz w:val="22"/>
          <w:szCs w:val="22"/>
        </w:rPr>
        <w:t>The private and public sectors differ significantly in terms of their HR practices, and understanding these differences is crucial to developing tailored solutions for the public sector's HR challenges.</w:t>
      </w:r>
    </w:p>
    <w:p w14:paraId="4A1FCC42" w14:textId="77777777" w:rsidR="0041272D" w:rsidRDefault="001606EA">
      <w:pPr>
        <w:pStyle w:val="NormalWeb"/>
        <w:spacing w:beforeAutospacing="0" w:afterAutospacing="0" w:line="14" w:lineRule="atLeast"/>
        <w:jc w:val="both"/>
      </w:pPr>
      <w:r>
        <w:rPr>
          <w:rFonts w:ascii="Calibri" w:hAnsi="Calibri" w:cs="Calibri"/>
          <w:color w:val="000000"/>
          <w:sz w:val="22"/>
          <w:szCs w:val="22"/>
        </w:rPr>
        <w:t>The private sector operates in a profit-driven environment, where HR functions primarily focus on talent acquisition, retention, and maximizing organizational performance. </w:t>
      </w:r>
    </w:p>
    <w:p w14:paraId="40EBD565" w14:textId="77777777" w:rsidR="0041272D" w:rsidRDefault="001606EA">
      <w:pPr>
        <w:pStyle w:val="NormalWeb"/>
        <w:spacing w:beforeAutospacing="0" w:afterAutospacing="0" w:line="14" w:lineRule="atLeast"/>
        <w:jc w:val="both"/>
      </w:pPr>
      <w:r>
        <w:rPr>
          <w:rFonts w:ascii="Calibri" w:hAnsi="Calibri" w:cs="Calibri"/>
          <w:color w:val="000000"/>
          <w:sz w:val="22"/>
          <w:szCs w:val="22"/>
        </w:rPr>
        <w:t>In contrast, the public sector is driven by the delivery of public services, policy implementation, and regulatory compliance. As a result, the role and priorities of HR differ significantly between these sectors</w:t>
      </w:r>
      <w:r w:rsidR="00675A35">
        <w:rPr>
          <w:rFonts w:ascii="Calibri" w:hAnsi="Calibri" w:cs="Calibri"/>
          <w:color w:val="000000"/>
          <w:sz w:val="22"/>
          <w:szCs w:val="22"/>
        </w:rPr>
        <w:t xml:space="preserve"> (</w:t>
      </w:r>
      <w:proofErr w:type="spellStart"/>
      <w:proofErr w:type="gramStart"/>
      <w:r w:rsidR="00675A35">
        <w:rPr>
          <w:rFonts w:ascii="Arial" w:hAnsi="Arial" w:cs="Arial"/>
          <w:color w:val="222222"/>
          <w:sz w:val="22"/>
          <w:szCs w:val="22"/>
          <w:shd w:val="clear" w:color="auto" w:fill="FFFFFF"/>
        </w:rPr>
        <w:t>Walk,M</w:t>
      </w:r>
      <w:r>
        <w:rPr>
          <w:rFonts w:ascii="Calibri" w:hAnsi="Calibri" w:cs="Calibri"/>
          <w:color w:val="000000"/>
          <w:sz w:val="22"/>
          <w:szCs w:val="22"/>
        </w:rPr>
        <w:t>.</w:t>
      </w:r>
      <w:proofErr w:type="gramEnd"/>
      <w:r w:rsidR="00675A35">
        <w:rPr>
          <w:rFonts w:ascii="Calibri" w:hAnsi="Calibri" w:cs="Calibri"/>
          <w:color w:val="000000"/>
          <w:sz w:val="22"/>
          <w:szCs w:val="22"/>
        </w:rPr>
        <w:t>,Schinnenburg,H.,and</w:t>
      </w:r>
      <w:proofErr w:type="spellEnd"/>
      <w:r w:rsidR="00675A35">
        <w:rPr>
          <w:rFonts w:ascii="Calibri" w:hAnsi="Calibri" w:cs="Calibri"/>
          <w:color w:val="000000"/>
          <w:sz w:val="22"/>
          <w:szCs w:val="22"/>
        </w:rPr>
        <w:t xml:space="preserve"> Handy,F.,2014)</w:t>
      </w:r>
    </w:p>
    <w:p w14:paraId="3266603B" w14:textId="77777777" w:rsidR="0041272D" w:rsidRDefault="001606EA">
      <w:pPr>
        <w:pStyle w:val="Heading2"/>
        <w:spacing w:before="40" w:beforeAutospacing="0" w:afterAutospacing="0" w:line="16" w:lineRule="atLeast"/>
        <w:rPr>
          <w:rFonts w:hint="default"/>
        </w:rPr>
      </w:pPr>
      <w:bookmarkStart w:id="11" w:name="_Toc138283417"/>
      <w:bookmarkStart w:id="12" w:name="_Toc138283427"/>
      <w:bookmarkStart w:id="13" w:name="_Toc138283453"/>
      <w:r>
        <w:rPr>
          <w:rFonts w:ascii="Calibri" w:hAnsi="Calibri" w:cs="Calibri" w:hint="default"/>
          <w:color w:val="2F5496"/>
          <w:sz w:val="26"/>
          <w:szCs w:val="26"/>
        </w:rPr>
        <w:t>Example of HR role in public sector</w:t>
      </w:r>
      <w:bookmarkEnd w:id="11"/>
      <w:bookmarkEnd w:id="12"/>
      <w:bookmarkEnd w:id="13"/>
    </w:p>
    <w:p w14:paraId="1C86776D" w14:textId="77777777" w:rsidR="00D44FCC" w:rsidRPr="005C5BC3" w:rsidRDefault="00483F01">
      <w:pPr>
        <w:pStyle w:val="NormalWeb"/>
        <w:spacing w:beforeAutospacing="0" w:after="160" w:afterAutospacing="0" w:line="16" w:lineRule="atLeast"/>
        <w:jc w:val="both"/>
        <w:rPr>
          <w:rFonts w:asciiTheme="minorHAnsi" w:hAnsiTheme="minorHAnsi" w:cstheme="minorHAnsi"/>
          <w:color w:val="000000"/>
          <w:sz w:val="22"/>
          <w:szCs w:val="22"/>
        </w:rPr>
      </w:pPr>
      <w:r>
        <w:rPr>
          <w:rFonts w:ascii="Calibri" w:hAnsi="Calibri" w:cs="Calibri"/>
          <w:color w:val="000000"/>
          <w:sz w:val="22"/>
          <w:szCs w:val="22"/>
        </w:rPr>
        <w:t xml:space="preserve">An review of statistical data using information from the most current Australian workplace industrial relations </w:t>
      </w:r>
      <w:proofErr w:type="spellStart"/>
      <w:proofErr w:type="gramStart"/>
      <w:r>
        <w:rPr>
          <w:rFonts w:ascii="Calibri" w:hAnsi="Calibri" w:cs="Calibri"/>
          <w:color w:val="000000"/>
          <w:sz w:val="22"/>
          <w:szCs w:val="22"/>
        </w:rPr>
        <w:t>survey,which</w:t>
      </w:r>
      <w:proofErr w:type="spellEnd"/>
      <w:proofErr w:type="gramEnd"/>
      <w:r>
        <w:rPr>
          <w:rFonts w:ascii="Calibri" w:hAnsi="Calibri" w:cs="Calibri"/>
          <w:color w:val="000000"/>
          <w:sz w:val="22"/>
          <w:szCs w:val="22"/>
        </w:rPr>
        <w:t xml:space="preserve"> included information from over 2,000 businesses and over 19,000 </w:t>
      </w:r>
      <w:proofErr w:type="spellStart"/>
      <w:r>
        <w:rPr>
          <w:rFonts w:ascii="Calibri" w:hAnsi="Calibri" w:cs="Calibri"/>
          <w:color w:val="000000"/>
          <w:sz w:val="22"/>
          <w:szCs w:val="22"/>
        </w:rPr>
        <w:t>employees,finds</w:t>
      </w:r>
      <w:proofErr w:type="spellEnd"/>
      <w:r>
        <w:rPr>
          <w:rFonts w:ascii="Calibri" w:hAnsi="Calibri" w:cs="Calibri"/>
          <w:color w:val="000000"/>
          <w:sz w:val="22"/>
          <w:szCs w:val="22"/>
        </w:rPr>
        <w:t xml:space="preserve"> that change has a considerable negative impact on trust. The impacts, however, fluctuate depending on the sort of change and employee involvement. Trust in management is severely </w:t>
      </w:r>
      <w:proofErr w:type="spellStart"/>
      <w:r>
        <w:rPr>
          <w:rFonts w:ascii="Calibri" w:hAnsi="Calibri" w:cs="Calibri"/>
          <w:color w:val="000000"/>
          <w:sz w:val="22"/>
          <w:szCs w:val="22"/>
        </w:rPr>
        <w:t>weakend</w:t>
      </w:r>
      <w:proofErr w:type="spellEnd"/>
      <w:r>
        <w:rPr>
          <w:rFonts w:ascii="Calibri" w:hAnsi="Calibri" w:cs="Calibri"/>
          <w:color w:val="000000"/>
          <w:sz w:val="22"/>
          <w:szCs w:val="22"/>
        </w:rPr>
        <w:t xml:space="preserve"> by structural </w:t>
      </w:r>
      <w:proofErr w:type="gramStart"/>
      <w:r>
        <w:rPr>
          <w:rFonts w:ascii="Calibri" w:hAnsi="Calibri" w:cs="Calibri"/>
          <w:color w:val="000000"/>
          <w:sz w:val="22"/>
          <w:szCs w:val="22"/>
        </w:rPr>
        <w:t>reorganization .However</w:t>
      </w:r>
      <w:proofErr w:type="gramEnd"/>
      <w:r>
        <w:rPr>
          <w:rFonts w:ascii="Calibri" w:hAnsi="Calibri" w:cs="Calibri"/>
          <w:color w:val="000000"/>
          <w:sz w:val="22"/>
          <w:szCs w:val="22"/>
        </w:rPr>
        <w:t>, given the necessity of change to lessen its negative effects. The data also suggest that senior management plays a crucial part in the transition process in Au</w:t>
      </w:r>
      <w:r w:rsidR="00615B9A">
        <w:rPr>
          <w:rFonts w:ascii="Calibri" w:hAnsi="Calibri" w:cs="Calibri"/>
          <w:color w:val="000000"/>
          <w:sz w:val="22"/>
          <w:szCs w:val="22"/>
        </w:rPr>
        <w:t xml:space="preserve">stralian businesses. The results for human resource </w:t>
      </w:r>
      <w:proofErr w:type="gramStart"/>
      <w:r w:rsidR="00615B9A">
        <w:rPr>
          <w:rFonts w:ascii="Calibri" w:hAnsi="Calibri" w:cs="Calibri"/>
          <w:color w:val="000000"/>
          <w:sz w:val="22"/>
          <w:szCs w:val="22"/>
        </w:rPr>
        <w:t>management  in</w:t>
      </w:r>
      <w:proofErr w:type="gramEnd"/>
      <w:r w:rsidR="00615B9A">
        <w:rPr>
          <w:rFonts w:ascii="Calibri" w:hAnsi="Calibri" w:cs="Calibri"/>
          <w:color w:val="000000"/>
          <w:sz w:val="22"/>
          <w:szCs w:val="22"/>
        </w:rPr>
        <w:t xml:space="preserve"> particular point to the significance of direct employee-higher management (</w:t>
      </w:r>
      <w:proofErr w:type="spellStart"/>
      <w:r w:rsidR="00615B9A">
        <w:rPr>
          <w:rFonts w:ascii="Calibri" w:hAnsi="Calibri" w:cs="Calibri"/>
          <w:color w:val="000000"/>
          <w:sz w:val="22"/>
          <w:szCs w:val="22"/>
        </w:rPr>
        <w:t>i.e.,management</w:t>
      </w:r>
      <w:proofErr w:type="spellEnd"/>
      <w:r w:rsidR="00615B9A">
        <w:rPr>
          <w:rFonts w:ascii="Calibri" w:hAnsi="Calibri" w:cs="Calibri"/>
          <w:color w:val="000000"/>
          <w:sz w:val="22"/>
          <w:szCs w:val="22"/>
        </w:rPr>
        <w:t xml:space="preserve"> levels above the workplace level) consultation in large -scale  change operations </w:t>
      </w:r>
      <w:r w:rsidR="00117C37">
        <w:rPr>
          <w:rFonts w:ascii="Calibri" w:hAnsi="Calibri" w:cs="Calibri"/>
          <w:color w:val="000000"/>
          <w:sz w:val="22"/>
          <w:szCs w:val="22"/>
        </w:rPr>
        <w:t>(safe work Australia</w:t>
      </w:r>
      <w:r w:rsidR="00117C37" w:rsidRPr="005C5BC3">
        <w:rPr>
          <w:rFonts w:asciiTheme="minorHAnsi" w:hAnsiTheme="minorHAnsi" w:cstheme="minorHAnsi"/>
          <w:color w:val="000000"/>
          <w:sz w:val="22"/>
          <w:szCs w:val="22"/>
        </w:rPr>
        <w:t>)</w:t>
      </w:r>
      <w:r w:rsidR="005C5BC3">
        <w:rPr>
          <w:rFonts w:asciiTheme="minorHAnsi" w:hAnsiTheme="minorHAnsi" w:cstheme="minorHAnsi"/>
          <w:color w:val="000000"/>
          <w:sz w:val="22"/>
          <w:szCs w:val="22"/>
        </w:rPr>
        <w:t>(</w:t>
      </w:r>
      <w:r w:rsidR="005C5BC3" w:rsidRPr="005C5BC3">
        <w:rPr>
          <w:rFonts w:asciiTheme="minorHAnsi" w:hAnsiTheme="minorHAnsi" w:cstheme="minorHAnsi"/>
          <w:color w:val="222222"/>
          <w:sz w:val="16"/>
          <w:szCs w:val="16"/>
          <w:shd w:val="clear" w:color="auto" w:fill="FFFFFF"/>
        </w:rPr>
        <w:t xml:space="preserve"> </w:t>
      </w:r>
      <w:r w:rsidR="005C5BC3" w:rsidRPr="005C5BC3">
        <w:rPr>
          <w:rFonts w:asciiTheme="minorHAnsi" w:hAnsiTheme="minorHAnsi" w:cstheme="minorHAnsi"/>
          <w:color w:val="222222"/>
          <w:sz w:val="22"/>
          <w:szCs w:val="22"/>
          <w:shd w:val="clear" w:color="auto" w:fill="FFFFFF"/>
        </w:rPr>
        <w:t xml:space="preserve">Whitehouse, G. and </w:t>
      </w:r>
      <w:proofErr w:type="spellStart"/>
      <w:r w:rsidR="005C5BC3" w:rsidRPr="005C5BC3">
        <w:rPr>
          <w:rFonts w:asciiTheme="minorHAnsi" w:hAnsiTheme="minorHAnsi" w:cstheme="minorHAnsi"/>
          <w:color w:val="222222"/>
          <w:sz w:val="22"/>
          <w:szCs w:val="22"/>
          <w:shd w:val="clear" w:color="auto" w:fill="FFFFFF"/>
        </w:rPr>
        <w:t>Zetlin</w:t>
      </w:r>
      <w:proofErr w:type="spellEnd"/>
      <w:r w:rsidR="005C5BC3" w:rsidRPr="005C5BC3">
        <w:rPr>
          <w:rFonts w:asciiTheme="minorHAnsi" w:hAnsiTheme="minorHAnsi" w:cstheme="minorHAnsi"/>
          <w:color w:val="222222"/>
          <w:sz w:val="22"/>
          <w:szCs w:val="22"/>
          <w:shd w:val="clear" w:color="auto" w:fill="FFFFFF"/>
        </w:rPr>
        <w:t>, D., 1999</w:t>
      </w:r>
      <w:r w:rsidR="005C5BC3">
        <w:rPr>
          <w:rFonts w:asciiTheme="minorHAnsi" w:hAnsiTheme="minorHAnsi" w:cstheme="minorHAnsi"/>
          <w:color w:val="222222"/>
          <w:sz w:val="22"/>
          <w:szCs w:val="22"/>
          <w:shd w:val="clear" w:color="auto" w:fill="FFFFFF"/>
        </w:rPr>
        <w:t>)</w:t>
      </w:r>
      <w:r w:rsidR="00117C37" w:rsidRPr="005C5BC3">
        <w:rPr>
          <w:rFonts w:asciiTheme="minorHAnsi" w:hAnsiTheme="minorHAnsi" w:cstheme="minorHAnsi"/>
          <w:color w:val="000000"/>
          <w:sz w:val="22"/>
          <w:szCs w:val="22"/>
        </w:rPr>
        <w:t>.</w:t>
      </w:r>
    </w:p>
    <w:p w14:paraId="6DA048B7" w14:textId="77777777" w:rsidR="0041272D" w:rsidRPr="00FA3513" w:rsidRDefault="00615B9A">
      <w:pPr>
        <w:pStyle w:val="NormalWeb"/>
        <w:spacing w:beforeAutospacing="0" w:after="160" w:afterAutospacing="0" w:line="16" w:lineRule="atLeast"/>
        <w:jc w:val="both"/>
        <w:rPr>
          <w:rFonts w:asciiTheme="minorHAnsi" w:hAnsiTheme="minorHAnsi" w:cstheme="minorHAnsi"/>
          <w:sz w:val="22"/>
          <w:szCs w:val="22"/>
          <w:shd w:val="clear" w:color="auto" w:fill="FFFF00"/>
        </w:rPr>
      </w:pPr>
      <w:r w:rsidRPr="00C0210F">
        <w:rPr>
          <w:rFonts w:ascii="Calibri" w:hAnsi="Calibri" w:cs="Calibri"/>
          <w:b/>
          <w:bCs/>
          <w:color w:val="000000"/>
          <w:sz w:val="22"/>
          <w:szCs w:val="22"/>
        </w:rPr>
        <w:lastRenderedPageBreak/>
        <w:t>Civil Service Recruiting</w:t>
      </w:r>
      <w:r>
        <w:rPr>
          <w:rFonts w:ascii="Calibri" w:hAnsi="Calibri" w:cs="Calibri"/>
          <w:color w:val="000000"/>
          <w:sz w:val="22"/>
          <w:szCs w:val="22"/>
        </w:rPr>
        <w:t>:</w:t>
      </w:r>
      <w:r w:rsidR="00FA3513" w:rsidRPr="00FA3513">
        <w:t xml:space="preserve"> </w:t>
      </w:r>
      <w:r w:rsidR="00FA3513" w:rsidRPr="00FA3513">
        <w:rPr>
          <w:rFonts w:ascii="Calibri" w:hAnsi="Calibri" w:cs="Calibri"/>
          <w:color w:val="000000"/>
          <w:sz w:val="22"/>
          <w:szCs w:val="22"/>
        </w:rPr>
        <w:t xml:space="preserve">The goal of administrative reforms has always been to shield the permanent executive, the bureaucracy, from the influence of the political executive. It is crucial to have a meritocratic, public, and transparent recruiting procedure </w:t>
      </w:r>
      <w:proofErr w:type="gramStart"/>
      <w:r w:rsidR="00FA3513" w:rsidRPr="00FA3513">
        <w:rPr>
          <w:rFonts w:ascii="Calibri" w:hAnsi="Calibri" w:cs="Calibri"/>
          <w:color w:val="000000"/>
          <w:sz w:val="22"/>
          <w:szCs w:val="22"/>
        </w:rPr>
        <w:t>in order to</w:t>
      </w:r>
      <w:proofErr w:type="gramEnd"/>
      <w:r w:rsidR="00FA3513" w:rsidRPr="00FA3513">
        <w:rPr>
          <w:rFonts w:ascii="Calibri" w:hAnsi="Calibri" w:cs="Calibri"/>
          <w:color w:val="000000"/>
          <w:sz w:val="22"/>
          <w:szCs w:val="22"/>
        </w:rPr>
        <w:t xml:space="preserve"> shield administrators from political meddling. The key requirements for the effective implementation of lateral recruitment in India are assessed in this study. It contends that merit, including open and fair hiring procedures, is the cornerstone of every efficient bureaucratic </w:t>
      </w:r>
      <w:r w:rsidR="00FA3513">
        <w:rPr>
          <w:rFonts w:ascii="Calibri" w:hAnsi="Calibri" w:cs="Calibri"/>
          <w:color w:val="000000"/>
          <w:sz w:val="22"/>
          <w:szCs w:val="22"/>
        </w:rPr>
        <w:t>organization (Rishi</w:t>
      </w:r>
      <w:proofErr w:type="gramStart"/>
      <w:r w:rsidR="00FA3513">
        <w:rPr>
          <w:rFonts w:ascii="Calibri" w:hAnsi="Calibri" w:cs="Calibri"/>
          <w:color w:val="000000"/>
          <w:sz w:val="22"/>
          <w:szCs w:val="22"/>
        </w:rPr>
        <w:t>.,S.</w:t>
      </w:r>
      <w:proofErr w:type="gramEnd"/>
      <w:r w:rsidR="00FA3513">
        <w:rPr>
          <w:rFonts w:ascii="Calibri" w:hAnsi="Calibri" w:cs="Calibri"/>
          <w:color w:val="000000"/>
          <w:sz w:val="22"/>
          <w:szCs w:val="22"/>
        </w:rPr>
        <w:t>,2020)</w:t>
      </w:r>
    </w:p>
    <w:p w14:paraId="3912968F" w14:textId="77777777" w:rsidR="0041272D" w:rsidRDefault="001606EA">
      <w:pPr>
        <w:pStyle w:val="Heading2"/>
        <w:spacing w:before="40" w:beforeAutospacing="0" w:afterAutospacing="0" w:line="16" w:lineRule="atLeast"/>
        <w:rPr>
          <w:rFonts w:hint="default"/>
        </w:rPr>
      </w:pPr>
      <w:bookmarkStart w:id="14" w:name="_Toc138283418"/>
      <w:bookmarkStart w:id="15" w:name="_Toc138283428"/>
      <w:bookmarkStart w:id="16" w:name="_Toc138283454"/>
      <w:r>
        <w:rPr>
          <w:rFonts w:ascii="Calibri" w:hAnsi="Calibri" w:cs="Calibri" w:hint="default"/>
          <w:color w:val="2F5496"/>
          <w:sz w:val="26"/>
          <w:szCs w:val="26"/>
        </w:rPr>
        <w:t>Example of HR role in private sector</w:t>
      </w:r>
      <w:bookmarkEnd w:id="14"/>
      <w:bookmarkEnd w:id="15"/>
      <w:bookmarkEnd w:id="16"/>
    </w:p>
    <w:p w14:paraId="7BA1D48A" w14:textId="05D155BF" w:rsidR="00D9018D" w:rsidRDefault="001606EA">
      <w:pPr>
        <w:pStyle w:val="NormalWeb"/>
        <w:spacing w:beforeAutospacing="0" w:after="160" w:afterAutospacing="0" w:line="16" w:lineRule="atLeast"/>
        <w:rPr>
          <w:rFonts w:ascii="Calibri" w:hAnsi="Calibri" w:cs="Calibri"/>
          <w:color w:val="000000"/>
          <w:sz w:val="22"/>
          <w:szCs w:val="22"/>
        </w:rPr>
      </w:pPr>
      <w:r w:rsidRPr="00B955C3">
        <w:rPr>
          <w:rFonts w:ascii="Calibri" w:hAnsi="Calibri" w:cs="Calibri"/>
          <w:b/>
          <w:bCs/>
          <w:color w:val="000000"/>
          <w:sz w:val="22"/>
          <w:szCs w:val="22"/>
        </w:rPr>
        <w:t>Talent Acquisition &amp; Recr</w:t>
      </w:r>
      <w:r w:rsidR="00665032" w:rsidRPr="00B955C3">
        <w:rPr>
          <w:rFonts w:ascii="Calibri" w:hAnsi="Calibri" w:cs="Calibri"/>
          <w:b/>
          <w:bCs/>
          <w:color w:val="000000"/>
          <w:sz w:val="22"/>
          <w:szCs w:val="22"/>
        </w:rPr>
        <w:t>uitment</w:t>
      </w:r>
    </w:p>
    <w:p w14:paraId="233759EF" w14:textId="18FF41C2" w:rsidR="0037283D" w:rsidRDefault="0037283D">
      <w:pPr>
        <w:pStyle w:val="NormalWeb"/>
        <w:spacing w:beforeAutospacing="0" w:after="160" w:afterAutospacing="0" w:line="16" w:lineRule="atLeast"/>
      </w:pPr>
      <w:r w:rsidRPr="0037283D">
        <w:t>The hotel and tourism industries struggle with a lack of qualified workers due to high turnover rates and the associated costs of locating and hiring new employees. This paper will discuss how companies in the hospitality and tourism sectors can use electronic human resource management (</w:t>
      </w:r>
      <w:proofErr w:type="spellStart"/>
      <w:r w:rsidRPr="0037283D">
        <w:t>eHRM</w:t>
      </w:r>
      <w:proofErr w:type="spellEnd"/>
      <w:r w:rsidRPr="0037283D">
        <w:t xml:space="preserve">) and artificial intelligence (AI) to streamline the hiring process, boost employee retention rates, and reduce the time it takes to find new employees. It focuses on how AI technology, electronic hiring, and electronic selection could help hospitality and tourism firms by improving hiring and selection </w:t>
      </w:r>
      <w:proofErr w:type="spellStart"/>
      <w:proofErr w:type="gramStart"/>
      <w:r w:rsidRPr="0037283D">
        <w:t>outcomes.Stone</w:t>
      </w:r>
      <w:proofErr w:type="spellEnd"/>
      <w:proofErr w:type="gramEnd"/>
      <w:r w:rsidRPr="0037283D">
        <w:t xml:space="preserve">, D.L., </w:t>
      </w:r>
      <w:proofErr w:type="spellStart"/>
      <w:r w:rsidRPr="0037283D">
        <w:t>Lukaszewski</w:t>
      </w:r>
      <w:proofErr w:type="spellEnd"/>
      <w:r w:rsidRPr="0037283D">
        <w:t>, K.M., and Johnson, R.D., 2020</w:t>
      </w:r>
    </w:p>
    <w:p w14:paraId="0A63B017" w14:textId="77777777" w:rsidR="0041272D" w:rsidRPr="00291475" w:rsidRDefault="001606EA" w:rsidP="00D9018D">
      <w:pPr>
        <w:pStyle w:val="NormalWeb"/>
        <w:pBdr>
          <w:top w:val="single" w:sz="4" w:space="0" w:color="D9D9E3"/>
          <w:left w:val="single" w:sz="4" w:space="0" w:color="D9D9E3"/>
          <w:bottom w:val="single" w:sz="4" w:space="0" w:color="D9D9E3"/>
          <w:right w:val="single" w:sz="4" w:space="0" w:color="D9D9E3"/>
        </w:pBdr>
        <w:spacing w:beforeAutospacing="0" w:afterAutospacing="0" w:line="16" w:lineRule="atLeast"/>
        <w:jc w:val="both"/>
        <w:rPr>
          <w:rFonts w:ascii="Calibri" w:hAnsi="Calibri" w:cs="Calibri"/>
          <w:b/>
          <w:bCs/>
          <w:color w:val="000000"/>
          <w:sz w:val="22"/>
          <w:szCs w:val="22"/>
        </w:rPr>
      </w:pPr>
      <w:r w:rsidRPr="00291475">
        <w:rPr>
          <w:rFonts w:ascii="Calibri" w:hAnsi="Calibri" w:cs="Calibri"/>
          <w:b/>
          <w:bCs/>
          <w:color w:val="000000"/>
          <w:sz w:val="22"/>
          <w:szCs w:val="22"/>
        </w:rPr>
        <w:t>Performance Management &amp; Appraisal</w:t>
      </w:r>
    </w:p>
    <w:p w14:paraId="2D6722DF" w14:textId="532F6994" w:rsidR="0041272D" w:rsidRPr="003F1A92" w:rsidRDefault="003F1A92" w:rsidP="003F1A92">
      <w:pPr>
        <w:rPr>
          <w:rFonts w:ascii="Calibri" w:eastAsia="SimSun" w:hAnsi="Calibri" w:cs="Calibri"/>
          <w:color w:val="000000"/>
          <w:sz w:val="22"/>
          <w:szCs w:val="22"/>
          <w:lang w:bidi="hi-IN"/>
        </w:rPr>
      </w:pPr>
      <w:r w:rsidRPr="003F1A92">
        <w:rPr>
          <w:rFonts w:ascii="Calibri" w:eastAsia="SimSun" w:hAnsi="Calibri" w:cs="Calibri"/>
          <w:color w:val="000000"/>
          <w:sz w:val="22"/>
          <w:szCs w:val="22"/>
          <w:lang w:bidi="hi-IN"/>
        </w:rPr>
        <w:t>Regarding seven performance management and appraisal issues, the preferences of a broad sample of 265 employees were surveyed. The performance management process, concerns with feedback, and the source of the appraisal have all been the subject of research questions.</w:t>
      </w:r>
      <w:r w:rsidR="006A3620" w:rsidRPr="006A3620">
        <w:t xml:space="preserve"> </w:t>
      </w:r>
      <w:r w:rsidR="006A3620" w:rsidRPr="006A3620">
        <w:rPr>
          <w:rFonts w:ascii="Calibri" w:eastAsia="SimSun" w:hAnsi="Calibri" w:cs="Calibri"/>
          <w:color w:val="000000"/>
          <w:sz w:val="22"/>
          <w:szCs w:val="22"/>
          <w:lang w:bidi="hi-IN"/>
        </w:rPr>
        <w:t>The results revealed that participants liked receiving formal appraisals at least twice a year, knowing their supervisor's expectations in advance, and receiving continued informal feedback throughout the appraisal period. Additionally, they expressed a preference for being aware of the expectations of their immediate supervisor beforehand.</w:t>
      </w:r>
      <w:r w:rsidR="006A3620">
        <w:rPr>
          <w:rFonts w:ascii="Calibri" w:eastAsia="SimSun" w:hAnsi="Calibri" w:cs="Calibri"/>
          <w:color w:val="000000"/>
          <w:sz w:val="22"/>
          <w:szCs w:val="22"/>
          <w:lang w:bidi="hi-IN"/>
        </w:rPr>
        <w:t>.</w:t>
      </w:r>
      <w:r w:rsidRPr="003F1A92">
        <w:rPr>
          <w:rFonts w:ascii="Calibri" w:eastAsia="SimSun" w:hAnsi="Calibri" w:cs="Calibri"/>
          <w:color w:val="000000"/>
          <w:sz w:val="22"/>
          <w:szCs w:val="22"/>
          <w:lang w:bidi="hi-IN"/>
        </w:rPr>
        <w:t>. The subjects reported a preference for developmental evaluations that were mostly based on the output of the work. Gender or ratee experience had little effect on preferences. The implications for those working in human resource development are highlighted</w:t>
      </w:r>
      <w:r w:rsidR="00716B3C">
        <w:rPr>
          <w:rFonts w:ascii="Calibri" w:eastAsia="SimSun" w:hAnsi="Calibri" w:cs="Calibri"/>
          <w:color w:val="000000"/>
          <w:sz w:val="22"/>
          <w:szCs w:val="22"/>
          <w:lang w:bidi="hi-IN"/>
        </w:rPr>
        <w:t xml:space="preserve"> </w:t>
      </w:r>
      <w:r>
        <w:rPr>
          <w:rFonts w:ascii="Calibri" w:eastAsia="SimSun" w:hAnsi="Calibri" w:cs="Calibri"/>
          <w:color w:val="000000"/>
          <w:sz w:val="22"/>
          <w:szCs w:val="22"/>
          <w:lang w:bidi="hi-IN"/>
        </w:rPr>
        <w:t>(</w:t>
      </w:r>
      <w:proofErr w:type="gramStart"/>
      <w:r>
        <w:rPr>
          <w:rFonts w:ascii="Calibri" w:eastAsia="SimSun" w:hAnsi="Calibri" w:cs="Calibri"/>
          <w:color w:val="000000"/>
          <w:sz w:val="22"/>
          <w:szCs w:val="22"/>
          <w:lang w:bidi="hi-IN"/>
        </w:rPr>
        <w:t>Gosselin,</w:t>
      </w:r>
      <w:r w:rsidR="00716B3C">
        <w:rPr>
          <w:rFonts w:ascii="Calibri" w:eastAsia="SimSun" w:hAnsi="Calibri" w:cs="Calibri"/>
          <w:color w:val="000000"/>
          <w:sz w:val="22"/>
          <w:szCs w:val="22"/>
          <w:lang w:bidi="hi-IN"/>
        </w:rPr>
        <w:t xml:space="preserve">  </w:t>
      </w:r>
      <w:r>
        <w:rPr>
          <w:rFonts w:ascii="Calibri" w:eastAsia="SimSun" w:hAnsi="Calibri" w:cs="Calibri"/>
          <w:color w:val="000000"/>
          <w:sz w:val="22"/>
          <w:szCs w:val="22"/>
          <w:lang w:bidi="hi-IN"/>
        </w:rPr>
        <w:t>A.</w:t>
      </w:r>
      <w:proofErr w:type="gramEnd"/>
      <w:r>
        <w:rPr>
          <w:rFonts w:ascii="Calibri" w:eastAsia="SimSun" w:hAnsi="Calibri" w:cs="Calibri"/>
          <w:color w:val="000000"/>
          <w:sz w:val="22"/>
          <w:szCs w:val="22"/>
          <w:lang w:bidi="hi-IN"/>
        </w:rPr>
        <w:t xml:space="preserve">, </w:t>
      </w:r>
      <w:r w:rsidR="00716B3C">
        <w:rPr>
          <w:rFonts w:ascii="Calibri" w:eastAsia="SimSun" w:hAnsi="Calibri" w:cs="Calibri"/>
          <w:color w:val="000000"/>
          <w:sz w:val="22"/>
          <w:szCs w:val="22"/>
          <w:lang w:bidi="hi-IN"/>
        </w:rPr>
        <w:t xml:space="preserve"> </w:t>
      </w:r>
      <w:r>
        <w:rPr>
          <w:rFonts w:ascii="Calibri" w:eastAsia="SimSun" w:hAnsi="Calibri" w:cs="Calibri"/>
          <w:color w:val="000000"/>
          <w:sz w:val="22"/>
          <w:szCs w:val="22"/>
          <w:lang w:bidi="hi-IN"/>
        </w:rPr>
        <w:t>Werner</w:t>
      </w:r>
      <w:r w:rsidR="00716B3C">
        <w:rPr>
          <w:rFonts w:ascii="Calibri" w:eastAsia="SimSun" w:hAnsi="Calibri" w:cs="Calibri"/>
          <w:color w:val="000000"/>
          <w:sz w:val="22"/>
          <w:szCs w:val="22"/>
          <w:lang w:bidi="hi-IN"/>
        </w:rPr>
        <w:t xml:space="preserve"> </w:t>
      </w:r>
      <w:r>
        <w:rPr>
          <w:rFonts w:ascii="Calibri" w:eastAsia="SimSun" w:hAnsi="Calibri" w:cs="Calibri"/>
          <w:color w:val="000000"/>
          <w:sz w:val="22"/>
          <w:szCs w:val="22"/>
          <w:lang w:bidi="hi-IN"/>
        </w:rPr>
        <w:t>,J.M and Halle, N.,1997)</w:t>
      </w:r>
      <w:r w:rsidR="001606EA" w:rsidRPr="00D9018D">
        <w:rPr>
          <w:rFonts w:ascii="Calibri" w:hAnsi="Calibri" w:cs="Calibri"/>
          <w:color w:val="000000"/>
          <w:sz w:val="22"/>
          <w:szCs w:val="22"/>
        </w:rPr>
        <w:t>.</w:t>
      </w:r>
    </w:p>
    <w:p w14:paraId="68B1878C" w14:textId="77777777" w:rsidR="0041272D" w:rsidRPr="00D9018D" w:rsidRDefault="0041272D" w:rsidP="00D9018D">
      <w:pPr>
        <w:pStyle w:val="NormalWeb"/>
        <w:pBdr>
          <w:top w:val="single" w:sz="4" w:space="0" w:color="D9D9E3"/>
          <w:left w:val="single" w:sz="4" w:space="0" w:color="D9D9E3"/>
          <w:bottom w:val="single" w:sz="4" w:space="0" w:color="D9D9E3"/>
          <w:right w:val="single" w:sz="4" w:space="0" w:color="D9D9E3"/>
        </w:pBdr>
        <w:spacing w:beforeAutospacing="0" w:afterAutospacing="0" w:line="16" w:lineRule="atLeast"/>
        <w:jc w:val="both"/>
        <w:rPr>
          <w:rFonts w:ascii="Calibri" w:hAnsi="Calibri" w:cs="Calibri"/>
          <w:color w:val="000000"/>
          <w:sz w:val="22"/>
          <w:szCs w:val="22"/>
        </w:rPr>
      </w:pPr>
    </w:p>
    <w:p w14:paraId="7DA9EB16" w14:textId="77777777" w:rsidR="0041272D" w:rsidRDefault="0041272D"/>
    <w:p w14:paraId="7AAC940A" w14:textId="77777777" w:rsidR="0041272D" w:rsidRDefault="001606EA">
      <w:pPr>
        <w:pStyle w:val="Heading1"/>
        <w:spacing w:before="240" w:beforeAutospacing="0" w:afterAutospacing="0" w:line="16" w:lineRule="atLeast"/>
        <w:rPr>
          <w:rFonts w:hint="default"/>
        </w:rPr>
      </w:pPr>
      <w:bookmarkStart w:id="17" w:name="_Toc138283419"/>
      <w:bookmarkStart w:id="18" w:name="_Toc138283429"/>
      <w:bookmarkStart w:id="19" w:name="_Toc138283455"/>
      <w:r>
        <w:rPr>
          <w:rFonts w:ascii="Calibri" w:hAnsi="Calibri" w:cs="Calibri" w:hint="default"/>
          <w:color w:val="2F5496"/>
          <w:sz w:val="32"/>
          <w:szCs w:val="32"/>
        </w:rPr>
        <w:t>Role of HR strategies in the development of public and private sector</w:t>
      </w:r>
      <w:bookmarkEnd w:id="17"/>
      <w:bookmarkEnd w:id="18"/>
      <w:bookmarkEnd w:id="19"/>
    </w:p>
    <w:p w14:paraId="49B836F2" w14:textId="77777777" w:rsidR="0041272D" w:rsidRDefault="0000419A">
      <w:pPr>
        <w:pStyle w:val="NormalWeb"/>
        <w:spacing w:beforeAutospacing="0" w:after="160" w:afterAutospacing="0" w:line="16" w:lineRule="atLeast"/>
        <w:jc w:val="both"/>
      </w:pPr>
      <w:r>
        <w:rPr>
          <w:rFonts w:ascii="Calibri" w:hAnsi="Calibri" w:cs="Calibri"/>
          <w:color w:val="000000"/>
          <w:sz w:val="22"/>
          <w:szCs w:val="22"/>
        </w:rPr>
        <w:t>This essay is critically evaluating</w:t>
      </w:r>
      <w:r w:rsidR="001606EA">
        <w:rPr>
          <w:rFonts w:ascii="Calibri" w:hAnsi="Calibri" w:cs="Calibri"/>
          <w:color w:val="000000"/>
          <w:sz w:val="22"/>
          <w:szCs w:val="22"/>
        </w:rPr>
        <w:t xml:space="preserve"> the distinctions between HR in the public and private sectors, investigate how the sector affects the efficacy of HR strategy, go over how HR can help employees be developed to meet strategic objectives, and examine how </w:t>
      </w:r>
      <w:proofErr w:type="spellStart"/>
      <w:r w:rsidR="001606EA">
        <w:rPr>
          <w:rFonts w:ascii="Calibri" w:hAnsi="Calibri" w:cs="Calibri"/>
          <w:color w:val="000000"/>
          <w:sz w:val="22"/>
          <w:szCs w:val="22"/>
        </w:rPr>
        <w:t>organisational</w:t>
      </w:r>
      <w:proofErr w:type="spellEnd"/>
      <w:r w:rsidR="001606EA">
        <w:rPr>
          <w:rFonts w:ascii="Calibri" w:hAnsi="Calibri" w:cs="Calibri"/>
          <w:color w:val="000000"/>
          <w:sz w:val="22"/>
          <w:szCs w:val="22"/>
        </w:rPr>
        <w:t xml:space="preserve"> climate influences HR strategy effectiveness. By doing this, it hopes to offer suggestions and insights to address the problems brought on by the public sector's lack of strategic HR partnering competence.</w:t>
      </w:r>
    </w:p>
    <w:p w14:paraId="3B20D0BC" w14:textId="77777777" w:rsidR="00C979C0" w:rsidRDefault="001606EA">
      <w:pPr>
        <w:pStyle w:val="NormalWeb"/>
        <w:spacing w:beforeAutospacing="0" w:after="160" w:afterAutospacing="0" w:line="16" w:lineRule="atLeast"/>
        <w:jc w:val="both"/>
        <w:rPr>
          <w:rFonts w:ascii="Calibri" w:hAnsi="Calibri" w:cs="Calibri"/>
          <w:color w:val="000000"/>
          <w:sz w:val="22"/>
          <w:szCs w:val="22"/>
        </w:rPr>
      </w:pPr>
      <w:r w:rsidRPr="00C979C0">
        <w:rPr>
          <w:rFonts w:ascii="Calibri" w:hAnsi="Calibri" w:cs="Calibri"/>
          <w:b/>
          <w:bCs/>
          <w:color w:val="000000"/>
          <w:sz w:val="22"/>
          <w:szCs w:val="22"/>
        </w:rPr>
        <w:t>Role and Focus</w:t>
      </w:r>
      <w:r w:rsidRPr="00D44FCC">
        <w:rPr>
          <w:rFonts w:ascii="Calibri" w:hAnsi="Calibri" w:cs="Calibri"/>
          <w:color w:val="000000"/>
          <w:sz w:val="22"/>
          <w:szCs w:val="22"/>
        </w:rPr>
        <w:t>:</w:t>
      </w:r>
    </w:p>
    <w:p w14:paraId="74F48892" w14:textId="77777777" w:rsidR="0041272D" w:rsidRPr="00D44FCC" w:rsidRDefault="00C979C0">
      <w:pPr>
        <w:pStyle w:val="NormalWeb"/>
        <w:spacing w:beforeAutospacing="0" w:after="160" w:afterAutospacing="0" w:line="16" w:lineRule="atLeast"/>
        <w:jc w:val="both"/>
        <w:rPr>
          <w:rFonts w:ascii="Calibri" w:hAnsi="Calibri" w:cs="Calibri"/>
          <w:color w:val="000000"/>
          <w:sz w:val="22"/>
          <w:szCs w:val="22"/>
        </w:rPr>
      </w:pPr>
      <w:r>
        <w:rPr>
          <w:rFonts w:ascii="Calibri" w:hAnsi="Calibri" w:cs="Calibri"/>
          <w:color w:val="000000"/>
          <w:sz w:val="22"/>
          <w:szCs w:val="22"/>
        </w:rPr>
        <w:t xml:space="preserve"> </w:t>
      </w:r>
      <w:r w:rsidR="001606EA" w:rsidRPr="00D44FCC">
        <w:rPr>
          <w:rFonts w:ascii="Calibri" w:hAnsi="Calibri" w:cs="Calibri"/>
          <w:color w:val="000000"/>
          <w:sz w:val="22"/>
          <w:szCs w:val="22"/>
        </w:rPr>
        <w:t xml:space="preserve">While public sector HR places a higher priority on providing public services, implementing policies, and adhering to regulations, the private sector places more emphasis on profit production, talent acquisition, and retention. In their study "Exploring the Relationship Between HR Strategy </w:t>
      </w:r>
      <w:r w:rsidR="00EF4E82" w:rsidRPr="00D44FCC">
        <w:rPr>
          <w:rFonts w:ascii="Calibri" w:hAnsi="Calibri" w:cs="Calibri"/>
          <w:color w:val="000000"/>
          <w:sz w:val="22"/>
          <w:szCs w:val="22"/>
        </w:rPr>
        <w:t xml:space="preserve">assert that </w:t>
      </w:r>
      <w:proofErr w:type="gramStart"/>
      <w:r w:rsidR="00EF4E82" w:rsidRPr="00D44FCC">
        <w:rPr>
          <w:rFonts w:ascii="Calibri" w:hAnsi="Calibri" w:cs="Calibri"/>
          <w:color w:val="000000"/>
          <w:sz w:val="22"/>
          <w:szCs w:val="22"/>
        </w:rPr>
        <w:t xml:space="preserve">the </w:t>
      </w:r>
      <w:r w:rsidR="001606EA" w:rsidRPr="00D44FCC">
        <w:rPr>
          <w:rFonts w:ascii="Calibri" w:hAnsi="Calibri" w:cs="Calibri"/>
          <w:color w:val="000000"/>
          <w:sz w:val="22"/>
          <w:szCs w:val="22"/>
        </w:rPr>
        <w:t>and</w:t>
      </w:r>
      <w:proofErr w:type="gramEnd"/>
      <w:r w:rsidR="001606EA" w:rsidRPr="00D44FCC">
        <w:rPr>
          <w:rFonts w:ascii="Calibri" w:hAnsi="Calibri" w:cs="Calibri"/>
          <w:color w:val="000000"/>
          <w:sz w:val="22"/>
          <w:szCs w:val="22"/>
        </w:rPr>
        <w:t xml:space="preserve"> </w:t>
      </w:r>
      <w:proofErr w:type="spellStart"/>
      <w:r w:rsidR="001606EA" w:rsidRPr="00D44FCC">
        <w:rPr>
          <w:rFonts w:ascii="Calibri" w:hAnsi="Calibri" w:cs="Calibri"/>
          <w:color w:val="000000"/>
          <w:sz w:val="22"/>
          <w:szCs w:val="22"/>
        </w:rPr>
        <w:t>Organisational</w:t>
      </w:r>
      <w:proofErr w:type="spellEnd"/>
      <w:r w:rsidR="001606EA" w:rsidRPr="00D44FCC">
        <w:rPr>
          <w:rFonts w:ascii="Calibri" w:hAnsi="Calibri" w:cs="Calibri"/>
          <w:color w:val="000000"/>
          <w:sz w:val="22"/>
          <w:szCs w:val="22"/>
        </w:rPr>
        <w:t xml:space="preserve"> Performance in the Publ</w:t>
      </w:r>
      <w:r w:rsidR="00996B86">
        <w:rPr>
          <w:rFonts w:ascii="Calibri" w:hAnsi="Calibri" w:cs="Calibri"/>
          <w:color w:val="000000"/>
          <w:sz w:val="22"/>
          <w:szCs w:val="22"/>
        </w:rPr>
        <w:t xml:space="preserve">ic Sector," (Biron and Turnbull </w:t>
      </w:r>
      <w:r w:rsidR="001606EA" w:rsidRPr="00D44FCC">
        <w:rPr>
          <w:rFonts w:ascii="Calibri" w:hAnsi="Calibri" w:cs="Calibri"/>
          <w:color w:val="000000"/>
          <w:sz w:val="22"/>
          <w:szCs w:val="22"/>
        </w:rPr>
        <w:t xml:space="preserve">2019) private sector HR department serves as a strategic partner to achieve </w:t>
      </w:r>
      <w:proofErr w:type="spellStart"/>
      <w:r w:rsidR="001606EA" w:rsidRPr="00D44FCC">
        <w:rPr>
          <w:rFonts w:ascii="Calibri" w:hAnsi="Calibri" w:cs="Calibri"/>
          <w:color w:val="000000"/>
          <w:sz w:val="22"/>
          <w:szCs w:val="22"/>
        </w:rPr>
        <w:t>organisational</w:t>
      </w:r>
      <w:proofErr w:type="spellEnd"/>
      <w:r w:rsidR="001606EA" w:rsidRPr="00D44FCC">
        <w:rPr>
          <w:rFonts w:ascii="Calibri" w:hAnsi="Calibri" w:cs="Calibri"/>
          <w:color w:val="000000"/>
          <w:sz w:val="22"/>
          <w:szCs w:val="22"/>
        </w:rPr>
        <w:t xml:space="preserve"> success through efficient people manag</w:t>
      </w:r>
      <w:r w:rsidR="0040446D">
        <w:rPr>
          <w:rFonts w:ascii="Calibri" w:hAnsi="Calibri" w:cs="Calibri"/>
          <w:color w:val="000000"/>
          <w:sz w:val="22"/>
          <w:szCs w:val="22"/>
        </w:rPr>
        <w:t xml:space="preserve">ement procedures. </w:t>
      </w:r>
      <w:r w:rsidR="00996B86">
        <w:rPr>
          <w:rFonts w:ascii="Calibri" w:hAnsi="Calibri" w:cs="Calibri"/>
          <w:color w:val="000000"/>
          <w:sz w:val="22"/>
          <w:szCs w:val="22"/>
        </w:rPr>
        <w:t>(</w:t>
      </w:r>
      <w:r w:rsidR="0040446D" w:rsidRPr="0040446D">
        <w:rPr>
          <w:rFonts w:ascii="Calibri" w:hAnsi="Calibri" w:cs="Calibri"/>
          <w:color w:val="000000"/>
          <w:sz w:val="22"/>
          <w:szCs w:val="22"/>
        </w:rPr>
        <w:t xml:space="preserve">Pollitt, C. </w:t>
      </w:r>
      <w:r w:rsidR="0040446D" w:rsidRPr="0040446D">
        <w:rPr>
          <w:rFonts w:ascii="Calibri" w:hAnsi="Calibri" w:cs="Calibri"/>
          <w:color w:val="000000"/>
          <w:sz w:val="22"/>
          <w:szCs w:val="22"/>
        </w:rPr>
        <w:lastRenderedPageBreak/>
        <w:t xml:space="preserve">and </w:t>
      </w:r>
      <w:proofErr w:type="spellStart"/>
      <w:r w:rsidR="0040446D" w:rsidRPr="0040446D">
        <w:rPr>
          <w:rFonts w:ascii="Calibri" w:hAnsi="Calibri" w:cs="Calibri"/>
          <w:color w:val="000000"/>
          <w:sz w:val="22"/>
          <w:szCs w:val="22"/>
        </w:rPr>
        <w:t>Bouckaert</w:t>
      </w:r>
      <w:proofErr w:type="spellEnd"/>
      <w:r w:rsidR="0040446D" w:rsidRPr="0040446D">
        <w:rPr>
          <w:rFonts w:ascii="Calibri" w:hAnsi="Calibri" w:cs="Calibri"/>
          <w:color w:val="000000"/>
          <w:sz w:val="22"/>
          <w:szCs w:val="22"/>
        </w:rPr>
        <w:t>, G., 2017</w:t>
      </w:r>
      <w:r w:rsidR="0040446D">
        <w:rPr>
          <w:rFonts w:ascii="Calibri" w:hAnsi="Calibri" w:cs="Calibri"/>
          <w:color w:val="000000"/>
          <w:sz w:val="22"/>
          <w:szCs w:val="22"/>
        </w:rPr>
        <w:t>)</w:t>
      </w:r>
      <w:r w:rsidR="001606EA" w:rsidRPr="00D44FCC">
        <w:rPr>
          <w:rFonts w:ascii="Calibri" w:hAnsi="Calibri" w:cs="Calibri"/>
          <w:color w:val="000000"/>
          <w:sz w:val="22"/>
          <w:szCs w:val="22"/>
        </w:rPr>
        <w:t>, on the other hand, analyses the function of HR in the public sector in their book "Public Management Reform: A Comparative Analysis," highlighting the importance of creating public value and maintaining justice and equity in service delivery.</w:t>
      </w:r>
      <w:r w:rsidR="001606EA">
        <w:rPr>
          <w:rFonts w:ascii="Calibri" w:hAnsi="Calibri" w:cs="Calibri"/>
          <w:color w:val="000000"/>
          <w:sz w:val="22"/>
          <w:szCs w:val="22"/>
        </w:rPr>
        <w:t> </w:t>
      </w:r>
    </w:p>
    <w:p w14:paraId="642845CB" w14:textId="77777777" w:rsidR="00C979C0" w:rsidRDefault="001606EA" w:rsidP="008226D8">
      <w:pPr>
        <w:rPr>
          <w:rFonts w:ascii="Calibri" w:hAnsi="Calibri" w:cs="Calibri"/>
          <w:b/>
          <w:bCs/>
          <w:color w:val="000000"/>
          <w:sz w:val="22"/>
          <w:szCs w:val="22"/>
        </w:rPr>
      </w:pPr>
      <w:r w:rsidRPr="00C979C0">
        <w:rPr>
          <w:rFonts w:ascii="Calibri" w:hAnsi="Calibri" w:cs="Calibri"/>
          <w:b/>
          <w:bCs/>
          <w:color w:val="000000"/>
          <w:sz w:val="22"/>
          <w:szCs w:val="22"/>
        </w:rPr>
        <w:t>Accountability and Decision</w:t>
      </w:r>
      <w:r w:rsidR="00C979C0">
        <w:rPr>
          <w:rFonts w:ascii="Calibri" w:hAnsi="Calibri" w:cs="Calibri"/>
          <w:b/>
          <w:bCs/>
          <w:color w:val="000000"/>
          <w:sz w:val="22"/>
          <w:szCs w:val="22"/>
        </w:rPr>
        <w:t>:</w:t>
      </w:r>
    </w:p>
    <w:p w14:paraId="780A6737" w14:textId="77777777" w:rsidR="0041272D" w:rsidRPr="008226D8" w:rsidRDefault="001606EA" w:rsidP="008226D8">
      <w:pPr>
        <w:rPr>
          <w:rFonts w:cstheme="minorHAnsi"/>
          <w:sz w:val="22"/>
          <w:szCs w:val="22"/>
        </w:rPr>
      </w:pPr>
      <w:proofErr w:type="spellStart"/>
      <w:proofErr w:type="gramStart"/>
      <w:r w:rsidRPr="00D44FCC">
        <w:rPr>
          <w:rFonts w:ascii="Calibri" w:hAnsi="Calibri" w:cs="Calibri"/>
          <w:color w:val="000000"/>
          <w:sz w:val="22"/>
          <w:szCs w:val="22"/>
        </w:rPr>
        <w:t>Making:Private</w:t>
      </w:r>
      <w:proofErr w:type="spellEnd"/>
      <w:proofErr w:type="gramEnd"/>
      <w:r w:rsidRPr="00D44FCC">
        <w:rPr>
          <w:rFonts w:ascii="Calibri" w:hAnsi="Calibri" w:cs="Calibri"/>
          <w:color w:val="000000"/>
          <w:sz w:val="22"/>
          <w:szCs w:val="22"/>
        </w:rPr>
        <w:t xml:space="preserve"> sector HR operates in a cutthroat market and bases its choices on financial results. In their study titled "The Impact of HR </w:t>
      </w:r>
      <w:proofErr w:type="spellStart"/>
      <w:r w:rsidRPr="00D44FCC">
        <w:rPr>
          <w:rFonts w:ascii="Calibri" w:hAnsi="Calibri" w:cs="Calibri"/>
          <w:color w:val="000000"/>
          <w:sz w:val="22"/>
          <w:szCs w:val="22"/>
        </w:rPr>
        <w:t>Practises</w:t>
      </w:r>
      <w:proofErr w:type="spellEnd"/>
      <w:r w:rsidRPr="00D44FCC">
        <w:rPr>
          <w:rFonts w:ascii="Calibri" w:hAnsi="Calibri" w:cs="Calibri"/>
          <w:color w:val="000000"/>
          <w:sz w:val="22"/>
          <w:szCs w:val="22"/>
        </w:rPr>
        <w:t xml:space="preserve"> on HR Outcomes and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Performa</w:t>
      </w:r>
      <w:r w:rsidR="00996B86">
        <w:rPr>
          <w:rFonts w:ascii="Calibri" w:hAnsi="Calibri" w:cs="Calibri"/>
          <w:color w:val="000000"/>
          <w:sz w:val="22"/>
          <w:szCs w:val="22"/>
        </w:rPr>
        <w:t>nce: A Relational Perspective,"(</w:t>
      </w:r>
      <w:r w:rsidRPr="00D44FCC">
        <w:rPr>
          <w:rFonts w:ascii="Calibri" w:hAnsi="Calibri" w:cs="Calibri"/>
          <w:color w:val="000000"/>
          <w:sz w:val="22"/>
          <w:szCs w:val="22"/>
        </w:rPr>
        <w:t>Wright et al.</w:t>
      </w:r>
      <w:r w:rsidR="0000419A" w:rsidRPr="0000419A">
        <w:rPr>
          <w:rFonts w:cstheme="minorHAnsi"/>
          <w:color w:val="222222"/>
          <w:sz w:val="22"/>
          <w:szCs w:val="22"/>
          <w:shd w:val="clear" w:color="auto" w:fill="FFFFFF"/>
        </w:rPr>
        <w:t xml:space="preserve"> </w:t>
      </w:r>
      <w:r w:rsidR="0000419A" w:rsidRPr="00904C1C">
        <w:rPr>
          <w:rFonts w:cstheme="minorHAnsi"/>
          <w:color w:val="222222"/>
          <w:sz w:val="22"/>
          <w:szCs w:val="22"/>
          <w:shd w:val="clear" w:color="auto" w:fill="FFFFFF"/>
        </w:rPr>
        <w:t xml:space="preserve">De Stefano, F., </w:t>
      </w:r>
      <w:proofErr w:type="spellStart"/>
      <w:r w:rsidR="0000419A" w:rsidRPr="00904C1C">
        <w:rPr>
          <w:rFonts w:cstheme="minorHAnsi"/>
          <w:color w:val="222222"/>
          <w:sz w:val="22"/>
          <w:szCs w:val="22"/>
          <w:shd w:val="clear" w:color="auto" w:fill="FFFFFF"/>
        </w:rPr>
        <w:t>Bagdadli</w:t>
      </w:r>
      <w:proofErr w:type="spellEnd"/>
      <w:r w:rsidR="0000419A" w:rsidRPr="00904C1C">
        <w:rPr>
          <w:rFonts w:cstheme="minorHAnsi"/>
          <w:color w:val="222222"/>
          <w:sz w:val="22"/>
          <w:szCs w:val="22"/>
          <w:shd w:val="clear" w:color="auto" w:fill="FFFFFF"/>
        </w:rPr>
        <w:t xml:space="preserve">, S. and </w:t>
      </w:r>
      <w:proofErr w:type="spellStart"/>
      <w:r w:rsidR="0000419A" w:rsidRPr="00904C1C">
        <w:rPr>
          <w:rFonts w:cstheme="minorHAnsi"/>
          <w:color w:val="222222"/>
          <w:sz w:val="22"/>
          <w:szCs w:val="22"/>
          <w:shd w:val="clear" w:color="auto" w:fill="FFFFFF"/>
        </w:rPr>
        <w:t>Camuffo</w:t>
      </w:r>
      <w:proofErr w:type="spellEnd"/>
      <w:r w:rsidR="0000419A" w:rsidRPr="00904C1C">
        <w:rPr>
          <w:rFonts w:cstheme="minorHAnsi"/>
          <w:color w:val="222222"/>
          <w:sz w:val="22"/>
          <w:szCs w:val="22"/>
          <w:shd w:val="clear" w:color="auto" w:fill="FFFFFF"/>
        </w:rPr>
        <w:t>, A., 2018</w:t>
      </w:r>
      <w:r w:rsidR="008226D8">
        <w:rPr>
          <w:rFonts w:cstheme="minorHAnsi"/>
          <w:color w:val="222222"/>
          <w:sz w:val="22"/>
          <w:szCs w:val="22"/>
          <w:shd w:val="clear" w:color="auto" w:fill="FFFFFF"/>
        </w:rPr>
        <w:t>)</w:t>
      </w:r>
      <w:r w:rsidR="008226D8">
        <w:rPr>
          <w:rFonts w:ascii="Calibri" w:hAnsi="Calibri" w:cs="Calibri"/>
          <w:color w:val="000000"/>
          <w:sz w:val="22"/>
          <w:szCs w:val="22"/>
        </w:rPr>
        <w:t>. a</w:t>
      </w:r>
      <w:r w:rsidRPr="00D44FCC">
        <w:rPr>
          <w:rFonts w:ascii="Calibri" w:hAnsi="Calibri" w:cs="Calibri"/>
          <w:color w:val="000000"/>
          <w:sz w:val="22"/>
          <w:szCs w:val="22"/>
        </w:rPr>
        <w:t xml:space="preserve">ddress this topic while </w:t>
      </w:r>
      <w:proofErr w:type="spellStart"/>
      <w:r w:rsidRPr="00D44FCC">
        <w:rPr>
          <w:rFonts w:ascii="Calibri" w:hAnsi="Calibri" w:cs="Calibri"/>
          <w:color w:val="000000"/>
          <w:sz w:val="22"/>
          <w:szCs w:val="22"/>
        </w:rPr>
        <w:t>emphasising</w:t>
      </w:r>
      <w:proofErr w:type="spellEnd"/>
      <w:r w:rsidRPr="00D44FCC">
        <w:rPr>
          <w:rFonts w:ascii="Calibri" w:hAnsi="Calibri" w:cs="Calibri"/>
          <w:color w:val="000000"/>
          <w:sz w:val="22"/>
          <w:szCs w:val="22"/>
        </w:rPr>
        <w:t xml:space="preserve"> the accountability of HR to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stakeholders, including shareholders and executives. In their book the public sector. They </w:t>
      </w:r>
      <w:proofErr w:type="spellStart"/>
      <w:r w:rsidRPr="00D44FCC">
        <w:rPr>
          <w:rFonts w:ascii="Calibri" w:hAnsi="Calibri" w:cs="Calibri"/>
          <w:color w:val="000000"/>
          <w:sz w:val="22"/>
          <w:szCs w:val="22"/>
        </w:rPr>
        <w:t>emphasise</w:t>
      </w:r>
      <w:proofErr w:type="spellEnd"/>
      <w:r w:rsidRPr="00D44FCC">
        <w:rPr>
          <w:rFonts w:ascii="Calibri" w:hAnsi="Calibri" w:cs="Calibri"/>
          <w:color w:val="000000"/>
          <w:sz w:val="22"/>
          <w:szCs w:val="22"/>
        </w:rPr>
        <w:t xml:space="preserve"> the </w:t>
      </w:r>
      <w:proofErr w:type="spellStart"/>
      <w:proofErr w:type="gramStart"/>
      <w:r w:rsidRPr="00D44FCC">
        <w:rPr>
          <w:rFonts w:ascii="Calibri" w:hAnsi="Calibri" w:cs="Calibri"/>
          <w:color w:val="000000"/>
          <w:sz w:val="22"/>
          <w:szCs w:val="22"/>
        </w:rPr>
        <w:t>significance</w:t>
      </w:r>
      <w:r w:rsidR="007A419E">
        <w:rPr>
          <w:rFonts w:ascii="Calibri" w:hAnsi="Calibri" w:cs="Calibri"/>
          <w:color w:val="000000"/>
          <w:sz w:val="22"/>
          <w:szCs w:val="22"/>
        </w:rPr>
        <w:t>,</w:t>
      </w:r>
      <w:r w:rsidRPr="00D44FCC">
        <w:rPr>
          <w:rFonts w:ascii="Calibri" w:hAnsi="Calibri" w:cs="Calibri"/>
          <w:color w:val="000000"/>
          <w:sz w:val="22"/>
          <w:szCs w:val="22"/>
        </w:rPr>
        <w:t>of</w:t>
      </w:r>
      <w:proofErr w:type="spellEnd"/>
      <w:proofErr w:type="gramEnd"/>
      <w:r w:rsidRPr="00D44FCC">
        <w:rPr>
          <w:rFonts w:ascii="Calibri" w:hAnsi="Calibri" w:cs="Calibri"/>
          <w:color w:val="000000"/>
          <w:sz w:val="22"/>
          <w:szCs w:val="22"/>
        </w:rPr>
        <w:t xml:space="preserve"> transparency and accountability in </w:t>
      </w:r>
      <w:r w:rsidR="008226D8" w:rsidRPr="00D44FCC">
        <w:rPr>
          <w:rFonts w:ascii="Calibri" w:hAnsi="Calibri" w:cs="Calibri"/>
          <w:color w:val="000000"/>
          <w:sz w:val="22"/>
          <w:szCs w:val="22"/>
        </w:rPr>
        <w:t>"Human Resource Management in the Public Sector</w:t>
      </w:r>
      <w:r w:rsidR="00996B86">
        <w:rPr>
          <w:rFonts w:ascii="Calibri" w:hAnsi="Calibri" w:cs="Calibri"/>
          <w:color w:val="000000"/>
          <w:sz w:val="22"/>
          <w:szCs w:val="22"/>
        </w:rPr>
        <w:t xml:space="preserve"> </w:t>
      </w:r>
      <w:proofErr w:type="spellStart"/>
      <w:r w:rsidR="008226D8" w:rsidRPr="00D44FCC">
        <w:rPr>
          <w:rFonts w:ascii="Calibri" w:hAnsi="Calibri" w:cs="Calibri"/>
          <w:color w:val="000000"/>
          <w:sz w:val="22"/>
          <w:szCs w:val="22"/>
        </w:rPr>
        <w:t>Ozbilgin</w:t>
      </w:r>
      <w:proofErr w:type="spellEnd"/>
      <w:r w:rsidR="008226D8" w:rsidRPr="00D44FCC">
        <w:rPr>
          <w:rFonts w:ascii="Calibri" w:hAnsi="Calibri" w:cs="Calibri"/>
          <w:color w:val="000000"/>
          <w:sz w:val="22"/>
          <w:szCs w:val="22"/>
        </w:rPr>
        <w:t xml:space="preserve"> et al. (2017),</w:t>
      </w:r>
      <w:r w:rsidR="008226D8" w:rsidRPr="008226D8">
        <w:rPr>
          <w:rFonts w:ascii="Arial" w:hAnsi="Arial" w:cs="Arial"/>
          <w:color w:val="222222"/>
          <w:sz w:val="14"/>
          <w:szCs w:val="14"/>
          <w:shd w:val="clear" w:color="auto" w:fill="FFFFFF"/>
        </w:rPr>
        <w:t xml:space="preserve"> </w:t>
      </w:r>
      <w:proofErr w:type="spellStart"/>
      <w:r w:rsidR="008226D8" w:rsidRPr="008226D8">
        <w:rPr>
          <w:rFonts w:cstheme="minorHAnsi"/>
          <w:color w:val="222222"/>
          <w:sz w:val="22"/>
          <w:szCs w:val="22"/>
          <w:shd w:val="clear" w:color="auto" w:fill="FFFFFF"/>
        </w:rPr>
        <w:t>Sitko</w:t>
      </w:r>
      <w:proofErr w:type="spellEnd"/>
      <w:r w:rsidR="008226D8" w:rsidRPr="008226D8">
        <w:rPr>
          <w:rFonts w:cstheme="minorHAnsi"/>
          <w:color w:val="222222"/>
          <w:sz w:val="22"/>
          <w:szCs w:val="22"/>
          <w:shd w:val="clear" w:color="auto" w:fill="FFFFFF"/>
        </w:rPr>
        <w:t xml:space="preserve">, R., </w:t>
      </w:r>
      <w:r w:rsidR="008226D8">
        <w:rPr>
          <w:rFonts w:cstheme="minorHAnsi"/>
          <w:color w:val="222222"/>
          <w:sz w:val="22"/>
          <w:szCs w:val="22"/>
          <w:shd w:val="clear" w:color="auto" w:fill="FFFFFF"/>
        </w:rPr>
        <w:t>(</w:t>
      </w:r>
      <w:r w:rsidR="008226D8" w:rsidRPr="008226D8">
        <w:rPr>
          <w:rFonts w:cstheme="minorHAnsi"/>
          <w:color w:val="222222"/>
          <w:sz w:val="22"/>
          <w:szCs w:val="22"/>
          <w:shd w:val="clear" w:color="auto" w:fill="FFFFFF"/>
        </w:rPr>
        <w:t>2023</w:t>
      </w:r>
      <w:r w:rsidR="008226D8">
        <w:rPr>
          <w:rFonts w:cstheme="minorHAnsi"/>
          <w:color w:val="222222"/>
          <w:sz w:val="22"/>
          <w:szCs w:val="22"/>
          <w:shd w:val="clear" w:color="auto" w:fill="FFFFFF"/>
        </w:rPr>
        <w:t>)</w:t>
      </w:r>
      <w:r w:rsidR="008226D8" w:rsidRPr="00D44FCC">
        <w:rPr>
          <w:rFonts w:ascii="Calibri" w:hAnsi="Calibri" w:cs="Calibri"/>
          <w:color w:val="000000"/>
          <w:sz w:val="22"/>
          <w:szCs w:val="22"/>
        </w:rPr>
        <w:t xml:space="preserve"> emph</w:t>
      </w:r>
      <w:r w:rsidR="00C0210F">
        <w:rPr>
          <w:rFonts w:ascii="Calibri" w:hAnsi="Calibri" w:cs="Calibri"/>
          <w:color w:val="000000"/>
          <w:sz w:val="22"/>
          <w:szCs w:val="22"/>
        </w:rPr>
        <w:t>asize</w:t>
      </w:r>
      <w:r w:rsidR="008226D8" w:rsidRPr="00D44FCC">
        <w:rPr>
          <w:rFonts w:ascii="Calibri" w:hAnsi="Calibri" w:cs="Calibri"/>
          <w:color w:val="000000"/>
          <w:sz w:val="22"/>
          <w:szCs w:val="22"/>
        </w:rPr>
        <w:t xml:space="preserve"> the role of HR in protecting the public interest, equity, and social responsibility in </w:t>
      </w:r>
      <w:r w:rsidRPr="00D44FCC">
        <w:rPr>
          <w:rFonts w:ascii="Calibri" w:hAnsi="Calibri" w:cs="Calibri"/>
          <w:color w:val="000000"/>
          <w:sz w:val="22"/>
          <w:szCs w:val="22"/>
        </w:rPr>
        <w:t>decision-making.</w:t>
      </w:r>
    </w:p>
    <w:p w14:paraId="4226AD74" w14:textId="77777777" w:rsidR="00C979C0" w:rsidRDefault="001606EA">
      <w:pPr>
        <w:pStyle w:val="NormalWeb"/>
        <w:spacing w:beforeAutospacing="0" w:after="160" w:afterAutospacing="0" w:line="16" w:lineRule="atLeast"/>
        <w:jc w:val="both"/>
        <w:rPr>
          <w:rFonts w:ascii="Calibri" w:hAnsi="Calibri" w:cs="Calibri"/>
          <w:color w:val="000000"/>
          <w:sz w:val="22"/>
          <w:szCs w:val="22"/>
        </w:rPr>
      </w:pPr>
      <w:r w:rsidRPr="00C979C0">
        <w:rPr>
          <w:rFonts w:ascii="Calibri" w:hAnsi="Calibri" w:cs="Calibri"/>
          <w:b/>
          <w:bCs/>
          <w:color w:val="000000"/>
          <w:sz w:val="22"/>
          <w:szCs w:val="22"/>
        </w:rPr>
        <w:t>Unionization and Collective Bargaining</w:t>
      </w:r>
      <w:r w:rsidRPr="00D44FCC">
        <w:rPr>
          <w:rFonts w:ascii="Calibri" w:hAnsi="Calibri" w:cs="Calibri"/>
          <w:color w:val="000000"/>
          <w:sz w:val="22"/>
          <w:szCs w:val="22"/>
        </w:rPr>
        <w:t>:</w:t>
      </w:r>
    </w:p>
    <w:p w14:paraId="60D91A5F" w14:textId="77777777" w:rsidR="0041272D" w:rsidRPr="00D44FCC" w:rsidRDefault="001606EA">
      <w:pPr>
        <w:pStyle w:val="NormalWeb"/>
        <w:spacing w:beforeAutospacing="0" w:after="160" w:afterAutospacing="0" w:line="16" w:lineRule="atLeast"/>
        <w:jc w:val="both"/>
        <w:rPr>
          <w:rFonts w:ascii="Calibri" w:hAnsi="Calibri" w:cs="Calibri"/>
          <w:color w:val="000000"/>
          <w:sz w:val="22"/>
          <w:szCs w:val="22"/>
        </w:rPr>
      </w:pPr>
      <w:r w:rsidRPr="00D44FCC">
        <w:rPr>
          <w:rFonts w:ascii="Calibri" w:hAnsi="Calibri" w:cs="Calibri"/>
          <w:color w:val="000000"/>
          <w:sz w:val="22"/>
          <w:szCs w:val="22"/>
        </w:rPr>
        <w:t xml:space="preserve">Public sector HR typically interacts with </w:t>
      </w:r>
      <w:proofErr w:type="spellStart"/>
      <w:r w:rsidRPr="00D44FCC">
        <w:rPr>
          <w:rFonts w:ascii="Calibri" w:hAnsi="Calibri" w:cs="Calibri"/>
          <w:color w:val="000000"/>
          <w:sz w:val="22"/>
          <w:szCs w:val="22"/>
        </w:rPr>
        <w:t>labour</w:t>
      </w:r>
      <w:proofErr w:type="spellEnd"/>
      <w:r w:rsidRPr="00D44FCC">
        <w:rPr>
          <w:rFonts w:ascii="Calibri" w:hAnsi="Calibri" w:cs="Calibri"/>
          <w:color w:val="000000"/>
          <w:sz w:val="22"/>
          <w:szCs w:val="22"/>
        </w:rPr>
        <w:t xml:space="preserve"> unions and collective bargaining agreements, but private sector HR experiences varying degrees of </w:t>
      </w:r>
      <w:proofErr w:type="spellStart"/>
      <w:r w:rsidRPr="00D44FCC">
        <w:rPr>
          <w:rFonts w:ascii="Calibri" w:hAnsi="Calibri" w:cs="Calibri"/>
          <w:color w:val="000000"/>
          <w:sz w:val="22"/>
          <w:szCs w:val="22"/>
        </w:rPr>
        <w:t>unionisation</w:t>
      </w:r>
      <w:proofErr w:type="spellEnd"/>
      <w:r w:rsidRPr="00D44FCC">
        <w:rPr>
          <w:rFonts w:ascii="Calibri" w:hAnsi="Calibri" w:cs="Calibri"/>
          <w:color w:val="000000"/>
          <w:sz w:val="22"/>
          <w:szCs w:val="22"/>
        </w:rPr>
        <w:t xml:space="preserve">. In their paper titled "The Effects of Public Sector </w:t>
      </w:r>
      <w:proofErr w:type="spellStart"/>
      <w:r w:rsidRPr="00D44FCC">
        <w:rPr>
          <w:rFonts w:ascii="Calibri" w:hAnsi="Calibri" w:cs="Calibri"/>
          <w:color w:val="000000"/>
          <w:sz w:val="22"/>
          <w:szCs w:val="22"/>
        </w:rPr>
        <w:t>Unionisation</w:t>
      </w:r>
      <w:proofErr w:type="spellEnd"/>
      <w:r w:rsidRPr="00D44FCC">
        <w:rPr>
          <w:rFonts w:ascii="Calibri" w:hAnsi="Calibri" w:cs="Calibri"/>
          <w:color w:val="000000"/>
          <w:sz w:val="22"/>
          <w:szCs w:val="22"/>
        </w:rPr>
        <w:t xml:space="preserve"> on Industrial Relations Outcomes: A Meta-Analysis," </w:t>
      </w:r>
      <w:r w:rsidR="00996B86">
        <w:rPr>
          <w:rFonts w:ascii="Calibri" w:hAnsi="Calibri" w:cs="Calibri"/>
          <w:color w:val="000000"/>
          <w:sz w:val="22"/>
          <w:szCs w:val="22"/>
        </w:rPr>
        <w:t>(</w:t>
      </w:r>
      <w:r w:rsidRPr="00D44FCC">
        <w:rPr>
          <w:rFonts w:ascii="Calibri" w:hAnsi="Calibri" w:cs="Calibri"/>
          <w:color w:val="000000"/>
          <w:sz w:val="22"/>
          <w:szCs w:val="22"/>
        </w:rPr>
        <w:t>Hall et al.</w:t>
      </w:r>
      <w:r w:rsidR="0043296D" w:rsidRPr="0043296D">
        <w:rPr>
          <w:rFonts w:ascii="Arial" w:eastAsiaTheme="minorEastAsia" w:hAnsi="Arial" w:cs="Arial"/>
          <w:color w:val="222222"/>
          <w:sz w:val="12"/>
          <w:szCs w:val="12"/>
          <w:shd w:val="clear" w:color="auto" w:fill="FFFFFF"/>
          <w:lang w:bidi="ar-SA"/>
        </w:rPr>
        <w:t xml:space="preserve"> </w:t>
      </w:r>
      <w:r w:rsidR="0043296D" w:rsidRPr="0043296D">
        <w:rPr>
          <w:rFonts w:ascii="Calibri" w:hAnsi="Calibri" w:cs="Calibri"/>
          <w:color w:val="000000"/>
          <w:sz w:val="22"/>
          <w:szCs w:val="22"/>
        </w:rPr>
        <w:t xml:space="preserve">Wu, Y., </w:t>
      </w:r>
      <w:proofErr w:type="spellStart"/>
      <w:r w:rsidR="0043296D" w:rsidRPr="0043296D">
        <w:rPr>
          <w:rFonts w:ascii="Calibri" w:hAnsi="Calibri" w:cs="Calibri"/>
          <w:color w:val="000000"/>
          <w:sz w:val="22"/>
          <w:szCs w:val="22"/>
        </w:rPr>
        <w:t>Levis</w:t>
      </w:r>
      <w:proofErr w:type="spellEnd"/>
      <w:r w:rsidR="0043296D" w:rsidRPr="0043296D">
        <w:rPr>
          <w:rFonts w:ascii="Calibri" w:hAnsi="Calibri" w:cs="Calibri"/>
          <w:color w:val="000000"/>
          <w:sz w:val="22"/>
          <w:szCs w:val="22"/>
        </w:rPr>
        <w:t xml:space="preserve">, B., </w:t>
      </w:r>
      <w:proofErr w:type="spellStart"/>
      <w:r w:rsidR="0043296D" w:rsidRPr="0043296D">
        <w:rPr>
          <w:rFonts w:ascii="Calibri" w:hAnsi="Calibri" w:cs="Calibri"/>
          <w:color w:val="000000"/>
          <w:sz w:val="22"/>
          <w:szCs w:val="22"/>
        </w:rPr>
        <w:t>Riehm</w:t>
      </w:r>
      <w:proofErr w:type="spellEnd"/>
      <w:r w:rsidR="0043296D" w:rsidRPr="0043296D">
        <w:rPr>
          <w:rFonts w:ascii="Calibri" w:hAnsi="Calibri" w:cs="Calibri"/>
          <w:color w:val="000000"/>
          <w:sz w:val="22"/>
          <w:szCs w:val="22"/>
        </w:rPr>
        <w:t xml:space="preserve">, K.E., Saadat, N., </w:t>
      </w:r>
      <w:proofErr w:type="spellStart"/>
      <w:r w:rsidR="0043296D" w:rsidRPr="0043296D">
        <w:rPr>
          <w:rFonts w:ascii="Calibri" w:hAnsi="Calibri" w:cs="Calibri"/>
          <w:color w:val="000000"/>
          <w:sz w:val="22"/>
          <w:szCs w:val="22"/>
        </w:rPr>
        <w:t>Levis</w:t>
      </w:r>
      <w:proofErr w:type="spellEnd"/>
      <w:r w:rsidR="0043296D" w:rsidRPr="0043296D">
        <w:rPr>
          <w:rFonts w:ascii="Calibri" w:hAnsi="Calibri" w:cs="Calibri"/>
          <w:color w:val="000000"/>
          <w:sz w:val="22"/>
          <w:szCs w:val="22"/>
        </w:rPr>
        <w:t xml:space="preserve">, A.W., Azar, M., Rice, D.B., </w:t>
      </w:r>
      <w:proofErr w:type="spellStart"/>
      <w:r w:rsidR="0043296D" w:rsidRPr="0043296D">
        <w:rPr>
          <w:rFonts w:ascii="Calibri" w:hAnsi="Calibri" w:cs="Calibri"/>
          <w:color w:val="000000"/>
          <w:sz w:val="22"/>
          <w:szCs w:val="22"/>
        </w:rPr>
        <w:t>Boruff</w:t>
      </w:r>
      <w:proofErr w:type="spellEnd"/>
      <w:r w:rsidR="0043296D" w:rsidRPr="0043296D">
        <w:rPr>
          <w:rFonts w:ascii="Calibri" w:hAnsi="Calibri" w:cs="Calibri"/>
          <w:color w:val="000000"/>
          <w:sz w:val="22"/>
          <w:szCs w:val="22"/>
        </w:rPr>
        <w:t xml:space="preserve">, J., </w:t>
      </w:r>
      <w:proofErr w:type="spellStart"/>
      <w:r w:rsidR="0043296D" w:rsidRPr="0043296D">
        <w:rPr>
          <w:rFonts w:ascii="Calibri" w:hAnsi="Calibri" w:cs="Calibri"/>
          <w:color w:val="000000"/>
          <w:sz w:val="22"/>
          <w:szCs w:val="22"/>
        </w:rPr>
        <w:t>Cuijpers</w:t>
      </w:r>
      <w:proofErr w:type="spellEnd"/>
      <w:r w:rsidR="0043296D" w:rsidRPr="0043296D">
        <w:rPr>
          <w:rFonts w:ascii="Calibri" w:hAnsi="Calibri" w:cs="Calibri"/>
          <w:color w:val="000000"/>
          <w:sz w:val="22"/>
          <w:szCs w:val="22"/>
        </w:rPr>
        <w:t xml:space="preserve">, P., </w:t>
      </w:r>
      <w:proofErr w:type="spellStart"/>
      <w:r w:rsidR="0043296D" w:rsidRPr="0043296D">
        <w:rPr>
          <w:rFonts w:ascii="Calibri" w:hAnsi="Calibri" w:cs="Calibri"/>
          <w:color w:val="000000"/>
          <w:sz w:val="22"/>
          <w:szCs w:val="22"/>
        </w:rPr>
        <w:t>Gilbo</w:t>
      </w:r>
      <w:r w:rsidR="0043296D">
        <w:rPr>
          <w:rFonts w:ascii="Calibri" w:hAnsi="Calibri" w:cs="Calibri"/>
          <w:color w:val="000000"/>
          <w:sz w:val="22"/>
          <w:szCs w:val="22"/>
        </w:rPr>
        <w:t>dy</w:t>
      </w:r>
      <w:proofErr w:type="spellEnd"/>
      <w:r w:rsidR="0043296D">
        <w:rPr>
          <w:rFonts w:ascii="Calibri" w:hAnsi="Calibri" w:cs="Calibri"/>
          <w:color w:val="000000"/>
          <w:sz w:val="22"/>
          <w:szCs w:val="22"/>
        </w:rPr>
        <w:t>, S. and Ioannidis, J.P.,</w:t>
      </w:r>
      <w:r w:rsidRPr="00D44FCC">
        <w:rPr>
          <w:rFonts w:ascii="Calibri" w:hAnsi="Calibri" w:cs="Calibri"/>
          <w:color w:val="000000"/>
          <w:sz w:val="22"/>
          <w:szCs w:val="22"/>
        </w:rPr>
        <w:t xml:space="preserve"> (2020) explore the role of unions in the public sector and provide insights into the process of collective bargaining.</w:t>
      </w:r>
      <w:r w:rsidR="00996B86">
        <w:rPr>
          <w:rFonts w:ascii="Calibri" w:hAnsi="Calibri" w:cs="Calibri"/>
          <w:color w:val="000000"/>
          <w:sz w:val="22"/>
          <w:szCs w:val="22"/>
        </w:rPr>
        <w:t>(Eaton and Voos ,</w:t>
      </w:r>
      <w:r w:rsidRPr="00D44FCC">
        <w:rPr>
          <w:rFonts w:ascii="Calibri" w:hAnsi="Calibri" w:cs="Calibri"/>
          <w:color w:val="000000"/>
          <w:sz w:val="22"/>
          <w:szCs w:val="22"/>
        </w:rPr>
        <w:t xml:space="preserve">2017) discuss managing </w:t>
      </w:r>
      <w:proofErr w:type="spellStart"/>
      <w:r w:rsidRPr="00D44FCC">
        <w:rPr>
          <w:rFonts w:ascii="Calibri" w:hAnsi="Calibri" w:cs="Calibri"/>
          <w:color w:val="000000"/>
          <w:sz w:val="22"/>
          <w:szCs w:val="22"/>
        </w:rPr>
        <w:t>labour</w:t>
      </w:r>
      <w:proofErr w:type="spellEnd"/>
      <w:r w:rsidRPr="00D44FCC">
        <w:rPr>
          <w:rFonts w:ascii="Calibri" w:hAnsi="Calibri" w:cs="Calibri"/>
          <w:color w:val="000000"/>
          <w:sz w:val="22"/>
          <w:szCs w:val="22"/>
        </w:rPr>
        <w:t xml:space="preserve"> relations and shed light on the processes of </w:t>
      </w:r>
      <w:proofErr w:type="spellStart"/>
      <w:r w:rsidRPr="00D44FCC">
        <w:rPr>
          <w:rFonts w:ascii="Calibri" w:hAnsi="Calibri" w:cs="Calibri"/>
          <w:color w:val="000000"/>
          <w:sz w:val="22"/>
          <w:szCs w:val="22"/>
        </w:rPr>
        <w:t>unionisation</w:t>
      </w:r>
      <w:proofErr w:type="spellEnd"/>
      <w:r w:rsidRPr="00D44FCC">
        <w:rPr>
          <w:rFonts w:ascii="Calibri" w:hAnsi="Calibri" w:cs="Calibri"/>
          <w:color w:val="000000"/>
          <w:sz w:val="22"/>
          <w:szCs w:val="22"/>
        </w:rPr>
        <w:t xml:space="preserve"> in the private sector in "Governments, </w:t>
      </w:r>
      <w:proofErr w:type="spellStart"/>
      <w:r w:rsidRPr="00D44FCC">
        <w:rPr>
          <w:rFonts w:ascii="Calibri" w:hAnsi="Calibri" w:cs="Calibri"/>
          <w:color w:val="000000"/>
          <w:sz w:val="22"/>
          <w:szCs w:val="22"/>
        </w:rPr>
        <w:t>Labour</w:t>
      </w:r>
      <w:proofErr w:type="spellEnd"/>
      <w:r w:rsidRPr="00D44FCC">
        <w:rPr>
          <w:rFonts w:ascii="Calibri" w:hAnsi="Calibri" w:cs="Calibri"/>
          <w:color w:val="000000"/>
          <w:sz w:val="22"/>
          <w:szCs w:val="22"/>
        </w:rPr>
        <w:t>, and the Law in Mid-Twentieth-Century Japan," their book.</w:t>
      </w:r>
      <w:r>
        <w:rPr>
          <w:rFonts w:ascii="Calibri" w:hAnsi="Calibri" w:cs="Calibri"/>
          <w:color w:val="000000"/>
          <w:sz w:val="22"/>
          <w:szCs w:val="22"/>
        </w:rPr>
        <w:t> </w:t>
      </w:r>
    </w:p>
    <w:p w14:paraId="03D5A98C" w14:textId="77777777" w:rsidR="0041272D" w:rsidRPr="00D44FCC" w:rsidRDefault="001606EA" w:rsidP="00D44FCC">
      <w:pPr>
        <w:pStyle w:val="NormalWeb"/>
        <w:numPr>
          <w:ilvl w:val="0"/>
          <w:numId w:val="2"/>
        </w:numPr>
        <w:spacing w:beforeAutospacing="0" w:afterAutospacing="0" w:line="16" w:lineRule="atLeast"/>
        <w:jc w:val="both"/>
        <w:rPr>
          <w:rFonts w:ascii="Calibri" w:hAnsi="Calibri" w:cs="Calibri"/>
          <w:color w:val="000000"/>
          <w:sz w:val="22"/>
          <w:szCs w:val="22"/>
        </w:rPr>
      </w:pPr>
      <w:r w:rsidRPr="008C1FFE">
        <w:rPr>
          <w:rFonts w:ascii="Calibri" w:hAnsi="Calibri" w:cs="Calibri"/>
          <w:b/>
          <w:bCs/>
          <w:color w:val="000000"/>
          <w:sz w:val="22"/>
          <w:szCs w:val="22"/>
        </w:rPr>
        <w:t>Funding and Budget Constraints</w:t>
      </w:r>
      <w:r w:rsidRPr="00D44FCC">
        <w:rPr>
          <w:rFonts w:ascii="Calibri" w:hAnsi="Calibri" w:cs="Calibri"/>
          <w:color w:val="000000"/>
          <w:sz w:val="22"/>
          <w:szCs w:val="22"/>
        </w:rPr>
        <w:t>:</w:t>
      </w:r>
      <w:r w:rsidR="00996B86">
        <w:rPr>
          <w:rFonts w:ascii="Calibri" w:hAnsi="Calibri" w:cs="Calibri"/>
          <w:color w:val="000000"/>
          <w:sz w:val="22"/>
          <w:szCs w:val="22"/>
        </w:rPr>
        <w:t xml:space="preserve"> </w:t>
      </w:r>
      <w:r w:rsidRPr="00D44FCC">
        <w:rPr>
          <w:rFonts w:ascii="Calibri" w:hAnsi="Calibri" w:cs="Calibri"/>
          <w:color w:val="000000"/>
          <w:sz w:val="22"/>
          <w:szCs w:val="22"/>
        </w:rPr>
        <w:t xml:space="preserve">Budget and finance restrictions in the public sector create problems with resource allocation that are uncommon in the private sector. In their paper "Public Sector Workforce Planning in Times of Austerity," Walker (2018) discusses the effects of budget restrictions on public sector HR, offering insights into the difficulties faced by HR professionals in efficiently managing resources. Strategic Human Resource Management in the Public Arena </w:t>
      </w:r>
      <w:proofErr w:type="gramStart"/>
      <w:r w:rsidRPr="00D44FCC">
        <w:rPr>
          <w:rFonts w:ascii="Calibri" w:hAnsi="Calibri" w:cs="Calibri"/>
          <w:color w:val="000000"/>
          <w:sz w:val="22"/>
          <w:szCs w:val="22"/>
        </w:rPr>
        <w:t>by</w:t>
      </w:r>
      <w:r w:rsidR="00996B86">
        <w:rPr>
          <w:rFonts w:ascii="Calibri" w:hAnsi="Calibri" w:cs="Calibri"/>
          <w:color w:val="000000"/>
          <w:sz w:val="22"/>
          <w:szCs w:val="22"/>
        </w:rPr>
        <w:t>(</w:t>
      </w:r>
      <w:proofErr w:type="spellStart"/>
      <w:proofErr w:type="gramEnd"/>
      <w:r w:rsidR="00996B86">
        <w:rPr>
          <w:rFonts w:ascii="Calibri" w:hAnsi="Calibri" w:cs="Calibri"/>
          <w:color w:val="000000"/>
          <w:sz w:val="22"/>
          <w:szCs w:val="22"/>
        </w:rPr>
        <w:t>Drewry</w:t>
      </w:r>
      <w:proofErr w:type="spellEnd"/>
      <w:r w:rsidR="00996B86">
        <w:rPr>
          <w:rFonts w:ascii="Calibri" w:hAnsi="Calibri" w:cs="Calibri"/>
          <w:color w:val="000000"/>
          <w:sz w:val="22"/>
          <w:szCs w:val="22"/>
        </w:rPr>
        <w:t xml:space="preserve"> et al. </w:t>
      </w:r>
      <w:r w:rsidRPr="00D44FCC">
        <w:rPr>
          <w:rFonts w:ascii="Calibri" w:hAnsi="Calibri" w:cs="Calibri"/>
          <w:color w:val="000000"/>
          <w:sz w:val="22"/>
          <w:szCs w:val="22"/>
        </w:rPr>
        <w:t xml:space="preserve">2017) discusses the innovative thinking and strategic </w:t>
      </w:r>
      <w:proofErr w:type="spellStart"/>
      <w:r w:rsidRPr="00D44FCC">
        <w:rPr>
          <w:rFonts w:ascii="Calibri" w:hAnsi="Calibri" w:cs="Calibri"/>
          <w:color w:val="000000"/>
          <w:sz w:val="22"/>
          <w:szCs w:val="22"/>
        </w:rPr>
        <w:t>prioritisation</w:t>
      </w:r>
      <w:proofErr w:type="spellEnd"/>
      <w:r w:rsidRPr="00D44FCC">
        <w:rPr>
          <w:rFonts w:ascii="Calibri" w:hAnsi="Calibri" w:cs="Calibri"/>
          <w:color w:val="000000"/>
          <w:sz w:val="22"/>
          <w:szCs w:val="22"/>
        </w:rPr>
        <w:t xml:space="preserve"> needed in the public sector HR.</w:t>
      </w:r>
    </w:p>
    <w:p w14:paraId="36D61D14" w14:textId="77777777" w:rsidR="0041272D" w:rsidRPr="00D44FCC" w:rsidRDefault="001606EA" w:rsidP="00D44FCC">
      <w:pPr>
        <w:pStyle w:val="NormalWeb"/>
        <w:numPr>
          <w:ilvl w:val="0"/>
          <w:numId w:val="2"/>
        </w:numPr>
        <w:spacing w:beforeAutospacing="0" w:afterAutospacing="0" w:line="16" w:lineRule="atLeast"/>
        <w:jc w:val="both"/>
        <w:rPr>
          <w:rFonts w:ascii="Calibri" w:hAnsi="Calibri" w:cs="Calibri"/>
          <w:color w:val="000000"/>
          <w:sz w:val="22"/>
          <w:szCs w:val="22"/>
        </w:rPr>
      </w:pPr>
      <w:r w:rsidRPr="008C1FFE">
        <w:rPr>
          <w:rFonts w:ascii="Calibri" w:hAnsi="Calibri" w:cs="Calibri"/>
          <w:b/>
          <w:bCs/>
          <w:color w:val="000000"/>
          <w:sz w:val="22"/>
          <w:szCs w:val="22"/>
        </w:rPr>
        <w:t xml:space="preserve">Succession </w:t>
      </w:r>
      <w:proofErr w:type="spellStart"/>
      <w:r w:rsidRPr="008C1FFE">
        <w:rPr>
          <w:rFonts w:ascii="Calibri" w:hAnsi="Calibri" w:cs="Calibri"/>
          <w:b/>
          <w:bCs/>
          <w:color w:val="000000"/>
          <w:sz w:val="22"/>
          <w:szCs w:val="22"/>
        </w:rPr>
        <w:t>Planning</w:t>
      </w:r>
      <w:r w:rsidRPr="00D44FCC">
        <w:rPr>
          <w:rFonts w:ascii="Calibri" w:hAnsi="Calibri" w:cs="Calibri"/>
          <w:color w:val="000000"/>
          <w:sz w:val="22"/>
          <w:szCs w:val="22"/>
        </w:rPr>
        <w:t>:HR</w:t>
      </w:r>
      <w:proofErr w:type="spellEnd"/>
      <w:r w:rsidRPr="00D44FCC">
        <w:rPr>
          <w:rFonts w:ascii="Calibri" w:hAnsi="Calibri" w:cs="Calibri"/>
          <w:color w:val="000000"/>
          <w:sz w:val="22"/>
          <w:szCs w:val="22"/>
        </w:rPr>
        <w:t xml:space="preserve"> must seek out and develop workers who have the potential to hold leadership positions in the future. This guarantees that a pool of brilliant people is available and prepared to fill important positions in the long run. The need of succession planning is </w:t>
      </w:r>
      <w:proofErr w:type="spellStart"/>
      <w:r w:rsidRPr="00D44FCC">
        <w:rPr>
          <w:rFonts w:ascii="Calibri" w:hAnsi="Calibri" w:cs="Calibri"/>
          <w:color w:val="000000"/>
          <w:sz w:val="22"/>
          <w:szCs w:val="22"/>
        </w:rPr>
        <w:t>emphasised</w:t>
      </w:r>
      <w:proofErr w:type="spellEnd"/>
      <w:r w:rsidRPr="00D44FCC">
        <w:rPr>
          <w:rFonts w:ascii="Calibri" w:hAnsi="Calibri" w:cs="Calibri"/>
          <w:color w:val="000000"/>
          <w:sz w:val="22"/>
          <w:szCs w:val="22"/>
        </w:rPr>
        <w:t xml:space="preserve"> by </w:t>
      </w:r>
      <w:r w:rsidR="00996B86">
        <w:rPr>
          <w:rFonts w:ascii="Calibri" w:hAnsi="Calibri" w:cs="Calibri"/>
          <w:color w:val="000000"/>
          <w:sz w:val="22"/>
          <w:szCs w:val="22"/>
        </w:rPr>
        <w:t>(Rothwell and Jackson ,</w:t>
      </w:r>
      <w:r w:rsidRPr="00D44FCC">
        <w:rPr>
          <w:rFonts w:ascii="Calibri" w:hAnsi="Calibri" w:cs="Calibri"/>
          <w:color w:val="000000"/>
          <w:sz w:val="22"/>
          <w:szCs w:val="22"/>
        </w:rPr>
        <w:t>2019) in their book "Strategic Human Resource Management."</w:t>
      </w:r>
    </w:p>
    <w:p w14:paraId="4F264B1A" w14:textId="77777777" w:rsidR="0041272D" w:rsidRPr="00D44FCC" w:rsidRDefault="001606EA" w:rsidP="00D44FCC">
      <w:pPr>
        <w:pStyle w:val="NormalWeb"/>
        <w:numPr>
          <w:ilvl w:val="0"/>
          <w:numId w:val="2"/>
        </w:numPr>
        <w:spacing w:beforeAutospacing="0" w:afterAutospacing="0" w:line="16" w:lineRule="atLeast"/>
        <w:jc w:val="both"/>
        <w:rPr>
          <w:rFonts w:ascii="Calibri" w:hAnsi="Calibri" w:cs="Calibri"/>
          <w:color w:val="000000"/>
          <w:sz w:val="22"/>
          <w:szCs w:val="22"/>
        </w:rPr>
      </w:pPr>
      <w:r w:rsidRPr="008C1FFE">
        <w:rPr>
          <w:rFonts w:ascii="Calibri" w:hAnsi="Calibri" w:cs="Calibri"/>
          <w:b/>
          <w:bCs/>
          <w:color w:val="000000"/>
          <w:sz w:val="22"/>
          <w:szCs w:val="22"/>
        </w:rPr>
        <w:t xml:space="preserve">Performance </w:t>
      </w:r>
      <w:proofErr w:type="spellStart"/>
      <w:proofErr w:type="gramStart"/>
      <w:r w:rsidRPr="008C1FFE">
        <w:rPr>
          <w:rFonts w:ascii="Calibri" w:hAnsi="Calibri" w:cs="Calibri"/>
          <w:b/>
          <w:bCs/>
          <w:color w:val="000000"/>
          <w:sz w:val="22"/>
          <w:szCs w:val="22"/>
        </w:rPr>
        <w:t>Management</w:t>
      </w:r>
      <w:r w:rsidRPr="00D44FCC">
        <w:rPr>
          <w:rFonts w:ascii="Calibri" w:hAnsi="Calibri" w:cs="Calibri"/>
          <w:color w:val="000000"/>
          <w:sz w:val="22"/>
          <w:szCs w:val="22"/>
        </w:rPr>
        <w:t>:Employees</w:t>
      </w:r>
      <w:proofErr w:type="spellEnd"/>
      <w:proofErr w:type="gramEnd"/>
      <w:r w:rsidRPr="00D44FCC">
        <w:rPr>
          <w:rFonts w:ascii="Calibri" w:hAnsi="Calibri" w:cs="Calibri"/>
          <w:color w:val="000000"/>
          <w:sz w:val="22"/>
          <w:szCs w:val="22"/>
        </w:rPr>
        <w:t xml:space="preserve"> that work for effective performance management systems receive feedback, have their goals in line with those of the company, and have prospects for professional advancement. In their book "Armstrong's Handbook of Performance Management," </w:t>
      </w:r>
      <w:r w:rsidR="00996B86">
        <w:rPr>
          <w:rFonts w:ascii="Calibri" w:hAnsi="Calibri" w:cs="Calibri"/>
          <w:color w:val="000000"/>
          <w:sz w:val="22"/>
          <w:szCs w:val="22"/>
        </w:rPr>
        <w:t>(Armstrong and Taylor ,</w:t>
      </w:r>
      <w:r w:rsidRPr="00D44FCC">
        <w:rPr>
          <w:rFonts w:ascii="Calibri" w:hAnsi="Calibri" w:cs="Calibri"/>
          <w:color w:val="000000"/>
          <w:sz w:val="22"/>
          <w:szCs w:val="22"/>
        </w:rPr>
        <w:t xml:space="preserve">2017) </w:t>
      </w:r>
      <w:proofErr w:type="spellStart"/>
      <w:r w:rsidRPr="00D44FCC">
        <w:rPr>
          <w:rFonts w:ascii="Calibri" w:hAnsi="Calibri" w:cs="Calibri"/>
          <w:color w:val="000000"/>
          <w:sz w:val="22"/>
          <w:szCs w:val="22"/>
        </w:rPr>
        <w:t>emphasise</w:t>
      </w:r>
      <w:proofErr w:type="spellEnd"/>
      <w:r w:rsidRPr="00D44FCC">
        <w:rPr>
          <w:rFonts w:ascii="Calibri" w:hAnsi="Calibri" w:cs="Calibri"/>
          <w:color w:val="000000"/>
          <w:sz w:val="22"/>
          <w:szCs w:val="22"/>
        </w:rPr>
        <w:t xml:space="preserve"> the significance of establishing precise goals, giving frequent feedback, and making sure that individual performance supports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goals. </w:t>
      </w:r>
    </w:p>
    <w:p w14:paraId="0B1BFF30" w14:textId="77777777" w:rsidR="0041272D" w:rsidRPr="00D44FCC" w:rsidRDefault="001606EA" w:rsidP="00D44FCC">
      <w:pPr>
        <w:pStyle w:val="NormalWeb"/>
        <w:numPr>
          <w:ilvl w:val="0"/>
          <w:numId w:val="2"/>
        </w:numPr>
        <w:spacing w:beforeAutospacing="0" w:afterAutospacing="0" w:line="16" w:lineRule="atLeast"/>
        <w:jc w:val="both"/>
        <w:rPr>
          <w:rFonts w:ascii="Calibri" w:hAnsi="Calibri" w:cs="Calibri"/>
          <w:color w:val="000000"/>
          <w:sz w:val="22"/>
          <w:szCs w:val="22"/>
        </w:rPr>
      </w:pPr>
      <w:r w:rsidRPr="008C1FFE">
        <w:rPr>
          <w:rFonts w:ascii="Calibri" w:hAnsi="Calibri" w:cs="Calibri"/>
          <w:b/>
          <w:bCs/>
          <w:color w:val="000000"/>
          <w:sz w:val="22"/>
          <w:szCs w:val="22"/>
        </w:rPr>
        <w:t xml:space="preserve">Employee </w:t>
      </w:r>
      <w:proofErr w:type="spellStart"/>
      <w:proofErr w:type="gramStart"/>
      <w:r w:rsidRPr="008C1FFE">
        <w:rPr>
          <w:rFonts w:ascii="Calibri" w:hAnsi="Calibri" w:cs="Calibri"/>
          <w:b/>
          <w:bCs/>
          <w:color w:val="000000"/>
          <w:sz w:val="22"/>
          <w:szCs w:val="22"/>
        </w:rPr>
        <w:t>Engagement</w:t>
      </w:r>
      <w:r w:rsidRPr="00D44FCC">
        <w:rPr>
          <w:rFonts w:ascii="Calibri" w:hAnsi="Calibri" w:cs="Calibri"/>
          <w:color w:val="000000"/>
          <w:sz w:val="22"/>
          <w:szCs w:val="22"/>
        </w:rPr>
        <w:t>:Strategic</w:t>
      </w:r>
      <w:proofErr w:type="spellEnd"/>
      <w:proofErr w:type="gramEnd"/>
      <w:r w:rsidRPr="00D44FCC">
        <w:rPr>
          <w:rFonts w:ascii="Calibri" w:hAnsi="Calibri" w:cs="Calibri"/>
          <w:color w:val="000000"/>
          <w:sz w:val="22"/>
          <w:szCs w:val="22"/>
        </w:rPr>
        <w:t xml:space="preserve"> goals can be accomplished because enthusiastic, committed personnel are engaged in their work. Through open communication, acknowledging accomplishments, and empowering employees, HR plays a critical role in promoting employee engagement. In the book "Managing Performance Through Training and Development," Saks (2017) </w:t>
      </w:r>
      <w:proofErr w:type="spellStart"/>
      <w:r w:rsidRPr="00D44FCC">
        <w:rPr>
          <w:rFonts w:ascii="Calibri" w:hAnsi="Calibri" w:cs="Calibri"/>
          <w:color w:val="000000"/>
          <w:sz w:val="22"/>
          <w:szCs w:val="22"/>
        </w:rPr>
        <w:t>emphasises</w:t>
      </w:r>
      <w:proofErr w:type="spellEnd"/>
      <w:r w:rsidRPr="00D44FCC">
        <w:rPr>
          <w:rFonts w:ascii="Calibri" w:hAnsi="Calibri" w:cs="Calibri"/>
          <w:color w:val="000000"/>
          <w:sz w:val="22"/>
          <w:szCs w:val="22"/>
        </w:rPr>
        <w:t xml:space="preserve"> the need of fostering a happy work atmosphere, fostering communication channels, and appreciating employee efforts.</w:t>
      </w:r>
    </w:p>
    <w:p w14:paraId="4C1986A4" w14:textId="77777777" w:rsidR="0041272D" w:rsidRPr="00D44FCC" w:rsidRDefault="001606EA" w:rsidP="00D44FCC">
      <w:pPr>
        <w:pStyle w:val="NormalWeb"/>
        <w:numPr>
          <w:ilvl w:val="0"/>
          <w:numId w:val="2"/>
        </w:numPr>
        <w:spacing w:beforeAutospacing="0" w:after="160" w:afterAutospacing="0" w:line="16" w:lineRule="atLeast"/>
        <w:jc w:val="both"/>
        <w:rPr>
          <w:rFonts w:ascii="Calibri" w:hAnsi="Calibri" w:cs="Calibri"/>
          <w:color w:val="000000"/>
          <w:sz w:val="22"/>
          <w:szCs w:val="22"/>
        </w:rPr>
      </w:pPr>
      <w:proofErr w:type="spellStart"/>
      <w:r>
        <w:rPr>
          <w:rFonts w:ascii="Calibri" w:hAnsi="Calibri" w:cs="Calibri"/>
          <w:color w:val="000000"/>
          <w:sz w:val="22"/>
          <w:szCs w:val="22"/>
        </w:rPr>
        <w:t>Organisations</w:t>
      </w:r>
      <w:proofErr w:type="spellEnd"/>
      <w:r>
        <w:rPr>
          <w:rFonts w:ascii="Calibri" w:hAnsi="Calibri" w:cs="Calibri"/>
          <w:color w:val="000000"/>
          <w:sz w:val="22"/>
          <w:szCs w:val="22"/>
        </w:rPr>
        <w:t xml:space="preserve"> and HR professionals can modify their tactics and plans to effectively handle the </w:t>
      </w:r>
      <w:proofErr w:type="gramStart"/>
      <w:r>
        <w:rPr>
          <w:rFonts w:ascii="Calibri" w:hAnsi="Calibri" w:cs="Calibri"/>
          <w:color w:val="000000"/>
          <w:sz w:val="22"/>
          <w:szCs w:val="22"/>
        </w:rPr>
        <w:t>particular problems</w:t>
      </w:r>
      <w:proofErr w:type="gramEnd"/>
      <w:r>
        <w:rPr>
          <w:rFonts w:ascii="Calibri" w:hAnsi="Calibri" w:cs="Calibri"/>
          <w:color w:val="000000"/>
          <w:sz w:val="22"/>
          <w:szCs w:val="22"/>
        </w:rPr>
        <w:t xml:space="preserve"> and priorities in each sector by being aware of these </w:t>
      </w:r>
      <w:r>
        <w:rPr>
          <w:rFonts w:ascii="Calibri" w:hAnsi="Calibri" w:cs="Calibri"/>
          <w:color w:val="000000"/>
          <w:sz w:val="22"/>
          <w:szCs w:val="22"/>
        </w:rPr>
        <w:lastRenderedPageBreak/>
        <w:t xml:space="preserve">variances, ensuring that HR </w:t>
      </w:r>
      <w:proofErr w:type="spellStart"/>
      <w:r>
        <w:rPr>
          <w:rFonts w:ascii="Calibri" w:hAnsi="Calibri" w:cs="Calibri"/>
          <w:color w:val="000000"/>
          <w:sz w:val="22"/>
          <w:szCs w:val="22"/>
        </w:rPr>
        <w:t>practises</w:t>
      </w:r>
      <w:proofErr w:type="spellEnd"/>
      <w:r>
        <w:rPr>
          <w:rFonts w:ascii="Calibri" w:hAnsi="Calibri" w:cs="Calibri"/>
          <w:color w:val="000000"/>
          <w:sz w:val="22"/>
          <w:szCs w:val="22"/>
        </w:rPr>
        <w:t xml:space="preserve"> are in line with the particular demands and goals of their respective sectors.</w:t>
      </w:r>
    </w:p>
    <w:p w14:paraId="0A4F0FE2" w14:textId="77777777" w:rsidR="0041272D" w:rsidRDefault="001606EA">
      <w:pPr>
        <w:pStyle w:val="Heading1"/>
        <w:spacing w:before="240" w:beforeAutospacing="0" w:afterAutospacing="0" w:line="16" w:lineRule="atLeast"/>
        <w:rPr>
          <w:rFonts w:ascii="Calibri" w:hAnsi="Calibri" w:cs="Calibri" w:hint="default"/>
          <w:color w:val="2F5496"/>
          <w:sz w:val="32"/>
          <w:szCs w:val="32"/>
        </w:rPr>
      </w:pPr>
      <w:bookmarkStart w:id="20" w:name="_Toc138283420"/>
      <w:bookmarkStart w:id="21" w:name="_Toc138283430"/>
      <w:bookmarkStart w:id="22" w:name="_Toc138283456"/>
      <w:r>
        <w:rPr>
          <w:rFonts w:ascii="Calibri" w:hAnsi="Calibri" w:cs="Calibri" w:hint="default"/>
          <w:color w:val="2F5496"/>
          <w:sz w:val="32"/>
          <w:szCs w:val="32"/>
        </w:rPr>
        <w:t>Role of HR in developing employee’s strategy goals</w:t>
      </w:r>
      <w:bookmarkEnd w:id="20"/>
      <w:bookmarkEnd w:id="21"/>
      <w:bookmarkEnd w:id="22"/>
    </w:p>
    <w:p w14:paraId="23A5F4F8" w14:textId="77777777" w:rsidR="00170848" w:rsidRDefault="00170848" w:rsidP="00170848">
      <w:pPr>
        <w:rPr>
          <w:lang w:bidi="hi-IN"/>
        </w:rPr>
      </w:pPr>
    </w:p>
    <w:p w14:paraId="02BBAFBE" w14:textId="3B56497E" w:rsidR="00170848" w:rsidRPr="00170848" w:rsidRDefault="00170848" w:rsidP="00170848">
      <w:pPr>
        <w:rPr>
          <w:lang w:bidi="hi-IN"/>
        </w:rPr>
      </w:pPr>
      <w:r>
        <w:rPr>
          <w:noProof/>
          <w:lang w:bidi="hi-IN"/>
        </w:rPr>
        <w:drawing>
          <wp:inline distT="0" distB="0" distL="0" distR="0" wp14:anchorId="3D175EDB" wp14:editId="7DC56219">
            <wp:extent cx="5207635" cy="2411089"/>
            <wp:effectExtent l="0" t="0" r="0" b="0"/>
            <wp:docPr id="1160964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5206" cy="2419224"/>
                    </a:xfrm>
                    <a:prstGeom prst="rect">
                      <a:avLst/>
                    </a:prstGeom>
                    <a:noFill/>
                  </pic:spPr>
                </pic:pic>
              </a:graphicData>
            </a:graphic>
          </wp:inline>
        </w:drawing>
      </w:r>
    </w:p>
    <w:p w14:paraId="1620FD76" w14:textId="77777777" w:rsidR="0041272D" w:rsidRDefault="001606EA">
      <w:pPr>
        <w:pStyle w:val="NormalWeb"/>
        <w:spacing w:beforeAutospacing="0" w:after="160" w:afterAutospacing="0" w:line="16" w:lineRule="atLeast"/>
        <w:jc w:val="both"/>
      </w:pPr>
      <w:r>
        <w:rPr>
          <w:rFonts w:ascii="Calibri" w:hAnsi="Calibri" w:cs="Calibri"/>
          <w:color w:val="000000"/>
          <w:sz w:val="22"/>
          <w:szCs w:val="22"/>
        </w:rPr>
        <w:t>HR can support employee development and skill improvement through coaching, mentoring, and training initiatives. These initiatives are made to match employees' skills with the strategic objectives of the company. For instance, according to Noe (2017), businesses that invest in staff development initiatives perceive improved performance and are more likely to meet their strategic goals.</w:t>
      </w:r>
    </w:p>
    <w:p w14:paraId="0AA85FBA" w14:textId="77777777" w:rsidR="0041272D" w:rsidRDefault="001606EA">
      <w:pPr>
        <w:pStyle w:val="NormalWeb"/>
        <w:spacing w:beforeAutospacing="0" w:after="160" w:afterAutospacing="0" w:line="16" w:lineRule="atLeast"/>
        <w:jc w:val="both"/>
      </w:pPr>
      <w:proofErr w:type="gramStart"/>
      <w:r>
        <w:rPr>
          <w:rFonts w:ascii="Calibri" w:hAnsi="Calibri" w:cs="Calibri"/>
          <w:color w:val="000000"/>
          <w:sz w:val="22"/>
          <w:szCs w:val="22"/>
        </w:rPr>
        <w:t>In order for</w:t>
      </w:r>
      <w:proofErr w:type="gramEnd"/>
      <w:r>
        <w:rPr>
          <w:rFonts w:ascii="Calibri" w:hAnsi="Calibri" w:cs="Calibri"/>
          <w:color w:val="000000"/>
          <w:sz w:val="22"/>
          <w:szCs w:val="22"/>
        </w:rPr>
        <w:t xml:space="preserve"> employees to achieve strategic goals, HR is essential. through delivering suitable instruction, encouraging a culture of learning and growth, and putting in place performance management </w:t>
      </w:r>
      <w:proofErr w:type="spellStart"/>
      <w:r>
        <w:rPr>
          <w:rFonts w:ascii="Calibri" w:hAnsi="Calibri" w:cs="Calibri"/>
          <w:color w:val="000000"/>
          <w:sz w:val="22"/>
          <w:szCs w:val="22"/>
        </w:rPr>
        <w:t>programmes</w:t>
      </w:r>
      <w:proofErr w:type="spellEnd"/>
      <w:r w:rsidR="00996B86">
        <w:rPr>
          <w:rFonts w:ascii="Calibri" w:hAnsi="Calibri" w:cs="Calibri"/>
          <w:color w:val="000000"/>
          <w:sz w:val="22"/>
          <w:szCs w:val="22"/>
        </w:rPr>
        <w:t xml:space="preserve"> .</w:t>
      </w:r>
      <w:r>
        <w:rPr>
          <w:rFonts w:ascii="Calibri" w:hAnsi="Calibri" w:cs="Calibri"/>
          <w:color w:val="000000"/>
          <w:sz w:val="22"/>
          <w:szCs w:val="22"/>
        </w:rPr>
        <w:t xml:space="preserve">HR can also match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g</w:t>
      </w:r>
      <w:r w:rsidR="00F76A8C">
        <w:rPr>
          <w:rFonts w:ascii="Calibri" w:hAnsi="Calibri" w:cs="Calibri"/>
          <w:color w:val="000000"/>
          <w:sz w:val="22"/>
          <w:szCs w:val="22"/>
        </w:rPr>
        <w:t xml:space="preserve">oals with employee competencies </w:t>
      </w:r>
      <w:r w:rsidR="00996B86">
        <w:rPr>
          <w:rFonts w:ascii="Calibri" w:hAnsi="Calibri" w:cs="Calibri"/>
          <w:color w:val="000000"/>
          <w:sz w:val="22"/>
          <w:szCs w:val="22"/>
        </w:rPr>
        <w:t>(</w:t>
      </w:r>
      <w:proofErr w:type="spellStart"/>
      <w:r w:rsidR="00F76A8C" w:rsidRPr="00F76A8C">
        <w:rPr>
          <w:rFonts w:ascii="Calibri" w:hAnsi="Calibri" w:cs="Calibri"/>
          <w:color w:val="000000"/>
          <w:sz w:val="22"/>
          <w:szCs w:val="22"/>
        </w:rPr>
        <w:t>Çalişkan</w:t>
      </w:r>
      <w:proofErr w:type="spellEnd"/>
      <w:r w:rsidR="00F76A8C" w:rsidRPr="00F76A8C">
        <w:rPr>
          <w:rFonts w:ascii="Calibri" w:hAnsi="Calibri" w:cs="Calibri"/>
          <w:color w:val="000000"/>
          <w:sz w:val="22"/>
          <w:szCs w:val="22"/>
        </w:rPr>
        <w:t>, E.N., 2010</w:t>
      </w:r>
      <w:r w:rsidR="00F76A8C">
        <w:rPr>
          <w:rFonts w:ascii="Calibri" w:hAnsi="Calibri" w:cs="Calibri"/>
          <w:color w:val="000000"/>
          <w:sz w:val="22"/>
          <w:szCs w:val="22"/>
        </w:rPr>
        <w:t>).</w:t>
      </w:r>
      <w:r>
        <w:rPr>
          <w:rFonts w:ascii="Calibri" w:hAnsi="Calibri" w:cs="Calibri"/>
          <w:color w:val="000000"/>
          <w:sz w:val="22"/>
          <w:szCs w:val="22"/>
        </w:rPr>
        <w:t> </w:t>
      </w:r>
    </w:p>
    <w:p w14:paraId="786D1D76" w14:textId="77777777" w:rsidR="0041272D" w:rsidRDefault="001606EA">
      <w:pPr>
        <w:pStyle w:val="NormalWeb"/>
        <w:spacing w:beforeAutospacing="0" w:after="160" w:afterAutospacing="0" w:line="14" w:lineRule="atLeast"/>
        <w:jc w:val="both"/>
      </w:pPr>
      <w:r>
        <w:rPr>
          <w:rFonts w:ascii="Calibri" w:hAnsi="Calibri" w:cs="Calibri"/>
          <w:color w:val="000000"/>
          <w:sz w:val="22"/>
          <w:szCs w:val="22"/>
        </w:rPr>
        <w:t>In contrast, it is difficult to build a talent pipeline for strategic HR positions in the public sector due to the dearth of applicants with business partnership expertise.</w:t>
      </w:r>
    </w:p>
    <w:p w14:paraId="0D102F3B" w14:textId="77777777" w:rsidR="0041272D" w:rsidRDefault="001606EA">
      <w:pPr>
        <w:pStyle w:val="NormalWeb"/>
        <w:spacing w:beforeAutospacing="0" w:after="160" w:afterAutospacing="0" w:line="14" w:lineRule="atLeast"/>
        <w:jc w:val="both"/>
      </w:pPr>
      <w:r>
        <w:rPr>
          <w:rFonts w:ascii="Calibri" w:hAnsi="Calibri" w:cs="Calibri"/>
          <w:color w:val="000000"/>
          <w:sz w:val="22"/>
          <w:szCs w:val="22"/>
        </w:rPr>
        <w:t xml:space="preserve">HR can effectively develop personnel to align with strategic goals by concentrating on training and development, succession planning, performance management, and employee engagement. This not only improves individual skills but also helps the </w:t>
      </w:r>
      <w:proofErr w:type="spellStart"/>
      <w:r>
        <w:rPr>
          <w:rFonts w:ascii="Calibri" w:hAnsi="Calibri" w:cs="Calibri"/>
          <w:color w:val="000000"/>
          <w:sz w:val="22"/>
          <w:szCs w:val="22"/>
        </w:rPr>
        <w:t>organisation</w:t>
      </w:r>
      <w:proofErr w:type="spellEnd"/>
      <w:r>
        <w:rPr>
          <w:rFonts w:ascii="Calibri" w:hAnsi="Calibri" w:cs="Calibri"/>
          <w:color w:val="000000"/>
          <w:sz w:val="22"/>
          <w:szCs w:val="22"/>
        </w:rPr>
        <w:t xml:space="preserve"> </w:t>
      </w:r>
      <w:proofErr w:type="gramStart"/>
      <w:r>
        <w:rPr>
          <w:rFonts w:ascii="Calibri" w:hAnsi="Calibri" w:cs="Calibri"/>
          <w:color w:val="000000"/>
          <w:sz w:val="22"/>
          <w:szCs w:val="22"/>
        </w:rPr>
        <w:t xml:space="preserve">as a </w:t>
      </w:r>
      <w:r w:rsidRPr="00D44FCC">
        <w:rPr>
          <w:rFonts w:ascii="Calibri" w:hAnsi="Calibri" w:cs="Calibri"/>
          <w:color w:val="000000"/>
          <w:sz w:val="22"/>
          <w:szCs w:val="22"/>
        </w:rPr>
        <w:t>whole succeed</w:t>
      </w:r>
      <w:proofErr w:type="gramEnd"/>
      <w:r w:rsidRPr="00D44FCC">
        <w:rPr>
          <w:rFonts w:ascii="Calibri" w:hAnsi="Calibri" w:cs="Calibri"/>
          <w:color w:val="000000"/>
          <w:sz w:val="22"/>
          <w:szCs w:val="22"/>
        </w:rPr>
        <w:t xml:space="preserve"> in meeting its long-term goals.</w:t>
      </w:r>
    </w:p>
    <w:p w14:paraId="40F0AB8C" w14:textId="77777777" w:rsidR="0041272D" w:rsidRDefault="00D44FCC">
      <w:pPr>
        <w:pStyle w:val="Heading1"/>
        <w:spacing w:before="240" w:beforeAutospacing="0" w:afterAutospacing="0" w:line="16" w:lineRule="atLeast"/>
        <w:rPr>
          <w:rFonts w:hint="default"/>
        </w:rPr>
      </w:pPr>
      <w:bookmarkStart w:id="23" w:name="_Toc138283421"/>
      <w:bookmarkStart w:id="24" w:name="_Toc138283431"/>
      <w:bookmarkStart w:id="25" w:name="_Toc138283457"/>
      <w:r>
        <w:rPr>
          <w:rFonts w:ascii="Calibri" w:hAnsi="Calibri" w:cs="Calibri" w:hint="default"/>
          <w:color w:val="2F5496"/>
          <w:sz w:val="32"/>
          <w:szCs w:val="32"/>
        </w:rPr>
        <w:t>Organizational</w:t>
      </w:r>
      <w:r w:rsidR="001606EA">
        <w:rPr>
          <w:rFonts w:ascii="Calibri" w:hAnsi="Calibri" w:cs="Calibri" w:hint="default"/>
          <w:color w:val="2F5496"/>
          <w:sz w:val="32"/>
          <w:szCs w:val="32"/>
        </w:rPr>
        <w:t xml:space="preserve"> factors influence the HR </w:t>
      </w:r>
      <w:proofErr w:type="gramStart"/>
      <w:r w:rsidR="001606EA">
        <w:rPr>
          <w:rFonts w:ascii="Calibri" w:hAnsi="Calibri" w:cs="Calibri" w:hint="default"/>
          <w:color w:val="2F5496"/>
          <w:sz w:val="32"/>
          <w:szCs w:val="32"/>
        </w:rPr>
        <w:t>strategies</w:t>
      </w:r>
      <w:bookmarkEnd w:id="23"/>
      <w:bookmarkEnd w:id="24"/>
      <w:bookmarkEnd w:id="25"/>
      <w:proofErr w:type="gramEnd"/>
    </w:p>
    <w:p w14:paraId="6BF1EDC7" w14:textId="77777777" w:rsidR="0041272D" w:rsidRDefault="001606EA">
      <w:pPr>
        <w:pStyle w:val="NormalWeb"/>
        <w:spacing w:beforeAutospacing="0" w:after="160" w:afterAutospacing="0" w:line="16" w:lineRule="atLeast"/>
        <w:jc w:val="both"/>
      </w:pPr>
      <w:r>
        <w:rPr>
          <w:rFonts w:ascii="Calibri" w:hAnsi="Calibri" w:cs="Calibri"/>
          <w:color w:val="000000"/>
          <w:sz w:val="22"/>
          <w:szCs w:val="22"/>
        </w:rPr>
        <w:t xml:space="preserve">The factors that affect the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climate have a big impact on how well HR strategy works. The HR environment is greatly influenced by the support of the leadership, employee involvement, and change management strategies.</w:t>
      </w:r>
    </w:p>
    <w:p w14:paraId="3B3BD5EB" w14:textId="77777777" w:rsidR="0041272D" w:rsidRDefault="001606EA" w:rsidP="00D9018D">
      <w:pPr>
        <w:pStyle w:val="NormalWeb"/>
        <w:spacing w:beforeAutospacing="0" w:after="160" w:afterAutospacing="0" w:line="16" w:lineRule="atLeast"/>
        <w:jc w:val="both"/>
      </w:pPr>
      <w:r>
        <w:rPr>
          <w:rFonts w:ascii="Calibri" w:hAnsi="Calibri" w:cs="Calibri"/>
          <w:color w:val="000000"/>
          <w:sz w:val="22"/>
          <w:szCs w:val="22"/>
        </w:rPr>
        <w:t>Understanding these components and how they impact HR strategy is crucial for interventions that aim to increase the effectiveness of HR initiatives in the public sector. The following are the most common causes in both the public and private HR sectors. There are many others as well. </w:t>
      </w:r>
    </w:p>
    <w:p w14:paraId="018A5E22" w14:textId="77777777" w:rsidR="0041272D" w:rsidRPr="00D44FCC" w:rsidRDefault="001606EA" w:rsidP="001606EA">
      <w:pPr>
        <w:pStyle w:val="NormalWeb"/>
        <w:numPr>
          <w:ilvl w:val="0"/>
          <w:numId w:val="4"/>
        </w:numPr>
        <w:spacing w:beforeAutospacing="0" w:afterAutospacing="0" w:line="16" w:lineRule="atLeast"/>
        <w:jc w:val="both"/>
        <w:rPr>
          <w:rFonts w:ascii="Calibri" w:hAnsi="Calibri" w:cs="Calibri"/>
          <w:color w:val="000000"/>
          <w:sz w:val="22"/>
          <w:szCs w:val="22"/>
        </w:rPr>
      </w:pPr>
      <w:r w:rsidRPr="00D44FCC">
        <w:rPr>
          <w:rFonts w:ascii="Calibri" w:hAnsi="Calibri" w:cs="Calibri"/>
          <w:color w:val="000000"/>
          <w:sz w:val="22"/>
          <w:szCs w:val="22"/>
        </w:rPr>
        <w:t xml:space="preserve">Supportive </w:t>
      </w:r>
      <w:proofErr w:type="spellStart"/>
      <w:proofErr w:type="gramStart"/>
      <w:r w:rsidRPr="00D44FCC">
        <w:rPr>
          <w:rFonts w:ascii="Calibri" w:hAnsi="Calibri" w:cs="Calibri"/>
          <w:color w:val="000000"/>
          <w:sz w:val="22"/>
          <w:szCs w:val="22"/>
        </w:rPr>
        <w:t>Leadership:Recent</w:t>
      </w:r>
      <w:proofErr w:type="spellEnd"/>
      <w:proofErr w:type="gramEnd"/>
      <w:r w:rsidRPr="00D44FCC">
        <w:rPr>
          <w:rFonts w:ascii="Calibri" w:hAnsi="Calibri" w:cs="Calibri"/>
          <w:color w:val="000000"/>
          <w:sz w:val="22"/>
          <w:szCs w:val="22"/>
        </w:rPr>
        <w:t xml:space="preserve"> studies have demonstrated the crucial role that leadership support plays in the achievement of HR strategy. For instance, Bo</w:t>
      </w:r>
      <w:r w:rsidR="00996B86">
        <w:rPr>
          <w:rFonts w:ascii="Calibri" w:hAnsi="Calibri" w:cs="Calibri"/>
          <w:color w:val="000000"/>
          <w:sz w:val="22"/>
          <w:szCs w:val="22"/>
        </w:rPr>
        <w:t>s-</w:t>
      </w:r>
      <w:proofErr w:type="spellStart"/>
      <w:r w:rsidR="00996B86">
        <w:rPr>
          <w:rFonts w:ascii="Calibri" w:hAnsi="Calibri" w:cs="Calibri"/>
          <w:color w:val="000000"/>
          <w:sz w:val="22"/>
          <w:szCs w:val="22"/>
        </w:rPr>
        <w:t>Nehles</w:t>
      </w:r>
      <w:proofErr w:type="spellEnd"/>
      <w:r w:rsidR="00996B86">
        <w:rPr>
          <w:rFonts w:ascii="Calibri" w:hAnsi="Calibri" w:cs="Calibri"/>
          <w:color w:val="000000"/>
          <w:sz w:val="22"/>
          <w:szCs w:val="22"/>
        </w:rPr>
        <w:t>, (</w:t>
      </w:r>
      <w:proofErr w:type="spellStart"/>
      <w:r w:rsidR="00996B86">
        <w:rPr>
          <w:rFonts w:ascii="Calibri" w:hAnsi="Calibri" w:cs="Calibri"/>
          <w:color w:val="000000"/>
          <w:sz w:val="22"/>
          <w:szCs w:val="22"/>
        </w:rPr>
        <w:t>Renkema</w:t>
      </w:r>
      <w:proofErr w:type="spellEnd"/>
      <w:r w:rsidR="00996B86">
        <w:rPr>
          <w:rFonts w:ascii="Calibri" w:hAnsi="Calibri" w:cs="Calibri"/>
          <w:color w:val="000000"/>
          <w:sz w:val="22"/>
          <w:szCs w:val="22"/>
        </w:rPr>
        <w:t xml:space="preserve">, and Janssen </w:t>
      </w:r>
      <w:r w:rsidRPr="00D44FCC">
        <w:rPr>
          <w:rFonts w:ascii="Calibri" w:hAnsi="Calibri" w:cs="Calibri"/>
          <w:color w:val="000000"/>
          <w:sz w:val="22"/>
          <w:szCs w:val="22"/>
        </w:rPr>
        <w:t xml:space="preserve">2020) found that executives who actively support HR </w:t>
      </w:r>
      <w:proofErr w:type="spellStart"/>
      <w:r w:rsidRPr="00D44FCC">
        <w:rPr>
          <w:rFonts w:ascii="Calibri" w:hAnsi="Calibri" w:cs="Calibri"/>
          <w:color w:val="000000"/>
          <w:sz w:val="22"/>
          <w:szCs w:val="22"/>
        </w:rPr>
        <w:t>practises</w:t>
      </w:r>
      <w:proofErr w:type="spellEnd"/>
      <w:r w:rsidRPr="00D44FCC">
        <w:rPr>
          <w:rFonts w:ascii="Calibri" w:hAnsi="Calibri" w:cs="Calibri"/>
          <w:color w:val="000000"/>
          <w:sz w:val="22"/>
          <w:szCs w:val="22"/>
        </w:rPr>
        <w:t xml:space="preserve"> have higher success rates. In a similar </w:t>
      </w:r>
      <w:r w:rsidR="00996B86">
        <w:rPr>
          <w:rFonts w:ascii="Calibri" w:hAnsi="Calibri" w:cs="Calibri"/>
          <w:color w:val="000000"/>
          <w:sz w:val="22"/>
          <w:szCs w:val="22"/>
        </w:rPr>
        <w:t xml:space="preserve">(vein, Zhu, Liu, and Liao </w:t>
      </w:r>
      <w:r w:rsidRPr="00D44FCC">
        <w:rPr>
          <w:rFonts w:ascii="Calibri" w:hAnsi="Calibri" w:cs="Calibri"/>
          <w:color w:val="000000"/>
          <w:sz w:val="22"/>
          <w:szCs w:val="22"/>
        </w:rPr>
        <w:t xml:space="preserve">2018) </w:t>
      </w:r>
      <w:proofErr w:type="spellStart"/>
      <w:r w:rsidRPr="00D44FCC">
        <w:rPr>
          <w:rFonts w:ascii="Calibri" w:hAnsi="Calibri" w:cs="Calibri"/>
          <w:color w:val="000000"/>
          <w:sz w:val="22"/>
          <w:szCs w:val="22"/>
        </w:rPr>
        <w:t>emphasise</w:t>
      </w:r>
      <w:proofErr w:type="spellEnd"/>
      <w:r w:rsidRPr="00D44FCC">
        <w:rPr>
          <w:rFonts w:ascii="Calibri" w:hAnsi="Calibri" w:cs="Calibri"/>
          <w:color w:val="000000"/>
          <w:sz w:val="22"/>
          <w:szCs w:val="22"/>
        </w:rPr>
        <w:t xml:space="preserve"> the importance of transformational leadership in creating an environment in which HR </w:t>
      </w:r>
      <w:r w:rsidRPr="00D44FCC">
        <w:rPr>
          <w:rFonts w:ascii="Calibri" w:hAnsi="Calibri" w:cs="Calibri"/>
          <w:color w:val="000000"/>
          <w:sz w:val="22"/>
          <w:szCs w:val="22"/>
        </w:rPr>
        <w:lastRenderedPageBreak/>
        <w:t>approaches can be successful. These studies (Bos-</w:t>
      </w:r>
      <w:proofErr w:type="spellStart"/>
      <w:r w:rsidRPr="00D44FCC">
        <w:rPr>
          <w:rFonts w:ascii="Calibri" w:hAnsi="Calibri" w:cs="Calibri"/>
          <w:color w:val="000000"/>
          <w:sz w:val="22"/>
          <w:szCs w:val="22"/>
        </w:rPr>
        <w:t>Nehles</w:t>
      </w:r>
      <w:proofErr w:type="spellEnd"/>
      <w:r w:rsidRPr="00D44FCC">
        <w:rPr>
          <w:rFonts w:ascii="Calibri" w:hAnsi="Calibri" w:cs="Calibri"/>
          <w:color w:val="000000"/>
          <w:sz w:val="22"/>
          <w:szCs w:val="22"/>
        </w:rPr>
        <w:t xml:space="preserve"> et al., 2020; Zhu et al., 2018) place a strong emphasis on the necessity of supporting leaders </w:t>
      </w:r>
      <w:proofErr w:type="gramStart"/>
      <w:r w:rsidRPr="00D44FCC">
        <w:rPr>
          <w:rFonts w:ascii="Calibri" w:hAnsi="Calibri" w:cs="Calibri"/>
          <w:color w:val="000000"/>
          <w:sz w:val="22"/>
          <w:szCs w:val="22"/>
        </w:rPr>
        <w:t>in order to</w:t>
      </w:r>
      <w:proofErr w:type="gramEnd"/>
      <w:r w:rsidRPr="00D44FCC">
        <w:rPr>
          <w:rFonts w:ascii="Calibri" w:hAnsi="Calibri" w:cs="Calibri"/>
          <w:color w:val="000000"/>
          <w:sz w:val="22"/>
          <w:szCs w:val="22"/>
        </w:rPr>
        <w:t xml:space="preserve"> implement successful HR initiatives.</w:t>
      </w:r>
    </w:p>
    <w:p w14:paraId="3449F5F3" w14:textId="77777777" w:rsidR="0041272D" w:rsidRPr="00D44FCC" w:rsidRDefault="001606EA" w:rsidP="001606EA">
      <w:pPr>
        <w:pStyle w:val="NormalWeb"/>
        <w:numPr>
          <w:ilvl w:val="0"/>
          <w:numId w:val="4"/>
        </w:numPr>
        <w:spacing w:beforeAutospacing="0" w:afterAutospacing="0" w:line="16" w:lineRule="atLeast"/>
        <w:jc w:val="both"/>
        <w:rPr>
          <w:rFonts w:ascii="Calibri" w:hAnsi="Calibri" w:cs="Calibri"/>
          <w:color w:val="000000"/>
          <w:sz w:val="22"/>
          <w:szCs w:val="22"/>
        </w:rPr>
      </w:pPr>
      <w:r w:rsidRPr="00D44FCC">
        <w:rPr>
          <w:rFonts w:ascii="Calibri" w:hAnsi="Calibri" w:cs="Calibri"/>
          <w:color w:val="000000"/>
          <w:sz w:val="22"/>
          <w:szCs w:val="22"/>
        </w:rPr>
        <w:t xml:space="preserve">Employee Participation and </w:t>
      </w:r>
      <w:proofErr w:type="spellStart"/>
      <w:proofErr w:type="gramStart"/>
      <w:r w:rsidRPr="00D44FCC">
        <w:rPr>
          <w:rFonts w:ascii="Calibri" w:hAnsi="Calibri" w:cs="Calibri"/>
          <w:color w:val="000000"/>
          <w:sz w:val="22"/>
          <w:szCs w:val="22"/>
        </w:rPr>
        <w:t>Collaboration:Recent</w:t>
      </w:r>
      <w:proofErr w:type="spellEnd"/>
      <w:proofErr w:type="gramEnd"/>
      <w:r w:rsidRPr="00D44FCC">
        <w:rPr>
          <w:rFonts w:ascii="Calibri" w:hAnsi="Calibri" w:cs="Calibri"/>
          <w:color w:val="000000"/>
          <w:sz w:val="22"/>
          <w:szCs w:val="22"/>
        </w:rPr>
        <w:t xml:space="preserve"> studies show that fostering employee participation and collaboration greatly improves the effectiveness of HR policy. and motivation</w:t>
      </w:r>
      <w:r w:rsidR="00895F2B" w:rsidRPr="00895F2B">
        <w:rPr>
          <w:rFonts w:ascii="Calibri" w:hAnsi="Calibri" w:cs="Calibri"/>
          <w:color w:val="000000"/>
          <w:sz w:val="22"/>
          <w:szCs w:val="22"/>
        </w:rPr>
        <w:t xml:space="preserve"> </w:t>
      </w:r>
      <w:r w:rsidR="00895F2B">
        <w:rPr>
          <w:rFonts w:ascii="Calibri" w:hAnsi="Calibri" w:cs="Calibri"/>
          <w:color w:val="000000"/>
          <w:sz w:val="22"/>
          <w:szCs w:val="22"/>
        </w:rPr>
        <w:t>According to 2019</w:t>
      </w:r>
      <w:r w:rsidR="00895F2B" w:rsidRPr="00D44FCC">
        <w:rPr>
          <w:rFonts w:ascii="Calibri" w:hAnsi="Calibri" w:cs="Calibri"/>
          <w:color w:val="000000"/>
          <w:sz w:val="22"/>
          <w:szCs w:val="22"/>
        </w:rPr>
        <w:t xml:space="preserve"> research by Jiang, </w:t>
      </w:r>
      <w:proofErr w:type="spellStart"/>
      <w:r w:rsidR="00895F2B" w:rsidRPr="00D44FCC">
        <w:rPr>
          <w:rFonts w:ascii="Calibri" w:hAnsi="Calibri" w:cs="Calibri"/>
          <w:color w:val="000000"/>
          <w:sz w:val="22"/>
          <w:szCs w:val="22"/>
        </w:rPr>
        <w:t>Lepak</w:t>
      </w:r>
      <w:proofErr w:type="spellEnd"/>
      <w:r w:rsidR="00895F2B" w:rsidRPr="00D44FCC">
        <w:rPr>
          <w:rFonts w:ascii="Calibri" w:hAnsi="Calibri" w:cs="Calibri"/>
          <w:color w:val="000000"/>
          <w:sz w:val="22"/>
          <w:szCs w:val="22"/>
        </w:rPr>
        <w:t>, Hu, and Baer, employee participation in decision-making increases commitment</w:t>
      </w:r>
      <w:r w:rsidRPr="00D44FCC">
        <w:rPr>
          <w:rFonts w:ascii="Calibri" w:hAnsi="Calibri" w:cs="Calibri"/>
          <w:color w:val="000000"/>
          <w:sz w:val="22"/>
          <w:szCs w:val="22"/>
        </w:rPr>
        <w:t xml:space="preserve">, which enhances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success. According to Gerhart, Fang, and Probst (2017), a collaborative work environment also has a positive impact on innovation and the effectiveness of HR policies. The importance of employee engagement and collaboration for successful HR strategy is </w:t>
      </w:r>
      <w:proofErr w:type="spellStart"/>
      <w:r w:rsidRPr="00D44FCC">
        <w:rPr>
          <w:rFonts w:ascii="Calibri" w:hAnsi="Calibri" w:cs="Calibri"/>
          <w:color w:val="000000"/>
          <w:sz w:val="22"/>
          <w:szCs w:val="22"/>
        </w:rPr>
        <w:t>emphasised</w:t>
      </w:r>
      <w:proofErr w:type="spellEnd"/>
      <w:r w:rsidRPr="00D44FCC">
        <w:rPr>
          <w:rFonts w:ascii="Calibri" w:hAnsi="Calibri" w:cs="Calibri"/>
          <w:color w:val="000000"/>
          <w:sz w:val="22"/>
          <w:szCs w:val="22"/>
        </w:rPr>
        <w:t xml:space="preserve"> in these research (Jiang et al., 2019; Gerhart et al., 2017).</w:t>
      </w:r>
    </w:p>
    <w:p w14:paraId="146D3C94" w14:textId="77777777" w:rsidR="0041272D" w:rsidRPr="00D44FCC" w:rsidRDefault="001606EA" w:rsidP="001606EA">
      <w:pPr>
        <w:pStyle w:val="NormalWeb"/>
        <w:numPr>
          <w:ilvl w:val="0"/>
          <w:numId w:val="4"/>
        </w:numPr>
        <w:spacing w:beforeAutospacing="0" w:after="160" w:afterAutospacing="0" w:line="16" w:lineRule="atLeast"/>
        <w:jc w:val="both"/>
        <w:rPr>
          <w:rFonts w:ascii="Calibri" w:hAnsi="Calibri" w:cs="Calibri"/>
          <w:color w:val="000000"/>
          <w:sz w:val="22"/>
          <w:szCs w:val="22"/>
        </w:rPr>
      </w:pPr>
      <w:r w:rsidRPr="00D44FCC">
        <w:rPr>
          <w:rFonts w:ascii="Calibri" w:hAnsi="Calibri" w:cs="Calibri"/>
          <w:color w:val="000000"/>
          <w:sz w:val="22"/>
          <w:szCs w:val="22"/>
        </w:rPr>
        <w:t xml:space="preserve">Managing </w:t>
      </w:r>
      <w:proofErr w:type="spellStart"/>
      <w:proofErr w:type="gramStart"/>
      <w:r w:rsidRPr="00D44FCC">
        <w:rPr>
          <w:rFonts w:ascii="Calibri" w:hAnsi="Calibri" w:cs="Calibri"/>
          <w:color w:val="000000"/>
          <w:sz w:val="22"/>
          <w:szCs w:val="22"/>
        </w:rPr>
        <w:t>Change:The</w:t>
      </w:r>
      <w:proofErr w:type="spellEnd"/>
      <w:proofErr w:type="gramEnd"/>
      <w:r w:rsidRPr="00D44FCC">
        <w:rPr>
          <w:rFonts w:ascii="Calibri" w:hAnsi="Calibri" w:cs="Calibri"/>
          <w:color w:val="000000"/>
          <w:sz w:val="22"/>
          <w:szCs w:val="22"/>
        </w:rPr>
        <w:t xml:space="preserve"> implementation of HR strategy depends on change management that is effective. </w:t>
      </w:r>
      <w:proofErr w:type="spellStart"/>
      <w:r w:rsidRPr="00D44FCC">
        <w:rPr>
          <w:rFonts w:ascii="Calibri" w:hAnsi="Calibri" w:cs="Calibri"/>
          <w:color w:val="000000"/>
          <w:sz w:val="22"/>
          <w:szCs w:val="22"/>
        </w:rPr>
        <w:t>Oreg</w:t>
      </w:r>
      <w:proofErr w:type="spellEnd"/>
      <w:r w:rsidRPr="00D44FCC">
        <w:rPr>
          <w:rFonts w:ascii="Calibri" w:hAnsi="Calibri" w:cs="Calibri"/>
          <w:color w:val="000000"/>
          <w:sz w:val="22"/>
          <w:szCs w:val="22"/>
        </w:rPr>
        <w:t xml:space="preserve">, Michel, and </w:t>
      </w:r>
      <w:proofErr w:type="gramStart"/>
      <w:r w:rsidRPr="00D44FCC">
        <w:rPr>
          <w:rFonts w:ascii="Calibri" w:hAnsi="Calibri" w:cs="Calibri"/>
          <w:color w:val="000000"/>
          <w:sz w:val="22"/>
          <w:szCs w:val="22"/>
        </w:rPr>
        <w:t>By</w:t>
      </w:r>
      <w:proofErr w:type="gramEnd"/>
      <w:r w:rsidRPr="00D44FCC">
        <w:rPr>
          <w:rFonts w:ascii="Calibri" w:hAnsi="Calibri" w:cs="Calibri"/>
          <w:color w:val="000000"/>
          <w:sz w:val="22"/>
          <w:szCs w:val="22"/>
        </w:rPr>
        <w:t xml:space="preserve"> (2018) looked at how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environment affects change management and discovered that climates that are open and adaptable help HR initiatives succeed. As these elements contribute to the efficacy of HR initiatives, </w:t>
      </w:r>
      <w:proofErr w:type="spellStart"/>
      <w:r w:rsidRPr="00D44FCC">
        <w:rPr>
          <w:rFonts w:ascii="Calibri" w:hAnsi="Calibri" w:cs="Calibri"/>
          <w:color w:val="000000"/>
          <w:sz w:val="22"/>
          <w:szCs w:val="22"/>
        </w:rPr>
        <w:t>Alpander</w:t>
      </w:r>
      <w:proofErr w:type="spellEnd"/>
      <w:r w:rsidRPr="00D44FCC">
        <w:rPr>
          <w:rFonts w:ascii="Calibri" w:hAnsi="Calibri" w:cs="Calibri"/>
          <w:color w:val="000000"/>
          <w:sz w:val="22"/>
          <w:szCs w:val="22"/>
        </w:rPr>
        <w:t xml:space="preserve">, Sanders, and </w:t>
      </w:r>
      <w:proofErr w:type="spellStart"/>
      <w:r w:rsidRPr="00D44FCC">
        <w:rPr>
          <w:rFonts w:ascii="Calibri" w:hAnsi="Calibri" w:cs="Calibri"/>
          <w:color w:val="000000"/>
          <w:sz w:val="22"/>
          <w:szCs w:val="22"/>
        </w:rPr>
        <w:t>Torka</w:t>
      </w:r>
      <w:proofErr w:type="spellEnd"/>
      <w:r w:rsidRPr="00D44FCC">
        <w:rPr>
          <w:rFonts w:ascii="Calibri" w:hAnsi="Calibri" w:cs="Calibri"/>
          <w:color w:val="000000"/>
          <w:sz w:val="22"/>
          <w:szCs w:val="22"/>
        </w:rPr>
        <w:t xml:space="preserve"> (2021) also stress the significance of good communication and employee involvement during times of change. These studies (</w:t>
      </w:r>
      <w:proofErr w:type="spellStart"/>
      <w:r w:rsidRPr="00D44FCC">
        <w:rPr>
          <w:rFonts w:ascii="Calibri" w:hAnsi="Calibri" w:cs="Calibri"/>
          <w:color w:val="000000"/>
          <w:sz w:val="22"/>
          <w:szCs w:val="22"/>
        </w:rPr>
        <w:t>Oreg</w:t>
      </w:r>
      <w:proofErr w:type="spellEnd"/>
      <w:r w:rsidRPr="00D44FCC">
        <w:rPr>
          <w:rFonts w:ascii="Calibri" w:hAnsi="Calibri" w:cs="Calibri"/>
          <w:color w:val="000000"/>
          <w:sz w:val="22"/>
          <w:szCs w:val="22"/>
        </w:rPr>
        <w:t xml:space="preserve"> et al., 2018; </w:t>
      </w:r>
      <w:proofErr w:type="spellStart"/>
      <w:r w:rsidRPr="00D44FCC">
        <w:rPr>
          <w:rFonts w:ascii="Calibri" w:hAnsi="Calibri" w:cs="Calibri"/>
          <w:color w:val="000000"/>
          <w:sz w:val="22"/>
          <w:szCs w:val="22"/>
        </w:rPr>
        <w:t>Alpander</w:t>
      </w:r>
      <w:proofErr w:type="spellEnd"/>
      <w:r w:rsidRPr="00D44FCC">
        <w:rPr>
          <w:rFonts w:ascii="Calibri" w:hAnsi="Calibri" w:cs="Calibri"/>
          <w:color w:val="000000"/>
          <w:sz w:val="22"/>
          <w:szCs w:val="22"/>
        </w:rPr>
        <w:t xml:space="preserve"> et al., 2021) </w:t>
      </w:r>
      <w:proofErr w:type="spellStart"/>
      <w:r w:rsidRPr="00D44FCC">
        <w:rPr>
          <w:rFonts w:ascii="Calibri" w:hAnsi="Calibri" w:cs="Calibri"/>
          <w:color w:val="000000"/>
          <w:sz w:val="22"/>
          <w:szCs w:val="22"/>
        </w:rPr>
        <w:t>emphasise</w:t>
      </w:r>
      <w:proofErr w:type="spellEnd"/>
      <w:r w:rsidRPr="00D44FCC">
        <w:rPr>
          <w:rFonts w:ascii="Calibri" w:hAnsi="Calibri" w:cs="Calibri"/>
          <w:color w:val="000000"/>
          <w:sz w:val="22"/>
          <w:szCs w:val="22"/>
        </w:rPr>
        <w:t xml:space="preserve"> the necessity for </w:t>
      </w:r>
      <w:proofErr w:type="spellStart"/>
      <w:r w:rsidRPr="00D44FCC">
        <w:rPr>
          <w:rFonts w:ascii="Calibri" w:hAnsi="Calibri" w:cs="Calibri"/>
          <w:color w:val="000000"/>
          <w:sz w:val="22"/>
          <w:szCs w:val="22"/>
        </w:rPr>
        <w:t>organisations</w:t>
      </w:r>
      <w:proofErr w:type="spellEnd"/>
      <w:r w:rsidRPr="00D44FCC">
        <w:rPr>
          <w:rFonts w:ascii="Calibri" w:hAnsi="Calibri" w:cs="Calibri"/>
          <w:color w:val="000000"/>
          <w:sz w:val="22"/>
          <w:szCs w:val="22"/>
        </w:rPr>
        <w:t xml:space="preserve"> to undertake solid change management </w:t>
      </w:r>
      <w:proofErr w:type="spellStart"/>
      <w:r w:rsidRPr="00D44FCC">
        <w:rPr>
          <w:rFonts w:ascii="Calibri" w:hAnsi="Calibri" w:cs="Calibri"/>
          <w:color w:val="000000"/>
          <w:sz w:val="22"/>
          <w:szCs w:val="22"/>
        </w:rPr>
        <w:t>practises</w:t>
      </w:r>
      <w:proofErr w:type="spellEnd"/>
      <w:r w:rsidRPr="00D44FCC">
        <w:rPr>
          <w:rFonts w:ascii="Calibri" w:hAnsi="Calibri" w:cs="Calibri"/>
          <w:color w:val="000000"/>
          <w:sz w:val="22"/>
          <w:szCs w:val="22"/>
        </w:rPr>
        <w:t xml:space="preserve"> </w:t>
      </w:r>
      <w:proofErr w:type="gramStart"/>
      <w:r w:rsidRPr="00D44FCC">
        <w:rPr>
          <w:rFonts w:ascii="Calibri" w:hAnsi="Calibri" w:cs="Calibri"/>
          <w:color w:val="000000"/>
          <w:sz w:val="22"/>
          <w:szCs w:val="22"/>
        </w:rPr>
        <w:t>in order to</w:t>
      </w:r>
      <w:proofErr w:type="gramEnd"/>
      <w:r w:rsidRPr="00D44FCC">
        <w:rPr>
          <w:rFonts w:ascii="Calibri" w:hAnsi="Calibri" w:cs="Calibri"/>
          <w:color w:val="000000"/>
          <w:sz w:val="22"/>
          <w:szCs w:val="22"/>
        </w:rPr>
        <w:t xml:space="preserve"> improve the success of their HR initiatives.</w:t>
      </w:r>
    </w:p>
    <w:p w14:paraId="3DB9BBD1" w14:textId="77777777" w:rsidR="00BD7A38" w:rsidRDefault="001606EA">
      <w:pPr>
        <w:pStyle w:val="NormalWeb"/>
        <w:spacing w:beforeAutospacing="0" w:after="160" w:afterAutospacing="0" w:line="16" w:lineRule="atLeast"/>
        <w:ind w:left="720"/>
        <w:jc w:val="both"/>
        <w:rPr>
          <w:rFonts w:ascii="Calibri" w:hAnsi="Calibri" w:cs="Calibri"/>
          <w:color w:val="000000"/>
          <w:sz w:val="22"/>
          <w:szCs w:val="22"/>
        </w:rPr>
      </w:pPr>
      <w:r w:rsidRPr="00D44FCC">
        <w:rPr>
          <w:rFonts w:ascii="Calibri" w:hAnsi="Calibri" w:cs="Calibri"/>
          <w:color w:val="000000"/>
          <w:sz w:val="22"/>
          <w:szCs w:val="22"/>
        </w:rPr>
        <w:t xml:space="preserve">These cited studies offer important insights into the </w:t>
      </w:r>
      <w:proofErr w:type="spellStart"/>
      <w:r w:rsidRPr="00D44FCC">
        <w:rPr>
          <w:rFonts w:ascii="Calibri" w:hAnsi="Calibri" w:cs="Calibri"/>
          <w:color w:val="000000"/>
          <w:sz w:val="22"/>
          <w:szCs w:val="22"/>
        </w:rPr>
        <w:t>organisational</w:t>
      </w:r>
      <w:proofErr w:type="spellEnd"/>
      <w:r w:rsidRPr="00D44FCC">
        <w:rPr>
          <w:rFonts w:ascii="Calibri" w:hAnsi="Calibri" w:cs="Calibri"/>
          <w:color w:val="000000"/>
          <w:sz w:val="22"/>
          <w:szCs w:val="22"/>
        </w:rPr>
        <w:t xml:space="preserve"> variables, such as supportive leadership, employee participation, and change management, that affect the efficacy of HR policies. </w:t>
      </w:r>
      <w:proofErr w:type="spellStart"/>
      <w:r w:rsidRPr="00D44FCC">
        <w:rPr>
          <w:rFonts w:ascii="Calibri" w:hAnsi="Calibri" w:cs="Calibri"/>
          <w:color w:val="000000"/>
          <w:sz w:val="22"/>
          <w:szCs w:val="22"/>
        </w:rPr>
        <w:t>Organisations</w:t>
      </w:r>
      <w:proofErr w:type="spellEnd"/>
      <w:r w:rsidRPr="00D44FCC">
        <w:rPr>
          <w:rFonts w:ascii="Calibri" w:hAnsi="Calibri" w:cs="Calibri"/>
          <w:color w:val="000000"/>
          <w:sz w:val="22"/>
          <w:szCs w:val="22"/>
        </w:rPr>
        <w:t xml:space="preserve"> may establish an environment that supports the effective execution and impact of their HR initiatives by taking these elements into account.</w:t>
      </w:r>
    </w:p>
    <w:p w14:paraId="19670C0B" w14:textId="77777777" w:rsidR="00BD7A38" w:rsidRDefault="00BD7A38">
      <w:pPr>
        <w:rPr>
          <w:rFonts w:ascii="Calibri" w:eastAsia="SimSun" w:hAnsi="Calibri" w:cs="Calibri"/>
          <w:color w:val="000000"/>
          <w:sz w:val="22"/>
          <w:szCs w:val="22"/>
          <w:lang w:bidi="hi-IN"/>
        </w:rPr>
      </w:pPr>
    </w:p>
    <w:p w14:paraId="2145CC54" w14:textId="77777777" w:rsidR="0041272D" w:rsidRDefault="001606EA">
      <w:pPr>
        <w:pStyle w:val="Heading1"/>
        <w:spacing w:before="240" w:beforeAutospacing="0" w:afterAutospacing="0" w:line="16" w:lineRule="atLeast"/>
        <w:rPr>
          <w:rFonts w:hint="default"/>
        </w:rPr>
      </w:pPr>
      <w:bookmarkStart w:id="26" w:name="_Toc138283422"/>
      <w:bookmarkStart w:id="27" w:name="_Toc138283432"/>
      <w:bookmarkStart w:id="28" w:name="_Toc138283458"/>
      <w:r>
        <w:rPr>
          <w:rFonts w:ascii="Calibri" w:hAnsi="Calibri" w:cs="Calibri" w:hint="default"/>
          <w:color w:val="2F5496"/>
          <w:sz w:val="32"/>
          <w:szCs w:val="32"/>
        </w:rPr>
        <w:t>Conclusion</w:t>
      </w:r>
      <w:bookmarkEnd w:id="26"/>
      <w:bookmarkEnd w:id="27"/>
      <w:bookmarkEnd w:id="28"/>
    </w:p>
    <w:p w14:paraId="0DBC6D30" w14:textId="53A03F5C" w:rsidR="0041272D" w:rsidRPr="00D44FCC" w:rsidRDefault="001606EA">
      <w:pPr>
        <w:pStyle w:val="NormalWeb"/>
        <w:spacing w:beforeAutospacing="0" w:after="160" w:afterAutospacing="0" w:line="16" w:lineRule="atLeast"/>
        <w:jc w:val="both"/>
        <w:rPr>
          <w:rFonts w:ascii="Calibri" w:eastAsia="sans-serif" w:hAnsi="Calibri" w:cs="Calibri"/>
          <w:color w:val="000000"/>
          <w:sz w:val="22"/>
          <w:szCs w:val="22"/>
        </w:rPr>
      </w:pPr>
      <w:r w:rsidRPr="00D44FCC">
        <w:rPr>
          <w:rFonts w:ascii="Calibri" w:eastAsia="sans-serif" w:hAnsi="Calibri" w:cs="Calibri"/>
          <w:color w:val="000000"/>
          <w:sz w:val="22"/>
          <w:szCs w:val="22"/>
        </w:rPr>
        <w:t xml:space="preserve">The ability of HR to work with other departments in the public sector is essential for </w:t>
      </w:r>
      <w:proofErr w:type="spellStart"/>
      <w:r w:rsidRPr="00D44FCC">
        <w:rPr>
          <w:rFonts w:ascii="Calibri" w:eastAsia="sans-serif" w:hAnsi="Calibri" w:cs="Calibri"/>
          <w:color w:val="000000"/>
          <w:sz w:val="22"/>
          <w:szCs w:val="22"/>
        </w:rPr>
        <w:t>organisations</w:t>
      </w:r>
      <w:proofErr w:type="spellEnd"/>
      <w:r w:rsidRPr="00D44FCC">
        <w:rPr>
          <w:rFonts w:ascii="Calibri" w:eastAsia="sans-serif" w:hAnsi="Calibri" w:cs="Calibri"/>
          <w:color w:val="000000"/>
          <w:sz w:val="22"/>
          <w:szCs w:val="22"/>
        </w:rPr>
        <w:t xml:space="preserve"> to run smoothly. </w:t>
      </w:r>
      <w:r w:rsidR="006A3620" w:rsidRPr="006A3620">
        <w:rPr>
          <w:rFonts w:ascii="Calibri" w:eastAsia="sans-serif" w:hAnsi="Calibri" w:cs="Calibri"/>
          <w:color w:val="000000"/>
          <w:sz w:val="22"/>
          <w:szCs w:val="22"/>
        </w:rPr>
        <w:t xml:space="preserve">Understanding the differences between HR in the private and public sectors can help </w:t>
      </w:r>
      <w:proofErr w:type="spellStart"/>
      <w:r w:rsidR="006A3620" w:rsidRPr="006A3620">
        <w:rPr>
          <w:rFonts w:ascii="Calibri" w:eastAsia="sans-serif" w:hAnsi="Calibri" w:cs="Calibri"/>
          <w:color w:val="000000"/>
          <w:sz w:val="22"/>
          <w:szCs w:val="22"/>
        </w:rPr>
        <w:t>organisations</w:t>
      </w:r>
      <w:proofErr w:type="spellEnd"/>
      <w:r w:rsidR="006A3620" w:rsidRPr="006A3620">
        <w:rPr>
          <w:rFonts w:ascii="Calibri" w:eastAsia="sans-serif" w:hAnsi="Calibri" w:cs="Calibri"/>
          <w:color w:val="000000"/>
          <w:sz w:val="22"/>
          <w:szCs w:val="22"/>
        </w:rPr>
        <w:t xml:space="preserve"> develop specialist strategies that complement their </w:t>
      </w:r>
      <w:proofErr w:type="gramStart"/>
      <w:r w:rsidR="006A3620" w:rsidRPr="006A3620">
        <w:rPr>
          <w:rFonts w:ascii="Calibri" w:eastAsia="sans-serif" w:hAnsi="Calibri" w:cs="Calibri"/>
          <w:color w:val="000000"/>
          <w:sz w:val="22"/>
          <w:szCs w:val="22"/>
        </w:rPr>
        <w:t>particular goals</w:t>
      </w:r>
      <w:proofErr w:type="gramEnd"/>
      <w:r w:rsidR="006A3620" w:rsidRPr="006A3620">
        <w:rPr>
          <w:rFonts w:ascii="Calibri" w:eastAsia="sans-serif" w:hAnsi="Calibri" w:cs="Calibri"/>
          <w:color w:val="000000"/>
          <w:sz w:val="22"/>
          <w:szCs w:val="22"/>
        </w:rPr>
        <w:t xml:space="preserve"> and objectives. The sector that a company operates in has a big impact on how effective its HR strategy </w:t>
      </w:r>
      <w:proofErr w:type="spellStart"/>
      <w:r w:rsidR="006A3620" w:rsidRPr="006A3620">
        <w:rPr>
          <w:rFonts w:ascii="Calibri" w:eastAsia="sans-serif" w:hAnsi="Calibri" w:cs="Calibri"/>
          <w:color w:val="000000"/>
          <w:sz w:val="22"/>
          <w:szCs w:val="22"/>
        </w:rPr>
        <w:t>is.</w:t>
      </w:r>
      <w:r w:rsidRPr="00D44FCC">
        <w:rPr>
          <w:rFonts w:ascii="Calibri" w:eastAsia="sans-serif" w:hAnsi="Calibri" w:cs="Calibri"/>
          <w:color w:val="000000"/>
          <w:sz w:val="22"/>
          <w:szCs w:val="22"/>
        </w:rPr>
        <w:t>When</w:t>
      </w:r>
      <w:proofErr w:type="spellEnd"/>
      <w:r w:rsidRPr="00D44FCC">
        <w:rPr>
          <w:rFonts w:ascii="Calibri" w:eastAsia="sans-serif" w:hAnsi="Calibri" w:cs="Calibri"/>
          <w:color w:val="000000"/>
          <w:sz w:val="22"/>
          <w:szCs w:val="22"/>
        </w:rPr>
        <w:t xml:space="preserve"> creating and implementing HR initiatives, factors including accountability, </w:t>
      </w:r>
      <w:proofErr w:type="spellStart"/>
      <w:r w:rsidRPr="00D44FCC">
        <w:rPr>
          <w:rFonts w:ascii="Calibri" w:eastAsia="sans-serif" w:hAnsi="Calibri" w:cs="Calibri"/>
          <w:color w:val="000000"/>
          <w:sz w:val="22"/>
          <w:szCs w:val="22"/>
        </w:rPr>
        <w:t>unionisation</w:t>
      </w:r>
      <w:proofErr w:type="spellEnd"/>
      <w:r w:rsidRPr="00D44FCC">
        <w:rPr>
          <w:rFonts w:ascii="Calibri" w:eastAsia="sans-serif" w:hAnsi="Calibri" w:cs="Calibri"/>
          <w:color w:val="000000"/>
          <w:sz w:val="22"/>
          <w:szCs w:val="22"/>
        </w:rPr>
        <w:t>, financial restrictions, and regulatory compliance must be taken into account.</w:t>
      </w:r>
    </w:p>
    <w:p w14:paraId="10B58689" w14:textId="77777777" w:rsidR="0041272D" w:rsidRPr="00D44FCC" w:rsidRDefault="001606EA">
      <w:pPr>
        <w:pStyle w:val="NormalWeb"/>
        <w:spacing w:beforeAutospacing="0" w:after="160" w:afterAutospacing="0" w:line="16" w:lineRule="atLeast"/>
        <w:jc w:val="both"/>
        <w:rPr>
          <w:rFonts w:ascii="Calibri" w:eastAsia="sans-serif" w:hAnsi="Calibri" w:cs="Calibri"/>
          <w:color w:val="000000"/>
          <w:sz w:val="22"/>
          <w:szCs w:val="22"/>
        </w:rPr>
      </w:pPr>
      <w:r w:rsidRPr="00D44FCC">
        <w:rPr>
          <w:rFonts w:ascii="Calibri" w:eastAsia="sans-serif" w:hAnsi="Calibri" w:cs="Calibri"/>
          <w:color w:val="000000"/>
          <w:sz w:val="22"/>
          <w:szCs w:val="22"/>
        </w:rPr>
        <w:t xml:space="preserve">HR must </w:t>
      </w:r>
      <w:proofErr w:type="spellStart"/>
      <w:r w:rsidRPr="00D44FCC">
        <w:rPr>
          <w:rFonts w:ascii="Calibri" w:eastAsia="sans-serif" w:hAnsi="Calibri" w:cs="Calibri"/>
          <w:color w:val="000000"/>
          <w:sz w:val="22"/>
          <w:szCs w:val="22"/>
        </w:rPr>
        <w:t>prioritise</w:t>
      </w:r>
      <w:proofErr w:type="spellEnd"/>
      <w:r w:rsidRPr="00D44FCC">
        <w:rPr>
          <w:rFonts w:ascii="Calibri" w:eastAsia="sans-serif" w:hAnsi="Calibri" w:cs="Calibri"/>
          <w:color w:val="000000"/>
          <w:sz w:val="22"/>
          <w:szCs w:val="22"/>
        </w:rPr>
        <w:t xml:space="preserve"> staff growth through training and development </w:t>
      </w:r>
      <w:proofErr w:type="spellStart"/>
      <w:r w:rsidRPr="00D44FCC">
        <w:rPr>
          <w:rFonts w:ascii="Calibri" w:eastAsia="sans-serif" w:hAnsi="Calibri" w:cs="Calibri"/>
          <w:color w:val="000000"/>
          <w:sz w:val="22"/>
          <w:szCs w:val="22"/>
        </w:rPr>
        <w:t>programmes</w:t>
      </w:r>
      <w:proofErr w:type="spellEnd"/>
      <w:r w:rsidRPr="00D44FCC">
        <w:rPr>
          <w:rFonts w:ascii="Calibri" w:eastAsia="sans-serif" w:hAnsi="Calibri" w:cs="Calibri"/>
          <w:color w:val="000000"/>
          <w:sz w:val="22"/>
          <w:szCs w:val="22"/>
        </w:rPr>
        <w:t xml:space="preserve">, succession planning, performance management, and employee engagement if it is to accomplish strategic goals. These </w:t>
      </w:r>
      <w:proofErr w:type="spellStart"/>
      <w:r w:rsidRPr="00D44FCC">
        <w:rPr>
          <w:rFonts w:ascii="Calibri" w:eastAsia="sans-serif" w:hAnsi="Calibri" w:cs="Calibri"/>
          <w:color w:val="000000"/>
          <w:sz w:val="22"/>
          <w:szCs w:val="22"/>
        </w:rPr>
        <w:t>programmes</w:t>
      </w:r>
      <w:proofErr w:type="spellEnd"/>
      <w:r w:rsidRPr="00D44FCC">
        <w:rPr>
          <w:rFonts w:ascii="Calibri" w:eastAsia="sans-serif" w:hAnsi="Calibri" w:cs="Calibri"/>
          <w:color w:val="000000"/>
          <w:sz w:val="22"/>
          <w:szCs w:val="22"/>
        </w:rPr>
        <w:t xml:space="preserve"> improve staff members' skills, develop a talent pipeline, match individual performance with business objectives, and cultivate a motivated and devoted workforce.</w:t>
      </w:r>
    </w:p>
    <w:p w14:paraId="1EF6DCCF" w14:textId="77777777" w:rsidR="0041272D" w:rsidRPr="00D44FCC" w:rsidRDefault="0041272D">
      <w:pPr>
        <w:rPr>
          <w:rFonts w:ascii="Calibri" w:eastAsia="sans-serif" w:hAnsi="Calibri" w:cs="Calibri"/>
          <w:color w:val="000000"/>
          <w:sz w:val="22"/>
          <w:szCs w:val="22"/>
          <w:lang w:bidi="hi-IN"/>
        </w:rPr>
      </w:pPr>
    </w:p>
    <w:p w14:paraId="7F81BD06" w14:textId="77777777" w:rsidR="0041272D" w:rsidRDefault="001606EA" w:rsidP="00D44FCC">
      <w:pPr>
        <w:pStyle w:val="NormalWeb"/>
        <w:spacing w:beforeAutospacing="0" w:after="160" w:afterAutospacing="0" w:line="16" w:lineRule="atLeast"/>
        <w:jc w:val="both"/>
      </w:pPr>
      <w:r>
        <w:rPr>
          <w:rFonts w:ascii="Calibri" w:hAnsi="Calibri" w:cs="Calibri"/>
          <w:color w:val="000000"/>
          <w:sz w:val="22"/>
          <w:szCs w:val="22"/>
        </w:rPr>
        <w:t xml:space="preserve">Factors affecting the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climate also have an impact on how well HR strategy works. For HR initiatives to succeed and deliver the required results, a supportive leadership climate, employee engagement and collaboration, and efficient change management are essential.</w:t>
      </w:r>
    </w:p>
    <w:p w14:paraId="2F3D887D" w14:textId="77777777" w:rsidR="0041272D" w:rsidRDefault="001606EA">
      <w:pPr>
        <w:pStyle w:val="NormalWeb"/>
        <w:spacing w:beforeAutospacing="0" w:after="160" w:afterAutospacing="0" w:line="16" w:lineRule="atLeast"/>
        <w:jc w:val="both"/>
      </w:pPr>
      <w:r>
        <w:rPr>
          <w:rFonts w:ascii="Calibri" w:hAnsi="Calibri" w:cs="Calibri"/>
          <w:color w:val="000000"/>
          <w:sz w:val="22"/>
          <w:szCs w:val="22"/>
        </w:rPr>
        <w:t xml:space="preserve">In conclusion, HR in the public sector needs to adopt a proactive approach to talent development, align HR activities with </w:t>
      </w:r>
      <w:proofErr w:type="spellStart"/>
      <w:r>
        <w:rPr>
          <w:rFonts w:ascii="Calibri" w:hAnsi="Calibri" w:cs="Calibri"/>
          <w:color w:val="000000"/>
          <w:sz w:val="22"/>
          <w:szCs w:val="22"/>
        </w:rPr>
        <w:t>organisational</w:t>
      </w:r>
      <w:proofErr w:type="spellEnd"/>
      <w:r>
        <w:rPr>
          <w:rFonts w:ascii="Calibri" w:hAnsi="Calibri" w:cs="Calibri"/>
          <w:color w:val="000000"/>
          <w:sz w:val="22"/>
          <w:szCs w:val="22"/>
        </w:rPr>
        <w:t xml:space="preserve"> goals, and foster an environment that is </w:t>
      </w:r>
      <w:r>
        <w:rPr>
          <w:rFonts w:ascii="Calibri" w:hAnsi="Calibri" w:cs="Calibri"/>
          <w:color w:val="000000"/>
          <w:sz w:val="22"/>
          <w:szCs w:val="22"/>
        </w:rPr>
        <w:lastRenderedPageBreak/>
        <w:t xml:space="preserve">conducive to the implementation of HR strategy </w:t>
      </w:r>
      <w:proofErr w:type="gramStart"/>
      <w:r>
        <w:rPr>
          <w:rFonts w:ascii="Calibri" w:hAnsi="Calibri" w:cs="Calibri"/>
          <w:color w:val="000000"/>
          <w:sz w:val="22"/>
          <w:szCs w:val="22"/>
        </w:rPr>
        <w:t>in order to</w:t>
      </w:r>
      <w:proofErr w:type="gramEnd"/>
      <w:r>
        <w:rPr>
          <w:rFonts w:ascii="Calibri" w:hAnsi="Calibri" w:cs="Calibri"/>
          <w:color w:val="000000"/>
          <w:sz w:val="22"/>
          <w:szCs w:val="22"/>
        </w:rPr>
        <w:t xml:space="preserve"> overcome the lack of strategic partnering capabilities. By doing this, businesses can improve their capacity to draw in and keep top personnel, boost output, and ultimately meet their strategic goals.</w:t>
      </w:r>
    </w:p>
    <w:p w14:paraId="66AA003F" w14:textId="77777777" w:rsidR="0041272D" w:rsidRDefault="001606EA" w:rsidP="00D44FCC">
      <w:pPr>
        <w:spacing w:after="240"/>
      </w:pP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r>
        <w:rPr>
          <w:rFonts w:ascii="SimSun" w:eastAsia="SimSun" w:hAnsi="SimSun" w:cs="SimSun"/>
          <w:sz w:val="24"/>
          <w:szCs w:val="24"/>
        </w:rPr>
        <w:br/>
      </w:r>
    </w:p>
    <w:p w14:paraId="22D84CC0" w14:textId="77777777" w:rsidR="0041272D" w:rsidRDefault="001606EA">
      <w:pPr>
        <w:pStyle w:val="Heading1"/>
        <w:spacing w:before="240" w:beforeAutospacing="0" w:afterAutospacing="0" w:line="16" w:lineRule="atLeast"/>
        <w:rPr>
          <w:rFonts w:hint="default"/>
        </w:rPr>
      </w:pPr>
      <w:bookmarkStart w:id="29" w:name="_Toc138283423"/>
      <w:bookmarkStart w:id="30" w:name="_Toc138283433"/>
      <w:bookmarkStart w:id="31" w:name="_Toc138283459"/>
      <w:r>
        <w:rPr>
          <w:rFonts w:ascii="Calibri" w:hAnsi="Calibri" w:cs="Calibri" w:hint="default"/>
          <w:color w:val="2F5496"/>
          <w:sz w:val="32"/>
          <w:szCs w:val="32"/>
        </w:rPr>
        <w:t>Reference</w:t>
      </w:r>
      <w:bookmarkEnd w:id="29"/>
      <w:bookmarkEnd w:id="30"/>
      <w:bookmarkEnd w:id="31"/>
    </w:p>
    <w:p w14:paraId="5F052FC0" w14:textId="77777777" w:rsidR="00CC15B1" w:rsidRPr="0043296D" w:rsidRDefault="00CC15B1"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Albrecht, S.L., Bakker, A.B., </w:t>
      </w:r>
      <w:proofErr w:type="spellStart"/>
      <w:r w:rsidRPr="0043296D">
        <w:rPr>
          <w:rFonts w:cstheme="minorHAnsi"/>
          <w:color w:val="222222"/>
          <w:sz w:val="22"/>
          <w:szCs w:val="22"/>
          <w:shd w:val="clear" w:color="auto" w:fill="FFFFFF"/>
        </w:rPr>
        <w:t>Gruman</w:t>
      </w:r>
      <w:proofErr w:type="spellEnd"/>
      <w:r w:rsidRPr="0043296D">
        <w:rPr>
          <w:rFonts w:cstheme="minorHAnsi"/>
          <w:color w:val="222222"/>
          <w:sz w:val="22"/>
          <w:szCs w:val="22"/>
          <w:shd w:val="clear" w:color="auto" w:fill="FFFFFF"/>
        </w:rPr>
        <w:t>, J.A., Macey, W.H. and Saks, A.M., 2015. Employee engagement, human resource management practices and competitive advantage: An integrated approach. </w:t>
      </w:r>
      <w:r w:rsidRPr="0043296D">
        <w:rPr>
          <w:rFonts w:cstheme="minorHAnsi"/>
          <w:i/>
          <w:iCs/>
          <w:color w:val="222222"/>
          <w:sz w:val="22"/>
          <w:szCs w:val="22"/>
          <w:shd w:val="clear" w:color="auto" w:fill="FFFFFF"/>
        </w:rPr>
        <w:t>Journal of Organizational Effectiveness: People and Performance</w:t>
      </w:r>
      <w:r w:rsidR="0047390E" w:rsidRPr="0043296D">
        <w:rPr>
          <w:rFonts w:cstheme="minorHAnsi"/>
          <w:color w:val="222222"/>
          <w:sz w:val="22"/>
          <w:szCs w:val="22"/>
          <w:shd w:val="clear" w:color="auto" w:fill="FFFFFF"/>
        </w:rPr>
        <w:t>.</w:t>
      </w:r>
    </w:p>
    <w:p w14:paraId="6505B5F5" w14:textId="77777777" w:rsidR="00CC15B1" w:rsidRPr="0043296D" w:rsidRDefault="00CC15B1"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Walk, M., </w:t>
      </w:r>
      <w:proofErr w:type="spellStart"/>
      <w:r w:rsidRPr="0043296D">
        <w:rPr>
          <w:rFonts w:cstheme="minorHAnsi"/>
          <w:color w:val="222222"/>
          <w:sz w:val="22"/>
          <w:szCs w:val="22"/>
          <w:shd w:val="clear" w:color="auto" w:fill="FFFFFF"/>
        </w:rPr>
        <w:t>Schinnenburg</w:t>
      </w:r>
      <w:proofErr w:type="spellEnd"/>
      <w:r w:rsidRPr="0043296D">
        <w:rPr>
          <w:rFonts w:cstheme="minorHAnsi"/>
          <w:color w:val="222222"/>
          <w:sz w:val="22"/>
          <w:szCs w:val="22"/>
          <w:shd w:val="clear" w:color="auto" w:fill="FFFFFF"/>
        </w:rPr>
        <w:t>, H. and Handy, F., 2014. Missing in action: Strategic human resource management in German nonprofits. </w:t>
      </w:r>
      <w:proofErr w:type="spellStart"/>
      <w:r w:rsidRPr="0043296D">
        <w:rPr>
          <w:rFonts w:cstheme="minorHAnsi"/>
          <w:i/>
          <w:iCs/>
          <w:color w:val="222222"/>
          <w:sz w:val="22"/>
          <w:szCs w:val="22"/>
          <w:shd w:val="clear" w:color="auto" w:fill="FFFFFF"/>
        </w:rPr>
        <w:t>Voluntas</w:t>
      </w:r>
      <w:proofErr w:type="spellEnd"/>
      <w:r w:rsidRPr="0043296D">
        <w:rPr>
          <w:rFonts w:cstheme="minorHAnsi"/>
          <w:i/>
          <w:iCs/>
          <w:color w:val="222222"/>
          <w:sz w:val="22"/>
          <w:szCs w:val="22"/>
          <w:shd w:val="clear" w:color="auto" w:fill="FFFFFF"/>
        </w:rPr>
        <w:t>: International Journal of Voluntary and Nonprofit Organizations</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25</w:t>
      </w:r>
      <w:r w:rsidRPr="0043296D">
        <w:rPr>
          <w:rFonts w:cstheme="minorHAnsi"/>
          <w:color w:val="222222"/>
          <w:sz w:val="22"/>
          <w:szCs w:val="22"/>
          <w:shd w:val="clear" w:color="auto" w:fill="FFFFFF"/>
        </w:rPr>
        <w:t>, pp.991-1021</w:t>
      </w:r>
    </w:p>
    <w:p w14:paraId="272276B6" w14:textId="77777777" w:rsidR="00CC15B1" w:rsidRPr="0043296D" w:rsidRDefault="00246217"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Whitehouse, G. and </w:t>
      </w:r>
      <w:proofErr w:type="spellStart"/>
      <w:r w:rsidRPr="0043296D">
        <w:rPr>
          <w:rFonts w:cstheme="minorHAnsi"/>
          <w:color w:val="222222"/>
          <w:sz w:val="22"/>
          <w:szCs w:val="22"/>
          <w:shd w:val="clear" w:color="auto" w:fill="FFFFFF"/>
        </w:rPr>
        <w:t>Zetlin</w:t>
      </w:r>
      <w:proofErr w:type="spellEnd"/>
      <w:r w:rsidRPr="0043296D">
        <w:rPr>
          <w:rFonts w:cstheme="minorHAnsi"/>
          <w:color w:val="222222"/>
          <w:sz w:val="22"/>
          <w:szCs w:val="22"/>
          <w:shd w:val="clear" w:color="auto" w:fill="FFFFFF"/>
        </w:rPr>
        <w:t xml:space="preserve">, D., 1999. ‘Family </w:t>
      </w:r>
      <w:proofErr w:type="spellStart"/>
      <w:r w:rsidRPr="0043296D">
        <w:rPr>
          <w:rFonts w:cstheme="minorHAnsi"/>
          <w:color w:val="222222"/>
          <w:sz w:val="22"/>
          <w:szCs w:val="22"/>
          <w:shd w:val="clear" w:color="auto" w:fill="FFFFFF"/>
        </w:rPr>
        <w:t>friendly’policies</w:t>
      </w:r>
      <w:proofErr w:type="spellEnd"/>
      <w:r w:rsidRPr="0043296D">
        <w:rPr>
          <w:rFonts w:cstheme="minorHAnsi"/>
          <w:color w:val="222222"/>
          <w:sz w:val="22"/>
          <w:szCs w:val="22"/>
          <w:shd w:val="clear" w:color="auto" w:fill="FFFFFF"/>
        </w:rPr>
        <w:t>: distribution and implementation in Australian workplaces. </w:t>
      </w:r>
      <w:r w:rsidRPr="0043296D">
        <w:rPr>
          <w:rFonts w:cstheme="minorHAnsi"/>
          <w:i/>
          <w:iCs/>
          <w:color w:val="222222"/>
          <w:sz w:val="22"/>
          <w:szCs w:val="22"/>
          <w:shd w:val="clear" w:color="auto" w:fill="FFFFFF"/>
        </w:rPr>
        <w:t xml:space="preserve">The Economic and </w:t>
      </w:r>
      <w:proofErr w:type="spellStart"/>
      <w:r w:rsidRPr="0043296D">
        <w:rPr>
          <w:rFonts w:cstheme="minorHAnsi"/>
          <w:i/>
          <w:iCs/>
          <w:color w:val="222222"/>
          <w:sz w:val="22"/>
          <w:szCs w:val="22"/>
          <w:shd w:val="clear" w:color="auto" w:fill="FFFFFF"/>
        </w:rPr>
        <w:t>Labour</w:t>
      </w:r>
      <w:proofErr w:type="spellEnd"/>
      <w:r w:rsidRPr="0043296D">
        <w:rPr>
          <w:rFonts w:cstheme="minorHAnsi"/>
          <w:i/>
          <w:iCs/>
          <w:color w:val="222222"/>
          <w:sz w:val="22"/>
          <w:szCs w:val="22"/>
          <w:shd w:val="clear" w:color="auto" w:fill="FFFFFF"/>
        </w:rPr>
        <w:t xml:space="preserve"> Relations Review</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10</w:t>
      </w:r>
      <w:r w:rsidRPr="0043296D">
        <w:rPr>
          <w:rFonts w:cstheme="minorHAnsi"/>
          <w:color w:val="222222"/>
          <w:sz w:val="22"/>
          <w:szCs w:val="22"/>
          <w:shd w:val="clear" w:color="auto" w:fill="FFFFFF"/>
        </w:rPr>
        <w:t>(2), pp.221-239</w:t>
      </w:r>
    </w:p>
    <w:p w14:paraId="7030DD82" w14:textId="77777777" w:rsidR="00246217" w:rsidRPr="0043296D" w:rsidRDefault="00246217"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Rishi, S., 2020. Lateral Recruitment in Civil Services: Standing the Test of Merit. </w:t>
      </w:r>
      <w:r w:rsidRPr="0043296D">
        <w:rPr>
          <w:rFonts w:cstheme="minorHAnsi"/>
          <w:i/>
          <w:iCs/>
          <w:color w:val="222222"/>
          <w:sz w:val="22"/>
          <w:szCs w:val="22"/>
          <w:shd w:val="clear" w:color="auto" w:fill="FFFFFF"/>
        </w:rPr>
        <w:t>Indian Journal of Public Administration</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66</w:t>
      </w:r>
      <w:r w:rsidRPr="0043296D">
        <w:rPr>
          <w:rFonts w:cstheme="minorHAnsi"/>
          <w:color w:val="222222"/>
          <w:sz w:val="22"/>
          <w:szCs w:val="22"/>
          <w:shd w:val="clear" w:color="auto" w:fill="FFFFFF"/>
        </w:rPr>
        <w:t>(4), pp.563-577</w:t>
      </w:r>
    </w:p>
    <w:p w14:paraId="1DAEC9AD" w14:textId="77777777" w:rsidR="00246217" w:rsidRPr="0043296D" w:rsidRDefault="00246217"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Johnson, R.D., Stone, D.L. and </w:t>
      </w:r>
      <w:proofErr w:type="spellStart"/>
      <w:r w:rsidRPr="0043296D">
        <w:rPr>
          <w:rFonts w:cstheme="minorHAnsi"/>
          <w:color w:val="222222"/>
          <w:sz w:val="22"/>
          <w:szCs w:val="22"/>
          <w:shd w:val="clear" w:color="auto" w:fill="FFFFFF"/>
        </w:rPr>
        <w:t>Lukaszewski</w:t>
      </w:r>
      <w:proofErr w:type="spellEnd"/>
      <w:r w:rsidRPr="0043296D">
        <w:rPr>
          <w:rFonts w:cstheme="minorHAnsi"/>
          <w:color w:val="222222"/>
          <w:sz w:val="22"/>
          <w:szCs w:val="22"/>
          <w:shd w:val="clear" w:color="auto" w:fill="FFFFFF"/>
        </w:rPr>
        <w:t xml:space="preserve">, K.M., 2020. The benefits of </w:t>
      </w:r>
      <w:proofErr w:type="spellStart"/>
      <w:r w:rsidRPr="0043296D">
        <w:rPr>
          <w:rFonts w:cstheme="minorHAnsi"/>
          <w:color w:val="222222"/>
          <w:sz w:val="22"/>
          <w:szCs w:val="22"/>
          <w:shd w:val="clear" w:color="auto" w:fill="FFFFFF"/>
        </w:rPr>
        <w:t>eHRM</w:t>
      </w:r>
      <w:proofErr w:type="spellEnd"/>
      <w:r w:rsidRPr="0043296D">
        <w:rPr>
          <w:rFonts w:cstheme="minorHAnsi"/>
          <w:color w:val="222222"/>
          <w:sz w:val="22"/>
          <w:szCs w:val="22"/>
          <w:shd w:val="clear" w:color="auto" w:fill="FFFFFF"/>
        </w:rPr>
        <w:t xml:space="preserve"> and AI for talent acquisition. </w:t>
      </w:r>
      <w:r w:rsidRPr="0043296D">
        <w:rPr>
          <w:rFonts w:cstheme="minorHAnsi"/>
          <w:i/>
          <w:iCs/>
          <w:color w:val="222222"/>
          <w:sz w:val="22"/>
          <w:szCs w:val="22"/>
          <w:shd w:val="clear" w:color="auto" w:fill="FFFFFF"/>
        </w:rPr>
        <w:t>Journal of Tourism Futures</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7</w:t>
      </w:r>
      <w:r w:rsidRPr="0043296D">
        <w:rPr>
          <w:rFonts w:cstheme="minorHAnsi"/>
          <w:color w:val="222222"/>
          <w:sz w:val="22"/>
          <w:szCs w:val="22"/>
          <w:shd w:val="clear" w:color="auto" w:fill="FFFFFF"/>
        </w:rPr>
        <w:t>(1), pp.40-52</w:t>
      </w:r>
    </w:p>
    <w:p w14:paraId="557BB8A7" w14:textId="77777777" w:rsidR="00EF4E82" w:rsidRPr="0043296D" w:rsidRDefault="00EF4E82"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Gosselin, A., Werner, J.M. and Hallé, N., 1997. Ratee preferences concerning performance management and appraisal. </w:t>
      </w:r>
      <w:r w:rsidRPr="0043296D">
        <w:rPr>
          <w:rFonts w:cstheme="minorHAnsi"/>
          <w:i/>
          <w:iCs/>
          <w:color w:val="222222"/>
          <w:sz w:val="22"/>
          <w:szCs w:val="22"/>
          <w:shd w:val="clear" w:color="auto" w:fill="FFFFFF"/>
        </w:rPr>
        <w:t>Human Resource Development Quarterly</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8</w:t>
      </w:r>
      <w:r w:rsidRPr="0043296D">
        <w:rPr>
          <w:rFonts w:cstheme="minorHAnsi"/>
          <w:color w:val="222222"/>
          <w:sz w:val="22"/>
          <w:szCs w:val="22"/>
          <w:shd w:val="clear" w:color="auto" w:fill="FFFFFF"/>
        </w:rPr>
        <w:t>(4), pp.315-333</w:t>
      </w:r>
    </w:p>
    <w:p w14:paraId="0667D176" w14:textId="77777777" w:rsidR="00EF4E82" w:rsidRPr="0043296D" w:rsidRDefault="00EF4E82" w:rsidP="00CC15B1">
      <w:pPr>
        <w:pStyle w:val="ListParagraph"/>
        <w:numPr>
          <w:ilvl w:val="0"/>
          <w:numId w:val="3"/>
        </w:numPr>
        <w:rPr>
          <w:rFonts w:cstheme="minorHAnsi"/>
          <w:color w:val="222222"/>
          <w:sz w:val="22"/>
          <w:szCs w:val="22"/>
          <w:shd w:val="clear" w:color="auto" w:fill="FFFFFF"/>
        </w:rPr>
      </w:pPr>
      <w:r w:rsidRPr="0043296D">
        <w:rPr>
          <w:rFonts w:cstheme="minorHAnsi"/>
          <w:color w:val="000000"/>
          <w:sz w:val="22"/>
          <w:szCs w:val="22"/>
        </w:rPr>
        <w:t xml:space="preserve">"Exploring the Relationship Between HR Strategy assert that </w:t>
      </w:r>
      <w:proofErr w:type="gramStart"/>
      <w:r w:rsidRPr="0043296D">
        <w:rPr>
          <w:rFonts w:cstheme="minorHAnsi"/>
          <w:color w:val="000000"/>
          <w:sz w:val="22"/>
          <w:szCs w:val="22"/>
        </w:rPr>
        <w:t>the and</w:t>
      </w:r>
      <w:proofErr w:type="gramEnd"/>
      <w:r w:rsidRPr="0043296D">
        <w:rPr>
          <w:rFonts w:cstheme="minorHAnsi"/>
          <w:color w:val="000000"/>
          <w:sz w:val="22"/>
          <w:szCs w:val="22"/>
        </w:rPr>
        <w:t xml:space="preserve"> </w:t>
      </w:r>
      <w:proofErr w:type="spellStart"/>
      <w:r w:rsidRPr="0043296D">
        <w:rPr>
          <w:rFonts w:cstheme="minorHAnsi"/>
          <w:color w:val="000000"/>
          <w:sz w:val="22"/>
          <w:szCs w:val="22"/>
        </w:rPr>
        <w:t>Organisational</w:t>
      </w:r>
      <w:proofErr w:type="spellEnd"/>
      <w:r w:rsidRPr="0043296D">
        <w:rPr>
          <w:rFonts w:cstheme="minorHAnsi"/>
          <w:color w:val="000000"/>
          <w:sz w:val="22"/>
          <w:szCs w:val="22"/>
        </w:rPr>
        <w:t xml:space="preserve"> Performance in the Public Sector," Biron and Turnbull (2019)</w:t>
      </w:r>
    </w:p>
    <w:p w14:paraId="57DB59D5" w14:textId="77777777" w:rsidR="0040446D" w:rsidRPr="0043296D" w:rsidRDefault="00C979C0"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Pollitt, C. and </w:t>
      </w:r>
      <w:proofErr w:type="spellStart"/>
      <w:r w:rsidRPr="0043296D">
        <w:rPr>
          <w:rFonts w:cstheme="minorHAnsi"/>
          <w:color w:val="222222"/>
          <w:sz w:val="22"/>
          <w:szCs w:val="22"/>
          <w:shd w:val="clear" w:color="auto" w:fill="FFFFFF"/>
        </w:rPr>
        <w:t>Bouckaert</w:t>
      </w:r>
      <w:proofErr w:type="spellEnd"/>
      <w:r w:rsidRPr="0043296D">
        <w:rPr>
          <w:rFonts w:cstheme="minorHAnsi"/>
          <w:color w:val="222222"/>
          <w:sz w:val="22"/>
          <w:szCs w:val="22"/>
          <w:shd w:val="clear" w:color="auto" w:fill="FFFFFF"/>
        </w:rPr>
        <w:t>, G., 2017. </w:t>
      </w:r>
      <w:r w:rsidRPr="0043296D">
        <w:rPr>
          <w:rFonts w:cstheme="minorHAnsi"/>
          <w:i/>
          <w:iCs/>
          <w:color w:val="222222"/>
          <w:sz w:val="22"/>
          <w:szCs w:val="22"/>
          <w:shd w:val="clear" w:color="auto" w:fill="FFFFFF"/>
        </w:rPr>
        <w:t>Public management reform: A comparative analysis-into the age of austerity</w:t>
      </w:r>
      <w:r w:rsidRPr="0043296D">
        <w:rPr>
          <w:rFonts w:cstheme="minorHAnsi"/>
          <w:color w:val="222222"/>
          <w:sz w:val="22"/>
          <w:szCs w:val="22"/>
          <w:shd w:val="clear" w:color="auto" w:fill="FFFFFF"/>
        </w:rPr>
        <w:t>. Oxford university press</w:t>
      </w:r>
    </w:p>
    <w:p w14:paraId="1512228A" w14:textId="77777777" w:rsidR="00C979C0" w:rsidRPr="0043296D" w:rsidRDefault="00C979C0"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De Stefano, F., </w:t>
      </w:r>
      <w:proofErr w:type="spellStart"/>
      <w:r w:rsidRPr="0043296D">
        <w:rPr>
          <w:rFonts w:cstheme="minorHAnsi"/>
          <w:color w:val="222222"/>
          <w:sz w:val="22"/>
          <w:szCs w:val="22"/>
          <w:shd w:val="clear" w:color="auto" w:fill="FFFFFF"/>
        </w:rPr>
        <w:t>Bagdadli</w:t>
      </w:r>
      <w:proofErr w:type="spellEnd"/>
      <w:r w:rsidRPr="0043296D">
        <w:rPr>
          <w:rFonts w:cstheme="minorHAnsi"/>
          <w:color w:val="222222"/>
          <w:sz w:val="22"/>
          <w:szCs w:val="22"/>
          <w:shd w:val="clear" w:color="auto" w:fill="FFFFFF"/>
        </w:rPr>
        <w:t xml:space="preserve">, S. and </w:t>
      </w:r>
      <w:proofErr w:type="spellStart"/>
      <w:r w:rsidRPr="0043296D">
        <w:rPr>
          <w:rFonts w:cstheme="minorHAnsi"/>
          <w:color w:val="222222"/>
          <w:sz w:val="22"/>
          <w:szCs w:val="22"/>
          <w:shd w:val="clear" w:color="auto" w:fill="FFFFFF"/>
        </w:rPr>
        <w:t>Camuffo</w:t>
      </w:r>
      <w:proofErr w:type="spellEnd"/>
      <w:r w:rsidRPr="0043296D">
        <w:rPr>
          <w:rFonts w:cstheme="minorHAnsi"/>
          <w:color w:val="222222"/>
          <w:sz w:val="22"/>
          <w:szCs w:val="22"/>
          <w:shd w:val="clear" w:color="auto" w:fill="FFFFFF"/>
        </w:rPr>
        <w:t>, A., 2018. The HR role in corporate social responsibility and sustainability: A boundary‐shifting literature review. </w:t>
      </w:r>
      <w:r w:rsidRPr="0043296D">
        <w:rPr>
          <w:rFonts w:cstheme="minorHAnsi"/>
          <w:i/>
          <w:iCs/>
          <w:color w:val="222222"/>
          <w:sz w:val="22"/>
          <w:szCs w:val="22"/>
          <w:shd w:val="clear" w:color="auto" w:fill="FFFFFF"/>
        </w:rPr>
        <w:t>Human Resource Management</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57</w:t>
      </w:r>
      <w:r w:rsidRPr="0043296D">
        <w:rPr>
          <w:rFonts w:cstheme="minorHAnsi"/>
          <w:color w:val="222222"/>
          <w:sz w:val="22"/>
          <w:szCs w:val="22"/>
          <w:shd w:val="clear" w:color="auto" w:fill="FFFFFF"/>
        </w:rPr>
        <w:t>(2), pp.549-566</w:t>
      </w:r>
    </w:p>
    <w:p w14:paraId="73C3B9A8" w14:textId="77777777" w:rsidR="00C979C0" w:rsidRPr="0043296D" w:rsidRDefault="007A419E" w:rsidP="00CC15B1">
      <w:pPr>
        <w:pStyle w:val="ListParagraph"/>
        <w:numPr>
          <w:ilvl w:val="0"/>
          <w:numId w:val="3"/>
        </w:numPr>
        <w:rPr>
          <w:rFonts w:cstheme="minorHAnsi"/>
          <w:color w:val="222222"/>
          <w:sz w:val="22"/>
          <w:szCs w:val="22"/>
          <w:shd w:val="clear" w:color="auto" w:fill="FFFFFF"/>
        </w:rPr>
      </w:pPr>
      <w:proofErr w:type="spellStart"/>
      <w:r w:rsidRPr="0043296D">
        <w:rPr>
          <w:rFonts w:cstheme="minorHAnsi"/>
          <w:color w:val="222222"/>
          <w:sz w:val="22"/>
          <w:szCs w:val="22"/>
          <w:shd w:val="clear" w:color="auto" w:fill="FFFFFF"/>
        </w:rPr>
        <w:t>Sitko</w:t>
      </w:r>
      <w:proofErr w:type="spellEnd"/>
      <w:r w:rsidRPr="0043296D">
        <w:rPr>
          <w:rFonts w:cstheme="minorHAnsi"/>
          <w:color w:val="222222"/>
          <w:sz w:val="22"/>
          <w:szCs w:val="22"/>
          <w:shd w:val="clear" w:color="auto" w:fill="FFFFFF"/>
        </w:rPr>
        <w:t>, R., 2023. </w:t>
      </w:r>
      <w:r w:rsidRPr="0043296D">
        <w:rPr>
          <w:rFonts w:cstheme="minorHAnsi"/>
          <w:i/>
          <w:iCs/>
          <w:color w:val="222222"/>
          <w:sz w:val="22"/>
          <w:szCs w:val="22"/>
          <w:shd w:val="clear" w:color="auto" w:fill="FFFFFF"/>
        </w:rPr>
        <w:t xml:space="preserve">Sustainable Human Resource Management: Using HRM to achieve long-term social, </w:t>
      </w:r>
      <w:proofErr w:type="gramStart"/>
      <w:r w:rsidRPr="0043296D">
        <w:rPr>
          <w:rFonts w:cstheme="minorHAnsi"/>
          <w:i/>
          <w:iCs/>
          <w:color w:val="222222"/>
          <w:sz w:val="22"/>
          <w:szCs w:val="22"/>
          <w:shd w:val="clear" w:color="auto" w:fill="FFFFFF"/>
        </w:rPr>
        <w:t>environmental</w:t>
      </w:r>
      <w:proofErr w:type="gramEnd"/>
      <w:r w:rsidRPr="0043296D">
        <w:rPr>
          <w:rFonts w:cstheme="minorHAnsi"/>
          <w:i/>
          <w:iCs/>
          <w:color w:val="222222"/>
          <w:sz w:val="22"/>
          <w:szCs w:val="22"/>
          <w:shd w:val="clear" w:color="auto" w:fill="FFFFFF"/>
        </w:rPr>
        <w:t xml:space="preserve"> and business goals</w:t>
      </w:r>
      <w:r w:rsidRPr="0043296D">
        <w:rPr>
          <w:rFonts w:cstheme="minorHAnsi"/>
          <w:color w:val="222222"/>
          <w:sz w:val="22"/>
          <w:szCs w:val="22"/>
          <w:shd w:val="clear" w:color="auto" w:fill="FFFFFF"/>
        </w:rPr>
        <w:t>. Kogan Page Publishers</w:t>
      </w:r>
    </w:p>
    <w:p w14:paraId="36B664B5" w14:textId="77777777" w:rsidR="007A419E" w:rsidRDefault="0043296D" w:rsidP="00CC15B1">
      <w:pPr>
        <w:pStyle w:val="ListParagraph"/>
        <w:numPr>
          <w:ilvl w:val="0"/>
          <w:numId w:val="3"/>
        </w:numPr>
        <w:rPr>
          <w:rFonts w:cstheme="minorHAnsi"/>
          <w:color w:val="222222"/>
          <w:sz w:val="22"/>
          <w:szCs w:val="22"/>
          <w:shd w:val="clear" w:color="auto" w:fill="FFFFFF"/>
        </w:rPr>
      </w:pPr>
      <w:r w:rsidRPr="0043296D">
        <w:rPr>
          <w:rFonts w:cstheme="minorHAnsi"/>
          <w:color w:val="222222"/>
          <w:sz w:val="22"/>
          <w:szCs w:val="22"/>
          <w:shd w:val="clear" w:color="auto" w:fill="FFFFFF"/>
        </w:rPr>
        <w:t xml:space="preserve">Wu, Y., </w:t>
      </w:r>
      <w:proofErr w:type="spellStart"/>
      <w:r w:rsidRPr="0043296D">
        <w:rPr>
          <w:rFonts w:cstheme="minorHAnsi"/>
          <w:color w:val="222222"/>
          <w:sz w:val="22"/>
          <w:szCs w:val="22"/>
          <w:shd w:val="clear" w:color="auto" w:fill="FFFFFF"/>
        </w:rPr>
        <w:t>Levis</w:t>
      </w:r>
      <w:proofErr w:type="spellEnd"/>
      <w:r w:rsidRPr="0043296D">
        <w:rPr>
          <w:rFonts w:cstheme="minorHAnsi"/>
          <w:color w:val="222222"/>
          <w:sz w:val="22"/>
          <w:szCs w:val="22"/>
          <w:shd w:val="clear" w:color="auto" w:fill="FFFFFF"/>
        </w:rPr>
        <w:t xml:space="preserve">, B., </w:t>
      </w:r>
      <w:proofErr w:type="spellStart"/>
      <w:r w:rsidRPr="0043296D">
        <w:rPr>
          <w:rFonts w:cstheme="minorHAnsi"/>
          <w:color w:val="222222"/>
          <w:sz w:val="22"/>
          <w:szCs w:val="22"/>
          <w:shd w:val="clear" w:color="auto" w:fill="FFFFFF"/>
        </w:rPr>
        <w:t>Riehm</w:t>
      </w:r>
      <w:proofErr w:type="spellEnd"/>
      <w:r w:rsidRPr="0043296D">
        <w:rPr>
          <w:rFonts w:cstheme="minorHAnsi"/>
          <w:color w:val="222222"/>
          <w:sz w:val="22"/>
          <w:szCs w:val="22"/>
          <w:shd w:val="clear" w:color="auto" w:fill="FFFFFF"/>
        </w:rPr>
        <w:t xml:space="preserve">, K.E., Saadat, N., </w:t>
      </w:r>
      <w:proofErr w:type="spellStart"/>
      <w:r w:rsidRPr="0043296D">
        <w:rPr>
          <w:rFonts w:cstheme="minorHAnsi"/>
          <w:color w:val="222222"/>
          <w:sz w:val="22"/>
          <w:szCs w:val="22"/>
          <w:shd w:val="clear" w:color="auto" w:fill="FFFFFF"/>
        </w:rPr>
        <w:t>Levis</w:t>
      </w:r>
      <w:proofErr w:type="spellEnd"/>
      <w:r w:rsidRPr="0043296D">
        <w:rPr>
          <w:rFonts w:cstheme="minorHAnsi"/>
          <w:color w:val="222222"/>
          <w:sz w:val="22"/>
          <w:szCs w:val="22"/>
          <w:shd w:val="clear" w:color="auto" w:fill="FFFFFF"/>
        </w:rPr>
        <w:t xml:space="preserve">, A.W., Azar, M., Rice, D.B., </w:t>
      </w:r>
      <w:proofErr w:type="spellStart"/>
      <w:r w:rsidRPr="0043296D">
        <w:rPr>
          <w:rFonts w:cstheme="minorHAnsi"/>
          <w:color w:val="222222"/>
          <w:sz w:val="22"/>
          <w:szCs w:val="22"/>
          <w:shd w:val="clear" w:color="auto" w:fill="FFFFFF"/>
        </w:rPr>
        <w:t>Boruff</w:t>
      </w:r>
      <w:proofErr w:type="spellEnd"/>
      <w:r w:rsidRPr="0043296D">
        <w:rPr>
          <w:rFonts w:cstheme="minorHAnsi"/>
          <w:color w:val="222222"/>
          <w:sz w:val="22"/>
          <w:szCs w:val="22"/>
          <w:shd w:val="clear" w:color="auto" w:fill="FFFFFF"/>
        </w:rPr>
        <w:t xml:space="preserve">, J., </w:t>
      </w:r>
      <w:proofErr w:type="spellStart"/>
      <w:r w:rsidRPr="0043296D">
        <w:rPr>
          <w:rFonts w:cstheme="minorHAnsi"/>
          <w:color w:val="222222"/>
          <w:sz w:val="22"/>
          <w:szCs w:val="22"/>
          <w:shd w:val="clear" w:color="auto" w:fill="FFFFFF"/>
        </w:rPr>
        <w:t>Cuijpers</w:t>
      </w:r>
      <w:proofErr w:type="spellEnd"/>
      <w:r w:rsidRPr="0043296D">
        <w:rPr>
          <w:rFonts w:cstheme="minorHAnsi"/>
          <w:color w:val="222222"/>
          <w:sz w:val="22"/>
          <w:szCs w:val="22"/>
          <w:shd w:val="clear" w:color="auto" w:fill="FFFFFF"/>
        </w:rPr>
        <w:t xml:space="preserve">, P., </w:t>
      </w:r>
      <w:proofErr w:type="spellStart"/>
      <w:r w:rsidRPr="0043296D">
        <w:rPr>
          <w:rFonts w:cstheme="minorHAnsi"/>
          <w:color w:val="222222"/>
          <w:sz w:val="22"/>
          <w:szCs w:val="22"/>
          <w:shd w:val="clear" w:color="auto" w:fill="FFFFFF"/>
        </w:rPr>
        <w:t>Gilbody</w:t>
      </w:r>
      <w:proofErr w:type="spellEnd"/>
      <w:r w:rsidRPr="0043296D">
        <w:rPr>
          <w:rFonts w:cstheme="minorHAnsi"/>
          <w:color w:val="222222"/>
          <w:sz w:val="22"/>
          <w:szCs w:val="22"/>
          <w:shd w:val="clear" w:color="auto" w:fill="FFFFFF"/>
        </w:rPr>
        <w:t>, S. and Ioannidis, J.P., 2020. Equivalency of the diagnostic accuracy of the PHQ-8 and PHQ-9: a systematic review and individual participant data meta-analysis. </w:t>
      </w:r>
      <w:r w:rsidRPr="0043296D">
        <w:rPr>
          <w:rFonts w:cstheme="minorHAnsi"/>
          <w:i/>
          <w:iCs/>
          <w:color w:val="222222"/>
          <w:sz w:val="22"/>
          <w:szCs w:val="22"/>
          <w:shd w:val="clear" w:color="auto" w:fill="FFFFFF"/>
        </w:rPr>
        <w:t>Psychological medicine</w:t>
      </w:r>
      <w:r w:rsidRPr="0043296D">
        <w:rPr>
          <w:rFonts w:cstheme="minorHAnsi"/>
          <w:color w:val="222222"/>
          <w:sz w:val="22"/>
          <w:szCs w:val="22"/>
          <w:shd w:val="clear" w:color="auto" w:fill="FFFFFF"/>
        </w:rPr>
        <w:t>, </w:t>
      </w:r>
      <w:r w:rsidRPr="0043296D">
        <w:rPr>
          <w:rFonts w:cstheme="minorHAnsi"/>
          <w:i/>
          <w:iCs/>
          <w:color w:val="222222"/>
          <w:sz w:val="22"/>
          <w:szCs w:val="22"/>
          <w:shd w:val="clear" w:color="auto" w:fill="FFFFFF"/>
        </w:rPr>
        <w:t>50</w:t>
      </w:r>
      <w:r w:rsidRPr="0043296D">
        <w:rPr>
          <w:rFonts w:cstheme="minorHAnsi"/>
          <w:color w:val="222222"/>
          <w:sz w:val="22"/>
          <w:szCs w:val="22"/>
          <w:shd w:val="clear" w:color="auto" w:fill="FFFFFF"/>
        </w:rPr>
        <w:t>(8), pp.1368-1380</w:t>
      </w:r>
    </w:p>
    <w:p w14:paraId="0E424534" w14:textId="77777777" w:rsidR="00616E22" w:rsidRPr="00616E22" w:rsidRDefault="00616E22" w:rsidP="00CC15B1">
      <w:pPr>
        <w:pStyle w:val="ListParagraph"/>
        <w:numPr>
          <w:ilvl w:val="0"/>
          <w:numId w:val="3"/>
        </w:numPr>
        <w:rPr>
          <w:rFonts w:cstheme="minorHAnsi"/>
          <w:color w:val="222222"/>
          <w:sz w:val="22"/>
          <w:szCs w:val="22"/>
          <w:shd w:val="clear" w:color="auto" w:fill="FFFFFF"/>
        </w:rPr>
      </w:pPr>
      <w:r w:rsidRPr="00D44FCC">
        <w:rPr>
          <w:rFonts w:ascii="Calibri" w:hAnsi="Calibri" w:cs="Calibri"/>
          <w:color w:val="000000"/>
          <w:sz w:val="22"/>
          <w:szCs w:val="22"/>
        </w:rPr>
        <w:t>"Armstrong's Handbook of Performance Management," Armstrong and Taylor (2017)</w:t>
      </w:r>
    </w:p>
    <w:p w14:paraId="1F65A061" w14:textId="77777777" w:rsidR="00616E22" w:rsidRDefault="00292D96" w:rsidP="00CC15B1">
      <w:pPr>
        <w:pStyle w:val="ListParagraph"/>
        <w:numPr>
          <w:ilvl w:val="0"/>
          <w:numId w:val="3"/>
        </w:numPr>
        <w:rPr>
          <w:rFonts w:cstheme="minorHAnsi"/>
          <w:color w:val="222222"/>
          <w:sz w:val="22"/>
          <w:szCs w:val="22"/>
          <w:shd w:val="clear" w:color="auto" w:fill="FFFFFF"/>
        </w:rPr>
      </w:pPr>
      <w:r w:rsidRPr="00292D96">
        <w:rPr>
          <w:rFonts w:cstheme="minorHAnsi"/>
          <w:color w:val="222222"/>
          <w:sz w:val="22"/>
          <w:szCs w:val="22"/>
          <w:shd w:val="clear" w:color="auto" w:fill="FFFFFF"/>
        </w:rPr>
        <w:t xml:space="preserve">Bell, B.S., Tannenbaum, S.I., Ford, J.K., Noe, R.A. and </w:t>
      </w:r>
      <w:proofErr w:type="spellStart"/>
      <w:r w:rsidRPr="00292D96">
        <w:rPr>
          <w:rFonts w:cstheme="minorHAnsi"/>
          <w:color w:val="222222"/>
          <w:sz w:val="22"/>
          <w:szCs w:val="22"/>
          <w:shd w:val="clear" w:color="auto" w:fill="FFFFFF"/>
        </w:rPr>
        <w:t>Kraiger</w:t>
      </w:r>
      <w:proofErr w:type="spellEnd"/>
      <w:r w:rsidRPr="00292D96">
        <w:rPr>
          <w:rFonts w:cstheme="minorHAnsi"/>
          <w:color w:val="222222"/>
          <w:sz w:val="22"/>
          <w:szCs w:val="22"/>
          <w:shd w:val="clear" w:color="auto" w:fill="FFFFFF"/>
        </w:rPr>
        <w:t>, K., 2017. 100 years of training and development research: What we know and where we should go. </w:t>
      </w:r>
      <w:r w:rsidRPr="00292D96">
        <w:rPr>
          <w:rFonts w:cstheme="minorHAnsi"/>
          <w:i/>
          <w:iCs/>
          <w:color w:val="222222"/>
          <w:sz w:val="22"/>
          <w:szCs w:val="22"/>
          <w:shd w:val="clear" w:color="auto" w:fill="FFFFFF"/>
        </w:rPr>
        <w:t>Journal of Applied Psychology</w:t>
      </w:r>
      <w:r w:rsidRPr="00292D96">
        <w:rPr>
          <w:rFonts w:cstheme="minorHAnsi"/>
          <w:color w:val="222222"/>
          <w:sz w:val="22"/>
          <w:szCs w:val="22"/>
          <w:shd w:val="clear" w:color="auto" w:fill="FFFFFF"/>
        </w:rPr>
        <w:t>, </w:t>
      </w:r>
      <w:r w:rsidRPr="00292D96">
        <w:rPr>
          <w:rFonts w:cstheme="minorHAnsi"/>
          <w:i/>
          <w:iCs/>
          <w:color w:val="222222"/>
          <w:sz w:val="22"/>
          <w:szCs w:val="22"/>
          <w:shd w:val="clear" w:color="auto" w:fill="FFFFFF"/>
        </w:rPr>
        <w:t>102</w:t>
      </w:r>
      <w:r w:rsidRPr="00292D96">
        <w:rPr>
          <w:rFonts w:cstheme="minorHAnsi"/>
          <w:color w:val="222222"/>
          <w:sz w:val="22"/>
          <w:szCs w:val="22"/>
          <w:shd w:val="clear" w:color="auto" w:fill="FFFFFF"/>
        </w:rPr>
        <w:t>(3), p.305</w:t>
      </w:r>
    </w:p>
    <w:p w14:paraId="18C65D77" w14:textId="77777777" w:rsidR="00292D96" w:rsidRDefault="00F76A8C" w:rsidP="00CC15B1">
      <w:pPr>
        <w:pStyle w:val="ListParagraph"/>
        <w:numPr>
          <w:ilvl w:val="0"/>
          <w:numId w:val="3"/>
        </w:numPr>
        <w:rPr>
          <w:rFonts w:cstheme="minorHAnsi"/>
          <w:color w:val="222222"/>
          <w:sz w:val="22"/>
          <w:szCs w:val="22"/>
          <w:shd w:val="clear" w:color="auto" w:fill="FFFFFF"/>
        </w:rPr>
      </w:pPr>
      <w:proofErr w:type="spellStart"/>
      <w:r w:rsidRPr="00F76A8C">
        <w:rPr>
          <w:rFonts w:cstheme="minorHAnsi"/>
          <w:color w:val="222222"/>
          <w:sz w:val="22"/>
          <w:szCs w:val="22"/>
          <w:shd w:val="clear" w:color="auto" w:fill="FFFFFF"/>
        </w:rPr>
        <w:lastRenderedPageBreak/>
        <w:t>Çalişkan</w:t>
      </w:r>
      <w:proofErr w:type="spellEnd"/>
      <w:r w:rsidRPr="00F76A8C">
        <w:rPr>
          <w:rFonts w:cstheme="minorHAnsi"/>
          <w:color w:val="222222"/>
          <w:sz w:val="22"/>
          <w:szCs w:val="22"/>
          <w:shd w:val="clear" w:color="auto" w:fill="FFFFFF"/>
        </w:rPr>
        <w:t>, E.N., 2010. The impact of strategic human resource management on organizational performance. </w:t>
      </w:r>
      <w:r w:rsidRPr="00F76A8C">
        <w:rPr>
          <w:rFonts w:cstheme="minorHAnsi"/>
          <w:i/>
          <w:iCs/>
          <w:color w:val="222222"/>
          <w:sz w:val="22"/>
          <w:szCs w:val="22"/>
          <w:shd w:val="clear" w:color="auto" w:fill="FFFFFF"/>
        </w:rPr>
        <w:t>Journal of Naval Sciences and Engineering</w:t>
      </w:r>
      <w:r w:rsidRPr="00F76A8C">
        <w:rPr>
          <w:rFonts w:cstheme="minorHAnsi"/>
          <w:color w:val="222222"/>
          <w:sz w:val="22"/>
          <w:szCs w:val="22"/>
          <w:shd w:val="clear" w:color="auto" w:fill="FFFFFF"/>
        </w:rPr>
        <w:t>, </w:t>
      </w:r>
      <w:r w:rsidRPr="00F76A8C">
        <w:rPr>
          <w:rFonts w:cstheme="minorHAnsi"/>
          <w:i/>
          <w:iCs/>
          <w:color w:val="222222"/>
          <w:sz w:val="22"/>
          <w:szCs w:val="22"/>
          <w:shd w:val="clear" w:color="auto" w:fill="FFFFFF"/>
        </w:rPr>
        <w:t>6</w:t>
      </w:r>
      <w:r w:rsidRPr="00F76A8C">
        <w:rPr>
          <w:rFonts w:cstheme="minorHAnsi"/>
          <w:color w:val="222222"/>
          <w:sz w:val="22"/>
          <w:szCs w:val="22"/>
          <w:shd w:val="clear" w:color="auto" w:fill="FFFFFF"/>
        </w:rPr>
        <w:t>(2), pp.100-116</w:t>
      </w:r>
    </w:p>
    <w:p w14:paraId="0CFC68DD" w14:textId="77777777" w:rsidR="00531101" w:rsidRDefault="00531101" w:rsidP="00CC15B1">
      <w:pPr>
        <w:pStyle w:val="ListParagraph"/>
        <w:numPr>
          <w:ilvl w:val="0"/>
          <w:numId w:val="3"/>
        </w:numPr>
        <w:rPr>
          <w:rFonts w:cstheme="minorHAnsi"/>
          <w:color w:val="222222"/>
          <w:sz w:val="22"/>
          <w:szCs w:val="22"/>
          <w:shd w:val="clear" w:color="auto" w:fill="FFFFFF"/>
        </w:rPr>
      </w:pPr>
      <w:proofErr w:type="spellStart"/>
      <w:r w:rsidRPr="00531101">
        <w:rPr>
          <w:rFonts w:cstheme="minorHAnsi"/>
          <w:color w:val="222222"/>
          <w:sz w:val="22"/>
          <w:szCs w:val="22"/>
          <w:shd w:val="clear" w:color="auto" w:fill="FFFFFF"/>
        </w:rPr>
        <w:t>Sitko</w:t>
      </w:r>
      <w:proofErr w:type="spellEnd"/>
      <w:r w:rsidRPr="00531101">
        <w:rPr>
          <w:rFonts w:cstheme="minorHAnsi"/>
          <w:color w:val="222222"/>
          <w:sz w:val="22"/>
          <w:szCs w:val="22"/>
          <w:shd w:val="clear" w:color="auto" w:fill="FFFFFF"/>
        </w:rPr>
        <w:t>, R., 2023. </w:t>
      </w:r>
      <w:r w:rsidRPr="00531101">
        <w:rPr>
          <w:rFonts w:cstheme="minorHAnsi"/>
          <w:i/>
          <w:iCs/>
          <w:color w:val="222222"/>
          <w:sz w:val="22"/>
          <w:szCs w:val="22"/>
          <w:shd w:val="clear" w:color="auto" w:fill="FFFFFF"/>
        </w:rPr>
        <w:t xml:space="preserve">Sustainable Human Resource Management: Using HRM to achieve long-term social, </w:t>
      </w:r>
      <w:proofErr w:type="gramStart"/>
      <w:r w:rsidRPr="00531101">
        <w:rPr>
          <w:rFonts w:cstheme="minorHAnsi"/>
          <w:i/>
          <w:iCs/>
          <w:color w:val="222222"/>
          <w:sz w:val="22"/>
          <w:szCs w:val="22"/>
          <w:shd w:val="clear" w:color="auto" w:fill="FFFFFF"/>
        </w:rPr>
        <w:t>environmental</w:t>
      </w:r>
      <w:proofErr w:type="gramEnd"/>
      <w:r w:rsidRPr="00531101">
        <w:rPr>
          <w:rFonts w:cstheme="minorHAnsi"/>
          <w:i/>
          <w:iCs/>
          <w:color w:val="222222"/>
          <w:sz w:val="22"/>
          <w:szCs w:val="22"/>
          <w:shd w:val="clear" w:color="auto" w:fill="FFFFFF"/>
        </w:rPr>
        <w:t xml:space="preserve"> and business goals</w:t>
      </w:r>
      <w:r w:rsidRPr="00531101">
        <w:rPr>
          <w:rFonts w:cstheme="minorHAnsi"/>
          <w:color w:val="222222"/>
          <w:sz w:val="22"/>
          <w:szCs w:val="22"/>
          <w:shd w:val="clear" w:color="auto" w:fill="FFFFFF"/>
        </w:rPr>
        <w:t>. Kogan Page Publishers</w:t>
      </w:r>
    </w:p>
    <w:p w14:paraId="4A4F9677" w14:textId="77777777" w:rsidR="00531101" w:rsidRDefault="00531101" w:rsidP="00CC15B1">
      <w:pPr>
        <w:pStyle w:val="ListParagraph"/>
        <w:numPr>
          <w:ilvl w:val="0"/>
          <w:numId w:val="3"/>
        </w:numPr>
        <w:rPr>
          <w:rFonts w:cstheme="minorHAnsi"/>
          <w:color w:val="222222"/>
          <w:sz w:val="22"/>
          <w:szCs w:val="22"/>
          <w:shd w:val="clear" w:color="auto" w:fill="FFFFFF"/>
        </w:rPr>
      </w:pPr>
      <w:proofErr w:type="spellStart"/>
      <w:r w:rsidRPr="00531101">
        <w:rPr>
          <w:rFonts w:cstheme="minorHAnsi"/>
          <w:color w:val="222222"/>
          <w:sz w:val="22"/>
          <w:szCs w:val="22"/>
          <w:shd w:val="clear" w:color="auto" w:fill="FFFFFF"/>
        </w:rPr>
        <w:t>Mutonyi</w:t>
      </w:r>
      <w:proofErr w:type="spellEnd"/>
      <w:r w:rsidRPr="00531101">
        <w:rPr>
          <w:rFonts w:cstheme="minorHAnsi"/>
          <w:color w:val="222222"/>
          <w:sz w:val="22"/>
          <w:szCs w:val="22"/>
          <w:shd w:val="clear" w:color="auto" w:fill="FFFFFF"/>
        </w:rPr>
        <w:t xml:space="preserve">, B.R., </w:t>
      </w:r>
      <w:proofErr w:type="spellStart"/>
      <w:r w:rsidRPr="00531101">
        <w:rPr>
          <w:rFonts w:cstheme="minorHAnsi"/>
          <w:color w:val="222222"/>
          <w:sz w:val="22"/>
          <w:szCs w:val="22"/>
          <w:shd w:val="clear" w:color="auto" w:fill="FFFFFF"/>
        </w:rPr>
        <w:t>Slåtten</w:t>
      </w:r>
      <w:proofErr w:type="spellEnd"/>
      <w:r w:rsidRPr="00531101">
        <w:rPr>
          <w:rFonts w:cstheme="minorHAnsi"/>
          <w:color w:val="222222"/>
          <w:sz w:val="22"/>
          <w:szCs w:val="22"/>
          <w:shd w:val="clear" w:color="auto" w:fill="FFFFFF"/>
        </w:rPr>
        <w:t>, T. and Lien, G., 2020. Organizational climate and creative performance in the public sector. </w:t>
      </w:r>
      <w:r w:rsidRPr="00531101">
        <w:rPr>
          <w:rFonts w:cstheme="minorHAnsi"/>
          <w:i/>
          <w:iCs/>
          <w:color w:val="222222"/>
          <w:sz w:val="22"/>
          <w:szCs w:val="22"/>
          <w:shd w:val="clear" w:color="auto" w:fill="FFFFFF"/>
        </w:rPr>
        <w:t>European Business Review</w:t>
      </w:r>
      <w:r w:rsidRPr="00531101">
        <w:rPr>
          <w:rFonts w:cstheme="minorHAnsi"/>
          <w:color w:val="222222"/>
          <w:sz w:val="22"/>
          <w:szCs w:val="22"/>
          <w:shd w:val="clear" w:color="auto" w:fill="FFFFFF"/>
        </w:rPr>
        <w:t>, </w:t>
      </w:r>
      <w:r w:rsidRPr="00531101">
        <w:rPr>
          <w:rFonts w:cstheme="minorHAnsi"/>
          <w:i/>
          <w:iCs/>
          <w:color w:val="222222"/>
          <w:sz w:val="22"/>
          <w:szCs w:val="22"/>
          <w:shd w:val="clear" w:color="auto" w:fill="FFFFFF"/>
        </w:rPr>
        <w:t>32</w:t>
      </w:r>
      <w:r w:rsidRPr="00531101">
        <w:rPr>
          <w:rFonts w:cstheme="minorHAnsi"/>
          <w:color w:val="222222"/>
          <w:sz w:val="22"/>
          <w:szCs w:val="22"/>
          <w:shd w:val="clear" w:color="auto" w:fill="FFFFFF"/>
        </w:rPr>
        <w:t>(4), pp.615-631.</w:t>
      </w:r>
    </w:p>
    <w:p w14:paraId="6A4C2533" w14:textId="77777777" w:rsidR="00531101" w:rsidRDefault="00895F2B" w:rsidP="00CC15B1">
      <w:pPr>
        <w:pStyle w:val="ListParagraph"/>
        <w:numPr>
          <w:ilvl w:val="0"/>
          <w:numId w:val="3"/>
        </w:numPr>
        <w:rPr>
          <w:rFonts w:cstheme="minorHAnsi"/>
          <w:color w:val="222222"/>
          <w:sz w:val="22"/>
          <w:szCs w:val="22"/>
          <w:shd w:val="clear" w:color="auto" w:fill="FFFFFF"/>
        </w:rPr>
      </w:pPr>
      <w:r w:rsidRPr="00895F2B">
        <w:rPr>
          <w:rFonts w:cstheme="minorHAnsi"/>
          <w:color w:val="222222"/>
          <w:sz w:val="22"/>
          <w:szCs w:val="22"/>
          <w:shd w:val="clear" w:color="auto" w:fill="FFFFFF"/>
        </w:rPr>
        <w:t>Guo, Y., Peng, Y. and Zhu, Y., 2022. How does empowering leadership motivate employee innovative behavior: a job characteristics perspective. </w:t>
      </w:r>
      <w:r w:rsidRPr="00895F2B">
        <w:rPr>
          <w:rFonts w:cstheme="minorHAnsi"/>
          <w:i/>
          <w:iCs/>
          <w:color w:val="222222"/>
          <w:sz w:val="22"/>
          <w:szCs w:val="22"/>
          <w:shd w:val="clear" w:color="auto" w:fill="FFFFFF"/>
        </w:rPr>
        <w:t>Current Psychology</w:t>
      </w:r>
      <w:r w:rsidRPr="00895F2B">
        <w:rPr>
          <w:rFonts w:cstheme="minorHAnsi"/>
          <w:color w:val="222222"/>
          <w:sz w:val="22"/>
          <w:szCs w:val="22"/>
          <w:shd w:val="clear" w:color="auto" w:fill="FFFFFF"/>
        </w:rPr>
        <w:t>, pp.1-11</w:t>
      </w:r>
    </w:p>
    <w:p w14:paraId="063C0ACB" w14:textId="77777777" w:rsidR="00895F2B" w:rsidRPr="0043296D" w:rsidRDefault="00895F2B" w:rsidP="00CC15B1">
      <w:pPr>
        <w:pStyle w:val="ListParagraph"/>
        <w:numPr>
          <w:ilvl w:val="0"/>
          <w:numId w:val="3"/>
        </w:numPr>
        <w:rPr>
          <w:rFonts w:cstheme="minorHAnsi"/>
          <w:color w:val="222222"/>
          <w:sz w:val="22"/>
          <w:szCs w:val="22"/>
          <w:shd w:val="clear" w:color="auto" w:fill="FFFFFF"/>
        </w:rPr>
      </w:pPr>
      <w:r w:rsidRPr="00895F2B">
        <w:rPr>
          <w:rFonts w:cstheme="minorHAnsi"/>
          <w:color w:val="222222"/>
          <w:sz w:val="22"/>
          <w:szCs w:val="22"/>
          <w:shd w:val="clear" w:color="auto" w:fill="FFFFFF"/>
        </w:rPr>
        <w:t xml:space="preserve">Jiang, K., </w:t>
      </w:r>
      <w:proofErr w:type="spellStart"/>
      <w:r w:rsidRPr="00895F2B">
        <w:rPr>
          <w:rFonts w:cstheme="minorHAnsi"/>
          <w:color w:val="222222"/>
          <w:sz w:val="22"/>
          <w:szCs w:val="22"/>
          <w:shd w:val="clear" w:color="auto" w:fill="FFFFFF"/>
        </w:rPr>
        <w:t>Lepak</w:t>
      </w:r>
      <w:proofErr w:type="spellEnd"/>
      <w:r w:rsidRPr="00895F2B">
        <w:rPr>
          <w:rFonts w:cstheme="minorHAnsi"/>
          <w:color w:val="222222"/>
          <w:sz w:val="22"/>
          <w:szCs w:val="22"/>
          <w:shd w:val="clear" w:color="auto" w:fill="FFFFFF"/>
        </w:rPr>
        <w:t>, D.P., Hu, J. and Baer, J.C., 2012. How does human resource management influence organizational outcomes? A meta-analytic investigation of mediating mechanisms. </w:t>
      </w:r>
      <w:r w:rsidRPr="00895F2B">
        <w:rPr>
          <w:rFonts w:cstheme="minorHAnsi"/>
          <w:i/>
          <w:iCs/>
          <w:color w:val="222222"/>
          <w:sz w:val="22"/>
          <w:szCs w:val="22"/>
          <w:shd w:val="clear" w:color="auto" w:fill="FFFFFF"/>
        </w:rPr>
        <w:t>Academy of management Journal</w:t>
      </w:r>
      <w:r w:rsidRPr="00895F2B">
        <w:rPr>
          <w:rFonts w:cstheme="minorHAnsi"/>
          <w:color w:val="222222"/>
          <w:sz w:val="22"/>
          <w:szCs w:val="22"/>
          <w:shd w:val="clear" w:color="auto" w:fill="FFFFFF"/>
        </w:rPr>
        <w:t>, </w:t>
      </w:r>
      <w:r w:rsidRPr="00895F2B">
        <w:rPr>
          <w:rFonts w:cstheme="minorHAnsi"/>
          <w:i/>
          <w:iCs/>
          <w:color w:val="222222"/>
          <w:sz w:val="22"/>
          <w:szCs w:val="22"/>
          <w:shd w:val="clear" w:color="auto" w:fill="FFFFFF"/>
        </w:rPr>
        <w:t>55</w:t>
      </w:r>
      <w:r w:rsidRPr="00895F2B">
        <w:rPr>
          <w:rFonts w:cstheme="minorHAnsi"/>
          <w:color w:val="222222"/>
          <w:sz w:val="22"/>
          <w:szCs w:val="22"/>
          <w:shd w:val="clear" w:color="auto" w:fill="FFFFFF"/>
        </w:rPr>
        <w:t>(6), pp.1264-1294</w:t>
      </w:r>
    </w:p>
    <w:p w14:paraId="4876CB7D" w14:textId="77777777" w:rsidR="00996B86" w:rsidRPr="0043296D" w:rsidRDefault="00996B86">
      <w:pPr>
        <w:pStyle w:val="ListParagraph"/>
        <w:numPr>
          <w:ilvl w:val="0"/>
          <w:numId w:val="3"/>
        </w:numPr>
        <w:rPr>
          <w:rFonts w:cstheme="minorHAnsi"/>
          <w:color w:val="222222"/>
          <w:sz w:val="22"/>
          <w:szCs w:val="22"/>
          <w:shd w:val="clear" w:color="auto" w:fill="FFFFFF"/>
        </w:rPr>
      </w:pPr>
    </w:p>
    <w:sectPr w:rsidR="00996B86" w:rsidRPr="0043296D" w:rsidSect="0041272D">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ans-serif">
    <w:altName w:val="AMGDT"/>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EEEF8B1"/>
    <w:multiLevelType w:val="multilevel"/>
    <w:tmpl w:val="AEEEF8B1"/>
    <w:lvl w:ilvl="0">
      <w:start w:val="1"/>
      <w:numFmt w:val="bullet"/>
      <w:lvlText w:val=""/>
      <w:lvlJc w:val="left"/>
      <w:pPr>
        <w:tabs>
          <w:tab w:val="left" w:pos="927"/>
        </w:tabs>
        <w:ind w:left="927" w:hanging="360"/>
      </w:pPr>
      <w:rPr>
        <w:rFonts w:ascii="Symbol" w:hAnsi="Symbol" w:cs="Symbol" w:hint="default"/>
        <w:sz w:val="20"/>
      </w:rPr>
    </w:lvl>
    <w:lvl w:ilvl="1">
      <w:start w:val="1"/>
      <w:numFmt w:val="bullet"/>
      <w:lvlText w:val=""/>
      <w:lvlJc w:val="left"/>
      <w:pPr>
        <w:tabs>
          <w:tab w:val="left" w:pos="1440"/>
        </w:tabs>
        <w:ind w:left="1440" w:hanging="360"/>
      </w:pPr>
      <w:rPr>
        <w:rFonts w:ascii="Symbol" w:hAnsi="Symbol" w:cs="Symbol" w:hint="default"/>
        <w:sz w:val="20"/>
      </w:rPr>
    </w:lvl>
    <w:lvl w:ilvl="2">
      <w:start w:val="1"/>
      <w:numFmt w:val="bullet"/>
      <w:lvlText w:val=""/>
      <w:lvlJc w:val="left"/>
      <w:pPr>
        <w:tabs>
          <w:tab w:val="left" w:pos="2160"/>
        </w:tabs>
        <w:ind w:left="2160" w:hanging="360"/>
      </w:pPr>
      <w:rPr>
        <w:rFonts w:ascii="Symbol" w:hAnsi="Symbol" w:cs="Symbol" w:hint="default"/>
        <w:sz w:val="20"/>
      </w:rPr>
    </w:lvl>
    <w:lvl w:ilvl="3">
      <w:start w:val="1"/>
      <w:numFmt w:val="bullet"/>
      <w:lvlText w:val=""/>
      <w:lvlJc w:val="left"/>
      <w:pPr>
        <w:tabs>
          <w:tab w:val="left" w:pos="2880"/>
        </w:tabs>
        <w:ind w:left="2880" w:hanging="360"/>
      </w:pPr>
      <w:rPr>
        <w:rFonts w:ascii="Symbol" w:hAnsi="Symbol" w:cs="Symbol" w:hint="default"/>
        <w:sz w:val="20"/>
      </w:rPr>
    </w:lvl>
    <w:lvl w:ilvl="4">
      <w:start w:val="1"/>
      <w:numFmt w:val="bullet"/>
      <w:lvlText w:val=""/>
      <w:lvlJc w:val="left"/>
      <w:pPr>
        <w:tabs>
          <w:tab w:val="left" w:pos="3600"/>
        </w:tabs>
        <w:ind w:left="3600" w:hanging="360"/>
      </w:pPr>
      <w:rPr>
        <w:rFonts w:ascii="Symbol" w:hAnsi="Symbol" w:cs="Symbol" w:hint="default"/>
        <w:sz w:val="20"/>
      </w:rPr>
    </w:lvl>
    <w:lvl w:ilvl="5">
      <w:start w:val="1"/>
      <w:numFmt w:val="bullet"/>
      <w:lvlText w:val=""/>
      <w:lvlJc w:val="left"/>
      <w:pPr>
        <w:tabs>
          <w:tab w:val="left" w:pos="4320"/>
        </w:tabs>
        <w:ind w:left="4320" w:hanging="360"/>
      </w:pPr>
      <w:rPr>
        <w:rFonts w:ascii="Symbol" w:hAnsi="Symbol" w:cs="Symbol" w:hint="default"/>
        <w:sz w:val="20"/>
      </w:rPr>
    </w:lvl>
    <w:lvl w:ilvl="6">
      <w:start w:val="1"/>
      <w:numFmt w:val="bullet"/>
      <w:lvlText w:val=""/>
      <w:lvlJc w:val="left"/>
      <w:pPr>
        <w:tabs>
          <w:tab w:val="left" w:pos="5040"/>
        </w:tabs>
        <w:ind w:left="5040" w:hanging="360"/>
      </w:pPr>
      <w:rPr>
        <w:rFonts w:ascii="Symbol" w:hAnsi="Symbol" w:cs="Symbol" w:hint="default"/>
        <w:sz w:val="20"/>
      </w:rPr>
    </w:lvl>
    <w:lvl w:ilvl="7">
      <w:start w:val="1"/>
      <w:numFmt w:val="bullet"/>
      <w:lvlText w:val=""/>
      <w:lvlJc w:val="left"/>
      <w:pPr>
        <w:tabs>
          <w:tab w:val="left" w:pos="5760"/>
        </w:tabs>
        <w:ind w:left="5760" w:hanging="360"/>
      </w:pPr>
      <w:rPr>
        <w:rFonts w:ascii="Symbol" w:hAnsi="Symbol" w:cs="Symbol" w:hint="default"/>
        <w:sz w:val="20"/>
      </w:rPr>
    </w:lvl>
    <w:lvl w:ilvl="8">
      <w:start w:val="1"/>
      <w:numFmt w:val="bullet"/>
      <w:lvlText w:val=""/>
      <w:lvlJc w:val="left"/>
      <w:pPr>
        <w:tabs>
          <w:tab w:val="left" w:pos="6480"/>
        </w:tabs>
        <w:ind w:left="6480" w:hanging="360"/>
      </w:pPr>
      <w:rPr>
        <w:rFonts w:ascii="Symbol" w:hAnsi="Symbol" w:cs="Symbol" w:hint="default"/>
        <w:sz w:val="20"/>
      </w:rPr>
    </w:lvl>
  </w:abstractNum>
  <w:abstractNum w:abstractNumId="1" w15:restartNumberingAfterBreak="0">
    <w:nsid w:val="13D20E5B"/>
    <w:multiLevelType w:val="hybridMultilevel"/>
    <w:tmpl w:val="835850FC"/>
    <w:lvl w:ilvl="0" w:tplc="04090001">
      <w:start w:val="1"/>
      <w:numFmt w:val="bullet"/>
      <w:lvlText w:val=""/>
      <w:lvlJc w:val="left"/>
      <w:pPr>
        <w:ind w:left="756" w:hanging="360"/>
      </w:pPr>
      <w:rPr>
        <w:rFonts w:ascii="Symbol" w:hAnsi="Symbol" w:hint="default"/>
      </w:rPr>
    </w:lvl>
    <w:lvl w:ilvl="1" w:tplc="04090003" w:tentative="1">
      <w:start w:val="1"/>
      <w:numFmt w:val="bullet"/>
      <w:lvlText w:val="o"/>
      <w:lvlJc w:val="left"/>
      <w:pPr>
        <w:ind w:left="1476" w:hanging="360"/>
      </w:pPr>
      <w:rPr>
        <w:rFonts w:ascii="Courier New" w:hAnsi="Courier New" w:cs="Courier New" w:hint="default"/>
      </w:rPr>
    </w:lvl>
    <w:lvl w:ilvl="2" w:tplc="04090005" w:tentative="1">
      <w:start w:val="1"/>
      <w:numFmt w:val="bullet"/>
      <w:lvlText w:val=""/>
      <w:lvlJc w:val="left"/>
      <w:pPr>
        <w:ind w:left="2196" w:hanging="360"/>
      </w:pPr>
      <w:rPr>
        <w:rFonts w:ascii="Wingdings" w:hAnsi="Wingdings" w:hint="default"/>
      </w:rPr>
    </w:lvl>
    <w:lvl w:ilvl="3" w:tplc="04090001" w:tentative="1">
      <w:start w:val="1"/>
      <w:numFmt w:val="bullet"/>
      <w:lvlText w:val=""/>
      <w:lvlJc w:val="left"/>
      <w:pPr>
        <w:ind w:left="2916" w:hanging="360"/>
      </w:pPr>
      <w:rPr>
        <w:rFonts w:ascii="Symbol" w:hAnsi="Symbol" w:hint="default"/>
      </w:rPr>
    </w:lvl>
    <w:lvl w:ilvl="4" w:tplc="04090003" w:tentative="1">
      <w:start w:val="1"/>
      <w:numFmt w:val="bullet"/>
      <w:lvlText w:val="o"/>
      <w:lvlJc w:val="left"/>
      <w:pPr>
        <w:ind w:left="3636" w:hanging="360"/>
      </w:pPr>
      <w:rPr>
        <w:rFonts w:ascii="Courier New" w:hAnsi="Courier New" w:cs="Courier New" w:hint="default"/>
      </w:rPr>
    </w:lvl>
    <w:lvl w:ilvl="5" w:tplc="04090005" w:tentative="1">
      <w:start w:val="1"/>
      <w:numFmt w:val="bullet"/>
      <w:lvlText w:val=""/>
      <w:lvlJc w:val="left"/>
      <w:pPr>
        <w:ind w:left="4356" w:hanging="360"/>
      </w:pPr>
      <w:rPr>
        <w:rFonts w:ascii="Wingdings" w:hAnsi="Wingdings" w:hint="default"/>
      </w:rPr>
    </w:lvl>
    <w:lvl w:ilvl="6" w:tplc="04090001" w:tentative="1">
      <w:start w:val="1"/>
      <w:numFmt w:val="bullet"/>
      <w:lvlText w:val=""/>
      <w:lvlJc w:val="left"/>
      <w:pPr>
        <w:ind w:left="5076" w:hanging="360"/>
      </w:pPr>
      <w:rPr>
        <w:rFonts w:ascii="Symbol" w:hAnsi="Symbol" w:hint="default"/>
      </w:rPr>
    </w:lvl>
    <w:lvl w:ilvl="7" w:tplc="04090003" w:tentative="1">
      <w:start w:val="1"/>
      <w:numFmt w:val="bullet"/>
      <w:lvlText w:val="o"/>
      <w:lvlJc w:val="left"/>
      <w:pPr>
        <w:ind w:left="5796" w:hanging="360"/>
      </w:pPr>
      <w:rPr>
        <w:rFonts w:ascii="Courier New" w:hAnsi="Courier New" w:cs="Courier New" w:hint="default"/>
      </w:rPr>
    </w:lvl>
    <w:lvl w:ilvl="8" w:tplc="04090005" w:tentative="1">
      <w:start w:val="1"/>
      <w:numFmt w:val="bullet"/>
      <w:lvlText w:val=""/>
      <w:lvlJc w:val="left"/>
      <w:pPr>
        <w:ind w:left="6516" w:hanging="360"/>
      </w:pPr>
      <w:rPr>
        <w:rFonts w:ascii="Wingdings" w:hAnsi="Wingdings" w:hint="default"/>
      </w:rPr>
    </w:lvl>
  </w:abstractNum>
  <w:abstractNum w:abstractNumId="2" w15:restartNumberingAfterBreak="0">
    <w:nsid w:val="4A956793"/>
    <w:multiLevelType w:val="hybridMultilevel"/>
    <w:tmpl w:val="9CB2E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825E1A"/>
    <w:multiLevelType w:val="hybridMultilevel"/>
    <w:tmpl w:val="B7AE1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9329405">
    <w:abstractNumId w:val="0"/>
  </w:num>
  <w:num w:numId="2" w16cid:durableId="2063090239">
    <w:abstractNumId w:val="2"/>
  </w:num>
  <w:num w:numId="3" w16cid:durableId="36516622">
    <w:abstractNumId w:val="1"/>
  </w:num>
  <w:num w:numId="4" w16cid:durableId="16510096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72D"/>
    <w:rsid w:val="0000419A"/>
    <w:rsid w:val="00006ABC"/>
    <w:rsid w:val="000317DF"/>
    <w:rsid w:val="000554EB"/>
    <w:rsid w:val="000E6F4F"/>
    <w:rsid w:val="00117C37"/>
    <w:rsid w:val="00140305"/>
    <w:rsid w:val="001606EA"/>
    <w:rsid w:val="00170848"/>
    <w:rsid w:val="001B0B9D"/>
    <w:rsid w:val="001C41F3"/>
    <w:rsid w:val="00246217"/>
    <w:rsid w:val="002744E8"/>
    <w:rsid w:val="00282308"/>
    <w:rsid w:val="00291475"/>
    <w:rsid w:val="00292D96"/>
    <w:rsid w:val="0037283D"/>
    <w:rsid w:val="003F1A92"/>
    <w:rsid w:val="003F24E3"/>
    <w:rsid w:val="0040446D"/>
    <w:rsid w:val="0041272D"/>
    <w:rsid w:val="004166F8"/>
    <w:rsid w:val="0043296D"/>
    <w:rsid w:val="0047390E"/>
    <w:rsid w:val="00483F01"/>
    <w:rsid w:val="00523DED"/>
    <w:rsid w:val="00531101"/>
    <w:rsid w:val="005C0665"/>
    <w:rsid w:val="005C5BC3"/>
    <w:rsid w:val="00615B9A"/>
    <w:rsid w:val="00616E22"/>
    <w:rsid w:val="006379B1"/>
    <w:rsid w:val="00665032"/>
    <w:rsid w:val="00673800"/>
    <w:rsid w:val="00675A35"/>
    <w:rsid w:val="00691FF9"/>
    <w:rsid w:val="006A3620"/>
    <w:rsid w:val="00716B3C"/>
    <w:rsid w:val="00776820"/>
    <w:rsid w:val="007A419E"/>
    <w:rsid w:val="007C0D58"/>
    <w:rsid w:val="008226D8"/>
    <w:rsid w:val="00875469"/>
    <w:rsid w:val="00895F2B"/>
    <w:rsid w:val="008C1FFE"/>
    <w:rsid w:val="00996B86"/>
    <w:rsid w:val="00A53B98"/>
    <w:rsid w:val="00A86C9A"/>
    <w:rsid w:val="00B569D6"/>
    <w:rsid w:val="00B955C3"/>
    <w:rsid w:val="00BD7A38"/>
    <w:rsid w:val="00C0210F"/>
    <w:rsid w:val="00C979C0"/>
    <w:rsid w:val="00CC15B1"/>
    <w:rsid w:val="00D44FCC"/>
    <w:rsid w:val="00D9018D"/>
    <w:rsid w:val="00EB0171"/>
    <w:rsid w:val="00EF4E82"/>
    <w:rsid w:val="00F05803"/>
    <w:rsid w:val="00F26546"/>
    <w:rsid w:val="00F76A8C"/>
    <w:rsid w:val="00F93E5F"/>
    <w:rsid w:val="00FA3513"/>
    <w:rsid w:val="00FD42A0"/>
    <w:rsid w:val="0F1F3AF7"/>
    <w:rsid w:val="12D07EFC"/>
    <w:rsid w:val="2D752E26"/>
    <w:rsid w:val="61F143C1"/>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EF02A6"/>
  <w15:docId w15:val="{0BB298CE-605A-49ED-B627-B26A331E4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hi-IN"/>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toc 4"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272D"/>
    <w:rPr>
      <w:rFonts w:asciiTheme="minorHAnsi" w:eastAsiaTheme="minorEastAsia" w:hAnsiTheme="minorHAnsi" w:cstheme="minorBidi"/>
      <w:lang w:eastAsia="zh-CN" w:bidi="ar-SA"/>
    </w:rPr>
  </w:style>
  <w:style w:type="paragraph" w:styleId="Heading1">
    <w:name w:val="heading 1"/>
    <w:next w:val="Normal"/>
    <w:qFormat/>
    <w:rsid w:val="0041272D"/>
    <w:pPr>
      <w:spacing w:beforeAutospacing="1" w:afterAutospacing="1"/>
      <w:outlineLvl w:val="0"/>
    </w:pPr>
    <w:rPr>
      <w:rFonts w:ascii="SimSun" w:hAnsi="SimSun" w:cs="Mangal" w:hint="eastAsia"/>
      <w:b/>
      <w:bCs/>
      <w:kern w:val="44"/>
      <w:sz w:val="48"/>
      <w:szCs w:val="48"/>
      <w:lang w:eastAsia="zh-CN"/>
    </w:rPr>
  </w:style>
  <w:style w:type="paragraph" w:styleId="Heading2">
    <w:name w:val="heading 2"/>
    <w:next w:val="Normal"/>
    <w:semiHidden/>
    <w:unhideWhenUsed/>
    <w:qFormat/>
    <w:rsid w:val="0041272D"/>
    <w:pPr>
      <w:spacing w:beforeAutospacing="1" w:afterAutospacing="1"/>
      <w:outlineLvl w:val="1"/>
    </w:pPr>
    <w:rPr>
      <w:rFonts w:ascii="SimSun" w:hAnsi="SimSun" w:cs="Mangal" w:hint="eastAsia"/>
      <w:b/>
      <w:bCs/>
      <w:sz w:val="36"/>
      <w:szCs w:val="36"/>
      <w:lang w:eastAsia="zh-CN"/>
    </w:rPr>
  </w:style>
  <w:style w:type="paragraph" w:styleId="Heading4">
    <w:name w:val="heading 4"/>
    <w:basedOn w:val="Normal"/>
    <w:next w:val="Normal"/>
    <w:link w:val="Heading4Char"/>
    <w:semiHidden/>
    <w:unhideWhenUsed/>
    <w:qFormat/>
    <w:rsid w:val="00F93E5F"/>
    <w:pPr>
      <w:keepNext/>
      <w:keepLines/>
      <w:spacing w:before="40"/>
      <w:outlineLvl w:val="3"/>
    </w:pPr>
    <w:rPr>
      <w:rFonts w:asciiTheme="majorHAnsi" w:eastAsiaTheme="majorEastAsia" w:hAnsiTheme="majorHAnsi" w:cstheme="majorBidi"/>
      <w:i/>
      <w:iCs/>
      <w:color w:val="42558C"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41272D"/>
    <w:rPr>
      <w:color w:val="0000FF"/>
      <w:u w:val="single"/>
    </w:rPr>
  </w:style>
  <w:style w:type="paragraph" w:styleId="NormalWeb">
    <w:name w:val="Normal (Web)"/>
    <w:qFormat/>
    <w:rsid w:val="0041272D"/>
    <w:pPr>
      <w:spacing w:beforeAutospacing="1" w:afterAutospacing="1"/>
    </w:pPr>
    <w:rPr>
      <w:rFonts w:cs="Mangal"/>
      <w:sz w:val="24"/>
      <w:szCs w:val="24"/>
      <w:lang w:eastAsia="zh-CN"/>
    </w:rPr>
  </w:style>
  <w:style w:type="paragraph" w:styleId="ListParagraph">
    <w:name w:val="List Paragraph"/>
    <w:basedOn w:val="Normal"/>
    <w:uiPriority w:val="99"/>
    <w:unhideWhenUsed/>
    <w:rsid w:val="00CC15B1"/>
    <w:pPr>
      <w:ind w:left="720"/>
      <w:contextualSpacing/>
    </w:pPr>
  </w:style>
  <w:style w:type="character" w:customStyle="1" w:styleId="Heading4Char">
    <w:name w:val="Heading 4 Char"/>
    <w:basedOn w:val="DefaultParagraphFont"/>
    <w:link w:val="Heading4"/>
    <w:semiHidden/>
    <w:rsid w:val="00F93E5F"/>
    <w:rPr>
      <w:rFonts w:asciiTheme="majorHAnsi" w:eastAsiaTheme="majorEastAsia" w:hAnsiTheme="majorHAnsi" w:cstheme="majorBidi"/>
      <w:i/>
      <w:iCs/>
      <w:color w:val="42558C" w:themeColor="accent1" w:themeShade="BF"/>
      <w:lang w:eastAsia="zh-CN" w:bidi="ar-SA"/>
    </w:rPr>
  </w:style>
  <w:style w:type="paragraph" w:styleId="Header">
    <w:name w:val="header"/>
    <w:basedOn w:val="Normal"/>
    <w:link w:val="HeaderChar"/>
    <w:rsid w:val="00F93E5F"/>
    <w:pPr>
      <w:tabs>
        <w:tab w:val="center" w:pos="4153"/>
        <w:tab w:val="right" w:pos="8306"/>
      </w:tabs>
    </w:pPr>
    <w:rPr>
      <w:rFonts w:ascii="Times New Roman" w:eastAsia="Times New Roman" w:hAnsi="Times New Roman" w:cs="Times New Roman"/>
      <w:lang w:val="en-GB" w:eastAsia="en-GB"/>
    </w:rPr>
  </w:style>
  <w:style w:type="character" w:customStyle="1" w:styleId="HeaderChar">
    <w:name w:val="Header Char"/>
    <w:basedOn w:val="DefaultParagraphFont"/>
    <w:link w:val="Header"/>
    <w:rsid w:val="00F93E5F"/>
    <w:rPr>
      <w:rFonts w:eastAsia="Times New Roman"/>
      <w:lang w:val="en-GB" w:eastAsia="en-GB" w:bidi="ar-SA"/>
    </w:rPr>
  </w:style>
  <w:style w:type="paragraph" w:styleId="TOCHeading">
    <w:name w:val="TOC Heading"/>
    <w:basedOn w:val="Heading1"/>
    <w:next w:val="Normal"/>
    <w:uiPriority w:val="39"/>
    <w:unhideWhenUsed/>
    <w:qFormat/>
    <w:rsid w:val="00282308"/>
    <w:pPr>
      <w:keepNext/>
      <w:keepLines/>
      <w:spacing w:before="240" w:beforeAutospacing="0" w:afterAutospacing="0" w:line="259" w:lineRule="auto"/>
      <w:outlineLvl w:val="9"/>
    </w:pPr>
    <w:rPr>
      <w:rFonts w:asciiTheme="majorHAnsi" w:eastAsiaTheme="majorEastAsia" w:hAnsiTheme="majorHAnsi" w:cstheme="majorBidi" w:hint="default"/>
      <w:b w:val="0"/>
      <w:bCs w:val="0"/>
      <w:color w:val="42558C" w:themeColor="accent1" w:themeShade="BF"/>
      <w:kern w:val="0"/>
      <w:sz w:val="32"/>
      <w:szCs w:val="32"/>
      <w:lang w:eastAsia="en-US" w:bidi="ar-SA"/>
    </w:rPr>
  </w:style>
  <w:style w:type="paragraph" w:styleId="TOC2">
    <w:name w:val="toc 2"/>
    <w:basedOn w:val="Normal"/>
    <w:next w:val="Normal"/>
    <w:autoRedefine/>
    <w:uiPriority w:val="39"/>
    <w:unhideWhenUsed/>
    <w:rsid w:val="00282308"/>
    <w:pPr>
      <w:ind w:left="200"/>
    </w:pPr>
    <w:rPr>
      <w:rFonts w:cstheme="minorHAnsi"/>
      <w:smallCaps/>
    </w:rPr>
  </w:style>
  <w:style w:type="paragraph" w:styleId="TOC1">
    <w:name w:val="toc 1"/>
    <w:basedOn w:val="Normal"/>
    <w:next w:val="Normal"/>
    <w:autoRedefine/>
    <w:uiPriority w:val="39"/>
    <w:unhideWhenUsed/>
    <w:rsid w:val="00282308"/>
    <w:pPr>
      <w:spacing w:before="120" w:after="120"/>
    </w:pPr>
    <w:rPr>
      <w:rFonts w:cstheme="minorHAnsi"/>
      <w:b/>
      <w:bCs/>
      <w:caps/>
    </w:rPr>
  </w:style>
  <w:style w:type="paragraph" w:styleId="TOC3">
    <w:name w:val="toc 3"/>
    <w:basedOn w:val="Normal"/>
    <w:next w:val="Normal"/>
    <w:autoRedefine/>
    <w:uiPriority w:val="39"/>
    <w:unhideWhenUsed/>
    <w:rsid w:val="00282308"/>
    <w:pPr>
      <w:ind w:left="400"/>
    </w:pPr>
    <w:rPr>
      <w:rFonts w:cstheme="minorHAnsi"/>
      <w:i/>
      <w:iCs/>
    </w:rPr>
  </w:style>
  <w:style w:type="paragraph" w:styleId="TOC4">
    <w:name w:val="toc 4"/>
    <w:basedOn w:val="Normal"/>
    <w:next w:val="Normal"/>
    <w:autoRedefine/>
    <w:uiPriority w:val="39"/>
    <w:rsid w:val="00282308"/>
    <w:pPr>
      <w:ind w:left="600"/>
    </w:pPr>
    <w:rPr>
      <w:rFonts w:cstheme="minorHAnsi"/>
      <w:sz w:val="18"/>
      <w:szCs w:val="18"/>
    </w:rPr>
  </w:style>
  <w:style w:type="paragraph" w:styleId="TOC5">
    <w:name w:val="toc 5"/>
    <w:basedOn w:val="Normal"/>
    <w:next w:val="Normal"/>
    <w:autoRedefine/>
    <w:rsid w:val="00282308"/>
    <w:pPr>
      <w:ind w:left="800"/>
    </w:pPr>
    <w:rPr>
      <w:rFonts w:cstheme="minorHAnsi"/>
      <w:sz w:val="18"/>
      <w:szCs w:val="18"/>
    </w:rPr>
  </w:style>
  <w:style w:type="paragraph" w:styleId="TOC6">
    <w:name w:val="toc 6"/>
    <w:basedOn w:val="Normal"/>
    <w:next w:val="Normal"/>
    <w:autoRedefine/>
    <w:rsid w:val="00282308"/>
    <w:pPr>
      <w:ind w:left="1000"/>
    </w:pPr>
    <w:rPr>
      <w:rFonts w:cstheme="minorHAnsi"/>
      <w:sz w:val="18"/>
      <w:szCs w:val="18"/>
    </w:rPr>
  </w:style>
  <w:style w:type="paragraph" w:styleId="TOC7">
    <w:name w:val="toc 7"/>
    <w:basedOn w:val="Normal"/>
    <w:next w:val="Normal"/>
    <w:autoRedefine/>
    <w:rsid w:val="00282308"/>
    <w:pPr>
      <w:ind w:left="1200"/>
    </w:pPr>
    <w:rPr>
      <w:rFonts w:cstheme="minorHAnsi"/>
      <w:sz w:val="18"/>
      <w:szCs w:val="18"/>
    </w:rPr>
  </w:style>
  <w:style w:type="paragraph" w:styleId="TOC8">
    <w:name w:val="toc 8"/>
    <w:basedOn w:val="Normal"/>
    <w:next w:val="Normal"/>
    <w:autoRedefine/>
    <w:rsid w:val="00282308"/>
    <w:pPr>
      <w:ind w:left="1400"/>
    </w:pPr>
    <w:rPr>
      <w:rFonts w:cstheme="minorHAnsi"/>
      <w:sz w:val="18"/>
      <w:szCs w:val="18"/>
    </w:rPr>
  </w:style>
  <w:style w:type="paragraph" w:styleId="TOC9">
    <w:name w:val="toc 9"/>
    <w:basedOn w:val="Normal"/>
    <w:next w:val="Normal"/>
    <w:autoRedefine/>
    <w:rsid w:val="00282308"/>
    <w:pPr>
      <w:ind w:left="160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Executive">
      <a:dk1>
        <a:sysClr val="windowText" lastClr="000000"/>
      </a:dk1>
      <a:lt1>
        <a:sysClr val="window" lastClr="FFFFFF"/>
      </a:lt1>
      <a:dk2>
        <a:srgbClr val="2F5897"/>
      </a:dk2>
      <a:lt2>
        <a:srgbClr val="E4E9EF"/>
      </a:lt2>
      <a:accent1>
        <a:srgbClr val="6076B4"/>
      </a:accent1>
      <a:accent2>
        <a:srgbClr val="9C5252"/>
      </a:accent2>
      <a:accent3>
        <a:srgbClr val="E68422"/>
      </a:accent3>
      <a:accent4>
        <a:srgbClr val="846648"/>
      </a:accent4>
      <a:accent5>
        <a:srgbClr val="63891F"/>
      </a:accent5>
      <a:accent6>
        <a:srgbClr val="758085"/>
      </a:accent6>
      <a:hlink>
        <a:srgbClr val="3399FF"/>
      </a:hlink>
      <a:folHlink>
        <a:srgbClr val="B2B2B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622886-E3A5-42BF-8D56-2E965EE6A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3292</Words>
  <Characters>18765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Raj Modi</cp:lastModifiedBy>
  <cp:revision>2</cp:revision>
  <dcterms:created xsi:type="dcterms:W3CDTF">2023-06-23T09:52:00Z</dcterms:created>
  <dcterms:modified xsi:type="dcterms:W3CDTF">2023-06-23T09:52:00Z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23FCDCCF41864C27A47979C9A75B1D64</vt:lpwstr>
  </property>
  <property fmtid="{D5CDD505-2E9C-101B-9397-08002B2CF9AE}" pid="4" name="GrammarlyDocumentId">
    <vt:lpwstr>881f6c770e23a5e2986c20c1decd4666214b73bc973fcfd96dbc76aa4cabfacd</vt:lpwstr>
  </property>
</Properties>
</file>