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A907F" w14:textId="77777777" w:rsidR="00A02C2F" w:rsidRDefault="00000000">
      <w:pPr>
        <w:spacing w:line="360" w:lineRule="auto"/>
        <w:jc w:val="center"/>
        <w:rPr>
          <w:rFonts w:ascii="Arial" w:eastAsia="Calibri" w:hAnsi="Arial" w:cs="Arial"/>
          <w:b/>
        </w:rPr>
      </w:pPr>
      <w:r>
        <w:rPr>
          <w:rFonts w:ascii="Arial" w:eastAsia="Calibri" w:hAnsi="Arial" w:cs="Arial"/>
          <w:b/>
        </w:rPr>
        <w:t>BSc (Hons) Health and Social Care</w:t>
      </w:r>
    </w:p>
    <w:p w14:paraId="69763439" w14:textId="77777777" w:rsidR="00A02C2F" w:rsidRDefault="00A02C2F">
      <w:pPr>
        <w:spacing w:line="360" w:lineRule="auto"/>
        <w:jc w:val="center"/>
        <w:rPr>
          <w:rFonts w:ascii="Arial" w:eastAsia="Calibri" w:hAnsi="Arial" w:cs="Arial"/>
          <w:b/>
        </w:rPr>
      </w:pPr>
    </w:p>
    <w:p w14:paraId="76BE519C" w14:textId="77777777" w:rsidR="00A02C2F" w:rsidRDefault="00000000">
      <w:pPr>
        <w:spacing w:line="360" w:lineRule="auto"/>
        <w:jc w:val="center"/>
        <w:rPr>
          <w:rFonts w:ascii="Arial" w:eastAsia="Calibri" w:hAnsi="Arial" w:cs="Arial"/>
          <w:b/>
        </w:rPr>
      </w:pPr>
      <w:r>
        <w:rPr>
          <w:rFonts w:ascii="Arial" w:eastAsia="Calibri" w:hAnsi="Arial" w:cs="Arial"/>
          <w:b/>
        </w:rPr>
        <w:t>Module: Introduction to Independent Research Skills (BMHP5019)</w:t>
      </w:r>
    </w:p>
    <w:p w14:paraId="7E4DC4E1" w14:textId="77777777" w:rsidR="00A02C2F" w:rsidRDefault="00A02C2F">
      <w:pPr>
        <w:spacing w:line="360" w:lineRule="auto"/>
        <w:jc w:val="center"/>
        <w:rPr>
          <w:rFonts w:ascii="Arial" w:eastAsia="Calibri" w:hAnsi="Arial" w:cs="Arial"/>
        </w:rPr>
      </w:pPr>
    </w:p>
    <w:p w14:paraId="0886EBA5" w14:textId="77777777" w:rsidR="00A02C2F" w:rsidRDefault="00000000">
      <w:pPr>
        <w:spacing w:line="360" w:lineRule="auto"/>
        <w:jc w:val="center"/>
        <w:rPr>
          <w:rFonts w:ascii="Arial" w:eastAsia="Calibri" w:hAnsi="Arial" w:cs="Arial"/>
        </w:rPr>
      </w:pPr>
      <w:r>
        <w:rPr>
          <w:rFonts w:ascii="Arial" w:eastAsia="Calibri" w:hAnsi="Arial" w:cs="Arial"/>
          <w:b/>
        </w:rPr>
        <w:t xml:space="preserve">Assessment title: </w:t>
      </w:r>
      <w:r>
        <w:rPr>
          <w:rFonts w:ascii="Arial" w:eastAsia="Calibri" w:hAnsi="Arial" w:cs="Arial"/>
        </w:rPr>
        <w:t xml:space="preserve">Assessment 1 - Research Proposal </w:t>
      </w:r>
    </w:p>
    <w:p w14:paraId="3B0ACED1" w14:textId="77777777" w:rsidR="00A02C2F" w:rsidRDefault="00A02C2F">
      <w:pPr>
        <w:spacing w:line="360" w:lineRule="auto"/>
        <w:rPr>
          <w:rFonts w:ascii="Arial" w:eastAsia="Calibri" w:hAnsi="Arial" w:cs="Arial"/>
        </w:rPr>
      </w:pPr>
    </w:p>
    <w:p w14:paraId="28ACF268" w14:textId="1E80FAD4" w:rsidR="00A02C2F" w:rsidRDefault="00000000">
      <w:pPr>
        <w:spacing w:line="360" w:lineRule="auto"/>
        <w:rPr>
          <w:rFonts w:ascii="Arial" w:eastAsia="Calibri" w:hAnsi="Arial" w:cs="Arial"/>
        </w:rPr>
      </w:pPr>
      <w:r>
        <w:rPr>
          <w:rFonts w:ascii="Arial" w:eastAsia="Calibri" w:hAnsi="Arial" w:cs="Arial"/>
          <w:b/>
        </w:rPr>
        <w:t>Student ID</w:t>
      </w:r>
      <w:r>
        <w:rPr>
          <w:rFonts w:ascii="Arial" w:eastAsia="Calibri" w:hAnsi="Arial" w:cs="Arial"/>
        </w:rPr>
        <w:t xml:space="preserve">: </w:t>
      </w:r>
      <w:r w:rsidR="002A070A">
        <w:rPr>
          <w:rFonts w:ascii="Arial" w:eastAsia="Calibri" w:hAnsi="Arial" w:cs="Arial"/>
        </w:rPr>
        <w:t>2419596</w:t>
      </w:r>
    </w:p>
    <w:p w14:paraId="0DDC4864" w14:textId="77777777" w:rsidR="00A02C2F" w:rsidRDefault="00A02C2F">
      <w:pPr>
        <w:spacing w:line="360" w:lineRule="auto"/>
        <w:rPr>
          <w:rFonts w:ascii="Arial" w:eastAsia="Calibri" w:hAnsi="Arial" w:cs="Arial"/>
        </w:rPr>
      </w:pPr>
    </w:p>
    <w:p w14:paraId="56D1D82D" w14:textId="77777777" w:rsidR="00A02C2F" w:rsidRDefault="00000000">
      <w:pPr>
        <w:spacing w:line="360" w:lineRule="auto"/>
        <w:rPr>
          <w:rFonts w:ascii="Arial" w:eastAsia="Calibri" w:hAnsi="Arial" w:cs="Arial"/>
        </w:rPr>
      </w:pPr>
      <w:r>
        <w:rPr>
          <w:rFonts w:ascii="Arial" w:eastAsia="Calibri" w:hAnsi="Arial" w:cs="Arial"/>
          <w:b/>
        </w:rPr>
        <w:t>Student Name</w:t>
      </w:r>
      <w:r>
        <w:rPr>
          <w:rFonts w:ascii="Arial" w:eastAsia="Calibri" w:hAnsi="Arial" w:cs="Arial"/>
        </w:rPr>
        <w:t>: Ndeye Rokheya Bop</w:t>
      </w:r>
    </w:p>
    <w:p w14:paraId="4B5F2ADC" w14:textId="77777777" w:rsidR="00A02C2F" w:rsidRDefault="00A02C2F">
      <w:pPr>
        <w:spacing w:line="360" w:lineRule="auto"/>
        <w:rPr>
          <w:rFonts w:ascii="Arial" w:eastAsia="Calibri" w:hAnsi="Arial" w:cs="Arial"/>
        </w:rPr>
      </w:pPr>
    </w:p>
    <w:p w14:paraId="1CFC2512" w14:textId="77777777" w:rsidR="00A02C2F" w:rsidRDefault="00000000">
      <w:pPr>
        <w:spacing w:line="360" w:lineRule="auto"/>
        <w:rPr>
          <w:rFonts w:ascii="Arial" w:eastAsia="Calibri" w:hAnsi="Arial" w:cs="Arial"/>
        </w:rPr>
      </w:pPr>
      <w:r>
        <w:rPr>
          <w:rFonts w:ascii="Arial" w:eastAsia="Calibri" w:hAnsi="Arial" w:cs="Arial"/>
          <w:b/>
        </w:rPr>
        <w:t>Date of submission</w:t>
      </w:r>
      <w:r>
        <w:rPr>
          <w:rFonts w:ascii="Arial" w:eastAsia="Calibri" w:hAnsi="Arial" w:cs="Arial"/>
        </w:rPr>
        <w:t>: Friday 30 October 2026</w:t>
      </w:r>
    </w:p>
    <w:p w14:paraId="1026F3A4" w14:textId="77777777" w:rsidR="00A02C2F" w:rsidRDefault="00A02C2F">
      <w:pPr>
        <w:spacing w:line="360" w:lineRule="auto"/>
        <w:rPr>
          <w:rFonts w:ascii="Arial" w:eastAsia="Calibri" w:hAnsi="Arial" w:cs="Arial"/>
        </w:rPr>
      </w:pPr>
    </w:p>
    <w:p w14:paraId="415D94B9" w14:textId="77777777" w:rsidR="00A02C2F" w:rsidRDefault="00000000">
      <w:pPr>
        <w:spacing w:line="360" w:lineRule="auto"/>
        <w:rPr>
          <w:rFonts w:ascii="Arial" w:eastAsia="Calibri" w:hAnsi="Arial" w:cs="Arial"/>
          <w:b/>
        </w:rPr>
      </w:pPr>
      <w:r>
        <w:rPr>
          <w:rFonts w:ascii="Arial" w:eastAsia="Calibri" w:hAnsi="Arial" w:cs="Arial"/>
          <w:b/>
        </w:rPr>
        <w:t>Lecturer’s name</w:t>
      </w:r>
      <w:r>
        <w:rPr>
          <w:rFonts w:ascii="Arial" w:eastAsia="Calibri" w:hAnsi="Arial" w:cs="Arial"/>
        </w:rPr>
        <w:t>: Dr Eleni Koutsogeorgou-Andreou (Module leader)</w:t>
      </w:r>
    </w:p>
    <w:p w14:paraId="3E1F5540" w14:textId="77777777" w:rsidR="00A02C2F" w:rsidRDefault="00A02C2F">
      <w:pPr>
        <w:spacing w:line="360" w:lineRule="auto"/>
        <w:jc w:val="both"/>
        <w:rPr>
          <w:b/>
        </w:rPr>
      </w:pPr>
    </w:p>
    <w:p w14:paraId="53163C22" w14:textId="77777777" w:rsidR="00A02C2F" w:rsidRDefault="00A02C2F">
      <w:pPr>
        <w:spacing w:line="360" w:lineRule="auto"/>
        <w:jc w:val="both"/>
        <w:rPr>
          <w:b/>
        </w:rPr>
      </w:pPr>
    </w:p>
    <w:p w14:paraId="170DD3EC" w14:textId="77777777" w:rsidR="00A02C2F" w:rsidRDefault="00A02C2F">
      <w:pPr>
        <w:spacing w:line="360" w:lineRule="auto"/>
        <w:jc w:val="both"/>
        <w:rPr>
          <w:b/>
        </w:rPr>
      </w:pPr>
    </w:p>
    <w:p w14:paraId="0887C9F9" w14:textId="77777777" w:rsidR="00A02C2F" w:rsidRDefault="00A02C2F">
      <w:pPr>
        <w:spacing w:line="360" w:lineRule="auto"/>
        <w:jc w:val="both"/>
        <w:rPr>
          <w:b/>
        </w:rPr>
      </w:pPr>
    </w:p>
    <w:p w14:paraId="5C5C02A3" w14:textId="77777777" w:rsidR="00A02C2F" w:rsidRDefault="00A02C2F">
      <w:pPr>
        <w:spacing w:line="360" w:lineRule="auto"/>
        <w:jc w:val="both"/>
        <w:rPr>
          <w:b/>
        </w:rPr>
      </w:pPr>
    </w:p>
    <w:p w14:paraId="50DE155C" w14:textId="77777777" w:rsidR="00A02C2F" w:rsidRDefault="00A02C2F">
      <w:pPr>
        <w:spacing w:line="360" w:lineRule="auto"/>
        <w:jc w:val="both"/>
        <w:rPr>
          <w:b/>
        </w:rPr>
      </w:pPr>
    </w:p>
    <w:p w14:paraId="72E644B5" w14:textId="77777777" w:rsidR="00A02C2F" w:rsidRDefault="00A02C2F">
      <w:pPr>
        <w:spacing w:line="360" w:lineRule="auto"/>
        <w:jc w:val="both"/>
        <w:rPr>
          <w:b/>
        </w:rPr>
      </w:pPr>
    </w:p>
    <w:p w14:paraId="06E6CF3D" w14:textId="77777777" w:rsidR="00A02C2F" w:rsidRDefault="00A02C2F">
      <w:pPr>
        <w:spacing w:line="360" w:lineRule="auto"/>
        <w:jc w:val="both"/>
        <w:rPr>
          <w:b/>
        </w:rPr>
      </w:pPr>
    </w:p>
    <w:p w14:paraId="5FA917D2" w14:textId="77777777" w:rsidR="00A02C2F" w:rsidRDefault="00A02C2F">
      <w:pPr>
        <w:spacing w:line="360" w:lineRule="auto"/>
        <w:jc w:val="both"/>
        <w:rPr>
          <w:b/>
        </w:rPr>
      </w:pPr>
    </w:p>
    <w:p w14:paraId="7503CA1F" w14:textId="77777777" w:rsidR="00A02C2F" w:rsidRDefault="00A02C2F">
      <w:pPr>
        <w:spacing w:line="360" w:lineRule="auto"/>
        <w:jc w:val="both"/>
        <w:rPr>
          <w:b/>
        </w:rPr>
      </w:pPr>
    </w:p>
    <w:p w14:paraId="2D6E0A9D" w14:textId="77777777" w:rsidR="00A02C2F" w:rsidRDefault="00A02C2F">
      <w:pPr>
        <w:spacing w:line="360" w:lineRule="auto"/>
        <w:jc w:val="both"/>
        <w:rPr>
          <w:b/>
        </w:rPr>
      </w:pPr>
    </w:p>
    <w:p w14:paraId="7199EC8B" w14:textId="77777777" w:rsidR="00A02C2F" w:rsidRDefault="00A02C2F">
      <w:pPr>
        <w:spacing w:line="360" w:lineRule="auto"/>
        <w:jc w:val="both"/>
        <w:rPr>
          <w:b/>
        </w:rPr>
      </w:pPr>
    </w:p>
    <w:p w14:paraId="39148396" w14:textId="77777777" w:rsidR="00A02C2F" w:rsidRDefault="00000000">
      <w:pPr>
        <w:spacing w:line="360" w:lineRule="auto"/>
        <w:jc w:val="both"/>
        <w:rPr>
          <w:rFonts w:ascii="Arial" w:hAnsi="Arial" w:cs="Arial"/>
          <w:b/>
        </w:rPr>
      </w:pPr>
      <w:r>
        <w:rPr>
          <w:rFonts w:ascii="Arial" w:hAnsi="Arial" w:cs="Arial"/>
          <w:b/>
        </w:rPr>
        <w:lastRenderedPageBreak/>
        <w:t>Research Proposal</w:t>
      </w:r>
    </w:p>
    <w:p w14:paraId="6308EB54" w14:textId="77777777" w:rsidR="00A02C2F" w:rsidRDefault="00000000">
      <w:pPr>
        <w:spacing w:line="360" w:lineRule="auto"/>
        <w:jc w:val="both"/>
        <w:rPr>
          <w:rFonts w:ascii="Arial" w:hAnsi="Arial" w:cs="Arial"/>
        </w:rPr>
      </w:pPr>
      <w:r>
        <w:rPr>
          <w:rFonts w:ascii="Arial" w:hAnsi="Arial" w:cs="Arial"/>
          <w:b/>
        </w:rPr>
        <w:t>Topic:</w:t>
      </w:r>
      <w:r>
        <w:rPr>
          <w:rFonts w:ascii="Arial" w:hAnsi="Arial" w:cs="Arial"/>
        </w:rPr>
        <w:t xml:space="preserve"> The Role of Remote Patient Monitoring Technologies in Supporting Self-Management among Adults Living with Type 2 Diabetes in the UK: A Scoping Review.</w:t>
      </w:r>
    </w:p>
    <w:p w14:paraId="6838ED8C" w14:textId="77777777" w:rsidR="00A02C2F" w:rsidRDefault="00A02C2F">
      <w:pPr>
        <w:spacing w:line="360" w:lineRule="auto"/>
        <w:jc w:val="both"/>
        <w:rPr>
          <w:rFonts w:ascii="Arial" w:hAnsi="Arial" w:cs="Arial"/>
        </w:rPr>
      </w:pPr>
    </w:p>
    <w:p w14:paraId="6AFE139C" w14:textId="77777777" w:rsidR="00A02C2F" w:rsidRDefault="00000000">
      <w:pPr>
        <w:spacing w:line="360" w:lineRule="auto"/>
        <w:jc w:val="both"/>
        <w:rPr>
          <w:rFonts w:ascii="Arial" w:hAnsi="Arial" w:cs="Arial"/>
          <w:b/>
        </w:rPr>
      </w:pPr>
      <w:r>
        <w:rPr>
          <w:rFonts w:ascii="Arial" w:hAnsi="Arial" w:cs="Arial"/>
          <w:b/>
        </w:rPr>
        <w:t>Review Question:</w:t>
      </w:r>
    </w:p>
    <w:p w14:paraId="30433C43" w14:textId="77777777" w:rsidR="00A02C2F" w:rsidRDefault="00000000">
      <w:pPr>
        <w:spacing w:line="360" w:lineRule="auto"/>
        <w:jc w:val="both"/>
        <w:rPr>
          <w:rFonts w:ascii="Arial" w:hAnsi="Arial" w:cs="Arial"/>
        </w:rPr>
      </w:pPr>
      <w:r>
        <w:rPr>
          <w:rFonts w:ascii="Arial" w:hAnsi="Arial" w:cs="Arial"/>
        </w:rPr>
        <w:t>What is known about the role of remote patient monitoring technologies in supporting self-management among adults living with Type 2 diabetes in the United Kingdom?</w:t>
      </w:r>
    </w:p>
    <w:p w14:paraId="1E6BA218" w14:textId="77777777" w:rsidR="00A02C2F" w:rsidRDefault="00A02C2F">
      <w:pPr>
        <w:spacing w:line="360" w:lineRule="auto"/>
        <w:jc w:val="both"/>
        <w:rPr>
          <w:rFonts w:ascii="Arial" w:hAnsi="Arial" w:cs="Arial"/>
        </w:rPr>
      </w:pPr>
    </w:p>
    <w:p w14:paraId="22363EB3" w14:textId="77777777" w:rsidR="00A02C2F" w:rsidRDefault="00000000">
      <w:pPr>
        <w:spacing w:line="360" w:lineRule="auto"/>
        <w:jc w:val="both"/>
        <w:rPr>
          <w:rFonts w:ascii="Arial" w:hAnsi="Arial" w:cs="Arial"/>
          <w:b/>
        </w:rPr>
      </w:pPr>
      <w:r>
        <w:rPr>
          <w:rFonts w:ascii="Arial" w:hAnsi="Arial" w:cs="Arial"/>
          <w:b/>
        </w:rPr>
        <w:t>Objectives:</w:t>
      </w:r>
    </w:p>
    <w:p w14:paraId="1610138D" w14:textId="77777777" w:rsidR="00A02C2F" w:rsidRDefault="00000000">
      <w:pPr>
        <w:spacing w:line="360" w:lineRule="auto"/>
        <w:jc w:val="both"/>
        <w:rPr>
          <w:rFonts w:ascii="Arial" w:hAnsi="Arial" w:cs="Arial"/>
        </w:rPr>
      </w:pPr>
      <w:r>
        <w:rPr>
          <w:rFonts w:ascii="Arial" w:hAnsi="Arial" w:cs="Arial"/>
        </w:rPr>
        <w:t>The objectives of this scoping review are to:</w:t>
      </w:r>
    </w:p>
    <w:p w14:paraId="01CAB662" w14:textId="77777777" w:rsidR="00A02C2F" w:rsidRDefault="00000000">
      <w:pPr>
        <w:numPr>
          <w:ilvl w:val="0"/>
          <w:numId w:val="1"/>
        </w:numPr>
        <w:spacing w:line="360" w:lineRule="auto"/>
        <w:jc w:val="both"/>
        <w:rPr>
          <w:rFonts w:ascii="Arial" w:hAnsi="Arial" w:cs="Arial"/>
        </w:rPr>
      </w:pPr>
      <w:r>
        <w:rPr>
          <w:rFonts w:ascii="Arial" w:hAnsi="Arial" w:cs="Arial"/>
        </w:rPr>
        <w:t>To identify the types of remote patient monitoring technologies used to support self-management among adults living with Type 2 diabetes in the UK.</w:t>
      </w:r>
    </w:p>
    <w:p w14:paraId="58C37CE1" w14:textId="77777777" w:rsidR="00A02C2F" w:rsidRDefault="00000000">
      <w:pPr>
        <w:numPr>
          <w:ilvl w:val="0"/>
          <w:numId w:val="1"/>
        </w:numPr>
        <w:spacing w:line="360" w:lineRule="auto"/>
        <w:jc w:val="both"/>
        <w:rPr>
          <w:rFonts w:ascii="Arial" w:hAnsi="Arial" w:cs="Arial"/>
        </w:rPr>
      </w:pPr>
      <w:r>
        <w:rPr>
          <w:rFonts w:ascii="Arial" w:hAnsi="Arial" w:cs="Arial"/>
        </w:rPr>
        <w:t>To explore the role of remote patient monitoring technologies in supporting diabetes self-management, health outcomes, and patient care experiences.</w:t>
      </w:r>
    </w:p>
    <w:p w14:paraId="5E9AB52E" w14:textId="77777777" w:rsidR="00A02C2F" w:rsidRDefault="00000000">
      <w:pPr>
        <w:numPr>
          <w:ilvl w:val="0"/>
          <w:numId w:val="1"/>
        </w:numPr>
        <w:spacing w:line="360" w:lineRule="auto"/>
        <w:jc w:val="both"/>
        <w:rPr>
          <w:rFonts w:ascii="Arial" w:hAnsi="Arial" w:cs="Arial"/>
        </w:rPr>
      </w:pPr>
      <w:r>
        <w:rPr>
          <w:rFonts w:ascii="Arial" w:hAnsi="Arial" w:cs="Arial"/>
        </w:rPr>
        <w:t>To identify the barriers and facilitators influencing the use and implementation of remote patient monitoring technologies within UK health and social care settings.</w:t>
      </w:r>
    </w:p>
    <w:p w14:paraId="702596B3" w14:textId="77777777" w:rsidR="00A02C2F" w:rsidRDefault="00A02C2F">
      <w:pPr>
        <w:spacing w:line="360" w:lineRule="auto"/>
        <w:ind w:left="720"/>
        <w:jc w:val="both"/>
        <w:rPr>
          <w:rFonts w:ascii="Arial" w:hAnsi="Arial" w:cs="Arial"/>
        </w:rPr>
      </w:pPr>
    </w:p>
    <w:p w14:paraId="6D134DEE" w14:textId="77777777" w:rsidR="00A02C2F" w:rsidRDefault="00000000">
      <w:pPr>
        <w:spacing w:line="360" w:lineRule="auto"/>
        <w:jc w:val="both"/>
        <w:rPr>
          <w:rFonts w:ascii="Arial" w:hAnsi="Arial" w:cs="Arial"/>
          <w:b/>
        </w:rPr>
      </w:pPr>
      <w:r>
        <w:rPr>
          <w:rFonts w:ascii="Arial" w:hAnsi="Arial" w:cs="Arial"/>
          <w:b/>
        </w:rPr>
        <w:t>Rationale:</w:t>
      </w:r>
    </w:p>
    <w:p w14:paraId="18A19BE0" w14:textId="77777777" w:rsidR="00A02C2F" w:rsidRDefault="00000000">
      <w:pPr>
        <w:spacing w:line="360" w:lineRule="auto"/>
        <w:jc w:val="both"/>
        <w:rPr>
          <w:rFonts w:ascii="Arial" w:hAnsi="Arial" w:cs="Arial"/>
        </w:rPr>
      </w:pPr>
      <w:r>
        <w:rPr>
          <w:rFonts w:ascii="Arial" w:hAnsi="Arial" w:cs="Arial"/>
        </w:rPr>
        <w:t>Type 2 diabetes is a common long-term condition in the UK requiring continuous self-management to prevent complications and improve quality of life (NICE, 2022). Increasing diabetes prevalence places greater demands on health and social care services, highlighting the need for innovative approaches that promote patient independence (NHS England, 2019)</w:t>
      </w:r>
    </w:p>
    <w:p w14:paraId="0AE58FF5" w14:textId="77777777" w:rsidR="00A02C2F" w:rsidRDefault="00000000">
      <w:pPr>
        <w:spacing w:line="360" w:lineRule="auto"/>
        <w:jc w:val="both"/>
        <w:rPr>
          <w:rFonts w:ascii="Arial" w:hAnsi="Arial" w:cs="Arial"/>
        </w:rPr>
      </w:pPr>
      <w:r>
        <w:rPr>
          <w:rFonts w:ascii="Arial" w:hAnsi="Arial" w:cs="Arial"/>
        </w:rPr>
        <w:t>Remote patient monitoring technologies, including glucose monitoring systems and digital health applications, may support self-management through improved monitoring, communication, and timely care (Kitsiou et al., 2017). However, challenges such as digital literacy, accessibility, health inequalities, and data privacy may affect their use (World Health Organization, 2025). This scoping review will explore existing evidence and identify implications for UK health and social care practice.</w:t>
      </w:r>
    </w:p>
    <w:p w14:paraId="23D06A98" w14:textId="77777777" w:rsidR="00A02C2F" w:rsidRDefault="00A02C2F">
      <w:pPr>
        <w:spacing w:line="360" w:lineRule="auto"/>
        <w:jc w:val="both"/>
        <w:rPr>
          <w:rFonts w:ascii="Arial" w:hAnsi="Arial" w:cs="Arial"/>
        </w:rPr>
      </w:pPr>
    </w:p>
    <w:p w14:paraId="0D9612BA" w14:textId="77777777" w:rsidR="00A02C2F" w:rsidRDefault="00A02C2F">
      <w:pPr>
        <w:spacing w:line="360" w:lineRule="auto"/>
        <w:jc w:val="both"/>
        <w:rPr>
          <w:rFonts w:ascii="Arial" w:hAnsi="Arial" w:cs="Arial"/>
          <w:b/>
        </w:rPr>
      </w:pPr>
    </w:p>
    <w:p w14:paraId="51592450" w14:textId="77777777" w:rsidR="00A02C2F" w:rsidRDefault="00000000">
      <w:pPr>
        <w:spacing w:line="360" w:lineRule="auto"/>
        <w:jc w:val="both"/>
        <w:rPr>
          <w:rFonts w:ascii="Arial" w:hAnsi="Arial" w:cs="Arial"/>
          <w:b/>
        </w:rPr>
      </w:pPr>
      <w:r>
        <w:rPr>
          <w:rFonts w:ascii="Arial" w:hAnsi="Arial" w:cs="Arial"/>
          <w:b/>
        </w:rPr>
        <w:lastRenderedPageBreak/>
        <w:t>Methods:</w:t>
      </w:r>
    </w:p>
    <w:p w14:paraId="63D2FA7C" w14:textId="77777777" w:rsidR="00A02C2F" w:rsidRDefault="00000000">
      <w:pPr>
        <w:spacing w:line="360" w:lineRule="auto"/>
        <w:jc w:val="both"/>
        <w:rPr>
          <w:rFonts w:ascii="Arial" w:hAnsi="Arial" w:cs="Arial"/>
        </w:rPr>
      </w:pPr>
      <w:r>
        <w:rPr>
          <w:rFonts w:ascii="Arial" w:hAnsi="Arial" w:cs="Arial"/>
        </w:rPr>
        <w:t>A scoping review methodology will be used, guided by the Joanna Briggs Institute (JBI) framework (Peters et al., 2020). A literature search will be conducted using databases including PubMed, Google Scholar and Web of Science using relevant terms related to Type 2 diabetes, remote patient monitoring, digital health, and self-management.</w:t>
      </w:r>
    </w:p>
    <w:p w14:paraId="2FE056B1" w14:textId="77777777" w:rsidR="00A02C2F" w:rsidRDefault="00000000">
      <w:pPr>
        <w:spacing w:line="360" w:lineRule="auto"/>
        <w:jc w:val="both"/>
        <w:rPr>
          <w:rFonts w:ascii="Arial" w:hAnsi="Arial" w:cs="Arial"/>
        </w:rPr>
      </w:pPr>
      <w:r>
        <w:rPr>
          <w:rFonts w:ascii="Arial" w:hAnsi="Arial" w:cs="Arial"/>
        </w:rPr>
        <w:t>Peer-reviewed studies involving adults with Type 2 diabetes, remote monitoring technologies, and UK health or social care settings will be included. Studies focusing on Type 1 diabetes, children, or unrelated technologies will be excluded.</w:t>
      </w:r>
    </w:p>
    <w:p w14:paraId="4C6A9081" w14:textId="77777777" w:rsidR="00A02C2F" w:rsidRDefault="00000000">
      <w:pPr>
        <w:spacing w:line="360" w:lineRule="auto"/>
        <w:jc w:val="both"/>
        <w:rPr>
          <w:rFonts w:ascii="Arial" w:hAnsi="Arial" w:cs="Arial"/>
        </w:rPr>
      </w:pPr>
      <w:r>
        <w:rPr>
          <w:rFonts w:ascii="Arial" w:hAnsi="Arial" w:cs="Arial"/>
        </w:rPr>
        <w:t>Data will be extracted using a structured tool and analysed through thematic synthesis to identify key themes related to technology use, patient experiences, health outcomes, barriers, and facilitators (Braun and Clarke, 2021).</w:t>
      </w:r>
    </w:p>
    <w:p w14:paraId="2F36744A" w14:textId="77777777" w:rsidR="00A02C2F" w:rsidRDefault="00A02C2F">
      <w:pPr>
        <w:spacing w:line="360" w:lineRule="auto"/>
        <w:jc w:val="both"/>
        <w:rPr>
          <w:rFonts w:ascii="Arial" w:hAnsi="Arial" w:cs="Arial"/>
        </w:rPr>
      </w:pPr>
    </w:p>
    <w:p w14:paraId="5718030A" w14:textId="77777777" w:rsidR="00A02C2F" w:rsidRDefault="00000000">
      <w:pPr>
        <w:spacing w:line="360" w:lineRule="auto"/>
        <w:jc w:val="both"/>
        <w:rPr>
          <w:rFonts w:ascii="Arial" w:hAnsi="Arial" w:cs="Arial"/>
          <w:b/>
        </w:rPr>
      </w:pPr>
      <w:r>
        <w:rPr>
          <w:rFonts w:ascii="Arial" w:hAnsi="Arial" w:cs="Arial"/>
          <w:b/>
        </w:rPr>
        <w:t>Ethical Considerations:</w:t>
      </w:r>
    </w:p>
    <w:p w14:paraId="4F396D66" w14:textId="77777777" w:rsidR="00A02C2F" w:rsidRDefault="00000000">
      <w:pPr>
        <w:spacing w:line="360" w:lineRule="auto"/>
        <w:jc w:val="both"/>
        <w:rPr>
          <w:rFonts w:ascii="Arial" w:hAnsi="Arial" w:cs="Arial"/>
        </w:rPr>
      </w:pPr>
      <w:r>
        <w:rPr>
          <w:rFonts w:ascii="Arial" w:hAnsi="Arial" w:cs="Arial"/>
        </w:rPr>
        <w:t xml:space="preserve">Although this scoping review will not involve direct participation of human subjects, ethical principles will guide the research process. Included studies will be accurately represented, appropriately referenced, and reported transparently. </w:t>
      </w:r>
    </w:p>
    <w:p w14:paraId="6926C8EE" w14:textId="77777777" w:rsidR="00A02C2F" w:rsidRDefault="00000000">
      <w:pPr>
        <w:spacing w:line="360" w:lineRule="auto"/>
        <w:jc w:val="both"/>
        <w:rPr>
          <w:rFonts w:ascii="Arial" w:hAnsi="Arial" w:cs="Arial"/>
        </w:rPr>
      </w:pPr>
      <w:r>
        <w:rPr>
          <w:rFonts w:ascii="Arial" w:hAnsi="Arial" w:cs="Arial"/>
        </w:rPr>
        <w:t>The review will consider ethical issues related to digital health, including confidentiality, data security, informed consent, and equitable access to technology (World Health Organization, 2025). Academic integrity will be maintained through avoidance of plagiarism, accurate interpretation of evidence, and critical evaluation of the selected studies.</w:t>
      </w:r>
    </w:p>
    <w:p w14:paraId="0FF73B5D" w14:textId="77777777" w:rsidR="00A02C2F" w:rsidRDefault="00A02C2F">
      <w:pPr>
        <w:spacing w:line="360" w:lineRule="auto"/>
        <w:jc w:val="both"/>
        <w:rPr>
          <w:rFonts w:ascii="Arial" w:hAnsi="Arial" w:cs="Arial"/>
        </w:rPr>
      </w:pPr>
    </w:p>
    <w:p w14:paraId="1AAD1DA7" w14:textId="77777777" w:rsidR="00A02C2F" w:rsidRDefault="00A02C2F">
      <w:pPr>
        <w:spacing w:line="360" w:lineRule="auto"/>
        <w:jc w:val="both"/>
        <w:rPr>
          <w:rFonts w:ascii="Arial" w:hAnsi="Arial" w:cs="Arial"/>
        </w:rPr>
      </w:pPr>
    </w:p>
    <w:p w14:paraId="7E57525A" w14:textId="77777777" w:rsidR="00A02C2F" w:rsidRDefault="00A02C2F">
      <w:pPr>
        <w:spacing w:line="360" w:lineRule="auto"/>
        <w:jc w:val="both"/>
        <w:rPr>
          <w:rFonts w:ascii="Arial" w:hAnsi="Arial" w:cs="Arial"/>
        </w:rPr>
      </w:pPr>
    </w:p>
    <w:p w14:paraId="76FF39DB" w14:textId="77777777" w:rsidR="00A02C2F" w:rsidRDefault="00A02C2F">
      <w:pPr>
        <w:spacing w:line="360" w:lineRule="auto"/>
        <w:jc w:val="both"/>
        <w:rPr>
          <w:rFonts w:ascii="Arial" w:hAnsi="Arial" w:cs="Arial"/>
        </w:rPr>
      </w:pPr>
    </w:p>
    <w:p w14:paraId="385B8DCE" w14:textId="77777777" w:rsidR="00A02C2F" w:rsidRDefault="00A02C2F">
      <w:pPr>
        <w:spacing w:line="360" w:lineRule="auto"/>
        <w:jc w:val="both"/>
        <w:rPr>
          <w:rFonts w:ascii="Arial" w:hAnsi="Arial" w:cs="Arial"/>
        </w:rPr>
      </w:pPr>
    </w:p>
    <w:p w14:paraId="2B5BEC6E" w14:textId="77777777" w:rsidR="00A02C2F" w:rsidRDefault="00A02C2F">
      <w:pPr>
        <w:spacing w:line="360" w:lineRule="auto"/>
        <w:jc w:val="both"/>
        <w:rPr>
          <w:rFonts w:ascii="Arial" w:hAnsi="Arial" w:cs="Arial"/>
        </w:rPr>
      </w:pPr>
    </w:p>
    <w:p w14:paraId="008A1494" w14:textId="77777777" w:rsidR="00A02C2F" w:rsidRDefault="00A02C2F">
      <w:pPr>
        <w:spacing w:line="360" w:lineRule="auto"/>
        <w:jc w:val="both"/>
        <w:rPr>
          <w:rFonts w:ascii="Arial" w:hAnsi="Arial" w:cs="Arial"/>
        </w:rPr>
      </w:pPr>
    </w:p>
    <w:p w14:paraId="4C44125C" w14:textId="77777777" w:rsidR="00A02C2F" w:rsidRDefault="00A02C2F">
      <w:pPr>
        <w:spacing w:line="360" w:lineRule="auto"/>
        <w:jc w:val="both"/>
        <w:rPr>
          <w:rFonts w:ascii="Arial" w:hAnsi="Arial" w:cs="Arial"/>
        </w:rPr>
      </w:pPr>
    </w:p>
    <w:p w14:paraId="6A812DC9" w14:textId="77777777" w:rsidR="00A02C2F" w:rsidRDefault="00A02C2F">
      <w:pPr>
        <w:spacing w:line="360" w:lineRule="auto"/>
        <w:jc w:val="both"/>
        <w:rPr>
          <w:rFonts w:ascii="Arial" w:hAnsi="Arial" w:cs="Arial"/>
        </w:rPr>
      </w:pPr>
    </w:p>
    <w:p w14:paraId="78C65F91" w14:textId="63696A40" w:rsidR="00A02C2F" w:rsidRDefault="00000000">
      <w:pPr>
        <w:spacing w:line="360" w:lineRule="auto"/>
        <w:jc w:val="both"/>
        <w:rPr>
          <w:rFonts w:ascii="Arial" w:hAnsi="Arial" w:cs="Arial"/>
          <w:b/>
        </w:rPr>
      </w:pPr>
      <w:r>
        <w:rPr>
          <w:rFonts w:ascii="Arial" w:hAnsi="Arial" w:cs="Arial"/>
          <w:b/>
        </w:rPr>
        <w:lastRenderedPageBreak/>
        <w:t xml:space="preserve">References </w:t>
      </w:r>
    </w:p>
    <w:p w14:paraId="6D4D3EED" w14:textId="77777777" w:rsidR="00A02C2F" w:rsidRDefault="00000000">
      <w:pPr>
        <w:spacing w:line="360" w:lineRule="auto"/>
        <w:jc w:val="both"/>
        <w:rPr>
          <w:rFonts w:ascii="Arial" w:hAnsi="Arial" w:cs="Arial"/>
        </w:rPr>
      </w:pPr>
      <w:r>
        <w:rPr>
          <w:rFonts w:ascii="Arial" w:hAnsi="Arial" w:cs="Arial"/>
        </w:rPr>
        <w:t xml:space="preserve">Braun, V. and Clarke, V. (2021) </w:t>
      </w:r>
      <w:r>
        <w:rPr>
          <w:rFonts w:ascii="Arial" w:hAnsi="Arial" w:cs="Arial"/>
          <w:i/>
        </w:rPr>
        <w:t>Thematic Analysis: A Practical Guide</w:t>
      </w:r>
      <w:r>
        <w:rPr>
          <w:rFonts w:ascii="Arial" w:hAnsi="Arial" w:cs="Arial"/>
        </w:rPr>
        <w:t>. London: SAGE Publications.</w:t>
      </w:r>
    </w:p>
    <w:p w14:paraId="4773F0AD" w14:textId="77777777" w:rsidR="00A02C2F" w:rsidRDefault="00000000">
      <w:pPr>
        <w:spacing w:line="360" w:lineRule="auto"/>
        <w:jc w:val="both"/>
        <w:rPr>
          <w:rFonts w:ascii="Arial" w:hAnsi="Arial" w:cs="Arial"/>
        </w:rPr>
      </w:pPr>
      <w:r>
        <w:rPr>
          <w:rFonts w:ascii="Arial" w:hAnsi="Arial" w:cs="Arial"/>
        </w:rPr>
        <w:t xml:space="preserve">Kitsiou, S., Paré, G., Jaana, M. and Gerber, B. (2017) ‘Effectiveness of mHealth interventions for patients with diabetes: An overview of systematic reviews’, </w:t>
      </w:r>
      <w:r>
        <w:rPr>
          <w:rFonts w:ascii="Arial" w:hAnsi="Arial" w:cs="Arial"/>
          <w:i/>
        </w:rPr>
        <w:t>PLoS ONE</w:t>
      </w:r>
      <w:r>
        <w:rPr>
          <w:rFonts w:ascii="Arial" w:hAnsi="Arial" w:cs="Arial"/>
        </w:rPr>
        <w:t>, 12(3), e0173160.</w:t>
      </w:r>
    </w:p>
    <w:p w14:paraId="45E4E9F3" w14:textId="77777777" w:rsidR="00A02C2F" w:rsidRDefault="00000000">
      <w:pPr>
        <w:spacing w:line="360" w:lineRule="auto"/>
        <w:jc w:val="both"/>
        <w:rPr>
          <w:rFonts w:ascii="Arial" w:hAnsi="Arial" w:cs="Arial"/>
        </w:rPr>
      </w:pPr>
      <w:r>
        <w:rPr>
          <w:rFonts w:ascii="Arial" w:hAnsi="Arial" w:cs="Arial"/>
        </w:rPr>
        <w:t xml:space="preserve">National Institute for Health and Care Excellence (NICE) (2022) </w:t>
      </w:r>
      <w:r>
        <w:rPr>
          <w:rFonts w:ascii="Arial" w:hAnsi="Arial" w:cs="Arial"/>
          <w:i/>
        </w:rPr>
        <w:t>Type 2 diabetes in adults: Management (NG28)</w:t>
      </w:r>
      <w:r>
        <w:rPr>
          <w:rFonts w:ascii="Arial" w:hAnsi="Arial" w:cs="Arial"/>
        </w:rPr>
        <w:t>. London: NICE.</w:t>
      </w:r>
    </w:p>
    <w:p w14:paraId="79EFE597" w14:textId="77777777" w:rsidR="00A02C2F" w:rsidRDefault="00000000">
      <w:pPr>
        <w:spacing w:line="360" w:lineRule="auto"/>
        <w:jc w:val="both"/>
        <w:rPr>
          <w:rFonts w:ascii="Arial" w:hAnsi="Arial" w:cs="Arial"/>
        </w:rPr>
      </w:pPr>
      <w:r>
        <w:rPr>
          <w:rFonts w:ascii="Arial" w:hAnsi="Arial" w:cs="Arial"/>
        </w:rPr>
        <w:t xml:space="preserve">NHS England (2019) </w:t>
      </w:r>
      <w:r>
        <w:rPr>
          <w:rFonts w:ascii="Arial" w:hAnsi="Arial" w:cs="Arial"/>
          <w:i/>
        </w:rPr>
        <w:t>The NHS Long Term Plan</w:t>
      </w:r>
      <w:r>
        <w:rPr>
          <w:rFonts w:ascii="Arial" w:hAnsi="Arial" w:cs="Arial"/>
        </w:rPr>
        <w:t>. London: NHS England.</w:t>
      </w:r>
    </w:p>
    <w:p w14:paraId="0347DBA7" w14:textId="77777777" w:rsidR="00A02C2F" w:rsidRDefault="00000000">
      <w:pPr>
        <w:spacing w:line="360" w:lineRule="auto"/>
        <w:jc w:val="both"/>
        <w:rPr>
          <w:rFonts w:ascii="Arial" w:hAnsi="Arial" w:cs="Arial"/>
        </w:rPr>
      </w:pPr>
      <w:r>
        <w:rPr>
          <w:rFonts w:ascii="Arial" w:hAnsi="Arial" w:cs="Arial"/>
        </w:rPr>
        <w:t xml:space="preserve">Peters, M.D.J., Godfrey, C., McInerney, P., Munn, Z., Tricco, A.C. and Khalil, H. (2020) ‘Chapter 11: Scoping reviews’, in Aromataris, E. and Munn, Z. (eds.) </w:t>
      </w:r>
      <w:r>
        <w:rPr>
          <w:rFonts w:ascii="Arial" w:hAnsi="Arial" w:cs="Arial"/>
          <w:i/>
        </w:rPr>
        <w:t>JBI Manual for Evidence Synthesis</w:t>
      </w:r>
      <w:r>
        <w:rPr>
          <w:rFonts w:ascii="Arial" w:hAnsi="Arial" w:cs="Arial"/>
        </w:rPr>
        <w:t>. Adelaide: Joanna Briggs Institute.</w:t>
      </w:r>
    </w:p>
    <w:p w14:paraId="76C24AA4" w14:textId="4FDC2C72" w:rsidR="00A02C2F" w:rsidRDefault="00000000">
      <w:pPr>
        <w:spacing w:line="360" w:lineRule="auto"/>
        <w:jc w:val="both"/>
        <w:rPr>
          <w:rFonts w:ascii="Arial" w:hAnsi="Arial" w:cs="Arial"/>
        </w:rPr>
      </w:pPr>
      <w:r>
        <w:rPr>
          <w:rFonts w:ascii="Arial" w:hAnsi="Arial" w:cs="Arial"/>
        </w:rPr>
        <w:t xml:space="preserve">World Health </w:t>
      </w:r>
      <w:r w:rsidR="00074CD7">
        <w:rPr>
          <w:rFonts w:ascii="Arial" w:hAnsi="Arial" w:cs="Arial"/>
        </w:rPr>
        <w:t>Organisation</w:t>
      </w:r>
      <w:r>
        <w:rPr>
          <w:rFonts w:ascii="Arial" w:hAnsi="Arial" w:cs="Arial"/>
        </w:rPr>
        <w:t xml:space="preserve"> (2021) </w:t>
      </w:r>
      <w:r>
        <w:rPr>
          <w:rFonts w:ascii="Arial" w:hAnsi="Arial" w:cs="Arial"/>
          <w:i/>
        </w:rPr>
        <w:t>Global Strategy on Digital Health 2020–2025</w:t>
      </w:r>
      <w:r>
        <w:rPr>
          <w:rFonts w:ascii="Arial" w:hAnsi="Arial" w:cs="Arial"/>
        </w:rPr>
        <w:t xml:space="preserve">. Geneva: World Health </w:t>
      </w:r>
      <w:r w:rsidR="00074CD7">
        <w:rPr>
          <w:rFonts w:ascii="Arial" w:hAnsi="Arial" w:cs="Arial"/>
        </w:rPr>
        <w:t>Organisation</w:t>
      </w:r>
      <w:r>
        <w:rPr>
          <w:rFonts w:ascii="Arial" w:hAnsi="Arial" w:cs="Arial"/>
        </w:rPr>
        <w:t>.</w:t>
      </w:r>
    </w:p>
    <w:p w14:paraId="16B65F88" w14:textId="77777777" w:rsidR="00A02C2F" w:rsidRDefault="00A02C2F">
      <w:pPr>
        <w:spacing w:line="360" w:lineRule="auto"/>
        <w:jc w:val="both"/>
        <w:rPr>
          <w:rFonts w:ascii="Arial" w:hAnsi="Arial" w:cs="Arial"/>
        </w:rPr>
      </w:pPr>
    </w:p>
    <w:p w14:paraId="6D7BA8D0" w14:textId="77777777" w:rsidR="00A02C2F" w:rsidRDefault="00A02C2F">
      <w:pPr>
        <w:spacing w:line="360" w:lineRule="auto"/>
        <w:jc w:val="both"/>
        <w:rPr>
          <w:rFonts w:ascii="Arial" w:hAnsi="Arial" w:cs="Arial"/>
          <w:b/>
        </w:rPr>
      </w:pPr>
    </w:p>
    <w:sectPr w:rsidR="00A02C2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000000"/>
    <w:multiLevelType w:val="multilevel"/>
    <w:tmpl w:val="49C65FEC"/>
    <w:lvl w:ilvl="0">
      <w:start w:val="1"/>
      <w:numFmt w:val="decimal"/>
      <w:lvlText w:val="%1."/>
      <w:lvlJc w:val="left"/>
      <w:pPr>
        <w:tabs>
          <w:tab w:val="left" w:pos="720"/>
        </w:tabs>
        <w:ind w:left="720" w:hanging="360"/>
      </w:pPr>
      <w:rPr>
        <w:shd w:val="clear" w:color="auto" w:fill="auto"/>
      </w:rPr>
    </w:lvl>
    <w:lvl w:ilvl="1">
      <w:start w:val="1"/>
      <w:numFmt w:val="decimal"/>
      <w:lvlText w:val="%2."/>
      <w:lvlJc w:val="left"/>
      <w:pPr>
        <w:tabs>
          <w:tab w:val="left" w:pos="1440"/>
        </w:tabs>
        <w:ind w:left="1440" w:hanging="360"/>
      </w:pPr>
      <w:rPr>
        <w:shd w:val="clear" w:color="auto" w:fill="auto"/>
      </w:rPr>
    </w:lvl>
    <w:lvl w:ilvl="2">
      <w:start w:val="1"/>
      <w:numFmt w:val="decimal"/>
      <w:lvlText w:val="%3."/>
      <w:lvlJc w:val="left"/>
      <w:pPr>
        <w:tabs>
          <w:tab w:val="left" w:pos="2160"/>
        </w:tabs>
        <w:ind w:left="2160" w:hanging="360"/>
      </w:pPr>
      <w:rPr>
        <w:shd w:val="clear" w:color="auto" w:fill="auto"/>
      </w:rPr>
    </w:lvl>
    <w:lvl w:ilvl="3">
      <w:start w:val="1"/>
      <w:numFmt w:val="decimal"/>
      <w:lvlText w:val="%4."/>
      <w:lvlJc w:val="left"/>
      <w:pPr>
        <w:tabs>
          <w:tab w:val="left" w:pos="2880"/>
        </w:tabs>
        <w:ind w:left="2880" w:hanging="360"/>
      </w:pPr>
      <w:rPr>
        <w:shd w:val="clear" w:color="auto" w:fill="auto"/>
      </w:rPr>
    </w:lvl>
    <w:lvl w:ilvl="4">
      <w:start w:val="1"/>
      <w:numFmt w:val="decimal"/>
      <w:lvlText w:val="%5."/>
      <w:lvlJc w:val="left"/>
      <w:pPr>
        <w:tabs>
          <w:tab w:val="left" w:pos="3600"/>
        </w:tabs>
        <w:ind w:left="3600" w:hanging="360"/>
      </w:pPr>
      <w:rPr>
        <w:shd w:val="clear" w:color="auto" w:fill="auto"/>
      </w:rPr>
    </w:lvl>
    <w:lvl w:ilvl="5">
      <w:start w:val="1"/>
      <w:numFmt w:val="decimal"/>
      <w:lvlText w:val="%6."/>
      <w:lvlJc w:val="left"/>
      <w:pPr>
        <w:tabs>
          <w:tab w:val="left" w:pos="4320"/>
        </w:tabs>
        <w:ind w:left="4320" w:hanging="360"/>
      </w:pPr>
      <w:rPr>
        <w:shd w:val="clear" w:color="auto" w:fill="auto"/>
      </w:rPr>
    </w:lvl>
    <w:lvl w:ilvl="6">
      <w:start w:val="1"/>
      <w:numFmt w:val="decimal"/>
      <w:lvlText w:val="%7."/>
      <w:lvlJc w:val="left"/>
      <w:pPr>
        <w:tabs>
          <w:tab w:val="left" w:pos="5040"/>
        </w:tabs>
        <w:ind w:left="5040" w:hanging="360"/>
      </w:pPr>
      <w:rPr>
        <w:shd w:val="clear" w:color="auto" w:fill="auto"/>
      </w:rPr>
    </w:lvl>
    <w:lvl w:ilvl="7">
      <w:start w:val="1"/>
      <w:numFmt w:val="decimal"/>
      <w:lvlText w:val="%8."/>
      <w:lvlJc w:val="left"/>
      <w:pPr>
        <w:tabs>
          <w:tab w:val="left" w:pos="5760"/>
        </w:tabs>
        <w:ind w:left="5760" w:hanging="360"/>
      </w:pPr>
      <w:rPr>
        <w:shd w:val="clear" w:color="auto" w:fill="auto"/>
      </w:rPr>
    </w:lvl>
    <w:lvl w:ilvl="8">
      <w:start w:val="1"/>
      <w:numFmt w:val="decimal"/>
      <w:lvlText w:val="%9."/>
      <w:lvlJc w:val="left"/>
      <w:pPr>
        <w:tabs>
          <w:tab w:val="left" w:pos="6480"/>
        </w:tabs>
        <w:ind w:left="6480" w:hanging="360"/>
      </w:pPr>
      <w:rPr>
        <w:shd w:val="clear" w:color="auto" w:fill="auto"/>
      </w:rPr>
    </w:lvl>
  </w:abstractNum>
  <w:abstractNum w:abstractNumId="1" w15:restartNumberingAfterBreak="0">
    <w:nsid w:val="2F000001"/>
    <w:multiLevelType w:val="multilevel"/>
    <w:tmpl w:val="5E0C9843"/>
    <w:lvl w:ilvl="0">
      <w:start w:val="1"/>
      <w:numFmt w:val="decimal"/>
      <w:lvlText w:val="%1."/>
      <w:lvlJc w:val="left"/>
      <w:pPr>
        <w:tabs>
          <w:tab w:val="left" w:pos="720"/>
        </w:tabs>
        <w:ind w:left="720" w:hanging="360"/>
      </w:pPr>
      <w:rPr>
        <w:shd w:val="clear" w:color="auto" w:fill="auto"/>
      </w:rPr>
    </w:lvl>
    <w:lvl w:ilvl="1">
      <w:start w:val="1"/>
      <w:numFmt w:val="decimal"/>
      <w:lvlText w:val="%2."/>
      <w:lvlJc w:val="left"/>
      <w:pPr>
        <w:tabs>
          <w:tab w:val="left" w:pos="1440"/>
        </w:tabs>
        <w:ind w:left="1440" w:hanging="360"/>
      </w:pPr>
      <w:rPr>
        <w:shd w:val="clear" w:color="auto" w:fill="auto"/>
      </w:rPr>
    </w:lvl>
    <w:lvl w:ilvl="2">
      <w:start w:val="1"/>
      <w:numFmt w:val="decimal"/>
      <w:lvlText w:val="%3."/>
      <w:lvlJc w:val="left"/>
      <w:pPr>
        <w:tabs>
          <w:tab w:val="left" w:pos="2160"/>
        </w:tabs>
        <w:ind w:left="2160" w:hanging="360"/>
      </w:pPr>
      <w:rPr>
        <w:shd w:val="clear" w:color="auto" w:fill="auto"/>
      </w:rPr>
    </w:lvl>
    <w:lvl w:ilvl="3">
      <w:start w:val="1"/>
      <w:numFmt w:val="decimal"/>
      <w:lvlText w:val="%4."/>
      <w:lvlJc w:val="left"/>
      <w:pPr>
        <w:tabs>
          <w:tab w:val="left" w:pos="2880"/>
        </w:tabs>
        <w:ind w:left="2880" w:hanging="360"/>
      </w:pPr>
      <w:rPr>
        <w:shd w:val="clear" w:color="auto" w:fill="auto"/>
      </w:rPr>
    </w:lvl>
    <w:lvl w:ilvl="4">
      <w:start w:val="1"/>
      <w:numFmt w:val="decimal"/>
      <w:lvlText w:val="%5."/>
      <w:lvlJc w:val="left"/>
      <w:pPr>
        <w:tabs>
          <w:tab w:val="left" w:pos="3600"/>
        </w:tabs>
        <w:ind w:left="3600" w:hanging="360"/>
      </w:pPr>
      <w:rPr>
        <w:shd w:val="clear" w:color="auto" w:fill="auto"/>
      </w:rPr>
    </w:lvl>
    <w:lvl w:ilvl="5">
      <w:start w:val="1"/>
      <w:numFmt w:val="decimal"/>
      <w:lvlText w:val="%6."/>
      <w:lvlJc w:val="left"/>
      <w:pPr>
        <w:tabs>
          <w:tab w:val="left" w:pos="4320"/>
        </w:tabs>
        <w:ind w:left="4320" w:hanging="360"/>
      </w:pPr>
      <w:rPr>
        <w:shd w:val="clear" w:color="auto" w:fill="auto"/>
      </w:rPr>
    </w:lvl>
    <w:lvl w:ilvl="6">
      <w:start w:val="1"/>
      <w:numFmt w:val="decimal"/>
      <w:lvlText w:val="%7."/>
      <w:lvlJc w:val="left"/>
      <w:pPr>
        <w:tabs>
          <w:tab w:val="left" w:pos="5040"/>
        </w:tabs>
        <w:ind w:left="5040" w:hanging="360"/>
      </w:pPr>
      <w:rPr>
        <w:shd w:val="clear" w:color="auto" w:fill="auto"/>
      </w:rPr>
    </w:lvl>
    <w:lvl w:ilvl="7">
      <w:start w:val="1"/>
      <w:numFmt w:val="decimal"/>
      <w:lvlText w:val="%8."/>
      <w:lvlJc w:val="left"/>
      <w:pPr>
        <w:tabs>
          <w:tab w:val="left" w:pos="5760"/>
        </w:tabs>
        <w:ind w:left="5760" w:hanging="360"/>
      </w:pPr>
      <w:rPr>
        <w:shd w:val="clear" w:color="auto" w:fill="auto"/>
      </w:rPr>
    </w:lvl>
    <w:lvl w:ilvl="8">
      <w:start w:val="1"/>
      <w:numFmt w:val="decimal"/>
      <w:lvlText w:val="%9."/>
      <w:lvlJc w:val="left"/>
      <w:pPr>
        <w:tabs>
          <w:tab w:val="left" w:pos="6480"/>
        </w:tabs>
        <w:ind w:left="6480" w:hanging="360"/>
      </w:pPr>
      <w:rPr>
        <w:shd w:val="clear" w:color="auto" w:fill="auto"/>
      </w:rPr>
    </w:lvl>
  </w:abstractNum>
  <w:abstractNum w:abstractNumId="2" w15:restartNumberingAfterBreak="0">
    <w:nsid w:val="2F000002"/>
    <w:multiLevelType w:val="hybridMultilevel"/>
    <w:tmpl w:val="2B554577"/>
    <w:lvl w:ilvl="0" w:tplc="E42CF238">
      <w:start w:val="1"/>
      <w:numFmt w:val="bullet"/>
      <w:lvlText w:val="·"/>
      <w:lvlJc w:val="left"/>
      <w:pPr>
        <w:tabs>
          <w:tab w:val="left" w:pos="720"/>
        </w:tabs>
        <w:ind w:left="720" w:hanging="360"/>
      </w:pPr>
      <w:rPr>
        <w:rFonts w:ascii="Symbol" w:hAnsi="Symbol" w:hint="default"/>
        <w:sz w:val="20"/>
        <w:szCs w:val="20"/>
        <w:shd w:val="clear" w:color="auto" w:fill="auto"/>
      </w:rPr>
    </w:lvl>
    <w:lvl w:ilvl="1" w:tplc="FE1408C0">
      <w:start w:val="1"/>
      <w:numFmt w:val="bullet"/>
      <w:lvlText w:val="o"/>
      <w:lvlJc w:val="left"/>
      <w:pPr>
        <w:tabs>
          <w:tab w:val="left" w:pos="1440"/>
        </w:tabs>
        <w:ind w:left="1440" w:hanging="360"/>
      </w:pPr>
      <w:rPr>
        <w:rFonts w:ascii="Courier New" w:hAnsi="Courier New" w:hint="default"/>
        <w:sz w:val="20"/>
        <w:szCs w:val="20"/>
        <w:shd w:val="clear" w:color="auto" w:fill="auto"/>
      </w:rPr>
    </w:lvl>
    <w:lvl w:ilvl="2" w:tplc="036ECE16">
      <w:start w:val="1"/>
      <w:numFmt w:val="bullet"/>
      <w:lvlText w:val="§"/>
      <w:lvlJc w:val="left"/>
      <w:pPr>
        <w:tabs>
          <w:tab w:val="left" w:pos="2160"/>
        </w:tabs>
        <w:ind w:left="2160" w:hanging="360"/>
      </w:pPr>
      <w:rPr>
        <w:rFonts w:ascii="Wingdings" w:hAnsi="Wingdings" w:hint="default"/>
        <w:sz w:val="20"/>
        <w:szCs w:val="20"/>
        <w:shd w:val="clear" w:color="auto" w:fill="auto"/>
      </w:rPr>
    </w:lvl>
    <w:lvl w:ilvl="3" w:tplc="A6DAADF6">
      <w:start w:val="1"/>
      <w:numFmt w:val="bullet"/>
      <w:lvlText w:val="§"/>
      <w:lvlJc w:val="left"/>
      <w:pPr>
        <w:tabs>
          <w:tab w:val="left" w:pos="2880"/>
        </w:tabs>
        <w:ind w:left="2880" w:hanging="360"/>
      </w:pPr>
      <w:rPr>
        <w:rFonts w:ascii="Wingdings" w:hAnsi="Wingdings" w:hint="default"/>
        <w:sz w:val="20"/>
        <w:szCs w:val="20"/>
        <w:shd w:val="clear" w:color="auto" w:fill="auto"/>
      </w:rPr>
    </w:lvl>
    <w:lvl w:ilvl="4" w:tplc="2D42A096">
      <w:start w:val="1"/>
      <w:numFmt w:val="bullet"/>
      <w:lvlText w:val="§"/>
      <w:lvlJc w:val="left"/>
      <w:pPr>
        <w:tabs>
          <w:tab w:val="left" w:pos="3600"/>
        </w:tabs>
        <w:ind w:left="3600" w:hanging="360"/>
      </w:pPr>
      <w:rPr>
        <w:rFonts w:ascii="Wingdings" w:hAnsi="Wingdings" w:hint="default"/>
        <w:sz w:val="20"/>
        <w:szCs w:val="20"/>
        <w:shd w:val="clear" w:color="auto" w:fill="auto"/>
      </w:rPr>
    </w:lvl>
    <w:lvl w:ilvl="5" w:tplc="465810C6">
      <w:start w:val="1"/>
      <w:numFmt w:val="bullet"/>
      <w:lvlText w:val="§"/>
      <w:lvlJc w:val="left"/>
      <w:pPr>
        <w:tabs>
          <w:tab w:val="left" w:pos="4320"/>
        </w:tabs>
        <w:ind w:left="4320" w:hanging="360"/>
      </w:pPr>
      <w:rPr>
        <w:rFonts w:ascii="Wingdings" w:hAnsi="Wingdings" w:hint="default"/>
        <w:sz w:val="20"/>
        <w:szCs w:val="20"/>
        <w:shd w:val="clear" w:color="auto" w:fill="auto"/>
      </w:rPr>
    </w:lvl>
    <w:lvl w:ilvl="6" w:tplc="D250E8CA">
      <w:start w:val="1"/>
      <w:numFmt w:val="bullet"/>
      <w:lvlText w:val="§"/>
      <w:lvlJc w:val="left"/>
      <w:pPr>
        <w:tabs>
          <w:tab w:val="left" w:pos="5040"/>
        </w:tabs>
        <w:ind w:left="5040" w:hanging="360"/>
      </w:pPr>
      <w:rPr>
        <w:rFonts w:ascii="Wingdings" w:hAnsi="Wingdings" w:hint="default"/>
        <w:sz w:val="20"/>
        <w:szCs w:val="20"/>
        <w:shd w:val="clear" w:color="auto" w:fill="auto"/>
      </w:rPr>
    </w:lvl>
    <w:lvl w:ilvl="7" w:tplc="36DE6212">
      <w:start w:val="1"/>
      <w:numFmt w:val="bullet"/>
      <w:lvlText w:val="§"/>
      <w:lvlJc w:val="left"/>
      <w:pPr>
        <w:tabs>
          <w:tab w:val="left" w:pos="5760"/>
        </w:tabs>
        <w:ind w:left="5760" w:hanging="360"/>
      </w:pPr>
      <w:rPr>
        <w:rFonts w:ascii="Wingdings" w:hAnsi="Wingdings" w:hint="default"/>
        <w:sz w:val="20"/>
        <w:szCs w:val="20"/>
        <w:shd w:val="clear" w:color="auto" w:fill="auto"/>
      </w:rPr>
    </w:lvl>
    <w:lvl w:ilvl="8" w:tplc="B1B61CAE">
      <w:start w:val="1"/>
      <w:numFmt w:val="bullet"/>
      <w:lvlText w:val="§"/>
      <w:lvlJc w:val="left"/>
      <w:pPr>
        <w:tabs>
          <w:tab w:val="left" w:pos="6480"/>
        </w:tabs>
        <w:ind w:left="6480" w:hanging="360"/>
      </w:pPr>
      <w:rPr>
        <w:rFonts w:ascii="Wingdings" w:hAnsi="Wingdings" w:hint="default"/>
        <w:sz w:val="20"/>
        <w:szCs w:val="20"/>
        <w:shd w:val="clear" w:color="auto" w:fill="auto"/>
      </w:rPr>
    </w:lvl>
  </w:abstractNum>
  <w:num w:numId="1" w16cid:durableId="366760842">
    <w:abstractNumId w:val="0"/>
  </w:num>
  <w:num w:numId="2" w16cid:durableId="1136485516">
    <w:abstractNumId w:val="1"/>
  </w:num>
  <w:num w:numId="3" w16cid:durableId="17139215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720"/>
  <w:displayHorizontalDrawingGridEvery w:val="0"/>
  <w:displayVerticalDrawingGridEvery w:val="2"/>
  <w:noPunctuationKerning/>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C2F"/>
    <w:rsid w:val="00074CD7"/>
    <w:rsid w:val="002A070A"/>
    <w:rsid w:val="0078434C"/>
    <w:rsid w:val="00A02C2F"/>
  </w:rsids>
  <m:mathPr>
    <m:mathFont m:val="Cambria Math"/>
    <m:brkBin m:val="before"/>
    <m:brkBinSub m:val="--"/>
    <m:smallFrac/>
    <m:dispDef/>
    <m:lMargin m:val="1440"/>
    <m:rMargin m:val="144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1082038"/>
  <w15:docId w15:val="{713368D6-D8C3-4CBB-9003-1DA8EC26C8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4</Pages>
  <Words>647</Words>
  <Characters>3694</Characters>
  <Application>Microsoft Office Word</Application>
  <DocSecurity>0</DocSecurity>
  <Lines>30</Lines>
  <Paragraphs>8</Paragraphs>
  <MMClips>0</MMClip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Papa</dc:creator>
  <cp:lastModifiedBy>Ndeye rokheya Bop</cp:lastModifiedBy>
  <cp:revision>4</cp:revision>
  <dcterms:created xsi:type="dcterms:W3CDTF">2026-10-25T08:11:00Z</dcterms:created>
  <dcterms:modified xsi:type="dcterms:W3CDTF">2026-10-25T08:25:00Z</dcterms:modified>
</cp:coreProperties>
</file>